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B483BF" w14:textId="77777777" w:rsidR="00C674ED" w:rsidRDefault="00C674ED" w:rsidP="00413C44">
      <w:pPr>
        <w:pStyle w:val="1MainTitle"/>
      </w:pPr>
    </w:p>
    <w:p w14:paraId="3C4CE7E7" w14:textId="0AA33EFF" w:rsidR="00DE4B23" w:rsidRPr="003326B0" w:rsidRDefault="00DE4B23" w:rsidP="00413C44">
      <w:pPr>
        <w:pStyle w:val="1MainTitle"/>
      </w:pPr>
      <w:bookmarkStart w:id="0" w:name="_Toc32300568"/>
      <w:r>
        <w:t>11.03</w:t>
      </w:r>
      <w:r w:rsidR="00413C44">
        <w:tab/>
      </w:r>
      <w:r>
        <w:t>TGA Prescription Opioid Regulatory Reforms</w:t>
      </w:r>
      <w:bookmarkEnd w:id="0"/>
    </w:p>
    <w:p w14:paraId="604F8672" w14:textId="05F8C6F3" w:rsidR="004A6780" w:rsidRDefault="004A6780" w:rsidP="00007462">
      <w:pPr>
        <w:pStyle w:val="2-SectionHeading"/>
      </w:pPr>
      <w:bookmarkStart w:id="1" w:name="_Toc32300569"/>
      <w:r>
        <w:t>Purpose</w:t>
      </w:r>
      <w:bookmarkEnd w:id="1"/>
    </w:p>
    <w:p w14:paraId="6B293760" w14:textId="73BE352B" w:rsidR="004A6780" w:rsidRPr="00A3670D" w:rsidRDefault="004A6780" w:rsidP="00F33674">
      <w:pPr>
        <w:pStyle w:val="3-BodyText"/>
      </w:pPr>
      <w:r>
        <w:t xml:space="preserve">To request </w:t>
      </w:r>
      <w:r w:rsidR="00007462">
        <w:t xml:space="preserve">that </w:t>
      </w:r>
      <w:r>
        <w:t>the</w:t>
      </w:r>
      <w:r w:rsidR="0046103E">
        <w:t xml:space="preserve"> Pharmaceutical Benefits Advisory Committee</w:t>
      </w:r>
      <w:r>
        <w:t xml:space="preserve"> </w:t>
      </w:r>
      <w:r w:rsidR="0046103E">
        <w:t>(</w:t>
      </w:r>
      <w:r>
        <w:t>PBAC</w:t>
      </w:r>
      <w:r w:rsidR="0046103E">
        <w:t>)</w:t>
      </w:r>
      <w:r>
        <w:t xml:space="preserve"> consider</w:t>
      </w:r>
      <w:r w:rsidR="00007462">
        <w:t xml:space="preserve"> </w:t>
      </w:r>
      <w:r>
        <w:t xml:space="preserve">proposed changes to </w:t>
      </w:r>
      <w:r w:rsidR="00007462">
        <w:t xml:space="preserve">the </w:t>
      </w:r>
      <w:r>
        <w:t>restrictions for opioids on the</w:t>
      </w:r>
      <w:r w:rsidR="00DD0BE4">
        <w:t xml:space="preserve"> Pharmaceutical Benefits Scheme</w:t>
      </w:r>
      <w:r>
        <w:t xml:space="preserve"> </w:t>
      </w:r>
      <w:r w:rsidR="00DD0BE4">
        <w:t>(</w:t>
      </w:r>
      <w:r>
        <w:t>PBS</w:t>
      </w:r>
      <w:r w:rsidR="00DD0BE4">
        <w:t>)</w:t>
      </w:r>
      <w:r>
        <w:t>.</w:t>
      </w:r>
    </w:p>
    <w:p w14:paraId="7633ADCA" w14:textId="1A665FD3" w:rsidR="002626C4" w:rsidRPr="002626C4" w:rsidRDefault="007D00BB" w:rsidP="00007462">
      <w:pPr>
        <w:pStyle w:val="2-SectionHeading"/>
      </w:pPr>
      <w:bookmarkStart w:id="2" w:name="_Toc32300570"/>
      <w:r w:rsidRPr="003C4498">
        <w:t>Background</w:t>
      </w:r>
      <w:bookmarkEnd w:id="2"/>
    </w:p>
    <w:p w14:paraId="4F561F5A" w14:textId="77777777" w:rsidR="00003225" w:rsidRDefault="004A6780" w:rsidP="00F33674">
      <w:pPr>
        <w:pStyle w:val="3-BodyText"/>
      </w:pPr>
      <w:r w:rsidRPr="0012753F">
        <w:t xml:space="preserve">In July 2019, in response to a submission sponsored by Mundipharma Pty Ltd, the PBAC recommended the Restricted Benefit listing of a new maximum quantity </w:t>
      </w:r>
      <w:r w:rsidR="002306F7" w:rsidRPr="0012753F">
        <w:t xml:space="preserve">(MQ) </w:t>
      </w:r>
      <w:r w:rsidRPr="0012753F">
        <w:t xml:space="preserve">of 10 for oxycodone 5 mg capsules and tablets. In making its recommendation, the PBAC noted the requirements of section 85D of the </w:t>
      </w:r>
      <w:r w:rsidRPr="0012753F">
        <w:rPr>
          <w:i/>
        </w:rPr>
        <w:t>National Health Act 1953</w:t>
      </w:r>
      <w:r w:rsidR="002306F7" w:rsidRPr="0012753F">
        <w:t xml:space="preserve"> (the Act)</w:t>
      </w:r>
      <w:r w:rsidRPr="0012753F">
        <w:t>, that different pack sizes of the same pharmaceutical item are to be priced proportionally and requested the Department negotiate a price for the 10 pack consistent with these requirements.</w:t>
      </w:r>
      <w:r w:rsidR="00DD2721" w:rsidRPr="0012753F">
        <w:t xml:space="preserve"> </w:t>
      </w:r>
    </w:p>
    <w:p w14:paraId="4223FB78" w14:textId="77777777" w:rsidR="00003225" w:rsidRDefault="00DD2721" w:rsidP="00F33674">
      <w:pPr>
        <w:pStyle w:val="3-BodyText"/>
      </w:pPr>
      <w:r w:rsidRPr="0012753F">
        <w:t xml:space="preserve">The PBAC recommended the new listing for a </w:t>
      </w:r>
      <w:r w:rsidR="002306F7" w:rsidRPr="0012753F">
        <w:t>MQ</w:t>
      </w:r>
      <w:r w:rsidRPr="0012753F">
        <w:t xml:space="preserve"> of 10 </w:t>
      </w:r>
      <w:r w:rsidR="00003225">
        <w:t xml:space="preserve">for oxycodone </w:t>
      </w:r>
      <w:proofErr w:type="gramStart"/>
      <w:r w:rsidRPr="0012753F">
        <w:t>be differentiated</w:t>
      </w:r>
      <w:proofErr w:type="gramEnd"/>
      <w:r w:rsidRPr="0012753F">
        <w:t xml:space="preserve"> from the current </w:t>
      </w:r>
      <w:r w:rsidR="00003225">
        <w:t>listing</w:t>
      </w:r>
      <w:r w:rsidRPr="0012753F">
        <w:t xml:space="preserve"> for a </w:t>
      </w:r>
      <w:r w:rsidR="002306F7" w:rsidRPr="0012753F">
        <w:t>MQ</w:t>
      </w:r>
      <w:r w:rsidRPr="0012753F">
        <w:t xml:space="preserve"> of 20 by indicating that the smaller quantity is intended for short-term (2-3 days) relief of acute severe pain that is unresponsive to non-opioid analgesics, and by not allowing any increase in the </w:t>
      </w:r>
      <w:r w:rsidR="002306F7" w:rsidRPr="0012753F">
        <w:t>MQ</w:t>
      </w:r>
      <w:r w:rsidRPr="0012753F">
        <w:t xml:space="preserve"> or number of repeats. </w:t>
      </w:r>
    </w:p>
    <w:p w14:paraId="5E0927CC" w14:textId="0D84FE7F" w:rsidR="002306F7" w:rsidRPr="0012753F" w:rsidRDefault="00DD2721" w:rsidP="00F33674">
      <w:pPr>
        <w:pStyle w:val="3-BodyText"/>
      </w:pPr>
      <w:r w:rsidRPr="0012753F">
        <w:t xml:space="preserve">The PBAC acknowledged the potential quality use of medicine benefit of reduced </w:t>
      </w:r>
      <w:r w:rsidR="002306F7" w:rsidRPr="0012753F">
        <w:t>MQs</w:t>
      </w:r>
      <w:r w:rsidRPr="0012753F">
        <w:t xml:space="preserve"> for opioids used in the acute pain setting (e.g. after surgery) (oxycodone, OxyNorm PSD, July 2019 PBAC meeting</w:t>
      </w:r>
      <w:r w:rsidR="002B79EC">
        <w:rPr>
          <w:rStyle w:val="FootnoteReference"/>
        </w:rPr>
        <w:footnoteReference w:id="1"/>
      </w:r>
      <w:r w:rsidRPr="0012753F">
        <w:t>).</w:t>
      </w:r>
    </w:p>
    <w:p w14:paraId="53092757" w14:textId="5736386D" w:rsidR="007D00BB" w:rsidRPr="003C4498" w:rsidRDefault="007D00BB" w:rsidP="00007462">
      <w:pPr>
        <w:pStyle w:val="2-SectionHeading"/>
      </w:pPr>
      <w:bookmarkStart w:id="3" w:name="_Toc32300571"/>
      <w:r w:rsidRPr="003C4498">
        <w:t>Current situation</w:t>
      </w:r>
      <w:bookmarkEnd w:id="3"/>
    </w:p>
    <w:p w14:paraId="5DE6C3F6" w14:textId="1CC8FB15" w:rsidR="002306F7" w:rsidRDefault="00017BA0" w:rsidP="00F33674">
      <w:pPr>
        <w:pStyle w:val="3-BodyText"/>
      </w:pPr>
      <w:r w:rsidRPr="0012753F">
        <w:t xml:space="preserve">The </w:t>
      </w:r>
      <w:r>
        <w:t>Therapeutic Goods Administration (</w:t>
      </w:r>
      <w:r w:rsidRPr="0012753F">
        <w:t>TGA</w:t>
      </w:r>
      <w:r>
        <w:t>)</w:t>
      </w:r>
      <w:r w:rsidRPr="0012753F">
        <w:t xml:space="preserve"> </w:t>
      </w:r>
      <w:r w:rsidR="00C11245">
        <w:t>wa</w:t>
      </w:r>
      <w:r w:rsidR="00C11245" w:rsidRPr="0012753F">
        <w:t xml:space="preserve">s </w:t>
      </w:r>
      <w:r w:rsidRPr="0012753F">
        <w:t xml:space="preserve">undertaking regulatory </w:t>
      </w:r>
      <w:proofErr w:type="gramStart"/>
      <w:r w:rsidRPr="0012753F">
        <w:t>measures which</w:t>
      </w:r>
      <w:proofErr w:type="gramEnd"/>
      <w:r w:rsidRPr="0012753F">
        <w:t xml:space="preserve"> aim</w:t>
      </w:r>
      <w:r w:rsidR="00C11245">
        <w:t>ed</w:t>
      </w:r>
      <w:r w:rsidRPr="0012753F">
        <w:t xml:space="preserve"> to reduce the harms associated with prescription opioid dependence and </w:t>
      </w:r>
      <w:r>
        <w:t>inappropriate use</w:t>
      </w:r>
      <w:r w:rsidRPr="0012753F">
        <w:t xml:space="preserve">, including overdose fatalities. The regulatory measures </w:t>
      </w:r>
      <w:proofErr w:type="gramStart"/>
      <w:r w:rsidR="00C11245">
        <w:t>we</w:t>
      </w:r>
      <w:r w:rsidR="00C11245" w:rsidRPr="0012753F">
        <w:t xml:space="preserve">re </w:t>
      </w:r>
      <w:r w:rsidRPr="0012753F">
        <w:t>based</w:t>
      </w:r>
      <w:proofErr w:type="gramEnd"/>
      <w:r w:rsidRPr="0012753F">
        <w:t xml:space="preserve"> on the findings from the TGA’s 2018 prescription opioid review</w:t>
      </w:r>
      <w:r w:rsidR="00C11245">
        <w:t>,</w:t>
      </w:r>
      <w:r w:rsidRPr="0012753F">
        <w:t xml:space="preserve"> and advice received from the Opioid Regulatory Advisory Group (ORAG).</w:t>
      </w:r>
      <w:r w:rsidR="006F750B">
        <w:t xml:space="preserve"> </w:t>
      </w:r>
      <w:r w:rsidR="007D00BB" w:rsidRPr="0012753F">
        <w:t>The</w:t>
      </w:r>
      <w:r>
        <w:t xml:space="preserve"> </w:t>
      </w:r>
      <w:r w:rsidR="002B342D" w:rsidRPr="0012753F">
        <w:t xml:space="preserve">regulatory </w:t>
      </w:r>
      <w:r w:rsidR="007D00BB" w:rsidRPr="0012753F">
        <w:t>measures</w:t>
      </w:r>
      <w:r w:rsidR="00316DEC" w:rsidRPr="0012753F">
        <w:t xml:space="preserve"> and </w:t>
      </w:r>
      <w:r w:rsidR="007D00BB" w:rsidRPr="0012753F">
        <w:t>associated timing are summarised in Table 1.</w:t>
      </w:r>
      <w:r w:rsidR="0079326A" w:rsidRPr="0012753F">
        <w:t xml:space="preserve"> </w:t>
      </w:r>
      <w:r w:rsidR="002626C4" w:rsidRPr="0012753F">
        <w:t xml:space="preserve">Some of these measures </w:t>
      </w:r>
      <w:r w:rsidR="00C11245" w:rsidRPr="0012753F">
        <w:t>ha</w:t>
      </w:r>
      <w:r w:rsidR="00C11245">
        <w:t>d</w:t>
      </w:r>
      <w:r w:rsidR="00C11245" w:rsidRPr="0012753F">
        <w:t xml:space="preserve"> </w:t>
      </w:r>
      <w:r w:rsidR="002626C4" w:rsidRPr="0012753F">
        <w:t>implications for the PBS.</w:t>
      </w:r>
    </w:p>
    <w:p w14:paraId="7247E9C1" w14:textId="7630EDED" w:rsidR="00C97EFB" w:rsidRPr="00C97EFB" w:rsidRDefault="00C97EFB" w:rsidP="00F33674">
      <w:pPr>
        <w:pStyle w:val="3-BodyText"/>
      </w:pPr>
      <w:r>
        <w:t>The TGA ha</w:t>
      </w:r>
      <w:r w:rsidR="00C11245">
        <w:t>d</w:t>
      </w:r>
      <w:r>
        <w:t xml:space="preserve"> advised that while </w:t>
      </w:r>
      <w:r w:rsidRPr="00C97EFB">
        <w:t>the</w:t>
      </w:r>
      <w:r w:rsidR="00017BA0">
        <w:t>se</w:t>
      </w:r>
      <w:r w:rsidRPr="00C97EFB">
        <w:t xml:space="preserve"> regulatory </w:t>
      </w:r>
      <w:r w:rsidR="00017BA0">
        <w:t>measures</w:t>
      </w:r>
      <w:r w:rsidRPr="00C97EFB">
        <w:t xml:space="preserve"> </w:t>
      </w:r>
      <w:r w:rsidR="00C11245">
        <w:t>would</w:t>
      </w:r>
      <w:r w:rsidR="00C11245" w:rsidRPr="00C97EFB">
        <w:t xml:space="preserve"> </w:t>
      </w:r>
      <w:r w:rsidRPr="00C97EFB">
        <w:t>play a signific</w:t>
      </w:r>
      <w:r>
        <w:t xml:space="preserve">ant role in reducing subsequent </w:t>
      </w:r>
      <w:r w:rsidRPr="00C97EFB">
        <w:t>harms associated with</w:t>
      </w:r>
      <w:r>
        <w:t xml:space="preserve"> inappropriate prescription use, other organisations and </w:t>
      </w:r>
      <w:r w:rsidRPr="00C97EFB">
        <w:t>stakeholders heavily influence the wider envir</w:t>
      </w:r>
      <w:r>
        <w:t xml:space="preserve">onment and patient community to </w:t>
      </w:r>
      <w:r w:rsidRPr="00C97EFB">
        <w:t xml:space="preserve">which these products are provided. The TGA </w:t>
      </w:r>
      <w:r>
        <w:t>ha</w:t>
      </w:r>
      <w:r w:rsidR="00C11245">
        <w:t>d</w:t>
      </w:r>
      <w:r>
        <w:t xml:space="preserve"> worked with </w:t>
      </w:r>
      <w:r>
        <w:lastRenderedPageBreak/>
        <w:t>ORAG</w:t>
      </w:r>
      <w:r w:rsidR="00640990">
        <w:t>,</w:t>
      </w:r>
      <w:r>
        <w:t xml:space="preserve"> and across </w:t>
      </w:r>
      <w:r w:rsidRPr="00C97EFB">
        <w:t>government and other stak</w:t>
      </w:r>
      <w:r>
        <w:t>eholders to identify activities</w:t>
      </w:r>
      <w:r w:rsidRPr="00C97EFB">
        <w:t xml:space="preserve"> </w:t>
      </w:r>
      <w:r>
        <w:t xml:space="preserve">to support </w:t>
      </w:r>
      <w:r w:rsidR="00640990">
        <w:t xml:space="preserve">the </w:t>
      </w:r>
      <w:r>
        <w:t>appropriate use of opioids,</w:t>
      </w:r>
      <w:r w:rsidRPr="00C97EFB">
        <w:t xml:space="preserve"> including:</w:t>
      </w:r>
    </w:p>
    <w:p w14:paraId="58B47ABE" w14:textId="34E2CC33" w:rsidR="00C97EFB" w:rsidRPr="00C97EFB" w:rsidRDefault="00C97EFB" w:rsidP="00CB32E8">
      <w:pPr>
        <w:pStyle w:val="3Bodytext"/>
      </w:pPr>
      <w:r w:rsidRPr="00C97EFB">
        <w:t>extensive education</w:t>
      </w:r>
      <w:r>
        <w:t xml:space="preserve"> and awareness campaigns by </w:t>
      </w:r>
      <w:r w:rsidR="00640990">
        <w:t xml:space="preserve">the </w:t>
      </w:r>
      <w:r>
        <w:t>TGA,</w:t>
      </w:r>
      <w:r w:rsidRPr="00C97EFB">
        <w:t xml:space="preserve"> professional medical</w:t>
      </w:r>
      <w:r>
        <w:t xml:space="preserve"> indemnity insurers, and peak prescriber and pharmacist associations</w:t>
      </w:r>
      <w:r w:rsidR="00640990">
        <w:t>,</w:t>
      </w:r>
    </w:p>
    <w:p w14:paraId="1ED5BB1E" w14:textId="2C27DBA5" w:rsidR="00C97EFB" w:rsidRPr="00C97EFB" w:rsidRDefault="00C97EFB" w:rsidP="00CB32E8">
      <w:pPr>
        <w:pStyle w:val="3Bodytext"/>
      </w:pPr>
      <w:r w:rsidRPr="00C97EFB">
        <w:t>c</w:t>
      </w:r>
      <w:r>
        <w:t>hanges to clinical guidelines</w:t>
      </w:r>
      <w:r w:rsidR="00640990">
        <w:t>,</w:t>
      </w:r>
    </w:p>
    <w:p w14:paraId="07DE00ED" w14:textId="1A6C0E3B" w:rsidR="00C97EFB" w:rsidRPr="00C97EFB" w:rsidRDefault="00DE5EDC" w:rsidP="00CB32E8">
      <w:pPr>
        <w:pStyle w:val="3Bodytext"/>
      </w:pPr>
      <w:proofErr w:type="gramStart"/>
      <w:r w:rsidRPr="00DE5EDC">
        <w:t>ensuring</w:t>
      </w:r>
      <w:proofErr w:type="gramEnd"/>
      <w:r w:rsidRPr="00DE5EDC">
        <w:t xml:space="preserve"> that sponsors comply with the requirements of the Therapeutic Goods Act 1989, by only promoting the new narrower indications when advertising to prescribers.</w:t>
      </w:r>
    </w:p>
    <w:p w14:paraId="34CEAEB7" w14:textId="7100DDA0" w:rsidR="00C97EFB" w:rsidRPr="00C97EFB" w:rsidRDefault="00C97EFB" w:rsidP="00CB32E8">
      <w:pPr>
        <w:pStyle w:val="3Bodytext"/>
      </w:pPr>
      <w:r w:rsidRPr="00C97EFB">
        <w:t>inte</w:t>
      </w:r>
      <w:r w:rsidR="00067273">
        <w:t>gration of the changes into poli</w:t>
      </w:r>
      <w:r w:rsidRPr="00C97EFB">
        <w:t>c</w:t>
      </w:r>
      <w:r w:rsidR="00067273">
        <w:t>i</w:t>
      </w:r>
      <w:r w:rsidRPr="00C97EFB">
        <w:t>es and regulatory schemes administered</w:t>
      </w:r>
      <w:r>
        <w:t xml:space="preserve"> </w:t>
      </w:r>
      <w:r w:rsidRPr="00C97EFB">
        <w:t>by ju</w:t>
      </w:r>
      <w:r>
        <w:t>risdictional health departments</w:t>
      </w:r>
      <w:r w:rsidR="00640990">
        <w:t>,</w:t>
      </w:r>
    </w:p>
    <w:p w14:paraId="781180D0" w14:textId="0275C2FC" w:rsidR="00C97EFB" w:rsidRPr="00C97EFB" w:rsidRDefault="00C97EFB" w:rsidP="00CB32E8">
      <w:pPr>
        <w:pStyle w:val="3Bodytext"/>
      </w:pPr>
      <w:proofErr w:type="gramStart"/>
      <w:r w:rsidRPr="00C97EFB">
        <w:t>utilisation</w:t>
      </w:r>
      <w:proofErr w:type="gramEnd"/>
      <w:r w:rsidRPr="00C97EFB">
        <w:t xml:space="preserve"> of real time pr</w:t>
      </w:r>
      <w:r>
        <w:t>escription monitoring programs</w:t>
      </w:r>
      <w:r w:rsidR="00640990">
        <w:t>, and</w:t>
      </w:r>
      <w:r w:rsidR="008D503A">
        <w:t xml:space="preserve"> continuing to monitor prescriber compliance to the Department’s health payment requirements.</w:t>
      </w:r>
    </w:p>
    <w:p w14:paraId="21370588" w14:textId="69D75340" w:rsidR="007D00BB" w:rsidRPr="003C4498" w:rsidRDefault="001106B9" w:rsidP="00007462">
      <w:pPr>
        <w:pStyle w:val="TableFigureHeading"/>
      </w:pPr>
      <w:r w:rsidRPr="003C4498">
        <w:t xml:space="preserve">Table 1: TGA opioid reform </w:t>
      </w:r>
      <w:r w:rsidR="00017BA0">
        <w:t xml:space="preserve">regulatory </w:t>
      </w:r>
      <w:r w:rsidRPr="003C4498">
        <w:t>measures and associated timing and issues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3"/>
        <w:gridCol w:w="3613"/>
      </w:tblGrid>
      <w:tr w:rsidR="00B36EFC" w:rsidRPr="003C4498" w14:paraId="4FF44E3D" w14:textId="77777777" w:rsidTr="00DF7CC7">
        <w:trPr>
          <w:cantSplit/>
          <w:trHeight w:val="362"/>
          <w:tblHeader/>
        </w:trPr>
        <w:tc>
          <w:tcPr>
            <w:tcW w:w="0" w:type="auto"/>
            <w:shd w:val="clear" w:color="auto" w:fill="auto"/>
            <w:tcMar>
              <w:top w:w="15" w:type="dxa"/>
              <w:left w:w="91" w:type="dxa"/>
              <w:bottom w:w="0" w:type="dxa"/>
              <w:right w:w="91" w:type="dxa"/>
            </w:tcMar>
          </w:tcPr>
          <w:p w14:paraId="6B666409" w14:textId="77777777" w:rsidR="00052EB4" w:rsidRPr="003C4498" w:rsidRDefault="00052EB4" w:rsidP="00DF7CC7">
            <w:pPr>
              <w:pStyle w:val="In-tableHeading"/>
              <w:keepNext w:val="0"/>
            </w:pPr>
            <w:r w:rsidRPr="003C4498">
              <w:t>Regulatory measures</w:t>
            </w:r>
          </w:p>
        </w:tc>
        <w:tc>
          <w:tcPr>
            <w:tcW w:w="0" w:type="auto"/>
            <w:shd w:val="clear" w:color="auto" w:fill="auto"/>
            <w:tcMar>
              <w:top w:w="15" w:type="dxa"/>
              <w:left w:w="91" w:type="dxa"/>
              <w:bottom w:w="0" w:type="dxa"/>
              <w:right w:w="91" w:type="dxa"/>
            </w:tcMar>
          </w:tcPr>
          <w:p w14:paraId="52189CB0" w14:textId="57B2C26E" w:rsidR="00052EB4" w:rsidRPr="003C4498" w:rsidRDefault="00052EB4" w:rsidP="00DF7CC7">
            <w:pPr>
              <w:pStyle w:val="In-tableHeading"/>
              <w:keepNext w:val="0"/>
            </w:pPr>
            <w:r w:rsidRPr="003C4498">
              <w:t xml:space="preserve">TGA timing and </w:t>
            </w:r>
            <w:r w:rsidR="00B45270">
              <w:t xml:space="preserve">remit under the </w:t>
            </w:r>
            <w:r w:rsidR="00B45270" w:rsidRPr="00B45270">
              <w:rPr>
                <w:i/>
              </w:rPr>
              <w:t>Therapeutic Goods Act 1989</w:t>
            </w:r>
          </w:p>
        </w:tc>
      </w:tr>
      <w:tr w:rsidR="00B36EFC" w:rsidRPr="003C4498" w14:paraId="507674DD" w14:textId="77777777" w:rsidTr="00DF7CC7">
        <w:trPr>
          <w:cantSplit/>
          <w:trHeight w:val="1061"/>
        </w:trPr>
        <w:tc>
          <w:tcPr>
            <w:tcW w:w="0" w:type="auto"/>
            <w:shd w:val="clear" w:color="auto" w:fill="auto"/>
            <w:tcMar>
              <w:top w:w="15" w:type="dxa"/>
              <w:left w:w="91" w:type="dxa"/>
              <w:bottom w:w="0" w:type="dxa"/>
              <w:right w:w="91" w:type="dxa"/>
            </w:tcMar>
            <w:hideMark/>
          </w:tcPr>
          <w:p w14:paraId="2A99599B" w14:textId="571B33BC" w:rsidR="00052EB4" w:rsidRPr="00856CA1" w:rsidRDefault="00856CA1" w:rsidP="00630FB2">
            <w:pPr>
              <w:pStyle w:val="TableText"/>
              <w:keepNext w:val="0"/>
              <w:numPr>
                <w:ilvl w:val="0"/>
                <w:numId w:val="5"/>
              </w:numPr>
            </w:pPr>
            <w:r>
              <w:t>R</w:t>
            </w:r>
            <w:r w:rsidR="00052EB4" w:rsidRPr="00856CA1">
              <w:t xml:space="preserve">egistration of </w:t>
            </w:r>
            <w:r w:rsidR="00052EB4" w:rsidRPr="00856CA1">
              <w:rPr>
                <w:b/>
              </w:rPr>
              <w:t xml:space="preserve">smaller pack sizes </w:t>
            </w:r>
            <w:r w:rsidR="00052EB4" w:rsidRPr="00856CA1">
              <w:t>for immediate release opioid</w:t>
            </w:r>
            <w:r w:rsidR="00646894" w:rsidRPr="00856CA1">
              <w:t xml:space="preserve"> products</w:t>
            </w:r>
            <w:r w:rsidR="00F73283">
              <w:t xml:space="preserve"> indicated for acute pain</w:t>
            </w:r>
            <w:r w:rsidR="00646894" w:rsidRPr="00856CA1">
              <w:t xml:space="preserve">, including </w:t>
            </w:r>
            <w:r w:rsidR="00052EB4" w:rsidRPr="00856CA1">
              <w:t>oxycodone</w:t>
            </w:r>
            <w:r w:rsidR="00646894" w:rsidRPr="00856CA1">
              <w:t xml:space="preserve">, </w:t>
            </w:r>
            <w:r w:rsidR="00052EB4" w:rsidRPr="00856CA1">
              <w:t>tramadol</w:t>
            </w:r>
            <w:r w:rsidR="00646894" w:rsidRPr="00856CA1">
              <w:t xml:space="preserve">, </w:t>
            </w:r>
            <w:r w:rsidR="00052EB4" w:rsidRPr="00856CA1">
              <w:t>tramadol/paracetamol</w:t>
            </w:r>
            <w:r w:rsidR="00646894" w:rsidRPr="00856CA1">
              <w:t xml:space="preserve">, </w:t>
            </w:r>
            <w:r w:rsidR="00052EB4" w:rsidRPr="00856CA1">
              <w:t>paracetamol/codeine</w:t>
            </w:r>
            <w:r w:rsidR="00646894" w:rsidRPr="00856CA1">
              <w:t xml:space="preserve">, </w:t>
            </w:r>
            <w:r w:rsidR="00052EB4" w:rsidRPr="00856CA1">
              <w:t>codeine</w:t>
            </w:r>
            <w:r w:rsidR="00646894" w:rsidRPr="00856CA1">
              <w:t xml:space="preserve">, </w:t>
            </w:r>
            <w:r w:rsidR="00052EB4" w:rsidRPr="00856CA1">
              <w:t>hydromorphone</w:t>
            </w:r>
            <w:r w:rsidR="00646894" w:rsidRPr="00856CA1">
              <w:t xml:space="preserve">, </w:t>
            </w:r>
            <w:r w:rsidR="00052EB4" w:rsidRPr="00856CA1">
              <w:t>morphine</w:t>
            </w:r>
            <w:r w:rsidR="00646894" w:rsidRPr="00856CA1">
              <w:t xml:space="preserve">, </w:t>
            </w:r>
            <w:r w:rsidR="00052EB4" w:rsidRPr="00856CA1">
              <w:t>tapentadol</w:t>
            </w:r>
            <w:r w:rsidR="00646894" w:rsidRPr="00856CA1">
              <w:t xml:space="preserve">, </w:t>
            </w:r>
            <w:r w:rsidR="00672F6C">
              <w:t xml:space="preserve">and </w:t>
            </w:r>
            <w:r w:rsidR="00052EB4" w:rsidRPr="00856CA1">
              <w:t>buprenorphine</w:t>
            </w:r>
            <w:r w:rsidR="00646894" w:rsidRPr="00856CA1">
              <w:t>.</w:t>
            </w:r>
            <w:r w:rsidR="00B32028">
              <w:t xml:space="preserve"> </w:t>
            </w:r>
          </w:p>
        </w:tc>
        <w:tc>
          <w:tcPr>
            <w:tcW w:w="0" w:type="auto"/>
            <w:shd w:val="clear" w:color="auto" w:fill="auto"/>
            <w:tcMar>
              <w:top w:w="15" w:type="dxa"/>
              <w:left w:w="91" w:type="dxa"/>
              <w:bottom w:w="0" w:type="dxa"/>
              <w:right w:w="91" w:type="dxa"/>
            </w:tcMar>
            <w:hideMark/>
          </w:tcPr>
          <w:p w14:paraId="421FE6B5" w14:textId="77777777" w:rsidR="00052EB4" w:rsidRPr="00973C00" w:rsidRDefault="00052EB4" w:rsidP="00DF7CC7">
            <w:pPr>
              <w:pStyle w:val="TableText"/>
              <w:keepNext w:val="0"/>
              <w:rPr>
                <w:b/>
              </w:rPr>
            </w:pPr>
            <w:r w:rsidRPr="00973C00">
              <w:rPr>
                <w:b/>
              </w:rPr>
              <w:t>12-24 months from January 2020</w:t>
            </w:r>
          </w:p>
          <w:p w14:paraId="73E52FE9" w14:textId="64E377AC" w:rsidR="00052EB4" w:rsidRPr="003C4498" w:rsidRDefault="00052EB4" w:rsidP="00DF7CC7">
            <w:pPr>
              <w:pStyle w:val="TableText"/>
              <w:keepNext w:val="0"/>
            </w:pPr>
            <w:r w:rsidRPr="003C4498">
              <w:t>The TGA has existing powers to compel registration but not</w:t>
            </w:r>
            <w:r w:rsidR="00672F6C">
              <w:t xml:space="preserve"> the</w:t>
            </w:r>
            <w:r w:rsidRPr="003C4498">
              <w:t xml:space="preserve"> supply of smaller packs</w:t>
            </w:r>
            <w:r w:rsidR="00672F6C">
              <w:t xml:space="preserve">. </w:t>
            </w:r>
          </w:p>
        </w:tc>
      </w:tr>
      <w:tr w:rsidR="00B36EFC" w:rsidRPr="003C4498" w14:paraId="5332A4BC" w14:textId="77777777" w:rsidTr="00DF7CC7">
        <w:trPr>
          <w:cantSplit/>
          <w:trHeight w:val="808"/>
        </w:trPr>
        <w:tc>
          <w:tcPr>
            <w:tcW w:w="0" w:type="auto"/>
            <w:shd w:val="clear" w:color="auto" w:fill="auto"/>
            <w:tcMar>
              <w:top w:w="15" w:type="dxa"/>
              <w:left w:w="91" w:type="dxa"/>
              <w:bottom w:w="0" w:type="dxa"/>
              <w:right w:w="91" w:type="dxa"/>
            </w:tcMar>
            <w:hideMark/>
          </w:tcPr>
          <w:p w14:paraId="03211746" w14:textId="3AC28FD8" w:rsidR="00973C00" w:rsidRDefault="00052EB4" w:rsidP="00630FB2">
            <w:pPr>
              <w:pStyle w:val="TableText"/>
              <w:keepNext w:val="0"/>
              <w:numPr>
                <w:ilvl w:val="0"/>
                <w:numId w:val="5"/>
              </w:numPr>
            </w:pPr>
            <w:r w:rsidRPr="00856CA1">
              <w:t>Restricting</w:t>
            </w:r>
            <w:r w:rsidR="008C7D42">
              <w:t xml:space="preserve"> the</w:t>
            </w:r>
            <w:r w:rsidRPr="00856CA1">
              <w:rPr>
                <w:b/>
              </w:rPr>
              <w:t xml:space="preserve"> indications </w:t>
            </w:r>
            <w:r w:rsidRPr="00856CA1">
              <w:t>for fentanyl patches to the management of pain associated with cancer, palliative care and other conditions in opioid-tolerant patients where:</w:t>
            </w:r>
          </w:p>
          <w:p w14:paraId="6CDB6896" w14:textId="66FF143C" w:rsidR="00973C00" w:rsidRDefault="00052EB4" w:rsidP="00630FB2">
            <w:pPr>
              <w:pStyle w:val="TableText"/>
              <w:keepNext w:val="0"/>
              <w:numPr>
                <w:ilvl w:val="1"/>
                <w:numId w:val="6"/>
              </w:numPr>
              <w:ind w:left="613" w:hanging="253"/>
            </w:pPr>
            <w:r w:rsidRPr="00267253">
              <w:t>other treatment options have failed, are contraindicated, not tolerated or are otherwise inappropriate to provide sufficient pain management</w:t>
            </w:r>
            <w:r w:rsidR="00B45270">
              <w:t>, and</w:t>
            </w:r>
          </w:p>
          <w:p w14:paraId="70297359" w14:textId="17500DF3" w:rsidR="00973C00" w:rsidRDefault="00052EB4" w:rsidP="00630FB2">
            <w:pPr>
              <w:pStyle w:val="TableText"/>
              <w:keepNext w:val="0"/>
              <w:numPr>
                <w:ilvl w:val="1"/>
                <w:numId w:val="6"/>
              </w:numPr>
              <w:ind w:left="613" w:hanging="253"/>
            </w:pPr>
            <w:r w:rsidRPr="00267253">
              <w:t>the pain is opioid-responsive</w:t>
            </w:r>
            <w:r w:rsidR="00B45270">
              <w:t>, and</w:t>
            </w:r>
          </w:p>
          <w:p w14:paraId="3E1F3D3F" w14:textId="77777777" w:rsidR="00052EB4" w:rsidRDefault="008C7D42" w:rsidP="00630FB2">
            <w:pPr>
              <w:pStyle w:val="TableText"/>
              <w:keepNext w:val="0"/>
              <w:numPr>
                <w:ilvl w:val="1"/>
                <w:numId w:val="6"/>
              </w:numPr>
              <w:ind w:left="613" w:hanging="253"/>
            </w:pPr>
            <w:proofErr w:type="gramStart"/>
            <w:r>
              <w:t>the</w:t>
            </w:r>
            <w:proofErr w:type="gramEnd"/>
            <w:r>
              <w:t xml:space="preserve"> pain is </w:t>
            </w:r>
            <w:r w:rsidR="00052EB4" w:rsidRPr="00267253">
              <w:t>severe enough to require daily, continuous, long-term opioid treatment.</w:t>
            </w:r>
          </w:p>
          <w:p w14:paraId="45763AC5" w14:textId="6A9F76FE" w:rsidR="00B45270" w:rsidRPr="003C4498" w:rsidRDefault="00B45270" w:rsidP="00630FB2">
            <w:pPr>
              <w:pStyle w:val="TableText"/>
              <w:keepNext w:val="0"/>
              <w:numPr>
                <w:ilvl w:val="1"/>
                <w:numId w:val="6"/>
              </w:numPr>
              <w:ind w:left="613" w:hanging="253"/>
            </w:pPr>
            <w:r>
              <w:t>Not for use in opioid naïve patients.</w:t>
            </w:r>
          </w:p>
        </w:tc>
        <w:tc>
          <w:tcPr>
            <w:tcW w:w="0" w:type="auto"/>
            <w:shd w:val="clear" w:color="auto" w:fill="auto"/>
            <w:tcMar>
              <w:top w:w="15" w:type="dxa"/>
              <w:left w:w="91" w:type="dxa"/>
              <w:bottom w:w="0" w:type="dxa"/>
              <w:right w:w="91" w:type="dxa"/>
            </w:tcMar>
            <w:hideMark/>
          </w:tcPr>
          <w:p w14:paraId="63B97214" w14:textId="77777777" w:rsidR="00052EB4" w:rsidRPr="00973C00" w:rsidRDefault="00052EB4" w:rsidP="00DF7CC7">
            <w:pPr>
              <w:pStyle w:val="TableText"/>
              <w:keepNext w:val="0"/>
              <w:rPr>
                <w:b/>
              </w:rPr>
            </w:pPr>
            <w:r w:rsidRPr="00973C00">
              <w:rPr>
                <w:b/>
              </w:rPr>
              <w:t>6 months from Oct 2019</w:t>
            </w:r>
          </w:p>
          <w:p w14:paraId="26089DFA" w14:textId="367668FF" w:rsidR="00052EB4" w:rsidRDefault="00B45270" w:rsidP="00DF7CC7">
            <w:pPr>
              <w:pStyle w:val="TableText"/>
              <w:keepNext w:val="0"/>
            </w:pPr>
            <w:r>
              <w:t>The TGA has e</w:t>
            </w:r>
            <w:r w:rsidR="00052EB4" w:rsidRPr="003C4498">
              <w:t>xisting powers to amend</w:t>
            </w:r>
            <w:r w:rsidR="008C7D42">
              <w:t xml:space="preserve"> the</w:t>
            </w:r>
            <w:r w:rsidR="00052EB4" w:rsidRPr="003C4498">
              <w:t xml:space="preserve"> indication for safety reasons</w:t>
            </w:r>
            <w:r w:rsidR="00CE6159">
              <w:t>.</w:t>
            </w:r>
          </w:p>
          <w:p w14:paraId="5C5A534A" w14:textId="071D76B2" w:rsidR="00CE6159" w:rsidRPr="003C4498" w:rsidRDefault="00CE6159" w:rsidP="00DF7CC7">
            <w:pPr>
              <w:pStyle w:val="TableText"/>
              <w:keepNext w:val="0"/>
            </w:pPr>
            <w:r w:rsidRPr="00CE6159">
              <w:t xml:space="preserve">The innovator sponsor, Janssen-Cilag, is expected to complete its </w:t>
            </w:r>
            <w:r w:rsidR="003A0E63" w:rsidRPr="003C4498">
              <w:t>Product Information</w:t>
            </w:r>
            <w:r w:rsidR="008C7D42">
              <w:t xml:space="preserve"> (PI</w:t>
            </w:r>
            <w:r w:rsidR="003A0E63" w:rsidRPr="003C4498">
              <w:t>)</w:t>
            </w:r>
            <w:r w:rsidRPr="00CE6159">
              <w:t xml:space="preserve"> update by the end of 2019</w:t>
            </w:r>
            <w:r w:rsidR="008C7D42">
              <w:t>,</w:t>
            </w:r>
            <w:r w:rsidRPr="00CE6159">
              <w:t xml:space="preserve"> with the three generic sponsors to follow soon after</w:t>
            </w:r>
            <w:r w:rsidR="00B45270">
              <w:t xml:space="preserve"> </w:t>
            </w:r>
            <w:r w:rsidR="00B45270">
              <w:rPr>
                <w:rFonts w:cstheme="minorHAnsi"/>
                <w:szCs w:val="20"/>
              </w:rPr>
              <w:t>(generic sponsors are required to reflect safety information in the innovator PI)</w:t>
            </w:r>
            <w:r w:rsidRPr="00CE6159">
              <w:t>.</w:t>
            </w:r>
          </w:p>
        </w:tc>
      </w:tr>
      <w:tr w:rsidR="00B36EFC" w:rsidRPr="003C4498" w14:paraId="53D51CF2" w14:textId="77777777" w:rsidTr="00DF7CC7">
        <w:trPr>
          <w:cantSplit/>
          <w:trHeight w:val="821"/>
        </w:trPr>
        <w:tc>
          <w:tcPr>
            <w:tcW w:w="0" w:type="auto"/>
            <w:shd w:val="clear" w:color="auto" w:fill="auto"/>
            <w:tcMar>
              <w:top w:w="15" w:type="dxa"/>
              <w:left w:w="91" w:type="dxa"/>
              <w:bottom w:w="0" w:type="dxa"/>
              <w:right w:w="91" w:type="dxa"/>
            </w:tcMar>
          </w:tcPr>
          <w:p w14:paraId="2A6722E8" w14:textId="77777777" w:rsidR="00766EBB" w:rsidRDefault="00856CA1" w:rsidP="00630FB2">
            <w:pPr>
              <w:pStyle w:val="TableText"/>
              <w:keepNext w:val="0"/>
              <w:numPr>
                <w:ilvl w:val="0"/>
                <w:numId w:val="5"/>
              </w:numPr>
            </w:pPr>
            <w:r>
              <w:lastRenderedPageBreak/>
              <w:t>R</w:t>
            </w:r>
            <w:r w:rsidR="007838C8" w:rsidRPr="00856CA1">
              <w:t>evised indications for immediate- and modified-release prescription opioids</w:t>
            </w:r>
            <w:r w:rsidR="00766EBB">
              <w:t xml:space="preserve"> as follows</w:t>
            </w:r>
            <w:r w:rsidR="00F73283">
              <w:t>.</w:t>
            </w:r>
          </w:p>
          <w:p w14:paraId="5A3F6CED" w14:textId="26EB429C" w:rsidR="00B45270" w:rsidRDefault="00F73283" w:rsidP="00DF7CC7">
            <w:pPr>
              <w:pStyle w:val="TableText"/>
              <w:keepNext w:val="0"/>
              <w:ind w:left="360"/>
            </w:pPr>
            <w:r>
              <w:t xml:space="preserve"> </w:t>
            </w:r>
          </w:p>
          <w:p w14:paraId="098BBF71" w14:textId="2F8E8DA5" w:rsidR="00B45270" w:rsidRPr="00B45270" w:rsidRDefault="00B45270" w:rsidP="0045694B">
            <w:pPr>
              <w:tabs>
                <w:tab w:val="right" w:pos="9072"/>
              </w:tabs>
              <w:ind w:firstLine="327"/>
              <w:contextualSpacing/>
              <w:jc w:val="left"/>
              <w:rPr>
                <w:rFonts w:ascii="Arial Narrow" w:hAnsi="Arial Narrow" w:cstheme="minorHAnsi"/>
                <w:b/>
                <w:bCs/>
                <w:sz w:val="20"/>
                <w:szCs w:val="20"/>
              </w:rPr>
            </w:pPr>
            <w:r w:rsidRPr="00B45270">
              <w:rPr>
                <w:rFonts w:ascii="Arial Narrow" w:hAnsi="Arial Narrow" w:cstheme="minorHAnsi"/>
                <w:b/>
                <w:bCs/>
                <w:sz w:val="20"/>
                <w:szCs w:val="20"/>
              </w:rPr>
              <w:t xml:space="preserve">Modified release (MR) </w:t>
            </w:r>
            <w:r w:rsidR="00B36EFC">
              <w:rPr>
                <w:rFonts w:ascii="Arial Narrow" w:hAnsi="Arial Narrow" w:cstheme="minorHAnsi"/>
                <w:b/>
                <w:bCs/>
                <w:sz w:val="20"/>
                <w:szCs w:val="20"/>
              </w:rPr>
              <w:t xml:space="preserve">products </w:t>
            </w:r>
            <w:r w:rsidR="006654D4" w:rsidRPr="006E3079">
              <w:rPr>
                <w:rFonts w:ascii="Arial Narrow" w:hAnsi="Arial Narrow" w:cstheme="minorHAnsi"/>
                <w:bCs/>
                <w:sz w:val="20"/>
                <w:szCs w:val="20"/>
              </w:rPr>
              <w:t>(</w:t>
            </w:r>
            <w:r w:rsidR="003453C2" w:rsidRPr="006E3079">
              <w:rPr>
                <w:rFonts w:ascii="Arial Narrow" w:hAnsi="Arial Narrow" w:cstheme="minorHAnsi"/>
                <w:bCs/>
                <w:sz w:val="20"/>
                <w:szCs w:val="20"/>
              </w:rPr>
              <w:t xml:space="preserve">buprenorphine transdermal patches, dihydrocodeine SR tablets, hydromorphone SR tablet/capsules, morphine SR tablets and granules, oxycodone SR tablets, tapentadol SR tablets, tramadol SR tablets, injection and oral drops, </w:t>
            </w:r>
            <w:r w:rsidRPr="006E3079">
              <w:rPr>
                <w:rFonts w:ascii="Arial Narrow" w:hAnsi="Arial Narrow" w:cstheme="minorHAnsi"/>
                <w:bCs/>
                <w:sz w:val="20"/>
                <w:szCs w:val="20"/>
              </w:rPr>
              <w:t>methadone</w:t>
            </w:r>
            <w:r w:rsidR="003453C2" w:rsidRPr="006E3079">
              <w:rPr>
                <w:rFonts w:ascii="Arial Narrow" w:hAnsi="Arial Narrow" w:cstheme="minorHAnsi"/>
                <w:bCs/>
                <w:sz w:val="20"/>
                <w:szCs w:val="20"/>
              </w:rPr>
              <w:t xml:space="preserve"> tablets and injections)</w:t>
            </w:r>
            <w:r w:rsidRPr="006E3079">
              <w:rPr>
                <w:rFonts w:ascii="Arial Narrow" w:hAnsi="Arial Narrow" w:cstheme="minorHAnsi"/>
                <w:bCs/>
                <w:sz w:val="20"/>
                <w:szCs w:val="20"/>
              </w:rPr>
              <w:t>:</w:t>
            </w:r>
          </w:p>
          <w:p w14:paraId="513C0095" w14:textId="77777777" w:rsidR="00B45270" w:rsidRPr="00CD30E2" w:rsidRDefault="00B45270" w:rsidP="0045694B">
            <w:pPr>
              <w:ind w:firstLine="327"/>
              <w:rPr>
                <w:rFonts w:ascii="Arial Narrow" w:hAnsi="Arial Narrow" w:cstheme="minorHAnsi"/>
                <w:sz w:val="20"/>
                <w:szCs w:val="20"/>
                <w:lang w:eastAsia="en-AU"/>
              </w:rPr>
            </w:pPr>
            <w:r w:rsidRPr="00CD30E2">
              <w:rPr>
                <w:rFonts w:ascii="Arial Narrow" w:hAnsi="Arial Narrow" w:cstheme="minorHAnsi"/>
                <w:sz w:val="20"/>
                <w:szCs w:val="20"/>
                <w:lang w:eastAsia="en-AU"/>
              </w:rPr>
              <w:t xml:space="preserve">[Product] is indicated for the management of severe pain where: </w:t>
            </w:r>
          </w:p>
          <w:p w14:paraId="05EF2641" w14:textId="77777777" w:rsidR="00B45270" w:rsidRPr="00CD30E2" w:rsidRDefault="00B45270" w:rsidP="00C835D3">
            <w:pPr>
              <w:ind w:left="720" w:firstLine="327"/>
              <w:rPr>
                <w:rFonts w:ascii="Arial Narrow" w:hAnsi="Arial Narrow" w:cstheme="minorHAnsi"/>
                <w:sz w:val="20"/>
                <w:szCs w:val="20"/>
                <w:lang w:eastAsia="en-AU"/>
              </w:rPr>
            </w:pPr>
            <w:r w:rsidRPr="00CD30E2">
              <w:rPr>
                <w:rFonts w:ascii="Arial Narrow" w:hAnsi="Arial Narrow" w:cstheme="minorHAnsi"/>
                <w:sz w:val="20"/>
                <w:szCs w:val="20"/>
                <w:lang w:eastAsia="en-AU"/>
              </w:rPr>
              <w:t xml:space="preserve">o other treatment options have failed, are contraindicated, not tolerated or are otherwise inappropriate to provide sufficient management of pain, and </w:t>
            </w:r>
          </w:p>
          <w:p w14:paraId="429B4216" w14:textId="77777777" w:rsidR="00B45270" w:rsidRPr="00CD30E2" w:rsidRDefault="00B45270">
            <w:pPr>
              <w:ind w:left="720" w:firstLine="327"/>
              <w:rPr>
                <w:rFonts w:ascii="Arial Narrow" w:hAnsi="Arial Narrow" w:cstheme="minorHAnsi"/>
                <w:sz w:val="20"/>
                <w:szCs w:val="20"/>
                <w:lang w:eastAsia="en-AU"/>
              </w:rPr>
            </w:pPr>
            <w:r w:rsidRPr="00CD30E2">
              <w:rPr>
                <w:rFonts w:ascii="Arial Narrow" w:hAnsi="Arial Narrow" w:cstheme="minorHAnsi"/>
                <w:sz w:val="20"/>
                <w:szCs w:val="20"/>
                <w:lang w:eastAsia="en-AU"/>
              </w:rPr>
              <w:t xml:space="preserve">o the pain is opioid-responsive, and </w:t>
            </w:r>
          </w:p>
          <w:p w14:paraId="594321DA" w14:textId="77777777" w:rsidR="00B45270" w:rsidRPr="00CD30E2" w:rsidRDefault="00B45270">
            <w:pPr>
              <w:ind w:left="720" w:firstLine="327"/>
              <w:rPr>
                <w:rFonts w:ascii="Arial Narrow" w:hAnsi="Arial Narrow" w:cstheme="minorHAnsi"/>
                <w:sz w:val="20"/>
                <w:szCs w:val="20"/>
                <w:lang w:eastAsia="en-AU"/>
              </w:rPr>
            </w:pPr>
            <w:proofErr w:type="gramStart"/>
            <w:r w:rsidRPr="00CD30E2">
              <w:rPr>
                <w:rFonts w:ascii="Arial Narrow" w:hAnsi="Arial Narrow" w:cstheme="minorHAnsi"/>
                <w:sz w:val="20"/>
                <w:szCs w:val="20"/>
                <w:lang w:eastAsia="en-AU"/>
              </w:rPr>
              <w:t>o</w:t>
            </w:r>
            <w:proofErr w:type="gramEnd"/>
            <w:r w:rsidRPr="00CD30E2">
              <w:rPr>
                <w:rFonts w:ascii="Arial Narrow" w:hAnsi="Arial Narrow" w:cstheme="minorHAnsi"/>
                <w:sz w:val="20"/>
                <w:szCs w:val="20"/>
                <w:lang w:eastAsia="en-AU"/>
              </w:rPr>
              <w:t xml:space="preserve"> requires daily, continuous, long term treatment. </w:t>
            </w:r>
          </w:p>
          <w:p w14:paraId="7F769C8E" w14:textId="77777777" w:rsidR="00B45270" w:rsidRPr="00CD30E2" w:rsidRDefault="00B45270">
            <w:pPr>
              <w:ind w:left="327"/>
              <w:rPr>
                <w:rFonts w:ascii="Arial Narrow" w:hAnsi="Arial Narrow" w:cstheme="minorHAnsi"/>
                <w:sz w:val="20"/>
                <w:szCs w:val="20"/>
                <w:lang w:eastAsia="en-AU"/>
              </w:rPr>
            </w:pPr>
            <w:r w:rsidRPr="00CD30E2">
              <w:rPr>
                <w:rFonts w:ascii="Arial Narrow" w:hAnsi="Arial Narrow" w:cstheme="minorHAnsi"/>
                <w:sz w:val="20"/>
                <w:szCs w:val="20"/>
                <w:lang w:eastAsia="en-AU"/>
              </w:rPr>
              <w:t xml:space="preserve">[Product] </w:t>
            </w:r>
            <w:proofErr w:type="gramStart"/>
            <w:r w:rsidRPr="00CD30E2">
              <w:rPr>
                <w:rFonts w:ascii="Arial Narrow" w:hAnsi="Arial Narrow" w:cstheme="minorHAnsi"/>
                <w:sz w:val="20"/>
                <w:szCs w:val="20"/>
                <w:lang w:eastAsia="en-AU"/>
              </w:rPr>
              <w:t>is not indicated</w:t>
            </w:r>
            <w:proofErr w:type="gramEnd"/>
            <w:r w:rsidRPr="00CD30E2">
              <w:rPr>
                <w:rFonts w:ascii="Arial Narrow" w:hAnsi="Arial Narrow" w:cstheme="minorHAnsi"/>
                <w:sz w:val="20"/>
                <w:szCs w:val="20"/>
                <w:lang w:eastAsia="en-AU"/>
              </w:rPr>
              <w:t xml:space="preserve"> for use in chronic non-cancer pain other than in exceptional circumstances. </w:t>
            </w:r>
          </w:p>
          <w:p w14:paraId="0460F72A" w14:textId="77777777" w:rsidR="00B45270" w:rsidRPr="00CD30E2" w:rsidRDefault="00B45270">
            <w:pPr>
              <w:ind w:left="327"/>
              <w:rPr>
                <w:rFonts w:ascii="Arial Narrow" w:hAnsi="Arial Narrow" w:cstheme="minorHAnsi"/>
                <w:sz w:val="20"/>
                <w:szCs w:val="20"/>
                <w:lang w:eastAsia="en-AU"/>
              </w:rPr>
            </w:pPr>
            <w:r w:rsidRPr="00CD30E2">
              <w:rPr>
                <w:rFonts w:ascii="Arial Narrow" w:hAnsi="Arial Narrow" w:cstheme="minorHAnsi"/>
                <w:sz w:val="20"/>
                <w:szCs w:val="20"/>
                <w:lang w:eastAsia="en-AU"/>
              </w:rPr>
              <w:t xml:space="preserve">[Product] </w:t>
            </w:r>
            <w:proofErr w:type="gramStart"/>
            <w:r w:rsidRPr="00CD30E2">
              <w:rPr>
                <w:rFonts w:ascii="Arial Narrow" w:hAnsi="Arial Narrow" w:cstheme="minorHAnsi"/>
                <w:sz w:val="20"/>
                <w:szCs w:val="20"/>
                <w:lang w:eastAsia="en-AU"/>
              </w:rPr>
              <w:t>is not indicated</w:t>
            </w:r>
            <w:proofErr w:type="gramEnd"/>
            <w:r w:rsidRPr="00CD30E2">
              <w:rPr>
                <w:rFonts w:ascii="Arial Narrow" w:hAnsi="Arial Narrow" w:cstheme="minorHAnsi"/>
                <w:sz w:val="20"/>
                <w:szCs w:val="20"/>
                <w:lang w:eastAsia="en-AU"/>
              </w:rPr>
              <w:t xml:space="preserve"> as an as-needed (PRN) analgesia. </w:t>
            </w:r>
          </w:p>
          <w:p w14:paraId="16F6B83D" w14:textId="77777777" w:rsidR="00B45270" w:rsidRDefault="00B45270">
            <w:pPr>
              <w:ind w:left="327"/>
              <w:rPr>
                <w:rFonts w:ascii="Arial Narrow" w:hAnsi="Arial Narrow" w:cstheme="minorHAnsi"/>
                <w:sz w:val="20"/>
                <w:szCs w:val="20"/>
                <w:lang w:eastAsia="en-AU"/>
              </w:rPr>
            </w:pPr>
            <w:r w:rsidRPr="00CD30E2">
              <w:rPr>
                <w:rFonts w:ascii="Arial Narrow" w:hAnsi="Arial Narrow" w:cstheme="minorHAnsi"/>
                <w:sz w:val="20"/>
                <w:szCs w:val="20"/>
                <w:lang w:eastAsia="en-AU"/>
              </w:rPr>
              <w:t>Not for use in opioid naïve patients. (Hydromorphone and fentanyl patches</w:t>
            </w:r>
            <w:r>
              <w:rPr>
                <w:rFonts w:ascii="Arial Narrow" w:hAnsi="Arial Narrow" w:cstheme="minorHAnsi"/>
                <w:sz w:val="20"/>
                <w:szCs w:val="20"/>
                <w:lang w:eastAsia="en-AU"/>
              </w:rPr>
              <w:t xml:space="preserve"> only</w:t>
            </w:r>
            <w:r w:rsidRPr="00CD30E2">
              <w:rPr>
                <w:rFonts w:ascii="Arial Narrow" w:hAnsi="Arial Narrow" w:cstheme="minorHAnsi"/>
                <w:sz w:val="20"/>
                <w:szCs w:val="20"/>
                <w:lang w:eastAsia="en-AU"/>
              </w:rPr>
              <w:t>)</w:t>
            </w:r>
          </w:p>
          <w:p w14:paraId="439E3B4B" w14:textId="77777777" w:rsidR="00B45270" w:rsidRDefault="00B45270">
            <w:pPr>
              <w:tabs>
                <w:tab w:val="right" w:pos="9072"/>
              </w:tabs>
              <w:ind w:left="1134" w:firstLine="327"/>
              <w:contextualSpacing/>
              <w:rPr>
                <w:rFonts w:ascii="Arial Narrow" w:hAnsi="Arial Narrow" w:cstheme="minorHAnsi"/>
                <w:b/>
                <w:bCs/>
                <w:sz w:val="20"/>
                <w:szCs w:val="20"/>
                <w:lang w:eastAsia="en-AU"/>
              </w:rPr>
            </w:pPr>
          </w:p>
          <w:p w14:paraId="212E6C36" w14:textId="5CD9AB7C" w:rsidR="00B45270" w:rsidRPr="00B45270" w:rsidRDefault="00B45270">
            <w:pPr>
              <w:tabs>
                <w:tab w:val="right" w:pos="9072"/>
              </w:tabs>
              <w:ind w:firstLine="327"/>
              <w:contextualSpacing/>
              <w:jc w:val="left"/>
              <w:rPr>
                <w:rFonts w:ascii="Arial Narrow" w:hAnsi="Arial Narrow" w:cstheme="minorHAnsi"/>
                <w:b/>
                <w:bCs/>
                <w:sz w:val="20"/>
                <w:szCs w:val="20"/>
                <w:lang w:eastAsia="en-AU"/>
              </w:rPr>
            </w:pPr>
            <w:r w:rsidRPr="00B45270">
              <w:rPr>
                <w:rFonts w:ascii="Arial Narrow" w:hAnsi="Arial Narrow" w:cstheme="minorHAnsi"/>
                <w:b/>
                <w:bCs/>
                <w:sz w:val="20"/>
                <w:szCs w:val="20"/>
                <w:lang w:eastAsia="en-AU"/>
              </w:rPr>
              <w:t>Immediate release (IR)</w:t>
            </w:r>
            <w:r w:rsidR="00B36EFC">
              <w:rPr>
                <w:rFonts w:ascii="Arial Narrow" w:hAnsi="Arial Narrow" w:cstheme="minorHAnsi"/>
                <w:b/>
                <w:bCs/>
                <w:sz w:val="20"/>
                <w:szCs w:val="20"/>
                <w:lang w:eastAsia="en-AU"/>
              </w:rPr>
              <w:t xml:space="preserve"> products</w:t>
            </w:r>
            <w:r w:rsidR="006654D4">
              <w:rPr>
                <w:rFonts w:ascii="Arial Narrow" w:hAnsi="Arial Narrow" w:cstheme="minorHAnsi"/>
                <w:b/>
                <w:bCs/>
                <w:sz w:val="20"/>
                <w:szCs w:val="20"/>
                <w:lang w:eastAsia="en-AU"/>
              </w:rPr>
              <w:t xml:space="preserve"> </w:t>
            </w:r>
            <w:r w:rsidR="006654D4" w:rsidRPr="00570D8B">
              <w:rPr>
                <w:rFonts w:ascii="Arial Narrow" w:hAnsi="Arial Narrow" w:cstheme="minorHAnsi"/>
                <w:bCs/>
                <w:sz w:val="20"/>
                <w:szCs w:val="20"/>
                <w:lang w:eastAsia="en-AU"/>
              </w:rPr>
              <w:t>(</w:t>
            </w:r>
            <w:r w:rsidR="003453C2" w:rsidRPr="00570D8B">
              <w:rPr>
                <w:rFonts w:ascii="Arial Narrow" w:hAnsi="Arial Narrow" w:cstheme="minorHAnsi"/>
                <w:bCs/>
                <w:sz w:val="20"/>
                <w:szCs w:val="20"/>
                <w:lang w:eastAsia="en-AU"/>
              </w:rPr>
              <w:t>buprenorphine injections and sublingual tablets, codeine tablets and injections, hydromorphone in</w:t>
            </w:r>
            <w:r w:rsidR="0050717B">
              <w:rPr>
                <w:rFonts w:ascii="Arial Narrow" w:hAnsi="Arial Narrow" w:cstheme="minorHAnsi"/>
                <w:bCs/>
                <w:sz w:val="20"/>
                <w:szCs w:val="20"/>
                <w:lang w:eastAsia="en-AU"/>
              </w:rPr>
              <w:t>j</w:t>
            </w:r>
            <w:r w:rsidR="003453C2" w:rsidRPr="00570D8B">
              <w:rPr>
                <w:rFonts w:ascii="Arial Narrow" w:hAnsi="Arial Narrow" w:cstheme="minorHAnsi"/>
                <w:bCs/>
                <w:sz w:val="20"/>
                <w:szCs w:val="20"/>
                <w:lang w:eastAsia="en-AU"/>
              </w:rPr>
              <w:t>ections</w:t>
            </w:r>
            <w:r w:rsidR="00B44DBF">
              <w:rPr>
                <w:rFonts w:ascii="Arial Narrow" w:hAnsi="Arial Narrow" w:cstheme="minorHAnsi"/>
                <w:bCs/>
                <w:sz w:val="20"/>
                <w:szCs w:val="20"/>
                <w:lang w:eastAsia="en-AU"/>
              </w:rPr>
              <w:t>,</w:t>
            </w:r>
            <w:r w:rsidR="003453C2" w:rsidRPr="00570D8B">
              <w:rPr>
                <w:rFonts w:ascii="Arial Narrow" w:hAnsi="Arial Narrow" w:cstheme="minorHAnsi"/>
                <w:bCs/>
                <w:sz w:val="20"/>
                <w:szCs w:val="20"/>
                <w:lang w:eastAsia="en-AU"/>
              </w:rPr>
              <w:t xml:space="preserve"> oral liquid and tablets, morphine oral solution</w:t>
            </w:r>
            <w:r w:rsidR="00B36EFC" w:rsidRPr="00570D8B">
              <w:rPr>
                <w:rFonts w:ascii="Arial Narrow" w:hAnsi="Arial Narrow" w:cstheme="minorHAnsi"/>
                <w:bCs/>
                <w:sz w:val="20"/>
                <w:szCs w:val="20"/>
                <w:lang w:eastAsia="en-AU"/>
              </w:rPr>
              <w:t xml:space="preserve"> and injections and tablets, oxycodone liquid and solution for infusion/injection, pethidine injection, tapentadol tablets, tramadol/paracetamol tablets</w:t>
            </w:r>
            <w:r w:rsidR="006654D4" w:rsidRPr="00570D8B">
              <w:rPr>
                <w:rFonts w:ascii="Arial Narrow" w:hAnsi="Arial Narrow" w:cstheme="minorHAnsi"/>
                <w:bCs/>
                <w:sz w:val="20"/>
                <w:szCs w:val="20"/>
                <w:lang w:eastAsia="en-AU"/>
              </w:rPr>
              <w:t>)</w:t>
            </w:r>
            <w:r w:rsidRPr="00570D8B">
              <w:rPr>
                <w:rFonts w:ascii="Arial Narrow" w:hAnsi="Arial Narrow" w:cstheme="minorHAnsi"/>
                <w:bCs/>
                <w:sz w:val="20"/>
                <w:szCs w:val="20"/>
                <w:lang w:eastAsia="en-AU"/>
              </w:rPr>
              <w:t>:</w:t>
            </w:r>
          </w:p>
          <w:p w14:paraId="0CFA1B67" w14:textId="77777777" w:rsidR="00B45270" w:rsidRPr="00CD30E2" w:rsidRDefault="00B45270">
            <w:pPr>
              <w:ind w:left="327"/>
              <w:rPr>
                <w:rFonts w:ascii="Arial Narrow" w:hAnsi="Arial Narrow" w:cstheme="minorHAnsi"/>
                <w:sz w:val="20"/>
                <w:szCs w:val="20"/>
                <w:lang w:eastAsia="en-AU"/>
              </w:rPr>
            </w:pPr>
            <w:r w:rsidRPr="00CD30E2">
              <w:rPr>
                <w:rFonts w:ascii="Arial Narrow" w:hAnsi="Arial Narrow" w:cstheme="minorHAnsi"/>
                <w:sz w:val="20"/>
                <w:szCs w:val="20"/>
                <w:lang w:eastAsia="en-AU"/>
              </w:rPr>
              <w:t xml:space="preserve">[Product] is indicated for the short-term management of severe pain for which other treatment options have failed, are contraindicated, </w:t>
            </w:r>
            <w:proofErr w:type="gramStart"/>
            <w:r w:rsidRPr="00CD30E2">
              <w:rPr>
                <w:rFonts w:ascii="Arial Narrow" w:hAnsi="Arial Narrow" w:cstheme="minorHAnsi"/>
                <w:sz w:val="20"/>
                <w:szCs w:val="20"/>
                <w:lang w:eastAsia="en-AU"/>
              </w:rPr>
              <w:t>not</w:t>
            </w:r>
            <w:proofErr w:type="gramEnd"/>
            <w:r w:rsidRPr="00CD30E2">
              <w:rPr>
                <w:rFonts w:ascii="Arial Narrow" w:hAnsi="Arial Narrow" w:cstheme="minorHAnsi"/>
                <w:sz w:val="20"/>
                <w:szCs w:val="20"/>
                <w:lang w:eastAsia="en-AU"/>
              </w:rPr>
              <w:t xml:space="preserve"> tolerated or are otherwise inappropriate to provide sufficient management of pain.</w:t>
            </w:r>
          </w:p>
          <w:p w14:paraId="2DDA1403" w14:textId="74157FCD" w:rsidR="007838C8" w:rsidRPr="00856CA1" w:rsidRDefault="007838C8" w:rsidP="00DF7CC7">
            <w:pPr>
              <w:pStyle w:val="TableText"/>
              <w:keepNext w:val="0"/>
            </w:pPr>
          </w:p>
        </w:tc>
        <w:tc>
          <w:tcPr>
            <w:tcW w:w="0" w:type="auto"/>
            <w:shd w:val="clear" w:color="auto" w:fill="auto"/>
            <w:tcMar>
              <w:top w:w="15" w:type="dxa"/>
              <w:left w:w="91" w:type="dxa"/>
              <w:bottom w:w="0" w:type="dxa"/>
              <w:right w:w="91" w:type="dxa"/>
            </w:tcMar>
          </w:tcPr>
          <w:p w14:paraId="7DC3F6FF" w14:textId="42AA77C0" w:rsidR="007838C8" w:rsidRPr="00973C00" w:rsidRDefault="007838C8" w:rsidP="00DF7CC7">
            <w:pPr>
              <w:pStyle w:val="TableText"/>
              <w:keepNext w:val="0"/>
              <w:rPr>
                <w:b/>
              </w:rPr>
            </w:pPr>
            <w:r w:rsidRPr="00973C00">
              <w:rPr>
                <w:b/>
              </w:rPr>
              <w:t>12-24 months from Oct 2019</w:t>
            </w:r>
          </w:p>
          <w:p w14:paraId="223E8731" w14:textId="3339DD04" w:rsidR="007838C8" w:rsidRPr="003C4498" w:rsidRDefault="00F73283" w:rsidP="00DF7CC7">
            <w:pPr>
              <w:pStyle w:val="TableText"/>
              <w:keepNext w:val="0"/>
            </w:pPr>
            <w:r>
              <w:t>The TGA has e</w:t>
            </w:r>
            <w:r w:rsidR="007838C8" w:rsidRPr="003C4498">
              <w:t xml:space="preserve">xisting powers to amend </w:t>
            </w:r>
            <w:r>
              <w:t xml:space="preserve">the </w:t>
            </w:r>
            <w:r w:rsidR="007838C8" w:rsidRPr="003C4498">
              <w:t>PI</w:t>
            </w:r>
            <w:r w:rsidR="00B45270">
              <w:t xml:space="preserve"> on the grounds of safety</w:t>
            </w:r>
            <w:r w:rsidR="007D3700">
              <w:t>.</w:t>
            </w:r>
          </w:p>
        </w:tc>
      </w:tr>
      <w:tr w:rsidR="00B36EFC" w:rsidRPr="003C4498" w14:paraId="4393A8B1" w14:textId="77777777" w:rsidTr="00DF7CC7">
        <w:trPr>
          <w:cantSplit/>
          <w:trHeight w:val="821"/>
        </w:trPr>
        <w:tc>
          <w:tcPr>
            <w:tcW w:w="0" w:type="auto"/>
            <w:shd w:val="clear" w:color="auto" w:fill="auto"/>
            <w:tcMar>
              <w:top w:w="15" w:type="dxa"/>
              <w:left w:w="91" w:type="dxa"/>
              <w:bottom w:w="0" w:type="dxa"/>
              <w:right w:w="91" w:type="dxa"/>
            </w:tcMar>
            <w:hideMark/>
          </w:tcPr>
          <w:p w14:paraId="58E6A79F" w14:textId="77F6B7E3" w:rsidR="007838C8" w:rsidRPr="00856CA1" w:rsidRDefault="00856CA1" w:rsidP="00630FB2">
            <w:pPr>
              <w:pStyle w:val="TableText"/>
              <w:keepNext w:val="0"/>
              <w:numPr>
                <w:ilvl w:val="0"/>
                <w:numId w:val="5"/>
              </w:numPr>
            </w:pPr>
            <w:r w:rsidRPr="00973C00">
              <w:rPr>
                <w:b/>
              </w:rPr>
              <w:t>B</w:t>
            </w:r>
            <w:r w:rsidR="007838C8" w:rsidRPr="00973C00">
              <w:rPr>
                <w:b/>
              </w:rPr>
              <w:t xml:space="preserve">oxed warnings </w:t>
            </w:r>
            <w:r w:rsidR="007838C8" w:rsidRPr="00856CA1">
              <w:t xml:space="preserve">and class statements in </w:t>
            </w:r>
            <w:r w:rsidR="007D3700">
              <w:t>the PI</w:t>
            </w:r>
            <w:r w:rsidR="007838C8" w:rsidRPr="00856CA1">
              <w:t xml:space="preserve"> </w:t>
            </w:r>
            <w:r w:rsidR="007D3700">
              <w:t>of</w:t>
            </w:r>
            <w:r w:rsidR="007D3700" w:rsidRPr="00856CA1">
              <w:t xml:space="preserve"> </w:t>
            </w:r>
            <w:r w:rsidR="007838C8" w:rsidRPr="00856CA1">
              <w:t>all prescription opioids</w:t>
            </w:r>
            <w:r w:rsidR="007D3700">
              <w:t>,</w:t>
            </w:r>
            <w:r w:rsidR="003A0E63">
              <w:t xml:space="preserve"> and s</w:t>
            </w:r>
            <w:r w:rsidR="003A0E63" w:rsidRPr="00856CA1">
              <w:t>tronger warnings in</w:t>
            </w:r>
            <w:r w:rsidR="007D3700">
              <w:t xml:space="preserve"> the</w:t>
            </w:r>
            <w:r w:rsidR="003A0E63" w:rsidRPr="00973C00">
              <w:rPr>
                <w:b/>
              </w:rPr>
              <w:t xml:space="preserve"> Consumer Medicines Information </w:t>
            </w:r>
            <w:r w:rsidR="003A0E63" w:rsidRPr="00A3670D">
              <w:t>(CMI)</w:t>
            </w:r>
            <w:r w:rsidR="003A0E63" w:rsidRPr="00973C00">
              <w:rPr>
                <w:b/>
              </w:rPr>
              <w:t>.</w:t>
            </w:r>
            <w:r w:rsidR="002C1329">
              <w:rPr>
                <w:b/>
              </w:rPr>
              <w:t xml:space="preserve"> </w:t>
            </w:r>
          </w:p>
        </w:tc>
        <w:tc>
          <w:tcPr>
            <w:tcW w:w="0" w:type="auto"/>
            <w:shd w:val="clear" w:color="auto" w:fill="auto"/>
            <w:tcMar>
              <w:top w:w="15" w:type="dxa"/>
              <w:left w:w="91" w:type="dxa"/>
              <w:bottom w:w="0" w:type="dxa"/>
              <w:right w:w="91" w:type="dxa"/>
            </w:tcMar>
            <w:hideMark/>
          </w:tcPr>
          <w:p w14:paraId="59B3FC99" w14:textId="77777777" w:rsidR="005B3CF4" w:rsidRPr="00973C00" w:rsidRDefault="005B3CF4" w:rsidP="0045694B">
            <w:pPr>
              <w:pStyle w:val="TableText"/>
              <w:keepNext w:val="0"/>
              <w:rPr>
                <w:b/>
              </w:rPr>
            </w:pPr>
            <w:r w:rsidRPr="00973C00">
              <w:rPr>
                <w:b/>
              </w:rPr>
              <w:t>12-24 months from Oct 2019</w:t>
            </w:r>
          </w:p>
          <w:p w14:paraId="1B4EDDAD" w14:textId="3B634A14" w:rsidR="003A0E63" w:rsidRPr="003C4498" w:rsidRDefault="00F73283" w:rsidP="00C835D3">
            <w:pPr>
              <w:pStyle w:val="TableText"/>
              <w:keepNext w:val="0"/>
            </w:pPr>
            <w:r>
              <w:t>The TGA has e</w:t>
            </w:r>
            <w:r w:rsidR="007838C8" w:rsidRPr="003C4498">
              <w:t xml:space="preserve">xisting powers to amend </w:t>
            </w:r>
            <w:r>
              <w:t xml:space="preserve">the </w:t>
            </w:r>
            <w:r w:rsidR="007838C8" w:rsidRPr="003C4498">
              <w:t>PI</w:t>
            </w:r>
            <w:r w:rsidR="00766EBB">
              <w:t xml:space="preserve"> on the grounds of safety.</w:t>
            </w:r>
            <w:r>
              <w:t xml:space="preserve"> </w:t>
            </w:r>
            <w:r w:rsidR="00766EBB">
              <w:t xml:space="preserve">There are existing </w:t>
            </w:r>
            <w:r w:rsidR="003A0E63" w:rsidRPr="003C4498">
              <w:t xml:space="preserve">regulations </w:t>
            </w:r>
            <w:r>
              <w:t xml:space="preserve">to </w:t>
            </w:r>
            <w:r w:rsidR="003A0E63" w:rsidRPr="003C4498">
              <w:t>ensure the CMI reflects</w:t>
            </w:r>
            <w:r w:rsidR="007D3700">
              <w:t xml:space="preserve"> the</w:t>
            </w:r>
            <w:r w:rsidR="003A0E63" w:rsidRPr="003C4498">
              <w:t xml:space="preserve"> PI</w:t>
            </w:r>
            <w:r>
              <w:t>.</w:t>
            </w:r>
            <w:r w:rsidR="003A0E63">
              <w:t xml:space="preserve"> </w:t>
            </w:r>
            <w:r>
              <w:t>H</w:t>
            </w:r>
            <w:r w:rsidR="007D3700">
              <w:t>owever,</w:t>
            </w:r>
            <w:r w:rsidR="007D3700" w:rsidRPr="003C4498">
              <w:t xml:space="preserve"> </w:t>
            </w:r>
            <w:r w:rsidR="003A0E63" w:rsidRPr="003C4498">
              <w:t xml:space="preserve">the </w:t>
            </w:r>
            <w:r w:rsidR="007D3700">
              <w:t xml:space="preserve">updating of the </w:t>
            </w:r>
            <w:r w:rsidR="003A0E63" w:rsidRPr="003C4498">
              <w:t>CMI content is the sponsor’s responsibility</w:t>
            </w:r>
            <w:r w:rsidR="007D3700">
              <w:t>.</w:t>
            </w:r>
          </w:p>
        </w:tc>
      </w:tr>
    </w:tbl>
    <w:p w14:paraId="1BAC5FAC" w14:textId="37354C19" w:rsidR="00A904AC" w:rsidRDefault="00A904AC" w:rsidP="00A904AC">
      <w:pPr>
        <w:pStyle w:val="TableFigureFooter"/>
      </w:pPr>
      <w:r>
        <w:t xml:space="preserve">Source: </w:t>
      </w:r>
      <w:hyperlink r:id="rId8" w:history="1">
        <w:r w:rsidRPr="004F27FC">
          <w:rPr>
            <w:rStyle w:val="Hyperlink"/>
          </w:rPr>
          <w:t>https://www.tga.gov.au/opioid-reforms-information-sponsors</w:t>
        </w:r>
      </w:hyperlink>
    </w:p>
    <w:p w14:paraId="1392C996" w14:textId="60D9B973" w:rsidR="0079326A" w:rsidRPr="00D72921" w:rsidRDefault="00D72921" w:rsidP="00D72921">
      <w:pPr>
        <w:pStyle w:val="2-SectionHeading"/>
      </w:pPr>
      <w:bookmarkStart w:id="4" w:name="_Toc32300572"/>
      <w:r>
        <w:t>S</w:t>
      </w:r>
      <w:r w:rsidR="002605F2" w:rsidRPr="00D72921">
        <w:t xml:space="preserve">maller pack sizes for </w:t>
      </w:r>
      <w:r w:rsidR="0079326A" w:rsidRPr="00D72921">
        <w:t>immediate-release opioids</w:t>
      </w:r>
      <w:bookmarkEnd w:id="4"/>
    </w:p>
    <w:p w14:paraId="667B0161" w14:textId="3BA892F8" w:rsidR="00447D58" w:rsidRPr="00447D58" w:rsidRDefault="0099513C" w:rsidP="00F33674">
      <w:pPr>
        <w:pStyle w:val="3-BodyText"/>
        <w:rPr>
          <w:rFonts w:eastAsia="Times New Roman"/>
          <w:lang w:eastAsia="en-AU"/>
        </w:rPr>
      </w:pPr>
      <w:r w:rsidRPr="002306F7">
        <w:t xml:space="preserve">Table 2 lists the products in </w:t>
      </w:r>
      <w:proofErr w:type="gramStart"/>
      <w:r w:rsidRPr="002306F7">
        <w:t>scope which</w:t>
      </w:r>
      <w:proofErr w:type="gramEnd"/>
      <w:r w:rsidRPr="002306F7">
        <w:t xml:space="preserve"> are currently listed on the PBS for pain management</w:t>
      </w:r>
      <w:r w:rsidR="005B3CF4">
        <w:t xml:space="preserve"> and would be appropriate for listing for acute pain. Items that are</w:t>
      </w:r>
      <w:r w:rsidR="00394793">
        <w:t xml:space="preserve"> </w:t>
      </w:r>
      <w:r w:rsidR="005B3CF4">
        <w:t xml:space="preserve">currently </w:t>
      </w:r>
      <w:r w:rsidR="00447D58">
        <w:t>restricted</w:t>
      </w:r>
      <w:r w:rsidR="00394793">
        <w:t xml:space="preserve"> </w:t>
      </w:r>
      <w:r w:rsidR="00AA6DF9">
        <w:t xml:space="preserve">for </w:t>
      </w:r>
      <w:r w:rsidR="00394793">
        <w:t>chronic pain</w:t>
      </w:r>
      <w:r w:rsidR="009575BF">
        <w:t>, pain due to cancer</w:t>
      </w:r>
      <w:r w:rsidR="00394793">
        <w:t xml:space="preserve"> or palliative care</w:t>
      </w:r>
      <w:r w:rsidR="005B3CF4">
        <w:t xml:space="preserve"> have not been included</w:t>
      </w:r>
      <w:r w:rsidR="007960C2" w:rsidRPr="002306F7">
        <w:t>.</w:t>
      </w:r>
    </w:p>
    <w:p w14:paraId="10FCC7C9" w14:textId="4EF97DDE" w:rsidR="0060444E" w:rsidRPr="00570D8B" w:rsidRDefault="00404580" w:rsidP="00F33674">
      <w:pPr>
        <w:pStyle w:val="3-BodyText"/>
      </w:pPr>
      <w:r w:rsidRPr="002306F7">
        <w:t xml:space="preserve">The </w:t>
      </w:r>
      <w:r w:rsidR="006A40F4">
        <w:t>Secretariat</w:t>
      </w:r>
      <w:r w:rsidRPr="002306F7">
        <w:t xml:space="preserve"> ha</w:t>
      </w:r>
      <w:r w:rsidR="00360577">
        <w:t>d</w:t>
      </w:r>
      <w:r w:rsidRPr="002306F7">
        <w:t xml:space="preserve"> proposed new </w:t>
      </w:r>
      <w:r w:rsidR="00093537">
        <w:t>R</w:t>
      </w:r>
      <w:r w:rsidR="00360577">
        <w:t xml:space="preserve">estricted </w:t>
      </w:r>
      <w:r w:rsidR="00093537">
        <w:t>B</w:t>
      </w:r>
      <w:r w:rsidR="00360577">
        <w:t xml:space="preserve">enefit </w:t>
      </w:r>
      <w:r w:rsidRPr="002306F7">
        <w:t xml:space="preserve">listings with a smaller </w:t>
      </w:r>
      <w:r w:rsidR="002306F7">
        <w:t>MQ</w:t>
      </w:r>
      <w:r w:rsidR="00394793">
        <w:t xml:space="preserve"> (as per Table 2)</w:t>
      </w:r>
      <w:r w:rsidR="00987523">
        <w:t>,</w:t>
      </w:r>
      <w:r w:rsidR="007E29CA">
        <w:t xml:space="preserve"> </w:t>
      </w:r>
      <w:r w:rsidR="000025D3">
        <w:t xml:space="preserve">with </w:t>
      </w:r>
      <w:r w:rsidR="007E29CA">
        <w:t>no repeats</w:t>
      </w:r>
      <w:r w:rsidR="000025D3">
        <w:t xml:space="preserve"> or increased quantities</w:t>
      </w:r>
      <w:r w:rsidR="0060444E">
        <w:t>. The proposed clinical criteria</w:t>
      </w:r>
      <w:r w:rsidRPr="002306F7">
        <w:t xml:space="preserve"> </w:t>
      </w:r>
      <w:r w:rsidR="00360577" w:rsidRPr="002306F7">
        <w:t>indicat</w:t>
      </w:r>
      <w:r w:rsidR="0060444E">
        <w:t>ed</w:t>
      </w:r>
      <w:r w:rsidR="00360577" w:rsidRPr="002306F7">
        <w:t xml:space="preserve"> </w:t>
      </w:r>
      <w:r w:rsidR="00447D58">
        <w:t xml:space="preserve">that </w:t>
      </w:r>
      <w:r w:rsidRPr="002306F7">
        <w:t xml:space="preserve">the </w:t>
      </w:r>
      <w:r w:rsidR="00447D58">
        <w:t xml:space="preserve">smaller quantity is intended for </w:t>
      </w:r>
      <w:r w:rsidR="0060444E">
        <w:t xml:space="preserve">short-term therapy of acute severe disabling </w:t>
      </w:r>
      <w:proofErr w:type="gramStart"/>
      <w:r w:rsidR="0060444E">
        <w:t>pain which</w:t>
      </w:r>
      <w:proofErr w:type="gramEnd"/>
      <w:r w:rsidR="0060444E">
        <w:t xml:space="preserve"> is unresponsive to non-opioid analgesics in patients who have previously experienced inadequate pain relief following maximum tolerated doses of </w:t>
      </w:r>
      <w:r w:rsidR="0060444E">
        <w:lastRenderedPageBreak/>
        <w:t>non-opioid treatments or who are unable to use other non-opioid treatments due to contraindications or intolerance.</w:t>
      </w:r>
      <w:r w:rsidR="00360577">
        <w:t xml:space="preserve"> </w:t>
      </w:r>
    </w:p>
    <w:p w14:paraId="5BFC7D8B" w14:textId="0F495887" w:rsidR="00E33DCE" w:rsidRDefault="00F14F26" w:rsidP="00F33674">
      <w:pPr>
        <w:pStyle w:val="3-BodyText"/>
      </w:pPr>
      <w:r w:rsidRPr="00217F1C">
        <w:t xml:space="preserve">Section 85D of the Act requires that </w:t>
      </w:r>
      <w:r w:rsidRPr="004E3B9F">
        <w:t xml:space="preserve">different pack </w:t>
      </w:r>
      <w:proofErr w:type="gramStart"/>
      <w:r w:rsidRPr="004E3B9F">
        <w:t>sizes</w:t>
      </w:r>
      <w:proofErr w:type="gramEnd"/>
      <w:r w:rsidRPr="004E3B9F">
        <w:t xml:space="preserve"> of the same pharmaceutical item are to be priced proportionally. The </w:t>
      </w:r>
      <w:r w:rsidR="006A40F4">
        <w:t>Secretariat</w:t>
      </w:r>
      <w:r w:rsidRPr="004E3B9F">
        <w:t xml:space="preserve"> </w:t>
      </w:r>
      <w:r w:rsidR="006A40F4">
        <w:t>note</w:t>
      </w:r>
      <w:r w:rsidR="00964FA3">
        <w:t>d</w:t>
      </w:r>
      <w:r w:rsidRPr="004E3B9F">
        <w:t xml:space="preserve"> that the</w:t>
      </w:r>
      <w:r w:rsidR="00DC6C19">
        <w:t xml:space="preserve"> ex-manufacturer</w:t>
      </w:r>
      <w:r w:rsidRPr="004E3B9F">
        <w:t xml:space="preserve"> price</w:t>
      </w:r>
      <w:r>
        <w:t xml:space="preserve"> for the </w:t>
      </w:r>
      <w:r w:rsidR="00DC6C19">
        <w:t xml:space="preserve">smaller </w:t>
      </w:r>
      <w:r>
        <w:t xml:space="preserve">MQ </w:t>
      </w:r>
      <w:r w:rsidR="006A40F4">
        <w:t xml:space="preserve">would </w:t>
      </w:r>
      <w:r w:rsidR="00964FA3">
        <w:t xml:space="preserve">need to </w:t>
      </w:r>
      <w:proofErr w:type="gramStart"/>
      <w:r>
        <w:t xml:space="preserve">be </w:t>
      </w:r>
      <w:r w:rsidR="009541D6">
        <w:t>agreed</w:t>
      </w:r>
      <w:proofErr w:type="gramEnd"/>
      <w:r w:rsidR="009541D6">
        <w:t xml:space="preserve"> </w:t>
      </w:r>
      <w:r w:rsidR="00093537">
        <w:t>between the Government and the relevant sponsors</w:t>
      </w:r>
      <w:r>
        <w:t xml:space="preserve"> in line with </w:t>
      </w:r>
      <w:r w:rsidR="005B3CF4">
        <w:t>this requirement</w:t>
      </w:r>
      <w:r>
        <w:t>, as per the PBAC’s July 2019 recommendation for o</w:t>
      </w:r>
      <w:r w:rsidR="00003225">
        <w:t>xycodone 5 mg (see paragraph 2.2</w:t>
      </w:r>
      <w:r>
        <w:t>).</w:t>
      </w:r>
    </w:p>
    <w:p w14:paraId="2AA20A90" w14:textId="710F74CB" w:rsidR="00E33DCE" w:rsidRDefault="00934804" w:rsidP="00F33674">
      <w:pPr>
        <w:pStyle w:val="3-BodyText"/>
      </w:pPr>
      <w:r>
        <w:t xml:space="preserve">Sponsors </w:t>
      </w:r>
      <w:r w:rsidR="00351A68">
        <w:t xml:space="preserve">would </w:t>
      </w:r>
      <w:r>
        <w:t>be required to register</w:t>
      </w:r>
      <w:r w:rsidR="00FA0680">
        <w:t xml:space="preserve"> </w:t>
      </w:r>
      <w:r>
        <w:t xml:space="preserve">the new smaller pack sizes with the TGA within 24 months from January 2020. </w:t>
      </w:r>
      <w:r w:rsidR="00FA0680">
        <w:t xml:space="preserve">However, the TGA does not have existing powers to require sponsors to supply the smaller pack sizes. </w:t>
      </w:r>
      <w:r w:rsidR="007960C2" w:rsidRPr="00007462">
        <w:t xml:space="preserve">Prior to the smaller pack sizes being available, the </w:t>
      </w:r>
      <w:r w:rsidR="006A40F4">
        <w:t>Secretariat</w:t>
      </w:r>
      <w:r w:rsidR="007960C2" w:rsidRPr="00007462">
        <w:t xml:space="preserve"> </w:t>
      </w:r>
      <w:r w:rsidR="005B3CF4">
        <w:t>propose</w:t>
      </w:r>
      <w:r w:rsidR="00351A68">
        <w:t>d</w:t>
      </w:r>
      <w:r w:rsidR="00FA0680">
        <w:t xml:space="preserve"> </w:t>
      </w:r>
      <w:r w:rsidR="007960C2" w:rsidRPr="00007462">
        <w:t xml:space="preserve">that </w:t>
      </w:r>
      <w:r w:rsidR="00967E66">
        <w:t>the new listings</w:t>
      </w:r>
      <w:r w:rsidR="007960C2" w:rsidRPr="00007462">
        <w:t xml:space="preserve"> </w:t>
      </w:r>
      <w:proofErr w:type="gramStart"/>
      <w:r w:rsidR="007960C2" w:rsidRPr="00007462">
        <w:t>be created</w:t>
      </w:r>
      <w:proofErr w:type="gramEnd"/>
      <w:r w:rsidR="007960C2" w:rsidRPr="00007462">
        <w:t xml:space="preserve"> at the </w:t>
      </w:r>
      <w:r w:rsidR="00DC6C19">
        <w:t>smaller</w:t>
      </w:r>
      <w:r w:rsidR="007960C2" w:rsidRPr="00007462">
        <w:t xml:space="preserve"> </w:t>
      </w:r>
      <w:r w:rsidR="002306F7" w:rsidRPr="00007462">
        <w:t>MQ</w:t>
      </w:r>
      <w:r w:rsidR="00A50A0F" w:rsidRPr="00007462">
        <w:t xml:space="preserve"> for the drugs </w:t>
      </w:r>
      <w:r w:rsidR="005B3CF4">
        <w:t xml:space="preserve">that have a </w:t>
      </w:r>
      <w:r w:rsidR="004E3B9F">
        <w:t>tablet or capsule form</w:t>
      </w:r>
      <w:r w:rsidR="00404580" w:rsidRPr="00007462">
        <w:t>, as outlined in Table 2</w:t>
      </w:r>
      <w:r w:rsidR="005B3CF4">
        <w:t>. This</w:t>
      </w:r>
      <w:r w:rsidR="00FA0680">
        <w:t xml:space="preserve"> would require pharmacists to break the larger available packs</w:t>
      </w:r>
      <w:r w:rsidR="00E33DCE">
        <w:t>.</w:t>
      </w:r>
      <w:r w:rsidR="0042426D">
        <w:t xml:space="preserve"> </w:t>
      </w:r>
    </w:p>
    <w:p w14:paraId="1590C549" w14:textId="355F7C13" w:rsidR="00F838A9" w:rsidRDefault="00E30306" w:rsidP="00F33674">
      <w:pPr>
        <w:pStyle w:val="3-BodyText"/>
        <w:sectPr w:rsidR="00F838A9" w:rsidSect="00DE4B23">
          <w:headerReference w:type="default" r:id="rId9"/>
          <w:footerReference w:type="default" r:id="rId10"/>
          <w:pgSz w:w="11906" w:h="16838"/>
          <w:pgMar w:top="1440" w:right="1440" w:bottom="1440" w:left="1440" w:header="1440" w:footer="1440" w:gutter="0"/>
          <w:cols w:space="708"/>
          <w:docGrid w:linePitch="360"/>
        </w:sectPr>
      </w:pPr>
      <w:r w:rsidRPr="00E30306">
        <w:t>The Government remunerates pharmacists if they need to dispense a quantity less than the manufacturer’s pack size listed on the PBS. The remuneration comprises of a wastage fee based on the proportion of the pack supplied, in addition to the applicable dispensing fee, dangerous drug fee (if applicable), and appropriate container fee</w:t>
      </w:r>
      <w:r w:rsidR="005B3CF4" w:rsidRPr="00E30306">
        <w:t xml:space="preserve">. </w:t>
      </w:r>
      <w:r w:rsidR="00460278" w:rsidRPr="00E30306">
        <w:t xml:space="preserve">In some </w:t>
      </w:r>
      <w:r w:rsidR="00460278" w:rsidRPr="004E3B9F">
        <w:t xml:space="preserve">cases, the DPMQ for the </w:t>
      </w:r>
      <w:r w:rsidR="000575F8">
        <w:t>broken pack</w:t>
      </w:r>
      <w:r w:rsidR="00724C80">
        <w:t xml:space="preserve"> </w:t>
      </w:r>
      <w:r w:rsidR="005B3CF4">
        <w:t xml:space="preserve">is </w:t>
      </w:r>
      <w:r w:rsidR="00460278" w:rsidRPr="004E3B9F">
        <w:t xml:space="preserve">larger than the DPMQ for </w:t>
      </w:r>
      <w:r w:rsidR="00460278">
        <w:t xml:space="preserve">the current </w:t>
      </w:r>
      <w:r w:rsidR="00FA521D">
        <w:t>MQ</w:t>
      </w:r>
      <w:r w:rsidR="00460278">
        <w:t xml:space="preserve">. </w:t>
      </w:r>
      <w:r w:rsidR="00460278" w:rsidRPr="004E3B9F">
        <w:t xml:space="preserve">The DPMQ for the </w:t>
      </w:r>
      <w:r w:rsidR="00460278">
        <w:t xml:space="preserve">new listings with the </w:t>
      </w:r>
      <w:r w:rsidR="00724C80">
        <w:t>smaller</w:t>
      </w:r>
      <w:r w:rsidR="00460278" w:rsidRPr="004E3B9F">
        <w:t xml:space="preserve"> MQ </w:t>
      </w:r>
      <w:r w:rsidR="00460278">
        <w:t>(</w:t>
      </w:r>
      <w:r w:rsidR="00460278" w:rsidRPr="004E3B9F">
        <w:t>including the broken pack fee</w:t>
      </w:r>
      <w:r w:rsidR="005B3CF4">
        <w:t>s</w:t>
      </w:r>
      <w:r w:rsidR="00460278">
        <w:t>)</w:t>
      </w:r>
      <w:r w:rsidR="00460278" w:rsidRPr="004E3B9F">
        <w:t xml:space="preserve"> </w:t>
      </w:r>
      <w:r w:rsidR="00460278">
        <w:t xml:space="preserve">for each of the opioid products </w:t>
      </w:r>
      <w:r w:rsidR="00460278" w:rsidRPr="004E3B9F">
        <w:t>is provided in Table</w:t>
      </w:r>
      <w:r w:rsidR="00460278">
        <w:t> </w:t>
      </w:r>
      <w:r w:rsidR="00460278" w:rsidRPr="004E3B9F">
        <w:t xml:space="preserve">2. </w:t>
      </w:r>
    </w:p>
    <w:p w14:paraId="56DBEC7A" w14:textId="15609CA3" w:rsidR="00C0045A" w:rsidRPr="00DE12BC" w:rsidRDefault="0099513C" w:rsidP="00007462">
      <w:pPr>
        <w:pStyle w:val="TableFigureHeading"/>
      </w:pPr>
      <w:r w:rsidRPr="00DE12BC">
        <w:lastRenderedPageBreak/>
        <w:t xml:space="preserve">Table 2: PBS listed products in scope for </w:t>
      </w:r>
      <w:r w:rsidR="00F80F70">
        <w:t>the smaller pack sizes regulatory measure</w:t>
      </w:r>
      <w:r w:rsidR="007960C2">
        <w:t xml:space="preserve"> </w:t>
      </w:r>
    </w:p>
    <w:tbl>
      <w:tblPr>
        <w:tblW w:w="4978" w:type="pct"/>
        <w:tblLayout w:type="fixed"/>
        <w:tblLook w:val="04A0" w:firstRow="1" w:lastRow="0" w:firstColumn="1" w:lastColumn="0" w:noHBand="0" w:noVBand="1"/>
      </w:tblPr>
      <w:tblGrid>
        <w:gridCol w:w="1556"/>
        <w:gridCol w:w="3117"/>
        <w:gridCol w:w="970"/>
        <w:gridCol w:w="1047"/>
        <w:gridCol w:w="1047"/>
        <w:gridCol w:w="1714"/>
        <w:gridCol w:w="1458"/>
        <w:gridCol w:w="1278"/>
        <w:gridCol w:w="1700"/>
      </w:tblGrid>
      <w:tr w:rsidR="00791AAC" w:rsidRPr="00A50A0F" w14:paraId="09A9D509" w14:textId="7766BD5C" w:rsidTr="00DF7CC7">
        <w:trPr>
          <w:trHeight w:val="715"/>
          <w:tblHeader/>
        </w:trPr>
        <w:tc>
          <w:tcPr>
            <w:tcW w:w="560" w:type="pct"/>
            <w:tcBorders>
              <w:top w:val="single" w:sz="4" w:space="0" w:color="auto"/>
              <w:left w:val="single" w:sz="4" w:space="0" w:color="auto"/>
              <w:bottom w:val="single" w:sz="4" w:space="0" w:color="auto"/>
              <w:right w:val="single" w:sz="4" w:space="0" w:color="auto"/>
            </w:tcBorders>
            <w:shd w:val="clear" w:color="auto" w:fill="auto"/>
            <w:hideMark/>
          </w:tcPr>
          <w:p w14:paraId="56ED7810" w14:textId="77777777" w:rsidR="00791AAC" w:rsidRPr="00DE12BC" w:rsidRDefault="00791AAC" w:rsidP="00E52934">
            <w:pPr>
              <w:pStyle w:val="In-tableHeading"/>
              <w:keepNext w:val="0"/>
              <w:jc w:val="center"/>
              <w:rPr>
                <w:rFonts w:eastAsia="Times New Roman"/>
                <w:lang w:eastAsia="en-AU"/>
              </w:rPr>
            </w:pPr>
            <w:r w:rsidRPr="00DE12BC">
              <w:rPr>
                <w:rFonts w:eastAsia="Times New Roman"/>
                <w:lang w:eastAsia="en-AU"/>
              </w:rPr>
              <w:t>LI Drug</w:t>
            </w:r>
          </w:p>
        </w:tc>
        <w:tc>
          <w:tcPr>
            <w:tcW w:w="1122" w:type="pct"/>
            <w:tcBorders>
              <w:top w:val="single" w:sz="4" w:space="0" w:color="auto"/>
              <w:left w:val="nil"/>
              <w:bottom w:val="single" w:sz="4" w:space="0" w:color="auto"/>
              <w:right w:val="single" w:sz="4" w:space="0" w:color="auto"/>
            </w:tcBorders>
            <w:shd w:val="clear" w:color="auto" w:fill="auto"/>
            <w:hideMark/>
          </w:tcPr>
          <w:p w14:paraId="6F23D2C7" w14:textId="4362B5D0" w:rsidR="00791AAC" w:rsidRPr="00DE12BC" w:rsidRDefault="00791AAC" w:rsidP="00E52934">
            <w:pPr>
              <w:pStyle w:val="In-tableHeading"/>
              <w:keepNext w:val="0"/>
              <w:jc w:val="center"/>
              <w:rPr>
                <w:rFonts w:eastAsia="Times New Roman"/>
                <w:lang w:eastAsia="en-AU"/>
              </w:rPr>
            </w:pPr>
            <w:r w:rsidRPr="00DE12BC">
              <w:rPr>
                <w:rFonts w:eastAsia="Times New Roman"/>
                <w:lang w:eastAsia="en-AU"/>
              </w:rPr>
              <w:t>LI Form</w:t>
            </w:r>
            <w:r>
              <w:rPr>
                <w:rFonts w:eastAsia="Times New Roman"/>
                <w:lang w:eastAsia="en-AU"/>
              </w:rPr>
              <w:t>s</w:t>
            </w:r>
          </w:p>
        </w:tc>
        <w:tc>
          <w:tcPr>
            <w:tcW w:w="349" w:type="pct"/>
            <w:tcBorders>
              <w:top w:val="single" w:sz="4" w:space="0" w:color="auto"/>
              <w:left w:val="nil"/>
              <w:bottom w:val="single" w:sz="4" w:space="0" w:color="auto"/>
              <w:right w:val="single" w:sz="4" w:space="0" w:color="auto"/>
            </w:tcBorders>
          </w:tcPr>
          <w:p w14:paraId="00B897F1" w14:textId="53CE3132" w:rsidR="00791AAC" w:rsidRPr="00A50A0F" w:rsidRDefault="00791AAC" w:rsidP="00E52934">
            <w:pPr>
              <w:pStyle w:val="In-tableHeading"/>
              <w:keepNext w:val="0"/>
              <w:jc w:val="center"/>
              <w:rPr>
                <w:rFonts w:eastAsia="Times New Roman"/>
                <w:lang w:eastAsia="en-AU"/>
              </w:rPr>
            </w:pPr>
            <w:r>
              <w:rPr>
                <w:rFonts w:eastAsia="Times New Roman"/>
                <w:lang w:eastAsia="en-AU"/>
              </w:rPr>
              <w:t>PBS item codes</w:t>
            </w:r>
          </w:p>
        </w:tc>
        <w:tc>
          <w:tcPr>
            <w:tcW w:w="377" w:type="pct"/>
            <w:tcBorders>
              <w:top w:val="single" w:sz="4" w:space="0" w:color="auto"/>
              <w:left w:val="single" w:sz="4" w:space="0" w:color="auto"/>
              <w:bottom w:val="single" w:sz="4" w:space="0" w:color="auto"/>
              <w:right w:val="single" w:sz="4" w:space="0" w:color="auto"/>
            </w:tcBorders>
          </w:tcPr>
          <w:p w14:paraId="57981314" w14:textId="3BF9BBF5" w:rsidR="00791AAC" w:rsidRDefault="00791AAC" w:rsidP="00E52934">
            <w:pPr>
              <w:pStyle w:val="In-tableHeading"/>
              <w:keepNext w:val="0"/>
              <w:jc w:val="center"/>
              <w:rPr>
                <w:rFonts w:eastAsia="Times New Roman"/>
                <w:lang w:eastAsia="en-AU"/>
              </w:rPr>
            </w:pPr>
            <w:r>
              <w:rPr>
                <w:rFonts w:eastAsia="Times New Roman"/>
                <w:lang w:eastAsia="en-AU"/>
              </w:rPr>
              <w:t>MQ</w:t>
            </w:r>
            <w:r w:rsidRPr="007277D9">
              <w:rPr>
                <w:rFonts w:eastAsia="Times New Roman"/>
                <w:vertAlign w:val="superscript"/>
                <w:lang w:eastAsia="en-AU"/>
              </w:rPr>
              <w:t>A</w:t>
            </w:r>
          </w:p>
        </w:tc>
        <w:tc>
          <w:tcPr>
            <w:tcW w:w="377" w:type="pct"/>
            <w:tcBorders>
              <w:top w:val="single" w:sz="4" w:space="0" w:color="auto"/>
              <w:left w:val="single" w:sz="4" w:space="0" w:color="auto"/>
              <w:bottom w:val="single" w:sz="4" w:space="0" w:color="auto"/>
              <w:right w:val="single" w:sz="4" w:space="0" w:color="auto"/>
            </w:tcBorders>
          </w:tcPr>
          <w:p w14:paraId="10F43590" w14:textId="77777777" w:rsidR="00F838A9" w:rsidRDefault="00791AAC" w:rsidP="00E52934">
            <w:pPr>
              <w:pStyle w:val="In-tableHeading"/>
              <w:keepNext w:val="0"/>
              <w:jc w:val="center"/>
              <w:rPr>
                <w:rFonts w:eastAsia="Times New Roman"/>
                <w:lang w:eastAsia="en-AU"/>
              </w:rPr>
            </w:pPr>
            <w:r>
              <w:rPr>
                <w:rFonts w:eastAsia="Times New Roman"/>
                <w:lang w:eastAsia="en-AU"/>
              </w:rPr>
              <w:t xml:space="preserve">DPMQ </w:t>
            </w:r>
          </w:p>
          <w:p w14:paraId="3C041612" w14:textId="0D44516B" w:rsidR="00791AAC" w:rsidRPr="00DE12BC" w:rsidRDefault="00791AAC" w:rsidP="00E52934">
            <w:pPr>
              <w:pStyle w:val="In-tableHeading"/>
              <w:keepNext w:val="0"/>
              <w:jc w:val="center"/>
              <w:rPr>
                <w:rFonts w:eastAsia="Times New Roman"/>
                <w:lang w:eastAsia="en-AU"/>
              </w:rPr>
            </w:pPr>
            <w:r w:rsidRPr="00C84229">
              <w:rPr>
                <w:rFonts w:eastAsia="Times New Roman"/>
                <w:b w:val="0"/>
                <w:lang w:eastAsia="en-AU"/>
              </w:rPr>
              <w:t>(as at 1 Dec 2019)</w:t>
            </w:r>
          </w:p>
        </w:tc>
        <w:tc>
          <w:tcPr>
            <w:tcW w:w="617" w:type="pct"/>
            <w:tcBorders>
              <w:top w:val="single" w:sz="4" w:space="0" w:color="auto"/>
              <w:left w:val="nil"/>
              <w:bottom w:val="single" w:sz="4" w:space="0" w:color="auto"/>
              <w:right w:val="single" w:sz="4" w:space="0" w:color="auto"/>
            </w:tcBorders>
            <w:shd w:val="clear" w:color="auto" w:fill="auto"/>
            <w:hideMark/>
          </w:tcPr>
          <w:p w14:paraId="3EA26C8E" w14:textId="303FE0EF" w:rsidR="00791AAC" w:rsidRPr="00DE12BC" w:rsidRDefault="00791AAC" w:rsidP="00E52934">
            <w:pPr>
              <w:pStyle w:val="In-tableHeading"/>
              <w:keepNext w:val="0"/>
              <w:jc w:val="center"/>
              <w:rPr>
                <w:rFonts w:eastAsia="Times New Roman"/>
                <w:lang w:eastAsia="en-AU"/>
              </w:rPr>
            </w:pPr>
            <w:r w:rsidRPr="00DE12BC">
              <w:rPr>
                <w:rFonts w:eastAsia="Times New Roman"/>
                <w:lang w:eastAsia="en-AU"/>
              </w:rPr>
              <w:t xml:space="preserve">Tablets per blister </w:t>
            </w:r>
            <w:r>
              <w:rPr>
                <w:rFonts w:eastAsia="Times New Roman"/>
                <w:lang w:eastAsia="en-AU"/>
              </w:rPr>
              <w:t xml:space="preserve">in currently available </w:t>
            </w:r>
            <w:r w:rsidRPr="00DE12BC">
              <w:rPr>
                <w:rFonts w:eastAsia="Times New Roman"/>
                <w:lang w:eastAsia="en-AU"/>
              </w:rPr>
              <w:t>pack</w:t>
            </w:r>
            <w:r>
              <w:rPr>
                <w:rFonts w:eastAsia="Times New Roman"/>
                <w:lang w:eastAsia="en-AU"/>
              </w:rPr>
              <w:t xml:space="preserve"> size</w:t>
            </w:r>
          </w:p>
        </w:tc>
        <w:tc>
          <w:tcPr>
            <w:tcW w:w="525" w:type="pct"/>
            <w:tcBorders>
              <w:top w:val="single" w:sz="4" w:space="0" w:color="auto"/>
              <w:left w:val="nil"/>
              <w:bottom w:val="single" w:sz="4" w:space="0" w:color="auto"/>
              <w:right w:val="single" w:sz="4" w:space="0" w:color="auto"/>
            </w:tcBorders>
            <w:shd w:val="clear" w:color="auto" w:fill="auto"/>
            <w:hideMark/>
          </w:tcPr>
          <w:p w14:paraId="782B49F1" w14:textId="68F831D1" w:rsidR="00791AAC" w:rsidRPr="00DE12BC" w:rsidRDefault="00791AAC" w:rsidP="00E52934">
            <w:pPr>
              <w:pStyle w:val="In-tableHeading"/>
              <w:keepNext w:val="0"/>
              <w:jc w:val="center"/>
              <w:rPr>
                <w:rFonts w:eastAsia="Times New Roman"/>
                <w:lang w:eastAsia="en-AU"/>
              </w:rPr>
            </w:pPr>
            <w:r w:rsidRPr="00A50A0F">
              <w:rPr>
                <w:rFonts w:eastAsia="Times New Roman"/>
                <w:lang w:eastAsia="en-AU"/>
              </w:rPr>
              <w:t>TGA p</w:t>
            </w:r>
            <w:r w:rsidRPr="00DE12BC">
              <w:rPr>
                <w:rFonts w:eastAsia="Times New Roman"/>
                <w:lang w:eastAsia="en-AU"/>
              </w:rPr>
              <w:t>roposed new pack size</w:t>
            </w:r>
            <w:r w:rsidRPr="00791AAC">
              <w:rPr>
                <w:rFonts w:eastAsia="Times New Roman"/>
                <w:vertAlign w:val="superscript"/>
                <w:lang w:eastAsia="en-AU"/>
              </w:rPr>
              <w:t>B</w:t>
            </w:r>
          </w:p>
        </w:tc>
        <w:tc>
          <w:tcPr>
            <w:tcW w:w="460" w:type="pct"/>
            <w:tcBorders>
              <w:top w:val="single" w:sz="4" w:space="0" w:color="auto"/>
              <w:left w:val="nil"/>
              <w:bottom w:val="single" w:sz="4" w:space="0" w:color="auto"/>
              <w:right w:val="single" w:sz="4" w:space="0" w:color="auto"/>
            </w:tcBorders>
            <w:shd w:val="clear" w:color="auto" w:fill="auto"/>
            <w:hideMark/>
          </w:tcPr>
          <w:p w14:paraId="2FC091E5" w14:textId="765EDC46" w:rsidR="00791AAC" w:rsidRPr="00DE12BC" w:rsidRDefault="00791AAC" w:rsidP="00724C80">
            <w:pPr>
              <w:pStyle w:val="In-tableHeading"/>
              <w:keepNext w:val="0"/>
              <w:jc w:val="center"/>
              <w:rPr>
                <w:rFonts w:eastAsia="Times New Roman"/>
                <w:lang w:eastAsia="en-AU"/>
              </w:rPr>
            </w:pPr>
            <w:r>
              <w:rPr>
                <w:rFonts w:eastAsia="Times New Roman"/>
                <w:lang w:eastAsia="en-AU"/>
              </w:rPr>
              <w:t xml:space="preserve">Proposed </w:t>
            </w:r>
            <w:r w:rsidR="00724C80">
              <w:rPr>
                <w:rFonts w:eastAsia="Times New Roman"/>
                <w:lang w:eastAsia="en-AU"/>
              </w:rPr>
              <w:t>smaller</w:t>
            </w:r>
            <w:r>
              <w:rPr>
                <w:rFonts w:eastAsia="Times New Roman"/>
                <w:lang w:eastAsia="en-AU"/>
              </w:rPr>
              <w:t xml:space="preserve"> MQ</w:t>
            </w:r>
            <w:r w:rsidRPr="007C6860">
              <w:rPr>
                <w:rFonts w:eastAsia="Times New Roman"/>
                <w:vertAlign w:val="superscript"/>
                <w:lang w:eastAsia="en-AU"/>
              </w:rPr>
              <w:t>B</w:t>
            </w:r>
          </w:p>
        </w:tc>
        <w:tc>
          <w:tcPr>
            <w:tcW w:w="612" w:type="pct"/>
            <w:tcBorders>
              <w:top w:val="single" w:sz="4" w:space="0" w:color="auto"/>
              <w:left w:val="nil"/>
              <w:bottom w:val="single" w:sz="4" w:space="0" w:color="auto"/>
              <w:right w:val="single" w:sz="4" w:space="0" w:color="auto"/>
            </w:tcBorders>
          </w:tcPr>
          <w:p w14:paraId="3B7B6C7B" w14:textId="79B5CAFF" w:rsidR="00791AAC" w:rsidRDefault="00791AAC" w:rsidP="00724C80">
            <w:pPr>
              <w:pStyle w:val="In-tableHeading"/>
              <w:keepNext w:val="0"/>
              <w:jc w:val="center"/>
              <w:rPr>
                <w:rFonts w:eastAsia="Times New Roman"/>
                <w:lang w:eastAsia="en-AU"/>
              </w:rPr>
            </w:pPr>
            <w:r>
              <w:rPr>
                <w:rFonts w:eastAsia="Times New Roman"/>
                <w:lang w:eastAsia="en-AU"/>
              </w:rPr>
              <w:t xml:space="preserve">DPMQ for </w:t>
            </w:r>
            <w:r w:rsidR="00724C80">
              <w:rPr>
                <w:rFonts w:eastAsia="Times New Roman"/>
                <w:lang w:eastAsia="en-AU"/>
              </w:rPr>
              <w:t>smaller</w:t>
            </w:r>
            <w:r>
              <w:rPr>
                <w:rFonts w:eastAsia="Times New Roman"/>
                <w:lang w:eastAsia="en-AU"/>
              </w:rPr>
              <w:t xml:space="preserve"> MQ (including broken pack fees)</w:t>
            </w:r>
          </w:p>
        </w:tc>
      </w:tr>
      <w:tr w:rsidR="00791AAC" w:rsidRPr="00A50A0F" w14:paraId="0DDFEE2B" w14:textId="08FD807B" w:rsidTr="00DF7CC7">
        <w:trPr>
          <w:trHeight w:val="300"/>
        </w:trPr>
        <w:tc>
          <w:tcPr>
            <w:tcW w:w="560" w:type="pct"/>
            <w:tcBorders>
              <w:top w:val="nil"/>
              <w:left w:val="single" w:sz="4" w:space="0" w:color="auto"/>
              <w:bottom w:val="single" w:sz="4" w:space="0" w:color="auto"/>
              <w:right w:val="single" w:sz="4" w:space="0" w:color="auto"/>
            </w:tcBorders>
            <w:shd w:val="clear" w:color="auto" w:fill="auto"/>
            <w:noWrap/>
            <w:hideMark/>
          </w:tcPr>
          <w:p w14:paraId="3A519D91" w14:textId="77777777" w:rsidR="00791AAC" w:rsidRPr="00591234" w:rsidRDefault="00791AAC" w:rsidP="00E52934">
            <w:pPr>
              <w:pStyle w:val="TableText"/>
              <w:keepNext w:val="0"/>
              <w:rPr>
                <w:rFonts w:eastAsia="Times New Roman"/>
                <w:b/>
                <w:lang w:eastAsia="en-AU"/>
              </w:rPr>
            </w:pPr>
            <w:r w:rsidRPr="00591234">
              <w:rPr>
                <w:rFonts w:eastAsia="Times New Roman"/>
                <w:b/>
                <w:lang w:eastAsia="en-AU"/>
              </w:rPr>
              <w:t>Codeine</w:t>
            </w:r>
          </w:p>
        </w:tc>
        <w:tc>
          <w:tcPr>
            <w:tcW w:w="1122" w:type="pct"/>
            <w:tcBorders>
              <w:top w:val="nil"/>
              <w:left w:val="nil"/>
              <w:bottom w:val="single" w:sz="4" w:space="0" w:color="auto"/>
              <w:right w:val="single" w:sz="4" w:space="0" w:color="auto"/>
            </w:tcBorders>
            <w:shd w:val="clear" w:color="auto" w:fill="auto"/>
            <w:noWrap/>
            <w:hideMark/>
          </w:tcPr>
          <w:p w14:paraId="681695DF" w14:textId="77777777" w:rsidR="00791AAC" w:rsidRPr="00DE12BC" w:rsidRDefault="00791AAC" w:rsidP="00E52934">
            <w:pPr>
              <w:pStyle w:val="TableText"/>
              <w:keepNext w:val="0"/>
              <w:rPr>
                <w:rFonts w:eastAsia="Times New Roman"/>
                <w:lang w:eastAsia="en-AU"/>
              </w:rPr>
            </w:pPr>
            <w:r w:rsidRPr="00DE12BC">
              <w:rPr>
                <w:rFonts w:eastAsia="Times New Roman"/>
                <w:lang w:eastAsia="en-AU"/>
              </w:rPr>
              <w:t>Tablet containing codeine phosphate hemihydrate 30 mg</w:t>
            </w:r>
          </w:p>
        </w:tc>
        <w:tc>
          <w:tcPr>
            <w:tcW w:w="349" w:type="pct"/>
            <w:tcBorders>
              <w:top w:val="single" w:sz="4" w:space="0" w:color="auto"/>
              <w:left w:val="nil"/>
              <w:bottom w:val="single" w:sz="4" w:space="0" w:color="auto"/>
              <w:right w:val="single" w:sz="4" w:space="0" w:color="auto"/>
            </w:tcBorders>
          </w:tcPr>
          <w:p w14:paraId="3A8D0D7C" w14:textId="3D0908E6" w:rsidR="00791AAC" w:rsidRPr="00A50A0F" w:rsidRDefault="00AA1C9D" w:rsidP="00E52934">
            <w:pPr>
              <w:pStyle w:val="TableText"/>
              <w:keepNext w:val="0"/>
              <w:jc w:val="center"/>
              <w:rPr>
                <w:rFonts w:eastAsia="Times New Roman"/>
                <w:lang w:eastAsia="en-AU"/>
              </w:rPr>
            </w:pPr>
            <w:r>
              <w:rPr>
                <w:rFonts w:eastAsia="Times New Roman"/>
                <w:lang w:eastAsia="en-AU"/>
              </w:rPr>
              <w:t>1214X</w:t>
            </w:r>
            <w:r w:rsidR="00791AAC">
              <w:rPr>
                <w:rFonts w:eastAsia="Times New Roman"/>
                <w:lang w:eastAsia="en-AU"/>
              </w:rPr>
              <w:t xml:space="preserve"> </w:t>
            </w:r>
            <w:r w:rsidR="00791AAC" w:rsidRPr="00720700">
              <w:rPr>
                <w:rFonts w:eastAsia="Times New Roman"/>
                <w:lang w:eastAsia="en-AU"/>
              </w:rPr>
              <w:t>5063L</w:t>
            </w:r>
          </w:p>
        </w:tc>
        <w:tc>
          <w:tcPr>
            <w:tcW w:w="377" w:type="pct"/>
            <w:tcBorders>
              <w:top w:val="single" w:sz="4" w:space="0" w:color="auto"/>
              <w:left w:val="single" w:sz="4" w:space="0" w:color="auto"/>
              <w:bottom w:val="single" w:sz="4" w:space="0" w:color="auto"/>
              <w:right w:val="single" w:sz="4" w:space="0" w:color="auto"/>
            </w:tcBorders>
          </w:tcPr>
          <w:p w14:paraId="0667BB9A" w14:textId="76AC7FB1" w:rsidR="00791AAC" w:rsidRDefault="00791AAC" w:rsidP="00E52934">
            <w:pPr>
              <w:pStyle w:val="TableText"/>
              <w:keepNext w:val="0"/>
              <w:jc w:val="center"/>
              <w:rPr>
                <w:rFonts w:eastAsia="Times New Roman"/>
                <w:lang w:eastAsia="en-AU"/>
              </w:rPr>
            </w:pPr>
            <w:r w:rsidRPr="00DE12BC">
              <w:rPr>
                <w:rFonts w:eastAsia="Times New Roman"/>
                <w:lang w:eastAsia="en-AU"/>
              </w:rPr>
              <w:t>20</w:t>
            </w:r>
          </w:p>
        </w:tc>
        <w:tc>
          <w:tcPr>
            <w:tcW w:w="377" w:type="pct"/>
            <w:tcBorders>
              <w:top w:val="single" w:sz="4" w:space="0" w:color="auto"/>
              <w:left w:val="single" w:sz="4" w:space="0" w:color="auto"/>
              <w:bottom w:val="single" w:sz="4" w:space="0" w:color="auto"/>
              <w:right w:val="single" w:sz="4" w:space="0" w:color="auto"/>
            </w:tcBorders>
          </w:tcPr>
          <w:p w14:paraId="4B4A5064" w14:textId="7985C63B" w:rsidR="00791AAC" w:rsidRPr="00DE12BC" w:rsidRDefault="00791AAC" w:rsidP="00E52934">
            <w:pPr>
              <w:pStyle w:val="TableText"/>
              <w:keepNext w:val="0"/>
              <w:jc w:val="center"/>
              <w:rPr>
                <w:rFonts w:eastAsia="Times New Roman"/>
                <w:lang w:eastAsia="en-AU"/>
              </w:rPr>
            </w:pPr>
            <w:r>
              <w:rPr>
                <w:rFonts w:eastAsia="Times New Roman"/>
                <w:lang w:eastAsia="en-AU"/>
              </w:rPr>
              <w:t>$20.06</w:t>
            </w:r>
          </w:p>
        </w:tc>
        <w:tc>
          <w:tcPr>
            <w:tcW w:w="617" w:type="pct"/>
            <w:tcBorders>
              <w:top w:val="nil"/>
              <w:left w:val="nil"/>
              <w:bottom w:val="single" w:sz="4" w:space="0" w:color="auto"/>
              <w:right w:val="single" w:sz="4" w:space="0" w:color="auto"/>
            </w:tcBorders>
            <w:shd w:val="clear" w:color="auto" w:fill="auto"/>
            <w:hideMark/>
          </w:tcPr>
          <w:p w14:paraId="3D117A7F" w14:textId="1736B9CF" w:rsidR="00791AAC" w:rsidRPr="00DE12BC" w:rsidRDefault="00791AAC" w:rsidP="00E52934">
            <w:pPr>
              <w:pStyle w:val="TableText"/>
              <w:keepNext w:val="0"/>
              <w:jc w:val="center"/>
              <w:rPr>
                <w:rFonts w:eastAsia="Times New Roman"/>
                <w:lang w:eastAsia="en-AU"/>
              </w:rPr>
            </w:pPr>
            <w:r w:rsidRPr="00DE12BC">
              <w:rPr>
                <w:rFonts w:eastAsia="Times New Roman"/>
                <w:lang w:eastAsia="en-AU"/>
              </w:rPr>
              <w:t>2 x 10 tablet blisters</w:t>
            </w:r>
          </w:p>
        </w:tc>
        <w:tc>
          <w:tcPr>
            <w:tcW w:w="525" w:type="pct"/>
            <w:tcBorders>
              <w:top w:val="nil"/>
              <w:left w:val="nil"/>
              <w:bottom w:val="single" w:sz="4" w:space="0" w:color="auto"/>
              <w:right w:val="single" w:sz="4" w:space="0" w:color="auto"/>
            </w:tcBorders>
            <w:shd w:val="clear" w:color="auto" w:fill="auto"/>
            <w:hideMark/>
          </w:tcPr>
          <w:p w14:paraId="629533F9" w14:textId="77777777" w:rsidR="00791AAC" w:rsidRPr="00DE12BC" w:rsidRDefault="00791AAC" w:rsidP="00E52934">
            <w:pPr>
              <w:pStyle w:val="TableText"/>
              <w:keepNext w:val="0"/>
              <w:jc w:val="center"/>
              <w:rPr>
                <w:rFonts w:eastAsia="Times New Roman"/>
                <w:lang w:eastAsia="en-AU"/>
              </w:rPr>
            </w:pPr>
            <w:r w:rsidRPr="00DE12BC">
              <w:rPr>
                <w:rFonts w:eastAsia="Times New Roman"/>
                <w:lang w:eastAsia="en-AU"/>
              </w:rPr>
              <w:t>10</w:t>
            </w:r>
          </w:p>
        </w:tc>
        <w:tc>
          <w:tcPr>
            <w:tcW w:w="460" w:type="pct"/>
            <w:tcBorders>
              <w:top w:val="nil"/>
              <w:left w:val="nil"/>
              <w:bottom w:val="single" w:sz="4" w:space="0" w:color="auto"/>
              <w:right w:val="single" w:sz="4" w:space="0" w:color="auto"/>
            </w:tcBorders>
            <w:shd w:val="clear" w:color="auto" w:fill="auto"/>
            <w:hideMark/>
          </w:tcPr>
          <w:p w14:paraId="10F7CF7F" w14:textId="64053143" w:rsidR="00791AAC" w:rsidRPr="00DE12BC" w:rsidRDefault="00791AAC" w:rsidP="00E52934">
            <w:pPr>
              <w:pStyle w:val="TableText"/>
              <w:keepNext w:val="0"/>
              <w:jc w:val="center"/>
              <w:rPr>
                <w:rFonts w:eastAsia="Times New Roman"/>
                <w:lang w:eastAsia="en-AU"/>
              </w:rPr>
            </w:pPr>
            <w:r>
              <w:rPr>
                <w:rFonts w:eastAsia="Times New Roman"/>
                <w:lang w:eastAsia="en-AU"/>
              </w:rPr>
              <w:t>10</w:t>
            </w:r>
          </w:p>
        </w:tc>
        <w:tc>
          <w:tcPr>
            <w:tcW w:w="612" w:type="pct"/>
            <w:tcBorders>
              <w:top w:val="nil"/>
              <w:left w:val="nil"/>
              <w:bottom w:val="single" w:sz="4" w:space="0" w:color="auto"/>
              <w:right w:val="single" w:sz="4" w:space="0" w:color="auto"/>
            </w:tcBorders>
          </w:tcPr>
          <w:p w14:paraId="0036A157" w14:textId="4E73CBA6" w:rsidR="00791AAC" w:rsidRDefault="00791AAC" w:rsidP="00E52934">
            <w:pPr>
              <w:pStyle w:val="TableText"/>
              <w:keepNext w:val="0"/>
              <w:jc w:val="center"/>
              <w:rPr>
                <w:rFonts w:eastAsia="Times New Roman"/>
                <w:lang w:eastAsia="en-AU"/>
              </w:rPr>
            </w:pPr>
            <w:r>
              <w:rPr>
                <w:rFonts w:eastAsia="Times New Roman"/>
                <w:lang w:eastAsia="en-AU"/>
              </w:rPr>
              <w:t>$19.47</w:t>
            </w:r>
          </w:p>
        </w:tc>
      </w:tr>
      <w:tr w:rsidR="00791AAC" w:rsidRPr="00A50A0F" w14:paraId="66B14AA6" w14:textId="4AD831FD" w:rsidTr="00DF7CC7">
        <w:trPr>
          <w:trHeight w:val="269"/>
        </w:trPr>
        <w:tc>
          <w:tcPr>
            <w:tcW w:w="560" w:type="pct"/>
            <w:tcBorders>
              <w:top w:val="nil"/>
              <w:left w:val="single" w:sz="4" w:space="0" w:color="auto"/>
              <w:bottom w:val="single" w:sz="4" w:space="0" w:color="auto"/>
              <w:right w:val="single" w:sz="4" w:space="0" w:color="auto"/>
            </w:tcBorders>
            <w:shd w:val="clear" w:color="auto" w:fill="auto"/>
            <w:noWrap/>
            <w:hideMark/>
          </w:tcPr>
          <w:p w14:paraId="62C08F7B" w14:textId="77777777" w:rsidR="00791AAC" w:rsidRPr="00591234" w:rsidRDefault="00791AAC" w:rsidP="00E52934">
            <w:pPr>
              <w:pStyle w:val="TableText"/>
              <w:keepNext w:val="0"/>
              <w:rPr>
                <w:rFonts w:eastAsia="Times New Roman"/>
                <w:b/>
                <w:lang w:eastAsia="en-AU"/>
              </w:rPr>
            </w:pPr>
            <w:r w:rsidRPr="00591234">
              <w:rPr>
                <w:rFonts w:eastAsia="Times New Roman"/>
                <w:b/>
                <w:lang w:eastAsia="en-AU"/>
              </w:rPr>
              <w:t>Codeine with paracetamol</w:t>
            </w:r>
          </w:p>
        </w:tc>
        <w:tc>
          <w:tcPr>
            <w:tcW w:w="1122" w:type="pct"/>
            <w:tcBorders>
              <w:top w:val="nil"/>
              <w:left w:val="single" w:sz="4" w:space="0" w:color="auto"/>
              <w:bottom w:val="single" w:sz="4" w:space="0" w:color="auto"/>
              <w:right w:val="single" w:sz="4" w:space="0" w:color="auto"/>
            </w:tcBorders>
            <w:shd w:val="clear" w:color="auto" w:fill="auto"/>
            <w:noWrap/>
            <w:hideMark/>
          </w:tcPr>
          <w:p w14:paraId="104D53CD" w14:textId="77777777" w:rsidR="00791AAC" w:rsidRPr="00DE12BC" w:rsidRDefault="00791AAC" w:rsidP="00E52934">
            <w:pPr>
              <w:pStyle w:val="TableText"/>
              <w:keepNext w:val="0"/>
              <w:rPr>
                <w:rFonts w:eastAsia="Times New Roman"/>
                <w:lang w:eastAsia="en-AU"/>
              </w:rPr>
            </w:pPr>
            <w:r w:rsidRPr="00DE12BC">
              <w:rPr>
                <w:rFonts w:eastAsia="Times New Roman"/>
                <w:lang w:eastAsia="en-AU"/>
              </w:rPr>
              <w:t>Tablet containing codeine phosphate hemihydrate 30 mg with paracetamol 500 mg</w:t>
            </w:r>
          </w:p>
        </w:tc>
        <w:tc>
          <w:tcPr>
            <w:tcW w:w="349" w:type="pct"/>
            <w:tcBorders>
              <w:top w:val="single" w:sz="4" w:space="0" w:color="auto"/>
              <w:left w:val="single" w:sz="4" w:space="0" w:color="auto"/>
              <w:right w:val="single" w:sz="4" w:space="0" w:color="auto"/>
            </w:tcBorders>
          </w:tcPr>
          <w:p w14:paraId="3E1F17B6" w14:textId="77777777" w:rsidR="00AA1C9D" w:rsidRDefault="00AA1C9D" w:rsidP="00E52934">
            <w:pPr>
              <w:pStyle w:val="TableText"/>
              <w:keepNext w:val="0"/>
              <w:jc w:val="center"/>
              <w:rPr>
                <w:rFonts w:eastAsia="Times New Roman"/>
                <w:lang w:eastAsia="en-AU"/>
              </w:rPr>
            </w:pPr>
            <w:r>
              <w:rPr>
                <w:rFonts w:eastAsia="Times New Roman"/>
                <w:lang w:eastAsia="en-AU"/>
              </w:rPr>
              <w:t>1215Y</w:t>
            </w:r>
          </w:p>
          <w:p w14:paraId="6FF52DBC" w14:textId="524BB9AE" w:rsidR="00791AAC" w:rsidRPr="00A50A0F" w:rsidRDefault="00791AAC" w:rsidP="00E52934">
            <w:pPr>
              <w:pStyle w:val="TableText"/>
              <w:keepNext w:val="0"/>
              <w:jc w:val="center"/>
              <w:rPr>
                <w:rFonts w:eastAsia="Times New Roman"/>
                <w:lang w:eastAsia="en-AU"/>
              </w:rPr>
            </w:pPr>
            <w:r w:rsidRPr="00CF1968">
              <w:rPr>
                <w:rFonts w:eastAsia="Times New Roman"/>
                <w:lang w:eastAsia="en-AU"/>
              </w:rPr>
              <w:t>3316M</w:t>
            </w:r>
          </w:p>
        </w:tc>
        <w:tc>
          <w:tcPr>
            <w:tcW w:w="377" w:type="pct"/>
            <w:tcBorders>
              <w:top w:val="single" w:sz="4" w:space="0" w:color="auto"/>
              <w:left w:val="single" w:sz="4" w:space="0" w:color="auto"/>
              <w:right w:val="single" w:sz="4" w:space="0" w:color="auto"/>
            </w:tcBorders>
          </w:tcPr>
          <w:p w14:paraId="6741379F" w14:textId="52AB9366" w:rsidR="00791AAC" w:rsidRDefault="00791AAC" w:rsidP="00E52934">
            <w:pPr>
              <w:pStyle w:val="TableText"/>
              <w:keepNext w:val="0"/>
              <w:jc w:val="center"/>
              <w:rPr>
                <w:rFonts w:eastAsia="Times New Roman"/>
                <w:lang w:eastAsia="en-AU"/>
              </w:rPr>
            </w:pPr>
            <w:r w:rsidRPr="00DE12BC">
              <w:rPr>
                <w:rFonts w:eastAsia="Times New Roman"/>
                <w:lang w:eastAsia="en-AU"/>
              </w:rPr>
              <w:t>20</w:t>
            </w:r>
          </w:p>
        </w:tc>
        <w:tc>
          <w:tcPr>
            <w:tcW w:w="377" w:type="pct"/>
            <w:tcBorders>
              <w:top w:val="single" w:sz="4" w:space="0" w:color="auto"/>
              <w:left w:val="single" w:sz="4" w:space="0" w:color="auto"/>
              <w:right w:val="single" w:sz="4" w:space="0" w:color="auto"/>
            </w:tcBorders>
          </w:tcPr>
          <w:p w14:paraId="42E39432" w14:textId="17882C24" w:rsidR="00791AAC" w:rsidRPr="00DE12BC" w:rsidRDefault="00791AAC" w:rsidP="00E52934">
            <w:pPr>
              <w:pStyle w:val="TableText"/>
              <w:keepNext w:val="0"/>
              <w:jc w:val="center"/>
              <w:rPr>
                <w:rFonts w:eastAsia="Times New Roman"/>
                <w:lang w:eastAsia="en-AU"/>
              </w:rPr>
            </w:pPr>
            <w:r>
              <w:rPr>
                <w:rFonts w:eastAsia="Times New Roman"/>
                <w:lang w:eastAsia="en-AU"/>
              </w:rPr>
              <w:t>$12.83</w:t>
            </w:r>
          </w:p>
        </w:tc>
        <w:tc>
          <w:tcPr>
            <w:tcW w:w="617" w:type="pct"/>
            <w:tcBorders>
              <w:top w:val="nil"/>
              <w:left w:val="single" w:sz="4" w:space="0" w:color="auto"/>
              <w:bottom w:val="single" w:sz="4" w:space="0" w:color="auto"/>
              <w:right w:val="single" w:sz="4" w:space="0" w:color="auto"/>
            </w:tcBorders>
            <w:shd w:val="clear" w:color="auto" w:fill="auto"/>
            <w:hideMark/>
          </w:tcPr>
          <w:p w14:paraId="023796EB" w14:textId="71B670A6" w:rsidR="00791AAC" w:rsidRPr="00DE12BC" w:rsidRDefault="00791AAC" w:rsidP="00E52934">
            <w:pPr>
              <w:pStyle w:val="TableText"/>
              <w:keepNext w:val="0"/>
              <w:jc w:val="center"/>
              <w:rPr>
                <w:rFonts w:eastAsia="Times New Roman"/>
                <w:lang w:eastAsia="en-AU"/>
              </w:rPr>
            </w:pPr>
            <w:r w:rsidRPr="00DE12BC">
              <w:rPr>
                <w:rFonts w:eastAsia="Times New Roman"/>
                <w:lang w:eastAsia="en-AU"/>
              </w:rPr>
              <w:t>2 x 10 tablet</w:t>
            </w:r>
            <w:r>
              <w:rPr>
                <w:rFonts w:eastAsia="Times New Roman"/>
                <w:lang w:eastAsia="en-AU"/>
              </w:rPr>
              <w:t xml:space="preserve"> </w:t>
            </w:r>
            <w:r w:rsidRPr="00DE12BC">
              <w:rPr>
                <w:rFonts w:eastAsia="Times New Roman"/>
                <w:lang w:eastAsia="en-AU"/>
              </w:rPr>
              <w:t>blisters</w:t>
            </w:r>
          </w:p>
        </w:tc>
        <w:tc>
          <w:tcPr>
            <w:tcW w:w="525" w:type="pct"/>
            <w:tcBorders>
              <w:top w:val="nil"/>
              <w:left w:val="single" w:sz="4" w:space="0" w:color="auto"/>
              <w:bottom w:val="single" w:sz="4" w:space="0" w:color="auto"/>
              <w:right w:val="single" w:sz="4" w:space="0" w:color="auto"/>
            </w:tcBorders>
            <w:shd w:val="clear" w:color="auto" w:fill="auto"/>
            <w:noWrap/>
            <w:hideMark/>
          </w:tcPr>
          <w:p w14:paraId="29A5701E" w14:textId="022249CC" w:rsidR="00791AAC" w:rsidRPr="00DE12BC" w:rsidRDefault="00791AAC" w:rsidP="00E52934">
            <w:pPr>
              <w:pStyle w:val="TableText"/>
              <w:keepNext w:val="0"/>
              <w:jc w:val="center"/>
              <w:rPr>
                <w:rFonts w:eastAsia="Times New Roman"/>
                <w:lang w:eastAsia="en-AU"/>
              </w:rPr>
            </w:pPr>
            <w:r w:rsidRPr="00DE12BC">
              <w:rPr>
                <w:rFonts w:eastAsia="Times New Roman"/>
                <w:lang w:eastAsia="en-AU"/>
              </w:rPr>
              <w:t>10 to 12</w:t>
            </w:r>
          </w:p>
        </w:tc>
        <w:tc>
          <w:tcPr>
            <w:tcW w:w="460" w:type="pct"/>
            <w:tcBorders>
              <w:top w:val="nil"/>
              <w:left w:val="single" w:sz="4" w:space="0" w:color="auto"/>
              <w:bottom w:val="single" w:sz="4" w:space="0" w:color="auto"/>
              <w:right w:val="single" w:sz="4" w:space="0" w:color="auto"/>
            </w:tcBorders>
            <w:shd w:val="clear" w:color="auto" w:fill="auto"/>
            <w:noWrap/>
            <w:hideMark/>
          </w:tcPr>
          <w:p w14:paraId="4ACAF1F6" w14:textId="5E758DB9" w:rsidR="00791AAC" w:rsidRPr="00DE12BC" w:rsidRDefault="00791AAC" w:rsidP="00E52934">
            <w:pPr>
              <w:pStyle w:val="TableText"/>
              <w:keepNext w:val="0"/>
              <w:jc w:val="center"/>
              <w:rPr>
                <w:rFonts w:eastAsia="Times New Roman"/>
                <w:lang w:eastAsia="en-AU"/>
              </w:rPr>
            </w:pPr>
            <w:r>
              <w:rPr>
                <w:rFonts w:eastAsia="Times New Roman"/>
                <w:lang w:eastAsia="en-AU"/>
              </w:rPr>
              <w:t>10</w:t>
            </w:r>
          </w:p>
        </w:tc>
        <w:tc>
          <w:tcPr>
            <w:tcW w:w="612" w:type="pct"/>
            <w:tcBorders>
              <w:top w:val="nil"/>
              <w:left w:val="single" w:sz="4" w:space="0" w:color="auto"/>
              <w:bottom w:val="single" w:sz="4" w:space="0" w:color="auto"/>
              <w:right w:val="single" w:sz="4" w:space="0" w:color="auto"/>
            </w:tcBorders>
          </w:tcPr>
          <w:p w14:paraId="63029745" w14:textId="1F558FE4" w:rsidR="00791AAC" w:rsidRDefault="00791AAC" w:rsidP="00E52934">
            <w:pPr>
              <w:pStyle w:val="TableText"/>
              <w:keepNext w:val="0"/>
              <w:jc w:val="center"/>
              <w:rPr>
                <w:rFonts w:eastAsia="Times New Roman"/>
                <w:lang w:eastAsia="en-AU"/>
              </w:rPr>
            </w:pPr>
            <w:r>
              <w:rPr>
                <w:rFonts w:eastAsia="Times New Roman"/>
                <w:lang w:eastAsia="en-AU"/>
              </w:rPr>
              <w:t>$13.81</w:t>
            </w:r>
          </w:p>
        </w:tc>
      </w:tr>
      <w:tr w:rsidR="00791AAC" w:rsidRPr="00A50A0F" w14:paraId="47779E8C" w14:textId="684EBBFF" w:rsidTr="00DF7CC7">
        <w:trPr>
          <w:trHeight w:val="300"/>
        </w:trPr>
        <w:tc>
          <w:tcPr>
            <w:tcW w:w="560" w:type="pct"/>
            <w:vMerge w:val="restart"/>
            <w:tcBorders>
              <w:top w:val="nil"/>
              <w:left w:val="single" w:sz="4" w:space="0" w:color="auto"/>
              <w:right w:val="single" w:sz="4" w:space="0" w:color="auto"/>
            </w:tcBorders>
            <w:shd w:val="clear" w:color="auto" w:fill="auto"/>
            <w:noWrap/>
            <w:hideMark/>
          </w:tcPr>
          <w:p w14:paraId="382EA189" w14:textId="77777777" w:rsidR="00791AAC" w:rsidRPr="00591234" w:rsidRDefault="00791AAC" w:rsidP="00E52934">
            <w:pPr>
              <w:pStyle w:val="TableText"/>
              <w:keepNext w:val="0"/>
              <w:rPr>
                <w:rFonts w:eastAsia="Times New Roman"/>
                <w:b/>
                <w:lang w:eastAsia="en-AU"/>
              </w:rPr>
            </w:pPr>
            <w:r w:rsidRPr="00591234">
              <w:rPr>
                <w:rFonts w:eastAsia="Times New Roman"/>
                <w:b/>
                <w:lang w:eastAsia="en-AU"/>
              </w:rPr>
              <w:t>Hydromorphone</w:t>
            </w:r>
          </w:p>
        </w:tc>
        <w:tc>
          <w:tcPr>
            <w:tcW w:w="1122" w:type="pct"/>
            <w:tcBorders>
              <w:top w:val="nil"/>
              <w:left w:val="nil"/>
              <w:bottom w:val="single" w:sz="4" w:space="0" w:color="auto"/>
              <w:right w:val="single" w:sz="4" w:space="0" w:color="auto"/>
            </w:tcBorders>
            <w:shd w:val="clear" w:color="auto" w:fill="auto"/>
            <w:noWrap/>
            <w:hideMark/>
          </w:tcPr>
          <w:p w14:paraId="6FF7DF6E" w14:textId="77777777" w:rsidR="00791AAC" w:rsidRPr="00DE12BC" w:rsidRDefault="00791AAC" w:rsidP="00E52934">
            <w:pPr>
              <w:pStyle w:val="TableText"/>
              <w:keepNext w:val="0"/>
              <w:rPr>
                <w:rFonts w:eastAsia="Times New Roman"/>
                <w:lang w:eastAsia="en-AU"/>
              </w:rPr>
            </w:pPr>
            <w:r w:rsidRPr="00DE12BC">
              <w:rPr>
                <w:rFonts w:eastAsia="Times New Roman"/>
                <w:lang w:eastAsia="en-AU"/>
              </w:rPr>
              <w:t>Oral liquid containing hydromorphone hydrochloride 1 mg per mL, 200 mL</w:t>
            </w:r>
          </w:p>
        </w:tc>
        <w:tc>
          <w:tcPr>
            <w:tcW w:w="349" w:type="pct"/>
            <w:tcBorders>
              <w:top w:val="single" w:sz="4" w:space="0" w:color="auto"/>
              <w:left w:val="nil"/>
              <w:bottom w:val="single" w:sz="4" w:space="0" w:color="auto"/>
              <w:right w:val="single" w:sz="4" w:space="0" w:color="auto"/>
            </w:tcBorders>
          </w:tcPr>
          <w:p w14:paraId="6FB9C0F0" w14:textId="364F52D8" w:rsidR="00791AAC" w:rsidRPr="00A50A0F" w:rsidRDefault="00AA1C9D" w:rsidP="00E52934">
            <w:pPr>
              <w:pStyle w:val="TableText"/>
              <w:keepNext w:val="0"/>
              <w:jc w:val="center"/>
              <w:rPr>
                <w:rFonts w:eastAsia="Times New Roman"/>
                <w:lang w:eastAsia="en-AU"/>
              </w:rPr>
            </w:pPr>
            <w:r>
              <w:rPr>
                <w:rFonts w:eastAsia="Times New Roman"/>
                <w:lang w:eastAsia="en-AU"/>
              </w:rPr>
              <w:t>11467M</w:t>
            </w:r>
            <w:r w:rsidR="00791AAC">
              <w:rPr>
                <w:rFonts w:eastAsia="Times New Roman"/>
                <w:lang w:eastAsia="en-AU"/>
              </w:rPr>
              <w:t xml:space="preserve"> </w:t>
            </w:r>
            <w:r w:rsidR="00791AAC" w:rsidRPr="00C3265D">
              <w:rPr>
                <w:rFonts w:eastAsia="Times New Roman"/>
                <w:lang w:eastAsia="en-AU"/>
              </w:rPr>
              <w:t>11479E</w:t>
            </w:r>
          </w:p>
        </w:tc>
        <w:tc>
          <w:tcPr>
            <w:tcW w:w="377" w:type="pct"/>
            <w:tcBorders>
              <w:top w:val="single" w:sz="4" w:space="0" w:color="auto"/>
              <w:left w:val="single" w:sz="4" w:space="0" w:color="auto"/>
              <w:bottom w:val="single" w:sz="4" w:space="0" w:color="auto"/>
              <w:right w:val="single" w:sz="4" w:space="0" w:color="auto"/>
            </w:tcBorders>
          </w:tcPr>
          <w:p w14:paraId="2EE79496" w14:textId="4D90287C" w:rsidR="00791AAC" w:rsidRDefault="00AA1C9D" w:rsidP="00E52934">
            <w:pPr>
              <w:pStyle w:val="TableText"/>
              <w:keepNext w:val="0"/>
              <w:jc w:val="center"/>
              <w:rPr>
                <w:rFonts w:eastAsia="Times New Roman"/>
                <w:lang w:eastAsia="en-AU"/>
              </w:rPr>
            </w:pPr>
            <w:r>
              <w:rPr>
                <w:rFonts w:eastAsia="Times New Roman"/>
                <w:lang w:eastAsia="en-AU"/>
              </w:rPr>
              <w:t>1</w:t>
            </w:r>
          </w:p>
        </w:tc>
        <w:tc>
          <w:tcPr>
            <w:tcW w:w="377" w:type="pct"/>
            <w:tcBorders>
              <w:top w:val="single" w:sz="4" w:space="0" w:color="auto"/>
              <w:left w:val="single" w:sz="4" w:space="0" w:color="auto"/>
              <w:bottom w:val="single" w:sz="4" w:space="0" w:color="auto"/>
              <w:right w:val="single" w:sz="4" w:space="0" w:color="auto"/>
            </w:tcBorders>
          </w:tcPr>
          <w:p w14:paraId="5411BCF7" w14:textId="75F085A9" w:rsidR="00791AAC" w:rsidRPr="00DE12BC" w:rsidRDefault="00791AAC" w:rsidP="00E52934">
            <w:pPr>
              <w:pStyle w:val="TableText"/>
              <w:keepNext w:val="0"/>
              <w:jc w:val="center"/>
              <w:rPr>
                <w:rFonts w:eastAsia="Times New Roman"/>
                <w:lang w:eastAsia="en-AU"/>
              </w:rPr>
            </w:pPr>
            <w:r>
              <w:rPr>
                <w:rFonts w:eastAsia="Times New Roman"/>
                <w:lang w:eastAsia="en-AU"/>
              </w:rPr>
              <w:t>$45.88</w:t>
            </w:r>
          </w:p>
        </w:tc>
        <w:tc>
          <w:tcPr>
            <w:tcW w:w="617" w:type="pct"/>
            <w:tcBorders>
              <w:top w:val="nil"/>
              <w:left w:val="nil"/>
              <w:bottom w:val="single" w:sz="4" w:space="0" w:color="auto"/>
              <w:right w:val="single" w:sz="4" w:space="0" w:color="auto"/>
            </w:tcBorders>
            <w:shd w:val="clear" w:color="auto" w:fill="auto"/>
            <w:hideMark/>
          </w:tcPr>
          <w:p w14:paraId="1ACCC6C0" w14:textId="5525E951" w:rsidR="00791AAC" w:rsidRPr="00DE12BC" w:rsidRDefault="00791AAC" w:rsidP="00E52934">
            <w:pPr>
              <w:pStyle w:val="TableText"/>
              <w:keepNext w:val="0"/>
              <w:jc w:val="center"/>
              <w:rPr>
                <w:rFonts w:eastAsia="Times New Roman"/>
                <w:lang w:eastAsia="en-AU"/>
              </w:rPr>
            </w:pPr>
            <w:r>
              <w:rPr>
                <w:rFonts w:eastAsia="Times New Roman"/>
                <w:lang w:eastAsia="en-AU"/>
              </w:rPr>
              <w:t>n/a</w:t>
            </w:r>
          </w:p>
        </w:tc>
        <w:tc>
          <w:tcPr>
            <w:tcW w:w="525" w:type="pct"/>
            <w:tcBorders>
              <w:top w:val="nil"/>
              <w:left w:val="nil"/>
              <w:bottom w:val="single" w:sz="4" w:space="0" w:color="auto"/>
              <w:right w:val="single" w:sz="4" w:space="0" w:color="auto"/>
            </w:tcBorders>
            <w:shd w:val="clear" w:color="auto" w:fill="auto"/>
            <w:noWrap/>
            <w:hideMark/>
          </w:tcPr>
          <w:p w14:paraId="3CF17B02" w14:textId="4F3A53AA" w:rsidR="00791AAC" w:rsidRPr="00DE12BC" w:rsidRDefault="00791AAC" w:rsidP="00E52934">
            <w:pPr>
              <w:pStyle w:val="TableText"/>
              <w:keepNext w:val="0"/>
              <w:jc w:val="center"/>
              <w:rPr>
                <w:rFonts w:eastAsia="Times New Roman"/>
                <w:lang w:eastAsia="en-AU"/>
              </w:rPr>
            </w:pPr>
            <w:r w:rsidRPr="00DE12BC">
              <w:rPr>
                <w:rFonts w:eastAsia="Times New Roman"/>
                <w:lang w:eastAsia="en-AU"/>
              </w:rPr>
              <w:t>20mL</w:t>
            </w:r>
          </w:p>
        </w:tc>
        <w:tc>
          <w:tcPr>
            <w:tcW w:w="460" w:type="pct"/>
            <w:tcBorders>
              <w:top w:val="nil"/>
              <w:left w:val="nil"/>
              <w:bottom w:val="single" w:sz="4" w:space="0" w:color="auto"/>
              <w:right w:val="single" w:sz="4" w:space="0" w:color="auto"/>
            </w:tcBorders>
            <w:shd w:val="clear" w:color="auto" w:fill="auto"/>
            <w:noWrap/>
            <w:hideMark/>
          </w:tcPr>
          <w:p w14:paraId="1708CB9A" w14:textId="0F99C882" w:rsidR="00791AAC" w:rsidRPr="00DE12BC" w:rsidRDefault="00791AAC" w:rsidP="00E52934">
            <w:pPr>
              <w:pStyle w:val="TableText"/>
              <w:keepNext w:val="0"/>
              <w:jc w:val="center"/>
              <w:rPr>
                <w:rFonts w:eastAsia="Times New Roman"/>
                <w:lang w:eastAsia="en-AU"/>
              </w:rPr>
            </w:pPr>
            <w:r>
              <w:rPr>
                <w:rFonts w:eastAsia="Times New Roman"/>
                <w:lang w:eastAsia="en-AU"/>
              </w:rPr>
              <w:t>1</w:t>
            </w:r>
            <w:r w:rsidR="00266741">
              <w:rPr>
                <w:rFonts w:eastAsia="Times New Roman"/>
                <w:lang w:eastAsia="en-AU"/>
              </w:rPr>
              <w:t xml:space="preserve"> </w:t>
            </w:r>
            <w:r>
              <w:rPr>
                <w:rFonts w:eastAsia="Times New Roman"/>
                <w:vertAlign w:val="superscript"/>
                <w:lang w:eastAsia="en-AU"/>
              </w:rPr>
              <w:t>C</w:t>
            </w:r>
          </w:p>
        </w:tc>
        <w:tc>
          <w:tcPr>
            <w:tcW w:w="612" w:type="pct"/>
            <w:tcBorders>
              <w:top w:val="nil"/>
              <w:left w:val="nil"/>
              <w:bottom w:val="single" w:sz="4" w:space="0" w:color="auto"/>
              <w:right w:val="single" w:sz="4" w:space="0" w:color="auto"/>
            </w:tcBorders>
          </w:tcPr>
          <w:p w14:paraId="2F8F137C" w14:textId="3A17A709" w:rsidR="00791AAC" w:rsidRDefault="00791AAC" w:rsidP="00E52934">
            <w:pPr>
              <w:pStyle w:val="TableText"/>
              <w:keepNext w:val="0"/>
              <w:jc w:val="center"/>
              <w:rPr>
                <w:rFonts w:eastAsia="Times New Roman"/>
                <w:lang w:eastAsia="en-AU"/>
              </w:rPr>
            </w:pPr>
            <w:r>
              <w:rPr>
                <w:rFonts w:eastAsia="Times New Roman"/>
                <w:lang w:eastAsia="en-AU"/>
              </w:rPr>
              <w:t>n/a</w:t>
            </w:r>
            <w:r>
              <w:rPr>
                <w:rFonts w:eastAsia="Times New Roman"/>
                <w:vertAlign w:val="superscript"/>
                <w:lang w:eastAsia="en-AU"/>
              </w:rPr>
              <w:t xml:space="preserve"> C</w:t>
            </w:r>
          </w:p>
        </w:tc>
      </w:tr>
      <w:tr w:rsidR="00791AAC" w:rsidRPr="00A50A0F" w14:paraId="2E067966" w14:textId="1EEB3A77" w:rsidTr="00DF7CC7">
        <w:trPr>
          <w:trHeight w:val="530"/>
        </w:trPr>
        <w:tc>
          <w:tcPr>
            <w:tcW w:w="560" w:type="pct"/>
            <w:vMerge/>
            <w:tcBorders>
              <w:left w:val="single" w:sz="4" w:space="0" w:color="auto"/>
              <w:right w:val="single" w:sz="4" w:space="0" w:color="auto"/>
            </w:tcBorders>
            <w:shd w:val="clear" w:color="auto" w:fill="auto"/>
            <w:hideMark/>
          </w:tcPr>
          <w:p w14:paraId="530A4543" w14:textId="77777777" w:rsidR="00791AAC" w:rsidRPr="00591234" w:rsidRDefault="00791AAC" w:rsidP="00E52934">
            <w:pPr>
              <w:pStyle w:val="TableText"/>
              <w:keepNext w:val="0"/>
              <w:rPr>
                <w:rFonts w:eastAsia="Times New Roman"/>
                <w:b/>
                <w:lang w:eastAsia="en-AU"/>
              </w:rPr>
            </w:pPr>
          </w:p>
        </w:tc>
        <w:tc>
          <w:tcPr>
            <w:tcW w:w="1122" w:type="pct"/>
            <w:tcBorders>
              <w:top w:val="nil"/>
              <w:left w:val="nil"/>
              <w:bottom w:val="single" w:sz="4" w:space="0" w:color="auto"/>
              <w:right w:val="single" w:sz="4" w:space="0" w:color="auto"/>
            </w:tcBorders>
            <w:shd w:val="clear" w:color="auto" w:fill="auto"/>
            <w:noWrap/>
            <w:hideMark/>
          </w:tcPr>
          <w:p w14:paraId="4C100477" w14:textId="43522DFB" w:rsidR="00791AAC" w:rsidRPr="00DE12BC" w:rsidRDefault="00791AAC" w:rsidP="00E52934">
            <w:pPr>
              <w:pStyle w:val="TableText"/>
              <w:keepNext w:val="0"/>
              <w:rPr>
                <w:rFonts w:eastAsia="Times New Roman"/>
                <w:lang w:eastAsia="en-AU"/>
              </w:rPr>
            </w:pPr>
            <w:r w:rsidRPr="00DE12BC">
              <w:rPr>
                <w:rFonts w:eastAsia="Times New Roman"/>
                <w:lang w:eastAsia="en-AU"/>
              </w:rPr>
              <w:t>Tablet containing hydromorphone hydrochloride 2 mg</w:t>
            </w:r>
          </w:p>
        </w:tc>
        <w:tc>
          <w:tcPr>
            <w:tcW w:w="349" w:type="pct"/>
            <w:tcBorders>
              <w:top w:val="single" w:sz="4" w:space="0" w:color="auto"/>
              <w:left w:val="single" w:sz="4" w:space="0" w:color="auto"/>
              <w:bottom w:val="single" w:sz="4" w:space="0" w:color="auto"/>
              <w:right w:val="single" w:sz="4" w:space="0" w:color="auto"/>
            </w:tcBorders>
          </w:tcPr>
          <w:p w14:paraId="59168C74" w14:textId="02407663" w:rsidR="00791AAC" w:rsidRPr="00A50A0F" w:rsidRDefault="00AA1C9D" w:rsidP="00E52934">
            <w:pPr>
              <w:pStyle w:val="TableText"/>
              <w:keepNext w:val="0"/>
              <w:jc w:val="center"/>
              <w:rPr>
                <w:rFonts w:eastAsia="Times New Roman"/>
                <w:lang w:eastAsia="en-AU"/>
              </w:rPr>
            </w:pPr>
            <w:r>
              <w:rPr>
                <w:rFonts w:eastAsia="Times New Roman"/>
                <w:lang w:eastAsia="en-AU"/>
              </w:rPr>
              <w:t>5115F</w:t>
            </w:r>
            <w:r w:rsidR="00791AAC">
              <w:rPr>
                <w:rFonts w:eastAsia="Times New Roman"/>
                <w:lang w:eastAsia="en-AU"/>
              </w:rPr>
              <w:t xml:space="preserve"> </w:t>
            </w:r>
            <w:r w:rsidR="00791AAC" w:rsidRPr="00C3265D">
              <w:rPr>
                <w:rFonts w:eastAsia="Times New Roman"/>
                <w:lang w:eastAsia="en-AU"/>
              </w:rPr>
              <w:t>8541M</w:t>
            </w:r>
            <w:r w:rsidR="00791AAC">
              <w:rPr>
                <w:rFonts w:eastAsia="Times New Roman"/>
                <w:lang w:eastAsia="en-AU"/>
              </w:rPr>
              <w:t xml:space="preserve"> </w:t>
            </w:r>
          </w:p>
        </w:tc>
        <w:tc>
          <w:tcPr>
            <w:tcW w:w="377" w:type="pct"/>
            <w:tcBorders>
              <w:top w:val="single" w:sz="4" w:space="0" w:color="auto"/>
              <w:left w:val="single" w:sz="4" w:space="0" w:color="auto"/>
              <w:bottom w:val="single" w:sz="4" w:space="0" w:color="auto"/>
              <w:right w:val="single" w:sz="4" w:space="0" w:color="auto"/>
            </w:tcBorders>
          </w:tcPr>
          <w:p w14:paraId="6B480007" w14:textId="63DBDA69" w:rsidR="00791AAC" w:rsidRDefault="00791AAC" w:rsidP="00E52934">
            <w:pPr>
              <w:pStyle w:val="TableText"/>
              <w:keepNext w:val="0"/>
              <w:jc w:val="center"/>
              <w:rPr>
                <w:rFonts w:eastAsia="Times New Roman"/>
                <w:lang w:eastAsia="en-AU"/>
              </w:rPr>
            </w:pPr>
            <w:r w:rsidRPr="00DE12BC">
              <w:rPr>
                <w:rFonts w:eastAsia="Times New Roman"/>
                <w:lang w:eastAsia="en-AU"/>
              </w:rPr>
              <w:t>20</w:t>
            </w:r>
          </w:p>
        </w:tc>
        <w:tc>
          <w:tcPr>
            <w:tcW w:w="377" w:type="pct"/>
            <w:tcBorders>
              <w:top w:val="single" w:sz="4" w:space="0" w:color="auto"/>
              <w:left w:val="single" w:sz="4" w:space="0" w:color="auto"/>
              <w:bottom w:val="single" w:sz="4" w:space="0" w:color="auto"/>
              <w:right w:val="single" w:sz="4" w:space="0" w:color="auto"/>
            </w:tcBorders>
          </w:tcPr>
          <w:p w14:paraId="4139928A" w14:textId="0F403532" w:rsidR="00791AAC" w:rsidRPr="00DE12BC" w:rsidRDefault="00791AAC" w:rsidP="00E52934">
            <w:pPr>
              <w:pStyle w:val="TableText"/>
              <w:keepNext w:val="0"/>
              <w:jc w:val="center"/>
              <w:rPr>
                <w:rFonts w:eastAsia="Times New Roman"/>
                <w:lang w:eastAsia="en-AU"/>
              </w:rPr>
            </w:pPr>
            <w:r>
              <w:rPr>
                <w:rFonts w:eastAsia="Times New Roman"/>
                <w:lang w:eastAsia="en-AU"/>
              </w:rPr>
              <w:t>$21.18</w:t>
            </w:r>
          </w:p>
        </w:tc>
        <w:tc>
          <w:tcPr>
            <w:tcW w:w="617" w:type="pct"/>
            <w:tcBorders>
              <w:top w:val="nil"/>
              <w:left w:val="single" w:sz="4" w:space="0" w:color="auto"/>
              <w:bottom w:val="single" w:sz="4" w:space="0" w:color="000000"/>
              <w:right w:val="single" w:sz="4" w:space="0" w:color="auto"/>
            </w:tcBorders>
            <w:shd w:val="clear" w:color="auto" w:fill="auto"/>
            <w:hideMark/>
          </w:tcPr>
          <w:p w14:paraId="27C2DEDD" w14:textId="77777777" w:rsidR="00791AAC" w:rsidRPr="00DE12BC" w:rsidRDefault="00791AAC" w:rsidP="00E52934">
            <w:pPr>
              <w:pStyle w:val="TableText"/>
              <w:keepNext w:val="0"/>
              <w:jc w:val="center"/>
              <w:rPr>
                <w:rFonts w:eastAsia="Times New Roman"/>
                <w:lang w:eastAsia="en-AU"/>
              </w:rPr>
            </w:pPr>
            <w:r w:rsidRPr="00DE12BC">
              <w:rPr>
                <w:rFonts w:eastAsia="Times New Roman"/>
                <w:lang w:eastAsia="en-AU"/>
              </w:rPr>
              <w:t>20 tablets within the bottle</w:t>
            </w:r>
          </w:p>
        </w:tc>
        <w:tc>
          <w:tcPr>
            <w:tcW w:w="525" w:type="pct"/>
            <w:tcBorders>
              <w:top w:val="nil"/>
              <w:left w:val="single" w:sz="4" w:space="0" w:color="auto"/>
              <w:bottom w:val="single" w:sz="4" w:space="0" w:color="auto"/>
              <w:right w:val="single" w:sz="4" w:space="0" w:color="auto"/>
            </w:tcBorders>
            <w:shd w:val="clear" w:color="auto" w:fill="auto"/>
            <w:noWrap/>
            <w:hideMark/>
          </w:tcPr>
          <w:p w14:paraId="79EC9A86" w14:textId="7875B8F9" w:rsidR="00791AAC" w:rsidRPr="00DE12BC" w:rsidRDefault="00791AAC" w:rsidP="00E52934">
            <w:pPr>
              <w:pStyle w:val="TableText"/>
              <w:keepNext w:val="0"/>
              <w:jc w:val="center"/>
              <w:rPr>
                <w:rFonts w:eastAsia="Times New Roman"/>
                <w:lang w:eastAsia="en-AU"/>
              </w:rPr>
            </w:pPr>
            <w:r>
              <w:rPr>
                <w:rFonts w:eastAsia="Times New Roman"/>
                <w:lang w:eastAsia="en-AU"/>
              </w:rPr>
              <w:t>10</w:t>
            </w:r>
          </w:p>
        </w:tc>
        <w:tc>
          <w:tcPr>
            <w:tcW w:w="460" w:type="pct"/>
            <w:tcBorders>
              <w:top w:val="nil"/>
              <w:left w:val="single" w:sz="4" w:space="0" w:color="auto"/>
              <w:bottom w:val="single" w:sz="4" w:space="0" w:color="000000"/>
              <w:right w:val="single" w:sz="4" w:space="0" w:color="auto"/>
            </w:tcBorders>
            <w:shd w:val="clear" w:color="auto" w:fill="auto"/>
            <w:noWrap/>
            <w:hideMark/>
          </w:tcPr>
          <w:p w14:paraId="04F10982" w14:textId="57462C8F" w:rsidR="00791AAC" w:rsidRPr="00DE12BC" w:rsidRDefault="00791AAC" w:rsidP="00E52934">
            <w:pPr>
              <w:pStyle w:val="TableText"/>
              <w:keepNext w:val="0"/>
              <w:jc w:val="center"/>
              <w:rPr>
                <w:rFonts w:eastAsia="Times New Roman"/>
                <w:lang w:eastAsia="en-AU"/>
              </w:rPr>
            </w:pPr>
            <w:r>
              <w:rPr>
                <w:rFonts w:eastAsia="Times New Roman"/>
                <w:lang w:eastAsia="en-AU"/>
              </w:rPr>
              <w:t>10</w:t>
            </w:r>
          </w:p>
        </w:tc>
        <w:tc>
          <w:tcPr>
            <w:tcW w:w="612" w:type="pct"/>
            <w:tcBorders>
              <w:top w:val="nil"/>
              <w:left w:val="single" w:sz="4" w:space="0" w:color="auto"/>
              <w:bottom w:val="single" w:sz="4" w:space="0" w:color="000000"/>
              <w:right w:val="single" w:sz="4" w:space="0" w:color="auto"/>
            </w:tcBorders>
          </w:tcPr>
          <w:p w14:paraId="412EA678" w14:textId="602B0002" w:rsidR="00791AAC" w:rsidRDefault="00791AAC" w:rsidP="00E52934">
            <w:pPr>
              <w:pStyle w:val="TableText"/>
              <w:keepNext w:val="0"/>
              <w:jc w:val="center"/>
              <w:rPr>
                <w:rFonts w:eastAsia="Times New Roman"/>
                <w:lang w:eastAsia="en-AU"/>
              </w:rPr>
            </w:pPr>
            <w:r>
              <w:rPr>
                <w:rFonts w:eastAsia="Times New Roman"/>
                <w:lang w:eastAsia="en-AU"/>
              </w:rPr>
              <w:t>$20.17</w:t>
            </w:r>
          </w:p>
        </w:tc>
      </w:tr>
      <w:tr w:rsidR="00791AAC" w:rsidRPr="00A50A0F" w14:paraId="3897E336" w14:textId="77777777" w:rsidTr="00DF7CC7">
        <w:trPr>
          <w:trHeight w:val="530"/>
        </w:trPr>
        <w:tc>
          <w:tcPr>
            <w:tcW w:w="560" w:type="pct"/>
            <w:vMerge/>
            <w:tcBorders>
              <w:left w:val="single" w:sz="4" w:space="0" w:color="auto"/>
              <w:right w:val="single" w:sz="4" w:space="0" w:color="auto"/>
            </w:tcBorders>
            <w:shd w:val="clear" w:color="auto" w:fill="auto"/>
          </w:tcPr>
          <w:p w14:paraId="56DF1D03" w14:textId="77777777" w:rsidR="00791AAC" w:rsidRPr="00591234" w:rsidRDefault="00791AAC" w:rsidP="00E52934">
            <w:pPr>
              <w:pStyle w:val="TableText"/>
              <w:keepNext w:val="0"/>
              <w:rPr>
                <w:rFonts w:eastAsia="Times New Roman"/>
                <w:b/>
                <w:lang w:eastAsia="en-AU"/>
              </w:rPr>
            </w:pPr>
          </w:p>
        </w:tc>
        <w:tc>
          <w:tcPr>
            <w:tcW w:w="1122" w:type="pct"/>
            <w:tcBorders>
              <w:top w:val="nil"/>
              <w:left w:val="nil"/>
              <w:bottom w:val="single" w:sz="4" w:space="0" w:color="auto"/>
              <w:right w:val="single" w:sz="4" w:space="0" w:color="auto"/>
            </w:tcBorders>
            <w:shd w:val="clear" w:color="auto" w:fill="auto"/>
            <w:noWrap/>
          </w:tcPr>
          <w:p w14:paraId="4868E6F0" w14:textId="3B8F7B23" w:rsidR="00791AAC" w:rsidRPr="00DE12BC" w:rsidRDefault="00791AAC" w:rsidP="00E52934">
            <w:pPr>
              <w:pStyle w:val="TableText"/>
              <w:keepNext w:val="0"/>
              <w:rPr>
                <w:rFonts w:eastAsia="Times New Roman"/>
                <w:lang w:eastAsia="en-AU"/>
              </w:rPr>
            </w:pPr>
            <w:r w:rsidRPr="00DE12BC">
              <w:rPr>
                <w:rFonts w:eastAsia="Times New Roman"/>
                <w:lang w:eastAsia="en-AU"/>
              </w:rPr>
              <w:t>Tablet containi</w:t>
            </w:r>
            <w:r>
              <w:rPr>
                <w:rFonts w:eastAsia="Times New Roman"/>
                <w:lang w:eastAsia="en-AU"/>
              </w:rPr>
              <w:t>ng hydromorphone hydrochloride 4</w:t>
            </w:r>
            <w:r w:rsidRPr="00DE12BC">
              <w:rPr>
                <w:rFonts w:eastAsia="Times New Roman"/>
                <w:lang w:eastAsia="en-AU"/>
              </w:rPr>
              <w:t xml:space="preserve"> mg</w:t>
            </w:r>
          </w:p>
        </w:tc>
        <w:tc>
          <w:tcPr>
            <w:tcW w:w="349" w:type="pct"/>
            <w:tcBorders>
              <w:top w:val="single" w:sz="4" w:space="0" w:color="auto"/>
              <w:left w:val="single" w:sz="4" w:space="0" w:color="auto"/>
              <w:bottom w:val="single" w:sz="4" w:space="0" w:color="auto"/>
              <w:right w:val="single" w:sz="4" w:space="0" w:color="auto"/>
            </w:tcBorders>
          </w:tcPr>
          <w:p w14:paraId="21171FEC" w14:textId="536688CB" w:rsidR="00791AAC" w:rsidRDefault="00791AAC" w:rsidP="00E52934">
            <w:pPr>
              <w:pStyle w:val="TableText"/>
              <w:keepNext w:val="0"/>
              <w:jc w:val="center"/>
              <w:rPr>
                <w:rFonts w:eastAsia="Times New Roman"/>
                <w:lang w:eastAsia="en-AU"/>
              </w:rPr>
            </w:pPr>
            <w:r w:rsidRPr="00C3265D">
              <w:rPr>
                <w:rFonts w:eastAsia="Times New Roman"/>
                <w:lang w:eastAsia="en-AU"/>
              </w:rPr>
              <w:t>5116G</w:t>
            </w:r>
            <w:r>
              <w:rPr>
                <w:rFonts w:eastAsia="Times New Roman"/>
                <w:lang w:eastAsia="en-AU"/>
              </w:rPr>
              <w:t xml:space="preserve"> </w:t>
            </w:r>
            <w:r w:rsidRPr="00C3265D">
              <w:rPr>
                <w:rFonts w:eastAsia="Times New Roman"/>
                <w:lang w:eastAsia="en-AU"/>
              </w:rPr>
              <w:t>8542N</w:t>
            </w:r>
          </w:p>
        </w:tc>
        <w:tc>
          <w:tcPr>
            <w:tcW w:w="377" w:type="pct"/>
            <w:tcBorders>
              <w:top w:val="single" w:sz="4" w:space="0" w:color="auto"/>
              <w:left w:val="single" w:sz="4" w:space="0" w:color="auto"/>
              <w:bottom w:val="single" w:sz="4" w:space="0" w:color="auto"/>
              <w:right w:val="single" w:sz="4" w:space="0" w:color="auto"/>
            </w:tcBorders>
          </w:tcPr>
          <w:p w14:paraId="63B16550" w14:textId="0456E74F" w:rsidR="00791AAC" w:rsidRDefault="00791AAC" w:rsidP="00E52934">
            <w:pPr>
              <w:pStyle w:val="TableText"/>
              <w:keepNext w:val="0"/>
              <w:jc w:val="center"/>
              <w:rPr>
                <w:rFonts w:eastAsia="Times New Roman"/>
                <w:lang w:eastAsia="en-AU"/>
              </w:rPr>
            </w:pPr>
            <w:r w:rsidRPr="00DE12BC">
              <w:rPr>
                <w:rFonts w:eastAsia="Times New Roman"/>
                <w:lang w:eastAsia="en-AU"/>
              </w:rPr>
              <w:t>20</w:t>
            </w:r>
          </w:p>
        </w:tc>
        <w:tc>
          <w:tcPr>
            <w:tcW w:w="377" w:type="pct"/>
            <w:tcBorders>
              <w:top w:val="single" w:sz="4" w:space="0" w:color="auto"/>
              <w:left w:val="single" w:sz="4" w:space="0" w:color="auto"/>
              <w:bottom w:val="single" w:sz="4" w:space="0" w:color="auto"/>
              <w:right w:val="single" w:sz="4" w:space="0" w:color="auto"/>
            </w:tcBorders>
          </w:tcPr>
          <w:p w14:paraId="0F307748" w14:textId="5FBE478C" w:rsidR="00791AAC" w:rsidRPr="00DE12BC" w:rsidRDefault="00791AAC" w:rsidP="00E52934">
            <w:pPr>
              <w:pStyle w:val="TableText"/>
              <w:keepNext w:val="0"/>
              <w:jc w:val="center"/>
              <w:rPr>
                <w:rFonts w:eastAsia="Times New Roman"/>
                <w:lang w:eastAsia="en-AU"/>
              </w:rPr>
            </w:pPr>
            <w:r>
              <w:rPr>
                <w:rFonts w:eastAsia="Times New Roman"/>
                <w:lang w:eastAsia="en-AU"/>
              </w:rPr>
              <w:t>$23.45</w:t>
            </w:r>
          </w:p>
        </w:tc>
        <w:tc>
          <w:tcPr>
            <w:tcW w:w="617" w:type="pct"/>
            <w:tcBorders>
              <w:top w:val="nil"/>
              <w:left w:val="single" w:sz="4" w:space="0" w:color="auto"/>
              <w:bottom w:val="single" w:sz="4" w:space="0" w:color="000000"/>
              <w:right w:val="single" w:sz="4" w:space="0" w:color="auto"/>
            </w:tcBorders>
            <w:shd w:val="clear" w:color="auto" w:fill="auto"/>
          </w:tcPr>
          <w:p w14:paraId="515CB0C4" w14:textId="562F27FE" w:rsidR="00791AAC" w:rsidRPr="00DE12BC" w:rsidRDefault="00791AAC" w:rsidP="00E52934">
            <w:pPr>
              <w:pStyle w:val="TableText"/>
              <w:keepNext w:val="0"/>
              <w:jc w:val="center"/>
              <w:rPr>
                <w:rFonts w:eastAsia="Times New Roman"/>
                <w:lang w:eastAsia="en-AU"/>
              </w:rPr>
            </w:pPr>
            <w:r w:rsidRPr="00DE12BC">
              <w:rPr>
                <w:rFonts w:eastAsia="Times New Roman"/>
                <w:lang w:eastAsia="en-AU"/>
              </w:rPr>
              <w:t>20 tablets within the bottle</w:t>
            </w:r>
          </w:p>
        </w:tc>
        <w:tc>
          <w:tcPr>
            <w:tcW w:w="525" w:type="pct"/>
            <w:tcBorders>
              <w:top w:val="nil"/>
              <w:left w:val="single" w:sz="4" w:space="0" w:color="auto"/>
              <w:bottom w:val="single" w:sz="4" w:space="0" w:color="auto"/>
              <w:right w:val="single" w:sz="4" w:space="0" w:color="auto"/>
            </w:tcBorders>
            <w:shd w:val="clear" w:color="auto" w:fill="auto"/>
            <w:noWrap/>
          </w:tcPr>
          <w:p w14:paraId="6BF61E1A" w14:textId="212212DC" w:rsidR="00791AAC" w:rsidRDefault="00791AAC" w:rsidP="00E52934">
            <w:pPr>
              <w:pStyle w:val="TableText"/>
              <w:keepNext w:val="0"/>
              <w:jc w:val="center"/>
              <w:rPr>
                <w:rFonts w:eastAsia="Times New Roman"/>
                <w:lang w:eastAsia="en-AU"/>
              </w:rPr>
            </w:pPr>
            <w:r>
              <w:rPr>
                <w:rFonts w:eastAsia="Times New Roman"/>
                <w:lang w:eastAsia="en-AU"/>
              </w:rPr>
              <w:t>10</w:t>
            </w:r>
          </w:p>
        </w:tc>
        <w:tc>
          <w:tcPr>
            <w:tcW w:w="460" w:type="pct"/>
            <w:tcBorders>
              <w:top w:val="nil"/>
              <w:left w:val="single" w:sz="4" w:space="0" w:color="auto"/>
              <w:bottom w:val="single" w:sz="4" w:space="0" w:color="000000"/>
              <w:right w:val="single" w:sz="4" w:space="0" w:color="auto"/>
            </w:tcBorders>
            <w:shd w:val="clear" w:color="auto" w:fill="auto"/>
            <w:noWrap/>
          </w:tcPr>
          <w:p w14:paraId="5BEDAF8C" w14:textId="333A4E0D" w:rsidR="00791AAC" w:rsidRDefault="00791AAC" w:rsidP="00E52934">
            <w:pPr>
              <w:pStyle w:val="TableText"/>
              <w:keepNext w:val="0"/>
              <w:jc w:val="center"/>
              <w:rPr>
                <w:rFonts w:eastAsia="Times New Roman"/>
                <w:lang w:eastAsia="en-AU"/>
              </w:rPr>
            </w:pPr>
            <w:r>
              <w:rPr>
                <w:rFonts w:eastAsia="Times New Roman"/>
                <w:lang w:eastAsia="en-AU"/>
              </w:rPr>
              <w:t>10</w:t>
            </w:r>
          </w:p>
        </w:tc>
        <w:tc>
          <w:tcPr>
            <w:tcW w:w="612" w:type="pct"/>
            <w:tcBorders>
              <w:top w:val="nil"/>
              <w:left w:val="single" w:sz="4" w:space="0" w:color="auto"/>
              <w:bottom w:val="single" w:sz="4" w:space="0" w:color="000000"/>
              <w:right w:val="single" w:sz="4" w:space="0" w:color="auto"/>
            </w:tcBorders>
          </w:tcPr>
          <w:p w14:paraId="48748179" w14:textId="7B0FF0D5" w:rsidR="00791AAC" w:rsidRPr="004E3B9F" w:rsidRDefault="00791AAC" w:rsidP="00E52934">
            <w:pPr>
              <w:pStyle w:val="TableText"/>
              <w:jc w:val="center"/>
              <w:rPr>
                <w:lang w:eastAsia="en-AU"/>
              </w:rPr>
            </w:pPr>
            <w:r>
              <w:rPr>
                <w:lang w:eastAsia="en-AU"/>
              </w:rPr>
              <w:t>$</w:t>
            </w:r>
            <w:r w:rsidRPr="004041C5">
              <w:rPr>
                <w:lang w:eastAsia="en-AU"/>
              </w:rPr>
              <w:t>21.57</w:t>
            </w:r>
          </w:p>
        </w:tc>
      </w:tr>
      <w:tr w:rsidR="00791AAC" w:rsidRPr="00A50A0F" w14:paraId="619F1117" w14:textId="77777777" w:rsidTr="00DF7CC7">
        <w:trPr>
          <w:trHeight w:val="530"/>
        </w:trPr>
        <w:tc>
          <w:tcPr>
            <w:tcW w:w="560" w:type="pct"/>
            <w:vMerge/>
            <w:tcBorders>
              <w:left w:val="single" w:sz="4" w:space="0" w:color="auto"/>
              <w:bottom w:val="single" w:sz="4" w:space="0" w:color="auto"/>
              <w:right w:val="single" w:sz="4" w:space="0" w:color="auto"/>
            </w:tcBorders>
            <w:shd w:val="clear" w:color="auto" w:fill="auto"/>
          </w:tcPr>
          <w:p w14:paraId="227C5B8C" w14:textId="77777777" w:rsidR="00791AAC" w:rsidRPr="00591234" w:rsidRDefault="00791AAC" w:rsidP="00E52934">
            <w:pPr>
              <w:pStyle w:val="TableText"/>
              <w:keepNext w:val="0"/>
              <w:rPr>
                <w:rFonts w:eastAsia="Times New Roman"/>
                <w:b/>
                <w:lang w:eastAsia="en-AU"/>
              </w:rPr>
            </w:pPr>
          </w:p>
        </w:tc>
        <w:tc>
          <w:tcPr>
            <w:tcW w:w="1122" w:type="pct"/>
            <w:tcBorders>
              <w:top w:val="nil"/>
              <w:left w:val="nil"/>
              <w:bottom w:val="single" w:sz="4" w:space="0" w:color="auto"/>
              <w:right w:val="single" w:sz="4" w:space="0" w:color="auto"/>
            </w:tcBorders>
            <w:shd w:val="clear" w:color="auto" w:fill="auto"/>
            <w:noWrap/>
          </w:tcPr>
          <w:p w14:paraId="17D0C4E8" w14:textId="2543F576" w:rsidR="00791AAC" w:rsidRPr="00DE12BC" w:rsidRDefault="00791AAC" w:rsidP="00E52934">
            <w:pPr>
              <w:pStyle w:val="TableText"/>
              <w:keepNext w:val="0"/>
              <w:rPr>
                <w:rFonts w:eastAsia="Times New Roman"/>
                <w:lang w:eastAsia="en-AU"/>
              </w:rPr>
            </w:pPr>
            <w:r w:rsidRPr="00DE12BC">
              <w:rPr>
                <w:rFonts w:eastAsia="Times New Roman"/>
                <w:lang w:eastAsia="en-AU"/>
              </w:rPr>
              <w:t xml:space="preserve">Tablet containing hydromorphone hydrochloride </w:t>
            </w:r>
            <w:r>
              <w:rPr>
                <w:rFonts w:eastAsia="Times New Roman"/>
                <w:lang w:eastAsia="en-AU"/>
              </w:rPr>
              <w:t>8</w:t>
            </w:r>
            <w:r w:rsidRPr="00DE12BC">
              <w:rPr>
                <w:rFonts w:eastAsia="Times New Roman"/>
                <w:lang w:eastAsia="en-AU"/>
              </w:rPr>
              <w:t xml:space="preserve"> mg</w:t>
            </w:r>
          </w:p>
        </w:tc>
        <w:tc>
          <w:tcPr>
            <w:tcW w:w="349" w:type="pct"/>
            <w:tcBorders>
              <w:top w:val="single" w:sz="4" w:space="0" w:color="auto"/>
              <w:left w:val="single" w:sz="4" w:space="0" w:color="auto"/>
              <w:bottom w:val="single" w:sz="4" w:space="0" w:color="auto"/>
              <w:right w:val="single" w:sz="4" w:space="0" w:color="auto"/>
            </w:tcBorders>
          </w:tcPr>
          <w:p w14:paraId="17737A5B" w14:textId="1826956A" w:rsidR="00791AAC" w:rsidRDefault="00791AAC" w:rsidP="00E52934">
            <w:pPr>
              <w:pStyle w:val="TableText"/>
              <w:keepNext w:val="0"/>
              <w:jc w:val="center"/>
              <w:rPr>
                <w:rFonts w:eastAsia="Times New Roman"/>
                <w:lang w:eastAsia="en-AU"/>
              </w:rPr>
            </w:pPr>
            <w:r w:rsidRPr="00C3265D">
              <w:rPr>
                <w:rFonts w:eastAsia="Times New Roman"/>
                <w:lang w:eastAsia="en-AU"/>
              </w:rPr>
              <w:t>5117H</w:t>
            </w:r>
            <w:r>
              <w:rPr>
                <w:rFonts w:eastAsia="Times New Roman"/>
                <w:lang w:eastAsia="en-AU"/>
              </w:rPr>
              <w:t xml:space="preserve"> </w:t>
            </w:r>
            <w:r w:rsidRPr="00C3265D">
              <w:rPr>
                <w:rFonts w:eastAsia="Times New Roman"/>
                <w:lang w:eastAsia="en-AU"/>
              </w:rPr>
              <w:t>8543P</w:t>
            </w:r>
          </w:p>
        </w:tc>
        <w:tc>
          <w:tcPr>
            <w:tcW w:w="377" w:type="pct"/>
            <w:tcBorders>
              <w:top w:val="single" w:sz="4" w:space="0" w:color="auto"/>
              <w:left w:val="single" w:sz="4" w:space="0" w:color="auto"/>
              <w:bottom w:val="single" w:sz="4" w:space="0" w:color="auto"/>
              <w:right w:val="single" w:sz="4" w:space="0" w:color="auto"/>
            </w:tcBorders>
          </w:tcPr>
          <w:p w14:paraId="3FF16B21" w14:textId="14F46A2A" w:rsidR="00791AAC" w:rsidRDefault="00791AAC" w:rsidP="00E52934">
            <w:pPr>
              <w:pStyle w:val="TableText"/>
              <w:keepNext w:val="0"/>
              <w:jc w:val="center"/>
              <w:rPr>
                <w:rFonts w:eastAsia="Times New Roman"/>
                <w:lang w:eastAsia="en-AU"/>
              </w:rPr>
            </w:pPr>
            <w:r w:rsidRPr="00DE12BC">
              <w:rPr>
                <w:rFonts w:eastAsia="Times New Roman"/>
                <w:lang w:eastAsia="en-AU"/>
              </w:rPr>
              <w:t>20</w:t>
            </w:r>
          </w:p>
        </w:tc>
        <w:tc>
          <w:tcPr>
            <w:tcW w:w="377" w:type="pct"/>
            <w:tcBorders>
              <w:top w:val="single" w:sz="4" w:space="0" w:color="auto"/>
              <w:left w:val="single" w:sz="4" w:space="0" w:color="auto"/>
              <w:bottom w:val="single" w:sz="4" w:space="0" w:color="auto"/>
              <w:right w:val="single" w:sz="4" w:space="0" w:color="auto"/>
            </w:tcBorders>
          </w:tcPr>
          <w:p w14:paraId="4429C2C2" w14:textId="1BC8C70E" w:rsidR="00791AAC" w:rsidRPr="00DE12BC" w:rsidRDefault="00791AAC" w:rsidP="00E52934">
            <w:pPr>
              <w:pStyle w:val="TableText"/>
              <w:keepNext w:val="0"/>
              <w:jc w:val="center"/>
              <w:rPr>
                <w:rFonts w:eastAsia="Times New Roman"/>
                <w:lang w:eastAsia="en-AU"/>
              </w:rPr>
            </w:pPr>
            <w:r>
              <w:rPr>
                <w:rFonts w:eastAsia="Times New Roman"/>
                <w:lang w:eastAsia="en-AU"/>
              </w:rPr>
              <w:t>$31.86</w:t>
            </w:r>
          </w:p>
        </w:tc>
        <w:tc>
          <w:tcPr>
            <w:tcW w:w="617" w:type="pct"/>
            <w:tcBorders>
              <w:top w:val="nil"/>
              <w:left w:val="single" w:sz="4" w:space="0" w:color="auto"/>
              <w:bottom w:val="single" w:sz="4" w:space="0" w:color="auto"/>
              <w:right w:val="single" w:sz="4" w:space="0" w:color="auto"/>
            </w:tcBorders>
            <w:shd w:val="clear" w:color="auto" w:fill="auto"/>
          </w:tcPr>
          <w:p w14:paraId="1121742E" w14:textId="27EE6F3C" w:rsidR="00791AAC" w:rsidRPr="00DE12BC" w:rsidRDefault="00791AAC" w:rsidP="00E52934">
            <w:pPr>
              <w:pStyle w:val="TableText"/>
              <w:keepNext w:val="0"/>
              <w:jc w:val="center"/>
              <w:rPr>
                <w:rFonts w:eastAsia="Times New Roman"/>
                <w:lang w:eastAsia="en-AU"/>
              </w:rPr>
            </w:pPr>
            <w:r w:rsidRPr="00DE12BC">
              <w:rPr>
                <w:rFonts w:eastAsia="Times New Roman"/>
                <w:lang w:eastAsia="en-AU"/>
              </w:rPr>
              <w:t>20 tablets within the bottle</w:t>
            </w:r>
          </w:p>
        </w:tc>
        <w:tc>
          <w:tcPr>
            <w:tcW w:w="525" w:type="pct"/>
            <w:tcBorders>
              <w:top w:val="nil"/>
              <w:left w:val="single" w:sz="4" w:space="0" w:color="auto"/>
              <w:bottom w:val="single" w:sz="4" w:space="0" w:color="auto"/>
              <w:right w:val="single" w:sz="4" w:space="0" w:color="auto"/>
            </w:tcBorders>
            <w:shd w:val="clear" w:color="auto" w:fill="auto"/>
            <w:noWrap/>
          </w:tcPr>
          <w:p w14:paraId="4B72CB2C" w14:textId="144A1783" w:rsidR="00791AAC" w:rsidRDefault="00791AAC" w:rsidP="00E52934">
            <w:pPr>
              <w:pStyle w:val="TableText"/>
              <w:keepNext w:val="0"/>
              <w:jc w:val="center"/>
              <w:rPr>
                <w:rFonts w:eastAsia="Times New Roman"/>
                <w:lang w:eastAsia="en-AU"/>
              </w:rPr>
            </w:pPr>
            <w:r>
              <w:rPr>
                <w:rFonts w:eastAsia="Times New Roman"/>
                <w:lang w:eastAsia="en-AU"/>
              </w:rPr>
              <w:t>10</w:t>
            </w:r>
          </w:p>
        </w:tc>
        <w:tc>
          <w:tcPr>
            <w:tcW w:w="460" w:type="pct"/>
            <w:tcBorders>
              <w:top w:val="nil"/>
              <w:left w:val="single" w:sz="4" w:space="0" w:color="auto"/>
              <w:bottom w:val="single" w:sz="4" w:space="0" w:color="auto"/>
              <w:right w:val="single" w:sz="4" w:space="0" w:color="auto"/>
            </w:tcBorders>
            <w:shd w:val="clear" w:color="auto" w:fill="auto"/>
            <w:noWrap/>
          </w:tcPr>
          <w:p w14:paraId="0DE9353F" w14:textId="7974A5DF" w:rsidR="00791AAC" w:rsidRDefault="00791AAC" w:rsidP="00E52934">
            <w:pPr>
              <w:pStyle w:val="TableText"/>
              <w:keepNext w:val="0"/>
              <w:jc w:val="center"/>
              <w:rPr>
                <w:rFonts w:eastAsia="Times New Roman"/>
                <w:lang w:eastAsia="en-AU"/>
              </w:rPr>
            </w:pPr>
            <w:r>
              <w:rPr>
                <w:rFonts w:eastAsia="Times New Roman"/>
                <w:lang w:eastAsia="en-AU"/>
              </w:rPr>
              <w:t>10</w:t>
            </w:r>
          </w:p>
        </w:tc>
        <w:tc>
          <w:tcPr>
            <w:tcW w:w="612" w:type="pct"/>
            <w:tcBorders>
              <w:top w:val="nil"/>
              <w:left w:val="single" w:sz="4" w:space="0" w:color="auto"/>
              <w:bottom w:val="single" w:sz="4" w:space="0" w:color="auto"/>
              <w:right w:val="single" w:sz="4" w:space="0" w:color="auto"/>
            </w:tcBorders>
          </w:tcPr>
          <w:p w14:paraId="46AC78B2" w14:textId="4C008910" w:rsidR="00791AAC" w:rsidRDefault="00791AAC" w:rsidP="00E52934">
            <w:pPr>
              <w:pStyle w:val="TableText"/>
              <w:keepNext w:val="0"/>
              <w:jc w:val="center"/>
              <w:rPr>
                <w:rFonts w:eastAsia="Times New Roman"/>
                <w:lang w:eastAsia="en-AU"/>
              </w:rPr>
            </w:pPr>
            <w:r>
              <w:rPr>
                <w:rFonts w:eastAsia="Times New Roman"/>
                <w:lang w:eastAsia="en-AU"/>
              </w:rPr>
              <w:t>$26.79</w:t>
            </w:r>
          </w:p>
        </w:tc>
      </w:tr>
      <w:tr w:rsidR="00791AAC" w:rsidRPr="00A50A0F" w14:paraId="00B82C3F" w14:textId="77777777" w:rsidTr="00DF7CC7">
        <w:trPr>
          <w:trHeight w:val="469"/>
        </w:trPr>
        <w:tc>
          <w:tcPr>
            <w:tcW w:w="560" w:type="pct"/>
            <w:tcBorders>
              <w:top w:val="single" w:sz="4" w:space="0" w:color="auto"/>
              <w:left w:val="single" w:sz="4" w:space="0" w:color="auto"/>
              <w:bottom w:val="single" w:sz="4" w:space="0" w:color="auto"/>
              <w:right w:val="single" w:sz="4" w:space="0" w:color="auto"/>
            </w:tcBorders>
            <w:shd w:val="clear" w:color="auto" w:fill="auto"/>
            <w:noWrap/>
          </w:tcPr>
          <w:p w14:paraId="404A429C" w14:textId="1C7BEDB9" w:rsidR="00791AAC" w:rsidRPr="00591234" w:rsidRDefault="00791AAC" w:rsidP="00E52934">
            <w:pPr>
              <w:pStyle w:val="TableText"/>
              <w:keepNext w:val="0"/>
              <w:rPr>
                <w:rFonts w:eastAsia="Times New Roman"/>
                <w:b/>
                <w:lang w:eastAsia="en-AU"/>
              </w:rPr>
            </w:pPr>
            <w:r w:rsidRPr="00591234">
              <w:rPr>
                <w:rFonts w:eastAsia="Times New Roman"/>
                <w:b/>
                <w:lang w:eastAsia="en-AU"/>
              </w:rPr>
              <w:t>Morphine</w:t>
            </w:r>
          </w:p>
        </w:tc>
        <w:tc>
          <w:tcPr>
            <w:tcW w:w="1122" w:type="pct"/>
            <w:tcBorders>
              <w:top w:val="single" w:sz="4" w:space="0" w:color="auto"/>
              <w:left w:val="nil"/>
              <w:bottom w:val="single" w:sz="4" w:space="0" w:color="auto"/>
              <w:right w:val="single" w:sz="4" w:space="0" w:color="auto"/>
            </w:tcBorders>
            <w:shd w:val="clear" w:color="auto" w:fill="auto"/>
            <w:noWrap/>
          </w:tcPr>
          <w:p w14:paraId="7BEA2C91" w14:textId="1924C8BB" w:rsidR="00791AAC" w:rsidRPr="00DE12BC" w:rsidRDefault="00791AAC" w:rsidP="00E52934">
            <w:pPr>
              <w:pStyle w:val="TableText"/>
              <w:keepNext w:val="0"/>
              <w:rPr>
                <w:rFonts w:eastAsia="Times New Roman"/>
                <w:lang w:eastAsia="en-AU"/>
              </w:rPr>
            </w:pPr>
            <w:r w:rsidRPr="00DE12BC">
              <w:rPr>
                <w:rFonts w:eastAsia="Times New Roman"/>
                <w:lang w:eastAsia="en-AU"/>
              </w:rPr>
              <w:t>Tablet containing morphine sulfate pentahydrate 30 mg</w:t>
            </w:r>
          </w:p>
        </w:tc>
        <w:tc>
          <w:tcPr>
            <w:tcW w:w="349" w:type="pct"/>
            <w:tcBorders>
              <w:top w:val="single" w:sz="4" w:space="0" w:color="auto"/>
              <w:left w:val="single" w:sz="4" w:space="0" w:color="auto"/>
              <w:bottom w:val="single" w:sz="4" w:space="0" w:color="auto"/>
              <w:right w:val="single" w:sz="4" w:space="0" w:color="auto"/>
            </w:tcBorders>
          </w:tcPr>
          <w:p w14:paraId="1D11A652" w14:textId="54DB5F49" w:rsidR="00791AAC" w:rsidRDefault="00AA1C9D" w:rsidP="00E52934">
            <w:pPr>
              <w:pStyle w:val="TableText"/>
              <w:keepNext w:val="0"/>
              <w:jc w:val="center"/>
              <w:rPr>
                <w:rFonts w:eastAsia="Times New Roman"/>
                <w:lang w:eastAsia="en-AU"/>
              </w:rPr>
            </w:pPr>
            <w:r>
              <w:rPr>
                <w:rFonts w:eastAsia="Times New Roman"/>
                <w:lang w:eastAsia="en-AU"/>
              </w:rPr>
              <w:t>1646P</w:t>
            </w:r>
            <w:r w:rsidR="00791AAC">
              <w:rPr>
                <w:rFonts w:eastAsia="Times New Roman"/>
                <w:lang w:eastAsia="en-AU"/>
              </w:rPr>
              <w:t xml:space="preserve"> </w:t>
            </w:r>
            <w:r w:rsidR="00791AAC" w:rsidRPr="00A50A0F">
              <w:rPr>
                <w:rFonts w:eastAsia="Times New Roman"/>
                <w:lang w:eastAsia="en-AU"/>
              </w:rPr>
              <w:t>5163R</w:t>
            </w:r>
          </w:p>
        </w:tc>
        <w:tc>
          <w:tcPr>
            <w:tcW w:w="377" w:type="pct"/>
            <w:tcBorders>
              <w:top w:val="single" w:sz="4" w:space="0" w:color="auto"/>
              <w:left w:val="single" w:sz="4" w:space="0" w:color="auto"/>
              <w:bottom w:val="single" w:sz="4" w:space="0" w:color="auto"/>
              <w:right w:val="single" w:sz="4" w:space="0" w:color="auto"/>
            </w:tcBorders>
          </w:tcPr>
          <w:p w14:paraId="57D05587" w14:textId="7F998407" w:rsidR="00791AAC" w:rsidRDefault="00791AAC" w:rsidP="00E52934">
            <w:pPr>
              <w:pStyle w:val="TableText"/>
              <w:keepNext w:val="0"/>
              <w:jc w:val="center"/>
              <w:rPr>
                <w:rFonts w:eastAsia="Times New Roman"/>
                <w:lang w:eastAsia="en-AU"/>
              </w:rPr>
            </w:pPr>
            <w:r>
              <w:rPr>
                <w:rFonts w:eastAsia="Times New Roman"/>
                <w:lang w:eastAsia="en-AU"/>
              </w:rPr>
              <w:t>20</w:t>
            </w:r>
          </w:p>
        </w:tc>
        <w:tc>
          <w:tcPr>
            <w:tcW w:w="377" w:type="pct"/>
            <w:tcBorders>
              <w:top w:val="single" w:sz="4" w:space="0" w:color="auto"/>
              <w:left w:val="single" w:sz="4" w:space="0" w:color="auto"/>
              <w:bottom w:val="single" w:sz="4" w:space="0" w:color="auto"/>
              <w:right w:val="single" w:sz="4" w:space="0" w:color="auto"/>
            </w:tcBorders>
          </w:tcPr>
          <w:p w14:paraId="492664AA" w14:textId="28F1C31D" w:rsidR="00791AAC" w:rsidRPr="00DE12BC" w:rsidRDefault="00791AAC" w:rsidP="00E52934">
            <w:pPr>
              <w:pStyle w:val="TableText"/>
              <w:keepNext w:val="0"/>
              <w:jc w:val="center"/>
              <w:rPr>
                <w:rFonts w:eastAsia="Times New Roman"/>
                <w:lang w:eastAsia="en-AU"/>
              </w:rPr>
            </w:pPr>
            <w:r>
              <w:rPr>
                <w:rFonts w:eastAsia="Times New Roman"/>
                <w:lang w:eastAsia="en-AU"/>
              </w:rPr>
              <w:t>$18.85</w:t>
            </w:r>
          </w:p>
        </w:tc>
        <w:tc>
          <w:tcPr>
            <w:tcW w:w="617" w:type="pct"/>
            <w:tcBorders>
              <w:top w:val="single" w:sz="4" w:space="0" w:color="auto"/>
              <w:left w:val="single" w:sz="4" w:space="0" w:color="auto"/>
              <w:bottom w:val="single" w:sz="4" w:space="0" w:color="auto"/>
              <w:right w:val="single" w:sz="4" w:space="0" w:color="auto"/>
            </w:tcBorders>
            <w:shd w:val="clear" w:color="auto" w:fill="auto"/>
          </w:tcPr>
          <w:p w14:paraId="60F0B588" w14:textId="0311A513" w:rsidR="00791AAC" w:rsidRPr="00DE12BC" w:rsidRDefault="00791AAC" w:rsidP="00E52934">
            <w:pPr>
              <w:pStyle w:val="TableText"/>
              <w:keepNext w:val="0"/>
              <w:jc w:val="center"/>
              <w:rPr>
                <w:rFonts w:eastAsia="Times New Roman"/>
                <w:lang w:eastAsia="en-AU"/>
              </w:rPr>
            </w:pPr>
            <w:r w:rsidRPr="00DE12BC">
              <w:rPr>
                <w:rFonts w:eastAsia="Times New Roman"/>
                <w:lang w:eastAsia="en-AU"/>
              </w:rPr>
              <w:t>2 x 10 tablet</w:t>
            </w:r>
            <w:r>
              <w:rPr>
                <w:rFonts w:eastAsia="Times New Roman"/>
                <w:lang w:eastAsia="en-AU"/>
              </w:rPr>
              <w:t xml:space="preserve"> </w:t>
            </w:r>
            <w:r w:rsidRPr="00DE12BC">
              <w:rPr>
                <w:rFonts w:eastAsia="Times New Roman"/>
                <w:lang w:eastAsia="en-AU"/>
              </w:rPr>
              <w:t>blisters</w:t>
            </w:r>
          </w:p>
        </w:tc>
        <w:tc>
          <w:tcPr>
            <w:tcW w:w="525" w:type="pct"/>
            <w:tcBorders>
              <w:top w:val="single" w:sz="4" w:space="0" w:color="auto"/>
              <w:left w:val="single" w:sz="4" w:space="0" w:color="auto"/>
              <w:bottom w:val="single" w:sz="4" w:space="0" w:color="auto"/>
              <w:right w:val="single" w:sz="4" w:space="0" w:color="auto"/>
            </w:tcBorders>
            <w:shd w:val="clear" w:color="auto" w:fill="auto"/>
            <w:noWrap/>
          </w:tcPr>
          <w:p w14:paraId="0D711234" w14:textId="300529ED" w:rsidR="00791AAC" w:rsidRPr="00DE12BC" w:rsidRDefault="00791AAC" w:rsidP="00E52934">
            <w:pPr>
              <w:pStyle w:val="TableText"/>
              <w:keepNext w:val="0"/>
              <w:jc w:val="center"/>
              <w:rPr>
                <w:rFonts w:eastAsia="Times New Roman"/>
                <w:lang w:eastAsia="en-AU"/>
              </w:rPr>
            </w:pPr>
            <w:r w:rsidRPr="00DE12BC">
              <w:rPr>
                <w:rFonts w:eastAsia="Times New Roman"/>
                <w:lang w:eastAsia="en-AU"/>
              </w:rPr>
              <w:t>6 to 10</w:t>
            </w:r>
          </w:p>
        </w:tc>
        <w:tc>
          <w:tcPr>
            <w:tcW w:w="460" w:type="pct"/>
            <w:tcBorders>
              <w:top w:val="single" w:sz="4" w:space="0" w:color="auto"/>
              <w:left w:val="single" w:sz="4" w:space="0" w:color="auto"/>
              <w:bottom w:val="single" w:sz="4" w:space="0" w:color="auto"/>
              <w:right w:val="single" w:sz="4" w:space="0" w:color="auto"/>
            </w:tcBorders>
            <w:shd w:val="clear" w:color="auto" w:fill="auto"/>
            <w:noWrap/>
          </w:tcPr>
          <w:p w14:paraId="45D408AB" w14:textId="08A90FEC" w:rsidR="00791AAC" w:rsidRDefault="00791AAC" w:rsidP="00E52934">
            <w:pPr>
              <w:pStyle w:val="TableText"/>
              <w:keepNext w:val="0"/>
              <w:jc w:val="center"/>
              <w:rPr>
                <w:rFonts w:eastAsia="Times New Roman"/>
                <w:lang w:eastAsia="en-AU"/>
              </w:rPr>
            </w:pPr>
            <w:r>
              <w:rPr>
                <w:rFonts w:eastAsia="Times New Roman"/>
                <w:lang w:eastAsia="en-AU"/>
              </w:rPr>
              <w:t>10</w:t>
            </w:r>
          </w:p>
        </w:tc>
        <w:tc>
          <w:tcPr>
            <w:tcW w:w="612" w:type="pct"/>
            <w:tcBorders>
              <w:top w:val="single" w:sz="4" w:space="0" w:color="auto"/>
              <w:left w:val="single" w:sz="4" w:space="0" w:color="auto"/>
              <w:bottom w:val="single" w:sz="4" w:space="0" w:color="auto"/>
              <w:right w:val="single" w:sz="4" w:space="0" w:color="auto"/>
            </w:tcBorders>
          </w:tcPr>
          <w:p w14:paraId="725D4F4D" w14:textId="4E6DABD7" w:rsidR="00791AAC" w:rsidRDefault="00791AAC" w:rsidP="00E52934">
            <w:pPr>
              <w:pStyle w:val="TableText"/>
              <w:keepNext w:val="0"/>
              <w:jc w:val="center"/>
              <w:rPr>
                <w:rFonts w:eastAsia="Times New Roman"/>
                <w:lang w:eastAsia="en-AU"/>
              </w:rPr>
            </w:pPr>
            <w:r>
              <w:rPr>
                <w:rFonts w:eastAsia="Times New Roman"/>
                <w:lang w:eastAsia="en-AU"/>
              </w:rPr>
              <w:t>$18.72</w:t>
            </w:r>
          </w:p>
        </w:tc>
      </w:tr>
      <w:tr w:rsidR="00791AAC" w:rsidRPr="00A50A0F" w14:paraId="10FD5D51" w14:textId="09EFD8F9" w:rsidTr="00DF7CC7">
        <w:trPr>
          <w:trHeight w:val="321"/>
        </w:trPr>
        <w:tc>
          <w:tcPr>
            <w:tcW w:w="560" w:type="pct"/>
            <w:vMerge w:val="restart"/>
            <w:tcBorders>
              <w:top w:val="single" w:sz="4" w:space="0" w:color="auto"/>
              <w:left w:val="single" w:sz="4" w:space="0" w:color="auto"/>
              <w:bottom w:val="single" w:sz="4" w:space="0" w:color="auto"/>
              <w:right w:val="single" w:sz="4" w:space="0" w:color="auto"/>
            </w:tcBorders>
            <w:shd w:val="clear" w:color="auto" w:fill="auto"/>
            <w:noWrap/>
            <w:hideMark/>
          </w:tcPr>
          <w:p w14:paraId="7B92C7D7" w14:textId="77777777" w:rsidR="00791AAC" w:rsidRPr="00591234" w:rsidRDefault="00791AAC" w:rsidP="00E52934">
            <w:pPr>
              <w:pStyle w:val="TableText"/>
              <w:keepNext w:val="0"/>
              <w:rPr>
                <w:rFonts w:eastAsia="Times New Roman"/>
                <w:b/>
                <w:lang w:eastAsia="en-AU"/>
              </w:rPr>
            </w:pPr>
            <w:r w:rsidRPr="00591234">
              <w:rPr>
                <w:rFonts w:eastAsia="Times New Roman"/>
                <w:b/>
                <w:lang w:eastAsia="en-AU"/>
              </w:rPr>
              <w:t>Oxycodone</w:t>
            </w:r>
          </w:p>
        </w:tc>
        <w:tc>
          <w:tcPr>
            <w:tcW w:w="1122" w:type="pct"/>
            <w:tcBorders>
              <w:top w:val="single" w:sz="4" w:space="0" w:color="auto"/>
              <w:left w:val="nil"/>
              <w:bottom w:val="single" w:sz="4" w:space="0" w:color="auto"/>
              <w:right w:val="single" w:sz="4" w:space="0" w:color="auto"/>
            </w:tcBorders>
            <w:shd w:val="clear" w:color="auto" w:fill="auto"/>
            <w:noWrap/>
            <w:hideMark/>
          </w:tcPr>
          <w:p w14:paraId="49098ACD" w14:textId="21D916C1" w:rsidR="00791AAC" w:rsidRPr="00DE12BC" w:rsidRDefault="00791AAC" w:rsidP="00E52934">
            <w:pPr>
              <w:pStyle w:val="TableText"/>
              <w:keepNext w:val="0"/>
              <w:rPr>
                <w:rFonts w:eastAsia="Times New Roman"/>
                <w:lang w:eastAsia="en-AU"/>
              </w:rPr>
            </w:pPr>
            <w:r w:rsidRPr="00DE12BC">
              <w:rPr>
                <w:rFonts w:eastAsia="Times New Roman"/>
                <w:lang w:eastAsia="en-AU"/>
              </w:rPr>
              <w:t>Capsule contain</w:t>
            </w:r>
            <w:r>
              <w:rPr>
                <w:rFonts w:eastAsia="Times New Roman"/>
                <w:lang w:eastAsia="en-AU"/>
              </w:rPr>
              <w:t>ing oxycodone hydrochloride 5</w:t>
            </w:r>
            <w:r w:rsidRPr="00DE12BC">
              <w:rPr>
                <w:rFonts w:eastAsia="Times New Roman"/>
                <w:lang w:eastAsia="en-AU"/>
              </w:rPr>
              <w:t xml:space="preserve"> mg</w:t>
            </w:r>
          </w:p>
        </w:tc>
        <w:tc>
          <w:tcPr>
            <w:tcW w:w="349" w:type="pct"/>
            <w:tcBorders>
              <w:top w:val="single" w:sz="4" w:space="0" w:color="auto"/>
              <w:left w:val="single" w:sz="4" w:space="0" w:color="auto"/>
              <w:bottom w:val="single" w:sz="4" w:space="0" w:color="auto"/>
              <w:right w:val="single" w:sz="4" w:space="0" w:color="auto"/>
            </w:tcBorders>
          </w:tcPr>
          <w:p w14:paraId="76AE81DD" w14:textId="58157C10" w:rsidR="00791AAC" w:rsidRPr="00A50A0F" w:rsidRDefault="00791AAC" w:rsidP="00E52934">
            <w:pPr>
              <w:pStyle w:val="TableText"/>
              <w:keepNext w:val="0"/>
              <w:jc w:val="center"/>
              <w:rPr>
                <w:rFonts w:eastAsia="Times New Roman"/>
                <w:lang w:eastAsia="en-AU"/>
              </w:rPr>
            </w:pPr>
            <w:r w:rsidRPr="00B938A5">
              <w:rPr>
                <w:rFonts w:eastAsia="Times New Roman"/>
                <w:lang w:eastAsia="en-AU"/>
              </w:rPr>
              <w:t>5191F</w:t>
            </w:r>
            <w:r>
              <w:rPr>
                <w:rFonts w:eastAsia="Times New Roman"/>
                <w:lang w:eastAsia="en-AU"/>
              </w:rPr>
              <w:t xml:space="preserve"> </w:t>
            </w:r>
            <w:r w:rsidR="00AA1C9D">
              <w:rPr>
                <w:rFonts w:eastAsia="Times New Roman"/>
                <w:lang w:eastAsia="en-AU"/>
              </w:rPr>
              <w:t>8464L</w:t>
            </w:r>
          </w:p>
        </w:tc>
        <w:tc>
          <w:tcPr>
            <w:tcW w:w="377" w:type="pct"/>
            <w:tcBorders>
              <w:top w:val="single" w:sz="4" w:space="0" w:color="auto"/>
              <w:left w:val="single" w:sz="4" w:space="0" w:color="auto"/>
              <w:bottom w:val="single" w:sz="4" w:space="0" w:color="auto"/>
              <w:right w:val="single" w:sz="4" w:space="0" w:color="auto"/>
            </w:tcBorders>
          </w:tcPr>
          <w:p w14:paraId="0B2B5487" w14:textId="3F6AF847" w:rsidR="00791AAC" w:rsidRDefault="00791AAC" w:rsidP="00E52934">
            <w:pPr>
              <w:pStyle w:val="TableText"/>
              <w:keepNext w:val="0"/>
              <w:jc w:val="center"/>
              <w:rPr>
                <w:rFonts w:eastAsia="Times New Roman"/>
                <w:lang w:eastAsia="en-AU"/>
              </w:rPr>
            </w:pPr>
            <w:r w:rsidRPr="00DE12BC">
              <w:rPr>
                <w:rFonts w:eastAsia="Times New Roman"/>
                <w:lang w:eastAsia="en-AU"/>
              </w:rPr>
              <w:t>20</w:t>
            </w:r>
          </w:p>
        </w:tc>
        <w:tc>
          <w:tcPr>
            <w:tcW w:w="377" w:type="pct"/>
            <w:tcBorders>
              <w:top w:val="single" w:sz="4" w:space="0" w:color="auto"/>
              <w:left w:val="single" w:sz="4" w:space="0" w:color="auto"/>
              <w:bottom w:val="single" w:sz="4" w:space="0" w:color="auto"/>
              <w:right w:val="single" w:sz="4" w:space="0" w:color="auto"/>
            </w:tcBorders>
          </w:tcPr>
          <w:p w14:paraId="6EEF1D6C" w14:textId="18CF9BC2" w:rsidR="00791AAC" w:rsidRPr="00DE12BC" w:rsidRDefault="00791AAC" w:rsidP="00E52934">
            <w:pPr>
              <w:pStyle w:val="TableText"/>
              <w:keepNext w:val="0"/>
              <w:jc w:val="center"/>
              <w:rPr>
                <w:rFonts w:eastAsia="Times New Roman"/>
                <w:lang w:eastAsia="en-AU"/>
              </w:rPr>
            </w:pPr>
            <w:r>
              <w:rPr>
                <w:rFonts w:eastAsia="Times New Roman"/>
                <w:lang w:eastAsia="en-AU"/>
              </w:rPr>
              <w:t>$16.91</w:t>
            </w:r>
          </w:p>
        </w:tc>
        <w:tc>
          <w:tcPr>
            <w:tcW w:w="617" w:type="pct"/>
            <w:tcBorders>
              <w:top w:val="single" w:sz="4" w:space="0" w:color="auto"/>
              <w:left w:val="single" w:sz="4" w:space="0" w:color="auto"/>
              <w:bottom w:val="single" w:sz="4" w:space="0" w:color="auto"/>
              <w:right w:val="single" w:sz="4" w:space="0" w:color="auto"/>
            </w:tcBorders>
            <w:shd w:val="clear" w:color="auto" w:fill="auto"/>
            <w:hideMark/>
          </w:tcPr>
          <w:p w14:paraId="5825424F" w14:textId="0BC70593" w:rsidR="00791AAC" w:rsidRPr="00DE12BC" w:rsidRDefault="00791AAC" w:rsidP="00E52934">
            <w:pPr>
              <w:pStyle w:val="TableText"/>
              <w:keepNext w:val="0"/>
              <w:jc w:val="center"/>
              <w:rPr>
                <w:rFonts w:eastAsia="Times New Roman"/>
                <w:lang w:eastAsia="en-AU"/>
              </w:rPr>
            </w:pPr>
            <w:r w:rsidRPr="00DE12BC">
              <w:rPr>
                <w:rFonts w:eastAsia="Times New Roman"/>
                <w:lang w:eastAsia="en-AU"/>
              </w:rPr>
              <w:t>2 x 10</w:t>
            </w:r>
            <w:r>
              <w:rPr>
                <w:rFonts w:eastAsia="Times New Roman"/>
                <w:lang w:eastAsia="en-AU"/>
              </w:rPr>
              <w:t xml:space="preserve"> capsule </w:t>
            </w:r>
            <w:r w:rsidRPr="00DE12BC">
              <w:rPr>
                <w:rFonts w:eastAsia="Times New Roman"/>
                <w:lang w:eastAsia="en-AU"/>
              </w:rPr>
              <w:t>blister</w:t>
            </w:r>
            <w:r>
              <w:rPr>
                <w:rFonts w:eastAsia="Times New Roman"/>
                <w:lang w:eastAsia="en-AU"/>
              </w:rPr>
              <w:t>s</w:t>
            </w:r>
          </w:p>
        </w:tc>
        <w:tc>
          <w:tcPr>
            <w:tcW w:w="525" w:type="pct"/>
            <w:tcBorders>
              <w:top w:val="single" w:sz="4" w:space="0" w:color="auto"/>
              <w:left w:val="single" w:sz="4" w:space="0" w:color="auto"/>
              <w:bottom w:val="single" w:sz="4" w:space="0" w:color="auto"/>
              <w:right w:val="single" w:sz="4" w:space="0" w:color="auto"/>
            </w:tcBorders>
            <w:shd w:val="clear" w:color="auto" w:fill="auto"/>
            <w:noWrap/>
            <w:hideMark/>
          </w:tcPr>
          <w:p w14:paraId="286DBC4C" w14:textId="77777777" w:rsidR="00791AAC" w:rsidRPr="00DE12BC" w:rsidRDefault="00791AAC" w:rsidP="00E52934">
            <w:pPr>
              <w:pStyle w:val="TableText"/>
              <w:keepNext w:val="0"/>
              <w:jc w:val="center"/>
              <w:rPr>
                <w:rFonts w:eastAsia="Times New Roman"/>
                <w:lang w:eastAsia="en-AU"/>
              </w:rPr>
            </w:pPr>
            <w:r w:rsidRPr="00DE12BC">
              <w:rPr>
                <w:rFonts w:eastAsia="Times New Roman"/>
                <w:lang w:eastAsia="en-AU"/>
              </w:rPr>
              <w:t>6 to 10</w:t>
            </w:r>
          </w:p>
        </w:tc>
        <w:tc>
          <w:tcPr>
            <w:tcW w:w="460" w:type="pct"/>
            <w:tcBorders>
              <w:top w:val="single" w:sz="4" w:space="0" w:color="auto"/>
              <w:left w:val="single" w:sz="4" w:space="0" w:color="auto"/>
              <w:bottom w:val="single" w:sz="4" w:space="0" w:color="auto"/>
              <w:right w:val="single" w:sz="4" w:space="0" w:color="auto"/>
            </w:tcBorders>
            <w:shd w:val="clear" w:color="auto" w:fill="auto"/>
            <w:noWrap/>
            <w:hideMark/>
          </w:tcPr>
          <w:p w14:paraId="14DD8328" w14:textId="793C18BE" w:rsidR="00791AAC" w:rsidRPr="00DE12BC" w:rsidRDefault="00791AAC" w:rsidP="00E52934">
            <w:pPr>
              <w:pStyle w:val="TableText"/>
              <w:keepNext w:val="0"/>
              <w:jc w:val="center"/>
              <w:rPr>
                <w:rFonts w:eastAsia="Times New Roman"/>
                <w:lang w:eastAsia="en-AU"/>
              </w:rPr>
            </w:pPr>
            <w:r>
              <w:rPr>
                <w:rFonts w:eastAsia="Times New Roman"/>
                <w:lang w:eastAsia="en-AU"/>
              </w:rPr>
              <w:t>10</w:t>
            </w:r>
          </w:p>
        </w:tc>
        <w:tc>
          <w:tcPr>
            <w:tcW w:w="612" w:type="pct"/>
            <w:tcBorders>
              <w:top w:val="single" w:sz="4" w:space="0" w:color="auto"/>
              <w:left w:val="single" w:sz="4" w:space="0" w:color="auto"/>
              <w:bottom w:val="single" w:sz="4" w:space="0" w:color="auto"/>
              <w:right w:val="single" w:sz="4" w:space="0" w:color="auto"/>
            </w:tcBorders>
          </w:tcPr>
          <w:p w14:paraId="51638467" w14:textId="480D4284" w:rsidR="00791AAC" w:rsidRDefault="00791AAC" w:rsidP="00E52934">
            <w:pPr>
              <w:pStyle w:val="TableText"/>
              <w:keepNext w:val="0"/>
              <w:jc w:val="center"/>
              <w:rPr>
                <w:rFonts w:eastAsia="Times New Roman"/>
                <w:lang w:eastAsia="en-AU"/>
              </w:rPr>
            </w:pPr>
            <w:r>
              <w:rPr>
                <w:rFonts w:eastAsia="Times New Roman"/>
                <w:lang w:eastAsia="en-AU"/>
              </w:rPr>
              <w:t>$17.52</w:t>
            </w:r>
          </w:p>
        </w:tc>
      </w:tr>
      <w:tr w:rsidR="00791AAC" w:rsidRPr="00A50A0F" w14:paraId="2854FD45" w14:textId="77777777" w:rsidTr="00DF7CC7">
        <w:trPr>
          <w:trHeight w:val="321"/>
        </w:trPr>
        <w:tc>
          <w:tcPr>
            <w:tcW w:w="560" w:type="pct"/>
            <w:vMerge/>
            <w:tcBorders>
              <w:top w:val="single" w:sz="4" w:space="0" w:color="auto"/>
              <w:left w:val="single" w:sz="4" w:space="0" w:color="auto"/>
              <w:bottom w:val="single" w:sz="4" w:space="0" w:color="auto"/>
              <w:right w:val="single" w:sz="4" w:space="0" w:color="auto"/>
            </w:tcBorders>
            <w:shd w:val="clear" w:color="auto" w:fill="auto"/>
            <w:noWrap/>
          </w:tcPr>
          <w:p w14:paraId="22659096" w14:textId="77777777" w:rsidR="00791AAC" w:rsidRPr="00591234" w:rsidRDefault="00791AAC" w:rsidP="00E52934">
            <w:pPr>
              <w:pStyle w:val="TableText"/>
              <w:keepNext w:val="0"/>
              <w:rPr>
                <w:rFonts w:eastAsia="Times New Roman"/>
                <w:b/>
                <w:lang w:eastAsia="en-AU"/>
              </w:rPr>
            </w:pPr>
          </w:p>
        </w:tc>
        <w:tc>
          <w:tcPr>
            <w:tcW w:w="1122" w:type="pct"/>
            <w:tcBorders>
              <w:top w:val="single" w:sz="4" w:space="0" w:color="auto"/>
              <w:left w:val="nil"/>
              <w:bottom w:val="single" w:sz="4" w:space="0" w:color="auto"/>
              <w:right w:val="single" w:sz="4" w:space="0" w:color="auto"/>
            </w:tcBorders>
            <w:shd w:val="clear" w:color="auto" w:fill="auto"/>
            <w:noWrap/>
          </w:tcPr>
          <w:p w14:paraId="2D688922" w14:textId="2B663004" w:rsidR="00791AAC" w:rsidRPr="00DE12BC" w:rsidRDefault="00791AAC" w:rsidP="00E52934">
            <w:pPr>
              <w:pStyle w:val="TableText"/>
              <w:keepNext w:val="0"/>
              <w:rPr>
                <w:rFonts w:eastAsia="Times New Roman"/>
                <w:lang w:eastAsia="en-AU"/>
              </w:rPr>
            </w:pPr>
            <w:r>
              <w:rPr>
                <w:rFonts w:eastAsia="Times New Roman"/>
                <w:lang w:eastAsia="en-AU"/>
              </w:rPr>
              <w:t>Tablet</w:t>
            </w:r>
            <w:r w:rsidRPr="00DE12BC">
              <w:rPr>
                <w:rFonts w:eastAsia="Times New Roman"/>
                <w:lang w:eastAsia="en-AU"/>
              </w:rPr>
              <w:t xml:space="preserve"> contain</w:t>
            </w:r>
            <w:r>
              <w:rPr>
                <w:rFonts w:eastAsia="Times New Roman"/>
                <w:lang w:eastAsia="en-AU"/>
              </w:rPr>
              <w:t>ing oxycodone hydrochloride 5</w:t>
            </w:r>
            <w:r w:rsidRPr="00DE12BC">
              <w:rPr>
                <w:rFonts w:eastAsia="Times New Roman"/>
                <w:lang w:eastAsia="en-AU"/>
              </w:rPr>
              <w:t xml:space="preserve"> mg</w:t>
            </w:r>
          </w:p>
        </w:tc>
        <w:tc>
          <w:tcPr>
            <w:tcW w:w="349" w:type="pct"/>
            <w:tcBorders>
              <w:top w:val="single" w:sz="4" w:space="0" w:color="auto"/>
              <w:left w:val="single" w:sz="4" w:space="0" w:color="auto"/>
              <w:bottom w:val="single" w:sz="4" w:space="0" w:color="auto"/>
              <w:right w:val="single" w:sz="4" w:space="0" w:color="auto"/>
            </w:tcBorders>
          </w:tcPr>
          <w:p w14:paraId="1B6B7A04" w14:textId="77777777" w:rsidR="00AA1C9D" w:rsidRDefault="00AA1C9D" w:rsidP="00E52934">
            <w:pPr>
              <w:pStyle w:val="TableText"/>
              <w:keepNext w:val="0"/>
              <w:jc w:val="center"/>
              <w:rPr>
                <w:rFonts w:eastAsia="Times New Roman"/>
                <w:lang w:eastAsia="en-AU"/>
              </w:rPr>
            </w:pPr>
            <w:r>
              <w:rPr>
                <w:rFonts w:eastAsia="Times New Roman"/>
                <w:lang w:eastAsia="en-AU"/>
              </w:rPr>
              <w:t>2622B</w:t>
            </w:r>
          </w:p>
          <w:p w14:paraId="24E32E4E" w14:textId="6C8DEA89" w:rsidR="00791AAC" w:rsidRDefault="00791AAC" w:rsidP="00E52934">
            <w:pPr>
              <w:pStyle w:val="TableText"/>
              <w:keepNext w:val="0"/>
              <w:jc w:val="center"/>
              <w:rPr>
                <w:rFonts w:eastAsia="Times New Roman"/>
                <w:lang w:eastAsia="en-AU"/>
              </w:rPr>
            </w:pPr>
            <w:r w:rsidRPr="00B938A5">
              <w:rPr>
                <w:rFonts w:eastAsia="Times New Roman"/>
                <w:lang w:eastAsia="en-AU"/>
              </w:rPr>
              <w:t>5195K</w:t>
            </w:r>
          </w:p>
        </w:tc>
        <w:tc>
          <w:tcPr>
            <w:tcW w:w="377" w:type="pct"/>
            <w:tcBorders>
              <w:top w:val="single" w:sz="4" w:space="0" w:color="auto"/>
              <w:left w:val="single" w:sz="4" w:space="0" w:color="auto"/>
              <w:bottom w:val="single" w:sz="4" w:space="0" w:color="auto"/>
              <w:right w:val="single" w:sz="4" w:space="0" w:color="auto"/>
            </w:tcBorders>
          </w:tcPr>
          <w:p w14:paraId="480F6301" w14:textId="05C39FD3" w:rsidR="00791AAC" w:rsidRDefault="00791AAC" w:rsidP="00E52934">
            <w:pPr>
              <w:pStyle w:val="TableText"/>
              <w:keepNext w:val="0"/>
              <w:jc w:val="center"/>
              <w:rPr>
                <w:rFonts w:eastAsia="Times New Roman"/>
                <w:lang w:eastAsia="en-AU"/>
              </w:rPr>
            </w:pPr>
            <w:r w:rsidRPr="00DE12BC">
              <w:rPr>
                <w:rFonts w:eastAsia="Times New Roman"/>
                <w:lang w:eastAsia="en-AU"/>
              </w:rPr>
              <w:t>20</w:t>
            </w:r>
          </w:p>
        </w:tc>
        <w:tc>
          <w:tcPr>
            <w:tcW w:w="377" w:type="pct"/>
            <w:tcBorders>
              <w:top w:val="single" w:sz="4" w:space="0" w:color="auto"/>
              <w:left w:val="single" w:sz="4" w:space="0" w:color="auto"/>
              <w:bottom w:val="single" w:sz="4" w:space="0" w:color="auto"/>
              <w:right w:val="single" w:sz="4" w:space="0" w:color="auto"/>
            </w:tcBorders>
          </w:tcPr>
          <w:p w14:paraId="3A741FA8" w14:textId="10F4D2DC" w:rsidR="00791AAC" w:rsidRPr="00DE12BC" w:rsidRDefault="00791AAC" w:rsidP="00E52934">
            <w:pPr>
              <w:pStyle w:val="TableText"/>
              <w:keepNext w:val="0"/>
              <w:jc w:val="center"/>
              <w:rPr>
                <w:rFonts w:eastAsia="Times New Roman"/>
                <w:lang w:eastAsia="en-AU"/>
              </w:rPr>
            </w:pPr>
            <w:r>
              <w:rPr>
                <w:rFonts w:eastAsia="Times New Roman"/>
                <w:lang w:eastAsia="en-AU"/>
              </w:rPr>
              <w:t>$16.54</w:t>
            </w:r>
          </w:p>
        </w:tc>
        <w:tc>
          <w:tcPr>
            <w:tcW w:w="617" w:type="pct"/>
            <w:tcBorders>
              <w:top w:val="single" w:sz="4" w:space="0" w:color="auto"/>
              <w:left w:val="single" w:sz="4" w:space="0" w:color="auto"/>
              <w:bottom w:val="single" w:sz="4" w:space="0" w:color="auto"/>
              <w:right w:val="single" w:sz="4" w:space="0" w:color="auto"/>
            </w:tcBorders>
            <w:shd w:val="clear" w:color="auto" w:fill="auto"/>
          </w:tcPr>
          <w:p w14:paraId="13EF4826" w14:textId="56D25CEF" w:rsidR="00791AAC" w:rsidRPr="00DE12BC" w:rsidRDefault="00791AAC" w:rsidP="00E52934">
            <w:pPr>
              <w:pStyle w:val="TableText"/>
              <w:keepNext w:val="0"/>
              <w:jc w:val="center"/>
              <w:rPr>
                <w:rFonts w:eastAsia="Times New Roman"/>
                <w:lang w:eastAsia="en-AU"/>
              </w:rPr>
            </w:pPr>
            <w:r w:rsidRPr="00DE12BC">
              <w:rPr>
                <w:rFonts w:eastAsia="Times New Roman"/>
                <w:lang w:eastAsia="en-AU"/>
              </w:rPr>
              <w:t>2 x 10</w:t>
            </w:r>
            <w:r>
              <w:rPr>
                <w:rFonts w:eastAsia="Times New Roman"/>
                <w:lang w:eastAsia="en-AU"/>
              </w:rPr>
              <w:t xml:space="preserve"> tablet </w:t>
            </w:r>
            <w:r w:rsidRPr="00DE12BC">
              <w:rPr>
                <w:rFonts w:eastAsia="Times New Roman"/>
                <w:lang w:eastAsia="en-AU"/>
              </w:rPr>
              <w:t>blister</w:t>
            </w:r>
            <w:r>
              <w:rPr>
                <w:rFonts w:eastAsia="Times New Roman"/>
                <w:lang w:eastAsia="en-AU"/>
              </w:rPr>
              <w:t>s</w:t>
            </w:r>
          </w:p>
        </w:tc>
        <w:tc>
          <w:tcPr>
            <w:tcW w:w="525" w:type="pct"/>
            <w:tcBorders>
              <w:top w:val="single" w:sz="4" w:space="0" w:color="auto"/>
              <w:left w:val="single" w:sz="4" w:space="0" w:color="auto"/>
              <w:bottom w:val="single" w:sz="4" w:space="0" w:color="auto"/>
              <w:right w:val="single" w:sz="4" w:space="0" w:color="auto"/>
            </w:tcBorders>
            <w:shd w:val="clear" w:color="auto" w:fill="auto"/>
            <w:noWrap/>
          </w:tcPr>
          <w:p w14:paraId="5DAFA4A8" w14:textId="6CCDA78D" w:rsidR="00791AAC" w:rsidRPr="00DE12BC" w:rsidRDefault="00791AAC" w:rsidP="00E52934">
            <w:pPr>
              <w:pStyle w:val="TableText"/>
              <w:keepNext w:val="0"/>
              <w:jc w:val="center"/>
              <w:rPr>
                <w:rFonts w:eastAsia="Times New Roman"/>
                <w:lang w:eastAsia="en-AU"/>
              </w:rPr>
            </w:pPr>
            <w:r w:rsidRPr="00DE12BC">
              <w:rPr>
                <w:rFonts w:eastAsia="Times New Roman"/>
                <w:lang w:eastAsia="en-AU"/>
              </w:rPr>
              <w:t>6 to 10</w:t>
            </w:r>
          </w:p>
        </w:tc>
        <w:tc>
          <w:tcPr>
            <w:tcW w:w="460" w:type="pct"/>
            <w:tcBorders>
              <w:top w:val="single" w:sz="4" w:space="0" w:color="auto"/>
              <w:left w:val="single" w:sz="4" w:space="0" w:color="auto"/>
              <w:bottom w:val="single" w:sz="4" w:space="0" w:color="auto"/>
              <w:right w:val="single" w:sz="4" w:space="0" w:color="auto"/>
            </w:tcBorders>
            <w:shd w:val="clear" w:color="auto" w:fill="auto"/>
            <w:noWrap/>
          </w:tcPr>
          <w:p w14:paraId="364CAC7B" w14:textId="28A1CEE6" w:rsidR="00791AAC" w:rsidRDefault="00791AAC" w:rsidP="00E52934">
            <w:pPr>
              <w:pStyle w:val="TableText"/>
              <w:keepNext w:val="0"/>
              <w:jc w:val="center"/>
              <w:rPr>
                <w:rFonts w:eastAsia="Times New Roman"/>
                <w:lang w:eastAsia="en-AU"/>
              </w:rPr>
            </w:pPr>
            <w:r>
              <w:rPr>
                <w:rFonts w:eastAsia="Times New Roman"/>
                <w:lang w:eastAsia="en-AU"/>
              </w:rPr>
              <w:t>10</w:t>
            </w:r>
          </w:p>
        </w:tc>
        <w:tc>
          <w:tcPr>
            <w:tcW w:w="612" w:type="pct"/>
            <w:tcBorders>
              <w:top w:val="single" w:sz="4" w:space="0" w:color="auto"/>
              <w:left w:val="single" w:sz="4" w:space="0" w:color="auto"/>
              <w:bottom w:val="single" w:sz="4" w:space="0" w:color="auto"/>
              <w:right w:val="single" w:sz="4" w:space="0" w:color="auto"/>
            </w:tcBorders>
          </w:tcPr>
          <w:p w14:paraId="3681B04B" w14:textId="776EE18B" w:rsidR="00791AAC" w:rsidRDefault="00791AAC" w:rsidP="00E52934">
            <w:pPr>
              <w:pStyle w:val="TableText"/>
              <w:keepNext w:val="0"/>
              <w:jc w:val="center"/>
              <w:rPr>
                <w:rFonts w:eastAsia="Times New Roman"/>
                <w:lang w:eastAsia="en-AU"/>
              </w:rPr>
            </w:pPr>
            <w:r>
              <w:rPr>
                <w:rFonts w:eastAsia="Times New Roman"/>
                <w:lang w:eastAsia="en-AU"/>
              </w:rPr>
              <w:t>$17.29</w:t>
            </w:r>
          </w:p>
        </w:tc>
      </w:tr>
      <w:tr w:rsidR="00791AAC" w:rsidRPr="00A50A0F" w14:paraId="2118D12B" w14:textId="77777777" w:rsidTr="00DF7CC7">
        <w:trPr>
          <w:trHeight w:val="321"/>
        </w:trPr>
        <w:tc>
          <w:tcPr>
            <w:tcW w:w="560" w:type="pct"/>
            <w:vMerge/>
            <w:tcBorders>
              <w:top w:val="single" w:sz="4" w:space="0" w:color="auto"/>
              <w:left w:val="single" w:sz="4" w:space="0" w:color="auto"/>
              <w:bottom w:val="single" w:sz="4" w:space="0" w:color="auto"/>
              <w:right w:val="single" w:sz="4" w:space="0" w:color="auto"/>
            </w:tcBorders>
            <w:shd w:val="clear" w:color="auto" w:fill="auto"/>
            <w:noWrap/>
          </w:tcPr>
          <w:p w14:paraId="37D2F061" w14:textId="77777777" w:rsidR="00791AAC" w:rsidRPr="00591234" w:rsidRDefault="00791AAC" w:rsidP="00E52934">
            <w:pPr>
              <w:pStyle w:val="TableText"/>
              <w:keepNext w:val="0"/>
              <w:rPr>
                <w:rFonts w:eastAsia="Times New Roman"/>
                <w:b/>
                <w:lang w:eastAsia="en-AU"/>
              </w:rPr>
            </w:pPr>
          </w:p>
        </w:tc>
        <w:tc>
          <w:tcPr>
            <w:tcW w:w="1122" w:type="pct"/>
            <w:tcBorders>
              <w:top w:val="single" w:sz="4" w:space="0" w:color="auto"/>
              <w:left w:val="nil"/>
              <w:bottom w:val="single" w:sz="4" w:space="0" w:color="auto"/>
              <w:right w:val="single" w:sz="4" w:space="0" w:color="auto"/>
            </w:tcBorders>
            <w:shd w:val="clear" w:color="auto" w:fill="auto"/>
            <w:noWrap/>
          </w:tcPr>
          <w:p w14:paraId="325C8D75" w14:textId="5A3CBA9D" w:rsidR="00791AAC" w:rsidRPr="00DE12BC" w:rsidRDefault="00791AAC" w:rsidP="00E52934">
            <w:pPr>
              <w:pStyle w:val="TableText"/>
              <w:keepNext w:val="0"/>
              <w:rPr>
                <w:rFonts w:eastAsia="Times New Roman"/>
                <w:lang w:eastAsia="en-AU"/>
              </w:rPr>
            </w:pPr>
            <w:r w:rsidRPr="00DE12BC">
              <w:rPr>
                <w:rFonts w:eastAsia="Times New Roman"/>
                <w:lang w:eastAsia="en-AU"/>
              </w:rPr>
              <w:t>Capsule conta</w:t>
            </w:r>
            <w:r>
              <w:rPr>
                <w:rFonts w:eastAsia="Times New Roman"/>
                <w:lang w:eastAsia="en-AU"/>
              </w:rPr>
              <w:t xml:space="preserve">ining oxycodone hydrochloride </w:t>
            </w:r>
            <w:r w:rsidRPr="00DE12BC">
              <w:rPr>
                <w:rFonts w:eastAsia="Times New Roman"/>
                <w:lang w:eastAsia="en-AU"/>
              </w:rPr>
              <w:t>10 mg</w:t>
            </w:r>
          </w:p>
        </w:tc>
        <w:tc>
          <w:tcPr>
            <w:tcW w:w="349" w:type="pct"/>
            <w:tcBorders>
              <w:top w:val="single" w:sz="4" w:space="0" w:color="auto"/>
              <w:left w:val="single" w:sz="4" w:space="0" w:color="auto"/>
              <w:bottom w:val="single" w:sz="4" w:space="0" w:color="auto"/>
              <w:right w:val="single" w:sz="4" w:space="0" w:color="auto"/>
            </w:tcBorders>
          </w:tcPr>
          <w:p w14:paraId="0A64C5C8" w14:textId="23AE87A7" w:rsidR="00791AAC" w:rsidRDefault="00791AAC" w:rsidP="00E52934">
            <w:pPr>
              <w:pStyle w:val="TableText"/>
              <w:keepNext w:val="0"/>
              <w:jc w:val="center"/>
              <w:rPr>
                <w:rFonts w:eastAsia="Times New Roman"/>
                <w:lang w:eastAsia="en-AU"/>
              </w:rPr>
            </w:pPr>
            <w:r w:rsidRPr="00B938A5">
              <w:rPr>
                <w:rFonts w:eastAsia="Times New Roman"/>
                <w:lang w:eastAsia="en-AU"/>
              </w:rPr>
              <w:t>5197M</w:t>
            </w:r>
            <w:r>
              <w:rPr>
                <w:rFonts w:eastAsia="Times New Roman"/>
                <w:lang w:eastAsia="en-AU"/>
              </w:rPr>
              <w:t xml:space="preserve"> </w:t>
            </w:r>
            <w:r w:rsidRPr="00B938A5">
              <w:rPr>
                <w:rFonts w:eastAsia="Times New Roman"/>
                <w:lang w:eastAsia="en-AU"/>
              </w:rPr>
              <w:t>8501K</w:t>
            </w:r>
          </w:p>
        </w:tc>
        <w:tc>
          <w:tcPr>
            <w:tcW w:w="377" w:type="pct"/>
            <w:tcBorders>
              <w:top w:val="single" w:sz="4" w:space="0" w:color="auto"/>
              <w:left w:val="single" w:sz="4" w:space="0" w:color="auto"/>
              <w:bottom w:val="single" w:sz="4" w:space="0" w:color="auto"/>
              <w:right w:val="single" w:sz="4" w:space="0" w:color="auto"/>
            </w:tcBorders>
          </w:tcPr>
          <w:p w14:paraId="2B0D4B26" w14:textId="3CD727F0" w:rsidR="00791AAC" w:rsidRDefault="00791AAC" w:rsidP="00E52934">
            <w:pPr>
              <w:pStyle w:val="TableText"/>
              <w:keepNext w:val="0"/>
              <w:jc w:val="center"/>
              <w:rPr>
                <w:rFonts w:eastAsia="Times New Roman"/>
                <w:lang w:eastAsia="en-AU"/>
              </w:rPr>
            </w:pPr>
            <w:r w:rsidRPr="00DE12BC">
              <w:rPr>
                <w:rFonts w:eastAsia="Times New Roman"/>
                <w:lang w:eastAsia="en-AU"/>
              </w:rPr>
              <w:t>20</w:t>
            </w:r>
          </w:p>
        </w:tc>
        <w:tc>
          <w:tcPr>
            <w:tcW w:w="377" w:type="pct"/>
            <w:tcBorders>
              <w:top w:val="single" w:sz="4" w:space="0" w:color="auto"/>
              <w:left w:val="single" w:sz="4" w:space="0" w:color="auto"/>
              <w:bottom w:val="single" w:sz="4" w:space="0" w:color="auto"/>
              <w:right w:val="single" w:sz="4" w:space="0" w:color="auto"/>
            </w:tcBorders>
          </w:tcPr>
          <w:p w14:paraId="57043BC8" w14:textId="01B3C092" w:rsidR="00791AAC" w:rsidRPr="00DE12BC" w:rsidRDefault="00791AAC" w:rsidP="00E52934">
            <w:pPr>
              <w:pStyle w:val="TableText"/>
              <w:keepNext w:val="0"/>
              <w:jc w:val="center"/>
              <w:rPr>
                <w:rFonts w:eastAsia="Times New Roman"/>
                <w:lang w:eastAsia="en-AU"/>
              </w:rPr>
            </w:pPr>
            <w:r>
              <w:rPr>
                <w:rFonts w:eastAsia="Times New Roman"/>
                <w:lang w:eastAsia="en-AU"/>
              </w:rPr>
              <w:t>$19.19</w:t>
            </w:r>
          </w:p>
        </w:tc>
        <w:tc>
          <w:tcPr>
            <w:tcW w:w="617" w:type="pct"/>
            <w:tcBorders>
              <w:top w:val="single" w:sz="4" w:space="0" w:color="auto"/>
              <w:left w:val="single" w:sz="4" w:space="0" w:color="auto"/>
              <w:bottom w:val="single" w:sz="4" w:space="0" w:color="auto"/>
              <w:right w:val="single" w:sz="4" w:space="0" w:color="auto"/>
            </w:tcBorders>
            <w:shd w:val="clear" w:color="auto" w:fill="auto"/>
          </w:tcPr>
          <w:p w14:paraId="5876555A" w14:textId="25492EA3" w:rsidR="00791AAC" w:rsidRPr="00DE12BC" w:rsidRDefault="00791AAC" w:rsidP="00E52934">
            <w:pPr>
              <w:pStyle w:val="TableText"/>
              <w:keepNext w:val="0"/>
              <w:jc w:val="center"/>
              <w:rPr>
                <w:rFonts w:eastAsia="Times New Roman"/>
                <w:lang w:eastAsia="en-AU"/>
              </w:rPr>
            </w:pPr>
            <w:r w:rsidRPr="00DE12BC">
              <w:rPr>
                <w:rFonts w:eastAsia="Times New Roman"/>
                <w:lang w:eastAsia="en-AU"/>
              </w:rPr>
              <w:t>2 x 10</w:t>
            </w:r>
            <w:r>
              <w:rPr>
                <w:rFonts w:eastAsia="Times New Roman"/>
                <w:lang w:eastAsia="en-AU"/>
              </w:rPr>
              <w:t xml:space="preserve"> capsule </w:t>
            </w:r>
            <w:r w:rsidRPr="00DE12BC">
              <w:rPr>
                <w:rFonts w:eastAsia="Times New Roman"/>
                <w:lang w:eastAsia="en-AU"/>
              </w:rPr>
              <w:t>blister</w:t>
            </w:r>
            <w:r>
              <w:rPr>
                <w:rFonts w:eastAsia="Times New Roman"/>
                <w:lang w:eastAsia="en-AU"/>
              </w:rPr>
              <w:t>s</w:t>
            </w:r>
          </w:p>
        </w:tc>
        <w:tc>
          <w:tcPr>
            <w:tcW w:w="525" w:type="pct"/>
            <w:tcBorders>
              <w:top w:val="single" w:sz="4" w:space="0" w:color="auto"/>
              <w:left w:val="single" w:sz="4" w:space="0" w:color="auto"/>
              <w:bottom w:val="single" w:sz="4" w:space="0" w:color="auto"/>
              <w:right w:val="single" w:sz="4" w:space="0" w:color="auto"/>
            </w:tcBorders>
            <w:shd w:val="clear" w:color="auto" w:fill="auto"/>
            <w:noWrap/>
          </w:tcPr>
          <w:p w14:paraId="4EB53489" w14:textId="2B150327" w:rsidR="00791AAC" w:rsidRPr="00DE12BC" w:rsidRDefault="00791AAC" w:rsidP="00E52934">
            <w:pPr>
              <w:pStyle w:val="TableText"/>
              <w:keepNext w:val="0"/>
              <w:jc w:val="center"/>
              <w:rPr>
                <w:rFonts w:eastAsia="Times New Roman"/>
                <w:lang w:eastAsia="en-AU"/>
              </w:rPr>
            </w:pPr>
            <w:r w:rsidRPr="00DE12BC">
              <w:rPr>
                <w:rFonts w:eastAsia="Times New Roman"/>
                <w:lang w:eastAsia="en-AU"/>
              </w:rPr>
              <w:t>6 to 10</w:t>
            </w:r>
          </w:p>
        </w:tc>
        <w:tc>
          <w:tcPr>
            <w:tcW w:w="460" w:type="pct"/>
            <w:tcBorders>
              <w:top w:val="single" w:sz="4" w:space="0" w:color="auto"/>
              <w:left w:val="single" w:sz="4" w:space="0" w:color="auto"/>
              <w:bottom w:val="single" w:sz="4" w:space="0" w:color="auto"/>
              <w:right w:val="single" w:sz="4" w:space="0" w:color="auto"/>
            </w:tcBorders>
            <w:shd w:val="clear" w:color="auto" w:fill="auto"/>
            <w:noWrap/>
          </w:tcPr>
          <w:p w14:paraId="18AD599E" w14:textId="6026BB4B" w:rsidR="00791AAC" w:rsidRDefault="00791AAC" w:rsidP="00E52934">
            <w:pPr>
              <w:pStyle w:val="TableText"/>
              <w:keepNext w:val="0"/>
              <w:jc w:val="center"/>
              <w:rPr>
                <w:rFonts w:eastAsia="Times New Roman"/>
                <w:lang w:eastAsia="en-AU"/>
              </w:rPr>
            </w:pPr>
            <w:r>
              <w:rPr>
                <w:rFonts w:eastAsia="Times New Roman"/>
                <w:lang w:eastAsia="en-AU"/>
              </w:rPr>
              <w:t>10</w:t>
            </w:r>
          </w:p>
        </w:tc>
        <w:tc>
          <w:tcPr>
            <w:tcW w:w="612" w:type="pct"/>
            <w:tcBorders>
              <w:top w:val="single" w:sz="4" w:space="0" w:color="auto"/>
              <w:left w:val="single" w:sz="4" w:space="0" w:color="auto"/>
              <w:bottom w:val="single" w:sz="4" w:space="0" w:color="auto"/>
              <w:right w:val="single" w:sz="4" w:space="0" w:color="auto"/>
            </w:tcBorders>
          </w:tcPr>
          <w:p w14:paraId="4D53C0D0" w14:textId="2C63BC94" w:rsidR="00791AAC" w:rsidRDefault="00791AAC" w:rsidP="00E52934">
            <w:pPr>
              <w:pStyle w:val="TableText"/>
              <w:keepNext w:val="0"/>
              <w:jc w:val="center"/>
              <w:rPr>
                <w:rFonts w:eastAsia="Times New Roman"/>
                <w:lang w:eastAsia="en-AU"/>
              </w:rPr>
            </w:pPr>
            <w:r>
              <w:rPr>
                <w:rFonts w:eastAsia="Times New Roman"/>
                <w:lang w:eastAsia="en-AU"/>
              </w:rPr>
              <w:t>$18.93</w:t>
            </w:r>
          </w:p>
        </w:tc>
      </w:tr>
      <w:tr w:rsidR="00791AAC" w:rsidRPr="00A50A0F" w14:paraId="33AD52A1" w14:textId="71DB39E0" w:rsidTr="00DF7CC7">
        <w:trPr>
          <w:trHeight w:val="300"/>
        </w:trPr>
        <w:tc>
          <w:tcPr>
            <w:tcW w:w="560" w:type="pct"/>
            <w:vMerge/>
            <w:tcBorders>
              <w:top w:val="single" w:sz="4" w:space="0" w:color="auto"/>
              <w:left w:val="single" w:sz="4" w:space="0" w:color="auto"/>
              <w:bottom w:val="single" w:sz="4" w:space="0" w:color="auto"/>
              <w:right w:val="single" w:sz="4" w:space="0" w:color="auto"/>
            </w:tcBorders>
            <w:shd w:val="clear" w:color="auto" w:fill="auto"/>
            <w:hideMark/>
          </w:tcPr>
          <w:p w14:paraId="296A7F5C" w14:textId="77777777" w:rsidR="00791AAC" w:rsidRPr="00591234" w:rsidRDefault="00791AAC" w:rsidP="00E52934">
            <w:pPr>
              <w:pStyle w:val="TableText"/>
              <w:keepNext w:val="0"/>
              <w:rPr>
                <w:rFonts w:eastAsia="Times New Roman"/>
                <w:b/>
                <w:lang w:eastAsia="en-AU"/>
              </w:rPr>
            </w:pPr>
          </w:p>
        </w:tc>
        <w:tc>
          <w:tcPr>
            <w:tcW w:w="1122" w:type="pct"/>
            <w:tcBorders>
              <w:top w:val="single" w:sz="4" w:space="0" w:color="auto"/>
              <w:left w:val="nil"/>
              <w:bottom w:val="single" w:sz="4" w:space="0" w:color="auto"/>
              <w:right w:val="single" w:sz="4" w:space="0" w:color="auto"/>
            </w:tcBorders>
            <w:shd w:val="clear" w:color="auto" w:fill="auto"/>
            <w:noWrap/>
            <w:hideMark/>
          </w:tcPr>
          <w:p w14:paraId="75A4C535" w14:textId="32F5CE84" w:rsidR="00791AAC" w:rsidRPr="00DE12BC" w:rsidRDefault="00791AAC" w:rsidP="00E52934">
            <w:pPr>
              <w:pStyle w:val="TableText"/>
              <w:keepNext w:val="0"/>
              <w:rPr>
                <w:rFonts w:eastAsia="Times New Roman"/>
                <w:lang w:eastAsia="en-AU"/>
              </w:rPr>
            </w:pPr>
            <w:r w:rsidRPr="00DE12BC">
              <w:rPr>
                <w:rFonts w:eastAsia="Times New Roman"/>
                <w:lang w:eastAsia="en-AU"/>
              </w:rPr>
              <w:t xml:space="preserve">Oral </w:t>
            </w:r>
            <w:r>
              <w:rPr>
                <w:rFonts w:eastAsia="Times New Roman"/>
                <w:lang w:eastAsia="en-AU"/>
              </w:rPr>
              <w:t>liquid</w:t>
            </w:r>
            <w:r w:rsidRPr="00DE12BC">
              <w:rPr>
                <w:rFonts w:eastAsia="Times New Roman"/>
                <w:lang w:eastAsia="en-AU"/>
              </w:rPr>
              <w:t xml:space="preserve"> containing oxycodone hydrochloride 1 mg per mL, 250 mL</w:t>
            </w:r>
          </w:p>
        </w:tc>
        <w:tc>
          <w:tcPr>
            <w:tcW w:w="349" w:type="pct"/>
            <w:tcBorders>
              <w:top w:val="single" w:sz="4" w:space="0" w:color="auto"/>
              <w:left w:val="nil"/>
              <w:bottom w:val="single" w:sz="4" w:space="0" w:color="auto"/>
              <w:right w:val="single" w:sz="4" w:space="0" w:color="auto"/>
            </w:tcBorders>
          </w:tcPr>
          <w:p w14:paraId="1302A549" w14:textId="62A023D9" w:rsidR="00791AAC" w:rsidRPr="00A50A0F" w:rsidRDefault="00AA1C9D" w:rsidP="00E52934">
            <w:pPr>
              <w:pStyle w:val="TableText"/>
              <w:keepNext w:val="0"/>
              <w:jc w:val="center"/>
              <w:rPr>
                <w:rFonts w:eastAsia="Times New Roman"/>
                <w:lang w:eastAsia="en-AU"/>
              </w:rPr>
            </w:pPr>
            <w:r>
              <w:rPr>
                <w:rFonts w:eastAsia="Times New Roman"/>
                <w:lang w:eastAsia="en-AU"/>
              </w:rPr>
              <w:t>5190E</w:t>
            </w:r>
            <w:r w:rsidR="00791AAC">
              <w:rPr>
                <w:rFonts w:eastAsia="Times New Roman"/>
                <w:lang w:eastAsia="en-AU"/>
              </w:rPr>
              <w:t xml:space="preserve"> 8644Y</w:t>
            </w:r>
          </w:p>
        </w:tc>
        <w:tc>
          <w:tcPr>
            <w:tcW w:w="377" w:type="pct"/>
            <w:tcBorders>
              <w:top w:val="single" w:sz="4" w:space="0" w:color="auto"/>
              <w:left w:val="single" w:sz="4" w:space="0" w:color="auto"/>
              <w:bottom w:val="single" w:sz="4" w:space="0" w:color="auto"/>
              <w:right w:val="single" w:sz="4" w:space="0" w:color="auto"/>
            </w:tcBorders>
          </w:tcPr>
          <w:p w14:paraId="4275C315" w14:textId="2523E434" w:rsidR="00791AAC" w:rsidRDefault="00791AAC" w:rsidP="00E52934">
            <w:pPr>
              <w:pStyle w:val="TableText"/>
              <w:keepNext w:val="0"/>
              <w:jc w:val="center"/>
              <w:rPr>
                <w:rFonts w:eastAsia="Times New Roman"/>
                <w:lang w:eastAsia="en-AU"/>
              </w:rPr>
            </w:pPr>
            <w:r w:rsidRPr="00DE12BC">
              <w:rPr>
                <w:rFonts w:eastAsia="Times New Roman"/>
                <w:lang w:eastAsia="en-AU"/>
              </w:rPr>
              <w:t>1 (250mL)</w:t>
            </w:r>
          </w:p>
        </w:tc>
        <w:tc>
          <w:tcPr>
            <w:tcW w:w="377" w:type="pct"/>
            <w:tcBorders>
              <w:top w:val="single" w:sz="4" w:space="0" w:color="auto"/>
              <w:left w:val="single" w:sz="4" w:space="0" w:color="auto"/>
              <w:bottom w:val="single" w:sz="4" w:space="0" w:color="auto"/>
              <w:right w:val="single" w:sz="4" w:space="0" w:color="auto"/>
            </w:tcBorders>
          </w:tcPr>
          <w:p w14:paraId="0FA1A962" w14:textId="6602812C" w:rsidR="00791AAC" w:rsidRPr="00DE12BC" w:rsidRDefault="00791AAC" w:rsidP="00E52934">
            <w:pPr>
              <w:pStyle w:val="TableText"/>
              <w:keepNext w:val="0"/>
              <w:jc w:val="center"/>
              <w:rPr>
                <w:rFonts w:eastAsia="Times New Roman"/>
                <w:lang w:eastAsia="en-AU"/>
              </w:rPr>
            </w:pPr>
            <w:r>
              <w:rPr>
                <w:rFonts w:eastAsia="Times New Roman"/>
                <w:lang w:eastAsia="en-AU"/>
              </w:rPr>
              <w:t>$27.83</w:t>
            </w:r>
          </w:p>
        </w:tc>
        <w:tc>
          <w:tcPr>
            <w:tcW w:w="617" w:type="pct"/>
            <w:tcBorders>
              <w:top w:val="single" w:sz="4" w:space="0" w:color="auto"/>
              <w:left w:val="nil"/>
              <w:bottom w:val="single" w:sz="4" w:space="0" w:color="auto"/>
              <w:right w:val="single" w:sz="4" w:space="0" w:color="auto"/>
            </w:tcBorders>
            <w:shd w:val="clear" w:color="auto" w:fill="auto"/>
            <w:noWrap/>
            <w:hideMark/>
          </w:tcPr>
          <w:p w14:paraId="3C561012" w14:textId="3A7D8B02" w:rsidR="00791AAC" w:rsidRPr="00DE12BC" w:rsidRDefault="00791AAC" w:rsidP="00E52934">
            <w:pPr>
              <w:pStyle w:val="TableText"/>
              <w:keepNext w:val="0"/>
              <w:jc w:val="center"/>
              <w:rPr>
                <w:rFonts w:eastAsia="Times New Roman"/>
                <w:lang w:eastAsia="en-AU"/>
              </w:rPr>
            </w:pPr>
            <w:r>
              <w:rPr>
                <w:rFonts w:eastAsia="Times New Roman"/>
                <w:lang w:eastAsia="en-AU"/>
              </w:rPr>
              <w:t>n/a</w:t>
            </w:r>
          </w:p>
        </w:tc>
        <w:tc>
          <w:tcPr>
            <w:tcW w:w="525" w:type="pct"/>
            <w:tcBorders>
              <w:top w:val="single" w:sz="4" w:space="0" w:color="auto"/>
              <w:left w:val="nil"/>
              <w:bottom w:val="single" w:sz="4" w:space="0" w:color="auto"/>
              <w:right w:val="single" w:sz="4" w:space="0" w:color="auto"/>
            </w:tcBorders>
            <w:shd w:val="clear" w:color="auto" w:fill="auto"/>
            <w:noWrap/>
            <w:hideMark/>
          </w:tcPr>
          <w:p w14:paraId="4CB3593B" w14:textId="4267E509" w:rsidR="00791AAC" w:rsidRPr="00DE12BC" w:rsidRDefault="00AA1C9D" w:rsidP="00E52934">
            <w:pPr>
              <w:pStyle w:val="TableText"/>
              <w:keepNext w:val="0"/>
              <w:jc w:val="center"/>
              <w:rPr>
                <w:rFonts w:eastAsia="Times New Roman"/>
                <w:lang w:eastAsia="en-AU"/>
              </w:rPr>
            </w:pPr>
            <w:r>
              <w:rPr>
                <w:rFonts w:eastAsia="Times New Roman"/>
                <w:lang w:eastAsia="en-AU"/>
              </w:rPr>
              <w:t>20mL to</w:t>
            </w:r>
            <w:r w:rsidR="00791AAC" w:rsidRPr="00DE12BC">
              <w:rPr>
                <w:rFonts w:eastAsia="Times New Roman"/>
                <w:lang w:eastAsia="en-AU"/>
              </w:rPr>
              <w:t xml:space="preserve"> 30mL</w:t>
            </w:r>
            <w:r w:rsidR="00791AAC" w:rsidRPr="00E52934">
              <w:rPr>
                <w:rFonts w:eastAsia="Times New Roman"/>
                <w:vertAlign w:val="superscript"/>
                <w:lang w:eastAsia="en-AU"/>
              </w:rPr>
              <w:t>D</w:t>
            </w:r>
          </w:p>
        </w:tc>
        <w:tc>
          <w:tcPr>
            <w:tcW w:w="460" w:type="pct"/>
            <w:tcBorders>
              <w:top w:val="single" w:sz="4" w:space="0" w:color="auto"/>
              <w:left w:val="nil"/>
              <w:bottom w:val="single" w:sz="4" w:space="0" w:color="auto"/>
              <w:right w:val="single" w:sz="4" w:space="0" w:color="auto"/>
            </w:tcBorders>
            <w:shd w:val="clear" w:color="auto" w:fill="auto"/>
            <w:noWrap/>
            <w:hideMark/>
          </w:tcPr>
          <w:p w14:paraId="17730C58" w14:textId="5F941BB0" w:rsidR="00791AAC" w:rsidRPr="00DE12BC" w:rsidRDefault="00791AAC" w:rsidP="00E52934">
            <w:pPr>
              <w:pStyle w:val="TableText"/>
              <w:keepNext w:val="0"/>
              <w:jc w:val="center"/>
              <w:rPr>
                <w:rFonts w:eastAsia="Times New Roman"/>
                <w:lang w:eastAsia="en-AU"/>
              </w:rPr>
            </w:pPr>
            <w:r>
              <w:rPr>
                <w:rFonts w:eastAsia="Times New Roman"/>
                <w:lang w:eastAsia="en-AU"/>
              </w:rPr>
              <w:t>1</w:t>
            </w:r>
            <w:r>
              <w:rPr>
                <w:rFonts w:eastAsia="Times New Roman"/>
                <w:vertAlign w:val="superscript"/>
                <w:lang w:eastAsia="en-AU"/>
              </w:rPr>
              <w:t xml:space="preserve"> C</w:t>
            </w:r>
          </w:p>
        </w:tc>
        <w:tc>
          <w:tcPr>
            <w:tcW w:w="612" w:type="pct"/>
            <w:tcBorders>
              <w:top w:val="single" w:sz="4" w:space="0" w:color="auto"/>
              <w:left w:val="nil"/>
              <w:bottom w:val="single" w:sz="4" w:space="0" w:color="auto"/>
              <w:right w:val="single" w:sz="4" w:space="0" w:color="auto"/>
            </w:tcBorders>
          </w:tcPr>
          <w:p w14:paraId="02482876" w14:textId="69F767C4" w:rsidR="00791AAC" w:rsidRDefault="00791AAC" w:rsidP="00E52934">
            <w:pPr>
              <w:pStyle w:val="TableText"/>
              <w:keepNext w:val="0"/>
              <w:jc w:val="center"/>
              <w:rPr>
                <w:rFonts w:eastAsia="Times New Roman"/>
                <w:lang w:eastAsia="en-AU"/>
              </w:rPr>
            </w:pPr>
            <w:r>
              <w:rPr>
                <w:rFonts w:eastAsia="Times New Roman"/>
                <w:lang w:eastAsia="en-AU"/>
              </w:rPr>
              <w:t>n/a</w:t>
            </w:r>
            <w:r>
              <w:rPr>
                <w:rFonts w:eastAsia="Times New Roman"/>
                <w:vertAlign w:val="superscript"/>
                <w:lang w:eastAsia="en-AU"/>
              </w:rPr>
              <w:t xml:space="preserve"> C</w:t>
            </w:r>
          </w:p>
        </w:tc>
      </w:tr>
      <w:tr w:rsidR="00791AAC" w:rsidRPr="00A50A0F" w14:paraId="35ACA9F3" w14:textId="4811B3A5" w:rsidTr="00DF7CC7">
        <w:trPr>
          <w:trHeight w:val="300"/>
        </w:trPr>
        <w:tc>
          <w:tcPr>
            <w:tcW w:w="560" w:type="pct"/>
            <w:tcBorders>
              <w:top w:val="single" w:sz="4" w:space="0" w:color="auto"/>
              <w:left w:val="single" w:sz="4" w:space="0" w:color="auto"/>
              <w:bottom w:val="single" w:sz="4" w:space="0" w:color="auto"/>
              <w:right w:val="single" w:sz="4" w:space="0" w:color="auto"/>
            </w:tcBorders>
            <w:shd w:val="clear" w:color="auto" w:fill="auto"/>
            <w:noWrap/>
            <w:hideMark/>
          </w:tcPr>
          <w:p w14:paraId="5B2D1973" w14:textId="67A8F082" w:rsidR="00791AAC" w:rsidRPr="001F1700" w:rsidRDefault="00791AAC" w:rsidP="00E52934">
            <w:pPr>
              <w:pStyle w:val="TableText"/>
              <w:keepNext w:val="0"/>
              <w:rPr>
                <w:rFonts w:eastAsia="Times New Roman"/>
                <w:b/>
                <w:lang w:eastAsia="en-AU"/>
              </w:rPr>
            </w:pPr>
            <w:r w:rsidRPr="001F1700">
              <w:rPr>
                <w:rFonts w:eastAsia="Times New Roman"/>
                <w:b/>
                <w:lang w:eastAsia="en-AU"/>
              </w:rPr>
              <w:t>Tramadol</w:t>
            </w:r>
          </w:p>
        </w:tc>
        <w:tc>
          <w:tcPr>
            <w:tcW w:w="1122" w:type="pct"/>
            <w:tcBorders>
              <w:top w:val="single" w:sz="4" w:space="0" w:color="auto"/>
              <w:left w:val="nil"/>
              <w:bottom w:val="single" w:sz="4" w:space="0" w:color="auto"/>
              <w:right w:val="single" w:sz="4" w:space="0" w:color="auto"/>
            </w:tcBorders>
            <w:shd w:val="clear" w:color="auto" w:fill="auto"/>
            <w:noWrap/>
            <w:hideMark/>
          </w:tcPr>
          <w:p w14:paraId="6C3636E7" w14:textId="75006CA1" w:rsidR="00791AAC" w:rsidRPr="001F1700" w:rsidRDefault="00791AAC" w:rsidP="00E52934">
            <w:pPr>
              <w:pStyle w:val="TableText"/>
              <w:keepNext w:val="0"/>
              <w:rPr>
                <w:rFonts w:eastAsia="Times New Roman"/>
                <w:lang w:eastAsia="en-AU"/>
              </w:rPr>
            </w:pPr>
            <w:r w:rsidRPr="001F1700">
              <w:rPr>
                <w:rFonts w:eastAsia="Times New Roman"/>
                <w:lang w:eastAsia="en-AU"/>
              </w:rPr>
              <w:t>Capsule containing tramadol hydrochloride 50 mg</w:t>
            </w:r>
          </w:p>
        </w:tc>
        <w:tc>
          <w:tcPr>
            <w:tcW w:w="349" w:type="pct"/>
            <w:tcBorders>
              <w:top w:val="single" w:sz="4" w:space="0" w:color="auto"/>
              <w:left w:val="nil"/>
              <w:bottom w:val="single" w:sz="4" w:space="0" w:color="auto"/>
              <w:right w:val="single" w:sz="4" w:space="0" w:color="auto"/>
            </w:tcBorders>
          </w:tcPr>
          <w:p w14:paraId="57DC4EFF" w14:textId="3D70852B" w:rsidR="00791AAC" w:rsidRPr="001F1700" w:rsidRDefault="00AA1C9D" w:rsidP="00E52934">
            <w:pPr>
              <w:pStyle w:val="TableText"/>
              <w:keepNext w:val="0"/>
              <w:jc w:val="center"/>
              <w:rPr>
                <w:rFonts w:eastAsia="Times New Roman"/>
                <w:lang w:eastAsia="en-AU"/>
              </w:rPr>
            </w:pPr>
            <w:r>
              <w:rPr>
                <w:rFonts w:eastAsia="Times New Roman"/>
                <w:lang w:eastAsia="en-AU"/>
              </w:rPr>
              <w:t>5232J</w:t>
            </w:r>
            <w:r w:rsidR="00791AAC">
              <w:rPr>
                <w:rFonts w:eastAsia="Times New Roman"/>
                <w:lang w:eastAsia="en-AU"/>
              </w:rPr>
              <w:t xml:space="preserve"> 8455B</w:t>
            </w:r>
          </w:p>
        </w:tc>
        <w:tc>
          <w:tcPr>
            <w:tcW w:w="377" w:type="pct"/>
            <w:tcBorders>
              <w:top w:val="single" w:sz="4" w:space="0" w:color="auto"/>
              <w:left w:val="single" w:sz="4" w:space="0" w:color="auto"/>
              <w:bottom w:val="single" w:sz="4" w:space="0" w:color="auto"/>
              <w:right w:val="single" w:sz="4" w:space="0" w:color="auto"/>
            </w:tcBorders>
          </w:tcPr>
          <w:p w14:paraId="6B2D1729" w14:textId="6CF65357" w:rsidR="00791AAC" w:rsidRPr="001F1700" w:rsidRDefault="00791AAC" w:rsidP="00E52934">
            <w:pPr>
              <w:pStyle w:val="TableText"/>
              <w:keepNext w:val="0"/>
              <w:jc w:val="center"/>
              <w:rPr>
                <w:rFonts w:eastAsia="Times New Roman"/>
                <w:lang w:eastAsia="en-AU"/>
              </w:rPr>
            </w:pPr>
            <w:r w:rsidRPr="001F1700">
              <w:rPr>
                <w:rFonts w:eastAsia="Times New Roman"/>
                <w:lang w:eastAsia="en-AU"/>
              </w:rPr>
              <w:t>20</w:t>
            </w:r>
          </w:p>
        </w:tc>
        <w:tc>
          <w:tcPr>
            <w:tcW w:w="377" w:type="pct"/>
            <w:tcBorders>
              <w:top w:val="single" w:sz="4" w:space="0" w:color="auto"/>
              <w:left w:val="single" w:sz="4" w:space="0" w:color="auto"/>
              <w:bottom w:val="single" w:sz="4" w:space="0" w:color="auto"/>
              <w:right w:val="single" w:sz="4" w:space="0" w:color="auto"/>
            </w:tcBorders>
          </w:tcPr>
          <w:p w14:paraId="3F24ADDF" w14:textId="09B46716" w:rsidR="00791AAC" w:rsidRPr="001F1700" w:rsidRDefault="00791AAC" w:rsidP="00E52934">
            <w:pPr>
              <w:pStyle w:val="TableText"/>
              <w:keepNext w:val="0"/>
              <w:jc w:val="center"/>
              <w:rPr>
                <w:rFonts w:eastAsia="Times New Roman"/>
                <w:lang w:eastAsia="en-AU"/>
              </w:rPr>
            </w:pPr>
            <w:r w:rsidRPr="001F1700">
              <w:rPr>
                <w:rFonts w:eastAsia="Times New Roman"/>
                <w:lang w:eastAsia="en-AU"/>
              </w:rPr>
              <w:t>$13.48</w:t>
            </w:r>
          </w:p>
        </w:tc>
        <w:tc>
          <w:tcPr>
            <w:tcW w:w="617" w:type="pct"/>
            <w:tcBorders>
              <w:top w:val="single" w:sz="4" w:space="0" w:color="auto"/>
              <w:left w:val="nil"/>
              <w:bottom w:val="single" w:sz="4" w:space="0" w:color="auto"/>
              <w:right w:val="single" w:sz="4" w:space="0" w:color="auto"/>
            </w:tcBorders>
            <w:shd w:val="clear" w:color="auto" w:fill="auto"/>
            <w:noWrap/>
            <w:hideMark/>
          </w:tcPr>
          <w:p w14:paraId="69AAA1C1" w14:textId="72F969BE" w:rsidR="00791AAC" w:rsidRPr="001F1700" w:rsidRDefault="00791AAC" w:rsidP="00E52934">
            <w:pPr>
              <w:pStyle w:val="TableText"/>
              <w:keepNext w:val="0"/>
              <w:jc w:val="center"/>
              <w:rPr>
                <w:rFonts w:eastAsia="Times New Roman"/>
                <w:lang w:eastAsia="en-AU"/>
              </w:rPr>
            </w:pPr>
            <w:r w:rsidRPr="001F1700">
              <w:rPr>
                <w:rFonts w:eastAsia="Times New Roman"/>
                <w:lang w:eastAsia="en-AU"/>
              </w:rPr>
              <w:t>2 blisters x 10</w:t>
            </w:r>
          </w:p>
        </w:tc>
        <w:tc>
          <w:tcPr>
            <w:tcW w:w="525" w:type="pct"/>
            <w:tcBorders>
              <w:top w:val="single" w:sz="4" w:space="0" w:color="auto"/>
              <w:left w:val="nil"/>
              <w:bottom w:val="single" w:sz="4" w:space="0" w:color="auto"/>
              <w:right w:val="single" w:sz="4" w:space="0" w:color="auto"/>
            </w:tcBorders>
            <w:shd w:val="clear" w:color="auto" w:fill="auto"/>
            <w:noWrap/>
            <w:hideMark/>
          </w:tcPr>
          <w:p w14:paraId="520C57DB" w14:textId="5D500D07" w:rsidR="00791AAC" w:rsidRPr="001F1700" w:rsidRDefault="00791AAC" w:rsidP="00E52934">
            <w:pPr>
              <w:pStyle w:val="TableText"/>
              <w:keepNext w:val="0"/>
              <w:jc w:val="center"/>
              <w:rPr>
                <w:rFonts w:eastAsia="Times New Roman"/>
                <w:lang w:eastAsia="en-AU"/>
              </w:rPr>
            </w:pPr>
            <w:r w:rsidRPr="001F1700">
              <w:rPr>
                <w:rFonts w:eastAsia="Times New Roman"/>
                <w:lang w:eastAsia="en-AU"/>
              </w:rPr>
              <w:t>6 to 10</w:t>
            </w:r>
          </w:p>
        </w:tc>
        <w:tc>
          <w:tcPr>
            <w:tcW w:w="460" w:type="pct"/>
            <w:tcBorders>
              <w:top w:val="single" w:sz="4" w:space="0" w:color="auto"/>
              <w:left w:val="nil"/>
              <w:bottom w:val="single" w:sz="4" w:space="0" w:color="auto"/>
              <w:right w:val="single" w:sz="4" w:space="0" w:color="auto"/>
            </w:tcBorders>
            <w:shd w:val="clear" w:color="auto" w:fill="auto"/>
            <w:noWrap/>
            <w:hideMark/>
          </w:tcPr>
          <w:p w14:paraId="3E93583B" w14:textId="33F4591C" w:rsidR="00791AAC" w:rsidRPr="001F1700" w:rsidRDefault="00FD405C" w:rsidP="00E52934">
            <w:pPr>
              <w:pStyle w:val="TableText"/>
              <w:keepNext w:val="0"/>
              <w:jc w:val="center"/>
              <w:rPr>
                <w:rFonts w:eastAsia="Times New Roman"/>
                <w:lang w:eastAsia="en-AU"/>
              </w:rPr>
            </w:pPr>
            <w:r>
              <w:rPr>
                <w:rFonts w:eastAsia="Times New Roman"/>
                <w:lang w:eastAsia="en-AU"/>
              </w:rPr>
              <w:t>10</w:t>
            </w:r>
          </w:p>
        </w:tc>
        <w:tc>
          <w:tcPr>
            <w:tcW w:w="612" w:type="pct"/>
            <w:tcBorders>
              <w:top w:val="single" w:sz="4" w:space="0" w:color="auto"/>
              <w:left w:val="nil"/>
              <w:bottom w:val="single" w:sz="4" w:space="0" w:color="auto"/>
              <w:right w:val="single" w:sz="4" w:space="0" w:color="auto"/>
            </w:tcBorders>
          </w:tcPr>
          <w:p w14:paraId="5E8BD2E7" w14:textId="536AF7BE" w:rsidR="00791AAC" w:rsidRPr="001F1700" w:rsidRDefault="006A4967" w:rsidP="00E52934">
            <w:pPr>
              <w:pStyle w:val="TableText"/>
              <w:keepNext w:val="0"/>
              <w:jc w:val="center"/>
              <w:rPr>
                <w:rFonts w:eastAsia="Times New Roman"/>
                <w:lang w:eastAsia="en-AU"/>
              </w:rPr>
            </w:pPr>
            <w:r>
              <w:rPr>
                <w:rFonts w:eastAsia="Times New Roman"/>
                <w:lang w:eastAsia="en-AU"/>
              </w:rPr>
              <w:t>$14.21</w:t>
            </w:r>
          </w:p>
        </w:tc>
      </w:tr>
    </w:tbl>
    <w:p w14:paraId="161419DF" w14:textId="14EE12F0" w:rsidR="00D562A0" w:rsidRDefault="007277D9" w:rsidP="001F1700">
      <w:pPr>
        <w:pStyle w:val="TableFigureFooter"/>
        <w:spacing w:after="0"/>
      </w:pPr>
      <w:r>
        <w:t>A</w:t>
      </w:r>
      <w:r w:rsidR="00D562A0">
        <w:t xml:space="preserve"> MQ aligns with the currently available pack size</w:t>
      </w:r>
    </w:p>
    <w:p w14:paraId="10F7E5BE" w14:textId="4393DB53" w:rsidR="007C6860" w:rsidRDefault="007277D9" w:rsidP="001F1700">
      <w:pPr>
        <w:pStyle w:val="TableFigureFooter"/>
        <w:spacing w:after="0"/>
      </w:pPr>
      <w:proofErr w:type="gramStart"/>
      <w:r>
        <w:t>B</w:t>
      </w:r>
      <w:r w:rsidR="00B938A5">
        <w:t xml:space="preserve"> </w:t>
      </w:r>
      <w:r w:rsidR="00CB6C09">
        <w:t>Where the TGA ha</w:t>
      </w:r>
      <w:r w:rsidR="00AD2099">
        <w:t>d</w:t>
      </w:r>
      <w:r w:rsidR="00CB6C09">
        <w:t xml:space="preserve"> proposed a range for the new smaller pack size, the Secretariat ha</w:t>
      </w:r>
      <w:r w:rsidR="00AD2099">
        <w:t>d</w:t>
      </w:r>
      <w:r w:rsidR="00CB6C09">
        <w:t xml:space="preserve"> proposed the MQ be in line with the tablets per blister</w:t>
      </w:r>
      <w:r w:rsidR="00894404">
        <w:t xml:space="preserve"> sheet</w:t>
      </w:r>
      <w:r w:rsidR="00CB6C09">
        <w:t xml:space="preserve"> in the currently available pack (i.e. a </w:t>
      </w:r>
      <w:r w:rsidR="00724C80">
        <w:t>smaller</w:t>
      </w:r>
      <w:r w:rsidR="00CB6C09">
        <w:t xml:space="preserve"> MQ of 10 has been proposed for a pack of 20 with 2 x 10 tablet blister</w:t>
      </w:r>
      <w:r w:rsidR="00894404">
        <w:t xml:space="preserve"> sheet</w:t>
      </w:r>
      <w:r w:rsidR="00CB6C09">
        <w:t>s) on the assumption that this would be the most likely pack size that sponsors would register.</w:t>
      </w:r>
      <w:proofErr w:type="gramEnd"/>
    </w:p>
    <w:p w14:paraId="2B7E38D8" w14:textId="6B16EFA2" w:rsidR="005706B9" w:rsidRDefault="007C6860" w:rsidP="001F1700">
      <w:pPr>
        <w:pStyle w:val="TableFigureFooter"/>
        <w:spacing w:after="0"/>
      </w:pPr>
      <w:r>
        <w:lastRenderedPageBreak/>
        <w:t xml:space="preserve">C </w:t>
      </w:r>
      <w:r w:rsidR="00074F9E">
        <w:t xml:space="preserve">For liquid formulations it will not be possible to create new listings with a </w:t>
      </w:r>
      <w:r w:rsidR="00DC6C19">
        <w:t>smaller</w:t>
      </w:r>
      <w:r w:rsidR="00074F9E">
        <w:t xml:space="preserve"> MQ</w:t>
      </w:r>
      <w:r w:rsidR="007E5B3C">
        <w:t xml:space="preserve"> until</w:t>
      </w:r>
      <w:r w:rsidR="00074F9E">
        <w:t xml:space="preserve"> </w:t>
      </w:r>
      <w:r w:rsidR="00FA0680">
        <w:t>a smaller pack size is availabl</w:t>
      </w:r>
      <w:r w:rsidR="005706B9">
        <w:t>e.</w:t>
      </w:r>
    </w:p>
    <w:p w14:paraId="0D4DF6E2" w14:textId="5E81A2C8" w:rsidR="00E52934" w:rsidRPr="00636CF9" w:rsidRDefault="007C6860" w:rsidP="00636CF9">
      <w:pPr>
        <w:pStyle w:val="3-BodyText"/>
        <w:numPr>
          <w:ilvl w:val="0"/>
          <w:numId w:val="0"/>
        </w:numPr>
        <w:spacing w:before="0"/>
        <w:rPr>
          <w:rFonts w:ascii="Arial Narrow" w:eastAsia="Times New Roman" w:hAnsi="Arial Narrow" w:cs="Arial"/>
          <w:snapToGrid w:val="0"/>
          <w:sz w:val="18"/>
        </w:rPr>
      </w:pPr>
      <w:r w:rsidRPr="00636CF9">
        <w:rPr>
          <w:rFonts w:ascii="Arial Narrow" w:eastAsia="Times New Roman" w:hAnsi="Arial Narrow" w:cs="Arial"/>
          <w:snapToGrid w:val="0"/>
          <w:sz w:val="18"/>
        </w:rPr>
        <w:t>D</w:t>
      </w:r>
      <w:r w:rsidR="00E52934" w:rsidRPr="00636CF9">
        <w:rPr>
          <w:rFonts w:ascii="Arial Narrow" w:eastAsia="Times New Roman" w:hAnsi="Arial Narrow" w:cs="Arial"/>
          <w:snapToGrid w:val="0"/>
          <w:sz w:val="18"/>
        </w:rPr>
        <w:t xml:space="preserve"> </w:t>
      </w:r>
      <w:proofErr w:type="gramStart"/>
      <w:r w:rsidR="00E52934" w:rsidRPr="00636CF9">
        <w:rPr>
          <w:rFonts w:ascii="Arial Narrow" w:eastAsia="Times New Roman" w:hAnsi="Arial Narrow" w:cs="Arial"/>
          <w:snapToGrid w:val="0"/>
          <w:sz w:val="18"/>
        </w:rPr>
        <w:t>The</w:t>
      </w:r>
      <w:proofErr w:type="gramEnd"/>
      <w:r w:rsidR="00E52934" w:rsidRPr="00636CF9">
        <w:rPr>
          <w:rFonts w:ascii="Arial Narrow" w:eastAsia="Times New Roman" w:hAnsi="Arial Narrow" w:cs="Arial"/>
          <w:snapToGrid w:val="0"/>
          <w:sz w:val="18"/>
        </w:rPr>
        <w:t xml:space="preserve"> Secretariat propose</w:t>
      </w:r>
      <w:r w:rsidR="00AD2099" w:rsidRPr="00636CF9">
        <w:rPr>
          <w:rFonts w:ascii="Arial Narrow" w:eastAsia="Times New Roman" w:hAnsi="Arial Narrow" w:cs="Arial"/>
          <w:snapToGrid w:val="0"/>
          <w:sz w:val="18"/>
        </w:rPr>
        <w:t>d</w:t>
      </w:r>
      <w:r w:rsidR="00E52934" w:rsidRPr="00636CF9">
        <w:rPr>
          <w:rFonts w:ascii="Arial Narrow" w:eastAsia="Times New Roman" w:hAnsi="Arial Narrow" w:cs="Arial"/>
          <w:snapToGrid w:val="0"/>
          <w:sz w:val="18"/>
        </w:rPr>
        <w:t xml:space="preserve"> that </w:t>
      </w:r>
      <w:r w:rsidR="00AD2099" w:rsidRPr="00636CF9">
        <w:rPr>
          <w:rFonts w:ascii="Arial Narrow" w:eastAsia="Times New Roman" w:hAnsi="Arial Narrow" w:cs="Arial"/>
          <w:snapToGrid w:val="0"/>
          <w:sz w:val="18"/>
        </w:rPr>
        <w:t xml:space="preserve">the </w:t>
      </w:r>
      <w:r w:rsidR="00E52934" w:rsidRPr="00636CF9">
        <w:rPr>
          <w:rFonts w:ascii="Arial Narrow" w:eastAsia="Times New Roman" w:hAnsi="Arial Narrow" w:cs="Arial"/>
          <w:snapToGrid w:val="0"/>
          <w:sz w:val="18"/>
        </w:rPr>
        <w:t>PBAC recommend oxycodone in the form of oral liquid containing oxycodone hydrochloride 1 mg per mL in a bottle with volume ranging from 20-30mL at the same price per mg as the current 250 mL listing.</w:t>
      </w:r>
    </w:p>
    <w:p w14:paraId="4CE91F42" w14:textId="77777777" w:rsidR="00F838A9" w:rsidRDefault="00F838A9" w:rsidP="00F33674">
      <w:pPr>
        <w:pStyle w:val="3-BodyText"/>
        <w:sectPr w:rsidR="00F838A9" w:rsidSect="001B04FE">
          <w:pgSz w:w="16838" w:h="11906" w:orient="landscape"/>
          <w:pgMar w:top="1440" w:right="1440" w:bottom="1440" w:left="1440" w:header="1440" w:footer="1440" w:gutter="0"/>
          <w:cols w:space="708"/>
          <w:docGrid w:linePitch="360"/>
        </w:sectPr>
      </w:pPr>
    </w:p>
    <w:p w14:paraId="4676FE86" w14:textId="20978018" w:rsidR="006C0D4A" w:rsidRPr="006C0D4A" w:rsidRDefault="006C0D4A" w:rsidP="00F33674">
      <w:pPr>
        <w:pStyle w:val="3-BodyText"/>
      </w:pPr>
      <w:r>
        <w:lastRenderedPageBreak/>
        <w:t>While p</w:t>
      </w:r>
      <w:r w:rsidRPr="00007462">
        <w:t>rescribers already have the ability to prescribe</w:t>
      </w:r>
      <w:r>
        <w:t xml:space="preserve"> smaller amounts of these drugs using the current </w:t>
      </w:r>
      <w:r w:rsidR="00D93871">
        <w:t xml:space="preserve">PBS </w:t>
      </w:r>
      <w:r>
        <w:t>items</w:t>
      </w:r>
      <w:r w:rsidRPr="00007462">
        <w:t xml:space="preserve">, creating new listings with </w:t>
      </w:r>
      <w:r w:rsidR="00DC6C19">
        <w:t>smaller</w:t>
      </w:r>
      <w:r w:rsidRPr="00007462">
        <w:t xml:space="preserve"> MQs would provide a simple way for prescribers to prescribe smaller quantities of immediate release opioids for acute pain</w:t>
      </w:r>
      <w:r w:rsidR="00E14D71">
        <w:t>,</w:t>
      </w:r>
      <w:r>
        <w:t xml:space="preserve"> prior to the smaller pack sizes being available. If the new listings resulted in </w:t>
      </w:r>
      <w:r w:rsidR="009541D6">
        <w:t>fewer</w:t>
      </w:r>
      <w:r>
        <w:t xml:space="preserve"> patients </w:t>
      </w:r>
      <w:proofErr w:type="gramStart"/>
      <w:r>
        <w:t>being prescribed</w:t>
      </w:r>
      <w:proofErr w:type="gramEnd"/>
      <w:r>
        <w:t xml:space="preserve"> a greater quantity of opioids than required for acute pain</w:t>
      </w:r>
      <w:r w:rsidR="00D93871">
        <w:t>,</w:t>
      </w:r>
      <w:r>
        <w:t xml:space="preserve"> then </w:t>
      </w:r>
      <w:r w:rsidRPr="00007462">
        <w:t xml:space="preserve">patients </w:t>
      </w:r>
      <w:r>
        <w:t xml:space="preserve">would </w:t>
      </w:r>
      <w:r w:rsidRPr="00007462">
        <w:t xml:space="preserve">have </w:t>
      </w:r>
      <w:r w:rsidR="009541D6">
        <w:t>fewer</w:t>
      </w:r>
      <w:r>
        <w:t xml:space="preserve"> </w:t>
      </w:r>
      <w:r w:rsidRPr="00007462">
        <w:t>tablets remaining following their treatment and there</w:t>
      </w:r>
      <w:r>
        <w:t xml:space="preserve"> would consequently be</w:t>
      </w:r>
      <w:r w:rsidRPr="00007462">
        <w:t xml:space="preserve"> fewer prescription opioids circulating in the community.</w:t>
      </w:r>
      <w:r>
        <w:t xml:space="preserve"> </w:t>
      </w:r>
    </w:p>
    <w:p w14:paraId="3EB02ACF" w14:textId="12BF0941" w:rsidR="00D32765" w:rsidRDefault="00D32765" w:rsidP="00F33674">
      <w:pPr>
        <w:pStyle w:val="3-BodyText"/>
      </w:pPr>
      <w:r>
        <w:t xml:space="preserve">Estimates of the </w:t>
      </w:r>
      <w:r w:rsidR="000220DB">
        <w:t>net</w:t>
      </w:r>
      <w:r>
        <w:t xml:space="preserve"> cost to the PBS</w:t>
      </w:r>
      <w:r w:rsidR="000220DB">
        <w:t>/RPBS</w:t>
      </w:r>
      <w:r>
        <w:t xml:space="preserve"> of creating new listings at the </w:t>
      </w:r>
      <w:r w:rsidR="00DC6C19">
        <w:t>smaller</w:t>
      </w:r>
      <w:r>
        <w:t xml:space="preserve"> MQ, including broken pack fees, are summarised in Table 3. </w:t>
      </w:r>
      <w:r w:rsidR="005474BF">
        <w:t>Current</w:t>
      </w:r>
      <w:r>
        <w:t xml:space="preserve"> PBS data </w:t>
      </w:r>
      <w:r w:rsidR="005474BF">
        <w:t>indicated</w:t>
      </w:r>
      <w:r>
        <w:t xml:space="preserve"> that over 60% of scripts </w:t>
      </w:r>
      <w:r w:rsidR="005474BF">
        <w:t>for the immediate-release opioids</w:t>
      </w:r>
      <w:r w:rsidR="00F838A9">
        <w:t xml:space="preserve"> listed</w:t>
      </w:r>
      <w:r w:rsidR="005474BF">
        <w:t xml:space="preserve"> in Table 2 </w:t>
      </w:r>
      <w:r>
        <w:t xml:space="preserve">are for only one pack of drug and </w:t>
      </w:r>
      <w:proofErr w:type="gramStart"/>
      <w:r>
        <w:t>may therefore have been intended</w:t>
      </w:r>
      <w:proofErr w:type="gramEnd"/>
      <w:r>
        <w:t xml:space="preserve"> to treat </w:t>
      </w:r>
      <w:r w:rsidR="00A61AD0">
        <w:t xml:space="preserve">short-term </w:t>
      </w:r>
      <w:r>
        <w:t>acute pain.</w:t>
      </w:r>
      <w:r w:rsidR="005474BF">
        <w:t xml:space="preserve"> The financial estimates in Table 3 </w:t>
      </w:r>
      <w:proofErr w:type="gramStart"/>
      <w:r w:rsidR="005474BF">
        <w:t>were based</w:t>
      </w:r>
      <w:proofErr w:type="gramEnd"/>
      <w:r w:rsidR="005474BF">
        <w:t xml:space="preserve"> on an assumption that 60%</w:t>
      </w:r>
      <w:r>
        <w:t xml:space="preserve"> </w:t>
      </w:r>
      <w:r w:rsidR="005474BF">
        <w:t xml:space="preserve">of scripts for these products would be for the new </w:t>
      </w:r>
      <w:r w:rsidR="00724C80">
        <w:t>smaller</w:t>
      </w:r>
      <w:r w:rsidR="005474BF">
        <w:t xml:space="preserve"> MQ listings going forward. This is likely to be a</w:t>
      </w:r>
      <w:r w:rsidR="009541D6">
        <w:t>n</w:t>
      </w:r>
      <w:r w:rsidR="005474BF">
        <w:t xml:space="preserve"> </w:t>
      </w:r>
      <w:r w:rsidR="009541D6">
        <w:t>over</w:t>
      </w:r>
      <w:r w:rsidR="005474BF">
        <w:t xml:space="preserve">estimate </w:t>
      </w:r>
      <w:r w:rsidR="005B3CF4">
        <w:t xml:space="preserve">as </w:t>
      </w:r>
      <w:r w:rsidR="005474BF">
        <w:t xml:space="preserve">some of the </w:t>
      </w:r>
      <w:r w:rsidR="005B3CF4">
        <w:t xml:space="preserve">current </w:t>
      </w:r>
      <w:r w:rsidR="005474BF">
        <w:t xml:space="preserve">prescriptions for one pack </w:t>
      </w:r>
      <w:r w:rsidR="00A61AD0">
        <w:t xml:space="preserve">of the current MQ </w:t>
      </w:r>
      <w:r w:rsidR="005474BF">
        <w:t xml:space="preserve">would likely </w:t>
      </w:r>
      <w:r w:rsidR="00A61AD0">
        <w:t>to be clinically required for a proportion of these patients</w:t>
      </w:r>
      <w:r w:rsidR="005474BF">
        <w:t>.</w:t>
      </w:r>
      <w:r w:rsidR="004D45A4">
        <w:t xml:space="preserve"> The estimated cost of the new listings </w:t>
      </w:r>
      <w:r w:rsidR="005B3CF4">
        <w:t>with</w:t>
      </w:r>
      <w:r w:rsidR="004D45A4">
        <w:t xml:space="preserve"> the </w:t>
      </w:r>
      <w:r w:rsidR="00DC6C19">
        <w:t>smaller</w:t>
      </w:r>
      <w:r w:rsidR="004D45A4">
        <w:t xml:space="preserve"> MQ (including broken pack fees) based on this conservative assumption is around $</w:t>
      </w:r>
      <w:r w:rsidR="006B5BE3">
        <w:t xml:space="preserve">3.0 </w:t>
      </w:r>
      <w:r w:rsidR="004D45A4">
        <w:t>million per year.</w:t>
      </w:r>
    </w:p>
    <w:p w14:paraId="22F3D8FE" w14:textId="3AA609E3" w:rsidR="00D32765" w:rsidRPr="00636CF9" w:rsidRDefault="00D32765" w:rsidP="00F33674">
      <w:pPr>
        <w:pStyle w:val="3-BodyText"/>
        <w:numPr>
          <w:ilvl w:val="0"/>
          <w:numId w:val="0"/>
        </w:numPr>
        <w:rPr>
          <w:rFonts w:ascii="Arial Narrow" w:eastAsiaTheme="majorEastAsia" w:hAnsi="Arial Narrow" w:cstheme="majorBidi"/>
          <w:b/>
          <w:bCs/>
          <w:sz w:val="20"/>
          <w:szCs w:val="24"/>
        </w:rPr>
      </w:pPr>
      <w:r w:rsidRPr="00636CF9">
        <w:rPr>
          <w:rFonts w:ascii="Arial Narrow" w:eastAsiaTheme="majorEastAsia" w:hAnsi="Arial Narrow" w:cstheme="majorBidi"/>
          <w:b/>
          <w:bCs/>
          <w:sz w:val="20"/>
          <w:szCs w:val="24"/>
        </w:rPr>
        <w:t xml:space="preserve">Table 3: </w:t>
      </w:r>
      <w:r w:rsidR="000220DB" w:rsidRPr="00636CF9">
        <w:rPr>
          <w:rFonts w:ascii="Arial Narrow" w:eastAsiaTheme="majorEastAsia" w:hAnsi="Arial Narrow" w:cstheme="majorBidi"/>
          <w:b/>
          <w:bCs/>
          <w:sz w:val="20"/>
          <w:szCs w:val="24"/>
        </w:rPr>
        <w:t>Estimated net cost to PBS/RPBS</w:t>
      </w:r>
      <w:r w:rsidRPr="00636CF9">
        <w:rPr>
          <w:rFonts w:ascii="Arial Narrow" w:eastAsiaTheme="majorEastAsia" w:hAnsi="Arial Narrow" w:cstheme="majorBidi"/>
          <w:b/>
          <w:bCs/>
          <w:sz w:val="20"/>
          <w:szCs w:val="24"/>
        </w:rPr>
        <w:t xml:space="preserve"> </w:t>
      </w:r>
      <w:r w:rsidR="000220DB" w:rsidRPr="00636CF9">
        <w:rPr>
          <w:rFonts w:ascii="Arial Narrow" w:eastAsiaTheme="majorEastAsia" w:hAnsi="Arial Narrow" w:cstheme="majorBidi"/>
          <w:b/>
          <w:bCs/>
          <w:sz w:val="20"/>
          <w:szCs w:val="24"/>
        </w:rPr>
        <w:t xml:space="preserve">as a result of </w:t>
      </w:r>
      <w:r w:rsidRPr="00636CF9">
        <w:rPr>
          <w:rFonts w:ascii="Arial Narrow" w:eastAsiaTheme="majorEastAsia" w:hAnsi="Arial Narrow" w:cstheme="majorBidi"/>
          <w:b/>
          <w:bCs/>
          <w:sz w:val="20"/>
          <w:szCs w:val="24"/>
        </w:rPr>
        <w:t xml:space="preserve">new </w:t>
      </w:r>
      <w:r w:rsidR="00724C80" w:rsidRPr="00636CF9">
        <w:rPr>
          <w:rFonts w:ascii="Arial Narrow" w:eastAsiaTheme="majorEastAsia" w:hAnsi="Arial Narrow" w:cstheme="majorBidi"/>
          <w:b/>
          <w:bCs/>
          <w:sz w:val="20"/>
          <w:szCs w:val="24"/>
        </w:rPr>
        <w:t>smaller</w:t>
      </w:r>
      <w:r w:rsidR="000220DB" w:rsidRPr="00636CF9">
        <w:rPr>
          <w:rFonts w:ascii="Arial Narrow" w:eastAsiaTheme="majorEastAsia" w:hAnsi="Arial Narrow" w:cstheme="majorBidi"/>
          <w:b/>
          <w:bCs/>
          <w:sz w:val="20"/>
          <w:szCs w:val="24"/>
        </w:rPr>
        <w:t xml:space="preserve"> </w:t>
      </w:r>
      <w:r w:rsidRPr="00636CF9">
        <w:rPr>
          <w:rFonts w:ascii="Arial Narrow" w:eastAsiaTheme="majorEastAsia" w:hAnsi="Arial Narrow" w:cstheme="majorBidi"/>
          <w:b/>
          <w:bCs/>
          <w:sz w:val="20"/>
          <w:szCs w:val="24"/>
        </w:rPr>
        <w:t>MQ listings for immediate</w:t>
      </w:r>
      <w:r w:rsidRPr="00D24F42">
        <w:t xml:space="preserve"> </w:t>
      </w:r>
      <w:r w:rsidRPr="00636CF9">
        <w:rPr>
          <w:rFonts w:ascii="Arial Narrow" w:eastAsiaTheme="majorEastAsia" w:hAnsi="Arial Narrow" w:cstheme="majorBidi"/>
          <w:b/>
          <w:bCs/>
          <w:sz w:val="20"/>
          <w:szCs w:val="24"/>
        </w:rPr>
        <w:t>release opioids</w:t>
      </w:r>
    </w:p>
    <w:tbl>
      <w:tblPr>
        <w:tblStyle w:val="TableGrid"/>
        <w:tblW w:w="0" w:type="auto"/>
        <w:tblInd w:w="-5" w:type="dxa"/>
        <w:tblLayout w:type="fixed"/>
        <w:tblLook w:val="04A0" w:firstRow="1" w:lastRow="0" w:firstColumn="1" w:lastColumn="0" w:noHBand="0" w:noVBand="1"/>
      </w:tblPr>
      <w:tblGrid>
        <w:gridCol w:w="1134"/>
        <w:gridCol w:w="1577"/>
        <w:gridCol w:w="1577"/>
        <w:gridCol w:w="1578"/>
        <w:gridCol w:w="1577"/>
        <w:gridCol w:w="1578"/>
      </w:tblGrid>
      <w:tr w:rsidR="00D32765" w:rsidRPr="000220DB" w14:paraId="20D593CB" w14:textId="77777777" w:rsidTr="006B5BE3">
        <w:tc>
          <w:tcPr>
            <w:tcW w:w="1134" w:type="dxa"/>
          </w:tcPr>
          <w:p w14:paraId="7FD84A82" w14:textId="77777777" w:rsidR="00D32765" w:rsidRPr="00636CF9" w:rsidRDefault="00D32765" w:rsidP="00F33674">
            <w:pPr>
              <w:pStyle w:val="3-BodyText"/>
              <w:numPr>
                <w:ilvl w:val="0"/>
                <w:numId w:val="0"/>
              </w:numPr>
              <w:rPr>
                <w:rFonts w:ascii="Arial Narrow" w:hAnsi="Arial Narrow" w:cs="Arial"/>
                <w:sz w:val="20"/>
                <w:szCs w:val="20"/>
              </w:rPr>
            </w:pPr>
          </w:p>
        </w:tc>
        <w:tc>
          <w:tcPr>
            <w:tcW w:w="1577" w:type="dxa"/>
          </w:tcPr>
          <w:p w14:paraId="27AF4CF2" w14:textId="77777777" w:rsidR="00D32765" w:rsidRPr="00636CF9" w:rsidRDefault="00D32765" w:rsidP="00F33674">
            <w:pPr>
              <w:pStyle w:val="3-BodyText"/>
              <w:numPr>
                <w:ilvl w:val="0"/>
                <w:numId w:val="0"/>
              </w:numPr>
              <w:rPr>
                <w:rFonts w:ascii="Arial Narrow" w:hAnsi="Arial Narrow" w:cs="Arial"/>
                <w:sz w:val="20"/>
                <w:szCs w:val="20"/>
              </w:rPr>
            </w:pPr>
            <w:r w:rsidRPr="00636CF9">
              <w:rPr>
                <w:rFonts w:ascii="Arial Narrow" w:hAnsi="Arial Narrow" w:cs="Arial"/>
                <w:sz w:val="20"/>
                <w:szCs w:val="20"/>
              </w:rPr>
              <w:t>2020</w:t>
            </w:r>
          </w:p>
        </w:tc>
        <w:tc>
          <w:tcPr>
            <w:tcW w:w="1577" w:type="dxa"/>
          </w:tcPr>
          <w:p w14:paraId="0B27B32A" w14:textId="77777777" w:rsidR="00D32765" w:rsidRPr="00636CF9" w:rsidRDefault="00D32765" w:rsidP="00F33674">
            <w:pPr>
              <w:pStyle w:val="3-BodyText"/>
              <w:numPr>
                <w:ilvl w:val="0"/>
                <w:numId w:val="0"/>
              </w:numPr>
              <w:rPr>
                <w:rFonts w:ascii="Arial Narrow" w:hAnsi="Arial Narrow" w:cs="Arial"/>
                <w:sz w:val="20"/>
                <w:szCs w:val="20"/>
              </w:rPr>
            </w:pPr>
            <w:r w:rsidRPr="00636CF9">
              <w:rPr>
                <w:rFonts w:ascii="Arial Narrow" w:hAnsi="Arial Narrow" w:cs="Arial"/>
                <w:sz w:val="20"/>
                <w:szCs w:val="20"/>
              </w:rPr>
              <w:t>2021</w:t>
            </w:r>
          </w:p>
        </w:tc>
        <w:tc>
          <w:tcPr>
            <w:tcW w:w="1578" w:type="dxa"/>
          </w:tcPr>
          <w:p w14:paraId="0D10FE2B" w14:textId="77777777" w:rsidR="00D32765" w:rsidRPr="00636CF9" w:rsidRDefault="00D32765" w:rsidP="00F33674">
            <w:pPr>
              <w:pStyle w:val="3-BodyText"/>
              <w:numPr>
                <w:ilvl w:val="0"/>
                <w:numId w:val="0"/>
              </w:numPr>
              <w:rPr>
                <w:rFonts w:ascii="Arial Narrow" w:hAnsi="Arial Narrow" w:cs="Arial"/>
                <w:sz w:val="20"/>
                <w:szCs w:val="20"/>
              </w:rPr>
            </w:pPr>
            <w:r w:rsidRPr="00636CF9">
              <w:rPr>
                <w:rFonts w:ascii="Arial Narrow" w:hAnsi="Arial Narrow" w:cs="Arial"/>
                <w:sz w:val="20"/>
                <w:szCs w:val="20"/>
              </w:rPr>
              <w:t>2022</w:t>
            </w:r>
          </w:p>
        </w:tc>
        <w:tc>
          <w:tcPr>
            <w:tcW w:w="1577" w:type="dxa"/>
          </w:tcPr>
          <w:p w14:paraId="5FF37C07" w14:textId="77777777" w:rsidR="00D32765" w:rsidRPr="00636CF9" w:rsidRDefault="00D32765" w:rsidP="00F33674">
            <w:pPr>
              <w:pStyle w:val="3-BodyText"/>
              <w:numPr>
                <w:ilvl w:val="0"/>
                <w:numId w:val="0"/>
              </w:numPr>
              <w:rPr>
                <w:rFonts w:ascii="Arial Narrow" w:hAnsi="Arial Narrow" w:cs="Arial"/>
                <w:sz w:val="20"/>
                <w:szCs w:val="20"/>
              </w:rPr>
            </w:pPr>
            <w:r w:rsidRPr="00636CF9">
              <w:rPr>
                <w:rFonts w:ascii="Arial Narrow" w:hAnsi="Arial Narrow" w:cs="Arial"/>
                <w:sz w:val="20"/>
                <w:szCs w:val="20"/>
              </w:rPr>
              <w:t>2023</w:t>
            </w:r>
          </w:p>
        </w:tc>
        <w:tc>
          <w:tcPr>
            <w:tcW w:w="1578" w:type="dxa"/>
          </w:tcPr>
          <w:p w14:paraId="1AEA1287" w14:textId="77777777" w:rsidR="00D32765" w:rsidRPr="00636CF9" w:rsidRDefault="00D32765" w:rsidP="00F33674">
            <w:pPr>
              <w:pStyle w:val="3-BodyText"/>
              <w:numPr>
                <w:ilvl w:val="0"/>
                <w:numId w:val="0"/>
              </w:numPr>
              <w:rPr>
                <w:rFonts w:ascii="Arial Narrow" w:hAnsi="Arial Narrow" w:cs="Arial"/>
                <w:sz w:val="20"/>
                <w:szCs w:val="20"/>
              </w:rPr>
            </w:pPr>
            <w:r w:rsidRPr="00636CF9">
              <w:rPr>
                <w:rFonts w:ascii="Arial Narrow" w:hAnsi="Arial Narrow" w:cs="Arial"/>
                <w:sz w:val="20"/>
                <w:szCs w:val="20"/>
              </w:rPr>
              <w:t>2024</w:t>
            </w:r>
          </w:p>
        </w:tc>
      </w:tr>
      <w:tr w:rsidR="006B5BE3" w:rsidRPr="006509DF" w14:paraId="169F46C8" w14:textId="77777777" w:rsidTr="006B5BE3">
        <w:tc>
          <w:tcPr>
            <w:tcW w:w="1134" w:type="dxa"/>
          </w:tcPr>
          <w:p w14:paraId="7098C214" w14:textId="06691F22" w:rsidR="006B5BE3" w:rsidRPr="00636CF9" w:rsidRDefault="006B5BE3" w:rsidP="00F33674">
            <w:pPr>
              <w:pStyle w:val="3-BodyText"/>
              <w:numPr>
                <w:ilvl w:val="0"/>
                <w:numId w:val="0"/>
              </w:numPr>
              <w:rPr>
                <w:rFonts w:ascii="Arial Narrow" w:hAnsi="Arial Narrow" w:cs="Arial"/>
                <w:sz w:val="20"/>
                <w:szCs w:val="20"/>
              </w:rPr>
            </w:pPr>
            <w:r w:rsidRPr="00636CF9">
              <w:rPr>
                <w:rFonts w:ascii="Arial Narrow" w:hAnsi="Arial Narrow" w:cs="Arial"/>
                <w:sz w:val="20"/>
                <w:szCs w:val="20"/>
              </w:rPr>
              <w:t>Net cost to PBS/RPBS</w:t>
            </w:r>
          </w:p>
        </w:tc>
        <w:tc>
          <w:tcPr>
            <w:tcW w:w="1577" w:type="dxa"/>
          </w:tcPr>
          <w:p w14:paraId="2F5A6E4E" w14:textId="18BB0D59" w:rsidR="006B5BE3" w:rsidRPr="00636CF9" w:rsidRDefault="006B5BE3" w:rsidP="00F33674">
            <w:pPr>
              <w:pStyle w:val="3-BodyText"/>
              <w:numPr>
                <w:ilvl w:val="0"/>
                <w:numId w:val="0"/>
              </w:numPr>
              <w:rPr>
                <w:rFonts w:ascii="Arial Narrow" w:hAnsi="Arial Narrow" w:cs="Arial"/>
                <w:sz w:val="20"/>
                <w:szCs w:val="20"/>
              </w:rPr>
            </w:pPr>
            <w:r w:rsidRPr="00636CF9">
              <w:rPr>
                <w:rFonts w:ascii="Arial Narrow" w:hAnsi="Arial Narrow" w:cs="Arial"/>
                <w:sz w:val="20"/>
                <w:szCs w:val="20"/>
              </w:rPr>
              <w:t>$2,962,731</w:t>
            </w:r>
          </w:p>
        </w:tc>
        <w:tc>
          <w:tcPr>
            <w:tcW w:w="1577" w:type="dxa"/>
          </w:tcPr>
          <w:p w14:paraId="3B4675B0" w14:textId="68AE51C9" w:rsidR="006B5BE3" w:rsidRPr="00636CF9" w:rsidRDefault="006B5BE3" w:rsidP="00F33674">
            <w:pPr>
              <w:pStyle w:val="3-BodyText"/>
              <w:numPr>
                <w:ilvl w:val="0"/>
                <w:numId w:val="0"/>
              </w:numPr>
              <w:rPr>
                <w:rFonts w:ascii="Arial Narrow" w:hAnsi="Arial Narrow" w:cs="Arial"/>
                <w:sz w:val="20"/>
                <w:szCs w:val="20"/>
              </w:rPr>
            </w:pPr>
            <w:r w:rsidRPr="00636CF9">
              <w:rPr>
                <w:rFonts w:ascii="Arial Narrow" w:hAnsi="Arial Narrow" w:cs="Arial"/>
                <w:sz w:val="20"/>
                <w:szCs w:val="20"/>
              </w:rPr>
              <w:t>$2,965,033</w:t>
            </w:r>
          </w:p>
        </w:tc>
        <w:tc>
          <w:tcPr>
            <w:tcW w:w="1578" w:type="dxa"/>
          </w:tcPr>
          <w:p w14:paraId="191DA221" w14:textId="08DA3100" w:rsidR="006B5BE3" w:rsidRPr="00636CF9" w:rsidRDefault="006B5BE3" w:rsidP="00F33674">
            <w:pPr>
              <w:pStyle w:val="3-BodyText"/>
              <w:numPr>
                <w:ilvl w:val="0"/>
                <w:numId w:val="0"/>
              </w:numPr>
              <w:rPr>
                <w:rFonts w:ascii="Arial Narrow" w:hAnsi="Arial Narrow" w:cs="Arial"/>
                <w:sz w:val="20"/>
                <w:szCs w:val="20"/>
              </w:rPr>
            </w:pPr>
            <w:r w:rsidRPr="00636CF9">
              <w:rPr>
                <w:rFonts w:ascii="Arial Narrow" w:hAnsi="Arial Narrow" w:cs="Arial"/>
                <w:sz w:val="20"/>
                <w:szCs w:val="20"/>
              </w:rPr>
              <w:t>$2,965,706</w:t>
            </w:r>
          </w:p>
        </w:tc>
        <w:tc>
          <w:tcPr>
            <w:tcW w:w="1577" w:type="dxa"/>
          </w:tcPr>
          <w:p w14:paraId="20E18084" w14:textId="109228EB" w:rsidR="006B5BE3" w:rsidRPr="00636CF9" w:rsidRDefault="006B5BE3" w:rsidP="00F33674">
            <w:pPr>
              <w:pStyle w:val="3-BodyText"/>
              <w:numPr>
                <w:ilvl w:val="0"/>
                <w:numId w:val="0"/>
              </w:numPr>
              <w:rPr>
                <w:rFonts w:ascii="Arial Narrow" w:hAnsi="Arial Narrow" w:cs="Arial"/>
                <w:sz w:val="20"/>
                <w:szCs w:val="20"/>
              </w:rPr>
            </w:pPr>
            <w:r w:rsidRPr="00636CF9">
              <w:rPr>
                <w:rFonts w:ascii="Arial Narrow" w:hAnsi="Arial Narrow" w:cs="Arial"/>
                <w:sz w:val="20"/>
                <w:szCs w:val="20"/>
              </w:rPr>
              <w:t>$2,964,031</w:t>
            </w:r>
          </w:p>
        </w:tc>
        <w:tc>
          <w:tcPr>
            <w:tcW w:w="1578" w:type="dxa"/>
          </w:tcPr>
          <w:p w14:paraId="060C0818" w14:textId="67F55F52" w:rsidR="006B5BE3" w:rsidRPr="00636CF9" w:rsidRDefault="006B5BE3" w:rsidP="00F33674">
            <w:pPr>
              <w:pStyle w:val="3-BodyText"/>
              <w:numPr>
                <w:ilvl w:val="0"/>
                <w:numId w:val="0"/>
              </w:numPr>
              <w:rPr>
                <w:rFonts w:ascii="Arial Narrow" w:hAnsi="Arial Narrow" w:cs="Arial"/>
                <w:sz w:val="20"/>
                <w:szCs w:val="20"/>
              </w:rPr>
            </w:pPr>
            <w:r w:rsidRPr="00636CF9">
              <w:rPr>
                <w:rFonts w:ascii="Arial Narrow" w:hAnsi="Arial Narrow" w:cs="Arial"/>
                <w:sz w:val="20"/>
                <w:szCs w:val="20"/>
              </w:rPr>
              <w:t>$2,985,690</w:t>
            </w:r>
          </w:p>
        </w:tc>
      </w:tr>
    </w:tbl>
    <w:p w14:paraId="0E31CDA0" w14:textId="5005084A" w:rsidR="00D32765" w:rsidRDefault="00D32765" w:rsidP="00F33674">
      <w:pPr>
        <w:pStyle w:val="3-BodyText"/>
        <w:numPr>
          <w:ilvl w:val="0"/>
          <w:numId w:val="0"/>
        </w:numPr>
      </w:pPr>
    </w:p>
    <w:p w14:paraId="07670B2A" w14:textId="3FEA0AE7" w:rsidR="00D32765" w:rsidRDefault="004D45A4" w:rsidP="00F33674">
      <w:pPr>
        <w:pStyle w:val="3-BodyText"/>
      </w:pPr>
      <w:r>
        <w:t>As</w:t>
      </w:r>
      <w:r w:rsidR="00D32765">
        <w:t xml:space="preserve"> the smaller pack sizes become available</w:t>
      </w:r>
      <w:r w:rsidR="00767ADB">
        <w:t>,</w:t>
      </w:r>
      <w:r w:rsidR="008A1B02">
        <w:t xml:space="preserve"> the net cost to the PBS/RPBS </w:t>
      </w:r>
      <w:r w:rsidR="00D32765">
        <w:t>will immediately reduce</w:t>
      </w:r>
      <w:r w:rsidR="00E6469C">
        <w:t>. H</w:t>
      </w:r>
      <w:r w:rsidR="00D32765">
        <w:t>owever</w:t>
      </w:r>
      <w:r w:rsidR="004F3827">
        <w:t>,</w:t>
      </w:r>
      <w:r w:rsidR="00D32765">
        <w:t xml:space="preserve"> this </w:t>
      </w:r>
      <w:r w:rsidR="00BE17C6">
        <w:t xml:space="preserve">was </w:t>
      </w:r>
      <w:r w:rsidR="00D32765">
        <w:t xml:space="preserve">not </w:t>
      </w:r>
      <w:r w:rsidR="00BE17C6">
        <w:t>factored in to</w:t>
      </w:r>
      <w:r w:rsidR="00D32765">
        <w:t xml:space="preserve"> the </w:t>
      </w:r>
      <w:proofErr w:type="gramStart"/>
      <w:r w:rsidR="00D32765">
        <w:t>estimates</w:t>
      </w:r>
      <w:proofErr w:type="gramEnd"/>
      <w:r w:rsidR="00D32765">
        <w:t xml:space="preserve"> as the timing of the introduction of smaller packs is uncertain. Further, the estimates do not take into account whether </w:t>
      </w:r>
      <w:r w:rsidR="004F3827">
        <w:t xml:space="preserve">the </w:t>
      </w:r>
      <w:r w:rsidR="00D32765">
        <w:t xml:space="preserve">prescribing of immediate-release opioids overall may reduce </w:t>
      </w:r>
      <w:proofErr w:type="gramStart"/>
      <w:r w:rsidR="00D32765">
        <w:t>as a result</w:t>
      </w:r>
      <w:proofErr w:type="gramEnd"/>
      <w:r w:rsidR="00D32765">
        <w:t xml:space="preserve"> of the revisions to the TGA indications and proposed changes to the </w:t>
      </w:r>
      <w:r>
        <w:t>PBS restrictions (see section</w:t>
      </w:r>
      <w:r w:rsidR="000E180C">
        <w:t>s</w:t>
      </w:r>
      <w:r>
        <w:t xml:space="preserve"> </w:t>
      </w:r>
      <w:r w:rsidR="000E180C">
        <w:t xml:space="preserve">5 and </w:t>
      </w:r>
      <w:r>
        <w:t>6,</w:t>
      </w:r>
      <w:r w:rsidR="00D32765">
        <w:t xml:space="preserve"> </w:t>
      </w:r>
      <w:r w:rsidR="000E180C">
        <w:t>Revised indications for fentanyl and immediate- and modified release opioids</w:t>
      </w:r>
      <w:r w:rsidR="00D32765">
        <w:t xml:space="preserve">). </w:t>
      </w:r>
    </w:p>
    <w:p w14:paraId="1723F412" w14:textId="107B8C63" w:rsidR="00D32765" w:rsidRDefault="00D32765" w:rsidP="00F33674">
      <w:pPr>
        <w:pStyle w:val="3-BodyText"/>
      </w:pPr>
      <w:r>
        <w:t>Sen</w:t>
      </w:r>
      <w:r w:rsidR="00A622C3">
        <w:t>sitivity analyse</w:t>
      </w:r>
      <w:r>
        <w:t xml:space="preserve">s </w:t>
      </w:r>
      <w:proofErr w:type="gramStart"/>
      <w:r>
        <w:t>were conducted</w:t>
      </w:r>
      <w:proofErr w:type="gramEnd"/>
      <w:r>
        <w:t xml:space="preserve"> to estimate </w:t>
      </w:r>
      <w:r w:rsidR="00FF5396">
        <w:t>a</w:t>
      </w:r>
      <w:r w:rsidR="00A53C75">
        <w:t xml:space="preserve">n </w:t>
      </w:r>
      <w:r w:rsidR="00FF5396">
        <w:t xml:space="preserve">upper </w:t>
      </w:r>
      <w:r w:rsidR="00A622C3">
        <w:t xml:space="preserve">and lower </w:t>
      </w:r>
      <w:r w:rsidR="00FF5396">
        <w:t xml:space="preserve">limit of the net </w:t>
      </w:r>
      <w:r>
        <w:t>costs</w:t>
      </w:r>
      <w:r w:rsidR="00A622C3">
        <w:t>.</w:t>
      </w:r>
      <w:r>
        <w:t xml:space="preserve"> </w:t>
      </w:r>
      <w:r w:rsidR="00A622C3">
        <w:t xml:space="preserve">If </w:t>
      </w:r>
      <w:r>
        <w:t>99% of scripts switch</w:t>
      </w:r>
      <w:r w:rsidR="00A622C3">
        <w:t>ed</w:t>
      </w:r>
      <w:r>
        <w:t xml:space="preserve"> to the </w:t>
      </w:r>
      <w:r w:rsidR="00DC6C19">
        <w:t>smaller</w:t>
      </w:r>
      <w:r>
        <w:t xml:space="preserve"> MQ, </w:t>
      </w:r>
      <w:r w:rsidR="00A622C3">
        <w:t xml:space="preserve">the net </w:t>
      </w:r>
      <w:r>
        <w:t xml:space="preserve">cost </w:t>
      </w:r>
      <w:r w:rsidR="00A622C3">
        <w:t xml:space="preserve">to the PBS/RPBS </w:t>
      </w:r>
      <w:proofErr w:type="gramStart"/>
      <w:r w:rsidR="00A622C3">
        <w:t>was estimated</w:t>
      </w:r>
      <w:proofErr w:type="gramEnd"/>
      <w:r w:rsidR="00A622C3">
        <w:t xml:space="preserve"> to be </w:t>
      </w:r>
      <w:r w:rsidR="00A61AD0">
        <w:t xml:space="preserve">around </w:t>
      </w:r>
      <w:r>
        <w:t>$</w:t>
      </w:r>
      <w:r w:rsidR="00CA5477">
        <w:t>4.</w:t>
      </w:r>
      <w:r w:rsidR="00A61AD0">
        <w:t>9</w:t>
      </w:r>
      <w:r>
        <w:t xml:space="preserve"> million per year. </w:t>
      </w:r>
      <w:r w:rsidR="00A622C3">
        <w:t xml:space="preserve">If </w:t>
      </w:r>
      <w:r>
        <w:t>only 20% of scripts switch</w:t>
      </w:r>
      <w:r w:rsidR="00A622C3">
        <w:t>ed</w:t>
      </w:r>
      <w:r w:rsidR="00A53C75">
        <w:t xml:space="preserve"> to the </w:t>
      </w:r>
      <w:r w:rsidR="00DC6C19">
        <w:t>smaller</w:t>
      </w:r>
      <w:r w:rsidR="00A53C75">
        <w:t xml:space="preserve"> MQ</w:t>
      </w:r>
      <w:r w:rsidR="00A622C3">
        <w:t>, the net cost was estimated to be</w:t>
      </w:r>
      <w:r>
        <w:t xml:space="preserve"> </w:t>
      </w:r>
      <w:r w:rsidR="00CA5477">
        <w:t>around $</w:t>
      </w:r>
      <w:r w:rsidR="00A61AD0">
        <w:t>1.0 million</w:t>
      </w:r>
      <w:r>
        <w:t xml:space="preserve"> per year.</w:t>
      </w:r>
    </w:p>
    <w:p w14:paraId="595717A7" w14:textId="1EFD31D9" w:rsidR="00D32765" w:rsidRDefault="00CA5477" w:rsidP="00F33674">
      <w:pPr>
        <w:pStyle w:val="3-BodyText"/>
      </w:pPr>
      <w:r>
        <w:t>Almost all of the</w:t>
      </w:r>
      <w:r w:rsidR="00D32765">
        <w:t xml:space="preserve"> estimated costs </w:t>
      </w:r>
      <w:r w:rsidR="00E6469C">
        <w:t>we</w:t>
      </w:r>
      <w:r w:rsidR="00D32765">
        <w:t xml:space="preserve">re due to two listings: paracetamol 500 mg + codeine phosphate hemihydrate 30 mg tablet (item 1215Y) and oxycodone hydrochloride 5 mg tablet (item 2622B). </w:t>
      </w:r>
      <w:r w:rsidR="005B3CF4">
        <w:t xml:space="preserve">This </w:t>
      </w:r>
      <w:r w:rsidR="00E6469C">
        <w:t>wa</w:t>
      </w:r>
      <w:r w:rsidR="005B3CF4">
        <w:t xml:space="preserve">s due to the </w:t>
      </w:r>
      <w:r w:rsidR="00EA15A5">
        <w:t xml:space="preserve">relatively </w:t>
      </w:r>
      <w:r w:rsidR="005B3CF4">
        <w:t xml:space="preserve">low approved ex-manufacturer price of these </w:t>
      </w:r>
      <w:r w:rsidR="003C4DB8">
        <w:t xml:space="preserve">products </w:t>
      </w:r>
      <w:r w:rsidR="005B3CF4">
        <w:t xml:space="preserve">compared with the compensation paid to </w:t>
      </w:r>
      <w:r w:rsidR="005B3CF4">
        <w:lastRenderedPageBreak/>
        <w:t>pharmacists for breaking packs and to the high forecas</w:t>
      </w:r>
      <w:r w:rsidR="00EA15A5">
        <w:t>t volume of scripts (around 2.5 </w:t>
      </w:r>
      <w:r w:rsidR="005B3CF4">
        <w:t>million prescriptions per year for each drug).</w:t>
      </w:r>
    </w:p>
    <w:p w14:paraId="178D927C" w14:textId="53F9E5FF" w:rsidR="002605F2" w:rsidRPr="003C4498" w:rsidRDefault="00A461D9" w:rsidP="00007462">
      <w:pPr>
        <w:pStyle w:val="2-SectionHeading"/>
      </w:pPr>
      <w:bookmarkStart w:id="5" w:name="_Toc32300573"/>
      <w:r>
        <w:t>N</w:t>
      </w:r>
      <w:r w:rsidRPr="003C4498">
        <w:t xml:space="preserve">arrower </w:t>
      </w:r>
      <w:r w:rsidR="00D72921">
        <w:t>indications</w:t>
      </w:r>
      <w:r w:rsidR="002605F2" w:rsidRPr="003C4498">
        <w:t xml:space="preserve"> </w:t>
      </w:r>
      <w:r w:rsidR="006D039F" w:rsidRPr="003C4498">
        <w:t>for</w:t>
      </w:r>
      <w:r w:rsidR="002605F2" w:rsidRPr="003C4498">
        <w:t xml:space="preserve"> fentanyl patches</w:t>
      </w:r>
      <w:bookmarkEnd w:id="5"/>
    </w:p>
    <w:p w14:paraId="14D0C069" w14:textId="136C0C49" w:rsidR="0045003C" w:rsidRPr="005B3CF4" w:rsidRDefault="00045ABE" w:rsidP="00F33674">
      <w:pPr>
        <w:pStyle w:val="3-BodyText"/>
        <w:rPr>
          <w:b/>
          <w:bCs/>
        </w:rPr>
      </w:pPr>
      <w:r w:rsidRPr="003C4498">
        <w:t>The TGA wrote to the sponsors of fentanyl patch products in October 2019</w:t>
      </w:r>
      <w:r w:rsidR="004F3827">
        <w:t>,</w:t>
      </w:r>
      <w:r w:rsidRPr="003C4498">
        <w:t xml:space="preserve"> requiring that they update their </w:t>
      </w:r>
      <w:r w:rsidR="0045003C" w:rsidRPr="003C4498">
        <w:t>P</w:t>
      </w:r>
      <w:r w:rsidR="00EA15A5">
        <w:t xml:space="preserve">roduct </w:t>
      </w:r>
      <w:r w:rsidR="0045003C" w:rsidRPr="003C4498">
        <w:t>I</w:t>
      </w:r>
      <w:r w:rsidR="00EA15A5">
        <w:t>nformation (PI)</w:t>
      </w:r>
      <w:r w:rsidR="0045003C" w:rsidRPr="003C4498">
        <w:t xml:space="preserve"> </w:t>
      </w:r>
      <w:r w:rsidRPr="003C4498">
        <w:t>documents with the revised indication</w:t>
      </w:r>
      <w:r w:rsidR="00CE6159">
        <w:t xml:space="preserve"> as outlined in Table 1.</w:t>
      </w:r>
    </w:p>
    <w:p w14:paraId="4543424B" w14:textId="1866FAFB" w:rsidR="002E21F2" w:rsidRPr="003C4498" w:rsidRDefault="002E21F2" w:rsidP="00F33674">
      <w:pPr>
        <w:pStyle w:val="3-BodyText"/>
      </w:pPr>
      <w:r w:rsidRPr="003C4498">
        <w:t xml:space="preserve">Fentanyl patches </w:t>
      </w:r>
      <w:proofErr w:type="gramStart"/>
      <w:r w:rsidRPr="003C4498">
        <w:t>are currently listed</w:t>
      </w:r>
      <w:proofErr w:type="gramEnd"/>
      <w:r w:rsidRPr="003C4498">
        <w:t xml:space="preserve"> </w:t>
      </w:r>
      <w:r w:rsidR="004F3C4B">
        <w:t>as Restricted Benefit</w:t>
      </w:r>
      <w:r w:rsidR="0057533D">
        <w:t>s</w:t>
      </w:r>
      <w:r w:rsidR="004F3C4B">
        <w:t xml:space="preserve"> </w:t>
      </w:r>
      <w:r w:rsidRPr="003C4498">
        <w:t xml:space="preserve">on the General Schedule of the PBS for patients with chronic severe disabling pain whose condition is unresponsive to non-opioid analgesics. </w:t>
      </w:r>
    </w:p>
    <w:p w14:paraId="541358E0" w14:textId="43091FF3" w:rsidR="002E21F2" w:rsidRPr="003C4498" w:rsidRDefault="002E21F2" w:rsidP="00F33674">
      <w:pPr>
        <w:pStyle w:val="3-BodyText"/>
      </w:pPr>
      <w:r w:rsidRPr="003C4498">
        <w:t xml:space="preserve">The </w:t>
      </w:r>
      <w:r w:rsidR="009A41A0" w:rsidRPr="003C4498">
        <w:t xml:space="preserve">TGA has advised that the intent of the ‘other conditions in opioid-tolerant patients…’ section of the restriction </w:t>
      </w:r>
      <w:r w:rsidR="00745AD9">
        <w:t>wa</w:t>
      </w:r>
      <w:r w:rsidR="00745AD9" w:rsidRPr="003C4498">
        <w:t xml:space="preserve">s </w:t>
      </w:r>
      <w:r w:rsidR="009A41A0" w:rsidRPr="003C4498">
        <w:t xml:space="preserve">to </w:t>
      </w:r>
      <w:r w:rsidR="0057533D">
        <w:t>cater</w:t>
      </w:r>
      <w:r w:rsidR="00C84229">
        <w:t xml:space="preserve"> </w:t>
      </w:r>
      <w:r w:rsidR="00C84229" w:rsidRPr="00C84229">
        <w:t xml:space="preserve">to patients </w:t>
      </w:r>
      <w:r w:rsidR="0085096D">
        <w:t>for whom</w:t>
      </w:r>
      <w:r w:rsidR="00C84229" w:rsidRPr="00C84229">
        <w:t xml:space="preserve"> other prescription opioids have been determined to be inappropriate</w:t>
      </w:r>
      <w:r w:rsidR="00C84229">
        <w:t>;</w:t>
      </w:r>
      <w:r w:rsidR="00C84229" w:rsidRPr="00C84229">
        <w:t xml:space="preserve"> for </w:t>
      </w:r>
      <w:r w:rsidR="00C84229">
        <w:t>example,</w:t>
      </w:r>
      <w:r w:rsidR="00C84229" w:rsidRPr="00C84229">
        <w:t xml:space="preserve"> patients with end stage renal failure</w:t>
      </w:r>
      <w:r w:rsidR="004F3827">
        <w:t>,</w:t>
      </w:r>
      <w:r w:rsidR="00C84229" w:rsidRPr="00C84229">
        <w:t xml:space="preserve"> as well as those who may</w:t>
      </w:r>
      <w:r w:rsidR="00067273">
        <w:t xml:space="preserve"> have</w:t>
      </w:r>
      <w:r w:rsidR="00C84229" w:rsidRPr="00C84229">
        <w:t xml:space="preserve"> issues with swallowing oral medicines. Furthermore, this category addresses long-term users of fentanyl patches, for whom it would be difficult </w:t>
      </w:r>
      <w:proofErr w:type="gramStart"/>
      <w:r w:rsidR="00C84229" w:rsidRPr="00C84229">
        <w:t>to safely switch</w:t>
      </w:r>
      <w:proofErr w:type="gramEnd"/>
      <w:r w:rsidR="00C84229" w:rsidRPr="00C84229">
        <w:t xml:space="preserve"> to another pain relief option. The TGA </w:t>
      </w:r>
      <w:r w:rsidR="00C84229">
        <w:t xml:space="preserve">further </w:t>
      </w:r>
      <w:r w:rsidR="00C84229" w:rsidRPr="00C84229">
        <w:t xml:space="preserve">clarified that the intent of the revised restriction </w:t>
      </w:r>
      <w:r w:rsidR="00745AD9">
        <w:t>wa</w:t>
      </w:r>
      <w:r w:rsidR="00745AD9" w:rsidRPr="00C84229">
        <w:t xml:space="preserve">s </w:t>
      </w:r>
      <w:r w:rsidR="00C84229" w:rsidRPr="00C84229">
        <w:t xml:space="preserve">to ensure that the number of new patients using fentanyl patches </w:t>
      </w:r>
      <w:proofErr w:type="gramStart"/>
      <w:r w:rsidR="00C84229" w:rsidRPr="00C84229">
        <w:t>is reduced</w:t>
      </w:r>
      <w:proofErr w:type="gramEnd"/>
      <w:r w:rsidR="00C84229" w:rsidRPr="00C84229">
        <w:t xml:space="preserve">, rather than to require patients who are currently reliant on the patches to move to other pain relief. However, there is an expectation </w:t>
      </w:r>
      <w:r w:rsidR="008D503A">
        <w:t>that</w:t>
      </w:r>
      <w:r w:rsidR="00C84229" w:rsidRPr="00C84229">
        <w:t xml:space="preserve"> prescribers </w:t>
      </w:r>
      <w:r w:rsidR="008D503A">
        <w:t>will</w:t>
      </w:r>
      <w:r w:rsidR="00C84229" w:rsidRPr="00C84229">
        <w:t xml:space="preserve"> identify patien</w:t>
      </w:r>
      <w:r w:rsidR="00067273">
        <w:t xml:space="preserve">ts who </w:t>
      </w:r>
      <w:proofErr w:type="gramStart"/>
      <w:r w:rsidR="00067273">
        <w:t>are currently prescribed</w:t>
      </w:r>
      <w:proofErr w:type="gramEnd"/>
      <w:r w:rsidR="00C84229" w:rsidRPr="00C84229">
        <w:t xml:space="preserve"> fentanyl patches outside of the cancer pain and palliative care setting to consider weaning patients where it is appropriate and safe to do so.</w:t>
      </w:r>
    </w:p>
    <w:p w14:paraId="178996B3" w14:textId="2638A13C" w:rsidR="006930E5" w:rsidRDefault="00E96CA4" w:rsidP="00F33674">
      <w:pPr>
        <w:pStyle w:val="3-BodyText"/>
      </w:pPr>
      <w:r w:rsidRPr="003C4498">
        <w:t xml:space="preserve">The </w:t>
      </w:r>
      <w:r w:rsidR="006A40F4">
        <w:t>Secretariat</w:t>
      </w:r>
      <w:r w:rsidR="00CE6159">
        <w:t xml:space="preserve"> proposed </w:t>
      </w:r>
      <w:r w:rsidR="00DE744F">
        <w:t>revis</w:t>
      </w:r>
      <w:r w:rsidR="00CE6159">
        <w:t>ions to</w:t>
      </w:r>
      <w:r w:rsidR="00DE744F">
        <w:t xml:space="preserve"> the PBS restrictions for</w:t>
      </w:r>
      <w:r w:rsidRPr="003C4498">
        <w:t xml:space="preserve"> fentanyl patch</w:t>
      </w:r>
      <w:r w:rsidR="00DE744F">
        <w:t>es</w:t>
      </w:r>
      <w:r w:rsidR="00B32028">
        <w:t xml:space="preserve">, </w:t>
      </w:r>
      <w:r w:rsidR="005B3CF4">
        <w:t xml:space="preserve">to align these restrictions with the amended TGA indications, </w:t>
      </w:r>
      <w:r w:rsidR="00B32028">
        <w:t>including changing the listings to be Authority Required (STREAMLINED)</w:t>
      </w:r>
      <w:r w:rsidRPr="003C4498">
        <w:t>.</w:t>
      </w:r>
    </w:p>
    <w:p w14:paraId="5C6BAF6A" w14:textId="433C9EB9" w:rsidR="005B3CF4" w:rsidRPr="00B81B6C" w:rsidRDefault="005B3CF4" w:rsidP="00F33674">
      <w:pPr>
        <w:pStyle w:val="3-BodyText"/>
      </w:pPr>
      <w:r>
        <w:t>While the TGA ha</w:t>
      </w:r>
      <w:r w:rsidR="00745AD9">
        <w:t>d</w:t>
      </w:r>
      <w:r>
        <w:t xml:space="preserve"> stated the changes</w:t>
      </w:r>
      <w:r w:rsidR="00EA15A5">
        <w:t xml:space="preserve"> to PIs</w:t>
      </w:r>
      <w:r>
        <w:t xml:space="preserve"> </w:t>
      </w:r>
      <w:r w:rsidR="00745AD9">
        <w:t xml:space="preserve">would </w:t>
      </w:r>
      <w:r>
        <w:t xml:space="preserve">occur </w:t>
      </w:r>
      <w:r w:rsidRPr="005B3CF4">
        <w:t xml:space="preserve">within </w:t>
      </w:r>
      <w:r w:rsidRPr="005B3CF4">
        <w:rPr>
          <w:bCs/>
        </w:rPr>
        <w:t xml:space="preserve">6 months from </w:t>
      </w:r>
      <w:r>
        <w:rPr>
          <w:bCs/>
        </w:rPr>
        <w:t>October</w:t>
      </w:r>
      <w:r w:rsidRPr="005B3CF4">
        <w:rPr>
          <w:bCs/>
        </w:rPr>
        <w:t xml:space="preserve"> 2019</w:t>
      </w:r>
      <w:r>
        <w:rPr>
          <w:bCs/>
        </w:rPr>
        <w:t xml:space="preserve">, </w:t>
      </w:r>
      <w:r w:rsidR="004D65D4" w:rsidRPr="005B3CF4">
        <w:t xml:space="preserve">the </w:t>
      </w:r>
      <w:r w:rsidR="004D65D4">
        <w:t>Secretariat</w:t>
      </w:r>
      <w:r w:rsidR="004D65D4" w:rsidRPr="005B3CF4">
        <w:t xml:space="preserve"> note</w:t>
      </w:r>
      <w:r w:rsidR="00745AD9">
        <w:t>d</w:t>
      </w:r>
      <w:r w:rsidR="004D65D4" w:rsidRPr="005B3CF4">
        <w:t xml:space="preserve"> that </w:t>
      </w:r>
      <w:r w:rsidR="006654D4">
        <w:t xml:space="preserve">given the changes are narrower than the current TGA registered indications, </w:t>
      </w:r>
      <w:r w:rsidR="004D65D4" w:rsidRPr="005B3CF4">
        <w:t xml:space="preserve">the changes </w:t>
      </w:r>
      <w:proofErr w:type="gramStart"/>
      <w:r w:rsidR="004D65D4">
        <w:t>could be made</w:t>
      </w:r>
      <w:proofErr w:type="gramEnd"/>
      <w:r w:rsidR="004D65D4">
        <w:t xml:space="preserve"> to PBS listings before they are made to </w:t>
      </w:r>
      <w:r w:rsidR="00745AD9">
        <w:t xml:space="preserve">the </w:t>
      </w:r>
      <w:r w:rsidR="004D65D4" w:rsidRPr="005B3CF4">
        <w:t>PI</w:t>
      </w:r>
      <w:r w:rsidR="004D65D4">
        <w:t>s</w:t>
      </w:r>
      <w:r>
        <w:rPr>
          <w:bCs/>
        </w:rPr>
        <w:t>.</w:t>
      </w:r>
    </w:p>
    <w:p w14:paraId="6911D692" w14:textId="7468579D" w:rsidR="00F66B01" w:rsidRPr="003C4498" w:rsidRDefault="00A461D9" w:rsidP="00D24F42">
      <w:pPr>
        <w:pStyle w:val="2-SectionHeading"/>
        <w:jc w:val="both"/>
      </w:pPr>
      <w:bookmarkStart w:id="6" w:name="_Toc32300574"/>
      <w:r>
        <w:t>R</w:t>
      </w:r>
      <w:r w:rsidRPr="003C4498">
        <w:t>evise</w:t>
      </w:r>
      <w:r>
        <w:t>d</w:t>
      </w:r>
      <w:r w:rsidRPr="003C4498">
        <w:t xml:space="preserve"> </w:t>
      </w:r>
      <w:r w:rsidR="00D72921">
        <w:t>indications</w:t>
      </w:r>
      <w:r w:rsidR="00F66B01" w:rsidRPr="003C4498">
        <w:t xml:space="preserve"> for </w:t>
      </w:r>
      <w:r w:rsidR="00454638" w:rsidRPr="003C4498">
        <w:t>immediate- and modified-release opioids</w:t>
      </w:r>
      <w:bookmarkEnd w:id="6"/>
    </w:p>
    <w:p w14:paraId="697616B3" w14:textId="7FF7732B" w:rsidR="009827F9" w:rsidRPr="003C4498" w:rsidRDefault="00F66B01" w:rsidP="00F33674">
      <w:pPr>
        <w:pStyle w:val="3-BodyText"/>
      </w:pPr>
      <w:r w:rsidRPr="003C4498">
        <w:t xml:space="preserve">The TGA advised that it </w:t>
      </w:r>
      <w:r w:rsidR="00745AD9">
        <w:t>would</w:t>
      </w:r>
      <w:r w:rsidR="00745AD9" w:rsidRPr="003C4498">
        <w:t xml:space="preserve"> </w:t>
      </w:r>
      <w:r w:rsidRPr="003C4498">
        <w:t xml:space="preserve">ask </w:t>
      </w:r>
      <w:r w:rsidR="000F17A3" w:rsidRPr="003C4498">
        <w:t xml:space="preserve">relevant </w:t>
      </w:r>
      <w:r w:rsidRPr="003C4498">
        <w:t>sponsors to update their PI</w:t>
      </w:r>
      <w:r w:rsidR="00EA15A5">
        <w:t>s</w:t>
      </w:r>
      <w:r w:rsidR="000F17A3" w:rsidRPr="003C4498">
        <w:t xml:space="preserve"> to reflect that the use of modified release opioids in chronic non-cancer pain </w:t>
      </w:r>
      <w:proofErr w:type="gramStart"/>
      <w:r w:rsidR="000F17A3" w:rsidRPr="003C4498">
        <w:t>is no longer indicated</w:t>
      </w:r>
      <w:proofErr w:type="gramEnd"/>
      <w:r w:rsidR="00B32028">
        <w:t xml:space="preserve"> except in exceptional circumstances</w:t>
      </w:r>
      <w:r w:rsidR="000F17A3" w:rsidRPr="003C4498">
        <w:t>.</w:t>
      </w:r>
      <w:r w:rsidR="0009012E">
        <w:t xml:space="preserve"> </w:t>
      </w:r>
      <w:r w:rsidR="005B3CF4">
        <w:t xml:space="preserve">In addition, changes </w:t>
      </w:r>
      <w:proofErr w:type="gramStart"/>
      <w:r w:rsidR="00745AD9">
        <w:t xml:space="preserve">were </w:t>
      </w:r>
      <w:r w:rsidR="00D72921">
        <w:t>also being</w:t>
      </w:r>
      <w:r w:rsidR="005B3CF4">
        <w:t xml:space="preserve"> made</w:t>
      </w:r>
      <w:proofErr w:type="gramEnd"/>
      <w:r w:rsidR="005B3CF4">
        <w:t xml:space="preserve"> to </w:t>
      </w:r>
      <w:r w:rsidR="00D72921">
        <w:t xml:space="preserve">indications for </w:t>
      </w:r>
      <w:r w:rsidR="005B3CF4">
        <w:t xml:space="preserve">immediate-release opioids </w:t>
      </w:r>
      <w:r w:rsidR="003E456A">
        <w:t xml:space="preserve">to </w:t>
      </w:r>
      <w:r w:rsidR="005B3CF4">
        <w:t>h</w:t>
      </w:r>
      <w:r w:rsidR="003E456A">
        <w:t>armonise</w:t>
      </w:r>
      <w:r w:rsidR="00745AD9">
        <w:t xml:space="preserve"> the</w:t>
      </w:r>
      <w:r w:rsidR="003E456A">
        <w:t xml:space="preserve"> indications </w:t>
      </w:r>
      <w:r w:rsidR="005B3CF4">
        <w:t xml:space="preserve">across all </w:t>
      </w:r>
      <w:r w:rsidR="003E456A">
        <w:t>products</w:t>
      </w:r>
      <w:r w:rsidR="005B3CF4">
        <w:t xml:space="preserve">. </w:t>
      </w:r>
      <w:r w:rsidR="00B32028" w:rsidRPr="003C4498">
        <w:t xml:space="preserve">Not all of the proposed </w:t>
      </w:r>
      <w:r w:rsidR="003E456A">
        <w:t>indication</w:t>
      </w:r>
      <w:r w:rsidR="00B32028" w:rsidRPr="003C4498">
        <w:t xml:space="preserve"> changes put forward by the TGA </w:t>
      </w:r>
      <w:r w:rsidR="00745AD9">
        <w:t>had</w:t>
      </w:r>
      <w:r w:rsidR="00B32028" w:rsidRPr="003C4498">
        <w:t xml:space="preserve"> implications for PBS listing: some of the identified brands </w:t>
      </w:r>
      <w:proofErr w:type="gramStart"/>
      <w:r w:rsidR="00745AD9">
        <w:t>we</w:t>
      </w:r>
      <w:r w:rsidR="00745AD9" w:rsidRPr="003C4498">
        <w:t xml:space="preserve">re </w:t>
      </w:r>
      <w:r w:rsidR="00B32028" w:rsidRPr="003C4498">
        <w:t>not listed</w:t>
      </w:r>
      <w:proofErr w:type="gramEnd"/>
      <w:r w:rsidR="00B32028" w:rsidRPr="003C4498">
        <w:t xml:space="preserve"> on the PBS and others already </w:t>
      </w:r>
      <w:r w:rsidR="00745AD9" w:rsidRPr="003C4498">
        <w:t>ha</w:t>
      </w:r>
      <w:r w:rsidR="00745AD9">
        <w:t>d</w:t>
      </w:r>
      <w:r w:rsidR="00745AD9" w:rsidRPr="003C4498">
        <w:t xml:space="preserve"> </w:t>
      </w:r>
      <w:r w:rsidR="003E456A">
        <w:t>restrictions</w:t>
      </w:r>
      <w:r w:rsidR="00B32028" w:rsidRPr="003C4498">
        <w:t xml:space="preserve"> that align</w:t>
      </w:r>
      <w:r w:rsidR="00745AD9">
        <w:t>ed</w:t>
      </w:r>
      <w:r w:rsidR="00B32028" w:rsidRPr="003C4498">
        <w:t xml:space="preserve"> with the </w:t>
      </w:r>
      <w:r w:rsidR="00B32028">
        <w:t>revised</w:t>
      </w:r>
      <w:r w:rsidR="00B32028" w:rsidRPr="003C4498">
        <w:t xml:space="preserve"> TGA indications.</w:t>
      </w:r>
    </w:p>
    <w:p w14:paraId="3F1FE9A6" w14:textId="69FB56DB" w:rsidR="00C835D3" w:rsidRDefault="00C835D3" w:rsidP="00F33674">
      <w:pPr>
        <w:pStyle w:val="3-BodyText"/>
      </w:pPr>
      <w:r>
        <w:lastRenderedPageBreak/>
        <w:t xml:space="preserve">The Secretariat noted that the TGA opioid review had defined opioids as for either short-term or long-term use. For the purposes of reviewing PBS listings, the Secretariat proposed sub-categorising into first-line and second-line treatments, in accordance with the current Therapeutic Guidelines. First-line opioids would be for use in patients who have </w:t>
      </w:r>
      <w:r w:rsidR="00765261">
        <w:t>not responded</w:t>
      </w:r>
      <w:r w:rsidR="00A80C3C">
        <w:t xml:space="preserve"> to</w:t>
      </w:r>
      <w:r w:rsidR="00765261">
        <w:t>,</w:t>
      </w:r>
      <w:r>
        <w:t xml:space="preserve"> are intolerant to or whose condition would not respond to non-opioid analgesics; second-line opioids would be used if other opioids (either first- or second-line) and non-opioid analgesics had failed or been deemed to provide inadequate pain relief. </w:t>
      </w:r>
    </w:p>
    <w:p w14:paraId="609054BB" w14:textId="1DC051EF" w:rsidR="004546E8" w:rsidRPr="003C4498" w:rsidRDefault="000F17A3" w:rsidP="00F33674">
      <w:pPr>
        <w:pStyle w:val="3-BodyText"/>
      </w:pPr>
      <w:r w:rsidRPr="003C4498">
        <w:t xml:space="preserve">The </w:t>
      </w:r>
      <w:r w:rsidR="006A40F4">
        <w:t xml:space="preserve">Secretariat </w:t>
      </w:r>
      <w:r w:rsidR="00B32028">
        <w:t xml:space="preserve">proposed revisions to the immediate and modified-release opioids </w:t>
      </w:r>
      <w:r w:rsidR="003A0E63">
        <w:t xml:space="preserve">listed on the PBS for pain management </w:t>
      </w:r>
      <w:r w:rsidR="003A0E63" w:rsidRPr="003C4498">
        <w:t>to align with the proposed new TGA indications</w:t>
      </w:r>
      <w:r w:rsidR="002B545E" w:rsidRPr="003C4498">
        <w:t>.</w:t>
      </w:r>
      <w:r w:rsidR="001F75E3" w:rsidRPr="003C4498">
        <w:t xml:space="preserve"> The </w:t>
      </w:r>
      <w:r w:rsidR="00DD3638" w:rsidRPr="003C4498">
        <w:t>main types of changes</w:t>
      </w:r>
      <w:r w:rsidR="00262F7D" w:rsidRPr="003C4498">
        <w:t xml:space="preserve"> proposed</w:t>
      </w:r>
      <w:r w:rsidR="001B04FE">
        <w:t xml:space="preserve"> were</w:t>
      </w:r>
      <w:r w:rsidR="00DD3638" w:rsidRPr="003C4498">
        <w:t>:</w:t>
      </w:r>
    </w:p>
    <w:p w14:paraId="0B9B380B" w14:textId="5F0376BA" w:rsidR="00DE6B94" w:rsidRPr="00007462" w:rsidRDefault="00DE6B94" w:rsidP="00DE6B94">
      <w:pPr>
        <w:pStyle w:val="ListParagraph"/>
        <w:ind w:left="1134" w:hanging="357"/>
      </w:pPr>
      <w:r w:rsidRPr="00007462">
        <w:t xml:space="preserve">items that </w:t>
      </w:r>
      <w:r>
        <w:t>ar</w:t>
      </w:r>
      <w:r w:rsidRPr="00007462">
        <w:t>e currently Unrestricted will become Restricted Benefits for severe pain that is unresponsive to non-opioid analgesia; and</w:t>
      </w:r>
    </w:p>
    <w:p w14:paraId="5CC1B7EA" w14:textId="77777777" w:rsidR="00DE6B94" w:rsidRDefault="00DE6B94" w:rsidP="00DE6B94">
      <w:pPr>
        <w:pStyle w:val="ListParagraph"/>
        <w:ind w:left="1134" w:hanging="357"/>
      </w:pPr>
      <w:proofErr w:type="gramStart"/>
      <w:r w:rsidRPr="00007462">
        <w:t>items</w:t>
      </w:r>
      <w:proofErr w:type="gramEnd"/>
      <w:r>
        <w:t xml:space="preserve"> that are</w:t>
      </w:r>
      <w:r w:rsidRPr="00007462">
        <w:t xml:space="preserve"> currently indicated for chronic severe disabling pain unresponsive to non-opioid analgesics will be updated to reflect that they should only be used for cancer pain </w:t>
      </w:r>
      <w:r>
        <w:t xml:space="preserve">or in palliative care </w:t>
      </w:r>
      <w:r w:rsidRPr="00007462">
        <w:t>except in exceptional circumstances.</w:t>
      </w:r>
    </w:p>
    <w:p w14:paraId="27E3D7A6" w14:textId="46D43984" w:rsidR="005B3CF4" w:rsidRPr="00B81B6C" w:rsidRDefault="005B3CF4" w:rsidP="00F33674">
      <w:pPr>
        <w:pStyle w:val="3-BodyText"/>
      </w:pPr>
      <w:r>
        <w:t>While the TGA ha</w:t>
      </w:r>
      <w:r w:rsidR="00F34EF6">
        <w:t>d</w:t>
      </w:r>
      <w:r>
        <w:t xml:space="preserve"> stated </w:t>
      </w:r>
      <w:r w:rsidR="00636D00">
        <w:t xml:space="preserve">that </w:t>
      </w:r>
      <w:r>
        <w:t xml:space="preserve">the changes </w:t>
      </w:r>
      <w:r w:rsidR="00EA15A5">
        <w:t xml:space="preserve">to PIs </w:t>
      </w:r>
      <w:r w:rsidR="00636D00">
        <w:t xml:space="preserve">would </w:t>
      </w:r>
      <w:r>
        <w:t xml:space="preserve">occur </w:t>
      </w:r>
      <w:r w:rsidRPr="005B3CF4">
        <w:t xml:space="preserve">within </w:t>
      </w:r>
      <w:r>
        <w:t>12-24</w:t>
      </w:r>
      <w:r w:rsidRPr="005B3CF4">
        <w:t xml:space="preserve"> months from October 2019, the </w:t>
      </w:r>
      <w:r w:rsidR="006A40F4">
        <w:t>Secretariat</w:t>
      </w:r>
      <w:r w:rsidR="006A40F4" w:rsidRPr="005B3CF4">
        <w:t xml:space="preserve"> </w:t>
      </w:r>
      <w:r w:rsidRPr="005B3CF4">
        <w:t>note</w:t>
      </w:r>
      <w:r w:rsidR="00636D00">
        <w:t>d</w:t>
      </w:r>
      <w:r w:rsidRPr="005B3CF4">
        <w:t xml:space="preserve"> that </w:t>
      </w:r>
      <w:r w:rsidR="00F66E92">
        <w:t xml:space="preserve">given the changes are narrower than the current TGA registered indications, </w:t>
      </w:r>
      <w:r w:rsidRPr="005B3CF4">
        <w:t xml:space="preserve">the changes </w:t>
      </w:r>
      <w:proofErr w:type="gramStart"/>
      <w:r w:rsidR="00775FC0">
        <w:t>could be made</w:t>
      </w:r>
      <w:proofErr w:type="gramEnd"/>
      <w:r w:rsidR="00775FC0">
        <w:t xml:space="preserve"> to PBS listings before they are made to </w:t>
      </w:r>
      <w:r w:rsidRPr="005B3CF4">
        <w:t>PI</w:t>
      </w:r>
      <w:r>
        <w:t>s</w:t>
      </w:r>
      <w:r w:rsidRPr="005B3CF4">
        <w:t>.</w:t>
      </w:r>
    </w:p>
    <w:p w14:paraId="1C2DE29A" w14:textId="49464F0F" w:rsidR="0045003C" w:rsidRPr="003C4498" w:rsidRDefault="00A461D9" w:rsidP="00007462">
      <w:pPr>
        <w:pStyle w:val="2-SectionHeading"/>
      </w:pPr>
      <w:bookmarkStart w:id="7" w:name="_Toc32300575"/>
      <w:r>
        <w:t>B</w:t>
      </w:r>
      <w:r w:rsidRPr="003C4498">
        <w:t xml:space="preserve">oxed </w:t>
      </w:r>
      <w:r w:rsidR="0045003C" w:rsidRPr="003C4498">
        <w:t>warnings and class statements</w:t>
      </w:r>
      <w:bookmarkEnd w:id="7"/>
    </w:p>
    <w:p w14:paraId="4F36361D" w14:textId="08AA6FBA" w:rsidR="0045003C" w:rsidRPr="003C4498" w:rsidRDefault="00636D00" w:rsidP="00F33674">
      <w:pPr>
        <w:pStyle w:val="3-BodyText"/>
      </w:pPr>
      <w:r>
        <w:t>The TGA advised that w</w:t>
      </w:r>
      <w:r w:rsidR="0045003C" w:rsidRPr="003C4498">
        <w:t>arnings</w:t>
      </w:r>
      <w:r w:rsidR="00251C85" w:rsidRPr="003C4498">
        <w:t xml:space="preserve"> and statements</w:t>
      </w:r>
      <w:r w:rsidR="0045003C" w:rsidRPr="003C4498">
        <w:t xml:space="preserve"> </w:t>
      </w:r>
      <w:proofErr w:type="gramStart"/>
      <w:r>
        <w:t>would</w:t>
      </w:r>
      <w:r w:rsidR="0045003C" w:rsidRPr="003C4498">
        <w:t xml:space="preserve"> be prominently displayed</w:t>
      </w:r>
      <w:proofErr w:type="gramEnd"/>
      <w:r w:rsidR="0045003C" w:rsidRPr="003C4498">
        <w:t xml:space="preserve"> on the PIs </w:t>
      </w:r>
      <w:r w:rsidR="006A1319">
        <w:t xml:space="preserve">and CMIs </w:t>
      </w:r>
      <w:r w:rsidR="0045003C" w:rsidRPr="003C4498">
        <w:t xml:space="preserve">of all prescription opioid products registered in Australia. </w:t>
      </w:r>
    </w:p>
    <w:p w14:paraId="7180069D" w14:textId="14986479" w:rsidR="002B37C2" w:rsidRPr="003C4498" w:rsidRDefault="002B37C2" w:rsidP="00F33674">
      <w:pPr>
        <w:pStyle w:val="3-BodyText"/>
      </w:pPr>
      <w:r>
        <w:t xml:space="preserve">The Secretariat </w:t>
      </w:r>
      <w:r w:rsidR="00636D00">
        <w:t>proposed</w:t>
      </w:r>
      <w:r>
        <w:t xml:space="preserve"> that the caution ‘the risk of drug dependence is high’ </w:t>
      </w:r>
      <w:r w:rsidR="00636D00">
        <w:t xml:space="preserve">be </w:t>
      </w:r>
      <w:r>
        <w:t xml:space="preserve">applied consistently across all of the relevant listings. </w:t>
      </w:r>
    </w:p>
    <w:p w14:paraId="32D5DFC9" w14:textId="3AC56978" w:rsidR="00DE4B23" w:rsidRDefault="00DE4B23" w:rsidP="00630FB2">
      <w:pPr>
        <w:pStyle w:val="2Sections"/>
        <w:numPr>
          <w:ilvl w:val="0"/>
          <w:numId w:val="4"/>
        </w:numPr>
      </w:pPr>
      <w:bookmarkStart w:id="8" w:name="_Toc32300576"/>
      <w:r>
        <w:t>PBAC Outcome</w:t>
      </w:r>
      <w:bookmarkEnd w:id="8"/>
    </w:p>
    <w:p w14:paraId="24FC4A82" w14:textId="0BE032DE" w:rsidR="00450066" w:rsidRDefault="00450066" w:rsidP="00630FB2">
      <w:pPr>
        <w:pStyle w:val="3Bodytext"/>
        <w:numPr>
          <w:ilvl w:val="1"/>
          <w:numId w:val="4"/>
        </w:numPr>
      </w:pPr>
      <w:r w:rsidRPr="0069306C">
        <w:t xml:space="preserve">The PBAC recommended changes to </w:t>
      </w:r>
      <w:r>
        <w:t>opioid</w:t>
      </w:r>
      <w:r w:rsidR="00BD2A41">
        <w:t>s listed on the</w:t>
      </w:r>
      <w:r w:rsidRPr="0069306C">
        <w:t xml:space="preserve"> PBS as </w:t>
      </w:r>
      <w:r w:rsidR="00644B64">
        <w:t>below</w:t>
      </w:r>
      <w:r w:rsidR="001549B2">
        <w:t xml:space="preserve"> (and detailed in section 9)</w:t>
      </w:r>
      <w:r w:rsidRPr="0069306C">
        <w:t>:</w:t>
      </w:r>
    </w:p>
    <w:p w14:paraId="72C3575C" w14:textId="01BB54AE" w:rsidR="00644B64" w:rsidRDefault="00FB777B" w:rsidP="00630FB2">
      <w:pPr>
        <w:pStyle w:val="3Bodytext"/>
        <w:numPr>
          <w:ilvl w:val="0"/>
          <w:numId w:val="8"/>
        </w:numPr>
      </w:pPr>
      <w:r>
        <w:t xml:space="preserve">implementing </w:t>
      </w:r>
      <w:r w:rsidR="00644B64">
        <w:t xml:space="preserve">new </w:t>
      </w:r>
      <w:r>
        <w:t xml:space="preserve">Restricted Benefit listings for </w:t>
      </w:r>
      <w:r w:rsidR="00644B64">
        <w:t xml:space="preserve">smaller MQs </w:t>
      </w:r>
      <w:r>
        <w:t xml:space="preserve">of immediate release opioids </w:t>
      </w:r>
      <w:r w:rsidR="00644B64">
        <w:t xml:space="preserve">with no increased quantities or repeats (as identified in Table </w:t>
      </w:r>
      <w:r w:rsidR="00CC13AC">
        <w:t>2</w:t>
      </w:r>
      <w:r w:rsidR="00644B64">
        <w:t xml:space="preserve">) </w:t>
      </w:r>
      <w:r>
        <w:t>for patients requiring short-term relief of acute severe pain that is unresponsive to non-opioid analgesics</w:t>
      </w:r>
      <w:r w:rsidR="00644B64">
        <w:t>;</w:t>
      </w:r>
    </w:p>
    <w:p w14:paraId="47D416B6" w14:textId="302A29C4" w:rsidR="00450066" w:rsidRDefault="00FB777B" w:rsidP="00630FB2">
      <w:pPr>
        <w:pStyle w:val="3Bodytext"/>
        <w:numPr>
          <w:ilvl w:val="0"/>
          <w:numId w:val="8"/>
        </w:numPr>
      </w:pPr>
      <w:proofErr w:type="gramStart"/>
      <w:r>
        <w:t>amending</w:t>
      </w:r>
      <w:proofErr w:type="gramEnd"/>
      <w:r>
        <w:t xml:space="preserve"> the listings for immediate- and modified-release opioids (outlined in </w:t>
      </w:r>
      <w:r w:rsidR="00B61A94">
        <w:t xml:space="preserve">para 8.7 </w:t>
      </w:r>
      <w:r w:rsidR="00470518">
        <w:t xml:space="preserve">and section 9 </w:t>
      </w:r>
      <w:r w:rsidR="00B61A94">
        <w:t>in detail</w:t>
      </w:r>
      <w:r>
        <w:t xml:space="preserve">) to </w:t>
      </w:r>
      <w:r w:rsidR="00852F7E">
        <w:t>support the appropriate prescribing and use of opioids</w:t>
      </w:r>
      <w:r>
        <w:t>.</w:t>
      </w:r>
    </w:p>
    <w:p w14:paraId="23E61120" w14:textId="7658CF40" w:rsidR="004744EE" w:rsidRDefault="004744EE" w:rsidP="00630FB2">
      <w:pPr>
        <w:pStyle w:val="4Bodytextnumbered"/>
        <w:numPr>
          <w:ilvl w:val="1"/>
          <w:numId w:val="4"/>
        </w:numPr>
      </w:pPr>
      <w:r>
        <w:t xml:space="preserve">The PBAC noted that the TGA </w:t>
      </w:r>
      <w:r w:rsidR="00892E2F">
        <w:t>would be requiring sponsors to register</w:t>
      </w:r>
      <w:r>
        <w:t xml:space="preserve"> new </w:t>
      </w:r>
      <w:r w:rsidR="00892E2F">
        <w:t xml:space="preserve">smaller </w:t>
      </w:r>
      <w:r>
        <w:t xml:space="preserve">pack sizes for some immediate-release opioid analgesics, and considered that </w:t>
      </w:r>
      <w:r w:rsidR="008C7503">
        <w:lastRenderedPageBreak/>
        <w:t xml:space="preserve">additional </w:t>
      </w:r>
      <w:r>
        <w:t>PBS listings with smaller MQs could reduce the number of patients prescribed a greater quantity of opioids than required for acute severe pain.</w:t>
      </w:r>
    </w:p>
    <w:p w14:paraId="1B31621E" w14:textId="4BE53300" w:rsidR="008C7503" w:rsidRPr="00B536BD" w:rsidRDefault="008C7503" w:rsidP="00630FB2">
      <w:pPr>
        <w:pStyle w:val="4Bodytextnumbered"/>
        <w:numPr>
          <w:ilvl w:val="1"/>
          <w:numId w:val="4"/>
        </w:numPr>
      </w:pPr>
      <w:r>
        <w:t>The PBAC considered that the smaller MQs for immediate-release opioids would provide sufficient quantity for acute pain relief at the lowest effective dose, but also considered that in some acute pain settings, a larger quantity may be required. The PBAC therefore chose not to limit the duration of treatment for acute pain to a set number of days, and considered that the proposed criteria was sufficient to direct prescribers as to the appropriate prescribing of these opioids.</w:t>
      </w:r>
    </w:p>
    <w:p w14:paraId="2A16D81A" w14:textId="0A16942D" w:rsidR="00892E2F" w:rsidRDefault="008C7503" w:rsidP="00630FB2">
      <w:pPr>
        <w:pStyle w:val="4Bodytextnumbered"/>
        <w:numPr>
          <w:ilvl w:val="1"/>
          <w:numId w:val="4"/>
        </w:numPr>
      </w:pPr>
      <w:r>
        <w:t xml:space="preserve">The PBAC noted that the smaller MQ listings </w:t>
      </w:r>
      <w:proofErr w:type="gramStart"/>
      <w:r>
        <w:t>would be priced</w:t>
      </w:r>
      <w:proofErr w:type="gramEnd"/>
      <w:r>
        <w:t xml:space="preserve"> proportionally to the existing listings</w:t>
      </w:r>
      <w:r w:rsidR="00892E2F">
        <w:t>,</w:t>
      </w:r>
      <w:r>
        <w:t xml:space="preserve"> in accordance with </w:t>
      </w:r>
      <w:r w:rsidR="00892E2F">
        <w:t xml:space="preserve">the requirements of </w:t>
      </w:r>
      <w:r>
        <w:t xml:space="preserve">Section 85D of the Act. </w:t>
      </w:r>
    </w:p>
    <w:p w14:paraId="1271F2C5" w14:textId="6C13153A" w:rsidR="00892E2F" w:rsidRDefault="008C7503" w:rsidP="00630FB2">
      <w:pPr>
        <w:pStyle w:val="4Bodytextnumbered"/>
        <w:numPr>
          <w:ilvl w:val="1"/>
          <w:numId w:val="4"/>
        </w:numPr>
      </w:pPr>
      <w:r>
        <w:t xml:space="preserve">The PBAC noted that </w:t>
      </w:r>
      <w:r w:rsidR="00892E2F">
        <w:t xml:space="preserve">the smaller MQs would require pharmacists to dispense less than the whole amount of a </w:t>
      </w:r>
      <w:r w:rsidR="00C835D3">
        <w:t xml:space="preserve">standard </w:t>
      </w:r>
      <w:r w:rsidR="00892E2F">
        <w:t>pack size (i.e. to break a pack), and that the Government compensates pharmacists for this. The PBAC noted that, due to the broken pack fees,</w:t>
      </w:r>
      <w:r>
        <w:t xml:space="preserve"> the </w:t>
      </w:r>
      <w:r w:rsidR="00892E2F">
        <w:t xml:space="preserve">estimated </w:t>
      </w:r>
      <w:r>
        <w:t>net cost to the PBS was approximately $</w:t>
      </w:r>
      <w:r w:rsidR="00892E2F">
        <w:t>3</w:t>
      </w:r>
      <w:r>
        <w:t xml:space="preserve"> million per year. </w:t>
      </w:r>
    </w:p>
    <w:p w14:paraId="3A43AA4E" w14:textId="5A3BF252" w:rsidR="008C7503" w:rsidRDefault="008C7503" w:rsidP="00630FB2">
      <w:pPr>
        <w:pStyle w:val="4Bodytextnumbered"/>
        <w:numPr>
          <w:ilvl w:val="1"/>
          <w:numId w:val="4"/>
        </w:numPr>
      </w:pPr>
      <w:r>
        <w:t xml:space="preserve">The PBAC considered that it was clinically appropriate for these listings to </w:t>
      </w:r>
      <w:proofErr w:type="gramStart"/>
      <w:r>
        <w:t>be created</w:t>
      </w:r>
      <w:proofErr w:type="gramEnd"/>
      <w:r>
        <w:t xml:space="preserve"> prior to sponsors releasing registered new pack sizes of these products, and noted that the costs would reduce once a smaller pack size of at least one brand of an affected item is listed on the PBS. </w:t>
      </w:r>
      <w:proofErr w:type="gramStart"/>
      <w:r>
        <w:t xml:space="preserve">The PBAC advised the Department that once it is able to secure </w:t>
      </w:r>
      <w:r w:rsidR="00756A7F">
        <w:t xml:space="preserve">the </w:t>
      </w:r>
      <w:r>
        <w:t xml:space="preserve">supply </w:t>
      </w:r>
      <w:r w:rsidR="00756A7F">
        <w:t xml:space="preserve">and listing </w:t>
      </w:r>
      <w:r>
        <w:t xml:space="preserve">of </w:t>
      </w:r>
      <w:r w:rsidR="00756A7F">
        <w:t>a</w:t>
      </w:r>
      <w:r>
        <w:t xml:space="preserve"> smaller pack </w:t>
      </w:r>
      <w:r w:rsidR="00756A7F">
        <w:t xml:space="preserve">size </w:t>
      </w:r>
      <w:r>
        <w:t>for</w:t>
      </w:r>
      <w:r w:rsidR="00756A7F">
        <w:t xml:space="preserve"> an item with a sm</w:t>
      </w:r>
      <w:r>
        <w:t>aller MQ, it would be appropriate to pursue</w:t>
      </w:r>
      <w:r w:rsidR="00756A7F">
        <w:t xml:space="preserve"> the removal </w:t>
      </w:r>
      <w:r>
        <w:t>of the</w:t>
      </w:r>
      <w:r w:rsidR="00756A7F">
        <w:t xml:space="preserve"> reduced MQ conditions on the larger pack size listings with the intent of ceasing the supply of broken packs and encouraging the use of the smaller pack size in an acute setting.</w:t>
      </w:r>
      <w:proofErr w:type="gramEnd"/>
    </w:p>
    <w:p w14:paraId="325FF4E3" w14:textId="48BA6EE7" w:rsidR="00590B2A" w:rsidRDefault="00590B2A" w:rsidP="00630FB2">
      <w:pPr>
        <w:pStyle w:val="4Bodytextnumbered"/>
        <w:numPr>
          <w:ilvl w:val="1"/>
          <w:numId w:val="4"/>
        </w:numPr>
      </w:pPr>
      <w:r>
        <w:t>The PBAC noted that the TGA had revised the indication</w:t>
      </w:r>
      <w:r w:rsidR="00AC3471">
        <w:t>s</w:t>
      </w:r>
      <w:r>
        <w:t xml:space="preserve"> of several opioid analgesics</w:t>
      </w:r>
      <w:r w:rsidR="00BA53D0">
        <w:t>, including fentanyl patches,</w:t>
      </w:r>
      <w:r>
        <w:t xml:space="preserve"> </w:t>
      </w:r>
      <w:proofErr w:type="gramStart"/>
      <w:r>
        <w:t>to broadly categorise</w:t>
      </w:r>
      <w:proofErr w:type="gramEnd"/>
      <w:r>
        <w:t xml:space="preserve"> them into opioids for </w:t>
      </w:r>
      <w:r w:rsidR="004F5C84">
        <w:t xml:space="preserve">acute </w:t>
      </w:r>
      <w:r>
        <w:t xml:space="preserve">severe pain and for chronic severe pain. </w:t>
      </w:r>
      <w:r w:rsidR="004F5C84">
        <w:t>The PBAC recommended that the PBS restrictions for immediate- and modified-release opioids should be changed in the following manner to align with the TGA indication changes:</w:t>
      </w:r>
    </w:p>
    <w:p w14:paraId="31D596AA" w14:textId="52641C57" w:rsidR="004F5C84" w:rsidRDefault="004F5C84" w:rsidP="00630FB2">
      <w:pPr>
        <w:pStyle w:val="3Bodytext"/>
        <w:numPr>
          <w:ilvl w:val="0"/>
          <w:numId w:val="8"/>
        </w:numPr>
      </w:pPr>
      <w:r>
        <w:t>Opioids for short-term use in the first-line setting (codeine</w:t>
      </w:r>
      <w:r w:rsidR="00CB2F18">
        <w:t xml:space="preserve"> tablets</w:t>
      </w:r>
      <w:r>
        <w:t xml:space="preserve">, </w:t>
      </w:r>
      <w:r w:rsidRPr="001A5787">
        <w:t>codeine + paracetamol</w:t>
      </w:r>
      <w:r w:rsidR="00710EEB">
        <w:t xml:space="preserve"> tablets</w:t>
      </w:r>
      <w:r>
        <w:t xml:space="preserve">, tramadol </w:t>
      </w:r>
      <w:r w:rsidR="00710EEB">
        <w:t xml:space="preserve">capsule, </w:t>
      </w:r>
      <w:r>
        <w:t>injection</w:t>
      </w:r>
      <w:r w:rsidR="00710EEB">
        <w:t xml:space="preserve">, and oral drops, </w:t>
      </w:r>
      <w:r>
        <w:t>and oxycodone</w:t>
      </w:r>
      <w:r w:rsidR="00710EEB">
        <w:t xml:space="preserve"> tablets, capsules, suppository, and oral solution</w:t>
      </w:r>
      <w:r>
        <w:t xml:space="preserve">) to be Restricted Benefits </w:t>
      </w:r>
      <w:r w:rsidR="00093B48">
        <w:t>limited to</w:t>
      </w:r>
      <w:r>
        <w:t xml:space="preserve"> patients who have </w:t>
      </w:r>
      <w:r w:rsidR="00A80C3C">
        <w:t>not responded to</w:t>
      </w:r>
      <w:r w:rsidR="00CB2F18">
        <w:t>,</w:t>
      </w:r>
      <w:r>
        <w:t xml:space="preserve"> are intolerant </w:t>
      </w:r>
      <w:r w:rsidR="00CB2F18">
        <w:t xml:space="preserve">to </w:t>
      </w:r>
      <w:r>
        <w:t>or whose condition would not respond to non-opioid analgesics</w:t>
      </w:r>
      <w:r w:rsidR="00CB2F18">
        <w:t>;</w:t>
      </w:r>
    </w:p>
    <w:p w14:paraId="5194A964" w14:textId="47BCD9C1" w:rsidR="00CB2F18" w:rsidRDefault="00CB2F18" w:rsidP="00630FB2">
      <w:pPr>
        <w:pStyle w:val="3Bodytext"/>
        <w:numPr>
          <w:ilvl w:val="0"/>
          <w:numId w:val="8"/>
        </w:numPr>
      </w:pPr>
      <w:r>
        <w:t>Opioids for short-term use in the second-line setting (hydromorphone tablets,</w:t>
      </w:r>
      <w:r w:rsidR="00710EEB">
        <w:t xml:space="preserve"> injections, and oral liquid,</w:t>
      </w:r>
      <w:r>
        <w:t xml:space="preserve"> morphine tablets</w:t>
      </w:r>
      <w:r w:rsidR="00710EEB">
        <w:t>, oral solution</w:t>
      </w:r>
      <w:r>
        <w:t xml:space="preserve"> and injections)</w:t>
      </w:r>
      <w:r w:rsidR="00F72171">
        <w:t xml:space="preserve"> to be Restricted Benefits </w:t>
      </w:r>
      <w:r w:rsidR="00093B48">
        <w:t>limited to</w:t>
      </w:r>
      <w:r w:rsidR="00F72171">
        <w:t xml:space="preserve"> patients who have </w:t>
      </w:r>
      <w:r w:rsidR="00C1561F">
        <w:t>not responded to</w:t>
      </w:r>
      <w:r w:rsidR="00F72171">
        <w:t>, are intolerant to or whose condition would not respond to non-opioid nor other opioid analgesics.</w:t>
      </w:r>
    </w:p>
    <w:p w14:paraId="75BEC6DB" w14:textId="4BF8FBA1" w:rsidR="00445664" w:rsidRDefault="00445664" w:rsidP="00630FB2">
      <w:pPr>
        <w:pStyle w:val="3Bodytext"/>
        <w:numPr>
          <w:ilvl w:val="0"/>
          <w:numId w:val="8"/>
        </w:numPr>
      </w:pPr>
      <w:proofErr w:type="gramStart"/>
      <w:r>
        <w:t>Opioids for long-term use in the first-line setting (</w:t>
      </w:r>
      <w:r w:rsidRPr="00DD0BE4">
        <w:t xml:space="preserve">buprenorphine </w:t>
      </w:r>
      <w:r w:rsidR="00710EEB">
        <w:t xml:space="preserve">transdermal </w:t>
      </w:r>
      <w:r w:rsidRPr="00DD0BE4">
        <w:t xml:space="preserve">patches, morphine </w:t>
      </w:r>
      <w:r w:rsidR="00710EEB">
        <w:t xml:space="preserve">capsules, </w:t>
      </w:r>
      <w:r w:rsidRPr="00DD0BE4">
        <w:t>tablets and granules, oxycodone</w:t>
      </w:r>
      <w:r w:rsidR="00710EEB">
        <w:t xml:space="preserve"> tablets</w:t>
      </w:r>
      <w:r w:rsidRPr="00DD0BE4">
        <w:t>,</w:t>
      </w:r>
      <w:r w:rsidR="00710EEB">
        <w:t xml:space="preserve"> oxycodone </w:t>
      </w:r>
      <w:r w:rsidR="00710EEB">
        <w:lastRenderedPageBreak/>
        <w:t>with naloxone tablets,</w:t>
      </w:r>
      <w:r w:rsidRPr="00DD0BE4">
        <w:t xml:space="preserve"> tapentadol</w:t>
      </w:r>
      <w:r w:rsidR="00710EEB">
        <w:t xml:space="preserve"> tablets</w:t>
      </w:r>
      <w:r w:rsidRPr="00DD0BE4">
        <w:t xml:space="preserve">, </w:t>
      </w:r>
      <w:r w:rsidR="00710EEB">
        <w:t xml:space="preserve">and </w:t>
      </w:r>
      <w:r w:rsidRPr="00DD0BE4">
        <w:t>tramadol</w:t>
      </w:r>
      <w:r w:rsidR="00710EEB">
        <w:t xml:space="preserve"> tablets</w:t>
      </w:r>
      <w:r>
        <w:t xml:space="preserve">) </w:t>
      </w:r>
      <w:r w:rsidR="009821D7">
        <w:t xml:space="preserve">to </w:t>
      </w:r>
      <w:r w:rsidR="00093B48">
        <w:t>have authority level increased to</w:t>
      </w:r>
      <w:r w:rsidR="009821D7">
        <w:t xml:space="preserve"> Authority Required (STREAMLINED) </w:t>
      </w:r>
      <w:r>
        <w:t>for daily, continuous, long-term management of pain due to cancer or who have</w:t>
      </w:r>
      <w:r w:rsidR="002C1329">
        <w:t xml:space="preserve"> </w:t>
      </w:r>
      <w:r w:rsidR="00C1561F">
        <w:t>not responded to</w:t>
      </w:r>
      <w:r>
        <w:t>, are intolerant to or who experience inadequate pain management at maximum doses of non-opioid or other opioid analgesics.</w:t>
      </w:r>
      <w:proofErr w:type="gramEnd"/>
      <w:r>
        <w:t xml:space="preserve"> </w:t>
      </w:r>
    </w:p>
    <w:p w14:paraId="013A5F9B" w14:textId="337B75A7" w:rsidR="00445664" w:rsidRDefault="00445664" w:rsidP="00630FB2">
      <w:pPr>
        <w:pStyle w:val="3Bodytext"/>
        <w:numPr>
          <w:ilvl w:val="0"/>
          <w:numId w:val="8"/>
        </w:numPr>
      </w:pPr>
      <w:proofErr w:type="gramStart"/>
      <w:r>
        <w:t>Opioids for long-term use in the second-line setting (hydromorphone</w:t>
      </w:r>
      <w:r w:rsidR="00347692">
        <w:t xml:space="preserve"> tablets</w:t>
      </w:r>
      <w:r>
        <w:t>, methadone</w:t>
      </w:r>
      <w:r w:rsidR="00347692">
        <w:t xml:space="preserve"> tablets and injection</w:t>
      </w:r>
      <w:r>
        <w:t>, fentanyl</w:t>
      </w:r>
      <w:r w:rsidR="00347692">
        <w:t xml:space="preserve"> transdermal patches</w:t>
      </w:r>
      <w:r>
        <w:t xml:space="preserve">) to </w:t>
      </w:r>
      <w:r w:rsidR="00093B48">
        <w:t>have authority level increased to</w:t>
      </w:r>
      <w:r>
        <w:t xml:space="preserve"> Authority Required (STREAMLINED) with the same restrictions as opioids in the long-term first-line setting with the additional requirement that the patient must not be opioid-naïve</w:t>
      </w:r>
      <w:r w:rsidR="005F6A60">
        <w:t>, and</w:t>
      </w:r>
      <w:r w:rsidR="002C1329">
        <w:t xml:space="preserve"> </w:t>
      </w:r>
      <w:r w:rsidR="005F6A60">
        <w:t>the additional advice to “</w:t>
      </w:r>
      <w:r w:rsidR="005F6A60" w:rsidRPr="000A640B">
        <w:t xml:space="preserve">Consider consultation with a multidisciplinary pain service </w:t>
      </w:r>
      <w:r w:rsidR="005F6A60">
        <w:t>prior to, or after commencement</w:t>
      </w:r>
      <w:r w:rsidR="005F6A60" w:rsidRPr="000A640B">
        <w:t xml:space="preserve"> of this medication</w:t>
      </w:r>
      <w:r w:rsidR="005F6A60">
        <w:t>”</w:t>
      </w:r>
      <w:r w:rsidR="005A0575">
        <w:t>.</w:t>
      </w:r>
      <w:proofErr w:type="gramEnd"/>
      <w:r w:rsidR="005F6A60">
        <w:t xml:space="preserve"> </w:t>
      </w:r>
    </w:p>
    <w:p w14:paraId="05FB2710" w14:textId="0FD9596B" w:rsidR="00A954DD" w:rsidRDefault="005F6A60" w:rsidP="00F33674">
      <w:pPr>
        <w:pStyle w:val="3-BodyText"/>
      </w:pPr>
      <w:r>
        <w:t xml:space="preserve">The PBAC considered that the exceptional circumstances </w:t>
      </w:r>
      <w:r w:rsidR="00D82242">
        <w:t>referred to</w:t>
      </w:r>
      <w:r>
        <w:t xml:space="preserve"> in the revised TGA indications </w:t>
      </w:r>
      <w:proofErr w:type="gramStart"/>
      <w:r>
        <w:t>were adequately encompassed</w:t>
      </w:r>
      <w:proofErr w:type="gramEnd"/>
      <w:r>
        <w:t xml:space="preserve"> in the revised opioid restrictions</w:t>
      </w:r>
      <w:r w:rsidR="00D96276">
        <w:t xml:space="preserve"> in Section 9</w:t>
      </w:r>
      <w:r>
        <w:t>.</w:t>
      </w:r>
      <w:r w:rsidR="00EF6D0B">
        <w:t xml:space="preserve"> The PBAC also considered that </w:t>
      </w:r>
      <w:r w:rsidR="00A954DD">
        <w:t>t</w:t>
      </w:r>
      <w:r w:rsidR="00A954DD" w:rsidRPr="003C4498">
        <w:t xml:space="preserve">he </w:t>
      </w:r>
      <w:r w:rsidR="00A954DD">
        <w:t>proposed revisions to the PBS restrictions for</w:t>
      </w:r>
      <w:r w:rsidR="00A954DD" w:rsidRPr="003C4498">
        <w:t xml:space="preserve"> fentanyl patch</w:t>
      </w:r>
      <w:r w:rsidR="00A954DD">
        <w:t>es aligned with the amended TGA indications for fentanyl patches</w:t>
      </w:r>
      <w:r w:rsidR="00A954DD" w:rsidRPr="003C4498">
        <w:t>.</w:t>
      </w:r>
    </w:p>
    <w:p w14:paraId="3A132126" w14:textId="2FABBE2C" w:rsidR="00CB32E8" w:rsidRDefault="00593200" w:rsidP="00630FB2">
      <w:pPr>
        <w:pStyle w:val="4Bodytextnumbered"/>
        <w:numPr>
          <w:ilvl w:val="1"/>
          <w:numId w:val="4"/>
        </w:numPr>
      </w:pPr>
      <w:r>
        <w:t xml:space="preserve">The PBAC noted that the opioids for long-term use in the first- and second-line settings identified in paragraph </w:t>
      </w:r>
      <w:r w:rsidR="00155830">
        <w:t xml:space="preserve">8.7 </w:t>
      </w:r>
      <w:proofErr w:type="gramStart"/>
      <w:r>
        <w:t>are currently listed</w:t>
      </w:r>
      <w:proofErr w:type="gramEnd"/>
      <w:r>
        <w:t xml:space="preserve"> as Restricted Benefits on the PBS. The PBAC recommended an increase in the authority level to Authority Required (STREAMLINED) in line with the aims of the TGA’s opioid reforms. The PBAC also noted that, as is currently the case for these items, authority requests </w:t>
      </w:r>
      <w:r w:rsidR="0071652E">
        <w:t xml:space="preserve">for increased quantities </w:t>
      </w:r>
      <w:r>
        <w:t xml:space="preserve">to extend treatment up to one month will still need to </w:t>
      </w:r>
      <w:proofErr w:type="gramStart"/>
      <w:r>
        <w:t>be made</w:t>
      </w:r>
      <w:proofErr w:type="gramEnd"/>
      <w:r>
        <w:t xml:space="preserve"> by telephone, and treatment beyond one month </w:t>
      </w:r>
      <w:r w:rsidR="00401424">
        <w:t xml:space="preserve">and up to three months </w:t>
      </w:r>
      <w:r>
        <w:t>will require a written authority</w:t>
      </w:r>
      <w:r w:rsidR="0071652E">
        <w:t xml:space="preserve"> requesting additional repeats</w:t>
      </w:r>
      <w:r>
        <w:t xml:space="preserve">. The PBAC also noted that a streamlined authority code would enhance the ability for the Department of Health </w:t>
      </w:r>
      <w:r w:rsidRPr="0046594A">
        <w:t>to</w:t>
      </w:r>
      <w:r>
        <w:t xml:space="preserve"> undertake utilisation analyses and compliance activities to identify inappropriate prescribing.</w:t>
      </w:r>
    </w:p>
    <w:p w14:paraId="78C6EB3E" w14:textId="4716B99E" w:rsidR="00C24C07" w:rsidRDefault="00C24C07" w:rsidP="00F33674">
      <w:pPr>
        <w:pStyle w:val="3-BodyText"/>
        <w:rPr>
          <w:rFonts w:ascii="Calibri" w:hAnsi="Calibri"/>
          <w:szCs w:val="24"/>
        </w:rPr>
      </w:pPr>
      <w:r>
        <w:t xml:space="preserve">The PBAC noted that paracetamol with codeine had two listings, one of which allowed up to a 6 month supply on a single script with a written authority. The PBAC noted that this was inconsistent with the other opioids listings on the PBS, for which written authority for increased quantity and repeats can only provide a supply for up to 3 months. The PBAC considered that this listing </w:t>
      </w:r>
      <w:proofErr w:type="gramStart"/>
      <w:r>
        <w:t>should be brought</w:t>
      </w:r>
      <w:proofErr w:type="gramEnd"/>
      <w:r>
        <w:t xml:space="preserve"> in line with all other opioid analgesics, noting that it may result in an increased volume of authority requests to the Department of Human Services. The PBAC also considered that the proposed restriction changes outlined in paragraph 8.7 would achieve this consistency </w:t>
      </w:r>
      <w:proofErr w:type="gramStart"/>
      <w:r>
        <w:t>and also</w:t>
      </w:r>
      <w:proofErr w:type="gramEnd"/>
      <w:r>
        <w:t xml:space="preserve"> encompass the intent of the new TGA indication for short-term pain management. The PBAC therefore considered that there should only be one listing for paracetamol with codeine as proposed, and that the additional listing </w:t>
      </w:r>
      <w:proofErr w:type="gramStart"/>
      <w:r>
        <w:t>should be deleted</w:t>
      </w:r>
      <w:proofErr w:type="gramEnd"/>
      <w:r>
        <w:t>.</w:t>
      </w:r>
    </w:p>
    <w:p w14:paraId="4E85E5E2" w14:textId="0910A574" w:rsidR="00CB32E8" w:rsidRDefault="00CB32E8" w:rsidP="00F33674">
      <w:pPr>
        <w:pStyle w:val="3-BodyText"/>
      </w:pPr>
      <w:r>
        <w:t xml:space="preserve">The PBAC noted that tramadol immediate release tablets also had two restricted benefits listings, one indicated for acute pain with no repeats, and another indicated </w:t>
      </w:r>
      <w:r>
        <w:lastRenderedPageBreak/>
        <w:t xml:space="preserve">for dose-titration in chronic pain with </w:t>
      </w:r>
      <w:proofErr w:type="gramStart"/>
      <w:r>
        <w:t>2</w:t>
      </w:r>
      <w:proofErr w:type="gramEnd"/>
      <w:r>
        <w:t xml:space="preserve"> repeats. The PBAC considered that there was no need for a specific dose-titration listing, and that the proposed restriction changes outlined in paragraph 8.7 would encompass the intent of the existing listings as well as the intent of the new TGA indication for short-term pain management. The PBAC therefore considered that there should only be one listing for tramadol immediate release tablets as proposed, and that the listing </w:t>
      </w:r>
      <w:r w:rsidR="00D11D61">
        <w:t xml:space="preserve">for dose-titration </w:t>
      </w:r>
      <w:proofErr w:type="gramStart"/>
      <w:r>
        <w:t>should be deleted</w:t>
      </w:r>
      <w:proofErr w:type="gramEnd"/>
      <w:r>
        <w:t>.</w:t>
      </w:r>
    </w:p>
    <w:p w14:paraId="5F2163EF" w14:textId="1B881FA2" w:rsidR="00B54CE7" w:rsidRDefault="00B54CE7" w:rsidP="00630FB2">
      <w:pPr>
        <w:pStyle w:val="4Bodytextnumbered"/>
        <w:numPr>
          <w:ilvl w:val="1"/>
          <w:numId w:val="4"/>
        </w:numPr>
      </w:pPr>
      <w:r>
        <w:t xml:space="preserve">The PBAC noted that </w:t>
      </w:r>
      <w:r w:rsidR="001D2EE0">
        <w:t>a</w:t>
      </w:r>
      <w:r>
        <w:t xml:space="preserve"> recent revision of the Therapeutic Guidelines recommended that dentists should not prescribe codeine for pain relief. </w:t>
      </w:r>
      <w:r w:rsidR="00E47D0E">
        <w:t>Although t</w:t>
      </w:r>
      <w:r>
        <w:t xml:space="preserve">he PBAC </w:t>
      </w:r>
      <w:r w:rsidR="002A2544">
        <w:t xml:space="preserve">was of a mind to recommend the removal of dental practitioner prescribing from the PBS listings for codeine, </w:t>
      </w:r>
      <w:r w:rsidR="00E47D0E">
        <w:t>it</w:t>
      </w:r>
      <w:r w:rsidR="002A2544">
        <w:t xml:space="preserve"> asked the Department to first consult with </w:t>
      </w:r>
      <w:r w:rsidR="00D96ECF">
        <w:t>t</w:t>
      </w:r>
      <w:r w:rsidR="002A2544">
        <w:t>he Australian Dental Association</w:t>
      </w:r>
      <w:r w:rsidR="00E47D0E">
        <w:t xml:space="preserve"> before making a final recommendation on the matter</w:t>
      </w:r>
      <w:r w:rsidR="002A2544">
        <w:t>.</w:t>
      </w:r>
    </w:p>
    <w:p w14:paraId="2DA10532" w14:textId="1D9F1245" w:rsidR="00E31620" w:rsidRDefault="006A0B13" w:rsidP="00630FB2">
      <w:pPr>
        <w:pStyle w:val="4Bodytextnumbered"/>
        <w:numPr>
          <w:ilvl w:val="1"/>
          <w:numId w:val="4"/>
        </w:numPr>
      </w:pPr>
      <w:r>
        <w:t xml:space="preserve">The PBAC expressed its concern regarding the high number of deaths and hospitalisations caused by prescription opioids in Australia, and acknowledged the significant work </w:t>
      </w:r>
      <w:proofErr w:type="gramStart"/>
      <w:r>
        <w:t>being undertaken</w:t>
      </w:r>
      <w:proofErr w:type="gramEnd"/>
      <w:r>
        <w:t xml:space="preserve"> by the TGA to help tackle the problem. The PBAC considered that its recommend</w:t>
      </w:r>
      <w:r w:rsidR="004F5C84">
        <w:t xml:space="preserve">ed changes to opioid listings </w:t>
      </w:r>
      <w:r>
        <w:t>on the PBS would</w:t>
      </w:r>
      <w:r w:rsidR="00425A36">
        <w:t xml:space="preserve"> complement the TGA’s efforts to support the safe and clinically appropriate use of opioids while recognising the important role they play in providing pain relief for many people. </w:t>
      </w:r>
    </w:p>
    <w:p w14:paraId="3FA54BBA" w14:textId="77777777" w:rsidR="005A545C" w:rsidRDefault="005A545C" w:rsidP="00630FB2">
      <w:pPr>
        <w:pStyle w:val="4Bodytextnumbered"/>
        <w:numPr>
          <w:ilvl w:val="1"/>
          <w:numId w:val="4"/>
        </w:numPr>
      </w:pPr>
      <w:r>
        <w:t xml:space="preserve">The PBAC noted that the regulatory changes and recommended changes to PBS listings </w:t>
      </w:r>
      <w:proofErr w:type="gramStart"/>
      <w:r>
        <w:t>will</w:t>
      </w:r>
      <w:proofErr w:type="gramEnd"/>
      <w:r>
        <w:t xml:space="preserve"> be implemented as </w:t>
      </w:r>
      <w:r w:rsidRPr="00757209">
        <w:t xml:space="preserve">part of a broader suite of measures </w:t>
      </w:r>
      <w:r>
        <w:t xml:space="preserve">intended </w:t>
      </w:r>
      <w:r w:rsidRPr="00757209">
        <w:t>to support appropriate use of opio</w:t>
      </w:r>
      <w:r>
        <w:t xml:space="preserve">ids, including </w:t>
      </w:r>
      <w:r w:rsidRPr="00757209">
        <w:t xml:space="preserve">education and awareness campaigns, changes to </w:t>
      </w:r>
      <w:r>
        <w:t xml:space="preserve">clinical guidelines and ongoing </w:t>
      </w:r>
      <w:r w:rsidRPr="00757209">
        <w:t>prescription and compliance monitoring.</w:t>
      </w:r>
    </w:p>
    <w:p w14:paraId="61F0B7B0" w14:textId="77777777" w:rsidR="005D5751" w:rsidRDefault="005D5751" w:rsidP="00DE4B23">
      <w:pPr>
        <w:pStyle w:val="4Bodytextnumbered"/>
        <w:ind w:left="0" w:firstLine="0"/>
        <w:rPr>
          <w:rFonts w:ascii="Calibri" w:eastAsia="Calibri" w:hAnsi="Calibri" w:cs="Calibri"/>
          <w:color w:val="FF0000"/>
          <w:sz w:val="22"/>
        </w:rPr>
        <w:sectPr w:rsidR="005D5751" w:rsidSect="00F54A93">
          <w:pgSz w:w="11906" w:h="16838"/>
          <w:pgMar w:top="1440" w:right="1440" w:bottom="1440" w:left="1440" w:header="1440" w:footer="1440" w:gutter="0"/>
          <w:cols w:space="708"/>
          <w:docGrid w:linePitch="360"/>
        </w:sectPr>
      </w:pPr>
    </w:p>
    <w:p w14:paraId="583A8F3D" w14:textId="37956EB2" w:rsidR="00F33674" w:rsidRPr="00F33674" w:rsidRDefault="00F33674" w:rsidP="00F33674">
      <w:pPr>
        <w:pStyle w:val="2-SectionHeading"/>
      </w:pPr>
      <w:bookmarkStart w:id="9" w:name="_Toc32300577"/>
      <w:r w:rsidRPr="00F33674">
        <w:lastRenderedPageBreak/>
        <w:t>Recommended Listing</w:t>
      </w:r>
      <w:bookmarkEnd w:id="9"/>
      <w:r w:rsidR="004F050E">
        <w:t>s</w:t>
      </w:r>
    </w:p>
    <w:sdt>
      <w:sdtPr>
        <w:id w:val="-554618552"/>
        <w:docPartObj>
          <w:docPartGallery w:val="Table of Contents"/>
          <w:docPartUnique/>
        </w:docPartObj>
      </w:sdtPr>
      <w:sdtEndPr>
        <w:rPr>
          <w:b/>
          <w:bCs/>
          <w:noProof/>
          <w:sz w:val="20"/>
          <w:szCs w:val="20"/>
        </w:rPr>
      </w:sdtEndPr>
      <w:sdtContent>
        <w:p w14:paraId="5995FDE3" w14:textId="77777777" w:rsidR="00F33674" w:rsidRPr="00F33674" w:rsidRDefault="00F33674" w:rsidP="00F33674">
          <w:pPr>
            <w:keepNext/>
            <w:keepLines/>
            <w:spacing w:before="240" w:line="259" w:lineRule="auto"/>
            <w:jc w:val="left"/>
            <w:rPr>
              <w:rFonts w:asciiTheme="minorHAnsi" w:eastAsiaTheme="majorEastAsia" w:hAnsiTheme="minorHAnsi" w:cstheme="minorHAnsi"/>
              <w:b/>
              <w:color w:val="000000" w:themeColor="text1"/>
              <w:sz w:val="28"/>
              <w:szCs w:val="28"/>
              <w:lang w:val="en-US"/>
            </w:rPr>
          </w:pPr>
          <w:r w:rsidRPr="00F33674">
            <w:rPr>
              <w:rFonts w:asciiTheme="minorHAnsi" w:eastAsiaTheme="majorEastAsia" w:hAnsiTheme="minorHAnsi" w:cstheme="minorHAnsi"/>
              <w:b/>
              <w:color w:val="000000" w:themeColor="text1"/>
              <w:sz w:val="28"/>
              <w:szCs w:val="28"/>
              <w:lang w:val="en-US"/>
            </w:rPr>
            <w:t>Contents</w:t>
          </w:r>
        </w:p>
        <w:p w14:paraId="0851BBDF" w14:textId="7BF3B85E" w:rsidR="00F33674" w:rsidRDefault="00F33674" w:rsidP="00F33674">
          <w:pPr>
            <w:pStyle w:val="TOC1"/>
            <w:tabs>
              <w:tab w:val="left" w:pos="880"/>
            </w:tabs>
            <w:rPr>
              <w:rFonts w:asciiTheme="minorHAnsi" w:eastAsiaTheme="minorEastAsia" w:hAnsiTheme="minorHAnsi" w:cstheme="minorBidi"/>
              <w:noProof/>
              <w:sz w:val="22"/>
              <w:szCs w:val="22"/>
              <w:lang w:eastAsia="en-AU"/>
            </w:rPr>
          </w:pPr>
          <w:r w:rsidRPr="00F33674">
            <w:rPr>
              <w:szCs w:val="20"/>
            </w:rPr>
            <w:fldChar w:fldCharType="begin"/>
          </w:r>
          <w:r w:rsidRPr="00F33674">
            <w:rPr>
              <w:szCs w:val="20"/>
            </w:rPr>
            <w:instrText xml:space="preserve"> TOC \o "1-3" \h \z \u </w:instrText>
          </w:r>
          <w:r w:rsidRPr="00F33674">
            <w:rPr>
              <w:szCs w:val="20"/>
            </w:rPr>
            <w:fldChar w:fldCharType="separate"/>
          </w:r>
          <w:hyperlink w:anchor="_Toc32300578" w:history="1">
            <w:r w:rsidRPr="00564542">
              <w:rPr>
                <w:rStyle w:val="Hyperlink"/>
                <w:rFonts w:eastAsiaTheme="majorEastAsia" w:cstheme="majorBidi"/>
                <w:b/>
                <w:i/>
                <w:noProof/>
                <w:spacing w:val="5"/>
                <w:kern w:val="28"/>
              </w:rPr>
              <w:t>TGA short-term pain indication: proposed PBS restrictions in 1</w:t>
            </w:r>
            <w:r w:rsidRPr="00564542">
              <w:rPr>
                <w:rStyle w:val="Hyperlink"/>
                <w:rFonts w:eastAsiaTheme="majorEastAsia" w:cstheme="majorBidi"/>
                <w:b/>
                <w:i/>
                <w:noProof/>
                <w:spacing w:val="5"/>
                <w:kern w:val="28"/>
                <w:vertAlign w:val="superscript"/>
              </w:rPr>
              <w:t>st</w:t>
            </w:r>
            <w:r w:rsidRPr="00564542">
              <w:rPr>
                <w:rStyle w:val="Hyperlink"/>
                <w:rFonts w:eastAsiaTheme="majorEastAsia" w:cstheme="majorBidi"/>
                <w:b/>
                <w:i/>
                <w:noProof/>
                <w:spacing w:val="5"/>
                <w:kern w:val="28"/>
              </w:rPr>
              <w:t xml:space="preserve"> line setting</w:t>
            </w:r>
            <w:r>
              <w:rPr>
                <w:noProof/>
                <w:webHidden/>
              </w:rPr>
              <w:tab/>
            </w:r>
            <w:r>
              <w:rPr>
                <w:noProof/>
                <w:webHidden/>
              </w:rPr>
              <w:fldChar w:fldCharType="begin"/>
            </w:r>
            <w:r>
              <w:rPr>
                <w:noProof/>
                <w:webHidden/>
              </w:rPr>
              <w:instrText xml:space="preserve"> PAGEREF _Toc32300578 \h </w:instrText>
            </w:r>
            <w:r>
              <w:rPr>
                <w:noProof/>
                <w:webHidden/>
              </w:rPr>
            </w:r>
            <w:r>
              <w:rPr>
                <w:noProof/>
                <w:webHidden/>
              </w:rPr>
              <w:fldChar w:fldCharType="separate"/>
            </w:r>
            <w:r w:rsidR="00D15109">
              <w:rPr>
                <w:noProof/>
                <w:webHidden/>
              </w:rPr>
              <w:t>15</w:t>
            </w:r>
            <w:r>
              <w:rPr>
                <w:noProof/>
                <w:webHidden/>
              </w:rPr>
              <w:fldChar w:fldCharType="end"/>
            </w:r>
          </w:hyperlink>
        </w:p>
        <w:p w14:paraId="42A1076B" w14:textId="7E8454DF" w:rsidR="00F33674" w:rsidRDefault="00233D13">
          <w:pPr>
            <w:pStyle w:val="TOC3"/>
            <w:rPr>
              <w:rFonts w:asciiTheme="minorHAnsi" w:eastAsiaTheme="minorEastAsia" w:hAnsiTheme="minorHAnsi" w:cstheme="minorBidi"/>
              <w:noProof/>
              <w:sz w:val="22"/>
              <w:szCs w:val="22"/>
              <w:lang w:eastAsia="en-AU"/>
            </w:rPr>
          </w:pPr>
          <w:hyperlink w:anchor="_Toc32300579" w:history="1">
            <w:r w:rsidR="00F33674" w:rsidRPr="00564542">
              <w:rPr>
                <w:rStyle w:val="Hyperlink"/>
                <w:rFonts w:eastAsiaTheme="majorEastAsia" w:cstheme="majorBidi"/>
                <w:b/>
                <w:noProof/>
              </w:rPr>
              <w:t>Listing 1: Restriction for short-term pain TGA indication in 1</w:t>
            </w:r>
            <w:r w:rsidR="00F33674" w:rsidRPr="00564542">
              <w:rPr>
                <w:rStyle w:val="Hyperlink"/>
                <w:rFonts w:eastAsiaTheme="majorEastAsia" w:cstheme="majorBidi"/>
                <w:b/>
                <w:noProof/>
                <w:vertAlign w:val="superscript"/>
              </w:rPr>
              <w:t>st</w:t>
            </w:r>
            <w:r w:rsidR="00F33674" w:rsidRPr="00564542">
              <w:rPr>
                <w:rStyle w:val="Hyperlink"/>
                <w:rFonts w:eastAsiaTheme="majorEastAsia" w:cstheme="majorBidi"/>
                <w:b/>
                <w:noProof/>
              </w:rPr>
              <w:t xml:space="preserve"> line opioid setting (excluding oxycodone suppositories):</w:t>
            </w:r>
            <w:r w:rsidR="00F33674">
              <w:rPr>
                <w:noProof/>
                <w:webHidden/>
              </w:rPr>
              <w:tab/>
            </w:r>
            <w:r w:rsidR="00F33674">
              <w:rPr>
                <w:noProof/>
                <w:webHidden/>
              </w:rPr>
              <w:fldChar w:fldCharType="begin"/>
            </w:r>
            <w:r w:rsidR="00F33674">
              <w:rPr>
                <w:noProof/>
                <w:webHidden/>
              </w:rPr>
              <w:instrText xml:space="preserve"> PAGEREF _Toc32300579 \h </w:instrText>
            </w:r>
            <w:r w:rsidR="00F33674">
              <w:rPr>
                <w:noProof/>
                <w:webHidden/>
              </w:rPr>
            </w:r>
            <w:r w:rsidR="00F33674">
              <w:rPr>
                <w:noProof/>
                <w:webHidden/>
              </w:rPr>
              <w:fldChar w:fldCharType="separate"/>
            </w:r>
            <w:r w:rsidR="00D15109">
              <w:rPr>
                <w:noProof/>
                <w:webHidden/>
              </w:rPr>
              <w:t>15</w:t>
            </w:r>
            <w:r w:rsidR="00F33674">
              <w:rPr>
                <w:noProof/>
                <w:webHidden/>
              </w:rPr>
              <w:fldChar w:fldCharType="end"/>
            </w:r>
          </w:hyperlink>
        </w:p>
        <w:p w14:paraId="36A6708F" w14:textId="036CF4AC" w:rsidR="00F33674" w:rsidRDefault="00233D13">
          <w:pPr>
            <w:pStyle w:val="TOC3"/>
            <w:rPr>
              <w:rFonts w:asciiTheme="minorHAnsi" w:eastAsiaTheme="minorEastAsia" w:hAnsiTheme="minorHAnsi" w:cstheme="minorBidi"/>
              <w:noProof/>
              <w:sz w:val="22"/>
              <w:szCs w:val="22"/>
              <w:lang w:eastAsia="en-AU"/>
            </w:rPr>
          </w:pPr>
          <w:hyperlink w:anchor="_Toc32300580" w:history="1">
            <w:r w:rsidR="00F33674" w:rsidRPr="00564542">
              <w:rPr>
                <w:rStyle w:val="Hyperlink"/>
                <w:rFonts w:eastAsiaTheme="majorEastAsia" w:cstheme="majorBidi"/>
                <w:b/>
                <w:noProof/>
              </w:rPr>
              <w:t>Listing 2: Restriction for short-term pain TGA indication in 1st line opioid setting (oxycodone suppositories):</w:t>
            </w:r>
            <w:r w:rsidR="00F33674">
              <w:rPr>
                <w:noProof/>
                <w:webHidden/>
              </w:rPr>
              <w:tab/>
            </w:r>
            <w:r w:rsidR="00F33674">
              <w:rPr>
                <w:noProof/>
                <w:webHidden/>
              </w:rPr>
              <w:fldChar w:fldCharType="begin"/>
            </w:r>
            <w:r w:rsidR="00F33674">
              <w:rPr>
                <w:noProof/>
                <w:webHidden/>
              </w:rPr>
              <w:instrText xml:space="preserve"> PAGEREF _Toc32300580 \h </w:instrText>
            </w:r>
            <w:r w:rsidR="00F33674">
              <w:rPr>
                <w:noProof/>
                <w:webHidden/>
              </w:rPr>
            </w:r>
            <w:r w:rsidR="00F33674">
              <w:rPr>
                <w:noProof/>
                <w:webHidden/>
              </w:rPr>
              <w:fldChar w:fldCharType="separate"/>
            </w:r>
            <w:r w:rsidR="00D15109">
              <w:rPr>
                <w:noProof/>
                <w:webHidden/>
              </w:rPr>
              <w:t>18</w:t>
            </w:r>
            <w:r w:rsidR="00F33674">
              <w:rPr>
                <w:noProof/>
                <w:webHidden/>
              </w:rPr>
              <w:fldChar w:fldCharType="end"/>
            </w:r>
          </w:hyperlink>
        </w:p>
        <w:p w14:paraId="2A38EBE0" w14:textId="1F47AC57" w:rsidR="00F33674" w:rsidRDefault="00233D13">
          <w:pPr>
            <w:pStyle w:val="TOC3"/>
            <w:rPr>
              <w:rFonts w:asciiTheme="minorHAnsi" w:eastAsiaTheme="minorEastAsia" w:hAnsiTheme="minorHAnsi" w:cstheme="minorBidi"/>
              <w:noProof/>
              <w:sz w:val="22"/>
              <w:szCs w:val="22"/>
              <w:lang w:eastAsia="en-AU"/>
            </w:rPr>
          </w:pPr>
          <w:hyperlink w:anchor="_Toc32300581" w:history="1">
            <w:r w:rsidR="00F33674" w:rsidRPr="00564542">
              <w:rPr>
                <w:rStyle w:val="Hyperlink"/>
                <w:rFonts w:eastAsiaTheme="majorEastAsia" w:cstheme="majorBidi"/>
                <w:b/>
                <w:noProof/>
              </w:rPr>
              <w:t>Listing 3: Dentists’ restriction for short-term pain TGA indication in 1</w:t>
            </w:r>
            <w:r w:rsidR="00F33674" w:rsidRPr="00564542">
              <w:rPr>
                <w:rStyle w:val="Hyperlink"/>
                <w:rFonts w:eastAsiaTheme="majorEastAsia" w:cstheme="majorBidi"/>
                <w:b/>
                <w:noProof/>
                <w:vertAlign w:val="superscript"/>
              </w:rPr>
              <w:t>st</w:t>
            </w:r>
            <w:r w:rsidR="00F33674" w:rsidRPr="00564542">
              <w:rPr>
                <w:rStyle w:val="Hyperlink"/>
                <w:rFonts w:eastAsiaTheme="majorEastAsia" w:cstheme="majorBidi"/>
                <w:b/>
                <w:noProof/>
              </w:rPr>
              <w:t xml:space="preserve"> line opioid setting (excluding oxycodone suppositories):</w:t>
            </w:r>
            <w:r w:rsidR="00F33674">
              <w:rPr>
                <w:noProof/>
                <w:webHidden/>
              </w:rPr>
              <w:tab/>
            </w:r>
            <w:r w:rsidR="00F33674">
              <w:rPr>
                <w:noProof/>
                <w:webHidden/>
              </w:rPr>
              <w:fldChar w:fldCharType="begin"/>
            </w:r>
            <w:r w:rsidR="00F33674">
              <w:rPr>
                <w:noProof/>
                <w:webHidden/>
              </w:rPr>
              <w:instrText xml:space="preserve"> PAGEREF _Toc32300581 \h </w:instrText>
            </w:r>
            <w:r w:rsidR="00F33674">
              <w:rPr>
                <w:noProof/>
                <w:webHidden/>
              </w:rPr>
            </w:r>
            <w:r w:rsidR="00F33674">
              <w:rPr>
                <w:noProof/>
                <w:webHidden/>
              </w:rPr>
              <w:fldChar w:fldCharType="separate"/>
            </w:r>
            <w:r w:rsidR="00D15109">
              <w:rPr>
                <w:noProof/>
                <w:webHidden/>
              </w:rPr>
              <w:t>20</w:t>
            </w:r>
            <w:r w:rsidR="00F33674">
              <w:rPr>
                <w:noProof/>
                <w:webHidden/>
              </w:rPr>
              <w:fldChar w:fldCharType="end"/>
            </w:r>
          </w:hyperlink>
        </w:p>
        <w:p w14:paraId="64BDC69E" w14:textId="0AF9AAE6" w:rsidR="00F33674" w:rsidRDefault="00233D13">
          <w:pPr>
            <w:pStyle w:val="TOC3"/>
            <w:rPr>
              <w:rFonts w:asciiTheme="minorHAnsi" w:eastAsiaTheme="minorEastAsia" w:hAnsiTheme="minorHAnsi" w:cstheme="minorBidi"/>
              <w:noProof/>
              <w:sz w:val="22"/>
              <w:szCs w:val="22"/>
              <w:lang w:eastAsia="en-AU"/>
            </w:rPr>
          </w:pPr>
          <w:hyperlink w:anchor="_Toc32300582" w:history="1">
            <w:r w:rsidR="00F33674" w:rsidRPr="00564542">
              <w:rPr>
                <w:rStyle w:val="Hyperlink"/>
                <w:rFonts w:eastAsiaTheme="majorEastAsia" w:cstheme="majorBidi"/>
                <w:b/>
                <w:noProof/>
              </w:rPr>
              <w:t>Listing 4: Dentists’ restriction for short-term pain TGA indication in 1st line opioid setting (oxycodone suppositories):</w:t>
            </w:r>
            <w:r w:rsidR="00F33674">
              <w:rPr>
                <w:noProof/>
                <w:webHidden/>
              </w:rPr>
              <w:tab/>
            </w:r>
            <w:r w:rsidR="00F33674">
              <w:rPr>
                <w:noProof/>
                <w:webHidden/>
              </w:rPr>
              <w:fldChar w:fldCharType="begin"/>
            </w:r>
            <w:r w:rsidR="00F33674">
              <w:rPr>
                <w:noProof/>
                <w:webHidden/>
              </w:rPr>
              <w:instrText xml:space="preserve"> PAGEREF _Toc32300582 \h </w:instrText>
            </w:r>
            <w:r w:rsidR="00F33674">
              <w:rPr>
                <w:noProof/>
                <w:webHidden/>
              </w:rPr>
            </w:r>
            <w:r w:rsidR="00F33674">
              <w:rPr>
                <w:noProof/>
                <w:webHidden/>
              </w:rPr>
              <w:fldChar w:fldCharType="separate"/>
            </w:r>
            <w:r w:rsidR="00D15109">
              <w:rPr>
                <w:noProof/>
                <w:webHidden/>
              </w:rPr>
              <w:t>22</w:t>
            </w:r>
            <w:r w:rsidR="00F33674">
              <w:rPr>
                <w:noProof/>
                <w:webHidden/>
              </w:rPr>
              <w:fldChar w:fldCharType="end"/>
            </w:r>
          </w:hyperlink>
        </w:p>
        <w:p w14:paraId="5F7977DC" w14:textId="0BD64CB0" w:rsidR="00F33674" w:rsidRDefault="00233D13">
          <w:pPr>
            <w:pStyle w:val="TOC3"/>
            <w:rPr>
              <w:rFonts w:asciiTheme="minorHAnsi" w:eastAsiaTheme="minorEastAsia" w:hAnsiTheme="minorHAnsi" w:cstheme="minorBidi"/>
              <w:noProof/>
              <w:sz w:val="22"/>
              <w:szCs w:val="22"/>
              <w:lang w:eastAsia="en-AU"/>
            </w:rPr>
          </w:pPr>
          <w:hyperlink w:anchor="_Toc32300583" w:history="1">
            <w:r w:rsidR="00F33674" w:rsidRPr="00564542">
              <w:rPr>
                <w:rStyle w:val="Hyperlink"/>
                <w:rFonts w:eastAsiaTheme="majorEastAsia" w:cstheme="majorBidi"/>
                <w:b/>
                <w:noProof/>
              </w:rPr>
              <w:t>Listing 5: Restriction for codeine in the body system: RESPIRATORY SYSTEM &gt; COUGH AND COLD PREPARATIONS &gt; COUGH SUPPRESSANTS, EXCL. COMBINATIONS WITH EXPECTORANTS:</w:t>
            </w:r>
            <w:r w:rsidR="00F33674">
              <w:rPr>
                <w:noProof/>
                <w:webHidden/>
              </w:rPr>
              <w:tab/>
            </w:r>
            <w:r w:rsidR="00F33674">
              <w:rPr>
                <w:noProof/>
                <w:webHidden/>
              </w:rPr>
              <w:fldChar w:fldCharType="begin"/>
            </w:r>
            <w:r w:rsidR="00F33674">
              <w:rPr>
                <w:noProof/>
                <w:webHidden/>
              </w:rPr>
              <w:instrText xml:space="preserve"> PAGEREF _Toc32300583 \h </w:instrText>
            </w:r>
            <w:r w:rsidR="00F33674">
              <w:rPr>
                <w:noProof/>
                <w:webHidden/>
              </w:rPr>
            </w:r>
            <w:r w:rsidR="00F33674">
              <w:rPr>
                <w:noProof/>
                <w:webHidden/>
              </w:rPr>
              <w:fldChar w:fldCharType="separate"/>
            </w:r>
            <w:r w:rsidR="00D15109">
              <w:rPr>
                <w:noProof/>
                <w:webHidden/>
              </w:rPr>
              <w:t>23</w:t>
            </w:r>
            <w:r w:rsidR="00F33674">
              <w:rPr>
                <w:noProof/>
                <w:webHidden/>
              </w:rPr>
              <w:fldChar w:fldCharType="end"/>
            </w:r>
          </w:hyperlink>
        </w:p>
        <w:p w14:paraId="51F8124E" w14:textId="2269E2B6" w:rsidR="00F33674" w:rsidRDefault="00233D13">
          <w:pPr>
            <w:pStyle w:val="TOC2"/>
            <w:rPr>
              <w:rFonts w:asciiTheme="minorHAnsi" w:eastAsiaTheme="minorEastAsia" w:hAnsiTheme="minorHAnsi" w:cstheme="minorBidi"/>
              <w:noProof/>
              <w:sz w:val="22"/>
              <w:szCs w:val="22"/>
              <w:lang w:eastAsia="en-AU"/>
            </w:rPr>
          </w:pPr>
          <w:hyperlink w:anchor="_Toc32300584" w:history="1">
            <w:r w:rsidR="00F33674" w:rsidRPr="00564542">
              <w:rPr>
                <w:rStyle w:val="Hyperlink"/>
                <w:rFonts w:eastAsiaTheme="majorEastAsia" w:cstheme="majorBidi"/>
                <w:b/>
                <w:i/>
                <w:noProof/>
                <w:spacing w:val="5"/>
                <w:kern w:val="28"/>
              </w:rPr>
              <w:t>TGA short-term pain indication: proposed PBS restrictions in 2</w:t>
            </w:r>
            <w:r w:rsidR="00F33674" w:rsidRPr="00564542">
              <w:rPr>
                <w:rStyle w:val="Hyperlink"/>
                <w:rFonts w:eastAsiaTheme="majorEastAsia" w:cstheme="majorBidi"/>
                <w:b/>
                <w:i/>
                <w:noProof/>
                <w:spacing w:val="5"/>
                <w:kern w:val="28"/>
                <w:vertAlign w:val="superscript"/>
              </w:rPr>
              <w:t>nd</w:t>
            </w:r>
            <w:r w:rsidR="00F33674" w:rsidRPr="00564542">
              <w:rPr>
                <w:rStyle w:val="Hyperlink"/>
                <w:rFonts w:eastAsiaTheme="majorEastAsia" w:cstheme="majorBidi"/>
                <w:b/>
                <w:i/>
                <w:noProof/>
                <w:spacing w:val="5"/>
                <w:kern w:val="28"/>
              </w:rPr>
              <w:t xml:space="preserve"> line setting</w:t>
            </w:r>
            <w:r w:rsidR="00F33674">
              <w:rPr>
                <w:noProof/>
                <w:webHidden/>
              </w:rPr>
              <w:tab/>
            </w:r>
            <w:r w:rsidR="00F33674">
              <w:rPr>
                <w:noProof/>
                <w:webHidden/>
              </w:rPr>
              <w:fldChar w:fldCharType="begin"/>
            </w:r>
            <w:r w:rsidR="00F33674">
              <w:rPr>
                <w:noProof/>
                <w:webHidden/>
              </w:rPr>
              <w:instrText xml:space="preserve"> PAGEREF _Toc32300584 \h </w:instrText>
            </w:r>
            <w:r w:rsidR="00F33674">
              <w:rPr>
                <w:noProof/>
                <w:webHidden/>
              </w:rPr>
            </w:r>
            <w:r w:rsidR="00F33674">
              <w:rPr>
                <w:noProof/>
                <w:webHidden/>
              </w:rPr>
              <w:fldChar w:fldCharType="separate"/>
            </w:r>
            <w:r w:rsidR="00D15109">
              <w:rPr>
                <w:noProof/>
                <w:webHidden/>
              </w:rPr>
              <w:t>24</w:t>
            </w:r>
            <w:r w:rsidR="00F33674">
              <w:rPr>
                <w:noProof/>
                <w:webHidden/>
              </w:rPr>
              <w:fldChar w:fldCharType="end"/>
            </w:r>
          </w:hyperlink>
        </w:p>
        <w:p w14:paraId="34E31CF1" w14:textId="3B55923A" w:rsidR="00F33674" w:rsidRDefault="00233D13">
          <w:pPr>
            <w:pStyle w:val="TOC3"/>
            <w:rPr>
              <w:rFonts w:asciiTheme="minorHAnsi" w:eastAsiaTheme="minorEastAsia" w:hAnsiTheme="minorHAnsi" w:cstheme="minorBidi"/>
              <w:noProof/>
              <w:sz w:val="22"/>
              <w:szCs w:val="22"/>
              <w:lang w:eastAsia="en-AU"/>
            </w:rPr>
          </w:pPr>
          <w:hyperlink w:anchor="_Toc32300585" w:history="1">
            <w:r w:rsidR="00F33674" w:rsidRPr="00564542">
              <w:rPr>
                <w:rStyle w:val="Hyperlink"/>
                <w:rFonts w:eastAsiaTheme="majorEastAsia" w:cstheme="majorBidi"/>
                <w:b/>
                <w:noProof/>
              </w:rPr>
              <w:t>Listing 6: Restriction for short-term pain TGA indication in 2</w:t>
            </w:r>
            <w:r w:rsidR="00F33674" w:rsidRPr="00564542">
              <w:rPr>
                <w:rStyle w:val="Hyperlink"/>
                <w:rFonts w:eastAsiaTheme="majorEastAsia" w:cstheme="majorBidi"/>
                <w:b/>
                <w:noProof/>
                <w:vertAlign w:val="superscript"/>
              </w:rPr>
              <w:t>nd</w:t>
            </w:r>
            <w:r w:rsidR="00F33674" w:rsidRPr="00564542">
              <w:rPr>
                <w:rStyle w:val="Hyperlink"/>
                <w:rFonts w:eastAsiaTheme="majorEastAsia" w:cstheme="majorBidi"/>
                <w:b/>
                <w:noProof/>
              </w:rPr>
              <w:t xml:space="preserve"> line opioid setting (excluding Sevredol, and morphine injections):</w:t>
            </w:r>
            <w:r w:rsidR="00F33674">
              <w:rPr>
                <w:noProof/>
                <w:webHidden/>
              </w:rPr>
              <w:tab/>
            </w:r>
            <w:r w:rsidR="00F33674">
              <w:rPr>
                <w:noProof/>
                <w:webHidden/>
              </w:rPr>
              <w:fldChar w:fldCharType="begin"/>
            </w:r>
            <w:r w:rsidR="00F33674">
              <w:rPr>
                <w:noProof/>
                <w:webHidden/>
              </w:rPr>
              <w:instrText xml:space="preserve"> PAGEREF _Toc32300585 \h </w:instrText>
            </w:r>
            <w:r w:rsidR="00F33674">
              <w:rPr>
                <w:noProof/>
                <w:webHidden/>
              </w:rPr>
            </w:r>
            <w:r w:rsidR="00F33674">
              <w:rPr>
                <w:noProof/>
                <w:webHidden/>
              </w:rPr>
              <w:fldChar w:fldCharType="separate"/>
            </w:r>
            <w:r w:rsidR="00D15109">
              <w:rPr>
                <w:noProof/>
                <w:webHidden/>
              </w:rPr>
              <w:t>24</w:t>
            </w:r>
            <w:r w:rsidR="00F33674">
              <w:rPr>
                <w:noProof/>
                <w:webHidden/>
              </w:rPr>
              <w:fldChar w:fldCharType="end"/>
            </w:r>
          </w:hyperlink>
        </w:p>
        <w:p w14:paraId="07DA24E4" w14:textId="34A2E6C3" w:rsidR="00F33674" w:rsidRDefault="00233D13">
          <w:pPr>
            <w:pStyle w:val="TOC3"/>
            <w:rPr>
              <w:rFonts w:asciiTheme="minorHAnsi" w:eastAsiaTheme="minorEastAsia" w:hAnsiTheme="minorHAnsi" w:cstheme="minorBidi"/>
              <w:noProof/>
              <w:sz w:val="22"/>
              <w:szCs w:val="22"/>
              <w:lang w:eastAsia="en-AU"/>
            </w:rPr>
          </w:pPr>
          <w:hyperlink w:anchor="_Toc32300586" w:history="1">
            <w:r w:rsidR="00F33674" w:rsidRPr="00564542">
              <w:rPr>
                <w:rStyle w:val="Hyperlink"/>
                <w:rFonts w:eastAsiaTheme="majorEastAsia" w:cstheme="majorBidi"/>
                <w:b/>
                <w:noProof/>
              </w:rPr>
              <w:t>Listing 7: Restriction for short-term cancer pain TGA indication in 2</w:t>
            </w:r>
            <w:r w:rsidR="00F33674" w:rsidRPr="00564542">
              <w:rPr>
                <w:rStyle w:val="Hyperlink"/>
                <w:rFonts w:eastAsiaTheme="majorEastAsia" w:cstheme="majorBidi"/>
                <w:b/>
                <w:noProof/>
                <w:vertAlign w:val="superscript"/>
              </w:rPr>
              <w:t>nd</w:t>
            </w:r>
            <w:r w:rsidR="00F33674" w:rsidRPr="00564542">
              <w:rPr>
                <w:rStyle w:val="Hyperlink"/>
                <w:rFonts w:eastAsiaTheme="majorEastAsia" w:cstheme="majorBidi"/>
                <w:b/>
                <w:noProof/>
              </w:rPr>
              <w:t xml:space="preserve"> line opioid setting (Sevredol):</w:t>
            </w:r>
            <w:r w:rsidR="00F33674">
              <w:rPr>
                <w:noProof/>
                <w:webHidden/>
              </w:rPr>
              <w:tab/>
            </w:r>
            <w:r w:rsidR="00F33674">
              <w:rPr>
                <w:noProof/>
                <w:webHidden/>
              </w:rPr>
              <w:fldChar w:fldCharType="begin"/>
            </w:r>
            <w:r w:rsidR="00F33674">
              <w:rPr>
                <w:noProof/>
                <w:webHidden/>
              </w:rPr>
              <w:instrText xml:space="preserve"> PAGEREF _Toc32300586 \h </w:instrText>
            </w:r>
            <w:r w:rsidR="00F33674">
              <w:rPr>
                <w:noProof/>
                <w:webHidden/>
              </w:rPr>
            </w:r>
            <w:r w:rsidR="00F33674">
              <w:rPr>
                <w:noProof/>
                <w:webHidden/>
              </w:rPr>
              <w:fldChar w:fldCharType="separate"/>
            </w:r>
            <w:r w:rsidR="00D15109">
              <w:rPr>
                <w:noProof/>
                <w:webHidden/>
              </w:rPr>
              <w:t>27</w:t>
            </w:r>
            <w:r w:rsidR="00F33674">
              <w:rPr>
                <w:noProof/>
                <w:webHidden/>
              </w:rPr>
              <w:fldChar w:fldCharType="end"/>
            </w:r>
          </w:hyperlink>
        </w:p>
        <w:p w14:paraId="56C6026A" w14:textId="122EB034" w:rsidR="00F33674" w:rsidRDefault="00233D13">
          <w:pPr>
            <w:pStyle w:val="TOC3"/>
            <w:rPr>
              <w:rFonts w:asciiTheme="minorHAnsi" w:eastAsiaTheme="minorEastAsia" w:hAnsiTheme="minorHAnsi" w:cstheme="minorBidi"/>
              <w:noProof/>
              <w:sz w:val="22"/>
              <w:szCs w:val="22"/>
              <w:lang w:eastAsia="en-AU"/>
            </w:rPr>
          </w:pPr>
          <w:hyperlink w:anchor="_Toc32300587" w:history="1">
            <w:r w:rsidR="00F33674" w:rsidRPr="00564542">
              <w:rPr>
                <w:rStyle w:val="Hyperlink"/>
                <w:rFonts w:eastAsiaTheme="majorEastAsia" w:cstheme="majorBidi"/>
                <w:b/>
                <w:noProof/>
              </w:rPr>
              <w:t>Listing 8: Restriction for short-term pain TGA indication in 2</w:t>
            </w:r>
            <w:r w:rsidR="00F33674" w:rsidRPr="00564542">
              <w:rPr>
                <w:rStyle w:val="Hyperlink"/>
                <w:rFonts w:eastAsiaTheme="majorEastAsia" w:cstheme="majorBidi"/>
                <w:b/>
                <w:noProof/>
                <w:vertAlign w:val="superscript"/>
              </w:rPr>
              <w:t>nd</w:t>
            </w:r>
            <w:r w:rsidR="00F33674" w:rsidRPr="00564542">
              <w:rPr>
                <w:rStyle w:val="Hyperlink"/>
                <w:rFonts w:eastAsiaTheme="majorEastAsia" w:cstheme="majorBidi"/>
                <w:b/>
                <w:noProof/>
              </w:rPr>
              <w:t xml:space="preserve"> line opioid setting (morphine injections):</w:t>
            </w:r>
            <w:r w:rsidR="00F33674">
              <w:rPr>
                <w:noProof/>
                <w:webHidden/>
              </w:rPr>
              <w:tab/>
            </w:r>
            <w:r w:rsidR="00F33674">
              <w:rPr>
                <w:noProof/>
                <w:webHidden/>
              </w:rPr>
              <w:fldChar w:fldCharType="begin"/>
            </w:r>
            <w:r w:rsidR="00F33674">
              <w:rPr>
                <w:noProof/>
                <w:webHidden/>
              </w:rPr>
              <w:instrText xml:space="preserve"> PAGEREF _Toc32300587 \h </w:instrText>
            </w:r>
            <w:r w:rsidR="00F33674">
              <w:rPr>
                <w:noProof/>
                <w:webHidden/>
              </w:rPr>
            </w:r>
            <w:r w:rsidR="00F33674">
              <w:rPr>
                <w:noProof/>
                <w:webHidden/>
              </w:rPr>
              <w:fldChar w:fldCharType="separate"/>
            </w:r>
            <w:r w:rsidR="00D15109">
              <w:rPr>
                <w:noProof/>
                <w:webHidden/>
              </w:rPr>
              <w:t>29</w:t>
            </w:r>
            <w:r w:rsidR="00F33674">
              <w:rPr>
                <w:noProof/>
                <w:webHidden/>
              </w:rPr>
              <w:fldChar w:fldCharType="end"/>
            </w:r>
          </w:hyperlink>
        </w:p>
        <w:p w14:paraId="05577035" w14:textId="5BCC6D3C" w:rsidR="00F33674" w:rsidRDefault="00233D13">
          <w:pPr>
            <w:pStyle w:val="TOC3"/>
            <w:rPr>
              <w:rFonts w:asciiTheme="minorHAnsi" w:eastAsiaTheme="minorEastAsia" w:hAnsiTheme="minorHAnsi" w:cstheme="minorBidi"/>
              <w:noProof/>
              <w:sz w:val="22"/>
              <w:szCs w:val="22"/>
              <w:lang w:eastAsia="en-AU"/>
            </w:rPr>
          </w:pPr>
          <w:hyperlink w:anchor="_Toc32300588" w:history="1">
            <w:r w:rsidR="00F33674" w:rsidRPr="00564542">
              <w:rPr>
                <w:rStyle w:val="Hyperlink"/>
                <w:rFonts w:eastAsiaTheme="majorEastAsia" w:cstheme="majorBidi"/>
                <w:b/>
                <w:noProof/>
              </w:rPr>
              <w:t>Listing 9: Restriction for short-term pain TGA indication in 2</w:t>
            </w:r>
            <w:r w:rsidR="00F33674" w:rsidRPr="00564542">
              <w:rPr>
                <w:rStyle w:val="Hyperlink"/>
                <w:rFonts w:eastAsiaTheme="majorEastAsia" w:cstheme="majorBidi"/>
                <w:b/>
                <w:noProof/>
                <w:vertAlign w:val="superscript"/>
              </w:rPr>
              <w:t>nd</w:t>
            </w:r>
            <w:r w:rsidR="00F33674" w:rsidRPr="00564542">
              <w:rPr>
                <w:rStyle w:val="Hyperlink"/>
                <w:rFonts w:eastAsiaTheme="majorEastAsia" w:cstheme="majorBidi"/>
                <w:b/>
                <w:noProof/>
              </w:rPr>
              <w:t xml:space="preserve"> line opioid setting (morphine injections available to midwives):</w:t>
            </w:r>
            <w:r w:rsidR="00F33674">
              <w:rPr>
                <w:noProof/>
                <w:webHidden/>
              </w:rPr>
              <w:tab/>
            </w:r>
            <w:r w:rsidR="00F33674">
              <w:rPr>
                <w:noProof/>
                <w:webHidden/>
              </w:rPr>
              <w:fldChar w:fldCharType="begin"/>
            </w:r>
            <w:r w:rsidR="00F33674">
              <w:rPr>
                <w:noProof/>
                <w:webHidden/>
              </w:rPr>
              <w:instrText xml:space="preserve"> PAGEREF _Toc32300588 \h </w:instrText>
            </w:r>
            <w:r w:rsidR="00F33674">
              <w:rPr>
                <w:noProof/>
                <w:webHidden/>
              </w:rPr>
            </w:r>
            <w:r w:rsidR="00F33674">
              <w:rPr>
                <w:noProof/>
                <w:webHidden/>
              </w:rPr>
              <w:fldChar w:fldCharType="separate"/>
            </w:r>
            <w:r w:rsidR="00D15109">
              <w:rPr>
                <w:noProof/>
                <w:webHidden/>
              </w:rPr>
              <w:t>31</w:t>
            </w:r>
            <w:r w:rsidR="00F33674">
              <w:rPr>
                <w:noProof/>
                <w:webHidden/>
              </w:rPr>
              <w:fldChar w:fldCharType="end"/>
            </w:r>
          </w:hyperlink>
        </w:p>
        <w:p w14:paraId="0678509D" w14:textId="5FD8C38B" w:rsidR="00F33674" w:rsidRDefault="00233D13">
          <w:pPr>
            <w:pStyle w:val="TOC3"/>
            <w:rPr>
              <w:rFonts w:asciiTheme="minorHAnsi" w:eastAsiaTheme="minorEastAsia" w:hAnsiTheme="minorHAnsi" w:cstheme="minorBidi"/>
              <w:noProof/>
              <w:sz w:val="22"/>
              <w:szCs w:val="22"/>
              <w:lang w:eastAsia="en-AU"/>
            </w:rPr>
          </w:pPr>
          <w:hyperlink w:anchor="_Toc32300589" w:history="1">
            <w:r w:rsidR="00F33674" w:rsidRPr="00564542">
              <w:rPr>
                <w:rStyle w:val="Hyperlink"/>
                <w:rFonts w:eastAsiaTheme="majorEastAsia" w:cstheme="majorBidi"/>
                <w:b/>
                <w:noProof/>
              </w:rPr>
              <w:t>Listing 10: Dentists’ restriction for short-term pain TGA indication in 2</w:t>
            </w:r>
            <w:r w:rsidR="00F33674" w:rsidRPr="00564542">
              <w:rPr>
                <w:rStyle w:val="Hyperlink"/>
                <w:rFonts w:eastAsiaTheme="majorEastAsia" w:cstheme="majorBidi"/>
                <w:b/>
                <w:noProof/>
                <w:vertAlign w:val="superscript"/>
              </w:rPr>
              <w:t>nd</w:t>
            </w:r>
            <w:r w:rsidR="00F33674" w:rsidRPr="00564542">
              <w:rPr>
                <w:rStyle w:val="Hyperlink"/>
                <w:rFonts w:eastAsiaTheme="majorEastAsia" w:cstheme="majorBidi"/>
                <w:b/>
                <w:noProof/>
              </w:rPr>
              <w:t xml:space="preserve"> line opioid setting (excluding morphine injections):</w:t>
            </w:r>
            <w:r w:rsidR="00F33674">
              <w:rPr>
                <w:noProof/>
                <w:webHidden/>
              </w:rPr>
              <w:tab/>
            </w:r>
            <w:r w:rsidR="00F33674">
              <w:rPr>
                <w:noProof/>
                <w:webHidden/>
              </w:rPr>
              <w:fldChar w:fldCharType="begin"/>
            </w:r>
            <w:r w:rsidR="00F33674">
              <w:rPr>
                <w:noProof/>
                <w:webHidden/>
              </w:rPr>
              <w:instrText xml:space="preserve"> PAGEREF _Toc32300589 \h </w:instrText>
            </w:r>
            <w:r w:rsidR="00F33674">
              <w:rPr>
                <w:noProof/>
                <w:webHidden/>
              </w:rPr>
            </w:r>
            <w:r w:rsidR="00F33674">
              <w:rPr>
                <w:noProof/>
                <w:webHidden/>
              </w:rPr>
              <w:fldChar w:fldCharType="separate"/>
            </w:r>
            <w:r w:rsidR="00D15109">
              <w:rPr>
                <w:noProof/>
                <w:webHidden/>
              </w:rPr>
              <w:t>33</w:t>
            </w:r>
            <w:r w:rsidR="00F33674">
              <w:rPr>
                <w:noProof/>
                <w:webHidden/>
              </w:rPr>
              <w:fldChar w:fldCharType="end"/>
            </w:r>
          </w:hyperlink>
        </w:p>
        <w:p w14:paraId="50B942B8" w14:textId="1D9CCCCD" w:rsidR="00F33674" w:rsidRDefault="00233D13">
          <w:pPr>
            <w:pStyle w:val="TOC3"/>
            <w:rPr>
              <w:rFonts w:asciiTheme="minorHAnsi" w:eastAsiaTheme="minorEastAsia" w:hAnsiTheme="minorHAnsi" w:cstheme="minorBidi"/>
              <w:noProof/>
              <w:sz w:val="22"/>
              <w:szCs w:val="22"/>
              <w:lang w:eastAsia="en-AU"/>
            </w:rPr>
          </w:pPr>
          <w:hyperlink w:anchor="_Toc32300590" w:history="1">
            <w:r w:rsidR="00F33674" w:rsidRPr="00564542">
              <w:rPr>
                <w:rStyle w:val="Hyperlink"/>
                <w:rFonts w:eastAsiaTheme="majorEastAsia" w:cstheme="majorBidi"/>
                <w:b/>
                <w:noProof/>
              </w:rPr>
              <w:t>Listing 11: Dentists’ restriction for short-term pain TGA indication in 2</w:t>
            </w:r>
            <w:r w:rsidR="00F33674" w:rsidRPr="00564542">
              <w:rPr>
                <w:rStyle w:val="Hyperlink"/>
                <w:rFonts w:eastAsiaTheme="majorEastAsia" w:cstheme="majorBidi"/>
                <w:b/>
                <w:noProof/>
                <w:vertAlign w:val="superscript"/>
              </w:rPr>
              <w:t>nd</w:t>
            </w:r>
            <w:r w:rsidR="00F33674" w:rsidRPr="00564542">
              <w:rPr>
                <w:rStyle w:val="Hyperlink"/>
                <w:rFonts w:eastAsiaTheme="majorEastAsia" w:cstheme="majorBidi"/>
                <w:b/>
                <w:noProof/>
              </w:rPr>
              <w:t xml:space="preserve"> line opioid setting (morphine injections):</w:t>
            </w:r>
            <w:r w:rsidR="00F33674">
              <w:rPr>
                <w:noProof/>
                <w:webHidden/>
              </w:rPr>
              <w:tab/>
            </w:r>
            <w:r w:rsidR="00F33674">
              <w:rPr>
                <w:noProof/>
                <w:webHidden/>
              </w:rPr>
              <w:fldChar w:fldCharType="begin"/>
            </w:r>
            <w:r w:rsidR="00F33674">
              <w:rPr>
                <w:noProof/>
                <w:webHidden/>
              </w:rPr>
              <w:instrText xml:space="preserve"> PAGEREF _Toc32300590 \h </w:instrText>
            </w:r>
            <w:r w:rsidR="00F33674">
              <w:rPr>
                <w:noProof/>
                <w:webHidden/>
              </w:rPr>
            </w:r>
            <w:r w:rsidR="00F33674">
              <w:rPr>
                <w:noProof/>
                <w:webHidden/>
              </w:rPr>
              <w:fldChar w:fldCharType="separate"/>
            </w:r>
            <w:r w:rsidR="00D15109">
              <w:rPr>
                <w:noProof/>
                <w:webHidden/>
              </w:rPr>
              <w:t>34</w:t>
            </w:r>
            <w:r w:rsidR="00F33674">
              <w:rPr>
                <w:noProof/>
                <w:webHidden/>
              </w:rPr>
              <w:fldChar w:fldCharType="end"/>
            </w:r>
          </w:hyperlink>
        </w:p>
        <w:p w14:paraId="6E4162B6" w14:textId="77815B91" w:rsidR="00F33674" w:rsidRDefault="00233D13">
          <w:pPr>
            <w:pStyle w:val="TOC2"/>
            <w:rPr>
              <w:rFonts w:asciiTheme="minorHAnsi" w:eastAsiaTheme="minorEastAsia" w:hAnsiTheme="minorHAnsi" w:cstheme="minorBidi"/>
              <w:noProof/>
              <w:sz w:val="22"/>
              <w:szCs w:val="22"/>
              <w:lang w:eastAsia="en-AU"/>
            </w:rPr>
          </w:pPr>
          <w:hyperlink w:anchor="_Toc32300591" w:history="1">
            <w:r w:rsidR="00F33674" w:rsidRPr="00564542">
              <w:rPr>
                <w:rStyle w:val="Hyperlink"/>
                <w:rFonts w:eastAsiaTheme="majorEastAsia" w:cstheme="majorBidi"/>
                <w:b/>
                <w:i/>
                <w:noProof/>
                <w:spacing w:val="5"/>
                <w:kern w:val="28"/>
              </w:rPr>
              <w:t>Proposed PBS restrictions for reduced pack sizes in 1</w:t>
            </w:r>
            <w:r w:rsidR="00F33674" w:rsidRPr="00564542">
              <w:rPr>
                <w:rStyle w:val="Hyperlink"/>
                <w:rFonts w:eastAsiaTheme="majorEastAsia" w:cstheme="majorBidi"/>
                <w:b/>
                <w:i/>
                <w:noProof/>
                <w:spacing w:val="5"/>
                <w:kern w:val="28"/>
                <w:vertAlign w:val="superscript"/>
              </w:rPr>
              <w:t>st</w:t>
            </w:r>
            <w:r w:rsidR="00F33674" w:rsidRPr="00564542">
              <w:rPr>
                <w:rStyle w:val="Hyperlink"/>
                <w:rFonts w:eastAsiaTheme="majorEastAsia" w:cstheme="majorBidi"/>
                <w:b/>
                <w:i/>
                <w:noProof/>
                <w:spacing w:val="5"/>
                <w:kern w:val="28"/>
              </w:rPr>
              <w:t xml:space="preserve"> line setting</w:t>
            </w:r>
            <w:r w:rsidR="00F33674">
              <w:rPr>
                <w:noProof/>
                <w:webHidden/>
              </w:rPr>
              <w:tab/>
            </w:r>
            <w:r w:rsidR="00F33674">
              <w:rPr>
                <w:noProof/>
                <w:webHidden/>
              </w:rPr>
              <w:fldChar w:fldCharType="begin"/>
            </w:r>
            <w:r w:rsidR="00F33674">
              <w:rPr>
                <w:noProof/>
                <w:webHidden/>
              </w:rPr>
              <w:instrText xml:space="preserve"> PAGEREF _Toc32300591 \h </w:instrText>
            </w:r>
            <w:r w:rsidR="00F33674">
              <w:rPr>
                <w:noProof/>
                <w:webHidden/>
              </w:rPr>
            </w:r>
            <w:r w:rsidR="00F33674">
              <w:rPr>
                <w:noProof/>
                <w:webHidden/>
              </w:rPr>
              <w:fldChar w:fldCharType="separate"/>
            </w:r>
            <w:r w:rsidR="00D15109">
              <w:rPr>
                <w:noProof/>
                <w:webHidden/>
              </w:rPr>
              <w:t>36</w:t>
            </w:r>
            <w:r w:rsidR="00F33674">
              <w:rPr>
                <w:noProof/>
                <w:webHidden/>
              </w:rPr>
              <w:fldChar w:fldCharType="end"/>
            </w:r>
          </w:hyperlink>
        </w:p>
        <w:p w14:paraId="5D74C019" w14:textId="7A82E7C3" w:rsidR="00F33674" w:rsidRDefault="00233D13">
          <w:pPr>
            <w:pStyle w:val="TOC3"/>
            <w:rPr>
              <w:rFonts w:asciiTheme="minorHAnsi" w:eastAsiaTheme="minorEastAsia" w:hAnsiTheme="minorHAnsi" w:cstheme="minorBidi"/>
              <w:noProof/>
              <w:sz w:val="22"/>
              <w:szCs w:val="22"/>
              <w:lang w:eastAsia="en-AU"/>
            </w:rPr>
          </w:pPr>
          <w:hyperlink w:anchor="_Toc32300592" w:history="1">
            <w:r w:rsidR="00F33674" w:rsidRPr="00564542">
              <w:rPr>
                <w:rStyle w:val="Hyperlink"/>
                <w:rFonts w:eastAsiaTheme="majorEastAsia" w:cstheme="majorBidi"/>
                <w:b/>
                <w:noProof/>
              </w:rPr>
              <w:t>Listing 12: Restriction for short-term pain TGA indication in 1</w:t>
            </w:r>
            <w:r w:rsidR="00F33674" w:rsidRPr="00564542">
              <w:rPr>
                <w:rStyle w:val="Hyperlink"/>
                <w:rFonts w:eastAsiaTheme="majorEastAsia" w:cstheme="majorBidi"/>
                <w:b/>
                <w:noProof/>
                <w:vertAlign w:val="superscript"/>
              </w:rPr>
              <w:t>st</w:t>
            </w:r>
            <w:r w:rsidR="00F33674" w:rsidRPr="00564542">
              <w:rPr>
                <w:rStyle w:val="Hyperlink"/>
                <w:rFonts w:eastAsiaTheme="majorEastAsia" w:cstheme="majorBidi"/>
                <w:b/>
                <w:noProof/>
              </w:rPr>
              <w:t xml:space="preserve"> line opioid setting:</w:t>
            </w:r>
            <w:r w:rsidR="00F33674">
              <w:rPr>
                <w:noProof/>
                <w:webHidden/>
              </w:rPr>
              <w:tab/>
            </w:r>
            <w:r w:rsidR="00F33674">
              <w:rPr>
                <w:noProof/>
                <w:webHidden/>
              </w:rPr>
              <w:fldChar w:fldCharType="begin"/>
            </w:r>
            <w:r w:rsidR="00F33674">
              <w:rPr>
                <w:noProof/>
                <w:webHidden/>
              </w:rPr>
              <w:instrText xml:space="preserve"> PAGEREF _Toc32300592 \h </w:instrText>
            </w:r>
            <w:r w:rsidR="00F33674">
              <w:rPr>
                <w:noProof/>
                <w:webHidden/>
              </w:rPr>
            </w:r>
            <w:r w:rsidR="00F33674">
              <w:rPr>
                <w:noProof/>
                <w:webHidden/>
              </w:rPr>
              <w:fldChar w:fldCharType="separate"/>
            </w:r>
            <w:r w:rsidR="00D15109">
              <w:rPr>
                <w:noProof/>
                <w:webHidden/>
              </w:rPr>
              <w:t>36</w:t>
            </w:r>
            <w:r w:rsidR="00F33674">
              <w:rPr>
                <w:noProof/>
                <w:webHidden/>
              </w:rPr>
              <w:fldChar w:fldCharType="end"/>
            </w:r>
          </w:hyperlink>
        </w:p>
        <w:p w14:paraId="62FA7325" w14:textId="584561C6" w:rsidR="00F33674" w:rsidRDefault="00233D13">
          <w:pPr>
            <w:pStyle w:val="TOC3"/>
            <w:rPr>
              <w:rFonts w:asciiTheme="minorHAnsi" w:eastAsiaTheme="minorEastAsia" w:hAnsiTheme="minorHAnsi" w:cstheme="minorBidi"/>
              <w:noProof/>
              <w:sz w:val="22"/>
              <w:szCs w:val="22"/>
              <w:lang w:eastAsia="en-AU"/>
            </w:rPr>
          </w:pPr>
          <w:hyperlink w:anchor="_Toc32300593" w:history="1">
            <w:r w:rsidR="00F33674" w:rsidRPr="00564542">
              <w:rPr>
                <w:rStyle w:val="Hyperlink"/>
                <w:rFonts w:eastAsiaTheme="majorEastAsia" w:cstheme="majorBidi"/>
                <w:b/>
                <w:noProof/>
              </w:rPr>
              <w:t>Listing 13: Dentists’ restriction for short-term pain TGA indication in 1</w:t>
            </w:r>
            <w:r w:rsidR="00F33674" w:rsidRPr="00564542">
              <w:rPr>
                <w:rStyle w:val="Hyperlink"/>
                <w:rFonts w:eastAsiaTheme="majorEastAsia" w:cstheme="majorBidi"/>
                <w:b/>
                <w:noProof/>
                <w:vertAlign w:val="superscript"/>
              </w:rPr>
              <w:t>st</w:t>
            </w:r>
            <w:r w:rsidR="00F33674" w:rsidRPr="00564542">
              <w:rPr>
                <w:rStyle w:val="Hyperlink"/>
                <w:rFonts w:eastAsiaTheme="majorEastAsia" w:cstheme="majorBidi"/>
                <w:b/>
                <w:noProof/>
              </w:rPr>
              <w:t xml:space="preserve"> line opioid setting:</w:t>
            </w:r>
            <w:r w:rsidR="00F33674">
              <w:rPr>
                <w:noProof/>
                <w:webHidden/>
              </w:rPr>
              <w:tab/>
            </w:r>
            <w:r w:rsidR="00F33674">
              <w:rPr>
                <w:noProof/>
                <w:webHidden/>
              </w:rPr>
              <w:fldChar w:fldCharType="begin"/>
            </w:r>
            <w:r w:rsidR="00F33674">
              <w:rPr>
                <w:noProof/>
                <w:webHidden/>
              </w:rPr>
              <w:instrText xml:space="preserve"> PAGEREF _Toc32300593 \h </w:instrText>
            </w:r>
            <w:r w:rsidR="00F33674">
              <w:rPr>
                <w:noProof/>
                <w:webHidden/>
              </w:rPr>
            </w:r>
            <w:r w:rsidR="00F33674">
              <w:rPr>
                <w:noProof/>
                <w:webHidden/>
              </w:rPr>
              <w:fldChar w:fldCharType="separate"/>
            </w:r>
            <w:r w:rsidR="00D15109">
              <w:rPr>
                <w:noProof/>
                <w:webHidden/>
              </w:rPr>
              <w:t>38</w:t>
            </w:r>
            <w:r w:rsidR="00F33674">
              <w:rPr>
                <w:noProof/>
                <w:webHidden/>
              </w:rPr>
              <w:fldChar w:fldCharType="end"/>
            </w:r>
          </w:hyperlink>
        </w:p>
        <w:p w14:paraId="3D203A25" w14:textId="394CDCB5" w:rsidR="00F33674" w:rsidRDefault="00233D13">
          <w:pPr>
            <w:pStyle w:val="TOC2"/>
            <w:rPr>
              <w:rFonts w:asciiTheme="minorHAnsi" w:eastAsiaTheme="minorEastAsia" w:hAnsiTheme="minorHAnsi" w:cstheme="minorBidi"/>
              <w:noProof/>
              <w:sz w:val="22"/>
              <w:szCs w:val="22"/>
              <w:lang w:eastAsia="en-AU"/>
            </w:rPr>
          </w:pPr>
          <w:hyperlink w:anchor="_Toc32300594" w:history="1">
            <w:r w:rsidR="00F33674" w:rsidRPr="00564542">
              <w:rPr>
                <w:rStyle w:val="Hyperlink"/>
                <w:rFonts w:eastAsiaTheme="majorEastAsia" w:cstheme="majorBidi"/>
                <w:b/>
                <w:i/>
                <w:noProof/>
                <w:spacing w:val="5"/>
                <w:kern w:val="28"/>
              </w:rPr>
              <w:t>Proposed PBS restrictions for reduced pack sizes in 2</w:t>
            </w:r>
            <w:r w:rsidR="00F33674" w:rsidRPr="00564542">
              <w:rPr>
                <w:rStyle w:val="Hyperlink"/>
                <w:rFonts w:eastAsiaTheme="majorEastAsia" w:cstheme="majorBidi"/>
                <w:b/>
                <w:i/>
                <w:noProof/>
                <w:spacing w:val="5"/>
                <w:kern w:val="28"/>
                <w:vertAlign w:val="superscript"/>
              </w:rPr>
              <w:t>nd</w:t>
            </w:r>
            <w:r w:rsidR="00F33674" w:rsidRPr="00564542">
              <w:rPr>
                <w:rStyle w:val="Hyperlink"/>
                <w:rFonts w:eastAsiaTheme="majorEastAsia" w:cstheme="majorBidi"/>
                <w:b/>
                <w:i/>
                <w:noProof/>
                <w:spacing w:val="5"/>
                <w:kern w:val="28"/>
              </w:rPr>
              <w:t xml:space="preserve"> line setting</w:t>
            </w:r>
            <w:r w:rsidR="00F33674">
              <w:rPr>
                <w:noProof/>
                <w:webHidden/>
              </w:rPr>
              <w:tab/>
            </w:r>
            <w:r w:rsidR="00F33674">
              <w:rPr>
                <w:noProof/>
                <w:webHidden/>
              </w:rPr>
              <w:fldChar w:fldCharType="begin"/>
            </w:r>
            <w:r w:rsidR="00F33674">
              <w:rPr>
                <w:noProof/>
                <w:webHidden/>
              </w:rPr>
              <w:instrText xml:space="preserve"> PAGEREF _Toc32300594 \h </w:instrText>
            </w:r>
            <w:r w:rsidR="00F33674">
              <w:rPr>
                <w:noProof/>
                <w:webHidden/>
              </w:rPr>
            </w:r>
            <w:r w:rsidR="00F33674">
              <w:rPr>
                <w:noProof/>
                <w:webHidden/>
              </w:rPr>
              <w:fldChar w:fldCharType="separate"/>
            </w:r>
            <w:r w:rsidR="00D15109">
              <w:rPr>
                <w:noProof/>
                <w:webHidden/>
              </w:rPr>
              <w:t>40</w:t>
            </w:r>
            <w:r w:rsidR="00F33674">
              <w:rPr>
                <w:noProof/>
                <w:webHidden/>
              </w:rPr>
              <w:fldChar w:fldCharType="end"/>
            </w:r>
          </w:hyperlink>
        </w:p>
        <w:p w14:paraId="18635FE8" w14:textId="4B2D05D0" w:rsidR="00F33674" w:rsidRDefault="00233D13">
          <w:pPr>
            <w:pStyle w:val="TOC3"/>
            <w:rPr>
              <w:rFonts w:asciiTheme="minorHAnsi" w:eastAsiaTheme="minorEastAsia" w:hAnsiTheme="minorHAnsi" w:cstheme="minorBidi"/>
              <w:noProof/>
              <w:sz w:val="22"/>
              <w:szCs w:val="22"/>
              <w:lang w:eastAsia="en-AU"/>
            </w:rPr>
          </w:pPr>
          <w:hyperlink w:anchor="_Toc32300595" w:history="1">
            <w:r w:rsidR="00F33674" w:rsidRPr="00564542">
              <w:rPr>
                <w:rStyle w:val="Hyperlink"/>
                <w:rFonts w:eastAsiaTheme="majorEastAsia" w:cstheme="majorBidi"/>
                <w:b/>
                <w:noProof/>
              </w:rPr>
              <w:t>Listing 14: Restriction for short-term pain TGA indication in 2</w:t>
            </w:r>
            <w:r w:rsidR="00F33674" w:rsidRPr="00564542">
              <w:rPr>
                <w:rStyle w:val="Hyperlink"/>
                <w:rFonts w:eastAsiaTheme="majorEastAsia" w:cstheme="majorBidi"/>
                <w:b/>
                <w:noProof/>
                <w:vertAlign w:val="superscript"/>
              </w:rPr>
              <w:t>nd</w:t>
            </w:r>
            <w:r w:rsidR="00F33674" w:rsidRPr="00564542">
              <w:rPr>
                <w:rStyle w:val="Hyperlink"/>
                <w:rFonts w:eastAsiaTheme="majorEastAsia" w:cstheme="majorBidi"/>
                <w:b/>
                <w:noProof/>
              </w:rPr>
              <w:t xml:space="preserve"> line opioid setting:</w:t>
            </w:r>
            <w:r w:rsidR="00F33674">
              <w:rPr>
                <w:noProof/>
                <w:webHidden/>
              </w:rPr>
              <w:tab/>
            </w:r>
            <w:r w:rsidR="00F33674">
              <w:rPr>
                <w:noProof/>
                <w:webHidden/>
              </w:rPr>
              <w:fldChar w:fldCharType="begin"/>
            </w:r>
            <w:r w:rsidR="00F33674">
              <w:rPr>
                <w:noProof/>
                <w:webHidden/>
              </w:rPr>
              <w:instrText xml:space="preserve"> PAGEREF _Toc32300595 \h </w:instrText>
            </w:r>
            <w:r w:rsidR="00F33674">
              <w:rPr>
                <w:noProof/>
                <w:webHidden/>
              </w:rPr>
            </w:r>
            <w:r w:rsidR="00F33674">
              <w:rPr>
                <w:noProof/>
                <w:webHidden/>
              </w:rPr>
              <w:fldChar w:fldCharType="separate"/>
            </w:r>
            <w:r w:rsidR="00D15109">
              <w:rPr>
                <w:noProof/>
                <w:webHidden/>
              </w:rPr>
              <w:t>40</w:t>
            </w:r>
            <w:r w:rsidR="00F33674">
              <w:rPr>
                <w:noProof/>
                <w:webHidden/>
              </w:rPr>
              <w:fldChar w:fldCharType="end"/>
            </w:r>
          </w:hyperlink>
        </w:p>
        <w:p w14:paraId="3762FF2E" w14:textId="1C38E0C1" w:rsidR="00F33674" w:rsidRDefault="00233D13">
          <w:pPr>
            <w:pStyle w:val="TOC3"/>
            <w:rPr>
              <w:rFonts w:asciiTheme="minorHAnsi" w:eastAsiaTheme="minorEastAsia" w:hAnsiTheme="minorHAnsi" w:cstheme="minorBidi"/>
              <w:noProof/>
              <w:sz w:val="22"/>
              <w:szCs w:val="22"/>
              <w:lang w:eastAsia="en-AU"/>
            </w:rPr>
          </w:pPr>
          <w:hyperlink w:anchor="_Toc32300596" w:history="1">
            <w:r w:rsidR="00F33674" w:rsidRPr="00564542">
              <w:rPr>
                <w:rStyle w:val="Hyperlink"/>
                <w:rFonts w:eastAsiaTheme="majorEastAsia" w:cstheme="majorBidi"/>
                <w:b/>
                <w:noProof/>
              </w:rPr>
              <w:t>Listing 15: Dentists’ restriction for short-term pain TGA indication in 2</w:t>
            </w:r>
            <w:r w:rsidR="00F33674" w:rsidRPr="00564542">
              <w:rPr>
                <w:rStyle w:val="Hyperlink"/>
                <w:rFonts w:eastAsiaTheme="majorEastAsia" w:cstheme="majorBidi"/>
                <w:b/>
                <w:noProof/>
                <w:vertAlign w:val="superscript"/>
              </w:rPr>
              <w:t>nd</w:t>
            </w:r>
            <w:r w:rsidR="00F33674" w:rsidRPr="00564542">
              <w:rPr>
                <w:rStyle w:val="Hyperlink"/>
                <w:rFonts w:eastAsiaTheme="majorEastAsia" w:cstheme="majorBidi"/>
                <w:b/>
                <w:noProof/>
              </w:rPr>
              <w:t xml:space="preserve"> line opioid setting:</w:t>
            </w:r>
            <w:r w:rsidR="00F33674">
              <w:rPr>
                <w:noProof/>
                <w:webHidden/>
              </w:rPr>
              <w:tab/>
            </w:r>
            <w:r w:rsidR="00F33674">
              <w:rPr>
                <w:noProof/>
                <w:webHidden/>
              </w:rPr>
              <w:fldChar w:fldCharType="begin"/>
            </w:r>
            <w:r w:rsidR="00F33674">
              <w:rPr>
                <w:noProof/>
                <w:webHidden/>
              </w:rPr>
              <w:instrText xml:space="preserve"> PAGEREF _Toc32300596 \h </w:instrText>
            </w:r>
            <w:r w:rsidR="00F33674">
              <w:rPr>
                <w:noProof/>
                <w:webHidden/>
              </w:rPr>
            </w:r>
            <w:r w:rsidR="00F33674">
              <w:rPr>
                <w:noProof/>
                <w:webHidden/>
              </w:rPr>
              <w:fldChar w:fldCharType="separate"/>
            </w:r>
            <w:r w:rsidR="00D15109">
              <w:rPr>
                <w:noProof/>
                <w:webHidden/>
              </w:rPr>
              <w:t>41</w:t>
            </w:r>
            <w:r w:rsidR="00F33674">
              <w:rPr>
                <w:noProof/>
                <w:webHidden/>
              </w:rPr>
              <w:fldChar w:fldCharType="end"/>
            </w:r>
          </w:hyperlink>
        </w:p>
        <w:p w14:paraId="6BE44E84" w14:textId="672002AE" w:rsidR="00F33674" w:rsidRDefault="00233D13">
          <w:pPr>
            <w:pStyle w:val="TOC2"/>
            <w:rPr>
              <w:rFonts w:asciiTheme="minorHAnsi" w:eastAsiaTheme="minorEastAsia" w:hAnsiTheme="minorHAnsi" w:cstheme="minorBidi"/>
              <w:noProof/>
              <w:sz w:val="22"/>
              <w:szCs w:val="22"/>
              <w:lang w:eastAsia="en-AU"/>
            </w:rPr>
          </w:pPr>
          <w:hyperlink w:anchor="_Toc32300597" w:history="1">
            <w:r w:rsidR="00F33674" w:rsidRPr="00564542">
              <w:rPr>
                <w:rStyle w:val="Hyperlink"/>
                <w:rFonts w:eastAsiaTheme="majorEastAsia" w:cstheme="majorBidi"/>
                <w:b/>
                <w:i/>
                <w:noProof/>
                <w:spacing w:val="5"/>
                <w:kern w:val="28"/>
              </w:rPr>
              <w:t>TGA long-term pain indication: proposed PBS restrictions in 1</w:t>
            </w:r>
            <w:r w:rsidR="00F33674" w:rsidRPr="00564542">
              <w:rPr>
                <w:rStyle w:val="Hyperlink"/>
                <w:rFonts w:eastAsiaTheme="majorEastAsia" w:cstheme="majorBidi"/>
                <w:b/>
                <w:i/>
                <w:noProof/>
                <w:spacing w:val="5"/>
                <w:kern w:val="28"/>
                <w:vertAlign w:val="superscript"/>
              </w:rPr>
              <w:t>st</w:t>
            </w:r>
            <w:r w:rsidR="00F33674" w:rsidRPr="00564542">
              <w:rPr>
                <w:rStyle w:val="Hyperlink"/>
                <w:rFonts w:eastAsiaTheme="majorEastAsia" w:cstheme="majorBidi"/>
                <w:b/>
                <w:i/>
                <w:noProof/>
                <w:spacing w:val="5"/>
                <w:kern w:val="28"/>
              </w:rPr>
              <w:t xml:space="preserve"> line setting</w:t>
            </w:r>
            <w:r w:rsidR="00F33674">
              <w:rPr>
                <w:noProof/>
                <w:webHidden/>
              </w:rPr>
              <w:tab/>
            </w:r>
            <w:r w:rsidR="00F33674">
              <w:rPr>
                <w:noProof/>
                <w:webHidden/>
              </w:rPr>
              <w:fldChar w:fldCharType="begin"/>
            </w:r>
            <w:r w:rsidR="00F33674">
              <w:rPr>
                <w:noProof/>
                <w:webHidden/>
              </w:rPr>
              <w:instrText xml:space="preserve"> PAGEREF _Toc32300597 \h </w:instrText>
            </w:r>
            <w:r w:rsidR="00F33674">
              <w:rPr>
                <w:noProof/>
                <w:webHidden/>
              </w:rPr>
            </w:r>
            <w:r w:rsidR="00F33674">
              <w:rPr>
                <w:noProof/>
                <w:webHidden/>
              </w:rPr>
              <w:fldChar w:fldCharType="separate"/>
            </w:r>
            <w:r w:rsidR="00D15109">
              <w:rPr>
                <w:noProof/>
                <w:webHidden/>
              </w:rPr>
              <w:t>42</w:t>
            </w:r>
            <w:r w:rsidR="00F33674">
              <w:rPr>
                <w:noProof/>
                <w:webHidden/>
              </w:rPr>
              <w:fldChar w:fldCharType="end"/>
            </w:r>
          </w:hyperlink>
        </w:p>
        <w:p w14:paraId="30A510BF" w14:textId="79A7197E" w:rsidR="00F33674" w:rsidRDefault="00233D13">
          <w:pPr>
            <w:pStyle w:val="TOC3"/>
            <w:rPr>
              <w:rFonts w:asciiTheme="minorHAnsi" w:eastAsiaTheme="minorEastAsia" w:hAnsiTheme="minorHAnsi" w:cstheme="minorBidi"/>
              <w:noProof/>
              <w:sz w:val="22"/>
              <w:szCs w:val="22"/>
              <w:lang w:eastAsia="en-AU"/>
            </w:rPr>
          </w:pPr>
          <w:hyperlink w:anchor="_Toc32300598" w:history="1">
            <w:r w:rsidR="00F33674" w:rsidRPr="00564542">
              <w:rPr>
                <w:rStyle w:val="Hyperlink"/>
                <w:rFonts w:eastAsiaTheme="majorEastAsia" w:cstheme="majorBidi"/>
                <w:b/>
                <w:noProof/>
              </w:rPr>
              <w:t>Listing 16: Restriction for long-term pain TGA indication in 1</w:t>
            </w:r>
            <w:r w:rsidR="00F33674" w:rsidRPr="00564542">
              <w:rPr>
                <w:rStyle w:val="Hyperlink"/>
                <w:rFonts w:eastAsiaTheme="majorEastAsia" w:cstheme="majorBidi"/>
                <w:b/>
                <w:noProof/>
                <w:vertAlign w:val="superscript"/>
              </w:rPr>
              <w:t>st</w:t>
            </w:r>
            <w:r w:rsidR="00F33674" w:rsidRPr="00564542">
              <w:rPr>
                <w:rStyle w:val="Hyperlink"/>
                <w:rFonts w:eastAsiaTheme="majorEastAsia" w:cstheme="majorBidi"/>
                <w:b/>
                <w:noProof/>
              </w:rPr>
              <w:t xml:space="preserve"> line opioid setting (excluding morphine 200 mg forms and oxycodone):</w:t>
            </w:r>
            <w:r w:rsidR="00F33674">
              <w:rPr>
                <w:noProof/>
                <w:webHidden/>
              </w:rPr>
              <w:tab/>
            </w:r>
            <w:r w:rsidR="00F33674">
              <w:rPr>
                <w:noProof/>
                <w:webHidden/>
              </w:rPr>
              <w:fldChar w:fldCharType="begin"/>
            </w:r>
            <w:r w:rsidR="00F33674">
              <w:rPr>
                <w:noProof/>
                <w:webHidden/>
              </w:rPr>
              <w:instrText xml:space="preserve"> PAGEREF _Toc32300598 \h </w:instrText>
            </w:r>
            <w:r w:rsidR="00F33674">
              <w:rPr>
                <w:noProof/>
                <w:webHidden/>
              </w:rPr>
            </w:r>
            <w:r w:rsidR="00F33674">
              <w:rPr>
                <w:noProof/>
                <w:webHidden/>
              </w:rPr>
              <w:fldChar w:fldCharType="separate"/>
            </w:r>
            <w:r w:rsidR="00D15109">
              <w:rPr>
                <w:noProof/>
                <w:webHidden/>
              </w:rPr>
              <w:t>42</w:t>
            </w:r>
            <w:r w:rsidR="00F33674">
              <w:rPr>
                <w:noProof/>
                <w:webHidden/>
              </w:rPr>
              <w:fldChar w:fldCharType="end"/>
            </w:r>
          </w:hyperlink>
        </w:p>
        <w:p w14:paraId="47802D5A" w14:textId="4D900FE3" w:rsidR="00F33674" w:rsidRDefault="00233D13">
          <w:pPr>
            <w:pStyle w:val="TOC3"/>
            <w:rPr>
              <w:rFonts w:asciiTheme="minorHAnsi" w:eastAsiaTheme="minorEastAsia" w:hAnsiTheme="minorHAnsi" w:cstheme="minorBidi"/>
              <w:noProof/>
              <w:sz w:val="22"/>
              <w:szCs w:val="22"/>
              <w:lang w:eastAsia="en-AU"/>
            </w:rPr>
          </w:pPr>
          <w:hyperlink w:anchor="_Toc32300599" w:history="1">
            <w:r w:rsidR="00F33674" w:rsidRPr="00564542">
              <w:rPr>
                <w:rStyle w:val="Hyperlink"/>
                <w:rFonts w:eastAsiaTheme="majorEastAsia" w:cstheme="majorBidi"/>
                <w:b/>
                <w:noProof/>
              </w:rPr>
              <w:t>Listing 17a: Restriction for long-term pain TGA indication in 1</w:t>
            </w:r>
            <w:r w:rsidR="00F33674" w:rsidRPr="00564542">
              <w:rPr>
                <w:rStyle w:val="Hyperlink"/>
                <w:rFonts w:eastAsiaTheme="majorEastAsia" w:cstheme="majorBidi"/>
                <w:b/>
                <w:noProof/>
                <w:vertAlign w:val="superscript"/>
              </w:rPr>
              <w:t>st</w:t>
            </w:r>
            <w:r w:rsidR="00F33674" w:rsidRPr="00564542">
              <w:rPr>
                <w:rStyle w:val="Hyperlink"/>
                <w:rFonts w:eastAsiaTheme="majorEastAsia" w:cstheme="majorBidi"/>
                <w:b/>
                <w:noProof/>
              </w:rPr>
              <w:t xml:space="preserve"> line opioid setting (morphine 200 mg MR tablets and 200mg granules):</w:t>
            </w:r>
            <w:r w:rsidR="00F33674">
              <w:rPr>
                <w:noProof/>
                <w:webHidden/>
              </w:rPr>
              <w:tab/>
            </w:r>
            <w:r w:rsidR="00F33674">
              <w:rPr>
                <w:noProof/>
                <w:webHidden/>
              </w:rPr>
              <w:fldChar w:fldCharType="begin"/>
            </w:r>
            <w:r w:rsidR="00F33674">
              <w:rPr>
                <w:noProof/>
                <w:webHidden/>
              </w:rPr>
              <w:instrText xml:space="preserve"> PAGEREF _Toc32300599 \h </w:instrText>
            </w:r>
            <w:r w:rsidR="00F33674">
              <w:rPr>
                <w:noProof/>
                <w:webHidden/>
              </w:rPr>
            </w:r>
            <w:r w:rsidR="00F33674">
              <w:rPr>
                <w:noProof/>
                <w:webHidden/>
              </w:rPr>
              <w:fldChar w:fldCharType="separate"/>
            </w:r>
            <w:r w:rsidR="00D15109">
              <w:rPr>
                <w:noProof/>
                <w:webHidden/>
              </w:rPr>
              <w:t>48</w:t>
            </w:r>
            <w:r w:rsidR="00F33674">
              <w:rPr>
                <w:noProof/>
                <w:webHidden/>
              </w:rPr>
              <w:fldChar w:fldCharType="end"/>
            </w:r>
          </w:hyperlink>
        </w:p>
        <w:p w14:paraId="1B58B7DB" w14:textId="1A0A8708" w:rsidR="00F33674" w:rsidRDefault="00233D13">
          <w:pPr>
            <w:pStyle w:val="TOC3"/>
            <w:rPr>
              <w:rFonts w:asciiTheme="minorHAnsi" w:eastAsiaTheme="minorEastAsia" w:hAnsiTheme="minorHAnsi" w:cstheme="minorBidi"/>
              <w:noProof/>
              <w:sz w:val="22"/>
              <w:szCs w:val="22"/>
              <w:lang w:eastAsia="en-AU"/>
            </w:rPr>
          </w:pPr>
          <w:hyperlink w:anchor="_Toc32300600" w:history="1">
            <w:r w:rsidR="00F33674" w:rsidRPr="00564542">
              <w:rPr>
                <w:rStyle w:val="Hyperlink"/>
                <w:rFonts w:eastAsiaTheme="majorEastAsia" w:cstheme="majorBidi"/>
                <w:b/>
                <w:noProof/>
              </w:rPr>
              <w:t>Listing 17b: Restriction for long-term pain TGA indication in 1</w:t>
            </w:r>
            <w:r w:rsidR="00F33674" w:rsidRPr="00564542">
              <w:rPr>
                <w:rStyle w:val="Hyperlink"/>
                <w:rFonts w:eastAsiaTheme="majorEastAsia" w:cstheme="majorBidi"/>
                <w:b/>
                <w:noProof/>
                <w:vertAlign w:val="superscript"/>
              </w:rPr>
              <w:t>st</w:t>
            </w:r>
            <w:r w:rsidR="00F33674" w:rsidRPr="00564542">
              <w:rPr>
                <w:rStyle w:val="Hyperlink"/>
                <w:rFonts w:eastAsiaTheme="majorEastAsia" w:cstheme="majorBidi"/>
                <w:b/>
                <w:noProof/>
              </w:rPr>
              <w:t xml:space="preserve"> line opioid setting (morphine 200 mg MR tablets and 200mg granules):</w:t>
            </w:r>
            <w:r w:rsidR="00F33674">
              <w:rPr>
                <w:noProof/>
                <w:webHidden/>
              </w:rPr>
              <w:tab/>
            </w:r>
            <w:r w:rsidR="00F33674">
              <w:rPr>
                <w:noProof/>
                <w:webHidden/>
              </w:rPr>
              <w:fldChar w:fldCharType="begin"/>
            </w:r>
            <w:r w:rsidR="00F33674">
              <w:rPr>
                <w:noProof/>
                <w:webHidden/>
              </w:rPr>
              <w:instrText xml:space="preserve"> PAGEREF _Toc32300600 \h </w:instrText>
            </w:r>
            <w:r w:rsidR="00F33674">
              <w:rPr>
                <w:noProof/>
                <w:webHidden/>
              </w:rPr>
            </w:r>
            <w:r w:rsidR="00F33674">
              <w:rPr>
                <w:noProof/>
                <w:webHidden/>
              </w:rPr>
              <w:fldChar w:fldCharType="separate"/>
            </w:r>
            <w:r w:rsidR="00D15109">
              <w:rPr>
                <w:noProof/>
                <w:webHidden/>
              </w:rPr>
              <w:t>49</w:t>
            </w:r>
            <w:r w:rsidR="00F33674">
              <w:rPr>
                <w:noProof/>
                <w:webHidden/>
              </w:rPr>
              <w:fldChar w:fldCharType="end"/>
            </w:r>
          </w:hyperlink>
        </w:p>
        <w:p w14:paraId="3591FE16" w14:textId="64F74D51" w:rsidR="00F33674" w:rsidRDefault="00233D13">
          <w:pPr>
            <w:pStyle w:val="TOC3"/>
            <w:rPr>
              <w:rFonts w:asciiTheme="minorHAnsi" w:eastAsiaTheme="minorEastAsia" w:hAnsiTheme="minorHAnsi" w:cstheme="minorBidi"/>
              <w:noProof/>
              <w:sz w:val="22"/>
              <w:szCs w:val="22"/>
              <w:lang w:eastAsia="en-AU"/>
            </w:rPr>
          </w:pPr>
          <w:hyperlink w:anchor="_Toc32300601" w:history="1">
            <w:r w:rsidR="00F33674" w:rsidRPr="00564542">
              <w:rPr>
                <w:rStyle w:val="Hyperlink"/>
                <w:rFonts w:eastAsiaTheme="majorEastAsia" w:cstheme="majorBidi"/>
                <w:b/>
                <w:noProof/>
              </w:rPr>
              <w:t>Listing 18: Restriction for long-term pain TGA indication in 1</w:t>
            </w:r>
            <w:r w:rsidR="00F33674" w:rsidRPr="00564542">
              <w:rPr>
                <w:rStyle w:val="Hyperlink"/>
                <w:rFonts w:eastAsiaTheme="majorEastAsia" w:cstheme="majorBidi"/>
                <w:b/>
                <w:noProof/>
                <w:vertAlign w:val="superscript"/>
              </w:rPr>
              <w:t>st</w:t>
            </w:r>
            <w:r w:rsidR="00F33674" w:rsidRPr="00564542">
              <w:rPr>
                <w:rStyle w:val="Hyperlink"/>
                <w:rFonts w:eastAsiaTheme="majorEastAsia" w:cstheme="majorBidi"/>
                <w:b/>
                <w:noProof/>
              </w:rPr>
              <w:t xml:space="preserve"> line opioid setting (oxycodone MR tablet – without naloxone – 15 mg and 30 mg):</w:t>
            </w:r>
            <w:r w:rsidR="00F33674">
              <w:rPr>
                <w:noProof/>
                <w:webHidden/>
              </w:rPr>
              <w:tab/>
            </w:r>
            <w:r w:rsidR="00F33674">
              <w:rPr>
                <w:noProof/>
                <w:webHidden/>
              </w:rPr>
              <w:fldChar w:fldCharType="begin"/>
            </w:r>
            <w:r w:rsidR="00F33674">
              <w:rPr>
                <w:noProof/>
                <w:webHidden/>
              </w:rPr>
              <w:instrText xml:space="preserve"> PAGEREF _Toc32300601 \h </w:instrText>
            </w:r>
            <w:r w:rsidR="00F33674">
              <w:rPr>
                <w:noProof/>
                <w:webHidden/>
              </w:rPr>
            </w:r>
            <w:r w:rsidR="00F33674">
              <w:rPr>
                <w:noProof/>
                <w:webHidden/>
              </w:rPr>
              <w:fldChar w:fldCharType="separate"/>
            </w:r>
            <w:r w:rsidR="00D15109">
              <w:rPr>
                <w:noProof/>
                <w:webHidden/>
              </w:rPr>
              <w:t>51</w:t>
            </w:r>
            <w:r w:rsidR="00F33674">
              <w:rPr>
                <w:noProof/>
                <w:webHidden/>
              </w:rPr>
              <w:fldChar w:fldCharType="end"/>
            </w:r>
          </w:hyperlink>
        </w:p>
        <w:p w14:paraId="3CCD6E4E" w14:textId="53C109CA" w:rsidR="00F33674" w:rsidRDefault="00233D13">
          <w:pPr>
            <w:pStyle w:val="TOC3"/>
            <w:rPr>
              <w:rFonts w:asciiTheme="minorHAnsi" w:eastAsiaTheme="minorEastAsia" w:hAnsiTheme="minorHAnsi" w:cstheme="minorBidi"/>
              <w:noProof/>
              <w:sz w:val="22"/>
              <w:szCs w:val="22"/>
              <w:lang w:eastAsia="en-AU"/>
            </w:rPr>
          </w:pPr>
          <w:hyperlink w:anchor="_Toc32300602" w:history="1">
            <w:r w:rsidR="00F33674" w:rsidRPr="00564542">
              <w:rPr>
                <w:rStyle w:val="Hyperlink"/>
                <w:rFonts w:eastAsiaTheme="majorEastAsia" w:cstheme="majorBidi"/>
                <w:b/>
                <w:noProof/>
              </w:rPr>
              <w:t>Listing 19: Restriction for long-term pain TGA indication in 1</w:t>
            </w:r>
            <w:r w:rsidR="00F33674" w:rsidRPr="00564542">
              <w:rPr>
                <w:rStyle w:val="Hyperlink"/>
                <w:rFonts w:eastAsiaTheme="majorEastAsia" w:cstheme="majorBidi"/>
                <w:b/>
                <w:noProof/>
                <w:vertAlign w:val="superscript"/>
              </w:rPr>
              <w:t>st</w:t>
            </w:r>
            <w:r w:rsidR="00F33674" w:rsidRPr="00564542">
              <w:rPr>
                <w:rStyle w:val="Hyperlink"/>
                <w:rFonts w:eastAsiaTheme="majorEastAsia" w:cstheme="majorBidi"/>
                <w:b/>
                <w:noProof/>
              </w:rPr>
              <w:t xml:space="preserve"> line opioid setting (oxycodone MR tablet – without naloxone – 10 mg, 20 mg, 40 mg and 80 mg):</w:t>
            </w:r>
            <w:r w:rsidR="00F33674">
              <w:rPr>
                <w:noProof/>
                <w:webHidden/>
              </w:rPr>
              <w:tab/>
            </w:r>
            <w:r w:rsidR="00F33674">
              <w:rPr>
                <w:noProof/>
                <w:webHidden/>
              </w:rPr>
              <w:fldChar w:fldCharType="begin"/>
            </w:r>
            <w:r w:rsidR="00F33674">
              <w:rPr>
                <w:noProof/>
                <w:webHidden/>
              </w:rPr>
              <w:instrText xml:space="preserve"> PAGEREF _Toc32300602 \h </w:instrText>
            </w:r>
            <w:r w:rsidR="00F33674">
              <w:rPr>
                <w:noProof/>
                <w:webHidden/>
              </w:rPr>
            </w:r>
            <w:r w:rsidR="00F33674">
              <w:rPr>
                <w:noProof/>
                <w:webHidden/>
              </w:rPr>
              <w:fldChar w:fldCharType="separate"/>
            </w:r>
            <w:r w:rsidR="00D15109">
              <w:rPr>
                <w:noProof/>
                <w:webHidden/>
              </w:rPr>
              <w:t>53</w:t>
            </w:r>
            <w:r w:rsidR="00F33674">
              <w:rPr>
                <w:noProof/>
                <w:webHidden/>
              </w:rPr>
              <w:fldChar w:fldCharType="end"/>
            </w:r>
          </w:hyperlink>
        </w:p>
        <w:p w14:paraId="300D77C9" w14:textId="3FE03202" w:rsidR="00F33674" w:rsidRDefault="00233D13">
          <w:pPr>
            <w:pStyle w:val="TOC2"/>
            <w:rPr>
              <w:rFonts w:asciiTheme="minorHAnsi" w:eastAsiaTheme="minorEastAsia" w:hAnsiTheme="minorHAnsi" w:cstheme="minorBidi"/>
              <w:noProof/>
              <w:sz w:val="22"/>
              <w:szCs w:val="22"/>
              <w:lang w:eastAsia="en-AU"/>
            </w:rPr>
          </w:pPr>
          <w:hyperlink w:anchor="_Toc32300603" w:history="1">
            <w:r w:rsidR="00F33674" w:rsidRPr="00564542">
              <w:rPr>
                <w:rStyle w:val="Hyperlink"/>
                <w:rFonts w:eastAsiaTheme="majorEastAsia" w:cstheme="majorBidi"/>
                <w:b/>
                <w:i/>
                <w:noProof/>
                <w:spacing w:val="5"/>
                <w:kern w:val="28"/>
              </w:rPr>
              <w:t>TGA long-term pain indication: proposed PBS restrictions in 2</w:t>
            </w:r>
            <w:r w:rsidR="00F33674" w:rsidRPr="00564542">
              <w:rPr>
                <w:rStyle w:val="Hyperlink"/>
                <w:rFonts w:eastAsiaTheme="majorEastAsia" w:cstheme="majorBidi"/>
                <w:b/>
                <w:i/>
                <w:noProof/>
                <w:spacing w:val="5"/>
                <w:kern w:val="28"/>
                <w:vertAlign w:val="superscript"/>
              </w:rPr>
              <w:t>nd</w:t>
            </w:r>
            <w:r w:rsidR="00F33674" w:rsidRPr="00564542">
              <w:rPr>
                <w:rStyle w:val="Hyperlink"/>
                <w:rFonts w:eastAsiaTheme="majorEastAsia" w:cstheme="majorBidi"/>
                <w:b/>
                <w:i/>
                <w:noProof/>
                <w:spacing w:val="5"/>
                <w:kern w:val="28"/>
              </w:rPr>
              <w:t xml:space="preserve"> line setting</w:t>
            </w:r>
            <w:r w:rsidR="00F33674">
              <w:rPr>
                <w:noProof/>
                <w:webHidden/>
              </w:rPr>
              <w:tab/>
            </w:r>
            <w:r w:rsidR="00F33674">
              <w:rPr>
                <w:noProof/>
                <w:webHidden/>
              </w:rPr>
              <w:fldChar w:fldCharType="begin"/>
            </w:r>
            <w:r w:rsidR="00F33674">
              <w:rPr>
                <w:noProof/>
                <w:webHidden/>
              </w:rPr>
              <w:instrText xml:space="preserve"> PAGEREF _Toc32300603 \h </w:instrText>
            </w:r>
            <w:r w:rsidR="00F33674">
              <w:rPr>
                <w:noProof/>
                <w:webHidden/>
              </w:rPr>
            </w:r>
            <w:r w:rsidR="00F33674">
              <w:rPr>
                <w:noProof/>
                <w:webHidden/>
              </w:rPr>
              <w:fldChar w:fldCharType="separate"/>
            </w:r>
            <w:r w:rsidR="00D15109">
              <w:rPr>
                <w:noProof/>
                <w:webHidden/>
              </w:rPr>
              <w:t>55</w:t>
            </w:r>
            <w:r w:rsidR="00F33674">
              <w:rPr>
                <w:noProof/>
                <w:webHidden/>
              </w:rPr>
              <w:fldChar w:fldCharType="end"/>
            </w:r>
          </w:hyperlink>
        </w:p>
        <w:p w14:paraId="0FB91E82" w14:textId="0FD5538E" w:rsidR="00F33674" w:rsidRDefault="00233D13">
          <w:pPr>
            <w:pStyle w:val="TOC3"/>
            <w:rPr>
              <w:rFonts w:asciiTheme="minorHAnsi" w:eastAsiaTheme="minorEastAsia" w:hAnsiTheme="minorHAnsi" w:cstheme="minorBidi"/>
              <w:noProof/>
              <w:sz w:val="22"/>
              <w:szCs w:val="22"/>
              <w:lang w:eastAsia="en-AU"/>
            </w:rPr>
          </w:pPr>
          <w:hyperlink w:anchor="_Toc32300604" w:history="1">
            <w:r w:rsidR="00F33674" w:rsidRPr="00564542">
              <w:rPr>
                <w:rStyle w:val="Hyperlink"/>
                <w:rFonts w:eastAsiaTheme="majorEastAsia" w:cstheme="majorBidi"/>
                <w:b/>
                <w:noProof/>
              </w:rPr>
              <w:t>Listing 20: Restriction for long-term pain TGA indication in 2</w:t>
            </w:r>
            <w:r w:rsidR="00F33674" w:rsidRPr="00564542">
              <w:rPr>
                <w:rStyle w:val="Hyperlink"/>
                <w:rFonts w:eastAsiaTheme="majorEastAsia" w:cstheme="majorBidi"/>
                <w:b/>
                <w:noProof/>
                <w:vertAlign w:val="superscript"/>
              </w:rPr>
              <w:t>nd</w:t>
            </w:r>
            <w:r w:rsidR="00F33674" w:rsidRPr="00564542">
              <w:rPr>
                <w:rStyle w:val="Hyperlink"/>
                <w:rFonts w:eastAsiaTheme="majorEastAsia" w:cstheme="majorBidi"/>
                <w:b/>
                <w:noProof/>
              </w:rPr>
              <w:t xml:space="preserve"> line opioid setting on general schedule (fentanyl 12mcg/hr patch):</w:t>
            </w:r>
            <w:r w:rsidR="00F33674">
              <w:rPr>
                <w:noProof/>
                <w:webHidden/>
              </w:rPr>
              <w:tab/>
            </w:r>
            <w:r w:rsidR="00F33674">
              <w:rPr>
                <w:noProof/>
                <w:webHidden/>
              </w:rPr>
              <w:fldChar w:fldCharType="begin"/>
            </w:r>
            <w:r w:rsidR="00F33674">
              <w:rPr>
                <w:noProof/>
                <w:webHidden/>
              </w:rPr>
              <w:instrText xml:space="preserve"> PAGEREF _Toc32300604 \h </w:instrText>
            </w:r>
            <w:r w:rsidR="00F33674">
              <w:rPr>
                <w:noProof/>
                <w:webHidden/>
              </w:rPr>
            </w:r>
            <w:r w:rsidR="00F33674">
              <w:rPr>
                <w:noProof/>
                <w:webHidden/>
              </w:rPr>
              <w:fldChar w:fldCharType="separate"/>
            </w:r>
            <w:r w:rsidR="00D15109">
              <w:rPr>
                <w:noProof/>
                <w:webHidden/>
              </w:rPr>
              <w:t>55</w:t>
            </w:r>
            <w:r w:rsidR="00F33674">
              <w:rPr>
                <w:noProof/>
                <w:webHidden/>
              </w:rPr>
              <w:fldChar w:fldCharType="end"/>
            </w:r>
          </w:hyperlink>
        </w:p>
        <w:p w14:paraId="4BD41574" w14:textId="4514558B" w:rsidR="00F33674" w:rsidRDefault="00233D13">
          <w:pPr>
            <w:pStyle w:val="TOC3"/>
            <w:rPr>
              <w:rFonts w:asciiTheme="minorHAnsi" w:eastAsiaTheme="minorEastAsia" w:hAnsiTheme="minorHAnsi" w:cstheme="minorBidi"/>
              <w:noProof/>
              <w:sz w:val="22"/>
              <w:szCs w:val="22"/>
              <w:lang w:eastAsia="en-AU"/>
            </w:rPr>
          </w:pPr>
          <w:hyperlink w:anchor="_Toc32300605" w:history="1">
            <w:r w:rsidR="00F33674" w:rsidRPr="00564542">
              <w:rPr>
                <w:rStyle w:val="Hyperlink"/>
                <w:rFonts w:eastAsiaTheme="majorEastAsia" w:cstheme="majorBidi"/>
                <w:b/>
                <w:noProof/>
              </w:rPr>
              <w:t>Listing 21: Restriction for long-term pain TGA indication in 2</w:t>
            </w:r>
            <w:r w:rsidR="00F33674" w:rsidRPr="00564542">
              <w:rPr>
                <w:rStyle w:val="Hyperlink"/>
                <w:rFonts w:eastAsiaTheme="majorEastAsia" w:cstheme="majorBidi"/>
                <w:b/>
                <w:noProof/>
                <w:vertAlign w:val="superscript"/>
              </w:rPr>
              <w:t>nd</w:t>
            </w:r>
            <w:r w:rsidR="00F33674" w:rsidRPr="00564542">
              <w:rPr>
                <w:rStyle w:val="Hyperlink"/>
                <w:rFonts w:eastAsiaTheme="majorEastAsia" w:cstheme="majorBidi"/>
                <w:b/>
                <w:noProof/>
              </w:rPr>
              <w:t xml:space="preserve"> line opioid setting on general schedule (fentanyl 25mcg/hr patch):</w:t>
            </w:r>
            <w:r w:rsidR="00F33674">
              <w:rPr>
                <w:noProof/>
                <w:webHidden/>
              </w:rPr>
              <w:tab/>
            </w:r>
            <w:r w:rsidR="00F33674">
              <w:rPr>
                <w:noProof/>
                <w:webHidden/>
              </w:rPr>
              <w:fldChar w:fldCharType="begin"/>
            </w:r>
            <w:r w:rsidR="00F33674">
              <w:rPr>
                <w:noProof/>
                <w:webHidden/>
              </w:rPr>
              <w:instrText xml:space="preserve"> PAGEREF _Toc32300605 \h </w:instrText>
            </w:r>
            <w:r w:rsidR="00F33674">
              <w:rPr>
                <w:noProof/>
                <w:webHidden/>
              </w:rPr>
            </w:r>
            <w:r w:rsidR="00F33674">
              <w:rPr>
                <w:noProof/>
                <w:webHidden/>
              </w:rPr>
              <w:fldChar w:fldCharType="separate"/>
            </w:r>
            <w:r w:rsidR="00D15109">
              <w:rPr>
                <w:noProof/>
                <w:webHidden/>
              </w:rPr>
              <w:t>57</w:t>
            </w:r>
            <w:r w:rsidR="00F33674">
              <w:rPr>
                <w:noProof/>
                <w:webHidden/>
              </w:rPr>
              <w:fldChar w:fldCharType="end"/>
            </w:r>
          </w:hyperlink>
        </w:p>
        <w:p w14:paraId="2247CDC5" w14:textId="4F2B42D0" w:rsidR="00F33674" w:rsidRDefault="00233D13">
          <w:pPr>
            <w:pStyle w:val="TOC3"/>
            <w:rPr>
              <w:rFonts w:asciiTheme="minorHAnsi" w:eastAsiaTheme="minorEastAsia" w:hAnsiTheme="minorHAnsi" w:cstheme="minorBidi"/>
              <w:noProof/>
              <w:sz w:val="22"/>
              <w:szCs w:val="22"/>
              <w:lang w:eastAsia="en-AU"/>
            </w:rPr>
          </w:pPr>
          <w:hyperlink w:anchor="_Toc32300606" w:history="1">
            <w:r w:rsidR="00F33674" w:rsidRPr="00564542">
              <w:rPr>
                <w:rStyle w:val="Hyperlink"/>
                <w:rFonts w:eastAsiaTheme="majorEastAsia" w:cstheme="majorBidi"/>
                <w:b/>
                <w:noProof/>
              </w:rPr>
              <w:t>Listing 22: Restriction for long-term pain TGA indication in 2</w:t>
            </w:r>
            <w:r w:rsidR="00F33674" w:rsidRPr="00564542">
              <w:rPr>
                <w:rStyle w:val="Hyperlink"/>
                <w:rFonts w:eastAsiaTheme="majorEastAsia" w:cstheme="majorBidi"/>
                <w:b/>
                <w:noProof/>
                <w:vertAlign w:val="superscript"/>
              </w:rPr>
              <w:t>nd</w:t>
            </w:r>
            <w:r w:rsidR="00F33674" w:rsidRPr="00564542">
              <w:rPr>
                <w:rStyle w:val="Hyperlink"/>
                <w:rFonts w:eastAsiaTheme="majorEastAsia" w:cstheme="majorBidi"/>
                <w:b/>
                <w:noProof/>
              </w:rPr>
              <w:t xml:space="preserve"> line opioid setting on general schedule (fentanyl 50mcg/hr patch):</w:t>
            </w:r>
            <w:r w:rsidR="00F33674">
              <w:rPr>
                <w:noProof/>
                <w:webHidden/>
              </w:rPr>
              <w:tab/>
            </w:r>
            <w:r w:rsidR="00F33674">
              <w:rPr>
                <w:noProof/>
                <w:webHidden/>
              </w:rPr>
              <w:fldChar w:fldCharType="begin"/>
            </w:r>
            <w:r w:rsidR="00F33674">
              <w:rPr>
                <w:noProof/>
                <w:webHidden/>
              </w:rPr>
              <w:instrText xml:space="preserve"> PAGEREF _Toc32300606 \h </w:instrText>
            </w:r>
            <w:r w:rsidR="00F33674">
              <w:rPr>
                <w:noProof/>
                <w:webHidden/>
              </w:rPr>
            </w:r>
            <w:r w:rsidR="00F33674">
              <w:rPr>
                <w:noProof/>
                <w:webHidden/>
              </w:rPr>
              <w:fldChar w:fldCharType="separate"/>
            </w:r>
            <w:r w:rsidR="00D15109">
              <w:rPr>
                <w:noProof/>
                <w:webHidden/>
              </w:rPr>
              <w:t>59</w:t>
            </w:r>
            <w:r w:rsidR="00F33674">
              <w:rPr>
                <w:noProof/>
                <w:webHidden/>
              </w:rPr>
              <w:fldChar w:fldCharType="end"/>
            </w:r>
          </w:hyperlink>
        </w:p>
        <w:p w14:paraId="37ADD51C" w14:textId="18BEF5D1" w:rsidR="00F33674" w:rsidRDefault="00233D13">
          <w:pPr>
            <w:pStyle w:val="TOC3"/>
            <w:rPr>
              <w:rFonts w:asciiTheme="minorHAnsi" w:eastAsiaTheme="minorEastAsia" w:hAnsiTheme="minorHAnsi" w:cstheme="minorBidi"/>
              <w:noProof/>
              <w:sz w:val="22"/>
              <w:szCs w:val="22"/>
              <w:lang w:eastAsia="en-AU"/>
            </w:rPr>
          </w:pPr>
          <w:hyperlink w:anchor="_Toc32300607" w:history="1">
            <w:r w:rsidR="00F33674" w:rsidRPr="00564542">
              <w:rPr>
                <w:rStyle w:val="Hyperlink"/>
                <w:rFonts w:eastAsiaTheme="majorEastAsia" w:cstheme="majorBidi"/>
                <w:b/>
                <w:noProof/>
              </w:rPr>
              <w:t>Listing 23: Restriction for long-term pain TGA indication in 2</w:t>
            </w:r>
            <w:r w:rsidR="00F33674" w:rsidRPr="00564542">
              <w:rPr>
                <w:rStyle w:val="Hyperlink"/>
                <w:rFonts w:eastAsiaTheme="majorEastAsia" w:cstheme="majorBidi"/>
                <w:b/>
                <w:noProof/>
                <w:vertAlign w:val="superscript"/>
              </w:rPr>
              <w:t>nd</w:t>
            </w:r>
            <w:r w:rsidR="00F33674" w:rsidRPr="00564542">
              <w:rPr>
                <w:rStyle w:val="Hyperlink"/>
                <w:rFonts w:eastAsiaTheme="majorEastAsia" w:cstheme="majorBidi"/>
                <w:b/>
                <w:noProof/>
              </w:rPr>
              <w:t xml:space="preserve"> line opioid setting on general schedule (fentanyl 75mcg/hr patch):</w:t>
            </w:r>
            <w:r w:rsidR="00F33674">
              <w:rPr>
                <w:noProof/>
                <w:webHidden/>
              </w:rPr>
              <w:tab/>
            </w:r>
            <w:r w:rsidR="00F33674">
              <w:rPr>
                <w:noProof/>
                <w:webHidden/>
              </w:rPr>
              <w:fldChar w:fldCharType="begin"/>
            </w:r>
            <w:r w:rsidR="00F33674">
              <w:rPr>
                <w:noProof/>
                <w:webHidden/>
              </w:rPr>
              <w:instrText xml:space="preserve"> PAGEREF _Toc32300607 \h </w:instrText>
            </w:r>
            <w:r w:rsidR="00F33674">
              <w:rPr>
                <w:noProof/>
                <w:webHidden/>
              </w:rPr>
            </w:r>
            <w:r w:rsidR="00F33674">
              <w:rPr>
                <w:noProof/>
                <w:webHidden/>
              </w:rPr>
              <w:fldChar w:fldCharType="separate"/>
            </w:r>
            <w:r w:rsidR="00D15109">
              <w:rPr>
                <w:noProof/>
                <w:webHidden/>
              </w:rPr>
              <w:t>61</w:t>
            </w:r>
            <w:r w:rsidR="00F33674">
              <w:rPr>
                <w:noProof/>
                <w:webHidden/>
              </w:rPr>
              <w:fldChar w:fldCharType="end"/>
            </w:r>
          </w:hyperlink>
        </w:p>
        <w:p w14:paraId="22D56525" w14:textId="3872E818" w:rsidR="00F33674" w:rsidRDefault="00233D13">
          <w:pPr>
            <w:pStyle w:val="TOC3"/>
            <w:rPr>
              <w:rFonts w:asciiTheme="minorHAnsi" w:eastAsiaTheme="minorEastAsia" w:hAnsiTheme="minorHAnsi" w:cstheme="minorBidi"/>
              <w:noProof/>
              <w:sz w:val="22"/>
              <w:szCs w:val="22"/>
              <w:lang w:eastAsia="en-AU"/>
            </w:rPr>
          </w:pPr>
          <w:hyperlink w:anchor="_Toc32300608" w:history="1">
            <w:r w:rsidR="00F33674" w:rsidRPr="00564542">
              <w:rPr>
                <w:rStyle w:val="Hyperlink"/>
                <w:rFonts w:eastAsiaTheme="majorEastAsia" w:cstheme="majorBidi"/>
                <w:b/>
                <w:noProof/>
              </w:rPr>
              <w:t>Listing 24: Restriction for long-term pain TGA indication in 2</w:t>
            </w:r>
            <w:r w:rsidR="00F33674" w:rsidRPr="00564542">
              <w:rPr>
                <w:rStyle w:val="Hyperlink"/>
                <w:rFonts w:eastAsiaTheme="majorEastAsia" w:cstheme="majorBidi"/>
                <w:b/>
                <w:noProof/>
                <w:vertAlign w:val="superscript"/>
              </w:rPr>
              <w:t>nd</w:t>
            </w:r>
            <w:r w:rsidR="00F33674" w:rsidRPr="00564542">
              <w:rPr>
                <w:rStyle w:val="Hyperlink"/>
                <w:rFonts w:eastAsiaTheme="majorEastAsia" w:cstheme="majorBidi"/>
                <w:b/>
                <w:noProof/>
              </w:rPr>
              <w:t xml:space="preserve"> line opioid setting on general schedule (fentanyl 100mcg/hr patch):</w:t>
            </w:r>
            <w:r w:rsidR="00F33674">
              <w:rPr>
                <w:noProof/>
                <w:webHidden/>
              </w:rPr>
              <w:tab/>
            </w:r>
            <w:r w:rsidR="00F33674">
              <w:rPr>
                <w:noProof/>
                <w:webHidden/>
              </w:rPr>
              <w:fldChar w:fldCharType="begin"/>
            </w:r>
            <w:r w:rsidR="00F33674">
              <w:rPr>
                <w:noProof/>
                <w:webHidden/>
              </w:rPr>
              <w:instrText xml:space="preserve"> PAGEREF _Toc32300608 \h </w:instrText>
            </w:r>
            <w:r w:rsidR="00F33674">
              <w:rPr>
                <w:noProof/>
                <w:webHidden/>
              </w:rPr>
            </w:r>
            <w:r w:rsidR="00F33674">
              <w:rPr>
                <w:noProof/>
                <w:webHidden/>
              </w:rPr>
              <w:fldChar w:fldCharType="separate"/>
            </w:r>
            <w:r w:rsidR="00D15109">
              <w:rPr>
                <w:noProof/>
                <w:webHidden/>
              </w:rPr>
              <w:t>63</w:t>
            </w:r>
            <w:r w:rsidR="00F33674">
              <w:rPr>
                <w:noProof/>
                <w:webHidden/>
              </w:rPr>
              <w:fldChar w:fldCharType="end"/>
            </w:r>
          </w:hyperlink>
        </w:p>
        <w:p w14:paraId="6F960B57" w14:textId="4F36D33F" w:rsidR="00F33674" w:rsidRDefault="00233D13">
          <w:pPr>
            <w:pStyle w:val="TOC3"/>
            <w:rPr>
              <w:rFonts w:asciiTheme="minorHAnsi" w:eastAsiaTheme="minorEastAsia" w:hAnsiTheme="minorHAnsi" w:cstheme="minorBidi"/>
              <w:noProof/>
              <w:sz w:val="22"/>
              <w:szCs w:val="22"/>
              <w:lang w:eastAsia="en-AU"/>
            </w:rPr>
          </w:pPr>
          <w:hyperlink w:anchor="_Toc32300609" w:history="1">
            <w:r w:rsidR="00F33674" w:rsidRPr="00564542">
              <w:rPr>
                <w:rStyle w:val="Hyperlink"/>
                <w:rFonts w:eastAsiaTheme="majorEastAsia" w:cstheme="majorBidi"/>
                <w:b/>
                <w:noProof/>
              </w:rPr>
              <w:t>Listing 25: Restriction for long-term pain TGA indication in 2</w:t>
            </w:r>
            <w:r w:rsidR="00F33674" w:rsidRPr="00564542">
              <w:rPr>
                <w:rStyle w:val="Hyperlink"/>
                <w:rFonts w:eastAsiaTheme="majorEastAsia" w:cstheme="majorBidi"/>
                <w:b/>
                <w:noProof/>
                <w:vertAlign w:val="superscript"/>
              </w:rPr>
              <w:t>nd</w:t>
            </w:r>
            <w:r w:rsidR="00F33674" w:rsidRPr="00564542">
              <w:rPr>
                <w:rStyle w:val="Hyperlink"/>
                <w:rFonts w:eastAsiaTheme="majorEastAsia" w:cstheme="majorBidi"/>
                <w:b/>
                <w:noProof/>
              </w:rPr>
              <w:t xml:space="preserve"> line opioid setting (hydromorphone MR tablets):</w:t>
            </w:r>
            <w:r w:rsidR="00F33674">
              <w:rPr>
                <w:noProof/>
                <w:webHidden/>
              </w:rPr>
              <w:tab/>
            </w:r>
            <w:r w:rsidR="00F33674">
              <w:rPr>
                <w:noProof/>
                <w:webHidden/>
              </w:rPr>
              <w:fldChar w:fldCharType="begin"/>
            </w:r>
            <w:r w:rsidR="00F33674">
              <w:rPr>
                <w:noProof/>
                <w:webHidden/>
              </w:rPr>
              <w:instrText xml:space="preserve"> PAGEREF _Toc32300609 \h </w:instrText>
            </w:r>
            <w:r w:rsidR="00F33674">
              <w:rPr>
                <w:noProof/>
                <w:webHidden/>
              </w:rPr>
            </w:r>
            <w:r w:rsidR="00F33674">
              <w:rPr>
                <w:noProof/>
                <w:webHidden/>
              </w:rPr>
              <w:fldChar w:fldCharType="separate"/>
            </w:r>
            <w:r w:rsidR="00D15109">
              <w:rPr>
                <w:noProof/>
                <w:webHidden/>
              </w:rPr>
              <w:t>65</w:t>
            </w:r>
            <w:r w:rsidR="00F33674">
              <w:rPr>
                <w:noProof/>
                <w:webHidden/>
              </w:rPr>
              <w:fldChar w:fldCharType="end"/>
            </w:r>
          </w:hyperlink>
        </w:p>
        <w:p w14:paraId="6A3DECB5" w14:textId="4B67CA6C" w:rsidR="00F33674" w:rsidRDefault="00233D13">
          <w:pPr>
            <w:pStyle w:val="TOC3"/>
            <w:rPr>
              <w:rFonts w:asciiTheme="minorHAnsi" w:eastAsiaTheme="minorEastAsia" w:hAnsiTheme="minorHAnsi" w:cstheme="minorBidi"/>
              <w:noProof/>
              <w:sz w:val="22"/>
              <w:szCs w:val="22"/>
              <w:lang w:eastAsia="en-AU"/>
            </w:rPr>
          </w:pPr>
          <w:hyperlink w:anchor="_Toc32300610" w:history="1">
            <w:r w:rsidR="00F33674" w:rsidRPr="00564542">
              <w:rPr>
                <w:rStyle w:val="Hyperlink"/>
                <w:rFonts w:eastAsiaTheme="majorEastAsia" w:cstheme="majorBidi"/>
                <w:b/>
                <w:noProof/>
              </w:rPr>
              <w:t>Listing 26: Restriction for long-term pain TGA indication in 2</w:t>
            </w:r>
            <w:r w:rsidR="00F33674" w:rsidRPr="00564542">
              <w:rPr>
                <w:rStyle w:val="Hyperlink"/>
                <w:rFonts w:eastAsiaTheme="majorEastAsia" w:cstheme="majorBidi"/>
                <w:b/>
                <w:noProof/>
                <w:vertAlign w:val="superscript"/>
              </w:rPr>
              <w:t>nd</w:t>
            </w:r>
            <w:r w:rsidR="00F33674" w:rsidRPr="00564542">
              <w:rPr>
                <w:rStyle w:val="Hyperlink"/>
                <w:rFonts w:eastAsiaTheme="majorEastAsia" w:cstheme="majorBidi"/>
                <w:b/>
                <w:noProof/>
              </w:rPr>
              <w:t xml:space="preserve"> line opioid setting (methadone injection and IR tablet):</w:t>
            </w:r>
            <w:r w:rsidR="00F33674">
              <w:rPr>
                <w:noProof/>
                <w:webHidden/>
              </w:rPr>
              <w:tab/>
            </w:r>
            <w:r w:rsidR="00F33674">
              <w:rPr>
                <w:noProof/>
                <w:webHidden/>
              </w:rPr>
              <w:fldChar w:fldCharType="begin"/>
            </w:r>
            <w:r w:rsidR="00F33674">
              <w:rPr>
                <w:noProof/>
                <w:webHidden/>
              </w:rPr>
              <w:instrText xml:space="preserve"> PAGEREF _Toc32300610 \h </w:instrText>
            </w:r>
            <w:r w:rsidR="00F33674">
              <w:rPr>
                <w:noProof/>
                <w:webHidden/>
              </w:rPr>
            </w:r>
            <w:r w:rsidR="00F33674">
              <w:rPr>
                <w:noProof/>
                <w:webHidden/>
              </w:rPr>
              <w:fldChar w:fldCharType="separate"/>
            </w:r>
            <w:r w:rsidR="00D15109">
              <w:rPr>
                <w:noProof/>
                <w:webHidden/>
              </w:rPr>
              <w:t>67</w:t>
            </w:r>
            <w:r w:rsidR="00F33674">
              <w:rPr>
                <w:noProof/>
                <w:webHidden/>
              </w:rPr>
              <w:fldChar w:fldCharType="end"/>
            </w:r>
          </w:hyperlink>
        </w:p>
        <w:p w14:paraId="143EFEC8" w14:textId="6D2407EB" w:rsidR="00F33674" w:rsidRPr="00F33674" w:rsidRDefault="00F33674" w:rsidP="00F33674">
          <w:pPr>
            <w:jc w:val="left"/>
            <w:rPr>
              <w:sz w:val="20"/>
              <w:szCs w:val="20"/>
            </w:rPr>
          </w:pPr>
          <w:r w:rsidRPr="00F33674">
            <w:rPr>
              <w:b/>
              <w:bCs/>
              <w:noProof/>
              <w:sz w:val="20"/>
              <w:szCs w:val="20"/>
            </w:rPr>
            <w:fldChar w:fldCharType="end"/>
          </w:r>
        </w:p>
      </w:sdtContent>
    </w:sdt>
    <w:p w14:paraId="731DECC7" w14:textId="77777777" w:rsidR="00CB71CC" w:rsidRDefault="00CB71CC">
      <w:pPr>
        <w:jc w:val="left"/>
        <w:rPr>
          <w:rFonts w:asciiTheme="minorHAnsi" w:eastAsiaTheme="majorEastAsia" w:hAnsiTheme="minorHAnsi" w:cstheme="majorBidi"/>
          <w:b/>
          <w:i/>
          <w:spacing w:val="5"/>
          <w:kern w:val="28"/>
          <w:sz w:val="28"/>
          <w:szCs w:val="36"/>
        </w:rPr>
      </w:pPr>
      <w:bookmarkStart w:id="10" w:name="_Toc32300578"/>
      <w:r>
        <w:rPr>
          <w:rFonts w:asciiTheme="minorHAnsi" w:eastAsiaTheme="majorEastAsia" w:hAnsiTheme="minorHAnsi" w:cstheme="majorBidi"/>
          <w:b/>
          <w:i/>
          <w:spacing w:val="5"/>
          <w:kern w:val="28"/>
          <w:sz w:val="28"/>
          <w:szCs w:val="36"/>
        </w:rPr>
        <w:br w:type="page"/>
      </w:r>
    </w:p>
    <w:p w14:paraId="4FC0ECBD" w14:textId="2E388A09" w:rsidR="00F33674" w:rsidRPr="00F33674" w:rsidRDefault="00F33674" w:rsidP="00F33674">
      <w:pPr>
        <w:keepNext/>
        <w:jc w:val="left"/>
        <w:outlineLvl w:val="1"/>
        <w:rPr>
          <w:rFonts w:asciiTheme="minorHAnsi" w:eastAsiaTheme="majorEastAsia" w:hAnsiTheme="minorHAnsi" w:cstheme="majorBidi"/>
          <w:b/>
          <w:i/>
          <w:spacing w:val="5"/>
          <w:kern w:val="28"/>
          <w:sz w:val="28"/>
          <w:szCs w:val="36"/>
        </w:rPr>
      </w:pPr>
      <w:r w:rsidRPr="00F33674">
        <w:rPr>
          <w:rFonts w:asciiTheme="minorHAnsi" w:eastAsiaTheme="majorEastAsia" w:hAnsiTheme="minorHAnsi" w:cstheme="majorBidi"/>
          <w:b/>
          <w:i/>
          <w:spacing w:val="5"/>
          <w:kern w:val="28"/>
          <w:sz w:val="28"/>
          <w:szCs w:val="36"/>
        </w:rPr>
        <w:lastRenderedPageBreak/>
        <w:t xml:space="preserve">TGA short-term pain indication: PBS restrictions in </w:t>
      </w:r>
      <w:proofErr w:type="gramStart"/>
      <w:r w:rsidRPr="00F33674">
        <w:rPr>
          <w:rFonts w:asciiTheme="minorHAnsi" w:eastAsiaTheme="majorEastAsia" w:hAnsiTheme="minorHAnsi" w:cstheme="majorBidi"/>
          <w:b/>
          <w:i/>
          <w:spacing w:val="5"/>
          <w:kern w:val="28"/>
          <w:sz w:val="28"/>
          <w:szCs w:val="36"/>
        </w:rPr>
        <w:t>1</w:t>
      </w:r>
      <w:r w:rsidRPr="00F33674">
        <w:rPr>
          <w:rFonts w:asciiTheme="minorHAnsi" w:eastAsiaTheme="majorEastAsia" w:hAnsiTheme="minorHAnsi" w:cstheme="majorBidi"/>
          <w:b/>
          <w:i/>
          <w:spacing w:val="5"/>
          <w:kern w:val="28"/>
          <w:sz w:val="28"/>
          <w:szCs w:val="36"/>
          <w:vertAlign w:val="superscript"/>
        </w:rPr>
        <w:t>st</w:t>
      </w:r>
      <w:proofErr w:type="gramEnd"/>
      <w:r w:rsidRPr="00F33674">
        <w:rPr>
          <w:rFonts w:asciiTheme="minorHAnsi" w:eastAsiaTheme="majorEastAsia" w:hAnsiTheme="minorHAnsi" w:cstheme="majorBidi"/>
          <w:b/>
          <w:i/>
          <w:spacing w:val="5"/>
          <w:kern w:val="28"/>
          <w:sz w:val="28"/>
          <w:szCs w:val="36"/>
        </w:rPr>
        <w:t xml:space="preserve"> line setting</w:t>
      </w:r>
      <w:bookmarkEnd w:id="10"/>
    </w:p>
    <w:p w14:paraId="3746DD56" w14:textId="77777777" w:rsidR="00F33674" w:rsidRPr="00F33674" w:rsidRDefault="00F33674" w:rsidP="00F33674">
      <w:pPr>
        <w:pStyle w:val="3-BodyText"/>
      </w:pPr>
      <w:r w:rsidRPr="00F33674">
        <w:t>Amend items:</w:t>
      </w:r>
    </w:p>
    <w:p w14:paraId="34A5FB71" w14:textId="77777777" w:rsidR="00F33674" w:rsidRPr="00F33674" w:rsidRDefault="00F33674" w:rsidP="00F33674">
      <w:pPr>
        <w:keepNext/>
        <w:keepLines/>
        <w:spacing w:before="40"/>
        <w:jc w:val="left"/>
        <w:outlineLvl w:val="2"/>
        <w:rPr>
          <w:rFonts w:asciiTheme="minorHAnsi" w:eastAsiaTheme="majorEastAsia" w:hAnsiTheme="minorHAnsi" w:cstheme="majorBidi"/>
          <w:b/>
          <w:color w:val="000000" w:themeColor="text1"/>
        </w:rPr>
      </w:pPr>
      <w:bookmarkStart w:id="11" w:name="_Toc32300579"/>
      <w:r w:rsidRPr="00F33674">
        <w:rPr>
          <w:rFonts w:asciiTheme="minorHAnsi" w:eastAsiaTheme="majorEastAsia" w:hAnsiTheme="minorHAnsi" w:cstheme="majorBidi"/>
          <w:b/>
          <w:color w:val="000000" w:themeColor="text1"/>
        </w:rPr>
        <w:t xml:space="preserve">Listing 1: Restriction for short-term pain TGA indication in </w:t>
      </w:r>
      <w:proofErr w:type="gramStart"/>
      <w:r w:rsidRPr="00F33674">
        <w:rPr>
          <w:rFonts w:asciiTheme="minorHAnsi" w:eastAsiaTheme="majorEastAsia" w:hAnsiTheme="minorHAnsi" w:cstheme="majorBidi"/>
          <w:b/>
          <w:color w:val="000000" w:themeColor="text1"/>
        </w:rPr>
        <w:t>1</w:t>
      </w:r>
      <w:r w:rsidRPr="00F33674">
        <w:rPr>
          <w:rFonts w:asciiTheme="minorHAnsi" w:eastAsiaTheme="majorEastAsia" w:hAnsiTheme="minorHAnsi" w:cstheme="majorBidi"/>
          <w:b/>
          <w:color w:val="000000" w:themeColor="text1"/>
          <w:vertAlign w:val="superscript"/>
        </w:rPr>
        <w:t>st</w:t>
      </w:r>
      <w:proofErr w:type="gramEnd"/>
      <w:r w:rsidRPr="00F33674">
        <w:rPr>
          <w:rFonts w:asciiTheme="minorHAnsi" w:eastAsiaTheme="majorEastAsia" w:hAnsiTheme="minorHAnsi" w:cstheme="majorBidi"/>
          <w:b/>
          <w:color w:val="000000" w:themeColor="text1"/>
        </w:rPr>
        <w:t xml:space="preserve"> line opioid setting (excluding oxycodone suppositories):</w:t>
      </w:r>
      <w:bookmarkEnd w:id="11"/>
    </w:p>
    <w:p w14:paraId="5EABF7AA" w14:textId="77777777" w:rsidR="00F33674" w:rsidRPr="00F33674" w:rsidRDefault="00F33674" w:rsidP="00F33674">
      <w:pPr>
        <w:ind w:left="360" w:hanging="360"/>
        <w:contextualSpacing/>
        <w:jc w:val="left"/>
      </w:pPr>
    </w:p>
    <w:tbl>
      <w:tblPr>
        <w:tblW w:w="9877" w:type="dxa"/>
        <w:tblLook w:val="04A0" w:firstRow="1" w:lastRow="0" w:firstColumn="1" w:lastColumn="0" w:noHBand="0" w:noVBand="1"/>
      </w:tblPr>
      <w:tblGrid>
        <w:gridCol w:w="1456"/>
        <w:gridCol w:w="1381"/>
        <w:gridCol w:w="2079"/>
        <w:gridCol w:w="464"/>
        <w:gridCol w:w="446"/>
        <w:gridCol w:w="2350"/>
        <w:gridCol w:w="1701"/>
      </w:tblGrid>
      <w:tr w:rsidR="00F33674" w:rsidRPr="00F33674" w14:paraId="4756C46E" w14:textId="77777777" w:rsidTr="00F33674">
        <w:trPr>
          <w:trHeight w:val="300"/>
        </w:trPr>
        <w:tc>
          <w:tcPr>
            <w:tcW w:w="1456" w:type="dxa"/>
            <w:tcBorders>
              <w:bottom w:val="single" w:sz="4" w:space="0" w:color="auto"/>
            </w:tcBorders>
            <w:shd w:val="clear" w:color="auto" w:fill="auto"/>
            <w:noWrap/>
            <w:hideMark/>
          </w:tcPr>
          <w:p w14:paraId="064917E4" w14:textId="77777777" w:rsidR="00F33674" w:rsidRPr="00F33674" w:rsidRDefault="00F33674" w:rsidP="00F33674">
            <w:pPr>
              <w:keepNext/>
              <w:ind w:left="-108"/>
              <w:rPr>
                <w:rFonts w:ascii="Arial Narrow" w:hAnsi="Arial Narrow" w:cs="Arial"/>
                <w:sz w:val="20"/>
                <w:szCs w:val="20"/>
              </w:rPr>
            </w:pPr>
            <w:r w:rsidRPr="00F33674">
              <w:rPr>
                <w:rFonts w:ascii="Arial Narrow" w:hAnsi="Arial Narrow" w:cs="Arial"/>
                <w:sz w:val="20"/>
                <w:szCs w:val="20"/>
              </w:rPr>
              <w:t>LI Drug</w:t>
            </w:r>
          </w:p>
        </w:tc>
        <w:tc>
          <w:tcPr>
            <w:tcW w:w="1381" w:type="dxa"/>
            <w:tcBorders>
              <w:bottom w:val="single" w:sz="4" w:space="0" w:color="auto"/>
            </w:tcBorders>
            <w:shd w:val="clear" w:color="auto" w:fill="auto"/>
          </w:tcPr>
          <w:p w14:paraId="3D264538" w14:textId="77777777" w:rsidR="00F33674" w:rsidRPr="00F33674" w:rsidRDefault="00F33674" w:rsidP="00F33674">
            <w:pPr>
              <w:keepNext/>
              <w:ind w:left="-108"/>
              <w:rPr>
                <w:rFonts w:ascii="Arial Narrow" w:hAnsi="Arial Narrow" w:cs="Arial"/>
                <w:sz w:val="20"/>
                <w:szCs w:val="20"/>
              </w:rPr>
            </w:pPr>
            <w:r w:rsidRPr="00F33674">
              <w:rPr>
                <w:rFonts w:ascii="Arial Narrow" w:hAnsi="Arial Narrow" w:cs="Arial"/>
                <w:sz w:val="20"/>
                <w:szCs w:val="20"/>
              </w:rPr>
              <w:t>Item Code</w:t>
            </w:r>
          </w:p>
        </w:tc>
        <w:tc>
          <w:tcPr>
            <w:tcW w:w="2079" w:type="dxa"/>
            <w:tcBorders>
              <w:bottom w:val="single" w:sz="4" w:space="0" w:color="auto"/>
            </w:tcBorders>
            <w:shd w:val="clear" w:color="auto" w:fill="auto"/>
            <w:noWrap/>
            <w:hideMark/>
          </w:tcPr>
          <w:p w14:paraId="003A4273" w14:textId="77777777" w:rsidR="00F33674" w:rsidRPr="00F33674" w:rsidRDefault="00F33674" w:rsidP="00F33674">
            <w:pPr>
              <w:keepNext/>
              <w:ind w:left="-108"/>
              <w:rPr>
                <w:rFonts w:ascii="Arial Narrow" w:hAnsi="Arial Narrow" w:cs="Arial"/>
                <w:sz w:val="20"/>
                <w:szCs w:val="20"/>
              </w:rPr>
            </w:pPr>
            <w:r w:rsidRPr="00F33674">
              <w:rPr>
                <w:rFonts w:ascii="Arial Narrow" w:hAnsi="Arial Narrow" w:cs="Arial"/>
                <w:sz w:val="20"/>
                <w:szCs w:val="20"/>
              </w:rPr>
              <w:t>Legal Instrument Form</w:t>
            </w:r>
          </w:p>
        </w:tc>
        <w:tc>
          <w:tcPr>
            <w:tcW w:w="464" w:type="dxa"/>
            <w:tcBorders>
              <w:bottom w:val="single" w:sz="4" w:space="0" w:color="auto"/>
            </w:tcBorders>
            <w:shd w:val="clear" w:color="auto" w:fill="auto"/>
            <w:noWrap/>
            <w:hideMark/>
          </w:tcPr>
          <w:p w14:paraId="5613E5BB" w14:textId="77777777" w:rsidR="00F33674" w:rsidRPr="00F33674" w:rsidRDefault="00F33674" w:rsidP="00F33674">
            <w:pPr>
              <w:keepNext/>
              <w:ind w:left="-108"/>
              <w:jc w:val="left"/>
              <w:rPr>
                <w:rFonts w:ascii="Arial Narrow" w:hAnsi="Arial Narrow" w:cs="Arial"/>
                <w:sz w:val="20"/>
                <w:szCs w:val="20"/>
              </w:rPr>
            </w:pPr>
            <w:r w:rsidRPr="00F33674">
              <w:rPr>
                <w:rFonts w:ascii="Arial Narrow" w:hAnsi="Arial Narrow" w:cs="Arial"/>
                <w:sz w:val="20"/>
                <w:szCs w:val="20"/>
              </w:rPr>
              <w:t>Max. Qty</w:t>
            </w:r>
          </w:p>
        </w:tc>
        <w:tc>
          <w:tcPr>
            <w:tcW w:w="446" w:type="dxa"/>
            <w:tcBorders>
              <w:bottom w:val="single" w:sz="4" w:space="0" w:color="auto"/>
            </w:tcBorders>
            <w:shd w:val="clear" w:color="auto" w:fill="auto"/>
            <w:noWrap/>
            <w:hideMark/>
          </w:tcPr>
          <w:p w14:paraId="54611A5D" w14:textId="77777777" w:rsidR="00F33674" w:rsidRPr="00F33674" w:rsidRDefault="00F33674" w:rsidP="00F33674">
            <w:pPr>
              <w:keepNext/>
              <w:ind w:left="-108"/>
              <w:jc w:val="left"/>
              <w:rPr>
                <w:rFonts w:ascii="Arial Narrow" w:hAnsi="Arial Narrow" w:cs="Arial"/>
                <w:sz w:val="20"/>
                <w:szCs w:val="20"/>
              </w:rPr>
            </w:pPr>
            <w:r w:rsidRPr="00F33674">
              <w:rPr>
                <w:rFonts w:ascii="Arial Narrow" w:hAnsi="Arial Narrow" w:cs="Arial"/>
                <w:sz w:val="20"/>
                <w:szCs w:val="20"/>
              </w:rPr>
              <w:t>No. Rpt</w:t>
            </w:r>
          </w:p>
        </w:tc>
        <w:tc>
          <w:tcPr>
            <w:tcW w:w="2350" w:type="dxa"/>
            <w:tcBorders>
              <w:bottom w:val="single" w:sz="4" w:space="0" w:color="auto"/>
            </w:tcBorders>
            <w:shd w:val="clear" w:color="auto" w:fill="auto"/>
            <w:noWrap/>
            <w:hideMark/>
          </w:tcPr>
          <w:p w14:paraId="2C3D4B70" w14:textId="77777777" w:rsidR="00F33674" w:rsidRPr="00F33674" w:rsidRDefault="00F33674" w:rsidP="00F33674">
            <w:pPr>
              <w:keepNext/>
              <w:ind w:left="-108"/>
              <w:rPr>
                <w:rFonts w:ascii="Arial Narrow" w:hAnsi="Arial Narrow" w:cs="Arial"/>
                <w:sz w:val="20"/>
                <w:szCs w:val="20"/>
              </w:rPr>
            </w:pPr>
            <w:r w:rsidRPr="00F33674">
              <w:rPr>
                <w:rFonts w:ascii="Arial Narrow" w:hAnsi="Arial Narrow" w:cs="Arial"/>
                <w:sz w:val="20"/>
                <w:szCs w:val="20"/>
              </w:rPr>
              <w:t>Brand Name</w:t>
            </w:r>
          </w:p>
        </w:tc>
        <w:tc>
          <w:tcPr>
            <w:tcW w:w="1701" w:type="dxa"/>
            <w:tcBorders>
              <w:bottom w:val="single" w:sz="4" w:space="0" w:color="auto"/>
            </w:tcBorders>
            <w:shd w:val="clear" w:color="auto" w:fill="auto"/>
            <w:noWrap/>
            <w:hideMark/>
          </w:tcPr>
          <w:p w14:paraId="4683BF82" w14:textId="77777777" w:rsidR="00F33674" w:rsidRPr="00F33674" w:rsidRDefault="00F33674" w:rsidP="00F33674">
            <w:pPr>
              <w:keepNext/>
              <w:ind w:left="-108"/>
              <w:rPr>
                <w:rFonts w:ascii="Arial Narrow" w:hAnsi="Arial Narrow" w:cs="Arial"/>
                <w:sz w:val="20"/>
                <w:szCs w:val="20"/>
              </w:rPr>
            </w:pPr>
            <w:r w:rsidRPr="00F33674">
              <w:rPr>
                <w:rFonts w:ascii="Arial Narrow" w:hAnsi="Arial Narrow" w:cs="Arial"/>
                <w:sz w:val="20"/>
                <w:szCs w:val="20"/>
              </w:rPr>
              <w:t>Responsible Person</w:t>
            </w:r>
          </w:p>
        </w:tc>
      </w:tr>
      <w:tr w:rsidR="00F33674" w:rsidRPr="00F33674" w14:paraId="37ABFBC2" w14:textId="77777777" w:rsidTr="00F33674">
        <w:trPr>
          <w:trHeight w:val="300"/>
        </w:trPr>
        <w:tc>
          <w:tcPr>
            <w:tcW w:w="1456" w:type="dxa"/>
            <w:tcBorders>
              <w:top w:val="single" w:sz="4" w:space="0" w:color="auto"/>
            </w:tcBorders>
            <w:shd w:val="clear" w:color="auto" w:fill="auto"/>
            <w:noWrap/>
            <w:hideMark/>
          </w:tcPr>
          <w:p w14:paraId="66BA8082"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CODEINE</w:t>
            </w:r>
          </w:p>
        </w:tc>
        <w:tc>
          <w:tcPr>
            <w:tcW w:w="1381" w:type="dxa"/>
            <w:tcBorders>
              <w:top w:val="single" w:sz="4" w:space="0" w:color="auto"/>
            </w:tcBorders>
          </w:tcPr>
          <w:p w14:paraId="1BE0DF2F"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1214X</w:t>
            </w:r>
          </w:p>
        </w:tc>
        <w:tc>
          <w:tcPr>
            <w:tcW w:w="2079" w:type="dxa"/>
            <w:tcBorders>
              <w:top w:val="single" w:sz="4" w:space="0" w:color="auto"/>
            </w:tcBorders>
            <w:shd w:val="clear" w:color="auto" w:fill="auto"/>
            <w:noWrap/>
            <w:hideMark/>
          </w:tcPr>
          <w:p w14:paraId="1CDECD64"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Tablet containing codeine phosphate hemihydrate 30 mg</w:t>
            </w:r>
          </w:p>
        </w:tc>
        <w:tc>
          <w:tcPr>
            <w:tcW w:w="464" w:type="dxa"/>
            <w:tcBorders>
              <w:top w:val="single" w:sz="4" w:space="0" w:color="auto"/>
            </w:tcBorders>
            <w:shd w:val="clear" w:color="auto" w:fill="auto"/>
            <w:noWrap/>
            <w:hideMark/>
          </w:tcPr>
          <w:p w14:paraId="2A7A3B76"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20</w:t>
            </w:r>
          </w:p>
        </w:tc>
        <w:tc>
          <w:tcPr>
            <w:tcW w:w="446" w:type="dxa"/>
            <w:tcBorders>
              <w:top w:val="single" w:sz="4" w:space="0" w:color="auto"/>
            </w:tcBorders>
            <w:shd w:val="clear" w:color="auto" w:fill="auto"/>
            <w:noWrap/>
            <w:hideMark/>
          </w:tcPr>
          <w:p w14:paraId="2E47F84F"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0</w:t>
            </w:r>
          </w:p>
        </w:tc>
        <w:tc>
          <w:tcPr>
            <w:tcW w:w="2350" w:type="dxa"/>
            <w:tcBorders>
              <w:top w:val="single" w:sz="4" w:space="0" w:color="auto"/>
            </w:tcBorders>
            <w:shd w:val="clear" w:color="auto" w:fill="auto"/>
            <w:noWrap/>
            <w:hideMark/>
          </w:tcPr>
          <w:p w14:paraId="1A0DAB65"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Aspen Pharma Pty Ltd</w:t>
            </w:r>
          </w:p>
        </w:tc>
        <w:tc>
          <w:tcPr>
            <w:tcW w:w="1701" w:type="dxa"/>
            <w:tcBorders>
              <w:top w:val="single" w:sz="4" w:space="0" w:color="auto"/>
            </w:tcBorders>
            <w:shd w:val="clear" w:color="auto" w:fill="auto"/>
            <w:noWrap/>
            <w:hideMark/>
          </w:tcPr>
          <w:p w14:paraId="1974FA1D"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Aspen Pharma Pty Ltd</w:t>
            </w:r>
          </w:p>
        </w:tc>
      </w:tr>
      <w:tr w:rsidR="00F33674" w:rsidRPr="00F33674" w14:paraId="488F4A0C" w14:textId="77777777" w:rsidTr="00F33674">
        <w:trPr>
          <w:trHeight w:val="300"/>
        </w:trPr>
        <w:tc>
          <w:tcPr>
            <w:tcW w:w="1456" w:type="dxa"/>
            <w:shd w:val="clear" w:color="auto" w:fill="auto"/>
            <w:noWrap/>
          </w:tcPr>
          <w:p w14:paraId="5BE6176B"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CODEINE WITH PARACETAMOL</w:t>
            </w:r>
          </w:p>
        </w:tc>
        <w:tc>
          <w:tcPr>
            <w:tcW w:w="1381" w:type="dxa"/>
          </w:tcPr>
          <w:p w14:paraId="251D4AD3"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1215Y</w:t>
            </w:r>
          </w:p>
        </w:tc>
        <w:tc>
          <w:tcPr>
            <w:tcW w:w="2079" w:type="dxa"/>
            <w:vMerge w:val="restart"/>
            <w:shd w:val="clear" w:color="auto" w:fill="auto"/>
            <w:noWrap/>
          </w:tcPr>
          <w:p w14:paraId="6FCC4A28"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Tablet containing codeine phosphate hemihydrate 30 mg with paracetamol 500 mg</w:t>
            </w:r>
          </w:p>
        </w:tc>
        <w:tc>
          <w:tcPr>
            <w:tcW w:w="464" w:type="dxa"/>
            <w:shd w:val="clear" w:color="auto" w:fill="auto"/>
            <w:noWrap/>
          </w:tcPr>
          <w:p w14:paraId="0B45C1A4"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20</w:t>
            </w:r>
          </w:p>
        </w:tc>
        <w:tc>
          <w:tcPr>
            <w:tcW w:w="446" w:type="dxa"/>
            <w:shd w:val="clear" w:color="auto" w:fill="auto"/>
            <w:noWrap/>
          </w:tcPr>
          <w:p w14:paraId="0E2273A4"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0</w:t>
            </w:r>
          </w:p>
        </w:tc>
        <w:tc>
          <w:tcPr>
            <w:tcW w:w="2350" w:type="dxa"/>
            <w:shd w:val="clear" w:color="auto" w:fill="auto"/>
            <w:noWrap/>
          </w:tcPr>
          <w:p w14:paraId="5ABB23DB"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APO- Paracetamol/Codeine 500/30</w:t>
            </w:r>
          </w:p>
        </w:tc>
        <w:tc>
          <w:tcPr>
            <w:tcW w:w="1701" w:type="dxa"/>
            <w:shd w:val="clear" w:color="auto" w:fill="auto"/>
            <w:noWrap/>
          </w:tcPr>
          <w:p w14:paraId="585B7B1F"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Apotex Pty Ltd</w:t>
            </w:r>
          </w:p>
        </w:tc>
      </w:tr>
      <w:tr w:rsidR="00F33674" w:rsidRPr="00F33674" w14:paraId="0B61855F" w14:textId="77777777" w:rsidTr="00F33674">
        <w:trPr>
          <w:trHeight w:val="300"/>
        </w:trPr>
        <w:tc>
          <w:tcPr>
            <w:tcW w:w="1456" w:type="dxa"/>
            <w:shd w:val="clear" w:color="auto" w:fill="auto"/>
            <w:noWrap/>
          </w:tcPr>
          <w:p w14:paraId="3C189CE1" w14:textId="77777777" w:rsidR="00F33674" w:rsidRPr="00F33674" w:rsidRDefault="00F33674" w:rsidP="00F33674">
            <w:pPr>
              <w:jc w:val="left"/>
              <w:rPr>
                <w:rFonts w:ascii="Arial Narrow" w:hAnsi="Arial Narrow" w:cs="Calibri"/>
                <w:color w:val="000000"/>
                <w:sz w:val="20"/>
                <w:szCs w:val="20"/>
                <w:lang w:eastAsia="en-AU"/>
              </w:rPr>
            </w:pPr>
          </w:p>
        </w:tc>
        <w:tc>
          <w:tcPr>
            <w:tcW w:w="1381" w:type="dxa"/>
          </w:tcPr>
          <w:p w14:paraId="17473A82" w14:textId="77777777" w:rsidR="00F33674" w:rsidRPr="00F33674" w:rsidRDefault="00F33674" w:rsidP="00F33674">
            <w:pPr>
              <w:jc w:val="left"/>
              <w:rPr>
                <w:rFonts w:ascii="Arial Narrow" w:hAnsi="Arial Narrow" w:cs="Calibri"/>
                <w:color w:val="000000"/>
                <w:sz w:val="20"/>
                <w:szCs w:val="20"/>
                <w:lang w:eastAsia="en-AU"/>
              </w:rPr>
            </w:pPr>
          </w:p>
        </w:tc>
        <w:tc>
          <w:tcPr>
            <w:tcW w:w="2079" w:type="dxa"/>
            <w:vMerge/>
            <w:shd w:val="clear" w:color="auto" w:fill="auto"/>
            <w:noWrap/>
          </w:tcPr>
          <w:p w14:paraId="229C4DBE" w14:textId="77777777" w:rsidR="00F33674" w:rsidRPr="00F33674" w:rsidRDefault="00F33674" w:rsidP="00F33674">
            <w:pPr>
              <w:jc w:val="left"/>
              <w:rPr>
                <w:rFonts w:ascii="Arial Narrow" w:hAnsi="Arial Narrow" w:cs="Calibri"/>
                <w:color w:val="000000"/>
                <w:sz w:val="20"/>
                <w:szCs w:val="20"/>
                <w:lang w:eastAsia="en-AU"/>
              </w:rPr>
            </w:pPr>
          </w:p>
        </w:tc>
        <w:tc>
          <w:tcPr>
            <w:tcW w:w="464" w:type="dxa"/>
            <w:shd w:val="clear" w:color="auto" w:fill="auto"/>
            <w:noWrap/>
          </w:tcPr>
          <w:p w14:paraId="615F348F" w14:textId="77777777" w:rsidR="00F33674" w:rsidRPr="00F33674" w:rsidRDefault="00F33674" w:rsidP="00F33674">
            <w:pPr>
              <w:jc w:val="left"/>
              <w:rPr>
                <w:rFonts w:ascii="Arial Narrow" w:hAnsi="Arial Narrow" w:cs="Calibri"/>
                <w:color w:val="000000"/>
                <w:sz w:val="20"/>
                <w:szCs w:val="20"/>
                <w:lang w:eastAsia="en-AU"/>
              </w:rPr>
            </w:pPr>
          </w:p>
        </w:tc>
        <w:tc>
          <w:tcPr>
            <w:tcW w:w="446" w:type="dxa"/>
            <w:shd w:val="clear" w:color="auto" w:fill="auto"/>
            <w:noWrap/>
          </w:tcPr>
          <w:p w14:paraId="1C70372E" w14:textId="77777777" w:rsidR="00F33674" w:rsidRPr="00F33674" w:rsidRDefault="00F33674" w:rsidP="00F33674">
            <w:pPr>
              <w:jc w:val="left"/>
              <w:rPr>
                <w:rFonts w:ascii="Arial Narrow" w:hAnsi="Arial Narrow" w:cs="Calibri"/>
                <w:color w:val="000000"/>
                <w:sz w:val="20"/>
                <w:szCs w:val="20"/>
                <w:lang w:eastAsia="en-AU"/>
              </w:rPr>
            </w:pPr>
          </w:p>
        </w:tc>
        <w:tc>
          <w:tcPr>
            <w:tcW w:w="2350" w:type="dxa"/>
            <w:shd w:val="clear" w:color="auto" w:fill="auto"/>
            <w:noWrap/>
          </w:tcPr>
          <w:p w14:paraId="1801A266"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Codalgin Forte</w:t>
            </w:r>
          </w:p>
        </w:tc>
        <w:tc>
          <w:tcPr>
            <w:tcW w:w="1701" w:type="dxa"/>
            <w:shd w:val="clear" w:color="auto" w:fill="auto"/>
            <w:noWrap/>
          </w:tcPr>
          <w:p w14:paraId="11BFEFDC"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Alphapharm Pty Ltd</w:t>
            </w:r>
          </w:p>
        </w:tc>
      </w:tr>
      <w:tr w:rsidR="00F33674" w:rsidRPr="00F33674" w14:paraId="7E36CDC4" w14:textId="77777777" w:rsidTr="00F33674">
        <w:trPr>
          <w:trHeight w:val="300"/>
        </w:trPr>
        <w:tc>
          <w:tcPr>
            <w:tcW w:w="1456" w:type="dxa"/>
            <w:shd w:val="clear" w:color="auto" w:fill="auto"/>
            <w:noWrap/>
          </w:tcPr>
          <w:p w14:paraId="374634B3" w14:textId="77777777" w:rsidR="00F33674" w:rsidRPr="00F33674" w:rsidRDefault="00F33674" w:rsidP="00F33674">
            <w:pPr>
              <w:jc w:val="left"/>
              <w:rPr>
                <w:rFonts w:ascii="Arial Narrow" w:hAnsi="Arial Narrow" w:cs="Calibri"/>
                <w:color w:val="000000"/>
                <w:sz w:val="20"/>
                <w:szCs w:val="20"/>
                <w:lang w:eastAsia="en-AU"/>
              </w:rPr>
            </w:pPr>
          </w:p>
        </w:tc>
        <w:tc>
          <w:tcPr>
            <w:tcW w:w="1381" w:type="dxa"/>
          </w:tcPr>
          <w:p w14:paraId="1B6090CB" w14:textId="77777777" w:rsidR="00F33674" w:rsidRPr="00F33674" w:rsidRDefault="00F33674" w:rsidP="00F33674">
            <w:pPr>
              <w:jc w:val="left"/>
              <w:rPr>
                <w:rFonts w:ascii="Arial Narrow" w:hAnsi="Arial Narrow" w:cs="Calibri"/>
                <w:color w:val="000000"/>
                <w:sz w:val="20"/>
                <w:szCs w:val="20"/>
                <w:lang w:eastAsia="en-AU"/>
              </w:rPr>
            </w:pPr>
          </w:p>
        </w:tc>
        <w:tc>
          <w:tcPr>
            <w:tcW w:w="2079" w:type="dxa"/>
            <w:vMerge/>
            <w:shd w:val="clear" w:color="auto" w:fill="auto"/>
            <w:noWrap/>
          </w:tcPr>
          <w:p w14:paraId="629F8673" w14:textId="77777777" w:rsidR="00F33674" w:rsidRPr="00F33674" w:rsidRDefault="00F33674" w:rsidP="00F33674">
            <w:pPr>
              <w:jc w:val="left"/>
              <w:rPr>
                <w:rFonts w:ascii="Arial Narrow" w:hAnsi="Arial Narrow" w:cs="Calibri"/>
                <w:color w:val="000000"/>
                <w:sz w:val="20"/>
                <w:szCs w:val="20"/>
                <w:lang w:eastAsia="en-AU"/>
              </w:rPr>
            </w:pPr>
          </w:p>
        </w:tc>
        <w:tc>
          <w:tcPr>
            <w:tcW w:w="464" w:type="dxa"/>
            <w:shd w:val="clear" w:color="auto" w:fill="auto"/>
            <w:noWrap/>
          </w:tcPr>
          <w:p w14:paraId="1CF5C74A" w14:textId="77777777" w:rsidR="00F33674" w:rsidRPr="00F33674" w:rsidRDefault="00F33674" w:rsidP="00F33674">
            <w:pPr>
              <w:jc w:val="left"/>
              <w:rPr>
                <w:rFonts w:ascii="Arial Narrow" w:hAnsi="Arial Narrow" w:cs="Calibri"/>
                <w:color w:val="000000"/>
                <w:sz w:val="20"/>
                <w:szCs w:val="20"/>
                <w:lang w:eastAsia="en-AU"/>
              </w:rPr>
            </w:pPr>
          </w:p>
        </w:tc>
        <w:tc>
          <w:tcPr>
            <w:tcW w:w="446" w:type="dxa"/>
            <w:shd w:val="clear" w:color="auto" w:fill="auto"/>
            <w:noWrap/>
          </w:tcPr>
          <w:p w14:paraId="1BEB2FBC" w14:textId="77777777" w:rsidR="00F33674" w:rsidRPr="00F33674" w:rsidRDefault="00F33674" w:rsidP="00F33674">
            <w:pPr>
              <w:jc w:val="left"/>
              <w:rPr>
                <w:rFonts w:ascii="Arial Narrow" w:hAnsi="Arial Narrow" w:cs="Calibri"/>
                <w:color w:val="000000"/>
                <w:sz w:val="20"/>
                <w:szCs w:val="20"/>
                <w:lang w:eastAsia="en-AU"/>
              </w:rPr>
            </w:pPr>
          </w:p>
        </w:tc>
        <w:tc>
          <w:tcPr>
            <w:tcW w:w="2350" w:type="dxa"/>
            <w:shd w:val="clear" w:color="auto" w:fill="auto"/>
            <w:noWrap/>
          </w:tcPr>
          <w:p w14:paraId="28930E93"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Codapane Forte 500/30</w:t>
            </w:r>
          </w:p>
        </w:tc>
        <w:tc>
          <w:tcPr>
            <w:tcW w:w="1701" w:type="dxa"/>
            <w:shd w:val="clear" w:color="auto" w:fill="auto"/>
            <w:noWrap/>
          </w:tcPr>
          <w:p w14:paraId="2CA2D7A0"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Alphapharm Pty Ltd</w:t>
            </w:r>
          </w:p>
        </w:tc>
      </w:tr>
      <w:tr w:rsidR="00F33674" w:rsidRPr="00F33674" w14:paraId="776C6D59" w14:textId="77777777" w:rsidTr="00F33674">
        <w:trPr>
          <w:trHeight w:val="300"/>
        </w:trPr>
        <w:tc>
          <w:tcPr>
            <w:tcW w:w="1456" w:type="dxa"/>
            <w:shd w:val="clear" w:color="auto" w:fill="auto"/>
            <w:noWrap/>
          </w:tcPr>
          <w:p w14:paraId="1780E4B2" w14:textId="77777777" w:rsidR="00F33674" w:rsidRPr="00F33674" w:rsidRDefault="00F33674" w:rsidP="00F33674">
            <w:pPr>
              <w:jc w:val="left"/>
              <w:rPr>
                <w:rFonts w:ascii="Arial Narrow" w:hAnsi="Arial Narrow" w:cs="Calibri"/>
                <w:color w:val="000000"/>
                <w:sz w:val="20"/>
                <w:szCs w:val="20"/>
                <w:lang w:eastAsia="en-AU"/>
              </w:rPr>
            </w:pPr>
          </w:p>
        </w:tc>
        <w:tc>
          <w:tcPr>
            <w:tcW w:w="1381" w:type="dxa"/>
          </w:tcPr>
          <w:p w14:paraId="46D24A52" w14:textId="77777777" w:rsidR="00F33674" w:rsidRPr="00F33674" w:rsidRDefault="00F33674" w:rsidP="00F33674">
            <w:pPr>
              <w:jc w:val="left"/>
              <w:rPr>
                <w:rFonts w:ascii="Arial Narrow" w:hAnsi="Arial Narrow" w:cs="Calibri"/>
                <w:color w:val="000000"/>
                <w:sz w:val="20"/>
                <w:szCs w:val="20"/>
                <w:lang w:eastAsia="en-AU"/>
              </w:rPr>
            </w:pPr>
          </w:p>
        </w:tc>
        <w:tc>
          <w:tcPr>
            <w:tcW w:w="2079" w:type="dxa"/>
            <w:vMerge/>
            <w:shd w:val="clear" w:color="auto" w:fill="auto"/>
            <w:noWrap/>
          </w:tcPr>
          <w:p w14:paraId="0C79F479" w14:textId="77777777" w:rsidR="00F33674" w:rsidRPr="00F33674" w:rsidRDefault="00F33674" w:rsidP="00F33674">
            <w:pPr>
              <w:jc w:val="left"/>
              <w:rPr>
                <w:rFonts w:ascii="Arial Narrow" w:hAnsi="Arial Narrow" w:cs="Calibri"/>
                <w:color w:val="000000"/>
                <w:sz w:val="20"/>
                <w:szCs w:val="20"/>
                <w:lang w:eastAsia="en-AU"/>
              </w:rPr>
            </w:pPr>
          </w:p>
        </w:tc>
        <w:tc>
          <w:tcPr>
            <w:tcW w:w="464" w:type="dxa"/>
            <w:shd w:val="clear" w:color="auto" w:fill="auto"/>
            <w:noWrap/>
          </w:tcPr>
          <w:p w14:paraId="3DA480C7" w14:textId="77777777" w:rsidR="00F33674" w:rsidRPr="00F33674" w:rsidRDefault="00F33674" w:rsidP="00F33674">
            <w:pPr>
              <w:jc w:val="left"/>
              <w:rPr>
                <w:rFonts w:ascii="Arial Narrow" w:hAnsi="Arial Narrow" w:cs="Calibri"/>
                <w:color w:val="000000"/>
                <w:sz w:val="20"/>
                <w:szCs w:val="20"/>
                <w:lang w:eastAsia="en-AU"/>
              </w:rPr>
            </w:pPr>
          </w:p>
        </w:tc>
        <w:tc>
          <w:tcPr>
            <w:tcW w:w="446" w:type="dxa"/>
            <w:shd w:val="clear" w:color="auto" w:fill="auto"/>
            <w:noWrap/>
          </w:tcPr>
          <w:p w14:paraId="6AED1C52" w14:textId="77777777" w:rsidR="00F33674" w:rsidRPr="00F33674" w:rsidRDefault="00F33674" w:rsidP="00F33674">
            <w:pPr>
              <w:jc w:val="left"/>
              <w:rPr>
                <w:rFonts w:ascii="Arial Narrow" w:hAnsi="Arial Narrow" w:cs="Calibri"/>
                <w:color w:val="000000"/>
                <w:sz w:val="20"/>
                <w:szCs w:val="20"/>
                <w:lang w:eastAsia="en-AU"/>
              </w:rPr>
            </w:pPr>
          </w:p>
        </w:tc>
        <w:tc>
          <w:tcPr>
            <w:tcW w:w="2350" w:type="dxa"/>
            <w:shd w:val="clear" w:color="auto" w:fill="auto"/>
            <w:noWrap/>
          </w:tcPr>
          <w:p w14:paraId="25646150"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Comfarol Forte</w:t>
            </w:r>
          </w:p>
        </w:tc>
        <w:tc>
          <w:tcPr>
            <w:tcW w:w="1701" w:type="dxa"/>
            <w:shd w:val="clear" w:color="auto" w:fill="auto"/>
            <w:noWrap/>
          </w:tcPr>
          <w:p w14:paraId="16F606B8"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Sandoz Pty Ltd</w:t>
            </w:r>
          </w:p>
        </w:tc>
      </w:tr>
      <w:tr w:rsidR="00F33674" w:rsidRPr="00F33674" w14:paraId="0E88B128" w14:textId="77777777" w:rsidTr="00F33674">
        <w:trPr>
          <w:trHeight w:val="300"/>
        </w:trPr>
        <w:tc>
          <w:tcPr>
            <w:tcW w:w="1456" w:type="dxa"/>
            <w:shd w:val="clear" w:color="auto" w:fill="auto"/>
            <w:noWrap/>
          </w:tcPr>
          <w:p w14:paraId="15ABEB7E" w14:textId="77777777" w:rsidR="00F33674" w:rsidRPr="00F33674" w:rsidRDefault="00F33674" w:rsidP="00F33674">
            <w:pPr>
              <w:jc w:val="left"/>
              <w:rPr>
                <w:rFonts w:ascii="Arial Narrow" w:hAnsi="Arial Narrow" w:cs="Calibri"/>
                <w:color w:val="000000"/>
                <w:sz w:val="20"/>
                <w:szCs w:val="20"/>
                <w:lang w:eastAsia="en-AU"/>
              </w:rPr>
            </w:pPr>
          </w:p>
        </w:tc>
        <w:tc>
          <w:tcPr>
            <w:tcW w:w="1381" w:type="dxa"/>
          </w:tcPr>
          <w:p w14:paraId="7F75F37F" w14:textId="77777777" w:rsidR="00F33674" w:rsidRPr="00F33674" w:rsidRDefault="00F33674" w:rsidP="00F33674">
            <w:pPr>
              <w:jc w:val="left"/>
              <w:rPr>
                <w:rFonts w:ascii="Arial Narrow" w:hAnsi="Arial Narrow" w:cs="Calibri"/>
                <w:color w:val="000000"/>
                <w:sz w:val="20"/>
                <w:szCs w:val="20"/>
                <w:lang w:eastAsia="en-AU"/>
              </w:rPr>
            </w:pPr>
          </w:p>
        </w:tc>
        <w:tc>
          <w:tcPr>
            <w:tcW w:w="2079" w:type="dxa"/>
            <w:vMerge/>
            <w:shd w:val="clear" w:color="auto" w:fill="auto"/>
            <w:noWrap/>
          </w:tcPr>
          <w:p w14:paraId="6B0B4E36" w14:textId="77777777" w:rsidR="00F33674" w:rsidRPr="00F33674" w:rsidRDefault="00F33674" w:rsidP="00F33674">
            <w:pPr>
              <w:jc w:val="left"/>
              <w:rPr>
                <w:rFonts w:ascii="Arial Narrow" w:hAnsi="Arial Narrow" w:cs="Calibri"/>
                <w:color w:val="000000"/>
                <w:sz w:val="20"/>
                <w:szCs w:val="20"/>
                <w:lang w:eastAsia="en-AU"/>
              </w:rPr>
            </w:pPr>
          </w:p>
        </w:tc>
        <w:tc>
          <w:tcPr>
            <w:tcW w:w="464" w:type="dxa"/>
            <w:shd w:val="clear" w:color="auto" w:fill="auto"/>
            <w:noWrap/>
          </w:tcPr>
          <w:p w14:paraId="2BC47038" w14:textId="77777777" w:rsidR="00F33674" w:rsidRPr="00F33674" w:rsidRDefault="00F33674" w:rsidP="00F33674">
            <w:pPr>
              <w:jc w:val="left"/>
              <w:rPr>
                <w:rFonts w:ascii="Arial Narrow" w:hAnsi="Arial Narrow" w:cs="Calibri"/>
                <w:color w:val="000000"/>
                <w:sz w:val="20"/>
                <w:szCs w:val="20"/>
                <w:lang w:eastAsia="en-AU"/>
              </w:rPr>
            </w:pPr>
          </w:p>
        </w:tc>
        <w:tc>
          <w:tcPr>
            <w:tcW w:w="446" w:type="dxa"/>
            <w:shd w:val="clear" w:color="auto" w:fill="auto"/>
            <w:noWrap/>
          </w:tcPr>
          <w:p w14:paraId="2A11DEE6" w14:textId="77777777" w:rsidR="00F33674" w:rsidRPr="00F33674" w:rsidRDefault="00F33674" w:rsidP="00F33674">
            <w:pPr>
              <w:jc w:val="left"/>
              <w:rPr>
                <w:rFonts w:ascii="Arial Narrow" w:hAnsi="Arial Narrow" w:cs="Calibri"/>
                <w:color w:val="000000"/>
                <w:sz w:val="20"/>
                <w:szCs w:val="20"/>
                <w:lang w:eastAsia="en-AU"/>
              </w:rPr>
            </w:pPr>
          </w:p>
        </w:tc>
        <w:tc>
          <w:tcPr>
            <w:tcW w:w="2350" w:type="dxa"/>
            <w:shd w:val="clear" w:color="auto" w:fill="auto"/>
            <w:noWrap/>
          </w:tcPr>
          <w:p w14:paraId="0AA0ED22"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Panadeine Forte</w:t>
            </w:r>
          </w:p>
        </w:tc>
        <w:tc>
          <w:tcPr>
            <w:tcW w:w="1701" w:type="dxa"/>
            <w:shd w:val="clear" w:color="auto" w:fill="auto"/>
            <w:noWrap/>
          </w:tcPr>
          <w:p w14:paraId="5AB5E114"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sanofi-aventis Australia Pty Ltd</w:t>
            </w:r>
          </w:p>
        </w:tc>
      </w:tr>
      <w:tr w:rsidR="00F33674" w:rsidRPr="00F33674" w14:paraId="1FFB006C" w14:textId="77777777" w:rsidTr="00F33674">
        <w:trPr>
          <w:trHeight w:val="300"/>
        </w:trPr>
        <w:tc>
          <w:tcPr>
            <w:tcW w:w="1456" w:type="dxa"/>
            <w:shd w:val="clear" w:color="auto" w:fill="auto"/>
            <w:noWrap/>
          </w:tcPr>
          <w:p w14:paraId="2D010CCC" w14:textId="77777777" w:rsidR="00F33674" w:rsidRPr="00F33674" w:rsidRDefault="00F33674" w:rsidP="00F33674">
            <w:pPr>
              <w:jc w:val="left"/>
              <w:rPr>
                <w:rFonts w:ascii="Arial Narrow" w:hAnsi="Arial Narrow" w:cs="Calibri"/>
                <w:color w:val="000000"/>
                <w:sz w:val="20"/>
                <w:szCs w:val="20"/>
                <w:lang w:eastAsia="en-AU"/>
              </w:rPr>
            </w:pPr>
          </w:p>
        </w:tc>
        <w:tc>
          <w:tcPr>
            <w:tcW w:w="1381" w:type="dxa"/>
          </w:tcPr>
          <w:p w14:paraId="1C54A99B" w14:textId="77777777" w:rsidR="00F33674" w:rsidRPr="00F33674" w:rsidRDefault="00F33674" w:rsidP="00F33674">
            <w:pPr>
              <w:jc w:val="left"/>
              <w:rPr>
                <w:rFonts w:ascii="Arial Narrow" w:hAnsi="Arial Narrow" w:cs="Calibri"/>
                <w:color w:val="000000"/>
                <w:sz w:val="20"/>
                <w:szCs w:val="20"/>
                <w:lang w:eastAsia="en-AU"/>
              </w:rPr>
            </w:pPr>
          </w:p>
        </w:tc>
        <w:tc>
          <w:tcPr>
            <w:tcW w:w="2079" w:type="dxa"/>
            <w:vMerge/>
            <w:shd w:val="clear" w:color="auto" w:fill="auto"/>
            <w:noWrap/>
          </w:tcPr>
          <w:p w14:paraId="76FB5B53" w14:textId="77777777" w:rsidR="00F33674" w:rsidRPr="00F33674" w:rsidRDefault="00F33674" w:rsidP="00F33674">
            <w:pPr>
              <w:jc w:val="left"/>
              <w:rPr>
                <w:rFonts w:ascii="Arial Narrow" w:hAnsi="Arial Narrow" w:cs="Calibri"/>
                <w:color w:val="000000"/>
                <w:sz w:val="20"/>
                <w:szCs w:val="20"/>
                <w:lang w:eastAsia="en-AU"/>
              </w:rPr>
            </w:pPr>
          </w:p>
        </w:tc>
        <w:tc>
          <w:tcPr>
            <w:tcW w:w="464" w:type="dxa"/>
            <w:shd w:val="clear" w:color="auto" w:fill="auto"/>
            <w:noWrap/>
          </w:tcPr>
          <w:p w14:paraId="23EB6BF3" w14:textId="77777777" w:rsidR="00F33674" w:rsidRPr="00F33674" w:rsidRDefault="00F33674" w:rsidP="00F33674">
            <w:pPr>
              <w:jc w:val="left"/>
              <w:rPr>
                <w:rFonts w:ascii="Arial Narrow" w:hAnsi="Arial Narrow" w:cs="Calibri"/>
                <w:color w:val="000000"/>
                <w:sz w:val="20"/>
                <w:szCs w:val="20"/>
                <w:lang w:eastAsia="en-AU"/>
              </w:rPr>
            </w:pPr>
          </w:p>
        </w:tc>
        <w:tc>
          <w:tcPr>
            <w:tcW w:w="446" w:type="dxa"/>
            <w:shd w:val="clear" w:color="auto" w:fill="auto"/>
            <w:noWrap/>
          </w:tcPr>
          <w:p w14:paraId="1999193A" w14:textId="77777777" w:rsidR="00F33674" w:rsidRPr="00F33674" w:rsidRDefault="00F33674" w:rsidP="00F33674">
            <w:pPr>
              <w:jc w:val="left"/>
              <w:rPr>
                <w:rFonts w:ascii="Arial Narrow" w:hAnsi="Arial Narrow" w:cs="Calibri"/>
                <w:color w:val="000000"/>
                <w:sz w:val="20"/>
                <w:szCs w:val="20"/>
                <w:lang w:eastAsia="en-AU"/>
              </w:rPr>
            </w:pPr>
          </w:p>
        </w:tc>
        <w:tc>
          <w:tcPr>
            <w:tcW w:w="2350" w:type="dxa"/>
            <w:shd w:val="clear" w:color="auto" w:fill="auto"/>
            <w:noWrap/>
          </w:tcPr>
          <w:p w14:paraId="216998A5"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Paracetamol/Codeine GH 500/30</w:t>
            </w:r>
          </w:p>
        </w:tc>
        <w:tc>
          <w:tcPr>
            <w:tcW w:w="1701" w:type="dxa"/>
            <w:shd w:val="clear" w:color="auto" w:fill="auto"/>
            <w:noWrap/>
          </w:tcPr>
          <w:p w14:paraId="6B11ABDC"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Generic Health Pty Ltd</w:t>
            </w:r>
          </w:p>
        </w:tc>
      </w:tr>
      <w:tr w:rsidR="00F33674" w:rsidRPr="00F33674" w14:paraId="0B6FD8A0" w14:textId="77777777" w:rsidTr="00F33674">
        <w:trPr>
          <w:trHeight w:val="300"/>
        </w:trPr>
        <w:tc>
          <w:tcPr>
            <w:tcW w:w="1456" w:type="dxa"/>
            <w:shd w:val="clear" w:color="auto" w:fill="auto"/>
            <w:noWrap/>
          </w:tcPr>
          <w:p w14:paraId="7B4BFF7B" w14:textId="77777777" w:rsidR="00F33674" w:rsidRPr="00F33674" w:rsidRDefault="00F33674" w:rsidP="00F33674">
            <w:pPr>
              <w:jc w:val="left"/>
              <w:rPr>
                <w:rFonts w:ascii="Arial Narrow" w:hAnsi="Arial Narrow" w:cs="Calibri"/>
                <w:color w:val="000000"/>
                <w:sz w:val="20"/>
                <w:szCs w:val="20"/>
                <w:lang w:eastAsia="en-AU"/>
              </w:rPr>
            </w:pPr>
          </w:p>
        </w:tc>
        <w:tc>
          <w:tcPr>
            <w:tcW w:w="1381" w:type="dxa"/>
          </w:tcPr>
          <w:p w14:paraId="2D950021" w14:textId="77777777" w:rsidR="00F33674" w:rsidRPr="00F33674" w:rsidRDefault="00F33674" w:rsidP="00F33674">
            <w:pPr>
              <w:jc w:val="left"/>
              <w:rPr>
                <w:rFonts w:ascii="Arial Narrow" w:hAnsi="Arial Narrow" w:cs="Calibri"/>
                <w:color w:val="000000"/>
                <w:sz w:val="20"/>
                <w:szCs w:val="20"/>
                <w:lang w:eastAsia="en-AU"/>
              </w:rPr>
            </w:pPr>
          </w:p>
        </w:tc>
        <w:tc>
          <w:tcPr>
            <w:tcW w:w="2079" w:type="dxa"/>
            <w:shd w:val="clear" w:color="auto" w:fill="auto"/>
            <w:noWrap/>
          </w:tcPr>
          <w:p w14:paraId="4832C1F0" w14:textId="77777777" w:rsidR="00F33674" w:rsidRPr="00F33674" w:rsidRDefault="00F33674" w:rsidP="00F33674">
            <w:pPr>
              <w:jc w:val="left"/>
              <w:rPr>
                <w:rFonts w:ascii="Arial Narrow" w:hAnsi="Arial Narrow" w:cs="Calibri"/>
                <w:color w:val="000000"/>
                <w:sz w:val="20"/>
                <w:szCs w:val="20"/>
                <w:lang w:eastAsia="en-AU"/>
              </w:rPr>
            </w:pPr>
          </w:p>
        </w:tc>
        <w:tc>
          <w:tcPr>
            <w:tcW w:w="464" w:type="dxa"/>
            <w:shd w:val="clear" w:color="auto" w:fill="auto"/>
            <w:noWrap/>
          </w:tcPr>
          <w:p w14:paraId="5E46E6C2" w14:textId="77777777" w:rsidR="00F33674" w:rsidRPr="00F33674" w:rsidRDefault="00F33674" w:rsidP="00F33674">
            <w:pPr>
              <w:jc w:val="left"/>
              <w:rPr>
                <w:rFonts w:ascii="Arial Narrow" w:hAnsi="Arial Narrow" w:cs="Calibri"/>
                <w:color w:val="000000"/>
                <w:sz w:val="20"/>
                <w:szCs w:val="20"/>
                <w:lang w:eastAsia="en-AU"/>
              </w:rPr>
            </w:pPr>
          </w:p>
        </w:tc>
        <w:tc>
          <w:tcPr>
            <w:tcW w:w="446" w:type="dxa"/>
            <w:shd w:val="clear" w:color="auto" w:fill="auto"/>
            <w:noWrap/>
          </w:tcPr>
          <w:p w14:paraId="610F80C2" w14:textId="77777777" w:rsidR="00F33674" w:rsidRPr="00F33674" w:rsidRDefault="00F33674" w:rsidP="00F33674">
            <w:pPr>
              <w:jc w:val="left"/>
              <w:rPr>
                <w:rFonts w:ascii="Arial Narrow" w:hAnsi="Arial Narrow" w:cs="Calibri"/>
                <w:color w:val="000000"/>
                <w:sz w:val="20"/>
                <w:szCs w:val="20"/>
                <w:lang w:eastAsia="en-AU"/>
              </w:rPr>
            </w:pPr>
          </w:p>
        </w:tc>
        <w:tc>
          <w:tcPr>
            <w:tcW w:w="2350" w:type="dxa"/>
            <w:shd w:val="clear" w:color="auto" w:fill="auto"/>
            <w:noWrap/>
          </w:tcPr>
          <w:p w14:paraId="2ACB7BFA"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Prodeine Forte</w:t>
            </w:r>
          </w:p>
        </w:tc>
        <w:tc>
          <w:tcPr>
            <w:tcW w:w="1701" w:type="dxa"/>
            <w:shd w:val="clear" w:color="auto" w:fill="auto"/>
            <w:noWrap/>
          </w:tcPr>
          <w:p w14:paraId="5B5FF611"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sanofi-aventis Australia Pty Ltd</w:t>
            </w:r>
          </w:p>
        </w:tc>
      </w:tr>
      <w:tr w:rsidR="00F33674" w:rsidRPr="00F33674" w14:paraId="282DAF3C" w14:textId="77777777" w:rsidTr="00F33674">
        <w:trPr>
          <w:trHeight w:val="300"/>
        </w:trPr>
        <w:tc>
          <w:tcPr>
            <w:tcW w:w="1456" w:type="dxa"/>
            <w:shd w:val="clear" w:color="auto" w:fill="auto"/>
            <w:noWrap/>
          </w:tcPr>
          <w:p w14:paraId="5CD61B8F"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OXYCODONE</w:t>
            </w:r>
          </w:p>
        </w:tc>
        <w:tc>
          <w:tcPr>
            <w:tcW w:w="1381" w:type="dxa"/>
          </w:tcPr>
          <w:p w14:paraId="1CEC27F3"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8501K</w:t>
            </w:r>
          </w:p>
        </w:tc>
        <w:tc>
          <w:tcPr>
            <w:tcW w:w="2079" w:type="dxa"/>
            <w:vMerge w:val="restart"/>
            <w:shd w:val="clear" w:color="auto" w:fill="auto"/>
            <w:noWrap/>
            <w:hideMark/>
          </w:tcPr>
          <w:p w14:paraId="2AC55771"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Capsule containing oxycodone hydrochloride 10 mg</w:t>
            </w:r>
          </w:p>
        </w:tc>
        <w:tc>
          <w:tcPr>
            <w:tcW w:w="464" w:type="dxa"/>
            <w:shd w:val="clear" w:color="auto" w:fill="auto"/>
            <w:noWrap/>
            <w:hideMark/>
          </w:tcPr>
          <w:p w14:paraId="6FB84C6F"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20</w:t>
            </w:r>
          </w:p>
        </w:tc>
        <w:tc>
          <w:tcPr>
            <w:tcW w:w="446" w:type="dxa"/>
            <w:shd w:val="clear" w:color="auto" w:fill="auto"/>
            <w:noWrap/>
            <w:hideMark/>
          </w:tcPr>
          <w:p w14:paraId="0C593BFC"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0</w:t>
            </w:r>
          </w:p>
        </w:tc>
        <w:tc>
          <w:tcPr>
            <w:tcW w:w="2350" w:type="dxa"/>
            <w:shd w:val="clear" w:color="auto" w:fill="auto"/>
            <w:noWrap/>
            <w:hideMark/>
          </w:tcPr>
          <w:p w14:paraId="565ED730"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OxyNorm</w:t>
            </w:r>
          </w:p>
        </w:tc>
        <w:tc>
          <w:tcPr>
            <w:tcW w:w="1701" w:type="dxa"/>
            <w:shd w:val="clear" w:color="auto" w:fill="auto"/>
            <w:noWrap/>
            <w:hideMark/>
          </w:tcPr>
          <w:p w14:paraId="0F721F76"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Mundipharma Pty Limited</w:t>
            </w:r>
          </w:p>
        </w:tc>
      </w:tr>
      <w:tr w:rsidR="00F33674" w:rsidRPr="00F33674" w14:paraId="3226C0FD" w14:textId="77777777" w:rsidTr="00F33674">
        <w:trPr>
          <w:trHeight w:val="300"/>
        </w:trPr>
        <w:tc>
          <w:tcPr>
            <w:tcW w:w="1456" w:type="dxa"/>
            <w:shd w:val="clear" w:color="auto" w:fill="auto"/>
            <w:noWrap/>
          </w:tcPr>
          <w:p w14:paraId="7BA86191" w14:textId="77777777" w:rsidR="00F33674" w:rsidRPr="00F33674" w:rsidRDefault="00F33674" w:rsidP="00F33674">
            <w:pPr>
              <w:jc w:val="left"/>
              <w:rPr>
                <w:rFonts w:ascii="Arial Narrow" w:hAnsi="Arial Narrow" w:cs="Calibri"/>
                <w:color w:val="000000"/>
                <w:sz w:val="20"/>
                <w:szCs w:val="20"/>
                <w:lang w:eastAsia="en-AU"/>
              </w:rPr>
            </w:pPr>
          </w:p>
        </w:tc>
        <w:tc>
          <w:tcPr>
            <w:tcW w:w="1381" w:type="dxa"/>
          </w:tcPr>
          <w:p w14:paraId="05B3F08A" w14:textId="77777777" w:rsidR="00F33674" w:rsidRPr="00F33674" w:rsidRDefault="00F33674" w:rsidP="00F33674">
            <w:pPr>
              <w:jc w:val="left"/>
              <w:rPr>
                <w:rFonts w:ascii="Arial Narrow" w:hAnsi="Arial Narrow" w:cs="Calibri"/>
                <w:color w:val="000000"/>
                <w:sz w:val="20"/>
                <w:szCs w:val="20"/>
                <w:lang w:eastAsia="en-AU"/>
              </w:rPr>
            </w:pPr>
          </w:p>
        </w:tc>
        <w:tc>
          <w:tcPr>
            <w:tcW w:w="2079" w:type="dxa"/>
            <w:vMerge/>
            <w:shd w:val="clear" w:color="auto" w:fill="auto"/>
            <w:noWrap/>
          </w:tcPr>
          <w:p w14:paraId="631F9128" w14:textId="77777777" w:rsidR="00F33674" w:rsidRPr="00F33674" w:rsidRDefault="00F33674" w:rsidP="00F33674">
            <w:pPr>
              <w:jc w:val="left"/>
              <w:rPr>
                <w:rFonts w:ascii="Arial Narrow" w:hAnsi="Arial Narrow" w:cs="Calibri"/>
                <w:color w:val="000000"/>
                <w:sz w:val="20"/>
                <w:szCs w:val="20"/>
                <w:lang w:eastAsia="en-AU"/>
              </w:rPr>
            </w:pPr>
          </w:p>
        </w:tc>
        <w:tc>
          <w:tcPr>
            <w:tcW w:w="464" w:type="dxa"/>
            <w:shd w:val="clear" w:color="auto" w:fill="auto"/>
            <w:noWrap/>
          </w:tcPr>
          <w:p w14:paraId="4D10A01F" w14:textId="77777777" w:rsidR="00F33674" w:rsidRPr="00F33674" w:rsidRDefault="00F33674" w:rsidP="00F33674">
            <w:pPr>
              <w:jc w:val="left"/>
              <w:rPr>
                <w:rFonts w:ascii="Arial Narrow" w:hAnsi="Arial Narrow" w:cs="Calibri"/>
                <w:color w:val="000000"/>
                <w:sz w:val="20"/>
                <w:szCs w:val="20"/>
                <w:lang w:eastAsia="en-AU"/>
              </w:rPr>
            </w:pPr>
          </w:p>
        </w:tc>
        <w:tc>
          <w:tcPr>
            <w:tcW w:w="446" w:type="dxa"/>
            <w:shd w:val="clear" w:color="auto" w:fill="auto"/>
            <w:noWrap/>
          </w:tcPr>
          <w:p w14:paraId="11DB9104" w14:textId="77777777" w:rsidR="00F33674" w:rsidRPr="00F33674" w:rsidRDefault="00F33674" w:rsidP="00F33674">
            <w:pPr>
              <w:jc w:val="left"/>
              <w:rPr>
                <w:rFonts w:ascii="Arial Narrow" w:hAnsi="Arial Narrow" w:cs="Calibri"/>
                <w:color w:val="000000"/>
                <w:sz w:val="20"/>
                <w:szCs w:val="20"/>
                <w:lang w:eastAsia="en-AU"/>
              </w:rPr>
            </w:pPr>
          </w:p>
        </w:tc>
        <w:tc>
          <w:tcPr>
            <w:tcW w:w="2350" w:type="dxa"/>
            <w:shd w:val="clear" w:color="auto" w:fill="auto"/>
            <w:noWrap/>
            <w:hideMark/>
          </w:tcPr>
          <w:p w14:paraId="2F57126F"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Oxycodone BNM</w:t>
            </w:r>
          </w:p>
        </w:tc>
        <w:tc>
          <w:tcPr>
            <w:tcW w:w="1701" w:type="dxa"/>
            <w:shd w:val="clear" w:color="auto" w:fill="auto"/>
            <w:noWrap/>
            <w:hideMark/>
          </w:tcPr>
          <w:p w14:paraId="3A6AE6D8"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Luminarie Pty Ltd</w:t>
            </w:r>
          </w:p>
        </w:tc>
      </w:tr>
      <w:tr w:rsidR="00F33674" w:rsidRPr="00F33674" w14:paraId="70736889" w14:textId="77777777" w:rsidTr="00F33674">
        <w:trPr>
          <w:trHeight w:val="300"/>
        </w:trPr>
        <w:tc>
          <w:tcPr>
            <w:tcW w:w="1456" w:type="dxa"/>
            <w:shd w:val="clear" w:color="auto" w:fill="auto"/>
            <w:noWrap/>
          </w:tcPr>
          <w:p w14:paraId="13C67F8E" w14:textId="77777777" w:rsidR="00F33674" w:rsidRPr="00F33674" w:rsidRDefault="00F33674" w:rsidP="00F33674">
            <w:pPr>
              <w:jc w:val="left"/>
              <w:rPr>
                <w:rFonts w:ascii="Arial Narrow" w:hAnsi="Arial Narrow" w:cs="Calibri"/>
                <w:color w:val="000000"/>
                <w:sz w:val="20"/>
                <w:szCs w:val="20"/>
                <w:lang w:eastAsia="en-AU"/>
              </w:rPr>
            </w:pPr>
          </w:p>
        </w:tc>
        <w:tc>
          <w:tcPr>
            <w:tcW w:w="1381" w:type="dxa"/>
          </w:tcPr>
          <w:p w14:paraId="411835AA"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8502L</w:t>
            </w:r>
          </w:p>
        </w:tc>
        <w:tc>
          <w:tcPr>
            <w:tcW w:w="2079" w:type="dxa"/>
            <w:vMerge w:val="restart"/>
            <w:shd w:val="clear" w:color="auto" w:fill="auto"/>
            <w:noWrap/>
            <w:hideMark/>
          </w:tcPr>
          <w:p w14:paraId="58CF94BF"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Capsule containing oxycodone hydrochloride 20 mg</w:t>
            </w:r>
          </w:p>
        </w:tc>
        <w:tc>
          <w:tcPr>
            <w:tcW w:w="464" w:type="dxa"/>
            <w:shd w:val="clear" w:color="auto" w:fill="auto"/>
            <w:noWrap/>
            <w:hideMark/>
          </w:tcPr>
          <w:p w14:paraId="2E8A42FF"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20</w:t>
            </w:r>
          </w:p>
        </w:tc>
        <w:tc>
          <w:tcPr>
            <w:tcW w:w="446" w:type="dxa"/>
            <w:shd w:val="clear" w:color="auto" w:fill="auto"/>
            <w:noWrap/>
            <w:hideMark/>
          </w:tcPr>
          <w:p w14:paraId="093901CA"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0</w:t>
            </w:r>
          </w:p>
        </w:tc>
        <w:tc>
          <w:tcPr>
            <w:tcW w:w="2350" w:type="dxa"/>
            <w:shd w:val="clear" w:color="auto" w:fill="auto"/>
            <w:noWrap/>
            <w:hideMark/>
          </w:tcPr>
          <w:p w14:paraId="6B064AFE"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OxyNorm</w:t>
            </w:r>
          </w:p>
        </w:tc>
        <w:tc>
          <w:tcPr>
            <w:tcW w:w="1701" w:type="dxa"/>
            <w:shd w:val="clear" w:color="auto" w:fill="auto"/>
            <w:noWrap/>
            <w:hideMark/>
          </w:tcPr>
          <w:p w14:paraId="6B77DD58"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Mundipharma Pty Limited</w:t>
            </w:r>
          </w:p>
        </w:tc>
      </w:tr>
      <w:tr w:rsidR="00F33674" w:rsidRPr="00F33674" w14:paraId="0B5512D7" w14:textId="77777777" w:rsidTr="00F33674">
        <w:trPr>
          <w:trHeight w:val="300"/>
        </w:trPr>
        <w:tc>
          <w:tcPr>
            <w:tcW w:w="1456" w:type="dxa"/>
            <w:shd w:val="clear" w:color="auto" w:fill="auto"/>
            <w:noWrap/>
          </w:tcPr>
          <w:p w14:paraId="167E3B72" w14:textId="77777777" w:rsidR="00F33674" w:rsidRPr="00F33674" w:rsidRDefault="00F33674" w:rsidP="00F33674">
            <w:pPr>
              <w:jc w:val="left"/>
              <w:rPr>
                <w:rFonts w:ascii="Arial Narrow" w:hAnsi="Arial Narrow" w:cs="Calibri"/>
                <w:color w:val="000000"/>
                <w:sz w:val="20"/>
                <w:szCs w:val="20"/>
                <w:lang w:eastAsia="en-AU"/>
              </w:rPr>
            </w:pPr>
          </w:p>
        </w:tc>
        <w:tc>
          <w:tcPr>
            <w:tcW w:w="1381" w:type="dxa"/>
          </w:tcPr>
          <w:p w14:paraId="03BB38A5" w14:textId="77777777" w:rsidR="00F33674" w:rsidRPr="00F33674" w:rsidRDefault="00F33674" w:rsidP="00F33674">
            <w:pPr>
              <w:jc w:val="left"/>
              <w:rPr>
                <w:rFonts w:ascii="Arial Narrow" w:hAnsi="Arial Narrow" w:cs="Calibri"/>
                <w:color w:val="000000"/>
                <w:sz w:val="20"/>
                <w:szCs w:val="20"/>
                <w:lang w:eastAsia="en-AU"/>
              </w:rPr>
            </w:pPr>
          </w:p>
        </w:tc>
        <w:tc>
          <w:tcPr>
            <w:tcW w:w="2079" w:type="dxa"/>
            <w:vMerge/>
            <w:shd w:val="clear" w:color="auto" w:fill="auto"/>
            <w:noWrap/>
          </w:tcPr>
          <w:p w14:paraId="4078B635" w14:textId="77777777" w:rsidR="00F33674" w:rsidRPr="00F33674" w:rsidRDefault="00F33674" w:rsidP="00F33674">
            <w:pPr>
              <w:jc w:val="left"/>
              <w:rPr>
                <w:rFonts w:ascii="Arial Narrow" w:hAnsi="Arial Narrow" w:cs="Calibri"/>
                <w:color w:val="000000"/>
                <w:sz w:val="20"/>
                <w:szCs w:val="20"/>
                <w:lang w:eastAsia="en-AU"/>
              </w:rPr>
            </w:pPr>
          </w:p>
        </w:tc>
        <w:tc>
          <w:tcPr>
            <w:tcW w:w="464" w:type="dxa"/>
            <w:shd w:val="clear" w:color="auto" w:fill="auto"/>
            <w:noWrap/>
          </w:tcPr>
          <w:p w14:paraId="71F2E5CB" w14:textId="77777777" w:rsidR="00F33674" w:rsidRPr="00F33674" w:rsidRDefault="00F33674" w:rsidP="00F33674">
            <w:pPr>
              <w:jc w:val="left"/>
              <w:rPr>
                <w:rFonts w:ascii="Arial Narrow" w:hAnsi="Arial Narrow" w:cs="Calibri"/>
                <w:color w:val="000000"/>
                <w:sz w:val="20"/>
                <w:szCs w:val="20"/>
                <w:lang w:eastAsia="en-AU"/>
              </w:rPr>
            </w:pPr>
          </w:p>
        </w:tc>
        <w:tc>
          <w:tcPr>
            <w:tcW w:w="446" w:type="dxa"/>
            <w:shd w:val="clear" w:color="auto" w:fill="auto"/>
            <w:noWrap/>
          </w:tcPr>
          <w:p w14:paraId="0E669516" w14:textId="77777777" w:rsidR="00F33674" w:rsidRPr="00F33674" w:rsidRDefault="00F33674" w:rsidP="00F33674">
            <w:pPr>
              <w:jc w:val="left"/>
              <w:rPr>
                <w:rFonts w:ascii="Arial Narrow" w:hAnsi="Arial Narrow" w:cs="Calibri"/>
                <w:color w:val="000000"/>
                <w:sz w:val="20"/>
                <w:szCs w:val="20"/>
                <w:lang w:eastAsia="en-AU"/>
              </w:rPr>
            </w:pPr>
          </w:p>
        </w:tc>
        <w:tc>
          <w:tcPr>
            <w:tcW w:w="2350" w:type="dxa"/>
            <w:shd w:val="clear" w:color="auto" w:fill="auto"/>
            <w:noWrap/>
            <w:hideMark/>
          </w:tcPr>
          <w:p w14:paraId="107215AE"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Oxycodone BNM</w:t>
            </w:r>
          </w:p>
        </w:tc>
        <w:tc>
          <w:tcPr>
            <w:tcW w:w="1701" w:type="dxa"/>
            <w:shd w:val="clear" w:color="auto" w:fill="auto"/>
            <w:noWrap/>
            <w:hideMark/>
          </w:tcPr>
          <w:p w14:paraId="03B67FE4"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Luminarie Pty Ltd</w:t>
            </w:r>
          </w:p>
        </w:tc>
      </w:tr>
      <w:tr w:rsidR="00F33674" w:rsidRPr="00F33674" w14:paraId="72A2732B" w14:textId="77777777" w:rsidTr="00F33674">
        <w:trPr>
          <w:trHeight w:val="300"/>
        </w:trPr>
        <w:tc>
          <w:tcPr>
            <w:tcW w:w="1456" w:type="dxa"/>
            <w:shd w:val="clear" w:color="auto" w:fill="auto"/>
            <w:noWrap/>
          </w:tcPr>
          <w:p w14:paraId="59C080BF" w14:textId="77777777" w:rsidR="00F33674" w:rsidRPr="00F33674" w:rsidRDefault="00F33674" w:rsidP="00F33674">
            <w:pPr>
              <w:jc w:val="left"/>
              <w:rPr>
                <w:rFonts w:ascii="Arial Narrow" w:hAnsi="Arial Narrow" w:cs="Calibri"/>
                <w:color w:val="000000"/>
                <w:sz w:val="20"/>
                <w:szCs w:val="20"/>
                <w:lang w:eastAsia="en-AU"/>
              </w:rPr>
            </w:pPr>
          </w:p>
        </w:tc>
        <w:tc>
          <w:tcPr>
            <w:tcW w:w="1381" w:type="dxa"/>
          </w:tcPr>
          <w:p w14:paraId="4917F388"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8464L</w:t>
            </w:r>
          </w:p>
        </w:tc>
        <w:tc>
          <w:tcPr>
            <w:tcW w:w="2079" w:type="dxa"/>
            <w:vMerge w:val="restart"/>
            <w:shd w:val="clear" w:color="auto" w:fill="auto"/>
            <w:noWrap/>
            <w:hideMark/>
          </w:tcPr>
          <w:p w14:paraId="36E68192"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Capsule containing oxycodone hydrochloride 5 mg</w:t>
            </w:r>
          </w:p>
        </w:tc>
        <w:tc>
          <w:tcPr>
            <w:tcW w:w="464" w:type="dxa"/>
            <w:shd w:val="clear" w:color="auto" w:fill="auto"/>
            <w:noWrap/>
            <w:hideMark/>
          </w:tcPr>
          <w:p w14:paraId="44059DB9"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20</w:t>
            </w:r>
          </w:p>
        </w:tc>
        <w:tc>
          <w:tcPr>
            <w:tcW w:w="446" w:type="dxa"/>
            <w:shd w:val="clear" w:color="auto" w:fill="auto"/>
            <w:noWrap/>
            <w:hideMark/>
          </w:tcPr>
          <w:p w14:paraId="26809A53"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0</w:t>
            </w:r>
          </w:p>
        </w:tc>
        <w:tc>
          <w:tcPr>
            <w:tcW w:w="2350" w:type="dxa"/>
            <w:shd w:val="clear" w:color="auto" w:fill="auto"/>
            <w:noWrap/>
            <w:hideMark/>
          </w:tcPr>
          <w:p w14:paraId="2EAD2D02"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OxyNorm</w:t>
            </w:r>
          </w:p>
        </w:tc>
        <w:tc>
          <w:tcPr>
            <w:tcW w:w="1701" w:type="dxa"/>
            <w:shd w:val="clear" w:color="auto" w:fill="auto"/>
            <w:noWrap/>
            <w:hideMark/>
          </w:tcPr>
          <w:p w14:paraId="44A46ACF"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Mundipharma Pty Limited</w:t>
            </w:r>
          </w:p>
        </w:tc>
      </w:tr>
      <w:tr w:rsidR="00F33674" w:rsidRPr="00F33674" w14:paraId="6A6AC00F" w14:textId="77777777" w:rsidTr="00F33674">
        <w:trPr>
          <w:trHeight w:val="300"/>
        </w:trPr>
        <w:tc>
          <w:tcPr>
            <w:tcW w:w="1456" w:type="dxa"/>
            <w:shd w:val="clear" w:color="auto" w:fill="auto"/>
            <w:noWrap/>
          </w:tcPr>
          <w:p w14:paraId="5D292F02" w14:textId="77777777" w:rsidR="00F33674" w:rsidRPr="00F33674" w:rsidRDefault="00F33674" w:rsidP="00F33674">
            <w:pPr>
              <w:jc w:val="left"/>
              <w:rPr>
                <w:rFonts w:ascii="Arial Narrow" w:hAnsi="Arial Narrow" w:cs="Calibri"/>
                <w:color w:val="000000"/>
                <w:sz w:val="20"/>
                <w:szCs w:val="20"/>
                <w:lang w:eastAsia="en-AU"/>
              </w:rPr>
            </w:pPr>
          </w:p>
        </w:tc>
        <w:tc>
          <w:tcPr>
            <w:tcW w:w="1381" w:type="dxa"/>
          </w:tcPr>
          <w:p w14:paraId="0FFD3945" w14:textId="77777777" w:rsidR="00F33674" w:rsidRPr="00F33674" w:rsidRDefault="00F33674" w:rsidP="00F33674">
            <w:pPr>
              <w:jc w:val="left"/>
              <w:rPr>
                <w:rFonts w:ascii="Arial Narrow" w:hAnsi="Arial Narrow" w:cs="Calibri"/>
                <w:color w:val="000000"/>
                <w:sz w:val="20"/>
                <w:szCs w:val="20"/>
                <w:lang w:eastAsia="en-AU"/>
              </w:rPr>
            </w:pPr>
          </w:p>
        </w:tc>
        <w:tc>
          <w:tcPr>
            <w:tcW w:w="2079" w:type="dxa"/>
            <w:vMerge/>
            <w:shd w:val="clear" w:color="auto" w:fill="auto"/>
            <w:noWrap/>
          </w:tcPr>
          <w:p w14:paraId="008AC1DE" w14:textId="77777777" w:rsidR="00F33674" w:rsidRPr="00F33674" w:rsidRDefault="00F33674" w:rsidP="00F33674">
            <w:pPr>
              <w:jc w:val="left"/>
              <w:rPr>
                <w:rFonts w:ascii="Arial Narrow" w:hAnsi="Arial Narrow" w:cs="Calibri"/>
                <w:color w:val="000000"/>
                <w:sz w:val="20"/>
                <w:szCs w:val="20"/>
                <w:lang w:eastAsia="en-AU"/>
              </w:rPr>
            </w:pPr>
          </w:p>
        </w:tc>
        <w:tc>
          <w:tcPr>
            <w:tcW w:w="464" w:type="dxa"/>
            <w:shd w:val="clear" w:color="auto" w:fill="auto"/>
            <w:noWrap/>
          </w:tcPr>
          <w:p w14:paraId="663C2528" w14:textId="77777777" w:rsidR="00F33674" w:rsidRPr="00F33674" w:rsidRDefault="00F33674" w:rsidP="00F33674">
            <w:pPr>
              <w:jc w:val="left"/>
              <w:rPr>
                <w:rFonts w:ascii="Arial Narrow" w:hAnsi="Arial Narrow" w:cs="Calibri"/>
                <w:color w:val="000000"/>
                <w:sz w:val="20"/>
                <w:szCs w:val="20"/>
                <w:lang w:eastAsia="en-AU"/>
              </w:rPr>
            </w:pPr>
          </w:p>
        </w:tc>
        <w:tc>
          <w:tcPr>
            <w:tcW w:w="446" w:type="dxa"/>
            <w:shd w:val="clear" w:color="auto" w:fill="auto"/>
            <w:noWrap/>
          </w:tcPr>
          <w:p w14:paraId="2C6A62A0" w14:textId="77777777" w:rsidR="00F33674" w:rsidRPr="00F33674" w:rsidRDefault="00F33674" w:rsidP="00F33674">
            <w:pPr>
              <w:jc w:val="left"/>
              <w:rPr>
                <w:rFonts w:ascii="Arial Narrow" w:hAnsi="Arial Narrow" w:cs="Calibri"/>
                <w:color w:val="000000"/>
                <w:sz w:val="20"/>
                <w:szCs w:val="20"/>
                <w:lang w:eastAsia="en-AU"/>
              </w:rPr>
            </w:pPr>
          </w:p>
        </w:tc>
        <w:tc>
          <w:tcPr>
            <w:tcW w:w="2350" w:type="dxa"/>
            <w:shd w:val="clear" w:color="auto" w:fill="auto"/>
            <w:noWrap/>
            <w:hideMark/>
          </w:tcPr>
          <w:p w14:paraId="08565312"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Oxycodone BNM</w:t>
            </w:r>
          </w:p>
        </w:tc>
        <w:tc>
          <w:tcPr>
            <w:tcW w:w="1701" w:type="dxa"/>
            <w:shd w:val="clear" w:color="auto" w:fill="auto"/>
            <w:noWrap/>
            <w:hideMark/>
          </w:tcPr>
          <w:p w14:paraId="72BD7CD4"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Luminarie Pty Ltd</w:t>
            </w:r>
          </w:p>
        </w:tc>
      </w:tr>
      <w:tr w:rsidR="00F33674" w:rsidRPr="00F33674" w14:paraId="4B3D62C9" w14:textId="77777777" w:rsidTr="00F33674">
        <w:trPr>
          <w:trHeight w:val="300"/>
        </w:trPr>
        <w:tc>
          <w:tcPr>
            <w:tcW w:w="1456" w:type="dxa"/>
            <w:shd w:val="clear" w:color="auto" w:fill="auto"/>
            <w:noWrap/>
          </w:tcPr>
          <w:p w14:paraId="1C56E0C9" w14:textId="77777777" w:rsidR="00F33674" w:rsidRPr="00F33674" w:rsidRDefault="00F33674" w:rsidP="00F33674">
            <w:pPr>
              <w:jc w:val="left"/>
              <w:rPr>
                <w:rFonts w:ascii="Arial Narrow" w:hAnsi="Arial Narrow" w:cs="Calibri"/>
                <w:color w:val="000000"/>
                <w:sz w:val="20"/>
                <w:szCs w:val="20"/>
                <w:lang w:eastAsia="en-AU"/>
              </w:rPr>
            </w:pPr>
          </w:p>
        </w:tc>
        <w:tc>
          <w:tcPr>
            <w:tcW w:w="1381" w:type="dxa"/>
          </w:tcPr>
          <w:p w14:paraId="4BFA309F"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8644Y</w:t>
            </w:r>
          </w:p>
        </w:tc>
        <w:tc>
          <w:tcPr>
            <w:tcW w:w="2079" w:type="dxa"/>
            <w:shd w:val="clear" w:color="auto" w:fill="auto"/>
            <w:noWrap/>
            <w:hideMark/>
          </w:tcPr>
          <w:p w14:paraId="5828270A"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Oral solution containing oxycodone hydrochloride 1 mg per mL, 250 mL</w:t>
            </w:r>
          </w:p>
        </w:tc>
        <w:tc>
          <w:tcPr>
            <w:tcW w:w="464" w:type="dxa"/>
            <w:shd w:val="clear" w:color="auto" w:fill="auto"/>
            <w:noWrap/>
            <w:hideMark/>
          </w:tcPr>
          <w:p w14:paraId="176E9E53"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1</w:t>
            </w:r>
          </w:p>
        </w:tc>
        <w:tc>
          <w:tcPr>
            <w:tcW w:w="446" w:type="dxa"/>
            <w:shd w:val="clear" w:color="auto" w:fill="auto"/>
            <w:noWrap/>
            <w:hideMark/>
          </w:tcPr>
          <w:p w14:paraId="09BC9B04"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0</w:t>
            </w:r>
          </w:p>
        </w:tc>
        <w:tc>
          <w:tcPr>
            <w:tcW w:w="2350" w:type="dxa"/>
            <w:shd w:val="clear" w:color="auto" w:fill="auto"/>
            <w:noWrap/>
            <w:hideMark/>
          </w:tcPr>
          <w:p w14:paraId="23939929"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OxyNorm Liquid 1mg/mL</w:t>
            </w:r>
          </w:p>
        </w:tc>
        <w:tc>
          <w:tcPr>
            <w:tcW w:w="1701" w:type="dxa"/>
            <w:shd w:val="clear" w:color="auto" w:fill="auto"/>
            <w:noWrap/>
            <w:hideMark/>
          </w:tcPr>
          <w:p w14:paraId="70676FEA"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Mundipharma Pty Limited</w:t>
            </w:r>
          </w:p>
        </w:tc>
      </w:tr>
      <w:tr w:rsidR="00F33674" w:rsidRPr="00F33674" w14:paraId="0C5BB61F" w14:textId="77777777" w:rsidTr="00F33674">
        <w:trPr>
          <w:trHeight w:val="300"/>
        </w:trPr>
        <w:tc>
          <w:tcPr>
            <w:tcW w:w="1456" w:type="dxa"/>
            <w:shd w:val="clear" w:color="auto" w:fill="auto"/>
            <w:noWrap/>
          </w:tcPr>
          <w:p w14:paraId="0D039FC0" w14:textId="77777777" w:rsidR="00F33674" w:rsidRPr="00F33674" w:rsidRDefault="00F33674" w:rsidP="00F33674">
            <w:pPr>
              <w:jc w:val="left"/>
              <w:rPr>
                <w:rFonts w:ascii="Arial Narrow" w:hAnsi="Arial Narrow" w:cs="Calibri"/>
                <w:color w:val="000000"/>
                <w:sz w:val="20"/>
                <w:szCs w:val="20"/>
                <w:lang w:eastAsia="en-AU"/>
              </w:rPr>
            </w:pPr>
          </w:p>
        </w:tc>
        <w:tc>
          <w:tcPr>
            <w:tcW w:w="1381" w:type="dxa"/>
          </w:tcPr>
          <w:p w14:paraId="5F143D59"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2622B</w:t>
            </w:r>
          </w:p>
        </w:tc>
        <w:tc>
          <w:tcPr>
            <w:tcW w:w="2079" w:type="dxa"/>
            <w:vMerge w:val="restart"/>
            <w:shd w:val="clear" w:color="auto" w:fill="auto"/>
            <w:noWrap/>
            <w:hideMark/>
          </w:tcPr>
          <w:p w14:paraId="26826CCE"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Tablet containing oxycodone hydrochloride 5 mg</w:t>
            </w:r>
          </w:p>
        </w:tc>
        <w:tc>
          <w:tcPr>
            <w:tcW w:w="464" w:type="dxa"/>
            <w:shd w:val="clear" w:color="auto" w:fill="auto"/>
            <w:noWrap/>
            <w:hideMark/>
          </w:tcPr>
          <w:p w14:paraId="7494DCC5"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20</w:t>
            </w:r>
          </w:p>
        </w:tc>
        <w:tc>
          <w:tcPr>
            <w:tcW w:w="446" w:type="dxa"/>
            <w:shd w:val="clear" w:color="auto" w:fill="auto"/>
            <w:noWrap/>
            <w:hideMark/>
          </w:tcPr>
          <w:p w14:paraId="0DE66BC7"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0</w:t>
            </w:r>
          </w:p>
        </w:tc>
        <w:tc>
          <w:tcPr>
            <w:tcW w:w="2350" w:type="dxa"/>
            <w:shd w:val="clear" w:color="auto" w:fill="auto"/>
            <w:noWrap/>
            <w:hideMark/>
          </w:tcPr>
          <w:p w14:paraId="5BC16EA8"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Endone</w:t>
            </w:r>
          </w:p>
        </w:tc>
        <w:tc>
          <w:tcPr>
            <w:tcW w:w="1701" w:type="dxa"/>
            <w:shd w:val="clear" w:color="auto" w:fill="auto"/>
            <w:noWrap/>
            <w:hideMark/>
          </w:tcPr>
          <w:p w14:paraId="26BF1A2B"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Alphapharm Pty Ltd</w:t>
            </w:r>
          </w:p>
        </w:tc>
      </w:tr>
      <w:tr w:rsidR="00F33674" w:rsidRPr="00F33674" w14:paraId="700E8372" w14:textId="77777777" w:rsidTr="00F33674">
        <w:trPr>
          <w:trHeight w:val="300"/>
        </w:trPr>
        <w:tc>
          <w:tcPr>
            <w:tcW w:w="1456" w:type="dxa"/>
            <w:shd w:val="clear" w:color="auto" w:fill="auto"/>
            <w:noWrap/>
          </w:tcPr>
          <w:p w14:paraId="35667637" w14:textId="77777777" w:rsidR="00F33674" w:rsidRPr="00F33674" w:rsidRDefault="00F33674" w:rsidP="00F33674">
            <w:pPr>
              <w:jc w:val="left"/>
              <w:rPr>
                <w:rFonts w:ascii="Arial Narrow" w:hAnsi="Arial Narrow" w:cs="Calibri"/>
                <w:color w:val="000000"/>
                <w:sz w:val="20"/>
                <w:szCs w:val="20"/>
                <w:lang w:eastAsia="en-AU"/>
              </w:rPr>
            </w:pPr>
          </w:p>
        </w:tc>
        <w:tc>
          <w:tcPr>
            <w:tcW w:w="1381" w:type="dxa"/>
          </w:tcPr>
          <w:p w14:paraId="36D1E33D" w14:textId="77777777" w:rsidR="00F33674" w:rsidRPr="00F33674" w:rsidRDefault="00F33674" w:rsidP="00F33674">
            <w:pPr>
              <w:jc w:val="left"/>
              <w:rPr>
                <w:rFonts w:ascii="Arial Narrow" w:hAnsi="Arial Narrow" w:cs="Calibri"/>
                <w:color w:val="000000"/>
                <w:sz w:val="20"/>
                <w:szCs w:val="20"/>
                <w:lang w:eastAsia="en-AU"/>
              </w:rPr>
            </w:pPr>
          </w:p>
        </w:tc>
        <w:tc>
          <w:tcPr>
            <w:tcW w:w="2079" w:type="dxa"/>
            <w:vMerge/>
            <w:shd w:val="clear" w:color="auto" w:fill="auto"/>
            <w:noWrap/>
          </w:tcPr>
          <w:p w14:paraId="2D076B09" w14:textId="77777777" w:rsidR="00F33674" w:rsidRPr="00F33674" w:rsidRDefault="00F33674" w:rsidP="00F33674">
            <w:pPr>
              <w:jc w:val="left"/>
              <w:rPr>
                <w:rFonts w:ascii="Arial Narrow" w:hAnsi="Arial Narrow" w:cs="Calibri"/>
                <w:color w:val="000000"/>
                <w:sz w:val="20"/>
                <w:szCs w:val="20"/>
                <w:lang w:eastAsia="en-AU"/>
              </w:rPr>
            </w:pPr>
          </w:p>
        </w:tc>
        <w:tc>
          <w:tcPr>
            <w:tcW w:w="464" w:type="dxa"/>
            <w:shd w:val="clear" w:color="auto" w:fill="auto"/>
            <w:noWrap/>
          </w:tcPr>
          <w:p w14:paraId="10A203E0" w14:textId="77777777" w:rsidR="00F33674" w:rsidRPr="00F33674" w:rsidRDefault="00F33674" w:rsidP="00F33674">
            <w:pPr>
              <w:jc w:val="left"/>
              <w:rPr>
                <w:rFonts w:ascii="Arial Narrow" w:hAnsi="Arial Narrow" w:cs="Calibri"/>
                <w:color w:val="000000"/>
                <w:sz w:val="20"/>
                <w:szCs w:val="20"/>
                <w:lang w:eastAsia="en-AU"/>
              </w:rPr>
            </w:pPr>
          </w:p>
        </w:tc>
        <w:tc>
          <w:tcPr>
            <w:tcW w:w="446" w:type="dxa"/>
            <w:shd w:val="clear" w:color="auto" w:fill="auto"/>
            <w:noWrap/>
          </w:tcPr>
          <w:p w14:paraId="327B666B" w14:textId="77777777" w:rsidR="00F33674" w:rsidRPr="00F33674" w:rsidRDefault="00F33674" w:rsidP="00F33674">
            <w:pPr>
              <w:jc w:val="left"/>
              <w:rPr>
                <w:rFonts w:ascii="Arial Narrow" w:hAnsi="Arial Narrow" w:cs="Calibri"/>
                <w:color w:val="000000"/>
                <w:sz w:val="20"/>
                <w:szCs w:val="20"/>
                <w:lang w:eastAsia="en-AU"/>
              </w:rPr>
            </w:pPr>
          </w:p>
        </w:tc>
        <w:tc>
          <w:tcPr>
            <w:tcW w:w="2350" w:type="dxa"/>
            <w:shd w:val="clear" w:color="auto" w:fill="auto"/>
            <w:noWrap/>
            <w:hideMark/>
          </w:tcPr>
          <w:p w14:paraId="4314D9A2"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Mayne Pharma Oxycodone IR</w:t>
            </w:r>
          </w:p>
        </w:tc>
        <w:tc>
          <w:tcPr>
            <w:tcW w:w="1701" w:type="dxa"/>
            <w:shd w:val="clear" w:color="auto" w:fill="auto"/>
            <w:noWrap/>
            <w:hideMark/>
          </w:tcPr>
          <w:p w14:paraId="11EDEFA0"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Mayne Pharma International Pty Ltd</w:t>
            </w:r>
          </w:p>
        </w:tc>
      </w:tr>
      <w:tr w:rsidR="00F33674" w:rsidRPr="00F33674" w14:paraId="6565F47F" w14:textId="77777777" w:rsidTr="00F33674">
        <w:trPr>
          <w:trHeight w:val="300"/>
        </w:trPr>
        <w:tc>
          <w:tcPr>
            <w:tcW w:w="1456" w:type="dxa"/>
            <w:shd w:val="clear" w:color="auto" w:fill="auto"/>
            <w:noWrap/>
          </w:tcPr>
          <w:p w14:paraId="77D5A0B3" w14:textId="77777777" w:rsidR="00F33674" w:rsidRPr="00F33674" w:rsidRDefault="00F33674" w:rsidP="00F33674">
            <w:pPr>
              <w:jc w:val="left"/>
              <w:rPr>
                <w:rFonts w:ascii="Arial Narrow" w:hAnsi="Arial Narrow" w:cs="Calibri"/>
                <w:color w:val="000000"/>
                <w:sz w:val="20"/>
                <w:szCs w:val="20"/>
                <w:lang w:eastAsia="en-AU"/>
              </w:rPr>
            </w:pPr>
          </w:p>
        </w:tc>
        <w:tc>
          <w:tcPr>
            <w:tcW w:w="1381" w:type="dxa"/>
          </w:tcPr>
          <w:p w14:paraId="5982EFA2" w14:textId="77777777" w:rsidR="00F33674" w:rsidRPr="00F33674" w:rsidRDefault="00F33674" w:rsidP="00F33674">
            <w:pPr>
              <w:jc w:val="left"/>
              <w:rPr>
                <w:rFonts w:ascii="Arial Narrow" w:hAnsi="Arial Narrow" w:cs="Calibri"/>
                <w:color w:val="000000"/>
                <w:sz w:val="20"/>
                <w:szCs w:val="20"/>
                <w:lang w:eastAsia="en-AU"/>
              </w:rPr>
            </w:pPr>
          </w:p>
        </w:tc>
        <w:tc>
          <w:tcPr>
            <w:tcW w:w="2079" w:type="dxa"/>
            <w:vMerge/>
            <w:shd w:val="clear" w:color="auto" w:fill="auto"/>
            <w:noWrap/>
          </w:tcPr>
          <w:p w14:paraId="0F2FF664" w14:textId="77777777" w:rsidR="00F33674" w:rsidRPr="00F33674" w:rsidRDefault="00F33674" w:rsidP="00F33674">
            <w:pPr>
              <w:jc w:val="left"/>
              <w:rPr>
                <w:rFonts w:ascii="Arial Narrow" w:hAnsi="Arial Narrow" w:cs="Calibri"/>
                <w:color w:val="000000"/>
                <w:sz w:val="20"/>
                <w:szCs w:val="20"/>
                <w:lang w:eastAsia="en-AU"/>
              </w:rPr>
            </w:pPr>
          </w:p>
        </w:tc>
        <w:tc>
          <w:tcPr>
            <w:tcW w:w="464" w:type="dxa"/>
            <w:shd w:val="clear" w:color="auto" w:fill="auto"/>
            <w:noWrap/>
          </w:tcPr>
          <w:p w14:paraId="3E0C1A51" w14:textId="77777777" w:rsidR="00F33674" w:rsidRPr="00F33674" w:rsidRDefault="00F33674" w:rsidP="00F33674">
            <w:pPr>
              <w:jc w:val="left"/>
              <w:rPr>
                <w:rFonts w:ascii="Arial Narrow" w:hAnsi="Arial Narrow" w:cs="Calibri"/>
                <w:color w:val="000000"/>
                <w:sz w:val="20"/>
                <w:szCs w:val="20"/>
                <w:lang w:eastAsia="en-AU"/>
              </w:rPr>
            </w:pPr>
          </w:p>
        </w:tc>
        <w:tc>
          <w:tcPr>
            <w:tcW w:w="446" w:type="dxa"/>
            <w:shd w:val="clear" w:color="auto" w:fill="auto"/>
            <w:noWrap/>
          </w:tcPr>
          <w:p w14:paraId="715A73E8" w14:textId="77777777" w:rsidR="00F33674" w:rsidRPr="00F33674" w:rsidRDefault="00F33674" w:rsidP="00F33674">
            <w:pPr>
              <w:jc w:val="left"/>
              <w:rPr>
                <w:rFonts w:ascii="Arial Narrow" w:hAnsi="Arial Narrow" w:cs="Calibri"/>
                <w:color w:val="000000"/>
                <w:sz w:val="20"/>
                <w:szCs w:val="20"/>
                <w:lang w:eastAsia="en-AU"/>
              </w:rPr>
            </w:pPr>
          </w:p>
        </w:tc>
        <w:tc>
          <w:tcPr>
            <w:tcW w:w="2350" w:type="dxa"/>
            <w:shd w:val="clear" w:color="auto" w:fill="auto"/>
            <w:noWrap/>
            <w:hideMark/>
          </w:tcPr>
          <w:p w14:paraId="361D8D5C"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Oxycodone Aspen</w:t>
            </w:r>
          </w:p>
        </w:tc>
        <w:tc>
          <w:tcPr>
            <w:tcW w:w="1701" w:type="dxa"/>
            <w:shd w:val="clear" w:color="auto" w:fill="auto"/>
            <w:noWrap/>
            <w:hideMark/>
          </w:tcPr>
          <w:p w14:paraId="26C4C27D"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Alphapharm Pty Ltd</w:t>
            </w:r>
          </w:p>
        </w:tc>
      </w:tr>
      <w:tr w:rsidR="00F33674" w:rsidRPr="00F33674" w14:paraId="63CBE5D9" w14:textId="77777777" w:rsidTr="00F33674">
        <w:trPr>
          <w:trHeight w:val="300"/>
        </w:trPr>
        <w:tc>
          <w:tcPr>
            <w:tcW w:w="1456" w:type="dxa"/>
            <w:shd w:val="clear" w:color="auto" w:fill="auto"/>
            <w:noWrap/>
            <w:hideMark/>
          </w:tcPr>
          <w:p w14:paraId="1361AA18"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TRAMADOL</w:t>
            </w:r>
          </w:p>
        </w:tc>
        <w:tc>
          <w:tcPr>
            <w:tcW w:w="1381" w:type="dxa"/>
          </w:tcPr>
          <w:p w14:paraId="24C71B29"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8455B</w:t>
            </w:r>
          </w:p>
        </w:tc>
        <w:tc>
          <w:tcPr>
            <w:tcW w:w="2079" w:type="dxa"/>
            <w:vMerge w:val="restart"/>
            <w:shd w:val="clear" w:color="auto" w:fill="auto"/>
            <w:noWrap/>
            <w:hideMark/>
          </w:tcPr>
          <w:p w14:paraId="0569AF77"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Capsule containing tramadol hydrochloride 50 mg</w:t>
            </w:r>
          </w:p>
        </w:tc>
        <w:tc>
          <w:tcPr>
            <w:tcW w:w="464" w:type="dxa"/>
            <w:shd w:val="clear" w:color="auto" w:fill="auto"/>
            <w:noWrap/>
            <w:hideMark/>
          </w:tcPr>
          <w:p w14:paraId="427D2B37"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20</w:t>
            </w:r>
          </w:p>
        </w:tc>
        <w:tc>
          <w:tcPr>
            <w:tcW w:w="446" w:type="dxa"/>
            <w:shd w:val="clear" w:color="auto" w:fill="auto"/>
            <w:noWrap/>
            <w:hideMark/>
          </w:tcPr>
          <w:p w14:paraId="56EFC5A7"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0</w:t>
            </w:r>
          </w:p>
        </w:tc>
        <w:tc>
          <w:tcPr>
            <w:tcW w:w="2350" w:type="dxa"/>
            <w:shd w:val="clear" w:color="auto" w:fill="auto"/>
            <w:noWrap/>
            <w:hideMark/>
          </w:tcPr>
          <w:p w14:paraId="477E8E5B"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APO-Tramadol</w:t>
            </w:r>
          </w:p>
        </w:tc>
        <w:tc>
          <w:tcPr>
            <w:tcW w:w="1701" w:type="dxa"/>
            <w:shd w:val="clear" w:color="auto" w:fill="auto"/>
            <w:noWrap/>
            <w:hideMark/>
          </w:tcPr>
          <w:p w14:paraId="5D28081B"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Apotex Pty Ltd</w:t>
            </w:r>
          </w:p>
        </w:tc>
      </w:tr>
      <w:tr w:rsidR="00F33674" w:rsidRPr="00F33674" w14:paraId="06944219" w14:textId="77777777" w:rsidTr="00F33674">
        <w:trPr>
          <w:trHeight w:val="300"/>
        </w:trPr>
        <w:tc>
          <w:tcPr>
            <w:tcW w:w="1456" w:type="dxa"/>
            <w:shd w:val="clear" w:color="auto" w:fill="auto"/>
            <w:noWrap/>
          </w:tcPr>
          <w:p w14:paraId="203DA135" w14:textId="77777777" w:rsidR="00F33674" w:rsidRPr="00F33674" w:rsidRDefault="00F33674" w:rsidP="00F33674">
            <w:pPr>
              <w:jc w:val="left"/>
              <w:rPr>
                <w:rFonts w:ascii="Arial Narrow" w:hAnsi="Arial Narrow" w:cs="Calibri"/>
                <w:color w:val="000000"/>
                <w:sz w:val="20"/>
                <w:szCs w:val="20"/>
                <w:lang w:eastAsia="en-AU"/>
              </w:rPr>
            </w:pPr>
          </w:p>
        </w:tc>
        <w:tc>
          <w:tcPr>
            <w:tcW w:w="1381" w:type="dxa"/>
          </w:tcPr>
          <w:p w14:paraId="775E2CE4" w14:textId="77777777" w:rsidR="00F33674" w:rsidRPr="00F33674" w:rsidRDefault="00F33674" w:rsidP="00F33674">
            <w:pPr>
              <w:jc w:val="left"/>
              <w:rPr>
                <w:rFonts w:ascii="Arial Narrow" w:hAnsi="Arial Narrow" w:cs="Calibri"/>
                <w:color w:val="000000"/>
                <w:sz w:val="20"/>
                <w:szCs w:val="20"/>
                <w:lang w:eastAsia="en-AU"/>
              </w:rPr>
            </w:pPr>
          </w:p>
        </w:tc>
        <w:tc>
          <w:tcPr>
            <w:tcW w:w="2079" w:type="dxa"/>
            <w:vMerge/>
            <w:shd w:val="clear" w:color="auto" w:fill="auto"/>
            <w:noWrap/>
          </w:tcPr>
          <w:p w14:paraId="72ED2155" w14:textId="77777777" w:rsidR="00F33674" w:rsidRPr="00F33674" w:rsidRDefault="00F33674" w:rsidP="00F33674">
            <w:pPr>
              <w:jc w:val="left"/>
              <w:rPr>
                <w:rFonts w:ascii="Arial Narrow" w:hAnsi="Arial Narrow" w:cs="Calibri"/>
                <w:color w:val="000000"/>
                <w:sz w:val="20"/>
                <w:szCs w:val="20"/>
                <w:lang w:eastAsia="en-AU"/>
              </w:rPr>
            </w:pPr>
          </w:p>
        </w:tc>
        <w:tc>
          <w:tcPr>
            <w:tcW w:w="464" w:type="dxa"/>
            <w:shd w:val="clear" w:color="auto" w:fill="auto"/>
            <w:noWrap/>
          </w:tcPr>
          <w:p w14:paraId="0E24B97C" w14:textId="77777777" w:rsidR="00F33674" w:rsidRPr="00F33674" w:rsidRDefault="00F33674" w:rsidP="00F33674">
            <w:pPr>
              <w:jc w:val="left"/>
              <w:rPr>
                <w:rFonts w:ascii="Arial Narrow" w:hAnsi="Arial Narrow" w:cs="Calibri"/>
                <w:color w:val="000000"/>
                <w:sz w:val="20"/>
                <w:szCs w:val="20"/>
                <w:lang w:eastAsia="en-AU"/>
              </w:rPr>
            </w:pPr>
          </w:p>
        </w:tc>
        <w:tc>
          <w:tcPr>
            <w:tcW w:w="446" w:type="dxa"/>
            <w:shd w:val="clear" w:color="auto" w:fill="auto"/>
            <w:noWrap/>
          </w:tcPr>
          <w:p w14:paraId="31EC8A69" w14:textId="77777777" w:rsidR="00F33674" w:rsidRPr="00F33674" w:rsidRDefault="00F33674" w:rsidP="00F33674">
            <w:pPr>
              <w:jc w:val="left"/>
              <w:rPr>
                <w:rFonts w:ascii="Arial Narrow" w:hAnsi="Arial Narrow" w:cs="Calibri"/>
                <w:color w:val="000000"/>
                <w:sz w:val="20"/>
                <w:szCs w:val="20"/>
                <w:lang w:eastAsia="en-AU"/>
              </w:rPr>
            </w:pPr>
          </w:p>
        </w:tc>
        <w:tc>
          <w:tcPr>
            <w:tcW w:w="2350" w:type="dxa"/>
            <w:shd w:val="clear" w:color="auto" w:fill="auto"/>
            <w:noWrap/>
            <w:hideMark/>
          </w:tcPr>
          <w:p w14:paraId="5A86B91B"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Chem mart Tramadol</w:t>
            </w:r>
          </w:p>
        </w:tc>
        <w:tc>
          <w:tcPr>
            <w:tcW w:w="1701" w:type="dxa"/>
            <w:shd w:val="clear" w:color="auto" w:fill="auto"/>
            <w:noWrap/>
            <w:hideMark/>
          </w:tcPr>
          <w:p w14:paraId="7D782E47"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Apotex Pty Ltd</w:t>
            </w:r>
          </w:p>
        </w:tc>
      </w:tr>
      <w:tr w:rsidR="00F33674" w:rsidRPr="00F33674" w14:paraId="024BE3C0" w14:textId="77777777" w:rsidTr="00F33674">
        <w:trPr>
          <w:trHeight w:val="300"/>
        </w:trPr>
        <w:tc>
          <w:tcPr>
            <w:tcW w:w="1456" w:type="dxa"/>
            <w:shd w:val="clear" w:color="auto" w:fill="auto"/>
            <w:noWrap/>
          </w:tcPr>
          <w:p w14:paraId="00B86691" w14:textId="77777777" w:rsidR="00F33674" w:rsidRPr="00F33674" w:rsidRDefault="00F33674" w:rsidP="00F33674">
            <w:pPr>
              <w:jc w:val="left"/>
              <w:rPr>
                <w:rFonts w:ascii="Arial Narrow" w:hAnsi="Arial Narrow" w:cs="Calibri"/>
                <w:color w:val="000000"/>
                <w:sz w:val="20"/>
                <w:szCs w:val="20"/>
                <w:lang w:eastAsia="en-AU"/>
              </w:rPr>
            </w:pPr>
          </w:p>
        </w:tc>
        <w:tc>
          <w:tcPr>
            <w:tcW w:w="1381" w:type="dxa"/>
          </w:tcPr>
          <w:p w14:paraId="3D4385F8" w14:textId="77777777" w:rsidR="00F33674" w:rsidRPr="00F33674" w:rsidRDefault="00F33674" w:rsidP="00F33674">
            <w:pPr>
              <w:jc w:val="left"/>
              <w:rPr>
                <w:rFonts w:ascii="Arial Narrow" w:hAnsi="Arial Narrow" w:cs="Calibri"/>
                <w:color w:val="000000"/>
                <w:sz w:val="20"/>
                <w:szCs w:val="20"/>
                <w:lang w:eastAsia="en-AU"/>
              </w:rPr>
            </w:pPr>
          </w:p>
        </w:tc>
        <w:tc>
          <w:tcPr>
            <w:tcW w:w="2079" w:type="dxa"/>
            <w:vMerge/>
            <w:shd w:val="clear" w:color="auto" w:fill="auto"/>
            <w:noWrap/>
          </w:tcPr>
          <w:p w14:paraId="627744E6" w14:textId="77777777" w:rsidR="00F33674" w:rsidRPr="00F33674" w:rsidRDefault="00F33674" w:rsidP="00F33674">
            <w:pPr>
              <w:jc w:val="left"/>
              <w:rPr>
                <w:rFonts w:ascii="Arial Narrow" w:hAnsi="Arial Narrow" w:cs="Calibri"/>
                <w:color w:val="000000"/>
                <w:sz w:val="20"/>
                <w:szCs w:val="20"/>
                <w:lang w:eastAsia="en-AU"/>
              </w:rPr>
            </w:pPr>
          </w:p>
        </w:tc>
        <w:tc>
          <w:tcPr>
            <w:tcW w:w="464" w:type="dxa"/>
            <w:shd w:val="clear" w:color="auto" w:fill="auto"/>
            <w:noWrap/>
          </w:tcPr>
          <w:p w14:paraId="149B0DA4" w14:textId="77777777" w:rsidR="00F33674" w:rsidRPr="00F33674" w:rsidRDefault="00F33674" w:rsidP="00F33674">
            <w:pPr>
              <w:jc w:val="left"/>
              <w:rPr>
                <w:rFonts w:ascii="Arial Narrow" w:hAnsi="Arial Narrow" w:cs="Calibri"/>
                <w:color w:val="000000"/>
                <w:sz w:val="20"/>
                <w:szCs w:val="20"/>
                <w:lang w:eastAsia="en-AU"/>
              </w:rPr>
            </w:pPr>
          </w:p>
        </w:tc>
        <w:tc>
          <w:tcPr>
            <w:tcW w:w="446" w:type="dxa"/>
            <w:shd w:val="clear" w:color="auto" w:fill="auto"/>
            <w:noWrap/>
          </w:tcPr>
          <w:p w14:paraId="1B66F724" w14:textId="77777777" w:rsidR="00F33674" w:rsidRPr="00F33674" w:rsidRDefault="00F33674" w:rsidP="00F33674">
            <w:pPr>
              <w:jc w:val="left"/>
              <w:rPr>
                <w:rFonts w:ascii="Arial Narrow" w:hAnsi="Arial Narrow" w:cs="Calibri"/>
                <w:color w:val="000000"/>
                <w:sz w:val="20"/>
                <w:szCs w:val="20"/>
                <w:lang w:eastAsia="en-AU"/>
              </w:rPr>
            </w:pPr>
          </w:p>
        </w:tc>
        <w:tc>
          <w:tcPr>
            <w:tcW w:w="2350" w:type="dxa"/>
            <w:shd w:val="clear" w:color="auto" w:fill="auto"/>
            <w:noWrap/>
            <w:hideMark/>
          </w:tcPr>
          <w:p w14:paraId="5823DA25"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Terry White Chemists Tramadol</w:t>
            </w:r>
          </w:p>
        </w:tc>
        <w:tc>
          <w:tcPr>
            <w:tcW w:w="1701" w:type="dxa"/>
            <w:shd w:val="clear" w:color="auto" w:fill="auto"/>
            <w:noWrap/>
            <w:hideMark/>
          </w:tcPr>
          <w:p w14:paraId="7274B4E0"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Apotex Pty Ltd</w:t>
            </w:r>
          </w:p>
        </w:tc>
      </w:tr>
      <w:tr w:rsidR="00F33674" w:rsidRPr="00F33674" w14:paraId="3E19AC19" w14:textId="77777777" w:rsidTr="00F33674">
        <w:trPr>
          <w:trHeight w:val="300"/>
        </w:trPr>
        <w:tc>
          <w:tcPr>
            <w:tcW w:w="1456" w:type="dxa"/>
            <w:shd w:val="clear" w:color="auto" w:fill="auto"/>
            <w:noWrap/>
          </w:tcPr>
          <w:p w14:paraId="346CDF4B" w14:textId="77777777" w:rsidR="00F33674" w:rsidRPr="00F33674" w:rsidRDefault="00F33674" w:rsidP="00F33674">
            <w:pPr>
              <w:jc w:val="left"/>
              <w:rPr>
                <w:rFonts w:ascii="Arial Narrow" w:hAnsi="Arial Narrow" w:cs="Calibri"/>
                <w:color w:val="000000"/>
                <w:sz w:val="20"/>
                <w:szCs w:val="20"/>
                <w:lang w:eastAsia="en-AU"/>
              </w:rPr>
            </w:pPr>
          </w:p>
        </w:tc>
        <w:tc>
          <w:tcPr>
            <w:tcW w:w="1381" w:type="dxa"/>
          </w:tcPr>
          <w:p w14:paraId="4FBF0FF9" w14:textId="77777777" w:rsidR="00F33674" w:rsidRPr="00F33674" w:rsidRDefault="00F33674" w:rsidP="00F33674">
            <w:pPr>
              <w:jc w:val="left"/>
              <w:rPr>
                <w:rFonts w:ascii="Arial Narrow" w:hAnsi="Arial Narrow" w:cs="Calibri"/>
                <w:color w:val="000000"/>
                <w:sz w:val="20"/>
                <w:szCs w:val="20"/>
                <w:lang w:eastAsia="en-AU"/>
              </w:rPr>
            </w:pPr>
          </w:p>
        </w:tc>
        <w:tc>
          <w:tcPr>
            <w:tcW w:w="2079" w:type="dxa"/>
            <w:vMerge/>
            <w:shd w:val="clear" w:color="auto" w:fill="auto"/>
            <w:noWrap/>
          </w:tcPr>
          <w:p w14:paraId="6FD49820" w14:textId="77777777" w:rsidR="00F33674" w:rsidRPr="00F33674" w:rsidRDefault="00F33674" w:rsidP="00F33674">
            <w:pPr>
              <w:jc w:val="left"/>
              <w:rPr>
                <w:rFonts w:ascii="Arial Narrow" w:hAnsi="Arial Narrow" w:cs="Calibri"/>
                <w:color w:val="000000"/>
                <w:sz w:val="20"/>
                <w:szCs w:val="20"/>
                <w:lang w:eastAsia="en-AU"/>
              </w:rPr>
            </w:pPr>
          </w:p>
        </w:tc>
        <w:tc>
          <w:tcPr>
            <w:tcW w:w="464" w:type="dxa"/>
            <w:shd w:val="clear" w:color="auto" w:fill="auto"/>
            <w:noWrap/>
          </w:tcPr>
          <w:p w14:paraId="49DCE734" w14:textId="77777777" w:rsidR="00F33674" w:rsidRPr="00F33674" w:rsidRDefault="00F33674" w:rsidP="00F33674">
            <w:pPr>
              <w:jc w:val="left"/>
              <w:rPr>
                <w:rFonts w:ascii="Arial Narrow" w:hAnsi="Arial Narrow" w:cs="Calibri"/>
                <w:color w:val="000000"/>
                <w:sz w:val="20"/>
                <w:szCs w:val="20"/>
                <w:lang w:eastAsia="en-AU"/>
              </w:rPr>
            </w:pPr>
          </w:p>
        </w:tc>
        <w:tc>
          <w:tcPr>
            <w:tcW w:w="446" w:type="dxa"/>
            <w:shd w:val="clear" w:color="auto" w:fill="auto"/>
            <w:noWrap/>
          </w:tcPr>
          <w:p w14:paraId="3A9E9F2A" w14:textId="77777777" w:rsidR="00F33674" w:rsidRPr="00F33674" w:rsidRDefault="00F33674" w:rsidP="00F33674">
            <w:pPr>
              <w:jc w:val="left"/>
              <w:rPr>
                <w:rFonts w:ascii="Arial Narrow" w:hAnsi="Arial Narrow" w:cs="Calibri"/>
                <w:color w:val="000000"/>
                <w:sz w:val="20"/>
                <w:szCs w:val="20"/>
                <w:lang w:eastAsia="en-AU"/>
              </w:rPr>
            </w:pPr>
          </w:p>
        </w:tc>
        <w:tc>
          <w:tcPr>
            <w:tcW w:w="2350" w:type="dxa"/>
            <w:shd w:val="clear" w:color="auto" w:fill="auto"/>
            <w:noWrap/>
            <w:hideMark/>
          </w:tcPr>
          <w:p w14:paraId="724CEFF6"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Tramadol AMNEAL</w:t>
            </w:r>
          </w:p>
        </w:tc>
        <w:tc>
          <w:tcPr>
            <w:tcW w:w="1701" w:type="dxa"/>
            <w:shd w:val="clear" w:color="auto" w:fill="auto"/>
            <w:noWrap/>
            <w:hideMark/>
          </w:tcPr>
          <w:p w14:paraId="0C9EAB2E"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Amneal Pharmaceuticals Pty Ltd</w:t>
            </w:r>
          </w:p>
        </w:tc>
      </w:tr>
      <w:tr w:rsidR="00F33674" w:rsidRPr="00F33674" w14:paraId="6B160A02" w14:textId="77777777" w:rsidTr="00F33674">
        <w:trPr>
          <w:trHeight w:val="300"/>
        </w:trPr>
        <w:tc>
          <w:tcPr>
            <w:tcW w:w="1456" w:type="dxa"/>
            <w:shd w:val="clear" w:color="auto" w:fill="auto"/>
            <w:noWrap/>
          </w:tcPr>
          <w:p w14:paraId="79EC113F" w14:textId="77777777" w:rsidR="00F33674" w:rsidRPr="00F33674" w:rsidRDefault="00F33674" w:rsidP="00F33674">
            <w:pPr>
              <w:jc w:val="left"/>
              <w:rPr>
                <w:rFonts w:ascii="Arial Narrow" w:hAnsi="Arial Narrow" w:cs="Calibri"/>
                <w:color w:val="000000"/>
                <w:sz w:val="20"/>
                <w:szCs w:val="20"/>
                <w:lang w:eastAsia="en-AU"/>
              </w:rPr>
            </w:pPr>
          </w:p>
        </w:tc>
        <w:tc>
          <w:tcPr>
            <w:tcW w:w="1381" w:type="dxa"/>
          </w:tcPr>
          <w:p w14:paraId="705E99BE" w14:textId="77777777" w:rsidR="00F33674" w:rsidRPr="00F33674" w:rsidRDefault="00F33674" w:rsidP="00F33674">
            <w:pPr>
              <w:jc w:val="left"/>
              <w:rPr>
                <w:rFonts w:ascii="Arial Narrow" w:hAnsi="Arial Narrow" w:cs="Calibri"/>
                <w:color w:val="000000"/>
                <w:sz w:val="20"/>
                <w:szCs w:val="20"/>
                <w:lang w:eastAsia="en-AU"/>
              </w:rPr>
            </w:pPr>
          </w:p>
        </w:tc>
        <w:tc>
          <w:tcPr>
            <w:tcW w:w="2079" w:type="dxa"/>
            <w:vMerge/>
            <w:shd w:val="clear" w:color="auto" w:fill="auto"/>
            <w:noWrap/>
          </w:tcPr>
          <w:p w14:paraId="783CF19A" w14:textId="77777777" w:rsidR="00F33674" w:rsidRPr="00F33674" w:rsidRDefault="00F33674" w:rsidP="00F33674">
            <w:pPr>
              <w:jc w:val="left"/>
              <w:rPr>
                <w:rFonts w:ascii="Arial Narrow" w:hAnsi="Arial Narrow" w:cs="Calibri"/>
                <w:color w:val="000000"/>
                <w:sz w:val="20"/>
                <w:szCs w:val="20"/>
                <w:lang w:eastAsia="en-AU"/>
              </w:rPr>
            </w:pPr>
          </w:p>
        </w:tc>
        <w:tc>
          <w:tcPr>
            <w:tcW w:w="464" w:type="dxa"/>
            <w:shd w:val="clear" w:color="auto" w:fill="auto"/>
            <w:noWrap/>
          </w:tcPr>
          <w:p w14:paraId="550D8A38" w14:textId="77777777" w:rsidR="00F33674" w:rsidRPr="00F33674" w:rsidRDefault="00F33674" w:rsidP="00F33674">
            <w:pPr>
              <w:jc w:val="left"/>
              <w:rPr>
                <w:rFonts w:ascii="Arial Narrow" w:hAnsi="Arial Narrow" w:cs="Calibri"/>
                <w:color w:val="000000"/>
                <w:sz w:val="20"/>
                <w:szCs w:val="20"/>
                <w:lang w:eastAsia="en-AU"/>
              </w:rPr>
            </w:pPr>
          </w:p>
        </w:tc>
        <w:tc>
          <w:tcPr>
            <w:tcW w:w="446" w:type="dxa"/>
            <w:shd w:val="clear" w:color="auto" w:fill="auto"/>
            <w:noWrap/>
          </w:tcPr>
          <w:p w14:paraId="037C6821" w14:textId="77777777" w:rsidR="00F33674" w:rsidRPr="00F33674" w:rsidRDefault="00F33674" w:rsidP="00F33674">
            <w:pPr>
              <w:jc w:val="left"/>
              <w:rPr>
                <w:rFonts w:ascii="Arial Narrow" w:hAnsi="Arial Narrow" w:cs="Calibri"/>
                <w:color w:val="000000"/>
                <w:sz w:val="20"/>
                <w:szCs w:val="20"/>
                <w:lang w:eastAsia="en-AU"/>
              </w:rPr>
            </w:pPr>
          </w:p>
        </w:tc>
        <w:tc>
          <w:tcPr>
            <w:tcW w:w="2350" w:type="dxa"/>
            <w:shd w:val="clear" w:color="auto" w:fill="auto"/>
            <w:noWrap/>
            <w:hideMark/>
          </w:tcPr>
          <w:p w14:paraId="56B36F09"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Tramadol AN</w:t>
            </w:r>
          </w:p>
        </w:tc>
        <w:tc>
          <w:tcPr>
            <w:tcW w:w="1701" w:type="dxa"/>
            <w:shd w:val="clear" w:color="auto" w:fill="auto"/>
            <w:noWrap/>
            <w:hideMark/>
          </w:tcPr>
          <w:p w14:paraId="3CB79D30"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Amneal Pharmaceuticals Pty Ltd</w:t>
            </w:r>
          </w:p>
        </w:tc>
      </w:tr>
      <w:tr w:rsidR="00F33674" w:rsidRPr="00F33674" w14:paraId="02628323" w14:textId="77777777" w:rsidTr="00F33674">
        <w:trPr>
          <w:trHeight w:val="300"/>
        </w:trPr>
        <w:tc>
          <w:tcPr>
            <w:tcW w:w="1456" w:type="dxa"/>
            <w:shd w:val="clear" w:color="auto" w:fill="auto"/>
            <w:noWrap/>
          </w:tcPr>
          <w:p w14:paraId="478AEB2F" w14:textId="77777777" w:rsidR="00F33674" w:rsidRPr="00F33674" w:rsidRDefault="00F33674" w:rsidP="00F33674">
            <w:pPr>
              <w:jc w:val="left"/>
              <w:rPr>
                <w:rFonts w:ascii="Arial Narrow" w:hAnsi="Arial Narrow" w:cs="Calibri"/>
                <w:color w:val="000000"/>
                <w:sz w:val="20"/>
                <w:szCs w:val="20"/>
                <w:lang w:eastAsia="en-AU"/>
              </w:rPr>
            </w:pPr>
          </w:p>
        </w:tc>
        <w:tc>
          <w:tcPr>
            <w:tcW w:w="1381" w:type="dxa"/>
          </w:tcPr>
          <w:p w14:paraId="376D38AD" w14:textId="77777777" w:rsidR="00F33674" w:rsidRPr="00F33674" w:rsidRDefault="00F33674" w:rsidP="00F33674">
            <w:pPr>
              <w:jc w:val="left"/>
              <w:rPr>
                <w:rFonts w:ascii="Arial Narrow" w:hAnsi="Arial Narrow" w:cs="Calibri"/>
                <w:color w:val="000000"/>
                <w:sz w:val="20"/>
                <w:szCs w:val="20"/>
                <w:lang w:eastAsia="en-AU"/>
              </w:rPr>
            </w:pPr>
          </w:p>
        </w:tc>
        <w:tc>
          <w:tcPr>
            <w:tcW w:w="2079" w:type="dxa"/>
            <w:vMerge/>
            <w:shd w:val="clear" w:color="auto" w:fill="auto"/>
            <w:noWrap/>
          </w:tcPr>
          <w:p w14:paraId="74240D13" w14:textId="77777777" w:rsidR="00F33674" w:rsidRPr="00F33674" w:rsidRDefault="00F33674" w:rsidP="00F33674">
            <w:pPr>
              <w:jc w:val="left"/>
              <w:rPr>
                <w:rFonts w:ascii="Arial Narrow" w:hAnsi="Arial Narrow" w:cs="Calibri"/>
                <w:color w:val="000000"/>
                <w:sz w:val="20"/>
                <w:szCs w:val="20"/>
                <w:lang w:eastAsia="en-AU"/>
              </w:rPr>
            </w:pPr>
          </w:p>
        </w:tc>
        <w:tc>
          <w:tcPr>
            <w:tcW w:w="464" w:type="dxa"/>
            <w:shd w:val="clear" w:color="auto" w:fill="auto"/>
            <w:noWrap/>
          </w:tcPr>
          <w:p w14:paraId="26169601" w14:textId="77777777" w:rsidR="00F33674" w:rsidRPr="00F33674" w:rsidRDefault="00F33674" w:rsidP="00F33674">
            <w:pPr>
              <w:jc w:val="left"/>
              <w:rPr>
                <w:rFonts w:ascii="Arial Narrow" w:hAnsi="Arial Narrow" w:cs="Calibri"/>
                <w:color w:val="000000"/>
                <w:sz w:val="20"/>
                <w:szCs w:val="20"/>
                <w:lang w:eastAsia="en-AU"/>
              </w:rPr>
            </w:pPr>
          </w:p>
        </w:tc>
        <w:tc>
          <w:tcPr>
            <w:tcW w:w="446" w:type="dxa"/>
            <w:shd w:val="clear" w:color="auto" w:fill="auto"/>
            <w:noWrap/>
          </w:tcPr>
          <w:p w14:paraId="4B8560D4" w14:textId="77777777" w:rsidR="00F33674" w:rsidRPr="00F33674" w:rsidRDefault="00F33674" w:rsidP="00F33674">
            <w:pPr>
              <w:jc w:val="left"/>
              <w:rPr>
                <w:rFonts w:ascii="Arial Narrow" w:hAnsi="Arial Narrow" w:cs="Calibri"/>
                <w:color w:val="000000"/>
                <w:sz w:val="20"/>
                <w:szCs w:val="20"/>
                <w:lang w:eastAsia="en-AU"/>
              </w:rPr>
            </w:pPr>
          </w:p>
        </w:tc>
        <w:tc>
          <w:tcPr>
            <w:tcW w:w="2350" w:type="dxa"/>
            <w:shd w:val="clear" w:color="auto" w:fill="auto"/>
            <w:noWrap/>
            <w:hideMark/>
          </w:tcPr>
          <w:p w14:paraId="56E09542"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Tramadol SCP</w:t>
            </w:r>
          </w:p>
        </w:tc>
        <w:tc>
          <w:tcPr>
            <w:tcW w:w="1701" w:type="dxa"/>
            <w:shd w:val="clear" w:color="auto" w:fill="auto"/>
            <w:noWrap/>
            <w:hideMark/>
          </w:tcPr>
          <w:p w14:paraId="00CAE291"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Pharmacor Pty Limited</w:t>
            </w:r>
          </w:p>
        </w:tc>
      </w:tr>
      <w:tr w:rsidR="00F33674" w:rsidRPr="00F33674" w14:paraId="3CC18F9D" w14:textId="77777777" w:rsidTr="00F33674">
        <w:trPr>
          <w:trHeight w:val="300"/>
        </w:trPr>
        <w:tc>
          <w:tcPr>
            <w:tcW w:w="1456" w:type="dxa"/>
            <w:shd w:val="clear" w:color="auto" w:fill="auto"/>
            <w:noWrap/>
          </w:tcPr>
          <w:p w14:paraId="184D7A82" w14:textId="77777777" w:rsidR="00F33674" w:rsidRPr="00F33674" w:rsidRDefault="00F33674" w:rsidP="00F33674">
            <w:pPr>
              <w:jc w:val="left"/>
              <w:rPr>
                <w:rFonts w:ascii="Arial Narrow" w:hAnsi="Arial Narrow" w:cs="Calibri"/>
                <w:color w:val="000000"/>
                <w:sz w:val="20"/>
                <w:szCs w:val="20"/>
                <w:lang w:eastAsia="en-AU"/>
              </w:rPr>
            </w:pPr>
          </w:p>
        </w:tc>
        <w:tc>
          <w:tcPr>
            <w:tcW w:w="1381" w:type="dxa"/>
          </w:tcPr>
          <w:p w14:paraId="6F619351" w14:textId="77777777" w:rsidR="00F33674" w:rsidRPr="00F33674" w:rsidRDefault="00F33674" w:rsidP="00F33674">
            <w:pPr>
              <w:jc w:val="left"/>
              <w:rPr>
                <w:rFonts w:ascii="Arial Narrow" w:hAnsi="Arial Narrow" w:cs="Calibri"/>
                <w:color w:val="000000"/>
                <w:sz w:val="20"/>
                <w:szCs w:val="20"/>
                <w:lang w:eastAsia="en-AU"/>
              </w:rPr>
            </w:pPr>
          </w:p>
        </w:tc>
        <w:tc>
          <w:tcPr>
            <w:tcW w:w="2079" w:type="dxa"/>
            <w:vMerge/>
            <w:shd w:val="clear" w:color="auto" w:fill="auto"/>
            <w:noWrap/>
          </w:tcPr>
          <w:p w14:paraId="0D5D83ED" w14:textId="77777777" w:rsidR="00F33674" w:rsidRPr="00F33674" w:rsidRDefault="00F33674" w:rsidP="00F33674">
            <w:pPr>
              <w:jc w:val="left"/>
              <w:rPr>
                <w:rFonts w:ascii="Arial Narrow" w:hAnsi="Arial Narrow" w:cs="Calibri"/>
                <w:color w:val="000000"/>
                <w:sz w:val="20"/>
                <w:szCs w:val="20"/>
                <w:lang w:eastAsia="en-AU"/>
              </w:rPr>
            </w:pPr>
          </w:p>
        </w:tc>
        <w:tc>
          <w:tcPr>
            <w:tcW w:w="464" w:type="dxa"/>
            <w:shd w:val="clear" w:color="auto" w:fill="auto"/>
            <w:noWrap/>
          </w:tcPr>
          <w:p w14:paraId="579ACFC5" w14:textId="77777777" w:rsidR="00F33674" w:rsidRPr="00F33674" w:rsidRDefault="00F33674" w:rsidP="00F33674">
            <w:pPr>
              <w:jc w:val="left"/>
              <w:rPr>
                <w:rFonts w:ascii="Arial Narrow" w:hAnsi="Arial Narrow" w:cs="Calibri"/>
                <w:color w:val="000000"/>
                <w:sz w:val="20"/>
                <w:szCs w:val="20"/>
                <w:lang w:eastAsia="en-AU"/>
              </w:rPr>
            </w:pPr>
          </w:p>
        </w:tc>
        <w:tc>
          <w:tcPr>
            <w:tcW w:w="446" w:type="dxa"/>
            <w:shd w:val="clear" w:color="auto" w:fill="auto"/>
            <w:noWrap/>
          </w:tcPr>
          <w:p w14:paraId="6921AD01" w14:textId="77777777" w:rsidR="00F33674" w:rsidRPr="00F33674" w:rsidRDefault="00F33674" w:rsidP="00F33674">
            <w:pPr>
              <w:jc w:val="left"/>
              <w:rPr>
                <w:rFonts w:ascii="Arial Narrow" w:hAnsi="Arial Narrow" w:cs="Calibri"/>
                <w:color w:val="000000"/>
                <w:sz w:val="20"/>
                <w:szCs w:val="20"/>
                <w:lang w:eastAsia="en-AU"/>
              </w:rPr>
            </w:pPr>
          </w:p>
        </w:tc>
        <w:tc>
          <w:tcPr>
            <w:tcW w:w="2350" w:type="dxa"/>
            <w:shd w:val="clear" w:color="auto" w:fill="auto"/>
            <w:noWrap/>
            <w:hideMark/>
          </w:tcPr>
          <w:p w14:paraId="4BF6E38B"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Tramadol Sandoz</w:t>
            </w:r>
          </w:p>
        </w:tc>
        <w:tc>
          <w:tcPr>
            <w:tcW w:w="1701" w:type="dxa"/>
            <w:shd w:val="clear" w:color="auto" w:fill="auto"/>
            <w:noWrap/>
            <w:hideMark/>
          </w:tcPr>
          <w:p w14:paraId="59841FB7"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Sandoz Pty Ltd</w:t>
            </w:r>
          </w:p>
        </w:tc>
      </w:tr>
      <w:tr w:rsidR="00F33674" w:rsidRPr="00F33674" w14:paraId="199CB804" w14:textId="77777777" w:rsidTr="00F33674">
        <w:trPr>
          <w:trHeight w:val="300"/>
        </w:trPr>
        <w:tc>
          <w:tcPr>
            <w:tcW w:w="1456" w:type="dxa"/>
            <w:shd w:val="clear" w:color="auto" w:fill="auto"/>
            <w:noWrap/>
          </w:tcPr>
          <w:p w14:paraId="68AF5598" w14:textId="77777777" w:rsidR="00F33674" w:rsidRPr="00F33674" w:rsidRDefault="00F33674" w:rsidP="00F33674">
            <w:pPr>
              <w:jc w:val="left"/>
              <w:rPr>
                <w:rFonts w:ascii="Arial Narrow" w:hAnsi="Arial Narrow" w:cs="Calibri"/>
                <w:color w:val="000000"/>
                <w:sz w:val="20"/>
                <w:szCs w:val="20"/>
                <w:lang w:eastAsia="en-AU"/>
              </w:rPr>
            </w:pPr>
          </w:p>
        </w:tc>
        <w:tc>
          <w:tcPr>
            <w:tcW w:w="1381" w:type="dxa"/>
          </w:tcPr>
          <w:p w14:paraId="2973A713" w14:textId="77777777" w:rsidR="00F33674" w:rsidRPr="00F33674" w:rsidRDefault="00F33674" w:rsidP="00F33674">
            <w:pPr>
              <w:jc w:val="left"/>
              <w:rPr>
                <w:rFonts w:ascii="Arial Narrow" w:hAnsi="Arial Narrow" w:cs="Calibri"/>
                <w:color w:val="000000"/>
                <w:sz w:val="20"/>
                <w:szCs w:val="20"/>
                <w:lang w:eastAsia="en-AU"/>
              </w:rPr>
            </w:pPr>
          </w:p>
        </w:tc>
        <w:tc>
          <w:tcPr>
            <w:tcW w:w="2079" w:type="dxa"/>
            <w:vMerge/>
            <w:shd w:val="clear" w:color="auto" w:fill="auto"/>
            <w:noWrap/>
          </w:tcPr>
          <w:p w14:paraId="54DD4B3C" w14:textId="77777777" w:rsidR="00F33674" w:rsidRPr="00F33674" w:rsidRDefault="00F33674" w:rsidP="00F33674">
            <w:pPr>
              <w:jc w:val="left"/>
              <w:rPr>
                <w:rFonts w:ascii="Arial Narrow" w:hAnsi="Arial Narrow" w:cs="Calibri"/>
                <w:color w:val="000000"/>
                <w:sz w:val="20"/>
                <w:szCs w:val="20"/>
                <w:lang w:eastAsia="en-AU"/>
              </w:rPr>
            </w:pPr>
          </w:p>
        </w:tc>
        <w:tc>
          <w:tcPr>
            <w:tcW w:w="464" w:type="dxa"/>
            <w:shd w:val="clear" w:color="auto" w:fill="auto"/>
            <w:noWrap/>
          </w:tcPr>
          <w:p w14:paraId="489C13A3" w14:textId="77777777" w:rsidR="00F33674" w:rsidRPr="00F33674" w:rsidRDefault="00F33674" w:rsidP="00F33674">
            <w:pPr>
              <w:jc w:val="left"/>
              <w:rPr>
                <w:rFonts w:ascii="Arial Narrow" w:hAnsi="Arial Narrow" w:cs="Calibri"/>
                <w:color w:val="000000"/>
                <w:sz w:val="20"/>
                <w:szCs w:val="20"/>
                <w:lang w:eastAsia="en-AU"/>
              </w:rPr>
            </w:pPr>
          </w:p>
        </w:tc>
        <w:tc>
          <w:tcPr>
            <w:tcW w:w="446" w:type="dxa"/>
            <w:shd w:val="clear" w:color="auto" w:fill="auto"/>
            <w:noWrap/>
          </w:tcPr>
          <w:p w14:paraId="26AA4210" w14:textId="77777777" w:rsidR="00F33674" w:rsidRPr="00F33674" w:rsidRDefault="00F33674" w:rsidP="00F33674">
            <w:pPr>
              <w:jc w:val="left"/>
              <w:rPr>
                <w:rFonts w:ascii="Arial Narrow" w:hAnsi="Arial Narrow" w:cs="Calibri"/>
                <w:color w:val="000000"/>
                <w:sz w:val="20"/>
                <w:szCs w:val="20"/>
                <w:lang w:eastAsia="en-AU"/>
              </w:rPr>
            </w:pPr>
          </w:p>
        </w:tc>
        <w:tc>
          <w:tcPr>
            <w:tcW w:w="2350" w:type="dxa"/>
            <w:shd w:val="clear" w:color="auto" w:fill="auto"/>
            <w:noWrap/>
            <w:hideMark/>
          </w:tcPr>
          <w:p w14:paraId="6CB51E3A"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Tramal</w:t>
            </w:r>
          </w:p>
        </w:tc>
        <w:tc>
          <w:tcPr>
            <w:tcW w:w="1701" w:type="dxa"/>
            <w:shd w:val="clear" w:color="auto" w:fill="auto"/>
            <w:noWrap/>
            <w:hideMark/>
          </w:tcPr>
          <w:p w14:paraId="7B557CAB"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Seqirus (Australia) Pty Ltd</w:t>
            </w:r>
          </w:p>
        </w:tc>
      </w:tr>
      <w:tr w:rsidR="00F33674" w:rsidRPr="00F33674" w14:paraId="0EC36925" w14:textId="77777777" w:rsidTr="00F33674">
        <w:trPr>
          <w:trHeight w:val="300"/>
        </w:trPr>
        <w:tc>
          <w:tcPr>
            <w:tcW w:w="1456" w:type="dxa"/>
            <w:shd w:val="clear" w:color="auto" w:fill="auto"/>
            <w:noWrap/>
          </w:tcPr>
          <w:p w14:paraId="2C4C29BA" w14:textId="77777777" w:rsidR="00F33674" w:rsidRPr="00F33674" w:rsidRDefault="00F33674" w:rsidP="00F33674">
            <w:pPr>
              <w:jc w:val="left"/>
              <w:rPr>
                <w:rFonts w:ascii="Arial Narrow" w:hAnsi="Arial Narrow" w:cs="Calibri"/>
                <w:color w:val="000000"/>
                <w:sz w:val="20"/>
                <w:szCs w:val="20"/>
                <w:lang w:eastAsia="en-AU"/>
              </w:rPr>
            </w:pPr>
          </w:p>
        </w:tc>
        <w:tc>
          <w:tcPr>
            <w:tcW w:w="1381" w:type="dxa"/>
          </w:tcPr>
          <w:p w14:paraId="00E987DC" w14:textId="77777777" w:rsidR="00F33674" w:rsidRPr="00F33674" w:rsidRDefault="00F33674" w:rsidP="00F33674">
            <w:pPr>
              <w:jc w:val="left"/>
              <w:rPr>
                <w:rFonts w:ascii="Arial Narrow" w:hAnsi="Arial Narrow" w:cs="Calibri"/>
                <w:color w:val="000000"/>
                <w:sz w:val="20"/>
                <w:szCs w:val="20"/>
                <w:lang w:eastAsia="en-AU"/>
              </w:rPr>
            </w:pPr>
          </w:p>
        </w:tc>
        <w:tc>
          <w:tcPr>
            <w:tcW w:w="2079" w:type="dxa"/>
            <w:vMerge/>
            <w:shd w:val="clear" w:color="auto" w:fill="auto"/>
            <w:noWrap/>
          </w:tcPr>
          <w:p w14:paraId="1A0DBABF" w14:textId="77777777" w:rsidR="00F33674" w:rsidRPr="00F33674" w:rsidRDefault="00F33674" w:rsidP="00F33674">
            <w:pPr>
              <w:jc w:val="left"/>
              <w:rPr>
                <w:rFonts w:ascii="Arial Narrow" w:hAnsi="Arial Narrow" w:cs="Calibri"/>
                <w:color w:val="000000"/>
                <w:sz w:val="20"/>
                <w:szCs w:val="20"/>
                <w:lang w:eastAsia="en-AU"/>
              </w:rPr>
            </w:pPr>
          </w:p>
        </w:tc>
        <w:tc>
          <w:tcPr>
            <w:tcW w:w="464" w:type="dxa"/>
            <w:shd w:val="clear" w:color="auto" w:fill="auto"/>
            <w:noWrap/>
          </w:tcPr>
          <w:p w14:paraId="1BC1F13B" w14:textId="77777777" w:rsidR="00F33674" w:rsidRPr="00F33674" w:rsidRDefault="00F33674" w:rsidP="00F33674">
            <w:pPr>
              <w:jc w:val="left"/>
              <w:rPr>
                <w:rFonts w:ascii="Arial Narrow" w:hAnsi="Arial Narrow" w:cs="Calibri"/>
                <w:color w:val="000000"/>
                <w:sz w:val="20"/>
                <w:szCs w:val="20"/>
                <w:lang w:eastAsia="en-AU"/>
              </w:rPr>
            </w:pPr>
          </w:p>
        </w:tc>
        <w:tc>
          <w:tcPr>
            <w:tcW w:w="446" w:type="dxa"/>
            <w:shd w:val="clear" w:color="auto" w:fill="auto"/>
            <w:noWrap/>
          </w:tcPr>
          <w:p w14:paraId="7A501A1E" w14:textId="77777777" w:rsidR="00F33674" w:rsidRPr="00F33674" w:rsidRDefault="00F33674" w:rsidP="00F33674">
            <w:pPr>
              <w:jc w:val="left"/>
              <w:rPr>
                <w:rFonts w:ascii="Arial Narrow" w:hAnsi="Arial Narrow" w:cs="Calibri"/>
                <w:color w:val="000000"/>
                <w:sz w:val="20"/>
                <w:szCs w:val="20"/>
                <w:lang w:eastAsia="en-AU"/>
              </w:rPr>
            </w:pPr>
          </w:p>
        </w:tc>
        <w:tc>
          <w:tcPr>
            <w:tcW w:w="2350" w:type="dxa"/>
            <w:shd w:val="clear" w:color="auto" w:fill="auto"/>
            <w:noWrap/>
            <w:hideMark/>
          </w:tcPr>
          <w:p w14:paraId="6E06E380"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Tramedo</w:t>
            </w:r>
          </w:p>
        </w:tc>
        <w:tc>
          <w:tcPr>
            <w:tcW w:w="1701" w:type="dxa"/>
            <w:shd w:val="clear" w:color="auto" w:fill="auto"/>
            <w:noWrap/>
            <w:hideMark/>
          </w:tcPr>
          <w:p w14:paraId="19528BA1"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Alphapharm Pty Ltd</w:t>
            </w:r>
          </w:p>
        </w:tc>
      </w:tr>
      <w:tr w:rsidR="00F33674" w:rsidRPr="00F33674" w14:paraId="27D7BAB8" w14:textId="77777777" w:rsidTr="00F33674">
        <w:trPr>
          <w:trHeight w:val="300"/>
        </w:trPr>
        <w:tc>
          <w:tcPr>
            <w:tcW w:w="1456" w:type="dxa"/>
            <w:shd w:val="clear" w:color="auto" w:fill="auto"/>
            <w:noWrap/>
          </w:tcPr>
          <w:p w14:paraId="79A5791E" w14:textId="77777777" w:rsidR="00F33674" w:rsidRPr="00F33674" w:rsidRDefault="00F33674" w:rsidP="00F33674">
            <w:pPr>
              <w:jc w:val="left"/>
              <w:rPr>
                <w:rFonts w:ascii="Arial Narrow" w:hAnsi="Arial Narrow" w:cs="Calibri"/>
                <w:color w:val="000000"/>
                <w:sz w:val="20"/>
                <w:szCs w:val="20"/>
                <w:lang w:eastAsia="en-AU"/>
              </w:rPr>
            </w:pPr>
          </w:p>
        </w:tc>
        <w:tc>
          <w:tcPr>
            <w:tcW w:w="1381" w:type="dxa"/>
          </w:tcPr>
          <w:p w14:paraId="5C247B71" w14:textId="77777777" w:rsidR="00F33674" w:rsidRPr="00F33674" w:rsidRDefault="00F33674" w:rsidP="00F33674">
            <w:pPr>
              <w:jc w:val="left"/>
              <w:rPr>
                <w:rFonts w:ascii="Arial Narrow" w:hAnsi="Arial Narrow" w:cs="Calibri"/>
                <w:color w:val="000000"/>
                <w:sz w:val="20"/>
                <w:szCs w:val="20"/>
                <w:lang w:eastAsia="en-AU"/>
              </w:rPr>
            </w:pPr>
          </w:p>
        </w:tc>
        <w:tc>
          <w:tcPr>
            <w:tcW w:w="2079" w:type="dxa"/>
            <w:vMerge/>
            <w:shd w:val="clear" w:color="auto" w:fill="auto"/>
            <w:noWrap/>
          </w:tcPr>
          <w:p w14:paraId="7EA08E84" w14:textId="77777777" w:rsidR="00F33674" w:rsidRPr="00F33674" w:rsidRDefault="00F33674" w:rsidP="00F33674">
            <w:pPr>
              <w:jc w:val="left"/>
              <w:rPr>
                <w:rFonts w:ascii="Arial Narrow" w:hAnsi="Arial Narrow" w:cs="Calibri"/>
                <w:color w:val="000000"/>
                <w:sz w:val="20"/>
                <w:szCs w:val="20"/>
                <w:lang w:eastAsia="en-AU"/>
              </w:rPr>
            </w:pPr>
          </w:p>
        </w:tc>
        <w:tc>
          <w:tcPr>
            <w:tcW w:w="464" w:type="dxa"/>
            <w:shd w:val="clear" w:color="auto" w:fill="auto"/>
            <w:noWrap/>
          </w:tcPr>
          <w:p w14:paraId="70885071" w14:textId="77777777" w:rsidR="00F33674" w:rsidRPr="00F33674" w:rsidRDefault="00F33674" w:rsidP="00F33674">
            <w:pPr>
              <w:jc w:val="left"/>
              <w:rPr>
                <w:rFonts w:ascii="Arial Narrow" w:hAnsi="Arial Narrow" w:cs="Calibri"/>
                <w:color w:val="000000"/>
                <w:sz w:val="20"/>
                <w:szCs w:val="20"/>
                <w:lang w:eastAsia="en-AU"/>
              </w:rPr>
            </w:pPr>
          </w:p>
        </w:tc>
        <w:tc>
          <w:tcPr>
            <w:tcW w:w="446" w:type="dxa"/>
            <w:shd w:val="clear" w:color="auto" w:fill="auto"/>
            <w:noWrap/>
          </w:tcPr>
          <w:p w14:paraId="3882EDDF" w14:textId="77777777" w:rsidR="00F33674" w:rsidRPr="00F33674" w:rsidRDefault="00F33674" w:rsidP="00F33674">
            <w:pPr>
              <w:jc w:val="left"/>
              <w:rPr>
                <w:rFonts w:ascii="Arial Narrow" w:hAnsi="Arial Narrow" w:cs="Calibri"/>
                <w:color w:val="000000"/>
                <w:sz w:val="20"/>
                <w:szCs w:val="20"/>
                <w:lang w:eastAsia="en-AU"/>
              </w:rPr>
            </w:pPr>
          </w:p>
        </w:tc>
        <w:tc>
          <w:tcPr>
            <w:tcW w:w="2350" w:type="dxa"/>
            <w:shd w:val="clear" w:color="auto" w:fill="auto"/>
            <w:noWrap/>
            <w:hideMark/>
          </w:tcPr>
          <w:p w14:paraId="11EC505E"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Zydol</w:t>
            </w:r>
          </w:p>
        </w:tc>
        <w:tc>
          <w:tcPr>
            <w:tcW w:w="1701" w:type="dxa"/>
            <w:shd w:val="clear" w:color="auto" w:fill="auto"/>
            <w:noWrap/>
            <w:hideMark/>
          </w:tcPr>
          <w:p w14:paraId="31D3DD26"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Arrow Pharma Pty Ltd</w:t>
            </w:r>
          </w:p>
        </w:tc>
      </w:tr>
      <w:tr w:rsidR="00F33674" w:rsidRPr="00F33674" w14:paraId="13012226" w14:textId="77777777" w:rsidTr="00F33674">
        <w:trPr>
          <w:trHeight w:val="300"/>
        </w:trPr>
        <w:tc>
          <w:tcPr>
            <w:tcW w:w="1456" w:type="dxa"/>
            <w:shd w:val="clear" w:color="auto" w:fill="auto"/>
            <w:noWrap/>
            <w:hideMark/>
          </w:tcPr>
          <w:p w14:paraId="1A22FC5D"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TRAMADOL</w:t>
            </w:r>
          </w:p>
        </w:tc>
        <w:tc>
          <w:tcPr>
            <w:tcW w:w="1381" w:type="dxa"/>
          </w:tcPr>
          <w:p w14:paraId="4B383541"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8582Q</w:t>
            </w:r>
          </w:p>
        </w:tc>
        <w:tc>
          <w:tcPr>
            <w:tcW w:w="2079" w:type="dxa"/>
            <w:vMerge w:val="restart"/>
            <w:shd w:val="clear" w:color="auto" w:fill="auto"/>
            <w:noWrap/>
            <w:hideMark/>
          </w:tcPr>
          <w:p w14:paraId="465FE4AA"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Injection containing tramadol hydrochloride 100 mg in 2 mL</w:t>
            </w:r>
          </w:p>
        </w:tc>
        <w:tc>
          <w:tcPr>
            <w:tcW w:w="464" w:type="dxa"/>
            <w:shd w:val="clear" w:color="auto" w:fill="auto"/>
            <w:noWrap/>
            <w:hideMark/>
          </w:tcPr>
          <w:p w14:paraId="67D436BB"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5</w:t>
            </w:r>
          </w:p>
        </w:tc>
        <w:tc>
          <w:tcPr>
            <w:tcW w:w="446" w:type="dxa"/>
            <w:shd w:val="clear" w:color="auto" w:fill="auto"/>
            <w:noWrap/>
            <w:hideMark/>
          </w:tcPr>
          <w:p w14:paraId="53449021"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0</w:t>
            </w:r>
          </w:p>
        </w:tc>
        <w:tc>
          <w:tcPr>
            <w:tcW w:w="2350" w:type="dxa"/>
            <w:shd w:val="clear" w:color="auto" w:fill="auto"/>
            <w:noWrap/>
            <w:hideMark/>
          </w:tcPr>
          <w:p w14:paraId="085A26EC"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Tramadol ACT</w:t>
            </w:r>
          </w:p>
        </w:tc>
        <w:tc>
          <w:tcPr>
            <w:tcW w:w="1701" w:type="dxa"/>
            <w:shd w:val="clear" w:color="auto" w:fill="auto"/>
            <w:noWrap/>
            <w:hideMark/>
          </w:tcPr>
          <w:p w14:paraId="0593D28D"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Juno Pharmaceuticals Pty Ltd</w:t>
            </w:r>
          </w:p>
        </w:tc>
      </w:tr>
      <w:tr w:rsidR="00F33674" w:rsidRPr="00F33674" w14:paraId="0D9265B4" w14:textId="77777777" w:rsidTr="00F33674">
        <w:trPr>
          <w:trHeight w:val="300"/>
        </w:trPr>
        <w:tc>
          <w:tcPr>
            <w:tcW w:w="1456" w:type="dxa"/>
            <w:shd w:val="clear" w:color="auto" w:fill="auto"/>
            <w:noWrap/>
          </w:tcPr>
          <w:p w14:paraId="2D87C4C0" w14:textId="77777777" w:rsidR="00F33674" w:rsidRPr="00F33674" w:rsidRDefault="00F33674" w:rsidP="00F33674">
            <w:pPr>
              <w:jc w:val="left"/>
              <w:rPr>
                <w:rFonts w:ascii="Arial Narrow" w:hAnsi="Arial Narrow" w:cs="Calibri"/>
                <w:color w:val="000000"/>
                <w:sz w:val="20"/>
                <w:szCs w:val="20"/>
                <w:lang w:eastAsia="en-AU"/>
              </w:rPr>
            </w:pPr>
          </w:p>
        </w:tc>
        <w:tc>
          <w:tcPr>
            <w:tcW w:w="1381" w:type="dxa"/>
          </w:tcPr>
          <w:p w14:paraId="4C93D563" w14:textId="77777777" w:rsidR="00F33674" w:rsidRPr="00F33674" w:rsidRDefault="00F33674" w:rsidP="00F33674">
            <w:pPr>
              <w:jc w:val="left"/>
              <w:rPr>
                <w:rFonts w:ascii="Arial Narrow" w:hAnsi="Arial Narrow" w:cs="Calibri"/>
                <w:color w:val="000000"/>
                <w:sz w:val="20"/>
                <w:szCs w:val="20"/>
                <w:lang w:eastAsia="en-AU"/>
              </w:rPr>
            </w:pPr>
          </w:p>
        </w:tc>
        <w:tc>
          <w:tcPr>
            <w:tcW w:w="2079" w:type="dxa"/>
            <w:vMerge/>
            <w:shd w:val="clear" w:color="auto" w:fill="auto"/>
            <w:noWrap/>
          </w:tcPr>
          <w:p w14:paraId="5E6E166C" w14:textId="77777777" w:rsidR="00F33674" w:rsidRPr="00F33674" w:rsidRDefault="00F33674" w:rsidP="00F33674">
            <w:pPr>
              <w:jc w:val="left"/>
              <w:rPr>
                <w:rFonts w:ascii="Arial Narrow" w:hAnsi="Arial Narrow" w:cs="Calibri"/>
                <w:color w:val="000000"/>
                <w:sz w:val="20"/>
                <w:szCs w:val="20"/>
                <w:lang w:eastAsia="en-AU"/>
              </w:rPr>
            </w:pPr>
          </w:p>
        </w:tc>
        <w:tc>
          <w:tcPr>
            <w:tcW w:w="464" w:type="dxa"/>
            <w:shd w:val="clear" w:color="auto" w:fill="auto"/>
            <w:noWrap/>
          </w:tcPr>
          <w:p w14:paraId="405F16CF" w14:textId="77777777" w:rsidR="00F33674" w:rsidRPr="00F33674" w:rsidRDefault="00F33674" w:rsidP="00F33674">
            <w:pPr>
              <w:jc w:val="left"/>
              <w:rPr>
                <w:rFonts w:ascii="Arial Narrow" w:hAnsi="Arial Narrow" w:cs="Calibri"/>
                <w:color w:val="000000"/>
                <w:sz w:val="20"/>
                <w:szCs w:val="20"/>
                <w:lang w:eastAsia="en-AU"/>
              </w:rPr>
            </w:pPr>
          </w:p>
        </w:tc>
        <w:tc>
          <w:tcPr>
            <w:tcW w:w="446" w:type="dxa"/>
            <w:shd w:val="clear" w:color="auto" w:fill="auto"/>
            <w:noWrap/>
          </w:tcPr>
          <w:p w14:paraId="1AFADA6B" w14:textId="77777777" w:rsidR="00F33674" w:rsidRPr="00F33674" w:rsidRDefault="00F33674" w:rsidP="00F33674">
            <w:pPr>
              <w:jc w:val="left"/>
              <w:rPr>
                <w:rFonts w:ascii="Arial Narrow" w:hAnsi="Arial Narrow" w:cs="Calibri"/>
                <w:color w:val="000000"/>
                <w:sz w:val="20"/>
                <w:szCs w:val="20"/>
                <w:lang w:eastAsia="en-AU"/>
              </w:rPr>
            </w:pPr>
          </w:p>
        </w:tc>
        <w:tc>
          <w:tcPr>
            <w:tcW w:w="2350" w:type="dxa"/>
            <w:shd w:val="clear" w:color="auto" w:fill="auto"/>
            <w:noWrap/>
          </w:tcPr>
          <w:p w14:paraId="2499FED5"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Tramadol AN</w:t>
            </w:r>
          </w:p>
        </w:tc>
        <w:tc>
          <w:tcPr>
            <w:tcW w:w="1701" w:type="dxa"/>
            <w:shd w:val="clear" w:color="auto" w:fill="auto"/>
            <w:noWrap/>
            <w:hideMark/>
          </w:tcPr>
          <w:p w14:paraId="42D2018D"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Juno Pharmaceuticals Pty Ltd</w:t>
            </w:r>
          </w:p>
        </w:tc>
      </w:tr>
      <w:tr w:rsidR="00F33674" w:rsidRPr="00F33674" w14:paraId="5E3EB46E" w14:textId="77777777" w:rsidTr="00F33674">
        <w:trPr>
          <w:trHeight w:val="300"/>
        </w:trPr>
        <w:tc>
          <w:tcPr>
            <w:tcW w:w="1456" w:type="dxa"/>
            <w:shd w:val="clear" w:color="auto" w:fill="auto"/>
            <w:noWrap/>
          </w:tcPr>
          <w:p w14:paraId="445457F2" w14:textId="77777777" w:rsidR="00F33674" w:rsidRPr="00F33674" w:rsidRDefault="00F33674" w:rsidP="00F33674">
            <w:pPr>
              <w:jc w:val="left"/>
              <w:rPr>
                <w:rFonts w:ascii="Arial Narrow" w:hAnsi="Arial Narrow" w:cs="Calibri"/>
                <w:color w:val="000000"/>
                <w:sz w:val="20"/>
                <w:szCs w:val="20"/>
                <w:lang w:eastAsia="en-AU"/>
              </w:rPr>
            </w:pPr>
          </w:p>
        </w:tc>
        <w:tc>
          <w:tcPr>
            <w:tcW w:w="1381" w:type="dxa"/>
          </w:tcPr>
          <w:p w14:paraId="72BEC989" w14:textId="77777777" w:rsidR="00F33674" w:rsidRPr="00F33674" w:rsidRDefault="00F33674" w:rsidP="00F33674">
            <w:pPr>
              <w:jc w:val="left"/>
              <w:rPr>
                <w:rFonts w:ascii="Arial Narrow" w:hAnsi="Arial Narrow" w:cs="Calibri"/>
                <w:color w:val="000000"/>
                <w:sz w:val="20"/>
                <w:szCs w:val="20"/>
                <w:lang w:eastAsia="en-AU"/>
              </w:rPr>
            </w:pPr>
          </w:p>
        </w:tc>
        <w:tc>
          <w:tcPr>
            <w:tcW w:w="2079" w:type="dxa"/>
            <w:vMerge/>
            <w:shd w:val="clear" w:color="auto" w:fill="auto"/>
            <w:noWrap/>
          </w:tcPr>
          <w:p w14:paraId="1C4678D2" w14:textId="77777777" w:rsidR="00F33674" w:rsidRPr="00F33674" w:rsidRDefault="00F33674" w:rsidP="00F33674">
            <w:pPr>
              <w:jc w:val="left"/>
              <w:rPr>
                <w:rFonts w:ascii="Arial Narrow" w:hAnsi="Arial Narrow" w:cs="Calibri"/>
                <w:color w:val="000000"/>
                <w:sz w:val="20"/>
                <w:szCs w:val="20"/>
                <w:lang w:eastAsia="en-AU"/>
              </w:rPr>
            </w:pPr>
          </w:p>
        </w:tc>
        <w:tc>
          <w:tcPr>
            <w:tcW w:w="464" w:type="dxa"/>
            <w:shd w:val="clear" w:color="auto" w:fill="auto"/>
            <w:noWrap/>
          </w:tcPr>
          <w:p w14:paraId="5695C111" w14:textId="77777777" w:rsidR="00F33674" w:rsidRPr="00F33674" w:rsidRDefault="00F33674" w:rsidP="00F33674">
            <w:pPr>
              <w:jc w:val="left"/>
              <w:rPr>
                <w:rFonts w:ascii="Arial Narrow" w:hAnsi="Arial Narrow" w:cs="Calibri"/>
                <w:color w:val="000000"/>
                <w:sz w:val="20"/>
                <w:szCs w:val="20"/>
                <w:lang w:eastAsia="en-AU"/>
              </w:rPr>
            </w:pPr>
          </w:p>
        </w:tc>
        <w:tc>
          <w:tcPr>
            <w:tcW w:w="446" w:type="dxa"/>
            <w:shd w:val="clear" w:color="auto" w:fill="auto"/>
            <w:noWrap/>
          </w:tcPr>
          <w:p w14:paraId="4A1C8C88" w14:textId="77777777" w:rsidR="00F33674" w:rsidRPr="00F33674" w:rsidRDefault="00F33674" w:rsidP="00F33674">
            <w:pPr>
              <w:jc w:val="left"/>
              <w:rPr>
                <w:rFonts w:ascii="Arial Narrow" w:hAnsi="Arial Narrow" w:cs="Calibri"/>
                <w:color w:val="000000"/>
                <w:sz w:val="20"/>
                <w:szCs w:val="20"/>
                <w:lang w:eastAsia="en-AU"/>
              </w:rPr>
            </w:pPr>
          </w:p>
        </w:tc>
        <w:tc>
          <w:tcPr>
            <w:tcW w:w="2350" w:type="dxa"/>
            <w:shd w:val="clear" w:color="auto" w:fill="auto"/>
            <w:noWrap/>
          </w:tcPr>
          <w:p w14:paraId="444811B3"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Tramadol Sandoz</w:t>
            </w:r>
          </w:p>
        </w:tc>
        <w:tc>
          <w:tcPr>
            <w:tcW w:w="1701" w:type="dxa"/>
            <w:shd w:val="clear" w:color="auto" w:fill="auto"/>
            <w:noWrap/>
            <w:hideMark/>
          </w:tcPr>
          <w:p w14:paraId="1BDBE722"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Sandoz Pty Ltd</w:t>
            </w:r>
          </w:p>
        </w:tc>
      </w:tr>
      <w:tr w:rsidR="00F33674" w:rsidRPr="00F33674" w14:paraId="4DD5E639" w14:textId="77777777" w:rsidTr="00F33674">
        <w:trPr>
          <w:trHeight w:val="300"/>
        </w:trPr>
        <w:tc>
          <w:tcPr>
            <w:tcW w:w="1456" w:type="dxa"/>
            <w:shd w:val="clear" w:color="auto" w:fill="auto"/>
            <w:noWrap/>
          </w:tcPr>
          <w:p w14:paraId="269CB8D4" w14:textId="77777777" w:rsidR="00F33674" w:rsidRPr="00F33674" w:rsidRDefault="00F33674" w:rsidP="00F33674">
            <w:pPr>
              <w:jc w:val="left"/>
              <w:rPr>
                <w:rFonts w:ascii="Arial Narrow" w:hAnsi="Arial Narrow" w:cs="Calibri"/>
                <w:color w:val="000000"/>
                <w:sz w:val="20"/>
                <w:szCs w:val="20"/>
                <w:lang w:eastAsia="en-AU"/>
              </w:rPr>
            </w:pPr>
          </w:p>
        </w:tc>
        <w:tc>
          <w:tcPr>
            <w:tcW w:w="1381" w:type="dxa"/>
          </w:tcPr>
          <w:p w14:paraId="656B60D3" w14:textId="77777777" w:rsidR="00F33674" w:rsidRPr="00F33674" w:rsidRDefault="00F33674" w:rsidP="00F33674">
            <w:pPr>
              <w:jc w:val="left"/>
              <w:rPr>
                <w:rFonts w:ascii="Arial Narrow" w:hAnsi="Arial Narrow" w:cs="Calibri"/>
                <w:color w:val="000000"/>
                <w:sz w:val="20"/>
                <w:szCs w:val="20"/>
                <w:lang w:eastAsia="en-AU"/>
              </w:rPr>
            </w:pPr>
          </w:p>
        </w:tc>
        <w:tc>
          <w:tcPr>
            <w:tcW w:w="2079" w:type="dxa"/>
            <w:vMerge/>
            <w:shd w:val="clear" w:color="auto" w:fill="auto"/>
            <w:noWrap/>
          </w:tcPr>
          <w:p w14:paraId="636E6740" w14:textId="77777777" w:rsidR="00F33674" w:rsidRPr="00F33674" w:rsidRDefault="00F33674" w:rsidP="00F33674">
            <w:pPr>
              <w:jc w:val="left"/>
              <w:rPr>
                <w:rFonts w:ascii="Arial Narrow" w:hAnsi="Arial Narrow" w:cs="Calibri"/>
                <w:color w:val="000000"/>
                <w:sz w:val="20"/>
                <w:szCs w:val="20"/>
                <w:lang w:eastAsia="en-AU"/>
              </w:rPr>
            </w:pPr>
          </w:p>
        </w:tc>
        <w:tc>
          <w:tcPr>
            <w:tcW w:w="464" w:type="dxa"/>
            <w:shd w:val="clear" w:color="auto" w:fill="auto"/>
            <w:noWrap/>
          </w:tcPr>
          <w:p w14:paraId="1D7BF1F8" w14:textId="77777777" w:rsidR="00F33674" w:rsidRPr="00F33674" w:rsidRDefault="00F33674" w:rsidP="00F33674">
            <w:pPr>
              <w:jc w:val="left"/>
              <w:rPr>
                <w:rFonts w:ascii="Arial Narrow" w:hAnsi="Arial Narrow" w:cs="Calibri"/>
                <w:color w:val="000000"/>
                <w:sz w:val="20"/>
                <w:szCs w:val="20"/>
                <w:lang w:eastAsia="en-AU"/>
              </w:rPr>
            </w:pPr>
          </w:p>
        </w:tc>
        <w:tc>
          <w:tcPr>
            <w:tcW w:w="446" w:type="dxa"/>
            <w:shd w:val="clear" w:color="auto" w:fill="auto"/>
            <w:noWrap/>
          </w:tcPr>
          <w:p w14:paraId="36FE8A44" w14:textId="77777777" w:rsidR="00F33674" w:rsidRPr="00F33674" w:rsidRDefault="00F33674" w:rsidP="00F33674">
            <w:pPr>
              <w:jc w:val="left"/>
              <w:rPr>
                <w:rFonts w:ascii="Arial Narrow" w:hAnsi="Arial Narrow" w:cs="Calibri"/>
                <w:color w:val="000000"/>
                <w:sz w:val="20"/>
                <w:szCs w:val="20"/>
                <w:lang w:eastAsia="en-AU"/>
              </w:rPr>
            </w:pPr>
          </w:p>
        </w:tc>
        <w:tc>
          <w:tcPr>
            <w:tcW w:w="2350" w:type="dxa"/>
            <w:shd w:val="clear" w:color="auto" w:fill="auto"/>
            <w:noWrap/>
          </w:tcPr>
          <w:p w14:paraId="5E0B1E01"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Tramal 100</w:t>
            </w:r>
          </w:p>
        </w:tc>
        <w:tc>
          <w:tcPr>
            <w:tcW w:w="1701" w:type="dxa"/>
            <w:shd w:val="clear" w:color="auto" w:fill="auto"/>
            <w:noWrap/>
            <w:hideMark/>
          </w:tcPr>
          <w:p w14:paraId="6B8AFB41"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Seqirus (Australia) Pty Ltd</w:t>
            </w:r>
          </w:p>
        </w:tc>
      </w:tr>
      <w:tr w:rsidR="00F33674" w:rsidRPr="00F33674" w14:paraId="702EBA94" w14:textId="77777777" w:rsidTr="00F33674">
        <w:trPr>
          <w:trHeight w:val="300"/>
        </w:trPr>
        <w:tc>
          <w:tcPr>
            <w:tcW w:w="1456" w:type="dxa"/>
            <w:shd w:val="clear" w:color="auto" w:fill="auto"/>
            <w:noWrap/>
            <w:hideMark/>
          </w:tcPr>
          <w:p w14:paraId="21EDEB0E"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TRAMADOL</w:t>
            </w:r>
          </w:p>
        </w:tc>
        <w:tc>
          <w:tcPr>
            <w:tcW w:w="1381" w:type="dxa"/>
          </w:tcPr>
          <w:p w14:paraId="3F5F4377"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8843K</w:t>
            </w:r>
          </w:p>
        </w:tc>
        <w:tc>
          <w:tcPr>
            <w:tcW w:w="2079" w:type="dxa"/>
            <w:shd w:val="clear" w:color="auto" w:fill="auto"/>
            <w:noWrap/>
            <w:hideMark/>
          </w:tcPr>
          <w:p w14:paraId="44ABFBBB"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Oral drops containing tramadol hydrochloride 100 mg per mL, 10 mL</w:t>
            </w:r>
          </w:p>
        </w:tc>
        <w:tc>
          <w:tcPr>
            <w:tcW w:w="464" w:type="dxa"/>
            <w:shd w:val="clear" w:color="auto" w:fill="auto"/>
            <w:noWrap/>
            <w:hideMark/>
          </w:tcPr>
          <w:p w14:paraId="14E50410"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1</w:t>
            </w:r>
          </w:p>
        </w:tc>
        <w:tc>
          <w:tcPr>
            <w:tcW w:w="446" w:type="dxa"/>
            <w:shd w:val="clear" w:color="auto" w:fill="auto"/>
            <w:noWrap/>
            <w:hideMark/>
          </w:tcPr>
          <w:p w14:paraId="30D98619"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0</w:t>
            </w:r>
          </w:p>
        </w:tc>
        <w:tc>
          <w:tcPr>
            <w:tcW w:w="2350" w:type="dxa"/>
            <w:shd w:val="clear" w:color="auto" w:fill="auto"/>
            <w:noWrap/>
            <w:hideMark/>
          </w:tcPr>
          <w:p w14:paraId="23FA2DF9"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Tramal</w:t>
            </w:r>
          </w:p>
        </w:tc>
        <w:tc>
          <w:tcPr>
            <w:tcW w:w="1701" w:type="dxa"/>
            <w:shd w:val="clear" w:color="auto" w:fill="auto"/>
            <w:noWrap/>
            <w:hideMark/>
          </w:tcPr>
          <w:p w14:paraId="4FC26879"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Seqirus (Australia) Pty Ltd</w:t>
            </w:r>
          </w:p>
        </w:tc>
      </w:tr>
    </w:tbl>
    <w:p w14:paraId="4BB8AAB0" w14:textId="77777777" w:rsidR="00F33674" w:rsidRPr="00F33674" w:rsidRDefault="00F33674" w:rsidP="00F33674">
      <w:pPr>
        <w:ind w:left="360" w:hanging="360"/>
        <w:contextualSpacing/>
        <w:jc w:val="left"/>
      </w:pPr>
    </w:p>
    <w:tbl>
      <w:tblPr>
        <w:tblW w:w="9214" w:type="dxa"/>
        <w:tblInd w:w="-5" w:type="dxa"/>
        <w:tblLayout w:type="fixed"/>
        <w:tblLook w:val="0000" w:firstRow="0" w:lastRow="0" w:firstColumn="0" w:lastColumn="0" w:noHBand="0" w:noVBand="0"/>
      </w:tblPr>
      <w:tblGrid>
        <w:gridCol w:w="2835"/>
        <w:gridCol w:w="6379"/>
      </w:tblGrid>
      <w:tr w:rsidR="00F33674" w:rsidRPr="00F33674" w14:paraId="45C82BC0" w14:textId="77777777" w:rsidTr="00F33674">
        <w:trPr>
          <w:cantSplit/>
          <w:trHeight w:val="360"/>
        </w:trPr>
        <w:tc>
          <w:tcPr>
            <w:tcW w:w="2835" w:type="dxa"/>
            <w:tcBorders>
              <w:top w:val="single" w:sz="4" w:space="0" w:color="auto"/>
              <w:left w:val="single" w:sz="4" w:space="0" w:color="auto"/>
              <w:bottom w:val="single" w:sz="4" w:space="0" w:color="auto"/>
              <w:right w:val="single" w:sz="4" w:space="0" w:color="auto"/>
            </w:tcBorders>
          </w:tcPr>
          <w:p w14:paraId="06790393" w14:textId="77777777" w:rsidR="00F33674" w:rsidRPr="00F33674" w:rsidRDefault="00F33674" w:rsidP="00F33674">
            <w:pPr>
              <w:rPr>
                <w:rFonts w:ascii="Arial Narrow" w:hAnsi="Arial Narrow" w:cs="Arial"/>
                <w:b/>
                <w:sz w:val="20"/>
                <w:szCs w:val="20"/>
              </w:rPr>
            </w:pPr>
            <w:r w:rsidRPr="00F33674">
              <w:rPr>
                <w:rFonts w:ascii="Arial Narrow" w:hAnsi="Arial Narrow" w:cs="Arial"/>
                <w:b/>
                <w:sz w:val="20"/>
                <w:szCs w:val="20"/>
              </w:rPr>
              <w:t>Category / Program:</w:t>
            </w:r>
          </w:p>
        </w:tc>
        <w:tc>
          <w:tcPr>
            <w:tcW w:w="6379" w:type="dxa"/>
            <w:tcBorders>
              <w:top w:val="single" w:sz="4" w:space="0" w:color="auto"/>
              <w:left w:val="single" w:sz="4" w:space="0" w:color="auto"/>
              <w:bottom w:val="single" w:sz="4" w:space="0" w:color="auto"/>
              <w:right w:val="single" w:sz="4" w:space="0" w:color="auto"/>
            </w:tcBorders>
          </w:tcPr>
          <w:p w14:paraId="6B8AC583" w14:textId="77777777" w:rsidR="00F33674" w:rsidRPr="00F33674" w:rsidRDefault="00F33674" w:rsidP="00F33674">
            <w:pPr>
              <w:rPr>
                <w:rFonts w:ascii="Arial Narrow" w:hAnsi="Arial Narrow" w:cs="Arial"/>
                <w:sz w:val="20"/>
                <w:szCs w:val="20"/>
              </w:rPr>
            </w:pPr>
            <w:r w:rsidRPr="00F33674">
              <w:rPr>
                <w:rFonts w:ascii="Arial Narrow" w:hAnsi="Arial Narrow" w:cs="Arial"/>
                <w:sz w:val="20"/>
                <w:szCs w:val="20"/>
              </w:rPr>
              <w:t>GENERAL – General Schedule (Code GE)</w:t>
            </w:r>
          </w:p>
        </w:tc>
      </w:tr>
      <w:tr w:rsidR="00F33674" w:rsidRPr="00F33674" w14:paraId="7F0E5519" w14:textId="77777777" w:rsidTr="00F33674">
        <w:trPr>
          <w:cantSplit/>
          <w:trHeight w:val="360"/>
        </w:trPr>
        <w:tc>
          <w:tcPr>
            <w:tcW w:w="2835" w:type="dxa"/>
            <w:tcBorders>
              <w:top w:val="single" w:sz="4" w:space="0" w:color="auto"/>
              <w:left w:val="single" w:sz="4" w:space="0" w:color="auto"/>
              <w:bottom w:val="single" w:sz="4" w:space="0" w:color="auto"/>
              <w:right w:val="single" w:sz="4" w:space="0" w:color="auto"/>
            </w:tcBorders>
          </w:tcPr>
          <w:p w14:paraId="2B4333A7" w14:textId="77777777" w:rsidR="00F33674" w:rsidRPr="00F33674" w:rsidRDefault="00F33674" w:rsidP="00F33674">
            <w:pPr>
              <w:rPr>
                <w:rFonts w:ascii="Arial Narrow" w:hAnsi="Arial Narrow" w:cs="Arial"/>
                <w:b/>
                <w:sz w:val="20"/>
                <w:szCs w:val="20"/>
              </w:rPr>
            </w:pPr>
            <w:r w:rsidRPr="00F33674">
              <w:rPr>
                <w:rFonts w:ascii="Arial Narrow" w:hAnsi="Arial Narrow" w:cs="Arial"/>
                <w:b/>
                <w:sz w:val="20"/>
                <w:szCs w:val="20"/>
              </w:rPr>
              <w:t>Prescriber type:</w:t>
            </w:r>
          </w:p>
          <w:p w14:paraId="4C214B69" w14:textId="77777777" w:rsidR="00F33674" w:rsidRPr="00F33674" w:rsidRDefault="00F33674" w:rsidP="00F33674">
            <w:pPr>
              <w:rPr>
                <w:rFonts w:ascii="Arial Narrow" w:hAnsi="Arial Narrow" w:cs="Arial"/>
                <w:b/>
                <w:sz w:val="20"/>
                <w:szCs w:val="20"/>
              </w:rPr>
            </w:pPr>
          </w:p>
        </w:tc>
        <w:tc>
          <w:tcPr>
            <w:tcW w:w="6379" w:type="dxa"/>
            <w:tcBorders>
              <w:top w:val="single" w:sz="4" w:space="0" w:color="auto"/>
              <w:left w:val="single" w:sz="4" w:space="0" w:color="auto"/>
              <w:bottom w:val="single" w:sz="4" w:space="0" w:color="auto"/>
              <w:right w:val="single" w:sz="4" w:space="0" w:color="auto"/>
            </w:tcBorders>
          </w:tcPr>
          <w:p w14:paraId="3456C866" w14:textId="2AF399BD" w:rsidR="00F33674" w:rsidRPr="00F33674" w:rsidRDefault="00F33674" w:rsidP="00F33674">
            <w:pPr>
              <w:rPr>
                <w:rFonts w:ascii="Arial Narrow" w:hAnsi="Arial Narrow" w:cs="Arial"/>
                <w:sz w:val="20"/>
                <w:szCs w:val="20"/>
              </w:rPr>
            </w:pPr>
            <w:r w:rsidRPr="00F33674">
              <w:rPr>
                <w:rFonts w:ascii="Arial Narrow" w:hAnsi="Arial Narrow" w:cs="Arial"/>
                <w:sz w:val="20"/>
                <w:szCs w:val="20"/>
              </w:rPr>
              <w:fldChar w:fldCharType="begin">
                <w:ffData>
                  <w:name w:val="Check1"/>
                  <w:enabled/>
                  <w:calcOnExit w:val="0"/>
                  <w:checkBox>
                    <w:sizeAuto/>
                    <w:default w:val="0"/>
                  </w:checkBox>
                </w:ffData>
              </w:fldChar>
            </w:r>
            <w:r w:rsidRPr="00F33674">
              <w:rPr>
                <w:rFonts w:ascii="Arial Narrow" w:hAnsi="Arial Narrow" w:cs="Arial"/>
                <w:sz w:val="20"/>
                <w:szCs w:val="20"/>
              </w:rPr>
              <w:instrText xml:space="preserve"> FORMCHECKBOX </w:instrText>
            </w:r>
            <w:r w:rsidR="00233D13">
              <w:rPr>
                <w:rFonts w:ascii="Arial Narrow" w:hAnsi="Arial Narrow" w:cs="Arial"/>
                <w:sz w:val="20"/>
                <w:szCs w:val="20"/>
              </w:rPr>
            </w:r>
            <w:r w:rsidR="00233D13">
              <w:rPr>
                <w:rFonts w:ascii="Arial Narrow" w:hAnsi="Arial Narrow" w:cs="Arial"/>
                <w:sz w:val="20"/>
                <w:szCs w:val="20"/>
              </w:rPr>
              <w:fldChar w:fldCharType="separate"/>
            </w:r>
            <w:r w:rsidRPr="00F33674">
              <w:rPr>
                <w:rFonts w:ascii="Arial Narrow" w:hAnsi="Arial Narrow" w:cs="Arial"/>
                <w:sz w:val="20"/>
                <w:szCs w:val="20"/>
              </w:rPr>
              <w:fldChar w:fldCharType="end"/>
            </w:r>
            <w:r w:rsidRPr="00F33674">
              <w:rPr>
                <w:rFonts w:ascii="Arial Narrow" w:hAnsi="Arial Narrow" w:cs="Arial"/>
                <w:sz w:val="20"/>
                <w:szCs w:val="20"/>
              </w:rPr>
              <w:t>Dental</w:t>
            </w:r>
            <w:r w:rsidR="002C1329">
              <w:rPr>
                <w:rFonts w:ascii="Arial Narrow" w:hAnsi="Arial Narrow" w:cs="Arial"/>
                <w:sz w:val="20"/>
                <w:szCs w:val="20"/>
              </w:rPr>
              <w:t xml:space="preserve"> </w:t>
            </w:r>
            <w:r w:rsidRPr="00F33674">
              <w:rPr>
                <w:rFonts w:ascii="Arial Narrow" w:hAnsi="Arial Narrow" w:cs="Arial"/>
                <w:sz w:val="20"/>
                <w:szCs w:val="20"/>
              </w:rPr>
              <w:fldChar w:fldCharType="begin">
                <w:ffData>
                  <w:name w:val=""/>
                  <w:enabled/>
                  <w:calcOnExit w:val="0"/>
                  <w:checkBox>
                    <w:sizeAuto/>
                    <w:default w:val="1"/>
                  </w:checkBox>
                </w:ffData>
              </w:fldChar>
            </w:r>
            <w:r w:rsidRPr="00F33674">
              <w:rPr>
                <w:rFonts w:ascii="Arial Narrow" w:hAnsi="Arial Narrow" w:cs="Arial"/>
                <w:sz w:val="20"/>
                <w:szCs w:val="20"/>
              </w:rPr>
              <w:instrText xml:space="preserve"> FORMCHECKBOX </w:instrText>
            </w:r>
            <w:r w:rsidR="00233D13">
              <w:rPr>
                <w:rFonts w:ascii="Arial Narrow" w:hAnsi="Arial Narrow" w:cs="Arial"/>
                <w:sz w:val="20"/>
                <w:szCs w:val="20"/>
              </w:rPr>
            </w:r>
            <w:r w:rsidR="00233D13">
              <w:rPr>
                <w:rFonts w:ascii="Arial Narrow" w:hAnsi="Arial Narrow" w:cs="Arial"/>
                <w:sz w:val="20"/>
                <w:szCs w:val="20"/>
              </w:rPr>
              <w:fldChar w:fldCharType="separate"/>
            </w:r>
            <w:r w:rsidRPr="00F33674">
              <w:rPr>
                <w:rFonts w:ascii="Arial Narrow" w:hAnsi="Arial Narrow" w:cs="Arial"/>
                <w:sz w:val="20"/>
                <w:szCs w:val="20"/>
              </w:rPr>
              <w:fldChar w:fldCharType="end"/>
            </w:r>
            <w:r w:rsidRPr="00F33674">
              <w:rPr>
                <w:rFonts w:ascii="Arial Narrow" w:hAnsi="Arial Narrow" w:cs="Arial"/>
                <w:sz w:val="20"/>
                <w:szCs w:val="20"/>
              </w:rPr>
              <w:t>Medical Practitioners</w:t>
            </w:r>
            <w:r w:rsidR="002C1329">
              <w:rPr>
                <w:rFonts w:ascii="Arial Narrow" w:hAnsi="Arial Narrow" w:cs="Arial"/>
                <w:sz w:val="20"/>
                <w:szCs w:val="20"/>
              </w:rPr>
              <w:t xml:space="preserve"> </w:t>
            </w:r>
            <w:r w:rsidRPr="00F33674">
              <w:rPr>
                <w:rFonts w:ascii="Arial Narrow" w:hAnsi="Arial Narrow" w:cs="Arial"/>
                <w:sz w:val="20"/>
                <w:szCs w:val="20"/>
              </w:rPr>
              <w:fldChar w:fldCharType="begin">
                <w:ffData>
                  <w:name w:val="Check3"/>
                  <w:enabled/>
                  <w:calcOnExit w:val="0"/>
                  <w:checkBox>
                    <w:sizeAuto/>
                    <w:default w:val="1"/>
                  </w:checkBox>
                </w:ffData>
              </w:fldChar>
            </w:r>
            <w:bookmarkStart w:id="12" w:name="Check3"/>
            <w:r w:rsidRPr="00F33674">
              <w:rPr>
                <w:rFonts w:ascii="Arial Narrow" w:hAnsi="Arial Narrow" w:cs="Arial"/>
                <w:sz w:val="20"/>
                <w:szCs w:val="20"/>
              </w:rPr>
              <w:instrText xml:space="preserve"> FORMCHECKBOX </w:instrText>
            </w:r>
            <w:r w:rsidR="00233D13">
              <w:rPr>
                <w:rFonts w:ascii="Arial Narrow" w:hAnsi="Arial Narrow" w:cs="Arial"/>
                <w:sz w:val="20"/>
                <w:szCs w:val="20"/>
              </w:rPr>
            </w:r>
            <w:r w:rsidR="00233D13">
              <w:rPr>
                <w:rFonts w:ascii="Arial Narrow" w:hAnsi="Arial Narrow" w:cs="Arial"/>
                <w:sz w:val="20"/>
                <w:szCs w:val="20"/>
              </w:rPr>
              <w:fldChar w:fldCharType="separate"/>
            </w:r>
            <w:r w:rsidRPr="00F33674">
              <w:rPr>
                <w:rFonts w:ascii="Arial Narrow" w:hAnsi="Arial Narrow" w:cs="Arial"/>
                <w:sz w:val="20"/>
                <w:szCs w:val="20"/>
              </w:rPr>
              <w:fldChar w:fldCharType="end"/>
            </w:r>
            <w:bookmarkEnd w:id="12"/>
            <w:r w:rsidRPr="00F33674">
              <w:rPr>
                <w:rFonts w:ascii="Arial Narrow" w:hAnsi="Arial Narrow" w:cs="Arial"/>
                <w:sz w:val="20"/>
                <w:szCs w:val="20"/>
              </w:rPr>
              <w:t>Nurse practitioners</w:t>
            </w:r>
            <w:r w:rsidR="002C1329">
              <w:rPr>
                <w:rFonts w:ascii="Arial Narrow" w:hAnsi="Arial Narrow" w:cs="Arial"/>
                <w:sz w:val="20"/>
                <w:szCs w:val="20"/>
              </w:rPr>
              <w:t xml:space="preserve"> </w:t>
            </w:r>
            <w:r w:rsidRPr="00F33674">
              <w:rPr>
                <w:rFonts w:ascii="Arial Narrow" w:hAnsi="Arial Narrow" w:cs="Arial"/>
                <w:sz w:val="20"/>
                <w:szCs w:val="20"/>
              </w:rPr>
              <w:fldChar w:fldCharType="begin">
                <w:ffData>
                  <w:name w:val=""/>
                  <w:enabled/>
                  <w:calcOnExit w:val="0"/>
                  <w:checkBox>
                    <w:sizeAuto/>
                    <w:default w:val="0"/>
                  </w:checkBox>
                </w:ffData>
              </w:fldChar>
            </w:r>
            <w:r w:rsidRPr="00F33674">
              <w:rPr>
                <w:rFonts w:ascii="Arial Narrow" w:hAnsi="Arial Narrow" w:cs="Arial"/>
                <w:sz w:val="20"/>
                <w:szCs w:val="20"/>
              </w:rPr>
              <w:instrText xml:space="preserve"> FORMCHECKBOX </w:instrText>
            </w:r>
            <w:r w:rsidR="00233D13">
              <w:rPr>
                <w:rFonts w:ascii="Arial Narrow" w:hAnsi="Arial Narrow" w:cs="Arial"/>
                <w:sz w:val="20"/>
                <w:szCs w:val="20"/>
              </w:rPr>
            </w:r>
            <w:r w:rsidR="00233D13">
              <w:rPr>
                <w:rFonts w:ascii="Arial Narrow" w:hAnsi="Arial Narrow" w:cs="Arial"/>
                <w:sz w:val="20"/>
                <w:szCs w:val="20"/>
              </w:rPr>
              <w:fldChar w:fldCharType="separate"/>
            </w:r>
            <w:r w:rsidRPr="00F33674">
              <w:rPr>
                <w:rFonts w:ascii="Arial Narrow" w:hAnsi="Arial Narrow" w:cs="Arial"/>
                <w:sz w:val="20"/>
                <w:szCs w:val="20"/>
              </w:rPr>
              <w:fldChar w:fldCharType="end"/>
            </w:r>
            <w:r w:rsidRPr="00F33674">
              <w:rPr>
                <w:rFonts w:ascii="Arial Narrow" w:hAnsi="Arial Narrow" w:cs="Arial"/>
                <w:sz w:val="20"/>
                <w:szCs w:val="20"/>
              </w:rPr>
              <w:t>Optometrists</w:t>
            </w:r>
          </w:p>
          <w:p w14:paraId="0052AEF3" w14:textId="77777777" w:rsidR="00F33674" w:rsidRPr="00F33674" w:rsidRDefault="00F33674" w:rsidP="00F33674">
            <w:pPr>
              <w:rPr>
                <w:rFonts w:ascii="Arial Narrow" w:hAnsi="Arial Narrow" w:cs="Arial"/>
                <w:sz w:val="20"/>
                <w:szCs w:val="20"/>
              </w:rPr>
            </w:pPr>
            <w:r w:rsidRPr="00F33674">
              <w:rPr>
                <w:rFonts w:ascii="Arial Narrow" w:hAnsi="Arial Narrow" w:cs="Arial"/>
                <w:sz w:val="20"/>
                <w:szCs w:val="20"/>
              </w:rPr>
              <w:fldChar w:fldCharType="begin">
                <w:ffData>
                  <w:name w:val="Check5"/>
                  <w:enabled/>
                  <w:calcOnExit w:val="0"/>
                  <w:checkBox>
                    <w:sizeAuto/>
                    <w:default w:val="0"/>
                  </w:checkBox>
                </w:ffData>
              </w:fldChar>
            </w:r>
            <w:r w:rsidRPr="00F33674">
              <w:rPr>
                <w:rFonts w:ascii="Arial Narrow" w:hAnsi="Arial Narrow" w:cs="Arial"/>
                <w:sz w:val="20"/>
                <w:szCs w:val="20"/>
              </w:rPr>
              <w:instrText xml:space="preserve"> FORMCHECKBOX </w:instrText>
            </w:r>
            <w:r w:rsidR="00233D13">
              <w:rPr>
                <w:rFonts w:ascii="Arial Narrow" w:hAnsi="Arial Narrow" w:cs="Arial"/>
                <w:sz w:val="20"/>
                <w:szCs w:val="20"/>
              </w:rPr>
            </w:r>
            <w:r w:rsidR="00233D13">
              <w:rPr>
                <w:rFonts w:ascii="Arial Narrow" w:hAnsi="Arial Narrow" w:cs="Arial"/>
                <w:sz w:val="20"/>
                <w:szCs w:val="20"/>
              </w:rPr>
              <w:fldChar w:fldCharType="separate"/>
            </w:r>
            <w:r w:rsidRPr="00F33674">
              <w:rPr>
                <w:rFonts w:ascii="Arial Narrow" w:hAnsi="Arial Narrow" w:cs="Arial"/>
                <w:sz w:val="20"/>
                <w:szCs w:val="20"/>
              </w:rPr>
              <w:fldChar w:fldCharType="end"/>
            </w:r>
            <w:r w:rsidRPr="00F33674">
              <w:rPr>
                <w:rFonts w:ascii="Arial Narrow" w:hAnsi="Arial Narrow" w:cs="Arial"/>
                <w:sz w:val="20"/>
                <w:szCs w:val="20"/>
              </w:rPr>
              <w:t>Midwives</w:t>
            </w:r>
          </w:p>
        </w:tc>
      </w:tr>
      <w:tr w:rsidR="00F33674" w:rsidRPr="00F33674" w14:paraId="547C3130" w14:textId="77777777" w:rsidTr="00F33674">
        <w:trPr>
          <w:cantSplit/>
          <w:trHeight w:val="369"/>
        </w:trPr>
        <w:tc>
          <w:tcPr>
            <w:tcW w:w="2835" w:type="dxa"/>
            <w:tcBorders>
              <w:top w:val="single" w:sz="4" w:space="0" w:color="auto"/>
              <w:left w:val="single" w:sz="4" w:space="0" w:color="auto"/>
              <w:bottom w:val="single" w:sz="4" w:space="0" w:color="auto"/>
              <w:right w:val="single" w:sz="4" w:space="0" w:color="auto"/>
            </w:tcBorders>
          </w:tcPr>
          <w:p w14:paraId="63E3A275" w14:textId="77777777" w:rsidR="00F33674" w:rsidRPr="00F33674" w:rsidRDefault="00F33674" w:rsidP="00F33674">
            <w:pPr>
              <w:rPr>
                <w:rFonts w:ascii="Arial Narrow" w:hAnsi="Arial Narrow" w:cs="Arial"/>
                <w:b/>
                <w:sz w:val="20"/>
                <w:szCs w:val="20"/>
              </w:rPr>
            </w:pPr>
            <w:r w:rsidRPr="00F33674">
              <w:rPr>
                <w:rFonts w:ascii="Arial Narrow" w:hAnsi="Arial Narrow" w:cs="Arial"/>
                <w:b/>
                <w:sz w:val="20"/>
                <w:szCs w:val="20"/>
              </w:rPr>
              <w:t>PBS indication:</w:t>
            </w:r>
          </w:p>
        </w:tc>
        <w:tc>
          <w:tcPr>
            <w:tcW w:w="6379" w:type="dxa"/>
            <w:tcBorders>
              <w:top w:val="single" w:sz="4" w:space="0" w:color="auto"/>
              <w:left w:val="single" w:sz="4" w:space="0" w:color="auto"/>
              <w:bottom w:val="single" w:sz="4" w:space="0" w:color="auto"/>
              <w:right w:val="single" w:sz="4" w:space="0" w:color="auto"/>
            </w:tcBorders>
          </w:tcPr>
          <w:p w14:paraId="2EDC4CD4" w14:textId="77777777" w:rsidR="00F33674" w:rsidRPr="00F33674" w:rsidRDefault="00F33674" w:rsidP="00F33674">
            <w:pPr>
              <w:rPr>
                <w:rFonts w:ascii="Arial Narrow" w:hAnsi="Arial Narrow" w:cs="Arial"/>
                <w:sz w:val="20"/>
                <w:szCs w:val="20"/>
              </w:rPr>
            </w:pPr>
            <w:r w:rsidRPr="00F33674">
              <w:rPr>
                <w:rFonts w:ascii="Arial Narrow" w:hAnsi="Arial Narrow" w:cs="Arial"/>
                <w:sz w:val="20"/>
                <w:szCs w:val="20"/>
              </w:rPr>
              <w:t>[7861] Severe pain</w:t>
            </w:r>
          </w:p>
        </w:tc>
      </w:tr>
      <w:tr w:rsidR="00F33674" w:rsidRPr="00F33674" w14:paraId="71D26C3D" w14:textId="77777777" w:rsidTr="00F33674">
        <w:trPr>
          <w:cantSplit/>
          <w:trHeight w:val="360"/>
        </w:trPr>
        <w:tc>
          <w:tcPr>
            <w:tcW w:w="2835" w:type="dxa"/>
            <w:tcBorders>
              <w:top w:val="single" w:sz="4" w:space="0" w:color="auto"/>
              <w:left w:val="single" w:sz="4" w:space="0" w:color="auto"/>
              <w:bottom w:val="single" w:sz="4" w:space="0" w:color="auto"/>
              <w:right w:val="single" w:sz="4" w:space="0" w:color="auto"/>
            </w:tcBorders>
          </w:tcPr>
          <w:p w14:paraId="3B77E5EA" w14:textId="77777777" w:rsidR="00F33674" w:rsidRPr="00F33674" w:rsidRDefault="00F33674" w:rsidP="00F33674">
            <w:pPr>
              <w:rPr>
                <w:rFonts w:ascii="Arial Narrow" w:hAnsi="Arial Narrow" w:cs="Arial"/>
                <w:b/>
                <w:sz w:val="20"/>
                <w:szCs w:val="20"/>
              </w:rPr>
            </w:pPr>
            <w:r w:rsidRPr="00F33674">
              <w:rPr>
                <w:rFonts w:ascii="Arial Narrow" w:hAnsi="Arial Narrow" w:cs="Arial"/>
                <w:b/>
                <w:sz w:val="20"/>
                <w:szCs w:val="20"/>
              </w:rPr>
              <w:t>Restriction Level / Method:</w:t>
            </w:r>
          </w:p>
          <w:p w14:paraId="01BC15EE" w14:textId="77777777" w:rsidR="00F33674" w:rsidRPr="00F33674" w:rsidRDefault="00F33674" w:rsidP="00F33674">
            <w:pPr>
              <w:rPr>
                <w:rFonts w:ascii="Arial Narrow" w:hAnsi="Arial Narrow" w:cs="Arial"/>
                <w:i/>
                <w:sz w:val="20"/>
                <w:szCs w:val="20"/>
              </w:rPr>
            </w:pPr>
          </w:p>
          <w:p w14:paraId="27A20FB9" w14:textId="77777777" w:rsidR="00F33674" w:rsidRPr="00F33674" w:rsidRDefault="00F33674" w:rsidP="00F33674">
            <w:pPr>
              <w:rPr>
                <w:rFonts w:ascii="Arial Narrow" w:hAnsi="Arial Narrow" w:cs="Arial"/>
                <w:i/>
                <w:sz w:val="20"/>
                <w:szCs w:val="20"/>
              </w:rPr>
            </w:pPr>
          </w:p>
          <w:p w14:paraId="0F41F1E5" w14:textId="77777777" w:rsidR="00F33674" w:rsidRPr="00F33674" w:rsidRDefault="00F33674" w:rsidP="00F33674">
            <w:pPr>
              <w:rPr>
                <w:rFonts w:ascii="Arial Narrow" w:hAnsi="Arial Narrow" w:cs="Arial"/>
                <w:i/>
                <w:sz w:val="20"/>
                <w:szCs w:val="20"/>
              </w:rPr>
            </w:pPr>
          </w:p>
        </w:tc>
        <w:tc>
          <w:tcPr>
            <w:tcW w:w="6379" w:type="dxa"/>
            <w:tcBorders>
              <w:top w:val="single" w:sz="4" w:space="0" w:color="auto"/>
              <w:left w:val="single" w:sz="4" w:space="0" w:color="auto"/>
              <w:bottom w:val="single" w:sz="4" w:space="0" w:color="auto"/>
              <w:right w:val="single" w:sz="4" w:space="0" w:color="auto"/>
            </w:tcBorders>
          </w:tcPr>
          <w:p w14:paraId="6FE9A5D2" w14:textId="77777777" w:rsidR="00F33674" w:rsidRPr="00F33674" w:rsidRDefault="00F33674" w:rsidP="00F33674">
            <w:pPr>
              <w:rPr>
                <w:rFonts w:ascii="Arial Narrow" w:hAnsi="Arial Narrow" w:cs="Arial"/>
                <w:sz w:val="20"/>
                <w:szCs w:val="20"/>
              </w:rPr>
            </w:pPr>
            <w:r w:rsidRPr="00F33674">
              <w:rPr>
                <w:rFonts w:ascii="Arial Narrow" w:hAnsi="Arial Narrow" w:cs="Arial"/>
                <w:sz w:val="20"/>
                <w:szCs w:val="20"/>
              </w:rPr>
              <w:fldChar w:fldCharType="begin">
                <w:ffData>
                  <w:name w:val=""/>
                  <w:enabled/>
                  <w:calcOnExit w:val="0"/>
                  <w:checkBox>
                    <w:sizeAuto/>
                    <w:default w:val="0"/>
                  </w:checkBox>
                </w:ffData>
              </w:fldChar>
            </w:r>
            <w:r w:rsidRPr="00F33674">
              <w:rPr>
                <w:rFonts w:ascii="Arial Narrow" w:hAnsi="Arial Narrow" w:cs="Arial"/>
                <w:sz w:val="20"/>
                <w:szCs w:val="20"/>
              </w:rPr>
              <w:instrText xml:space="preserve"> FORMCHECKBOX </w:instrText>
            </w:r>
            <w:r w:rsidR="00233D13">
              <w:rPr>
                <w:rFonts w:ascii="Arial Narrow" w:hAnsi="Arial Narrow" w:cs="Arial"/>
                <w:sz w:val="20"/>
                <w:szCs w:val="20"/>
              </w:rPr>
            </w:r>
            <w:r w:rsidR="00233D13">
              <w:rPr>
                <w:rFonts w:ascii="Arial Narrow" w:hAnsi="Arial Narrow" w:cs="Arial"/>
                <w:sz w:val="20"/>
                <w:szCs w:val="20"/>
              </w:rPr>
              <w:fldChar w:fldCharType="separate"/>
            </w:r>
            <w:r w:rsidRPr="00F33674">
              <w:rPr>
                <w:rFonts w:ascii="Arial Narrow" w:hAnsi="Arial Narrow" w:cs="Arial"/>
                <w:sz w:val="20"/>
                <w:szCs w:val="20"/>
              </w:rPr>
              <w:fldChar w:fldCharType="end"/>
            </w:r>
            <w:r w:rsidRPr="00F33674">
              <w:rPr>
                <w:rFonts w:ascii="Arial Narrow" w:hAnsi="Arial Narrow" w:cs="Arial"/>
                <w:sz w:val="20"/>
                <w:szCs w:val="20"/>
              </w:rPr>
              <w:t>Unrestricted benefit</w:t>
            </w:r>
          </w:p>
          <w:p w14:paraId="718B5C00" w14:textId="77777777" w:rsidR="00F33674" w:rsidRPr="00F33674" w:rsidRDefault="00F33674" w:rsidP="00F33674">
            <w:pPr>
              <w:rPr>
                <w:rFonts w:ascii="Arial Narrow" w:hAnsi="Arial Narrow" w:cs="Arial"/>
                <w:i/>
                <w:sz w:val="20"/>
                <w:szCs w:val="20"/>
              </w:rPr>
            </w:pPr>
            <w:r w:rsidRPr="00F33674">
              <w:rPr>
                <w:rFonts w:ascii="Arial Narrow" w:hAnsi="Arial Narrow" w:cs="Arial"/>
                <w:i/>
                <w:sz w:val="20"/>
                <w:szCs w:val="20"/>
              </w:rPr>
              <w:fldChar w:fldCharType="begin">
                <w:ffData>
                  <w:name w:val="Check1"/>
                  <w:enabled/>
                  <w:calcOnExit w:val="0"/>
                  <w:checkBox>
                    <w:sizeAuto/>
                    <w:default w:val="1"/>
                  </w:checkBox>
                </w:ffData>
              </w:fldChar>
            </w:r>
            <w:bookmarkStart w:id="13" w:name="Check1"/>
            <w:r w:rsidRPr="00F33674">
              <w:rPr>
                <w:rFonts w:ascii="Arial Narrow" w:hAnsi="Arial Narrow" w:cs="Arial"/>
                <w:i/>
                <w:sz w:val="20"/>
                <w:szCs w:val="20"/>
              </w:rPr>
              <w:instrText xml:space="preserve"> FORMCHECKBOX </w:instrText>
            </w:r>
            <w:r w:rsidR="00233D13">
              <w:rPr>
                <w:rFonts w:ascii="Arial Narrow" w:hAnsi="Arial Narrow" w:cs="Arial"/>
                <w:i/>
                <w:sz w:val="20"/>
                <w:szCs w:val="20"/>
              </w:rPr>
            </w:r>
            <w:r w:rsidR="00233D13">
              <w:rPr>
                <w:rFonts w:ascii="Arial Narrow" w:hAnsi="Arial Narrow" w:cs="Arial"/>
                <w:i/>
                <w:sz w:val="20"/>
                <w:szCs w:val="20"/>
              </w:rPr>
              <w:fldChar w:fldCharType="separate"/>
            </w:r>
            <w:r w:rsidRPr="00F33674">
              <w:rPr>
                <w:rFonts w:ascii="Arial Narrow" w:hAnsi="Arial Narrow" w:cs="Arial"/>
                <w:i/>
                <w:sz w:val="20"/>
                <w:szCs w:val="20"/>
              </w:rPr>
              <w:fldChar w:fldCharType="end"/>
            </w:r>
            <w:bookmarkEnd w:id="13"/>
            <w:r w:rsidRPr="00F33674">
              <w:rPr>
                <w:rFonts w:ascii="Arial Narrow" w:hAnsi="Arial Narrow" w:cs="Arial"/>
                <w:sz w:val="20"/>
                <w:szCs w:val="20"/>
              </w:rPr>
              <w:t>Restricted benefit</w:t>
            </w:r>
          </w:p>
          <w:p w14:paraId="0A556FCD" w14:textId="77777777" w:rsidR="00F33674" w:rsidRPr="00F33674" w:rsidRDefault="00F33674" w:rsidP="00F33674">
            <w:pPr>
              <w:rPr>
                <w:rFonts w:ascii="Arial Narrow" w:hAnsi="Arial Narrow" w:cs="Arial"/>
                <w:sz w:val="20"/>
                <w:szCs w:val="20"/>
              </w:rPr>
            </w:pPr>
            <w:r w:rsidRPr="00F33674">
              <w:rPr>
                <w:rFonts w:ascii="Arial Narrow" w:hAnsi="Arial Narrow" w:cs="Arial"/>
                <w:sz w:val="20"/>
                <w:szCs w:val="20"/>
              </w:rPr>
              <w:fldChar w:fldCharType="begin">
                <w:ffData>
                  <w:name w:val=""/>
                  <w:enabled/>
                  <w:calcOnExit w:val="0"/>
                  <w:checkBox>
                    <w:sizeAuto/>
                    <w:default w:val="0"/>
                  </w:checkBox>
                </w:ffData>
              </w:fldChar>
            </w:r>
            <w:r w:rsidRPr="00F33674">
              <w:rPr>
                <w:rFonts w:ascii="Arial Narrow" w:hAnsi="Arial Narrow" w:cs="Arial"/>
                <w:sz w:val="20"/>
                <w:szCs w:val="20"/>
              </w:rPr>
              <w:instrText xml:space="preserve"> FORMCHECKBOX </w:instrText>
            </w:r>
            <w:r w:rsidR="00233D13">
              <w:rPr>
                <w:rFonts w:ascii="Arial Narrow" w:hAnsi="Arial Narrow" w:cs="Arial"/>
                <w:sz w:val="20"/>
                <w:szCs w:val="20"/>
              </w:rPr>
            </w:r>
            <w:r w:rsidR="00233D13">
              <w:rPr>
                <w:rFonts w:ascii="Arial Narrow" w:hAnsi="Arial Narrow" w:cs="Arial"/>
                <w:sz w:val="20"/>
                <w:szCs w:val="20"/>
              </w:rPr>
              <w:fldChar w:fldCharType="separate"/>
            </w:r>
            <w:r w:rsidRPr="00F33674">
              <w:rPr>
                <w:rFonts w:ascii="Arial Narrow" w:hAnsi="Arial Narrow" w:cs="Arial"/>
                <w:sz w:val="20"/>
                <w:szCs w:val="20"/>
              </w:rPr>
              <w:fldChar w:fldCharType="end"/>
            </w:r>
            <w:r w:rsidRPr="00F33674">
              <w:rPr>
                <w:rFonts w:ascii="Arial Narrow" w:hAnsi="Arial Narrow" w:cs="Arial"/>
                <w:sz w:val="20"/>
                <w:szCs w:val="20"/>
              </w:rPr>
              <w:t>Authority Required – In Writing</w:t>
            </w:r>
          </w:p>
          <w:p w14:paraId="0AAED26F" w14:textId="77777777" w:rsidR="00F33674" w:rsidRPr="00F33674" w:rsidRDefault="00F33674" w:rsidP="00F33674">
            <w:pPr>
              <w:rPr>
                <w:rFonts w:ascii="Arial Narrow" w:hAnsi="Arial Narrow" w:cs="Arial"/>
                <w:sz w:val="20"/>
                <w:szCs w:val="20"/>
              </w:rPr>
            </w:pPr>
            <w:r w:rsidRPr="00F33674">
              <w:rPr>
                <w:rFonts w:ascii="Arial Narrow" w:hAnsi="Arial Narrow" w:cs="Arial"/>
                <w:sz w:val="20"/>
                <w:szCs w:val="20"/>
              </w:rPr>
              <w:fldChar w:fldCharType="begin">
                <w:ffData>
                  <w:name w:val="Check3"/>
                  <w:enabled/>
                  <w:calcOnExit w:val="0"/>
                  <w:checkBox>
                    <w:sizeAuto/>
                    <w:default w:val="0"/>
                  </w:checkBox>
                </w:ffData>
              </w:fldChar>
            </w:r>
            <w:r w:rsidRPr="00F33674">
              <w:rPr>
                <w:rFonts w:ascii="Arial Narrow" w:hAnsi="Arial Narrow" w:cs="Arial"/>
                <w:sz w:val="20"/>
                <w:szCs w:val="20"/>
              </w:rPr>
              <w:instrText xml:space="preserve"> FORMCHECKBOX </w:instrText>
            </w:r>
            <w:r w:rsidR="00233D13">
              <w:rPr>
                <w:rFonts w:ascii="Arial Narrow" w:hAnsi="Arial Narrow" w:cs="Arial"/>
                <w:sz w:val="20"/>
                <w:szCs w:val="20"/>
              </w:rPr>
            </w:r>
            <w:r w:rsidR="00233D13">
              <w:rPr>
                <w:rFonts w:ascii="Arial Narrow" w:hAnsi="Arial Narrow" w:cs="Arial"/>
                <w:sz w:val="20"/>
                <w:szCs w:val="20"/>
              </w:rPr>
              <w:fldChar w:fldCharType="separate"/>
            </w:r>
            <w:r w:rsidRPr="00F33674">
              <w:rPr>
                <w:rFonts w:ascii="Arial Narrow" w:hAnsi="Arial Narrow" w:cs="Arial"/>
                <w:sz w:val="20"/>
                <w:szCs w:val="20"/>
              </w:rPr>
              <w:fldChar w:fldCharType="end"/>
            </w:r>
            <w:r w:rsidRPr="00F33674">
              <w:rPr>
                <w:rFonts w:ascii="Arial Narrow" w:hAnsi="Arial Narrow" w:cs="Arial"/>
                <w:sz w:val="20"/>
                <w:szCs w:val="20"/>
              </w:rPr>
              <w:t>Authority Required – Telephone/Electronic/Emergency</w:t>
            </w:r>
          </w:p>
          <w:p w14:paraId="6FCBA052" w14:textId="77777777" w:rsidR="00F33674" w:rsidRPr="00F33674" w:rsidRDefault="00F33674" w:rsidP="00F33674">
            <w:pPr>
              <w:rPr>
                <w:rFonts w:ascii="Arial Narrow" w:hAnsi="Arial Narrow" w:cs="Arial"/>
                <w:sz w:val="20"/>
                <w:szCs w:val="20"/>
              </w:rPr>
            </w:pPr>
            <w:r w:rsidRPr="00F33674">
              <w:rPr>
                <w:rFonts w:ascii="Arial Narrow" w:hAnsi="Arial Narrow" w:cs="Arial"/>
                <w:sz w:val="20"/>
                <w:szCs w:val="20"/>
              </w:rPr>
              <w:fldChar w:fldCharType="begin">
                <w:ffData>
                  <w:name w:val="Check5"/>
                  <w:enabled/>
                  <w:calcOnExit w:val="0"/>
                  <w:checkBox>
                    <w:sizeAuto/>
                    <w:default w:val="0"/>
                  </w:checkBox>
                </w:ffData>
              </w:fldChar>
            </w:r>
            <w:r w:rsidRPr="00F33674">
              <w:rPr>
                <w:rFonts w:ascii="Arial Narrow" w:hAnsi="Arial Narrow" w:cs="Arial"/>
                <w:sz w:val="20"/>
                <w:szCs w:val="20"/>
              </w:rPr>
              <w:instrText xml:space="preserve"> FORMCHECKBOX </w:instrText>
            </w:r>
            <w:r w:rsidR="00233D13">
              <w:rPr>
                <w:rFonts w:ascii="Arial Narrow" w:hAnsi="Arial Narrow" w:cs="Arial"/>
                <w:sz w:val="20"/>
                <w:szCs w:val="20"/>
              </w:rPr>
            </w:r>
            <w:r w:rsidR="00233D13">
              <w:rPr>
                <w:rFonts w:ascii="Arial Narrow" w:hAnsi="Arial Narrow" w:cs="Arial"/>
                <w:sz w:val="20"/>
                <w:szCs w:val="20"/>
              </w:rPr>
              <w:fldChar w:fldCharType="separate"/>
            </w:r>
            <w:r w:rsidRPr="00F33674">
              <w:rPr>
                <w:rFonts w:ascii="Arial Narrow" w:hAnsi="Arial Narrow" w:cs="Arial"/>
                <w:sz w:val="20"/>
                <w:szCs w:val="20"/>
              </w:rPr>
              <w:fldChar w:fldCharType="end"/>
            </w:r>
            <w:r w:rsidRPr="00F33674">
              <w:rPr>
                <w:rFonts w:ascii="Arial Narrow" w:hAnsi="Arial Narrow" w:cs="Arial"/>
                <w:sz w:val="20"/>
                <w:szCs w:val="20"/>
              </w:rPr>
              <w:t>Streamlined</w:t>
            </w:r>
          </w:p>
        </w:tc>
      </w:tr>
      <w:tr w:rsidR="00407308" w:rsidRPr="00F33674" w14:paraId="359DD8E4" w14:textId="77777777" w:rsidTr="00F33674">
        <w:trPr>
          <w:cantSplit/>
          <w:trHeight w:val="360"/>
        </w:trPr>
        <w:tc>
          <w:tcPr>
            <w:tcW w:w="2835" w:type="dxa"/>
            <w:tcBorders>
              <w:top w:val="single" w:sz="4" w:space="0" w:color="auto"/>
              <w:left w:val="single" w:sz="4" w:space="0" w:color="auto"/>
              <w:bottom w:val="single" w:sz="4" w:space="0" w:color="auto"/>
              <w:right w:val="single" w:sz="4" w:space="0" w:color="auto"/>
            </w:tcBorders>
          </w:tcPr>
          <w:p w14:paraId="6859F74D" w14:textId="5C6216C6" w:rsidR="00407308" w:rsidRPr="00F33674" w:rsidRDefault="00407308" w:rsidP="00F33674">
            <w:pPr>
              <w:rPr>
                <w:rFonts w:ascii="Arial Narrow" w:hAnsi="Arial Narrow" w:cs="Arial"/>
                <w:b/>
                <w:sz w:val="20"/>
                <w:szCs w:val="20"/>
              </w:rPr>
            </w:pPr>
            <w:r>
              <w:rPr>
                <w:rFonts w:ascii="Arial Narrow" w:hAnsi="Arial Narrow" w:cs="Arial"/>
                <w:b/>
                <w:sz w:val="20"/>
                <w:szCs w:val="20"/>
              </w:rPr>
              <w:t>Treatment phase:</w:t>
            </w:r>
          </w:p>
        </w:tc>
        <w:tc>
          <w:tcPr>
            <w:tcW w:w="6379" w:type="dxa"/>
            <w:tcBorders>
              <w:top w:val="single" w:sz="4" w:space="0" w:color="auto"/>
              <w:left w:val="single" w:sz="4" w:space="0" w:color="auto"/>
              <w:bottom w:val="single" w:sz="4" w:space="0" w:color="auto"/>
              <w:right w:val="single" w:sz="4" w:space="0" w:color="auto"/>
            </w:tcBorders>
          </w:tcPr>
          <w:p w14:paraId="5E7124CE" w14:textId="5E5DA27A" w:rsidR="00407308" w:rsidRPr="00F33674" w:rsidRDefault="00265869" w:rsidP="00F33674">
            <w:pPr>
              <w:jc w:val="left"/>
              <w:rPr>
                <w:rFonts w:ascii="Arial Narrow" w:hAnsi="Arial Narrow" w:cs="Arial"/>
                <w:sz w:val="20"/>
                <w:szCs w:val="20"/>
              </w:rPr>
            </w:pPr>
            <w:r>
              <w:rPr>
                <w:rFonts w:ascii="Arial Narrow" w:hAnsi="Arial Narrow" w:cs="Arial"/>
                <w:sz w:val="20"/>
                <w:szCs w:val="20"/>
              </w:rPr>
              <w:t xml:space="preserve">Initial PBS treatment after 1 June 2020 where patient </w:t>
            </w:r>
            <w:proofErr w:type="gramStart"/>
            <w:r>
              <w:rPr>
                <w:rFonts w:ascii="Arial Narrow" w:hAnsi="Arial Narrow" w:cs="Arial"/>
                <w:sz w:val="20"/>
                <w:szCs w:val="20"/>
              </w:rPr>
              <w:t>has been treated</w:t>
            </w:r>
            <w:proofErr w:type="gramEnd"/>
            <w:r>
              <w:rPr>
                <w:rFonts w:ascii="Arial Narrow" w:hAnsi="Arial Narrow" w:cs="Arial"/>
                <w:sz w:val="20"/>
                <w:szCs w:val="20"/>
              </w:rPr>
              <w:t xml:space="preserve"> with opioids for less than 12 months.</w:t>
            </w:r>
          </w:p>
        </w:tc>
      </w:tr>
      <w:tr w:rsidR="00F33674" w:rsidRPr="00F33674" w14:paraId="15840D48" w14:textId="77777777" w:rsidTr="00F33674">
        <w:trPr>
          <w:cantSplit/>
          <w:trHeight w:val="360"/>
        </w:trPr>
        <w:tc>
          <w:tcPr>
            <w:tcW w:w="2835" w:type="dxa"/>
            <w:tcBorders>
              <w:top w:val="single" w:sz="4" w:space="0" w:color="auto"/>
              <w:left w:val="single" w:sz="4" w:space="0" w:color="auto"/>
              <w:bottom w:val="single" w:sz="4" w:space="0" w:color="auto"/>
              <w:right w:val="single" w:sz="4" w:space="0" w:color="auto"/>
            </w:tcBorders>
          </w:tcPr>
          <w:p w14:paraId="308F4324" w14:textId="77777777" w:rsidR="00F33674" w:rsidRPr="00F33674" w:rsidRDefault="00F33674" w:rsidP="00F33674">
            <w:pPr>
              <w:rPr>
                <w:rFonts w:ascii="Arial Narrow" w:hAnsi="Arial Narrow" w:cs="Arial"/>
                <w:b/>
                <w:sz w:val="20"/>
                <w:szCs w:val="20"/>
              </w:rPr>
            </w:pPr>
            <w:r w:rsidRPr="00F33674">
              <w:rPr>
                <w:rFonts w:ascii="Arial Narrow" w:hAnsi="Arial Narrow" w:cs="Arial"/>
                <w:b/>
                <w:sz w:val="20"/>
                <w:szCs w:val="20"/>
              </w:rPr>
              <w:t>Clinical criteria:</w:t>
            </w:r>
          </w:p>
        </w:tc>
        <w:tc>
          <w:tcPr>
            <w:tcW w:w="6379" w:type="dxa"/>
            <w:tcBorders>
              <w:top w:val="single" w:sz="4" w:space="0" w:color="auto"/>
              <w:left w:val="single" w:sz="4" w:space="0" w:color="auto"/>
              <w:bottom w:val="single" w:sz="4" w:space="0" w:color="auto"/>
              <w:right w:val="single" w:sz="4" w:space="0" w:color="auto"/>
            </w:tcBorders>
          </w:tcPr>
          <w:p w14:paraId="030F93F9" w14:textId="03E1E53E" w:rsidR="00F33674" w:rsidRPr="00F33674" w:rsidRDefault="00F33674" w:rsidP="00F33674">
            <w:pPr>
              <w:jc w:val="left"/>
              <w:rPr>
                <w:rFonts w:ascii="Arial Narrow" w:hAnsi="Arial Narrow" w:cs="Arial"/>
                <w:sz w:val="20"/>
                <w:szCs w:val="20"/>
              </w:rPr>
            </w:pPr>
            <w:r w:rsidRPr="00F33674">
              <w:rPr>
                <w:rFonts w:ascii="Arial Narrow" w:hAnsi="Arial Narrow" w:cs="Arial"/>
                <w:sz w:val="20"/>
                <w:szCs w:val="20"/>
              </w:rPr>
              <w:t>[new] Patient must have</w:t>
            </w:r>
            <w:r w:rsidR="007A2171">
              <w:rPr>
                <w:rFonts w:ascii="Arial Narrow" w:hAnsi="Arial Narrow" w:cs="Arial"/>
                <w:sz w:val="20"/>
                <w:szCs w:val="20"/>
              </w:rPr>
              <w:t xml:space="preserve"> had</w:t>
            </w:r>
            <w:r w:rsidRPr="00F33674">
              <w:rPr>
                <w:rFonts w:ascii="Arial Narrow" w:hAnsi="Arial Narrow" w:cs="Arial"/>
                <w:sz w:val="20"/>
                <w:szCs w:val="20"/>
              </w:rPr>
              <w:t xml:space="preserve"> </w:t>
            </w:r>
            <w:r w:rsidR="00407308">
              <w:rPr>
                <w:rFonts w:ascii="Arial Narrow" w:hAnsi="Arial Narrow" w:cs="Arial"/>
                <w:sz w:val="20"/>
                <w:szCs w:val="20"/>
              </w:rPr>
              <w:t>or would have</w:t>
            </w:r>
            <w:r w:rsidRPr="00F33674">
              <w:rPr>
                <w:rFonts w:ascii="Arial Narrow" w:hAnsi="Arial Narrow" w:cs="Arial"/>
                <w:sz w:val="20"/>
                <w:szCs w:val="20"/>
              </w:rPr>
              <w:t xml:space="preserve"> inadequate </w:t>
            </w:r>
            <w:r w:rsidR="00407308">
              <w:rPr>
                <w:rFonts w:ascii="Arial Narrow" w:hAnsi="Arial Narrow" w:cs="Arial"/>
                <w:sz w:val="20"/>
                <w:szCs w:val="20"/>
              </w:rPr>
              <w:t xml:space="preserve">pain </w:t>
            </w:r>
            <w:r w:rsidRPr="00F33674">
              <w:rPr>
                <w:rFonts w:ascii="Arial Narrow" w:hAnsi="Arial Narrow" w:cs="Arial"/>
                <w:sz w:val="20"/>
                <w:szCs w:val="20"/>
              </w:rPr>
              <w:t xml:space="preserve">management </w:t>
            </w:r>
            <w:r w:rsidR="00407308">
              <w:rPr>
                <w:rFonts w:ascii="Arial Narrow" w:hAnsi="Arial Narrow" w:cs="Arial"/>
                <w:sz w:val="20"/>
                <w:szCs w:val="20"/>
              </w:rPr>
              <w:t>with</w:t>
            </w:r>
            <w:r w:rsidRPr="00F33674">
              <w:rPr>
                <w:rFonts w:ascii="Arial Narrow" w:hAnsi="Arial Narrow" w:cs="Arial"/>
                <w:sz w:val="20"/>
                <w:szCs w:val="20"/>
              </w:rPr>
              <w:t xml:space="preserve"> maximum tolerated doses of non-opioid analgesics</w:t>
            </w:r>
          </w:p>
          <w:p w14:paraId="07AC6D69" w14:textId="77777777" w:rsidR="00F33674" w:rsidRPr="00F33674" w:rsidRDefault="00F33674" w:rsidP="00F33674">
            <w:pPr>
              <w:jc w:val="left"/>
              <w:rPr>
                <w:rFonts w:ascii="Arial Narrow" w:hAnsi="Arial Narrow" w:cs="Arial"/>
                <w:sz w:val="20"/>
                <w:szCs w:val="20"/>
              </w:rPr>
            </w:pPr>
          </w:p>
          <w:p w14:paraId="7CEE003A" w14:textId="77777777" w:rsidR="00F33674" w:rsidRPr="00F33674" w:rsidRDefault="00F33674" w:rsidP="00F33674">
            <w:pPr>
              <w:jc w:val="left"/>
              <w:rPr>
                <w:rFonts w:ascii="Arial Narrow" w:hAnsi="Arial Narrow" w:cs="Arial"/>
                <w:sz w:val="20"/>
                <w:szCs w:val="20"/>
              </w:rPr>
            </w:pPr>
            <w:r w:rsidRPr="00F33674">
              <w:rPr>
                <w:rFonts w:ascii="Arial Narrow" w:hAnsi="Arial Narrow" w:cs="Arial"/>
                <w:sz w:val="20"/>
                <w:szCs w:val="20"/>
              </w:rPr>
              <w:t>OR</w:t>
            </w:r>
          </w:p>
          <w:p w14:paraId="518BB2E9" w14:textId="77777777" w:rsidR="00F33674" w:rsidRPr="00F33674" w:rsidRDefault="00F33674" w:rsidP="00F33674">
            <w:pPr>
              <w:jc w:val="left"/>
              <w:rPr>
                <w:rFonts w:ascii="Arial Narrow" w:hAnsi="Arial Narrow" w:cs="Arial"/>
                <w:sz w:val="20"/>
                <w:szCs w:val="20"/>
              </w:rPr>
            </w:pPr>
          </w:p>
          <w:p w14:paraId="2953F8FF" w14:textId="5FD5235B" w:rsidR="00F33674" w:rsidRPr="00F33674" w:rsidRDefault="00F33674" w:rsidP="00945502">
            <w:pPr>
              <w:jc w:val="left"/>
              <w:rPr>
                <w:rFonts w:ascii="Arial Narrow" w:hAnsi="Arial Narrow" w:cs="Arial"/>
                <w:sz w:val="20"/>
                <w:szCs w:val="20"/>
              </w:rPr>
            </w:pPr>
            <w:r w:rsidRPr="00F33674">
              <w:rPr>
                <w:rFonts w:ascii="Arial Narrow" w:hAnsi="Arial Narrow" w:cs="Arial"/>
                <w:sz w:val="20"/>
                <w:szCs w:val="20"/>
              </w:rPr>
              <w:t>[new] Patient must be unable to use non-opioid analgesics due to contraindications or intolerance.</w:t>
            </w:r>
          </w:p>
        </w:tc>
      </w:tr>
      <w:tr w:rsidR="00F33674" w:rsidRPr="00F33674" w14:paraId="3AB50CD1" w14:textId="77777777" w:rsidTr="00F33674">
        <w:trPr>
          <w:cantSplit/>
          <w:trHeight w:val="360"/>
        </w:trPr>
        <w:tc>
          <w:tcPr>
            <w:tcW w:w="2835" w:type="dxa"/>
            <w:tcBorders>
              <w:top w:val="single" w:sz="4" w:space="0" w:color="auto"/>
              <w:left w:val="single" w:sz="4" w:space="0" w:color="auto"/>
              <w:bottom w:val="single" w:sz="4" w:space="0" w:color="auto"/>
              <w:right w:val="single" w:sz="4" w:space="0" w:color="auto"/>
            </w:tcBorders>
          </w:tcPr>
          <w:p w14:paraId="05FE30F1" w14:textId="77777777" w:rsidR="00F33674" w:rsidRPr="00F33674" w:rsidRDefault="00F33674" w:rsidP="00F33674">
            <w:pPr>
              <w:rPr>
                <w:rFonts w:ascii="Arial Narrow" w:hAnsi="Arial Narrow" w:cs="Arial"/>
                <w:b/>
                <w:sz w:val="20"/>
                <w:szCs w:val="20"/>
              </w:rPr>
            </w:pPr>
            <w:r w:rsidRPr="00F33674">
              <w:rPr>
                <w:rFonts w:ascii="Arial Narrow" w:hAnsi="Arial Narrow" w:cs="Arial"/>
                <w:b/>
                <w:sz w:val="20"/>
                <w:szCs w:val="20"/>
              </w:rPr>
              <w:t>Prescriber instructions:</w:t>
            </w:r>
          </w:p>
        </w:tc>
        <w:tc>
          <w:tcPr>
            <w:tcW w:w="6379" w:type="dxa"/>
            <w:tcBorders>
              <w:top w:val="single" w:sz="4" w:space="0" w:color="auto"/>
              <w:left w:val="single" w:sz="4" w:space="0" w:color="auto"/>
              <w:bottom w:val="single" w:sz="4" w:space="0" w:color="auto"/>
              <w:right w:val="single" w:sz="4" w:space="0" w:color="auto"/>
            </w:tcBorders>
          </w:tcPr>
          <w:p w14:paraId="5F93A417" w14:textId="6DD78C87" w:rsidR="00F33674" w:rsidRPr="00F33674" w:rsidRDefault="00F33674" w:rsidP="00193259">
            <w:pPr>
              <w:jc w:val="left"/>
              <w:rPr>
                <w:rFonts w:ascii="Arial Narrow" w:hAnsi="Arial Narrow" w:cs="Arial"/>
                <w:sz w:val="20"/>
                <w:szCs w:val="20"/>
              </w:rPr>
            </w:pPr>
            <w:r w:rsidRPr="00F33674">
              <w:rPr>
                <w:rFonts w:ascii="Arial Narrow" w:hAnsi="Arial Narrow" w:cs="Arial"/>
                <w:sz w:val="20"/>
                <w:szCs w:val="20"/>
              </w:rPr>
              <w:t xml:space="preserve">[new] Authorities for increased maximum quantities and/or repeats </w:t>
            </w:r>
            <w:r w:rsidR="00407308">
              <w:rPr>
                <w:rFonts w:ascii="Arial Narrow" w:hAnsi="Arial Narrow" w:cs="Arial"/>
                <w:sz w:val="20"/>
                <w:szCs w:val="20"/>
              </w:rPr>
              <w:t xml:space="preserve">under this restriction </w:t>
            </w:r>
            <w:proofErr w:type="gramStart"/>
            <w:r w:rsidRPr="00F33674">
              <w:rPr>
                <w:rFonts w:ascii="Arial Narrow" w:hAnsi="Arial Narrow" w:cs="Arial"/>
                <w:sz w:val="20"/>
                <w:szCs w:val="20"/>
              </w:rPr>
              <w:t>must only be considered</w:t>
            </w:r>
            <w:proofErr w:type="gramEnd"/>
            <w:r w:rsidRPr="00F33674">
              <w:rPr>
                <w:rFonts w:ascii="Arial Narrow" w:hAnsi="Arial Narrow" w:cs="Arial"/>
                <w:sz w:val="20"/>
                <w:szCs w:val="20"/>
              </w:rPr>
              <w:t xml:space="preserve"> for</w:t>
            </w:r>
            <w:r w:rsidR="00407308">
              <w:rPr>
                <w:rFonts w:ascii="Arial Narrow" w:hAnsi="Arial Narrow" w:cs="Arial"/>
                <w:sz w:val="20"/>
                <w:szCs w:val="20"/>
              </w:rPr>
              <w:t xml:space="preserve"> </w:t>
            </w:r>
            <w:r w:rsidRPr="00F33674">
              <w:rPr>
                <w:rFonts w:ascii="Arial Narrow" w:hAnsi="Arial Narrow" w:cs="Arial"/>
                <w:sz w:val="20"/>
                <w:szCs w:val="20"/>
              </w:rPr>
              <w:t>severe disabling pain associated with proven malignant neoplasia or</w:t>
            </w:r>
            <w:r w:rsidR="00407308">
              <w:rPr>
                <w:rFonts w:ascii="Arial Narrow" w:hAnsi="Arial Narrow" w:cs="Arial"/>
                <w:sz w:val="20"/>
                <w:szCs w:val="20"/>
              </w:rPr>
              <w:t xml:space="preserve"> </w:t>
            </w:r>
            <w:r w:rsidRPr="00F33674">
              <w:rPr>
                <w:rFonts w:ascii="Arial Narrow" w:hAnsi="Arial Narrow" w:cs="Arial"/>
                <w:sz w:val="20"/>
                <w:szCs w:val="20"/>
              </w:rPr>
              <w:t>chronic severe disabling pain where the total duration of non-PBS and PBS subsidised opioid analgesic treatment is less than 12 months</w:t>
            </w:r>
            <w:r w:rsidR="00407308">
              <w:rPr>
                <w:rFonts w:ascii="Arial Narrow" w:hAnsi="Arial Narrow" w:cs="Arial"/>
                <w:sz w:val="20"/>
                <w:szCs w:val="20"/>
              </w:rPr>
              <w:t>.</w:t>
            </w:r>
          </w:p>
          <w:p w14:paraId="3E0AF254" w14:textId="77777777" w:rsidR="00F33674" w:rsidRPr="00F33674" w:rsidRDefault="00F33674" w:rsidP="00F33674">
            <w:pPr>
              <w:jc w:val="left"/>
              <w:rPr>
                <w:rFonts w:ascii="Arial Narrow" w:hAnsi="Arial Narrow" w:cs="Arial"/>
                <w:sz w:val="20"/>
                <w:szCs w:val="20"/>
              </w:rPr>
            </w:pPr>
          </w:p>
          <w:p w14:paraId="44FF508A" w14:textId="77777777" w:rsidR="00F33674" w:rsidRPr="00F33674" w:rsidRDefault="00F33674" w:rsidP="00F33674">
            <w:pPr>
              <w:jc w:val="left"/>
              <w:rPr>
                <w:rFonts w:ascii="Arial Narrow" w:hAnsi="Arial Narrow" w:cs="Arial"/>
                <w:sz w:val="20"/>
                <w:szCs w:val="20"/>
              </w:rPr>
            </w:pPr>
            <w:r w:rsidRPr="00F33674">
              <w:rPr>
                <w:rFonts w:ascii="Arial Narrow" w:hAnsi="Arial Narrow" w:cs="Arial"/>
                <w:sz w:val="20"/>
                <w:szCs w:val="20"/>
              </w:rPr>
              <w:t>[new] Authority requests extending treatment duration up to 1 month may be requested though the Online PBS Authorities system or by calling Services Australia.</w:t>
            </w:r>
          </w:p>
          <w:p w14:paraId="11C197AD" w14:textId="77777777" w:rsidR="00F33674" w:rsidRPr="00F33674" w:rsidRDefault="00F33674" w:rsidP="00F33674">
            <w:pPr>
              <w:jc w:val="left"/>
              <w:rPr>
                <w:rFonts w:ascii="Arial Narrow" w:hAnsi="Arial Narrow" w:cs="Arial"/>
                <w:sz w:val="20"/>
                <w:szCs w:val="20"/>
              </w:rPr>
            </w:pPr>
          </w:p>
          <w:p w14:paraId="4AE47DA5" w14:textId="30C25EC6" w:rsidR="00F33674" w:rsidRPr="00F33674" w:rsidRDefault="00F33674" w:rsidP="00945502">
            <w:pPr>
              <w:jc w:val="left"/>
              <w:rPr>
                <w:rFonts w:ascii="Arial Narrow" w:hAnsi="Arial Narrow" w:cs="Arial"/>
                <w:sz w:val="20"/>
                <w:szCs w:val="20"/>
              </w:rPr>
            </w:pPr>
            <w:r w:rsidRPr="00F33674">
              <w:rPr>
                <w:rFonts w:ascii="Arial Narrow" w:hAnsi="Arial Narrow" w:cs="Arial"/>
                <w:sz w:val="20"/>
                <w:szCs w:val="20"/>
              </w:rPr>
              <w:t xml:space="preserve">Authority requests extending treatment duration beyond 1 month </w:t>
            </w:r>
            <w:r w:rsidR="00407308">
              <w:rPr>
                <w:rFonts w:ascii="Arial Narrow" w:hAnsi="Arial Narrow" w:cs="Arial"/>
                <w:sz w:val="20"/>
                <w:szCs w:val="20"/>
              </w:rPr>
              <w:t>may</w:t>
            </w:r>
            <w:r w:rsidR="00407308" w:rsidRPr="00F33674">
              <w:rPr>
                <w:rFonts w:ascii="Arial Narrow" w:hAnsi="Arial Narrow" w:cs="Arial"/>
                <w:sz w:val="20"/>
                <w:szCs w:val="20"/>
              </w:rPr>
              <w:t xml:space="preserve"> </w:t>
            </w:r>
            <w:r w:rsidRPr="00F33674">
              <w:rPr>
                <w:rFonts w:ascii="Arial Narrow" w:hAnsi="Arial Narrow" w:cs="Arial"/>
                <w:sz w:val="20"/>
                <w:szCs w:val="20"/>
              </w:rPr>
              <w:t xml:space="preserve">be </w:t>
            </w:r>
            <w:r w:rsidR="00407308">
              <w:rPr>
                <w:rFonts w:ascii="Arial Narrow" w:hAnsi="Arial Narrow" w:cs="Arial"/>
                <w:sz w:val="20"/>
                <w:szCs w:val="20"/>
              </w:rPr>
              <w:t>requested through the Online PBS Authorities system</w:t>
            </w:r>
            <w:r w:rsidRPr="00F33674">
              <w:rPr>
                <w:rFonts w:ascii="Arial Narrow" w:hAnsi="Arial Narrow" w:cs="Arial"/>
                <w:sz w:val="20"/>
                <w:szCs w:val="20"/>
              </w:rPr>
              <w:t xml:space="preserve"> or in writing and must not provide a treatment duration exceeding 3 months</w:t>
            </w:r>
            <w:r w:rsidR="00407308">
              <w:rPr>
                <w:rFonts w:ascii="Arial Narrow" w:hAnsi="Arial Narrow" w:cs="Arial"/>
                <w:sz w:val="20"/>
                <w:szCs w:val="20"/>
              </w:rPr>
              <w:t xml:space="preserve"> (quantity sufficient for up to </w:t>
            </w:r>
            <w:proofErr w:type="gramStart"/>
            <w:r w:rsidR="00407308">
              <w:rPr>
                <w:rFonts w:ascii="Arial Narrow" w:hAnsi="Arial Narrow" w:cs="Arial"/>
                <w:sz w:val="20"/>
                <w:szCs w:val="20"/>
              </w:rPr>
              <w:t>1 month</w:t>
            </w:r>
            <w:proofErr w:type="gramEnd"/>
            <w:r w:rsidR="00407308">
              <w:rPr>
                <w:rFonts w:ascii="Arial Narrow" w:hAnsi="Arial Narrow" w:cs="Arial"/>
                <w:sz w:val="20"/>
                <w:szCs w:val="20"/>
              </w:rPr>
              <w:t xml:space="preserve"> treatment and sufficient repeats)</w:t>
            </w:r>
            <w:r w:rsidRPr="00F33674">
              <w:rPr>
                <w:rFonts w:ascii="Arial Narrow" w:hAnsi="Arial Narrow" w:cs="Arial"/>
                <w:sz w:val="20"/>
                <w:szCs w:val="20"/>
              </w:rPr>
              <w:t>.</w:t>
            </w:r>
          </w:p>
        </w:tc>
      </w:tr>
      <w:tr w:rsidR="00F33674" w:rsidRPr="00F33674" w14:paraId="107D382F" w14:textId="77777777" w:rsidTr="00F33674">
        <w:trPr>
          <w:cantSplit/>
          <w:trHeight w:val="360"/>
        </w:trPr>
        <w:tc>
          <w:tcPr>
            <w:tcW w:w="2835" w:type="dxa"/>
            <w:tcBorders>
              <w:top w:val="single" w:sz="4" w:space="0" w:color="auto"/>
              <w:left w:val="single" w:sz="4" w:space="0" w:color="auto"/>
              <w:bottom w:val="single" w:sz="4" w:space="0" w:color="auto"/>
              <w:right w:val="single" w:sz="4" w:space="0" w:color="auto"/>
            </w:tcBorders>
          </w:tcPr>
          <w:p w14:paraId="4EB97AA7" w14:textId="77777777" w:rsidR="00F33674" w:rsidRPr="00F33674" w:rsidRDefault="00F33674" w:rsidP="00F33674">
            <w:pPr>
              <w:rPr>
                <w:rFonts w:ascii="Arial Narrow" w:hAnsi="Arial Narrow" w:cs="Arial"/>
                <w:b/>
                <w:sz w:val="20"/>
                <w:szCs w:val="20"/>
              </w:rPr>
            </w:pPr>
            <w:r w:rsidRPr="00F33674">
              <w:rPr>
                <w:rFonts w:ascii="Arial Narrow" w:hAnsi="Arial Narrow" w:cs="Arial"/>
                <w:b/>
                <w:sz w:val="20"/>
                <w:szCs w:val="20"/>
              </w:rPr>
              <w:lastRenderedPageBreak/>
              <w:t>Administrative advice:</w:t>
            </w:r>
          </w:p>
        </w:tc>
        <w:tc>
          <w:tcPr>
            <w:tcW w:w="6379" w:type="dxa"/>
            <w:tcBorders>
              <w:top w:val="single" w:sz="4" w:space="0" w:color="auto"/>
              <w:left w:val="single" w:sz="4" w:space="0" w:color="auto"/>
              <w:bottom w:val="single" w:sz="4" w:space="0" w:color="auto"/>
              <w:right w:val="single" w:sz="4" w:space="0" w:color="auto"/>
            </w:tcBorders>
          </w:tcPr>
          <w:p w14:paraId="3CA33282" w14:textId="77777777" w:rsidR="00F33674" w:rsidRPr="00F33674" w:rsidRDefault="00F33674" w:rsidP="00F33674">
            <w:pPr>
              <w:jc w:val="left"/>
              <w:rPr>
                <w:rFonts w:ascii="Arial Narrow" w:hAnsi="Arial Narrow" w:cs="Arial"/>
                <w:sz w:val="20"/>
                <w:szCs w:val="20"/>
              </w:rPr>
            </w:pPr>
            <w:r w:rsidRPr="00F33674">
              <w:rPr>
                <w:rFonts w:ascii="Arial Narrow" w:hAnsi="Arial Narrow" w:cs="Arial"/>
                <w:sz w:val="20"/>
                <w:szCs w:val="20"/>
              </w:rPr>
              <w:t>[new] Real time online applications for increased maximum quantities/repeats may be made using the Online PBS Authorities system (see www.servicesaustralia.gov.au/organisations/health-professionals/services/medicare/hpos/services/request-authority-using-online-pbs-authorities-hpos)</w:t>
            </w:r>
          </w:p>
          <w:p w14:paraId="5BD576E6" w14:textId="77777777" w:rsidR="00F33674" w:rsidRPr="00F33674" w:rsidRDefault="00F33674" w:rsidP="00F33674">
            <w:pPr>
              <w:jc w:val="left"/>
              <w:rPr>
                <w:rFonts w:ascii="Arial Narrow" w:hAnsi="Arial Narrow" w:cs="Arial"/>
                <w:sz w:val="20"/>
                <w:szCs w:val="20"/>
              </w:rPr>
            </w:pPr>
          </w:p>
          <w:p w14:paraId="273F2EF2" w14:textId="2F5A4469" w:rsidR="00F33674" w:rsidRPr="00F33674" w:rsidRDefault="00F33674" w:rsidP="00F33674">
            <w:pPr>
              <w:jc w:val="left"/>
              <w:rPr>
                <w:rFonts w:ascii="Arial Narrow" w:hAnsi="Arial Narrow" w:cs="Arial"/>
                <w:sz w:val="20"/>
                <w:szCs w:val="20"/>
              </w:rPr>
            </w:pPr>
            <w:r w:rsidRPr="00F33674">
              <w:rPr>
                <w:rFonts w:ascii="Arial Narrow" w:hAnsi="Arial Narrow" w:cs="Arial"/>
                <w:sz w:val="20"/>
                <w:szCs w:val="20"/>
              </w:rPr>
              <w:t>Phone applications for increased maximum quantities/repeats may be made by calling 1800 888 333.</w:t>
            </w:r>
          </w:p>
          <w:p w14:paraId="3DF8C824" w14:textId="77777777" w:rsidR="00F33674" w:rsidRPr="00F33674" w:rsidRDefault="00F33674" w:rsidP="00F33674">
            <w:pPr>
              <w:jc w:val="left"/>
              <w:rPr>
                <w:rFonts w:ascii="Arial Narrow" w:hAnsi="Arial Narrow" w:cs="Arial"/>
                <w:sz w:val="20"/>
                <w:szCs w:val="20"/>
              </w:rPr>
            </w:pPr>
          </w:p>
          <w:p w14:paraId="0C22D8D6" w14:textId="77777777" w:rsidR="00F33674" w:rsidRPr="00F33674" w:rsidRDefault="00F33674" w:rsidP="00F33674">
            <w:pPr>
              <w:jc w:val="left"/>
              <w:rPr>
                <w:rFonts w:ascii="Arial Narrow" w:hAnsi="Arial Narrow" w:cs="Arial"/>
                <w:sz w:val="20"/>
                <w:szCs w:val="20"/>
              </w:rPr>
            </w:pPr>
            <w:r w:rsidRPr="00F33674">
              <w:rPr>
                <w:rFonts w:ascii="Arial Narrow" w:hAnsi="Arial Narrow" w:cs="Arial"/>
                <w:sz w:val="20"/>
                <w:szCs w:val="20"/>
              </w:rPr>
              <w:t>Written authority applications for increased maximum quantities/repeats can be uploaded online through HPOS form upload or mailed to:</w:t>
            </w:r>
          </w:p>
          <w:p w14:paraId="2FE52F5C" w14:textId="77777777" w:rsidR="00F33674" w:rsidRPr="00F33674" w:rsidRDefault="00F33674" w:rsidP="00F33674">
            <w:pPr>
              <w:jc w:val="left"/>
              <w:rPr>
                <w:rFonts w:ascii="Arial Narrow" w:hAnsi="Arial Narrow" w:cs="Arial"/>
                <w:sz w:val="20"/>
                <w:szCs w:val="20"/>
              </w:rPr>
            </w:pPr>
            <w:r w:rsidRPr="00F33674">
              <w:rPr>
                <w:rFonts w:ascii="Arial Narrow" w:hAnsi="Arial Narrow" w:cs="Arial"/>
                <w:sz w:val="20"/>
                <w:szCs w:val="20"/>
              </w:rPr>
              <w:t>Pharmaceutical Benefits Scheme</w:t>
            </w:r>
          </w:p>
          <w:p w14:paraId="065696F2" w14:textId="77777777" w:rsidR="00F33674" w:rsidRPr="00F33674" w:rsidRDefault="00F33674" w:rsidP="00F33674">
            <w:pPr>
              <w:jc w:val="left"/>
              <w:rPr>
                <w:rFonts w:ascii="Arial Narrow" w:hAnsi="Arial Narrow" w:cs="Arial"/>
                <w:sz w:val="20"/>
                <w:szCs w:val="20"/>
              </w:rPr>
            </w:pPr>
            <w:r w:rsidRPr="00F33674">
              <w:rPr>
                <w:rFonts w:ascii="Arial Narrow" w:hAnsi="Arial Narrow" w:cs="Arial"/>
                <w:sz w:val="20"/>
                <w:szCs w:val="20"/>
              </w:rPr>
              <w:t>Reply Paid 9857</w:t>
            </w:r>
          </w:p>
          <w:p w14:paraId="42E97012" w14:textId="77777777" w:rsidR="00F33674" w:rsidRPr="00F33674" w:rsidRDefault="00F33674" w:rsidP="00F33674">
            <w:pPr>
              <w:jc w:val="left"/>
              <w:rPr>
                <w:rFonts w:ascii="Arial Narrow" w:hAnsi="Arial Narrow" w:cs="Arial"/>
                <w:sz w:val="20"/>
                <w:szCs w:val="20"/>
              </w:rPr>
            </w:pPr>
            <w:r w:rsidRPr="00F33674">
              <w:rPr>
                <w:rFonts w:ascii="Arial Narrow" w:hAnsi="Arial Narrow" w:cs="Arial"/>
                <w:sz w:val="20"/>
                <w:szCs w:val="20"/>
              </w:rPr>
              <w:t>[Your capital city]</w:t>
            </w:r>
          </w:p>
        </w:tc>
      </w:tr>
      <w:tr w:rsidR="00F33674" w:rsidRPr="00F33674" w14:paraId="170CA624" w14:textId="77777777" w:rsidTr="00F33674">
        <w:trPr>
          <w:cantSplit/>
          <w:trHeight w:val="360"/>
        </w:trPr>
        <w:tc>
          <w:tcPr>
            <w:tcW w:w="2835" w:type="dxa"/>
            <w:tcBorders>
              <w:top w:val="single" w:sz="4" w:space="0" w:color="auto"/>
              <w:left w:val="single" w:sz="4" w:space="0" w:color="auto"/>
              <w:bottom w:val="single" w:sz="4" w:space="0" w:color="auto"/>
              <w:right w:val="single" w:sz="4" w:space="0" w:color="auto"/>
            </w:tcBorders>
          </w:tcPr>
          <w:p w14:paraId="2EE12E27" w14:textId="77777777" w:rsidR="00F33674" w:rsidRPr="00F33674" w:rsidRDefault="00F33674" w:rsidP="00F33674">
            <w:pPr>
              <w:rPr>
                <w:rFonts w:ascii="Arial Narrow" w:hAnsi="Arial Narrow" w:cs="Arial"/>
                <w:b/>
                <w:sz w:val="20"/>
                <w:szCs w:val="20"/>
              </w:rPr>
            </w:pPr>
            <w:r w:rsidRPr="00F33674">
              <w:rPr>
                <w:rFonts w:ascii="Arial Narrow" w:hAnsi="Arial Narrow" w:cs="Arial"/>
                <w:b/>
                <w:sz w:val="20"/>
                <w:szCs w:val="20"/>
              </w:rPr>
              <w:t>Cautions:</w:t>
            </w:r>
          </w:p>
        </w:tc>
        <w:tc>
          <w:tcPr>
            <w:tcW w:w="6379" w:type="dxa"/>
            <w:tcBorders>
              <w:top w:val="single" w:sz="4" w:space="0" w:color="auto"/>
              <w:left w:val="single" w:sz="4" w:space="0" w:color="auto"/>
              <w:bottom w:val="single" w:sz="4" w:space="0" w:color="auto"/>
              <w:right w:val="single" w:sz="4" w:space="0" w:color="auto"/>
            </w:tcBorders>
          </w:tcPr>
          <w:p w14:paraId="0FB46829" w14:textId="77777777" w:rsidR="00F33674" w:rsidRPr="00F33674" w:rsidRDefault="00F33674" w:rsidP="00F33674">
            <w:pPr>
              <w:jc w:val="left"/>
              <w:rPr>
                <w:rFonts w:ascii="Arial Narrow" w:hAnsi="Arial Narrow" w:cs="Arial"/>
                <w:sz w:val="20"/>
                <w:szCs w:val="20"/>
              </w:rPr>
            </w:pPr>
            <w:r w:rsidRPr="00F33674">
              <w:rPr>
                <w:rFonts w:ascii="Arial Narrow" w:hAnsi="Arial Narrow" w:cs="Arial"/>
                <w:sz w:val="20"/>
                <w:szCs w:val="20"/>
              </w:rPr>
              <w:t>[6986] The risk of drug dependence is high.</w:t>
            </w:r>
          </w:p>
        </w:tc>
      </w:tr>
    </w:tbl>
    <w:p w14:paraId="3E520C43" w14:textId="1D3F268E" w:rsidR="00407308" w:rsidRDefault="00407308" w:rsidP="00193259">
      <w:pPr>
        <w:pStyle w:val="3-BodyText"/>
        <w:numPr>
          <w:ilvl w:val="0"/>
          <w:numId w:val="0"/>
        </w:numPr>
        <w:ind w:left="720" w:hanging="720"/>
      </w:pPr>
    </w:p>
    <w:tbl>
      <w:tblPr>
        <w:tblW w:w="9214" w:type="dxa"/>
        <w:tblInd w:w="-5" w:type="dxa"/>
        <w:tblLayout w:type="fixed"/>
        <w:tblLook w:val="0000" w:firstRow="0" w:lastRow="0" w:firstColumn="0" w:lastColumn="0" w:noHBand="0" w:noVBand="0"/>
      </w:tblPr>
      <w:tblGrid>
        <w:gridCol w:w="2835"/>
        <w:gridCol w:w="6379"/>
      </w:tblGrid>
      <w:tr w:rsidR="00407308" w:rsidRPr="00F33674" w14:paraId="481A5F30" w14:textId="77777777" w:rsidTr="00407308">
        <w:trPr>
          <w:cantSplit/>
          <w:trHeight w:val="360"/>
        </w:trPr>
        <w:tc>
          <w:tcPr>
            <w:tcW w:w="2835" w:type="dxa"/>
            <w:tcBorders>
              <w:top w:val="single" w:sz="4" w:space="0" w:color="auto"/>
              <w:left w:val="single" w:sz="4" w:space="0" w:color="auto"/>
              <w:bottom w:val="single" w:sz="4" w:space="0" w:color="auto"/>
              <w:right w:val="single" w:sz="4" w:space="0" w:color="auto"/>
            </w:tcBorders>
          </w:tcPr>
          <w:p w14:paraId="4273E447" w14:textId="77777777" w:rsidR="00407308" w:rsidRPr="00F33674" w:rsidRDefault="00407308" w:rsidP="00407308">
            <w:pPr>
              <w:rPr>
                <w:rFonts w:ascii="Arial Narrow" w:hAnsi="Arial Narrow" w:cs="Arial"/>
                <w:b/>
                <w:sz w:val="20"/>
                <w:szCs w:val="20"/>
              </w:rPr>
            </w:pPr>
            <w:r w:rsidRPr="00F33674">
              <w:rPr>
                <w:rFonts w:ascii="Arial Narrow" w:hAnsi="Arial Narrow" w:cs="Arial"/>
                <w:b/>
                <w:sz w:val="20"/>
                <w:szCs w:val="20"/>
              </w:rPr>
              <w:t>Category / Program:</w:t>
            </w:r>
          </w:p>
        </w:tc>
        <w:tc>
          <w:tcPr>
            <w:tcW w:w="6379" w:type="dxa"/>
            <w:tcBorders>
              <w:top w:val="single" w:sz="4" w:space="0" w:color="auto"/>
              <w:left w:val="single" w:sz="4" w:space="0" w:color="auto"/>
              <w:bottom w:val="single" w:sz="4" w:space="0" w:color="auto"/>
              <w:right w:val="single" w:sz="4" w:space="0" w:color="auto"/>
            </w:tcBorders>
          </w:tcPr>
          <w:p w14:paraId="7309554D" w14:textId="77777777" w:rsidR="00407308" w:rsidRPr="00F33674" w:rsidRDefault="00407308" w:rsidP="00407308">
            <w:pPr>
              <w:rPr>
                <w:rFonts w:ascii="Arial Narrow" w:hAnsi="Arial Narrow" w:cs="Arial"/>
                <w:sz w:val="20"/>
                <w:szCs w:val="20"/>
              </w:rPr>
            </w:pPr>
            <w:r w:rsidRPr="00F33674">
              <w:rPr>
                <w:rFonts w:ascii="Arial Narrow" w:hAnsi="Arial Narrow" w:cs="Arial"/>
                <w:sz w:val="20"/>
                <w:szCs w:val="20"/>
              </w:rPr>
              <w:t>GENERAL – General Schedule (Code GE)</w:t>
            </w:r>
          </w:p>
        </w:tc>
      </w:tr>
      <w:tr w:rsidR="00407308" w:rsidRPr="00F33674" w14:paraId="10D34002" w14:textId="77777777" w:rsidTr="00407308">
        <w:trPr>
          <w:cantSplit/>
          <w:trHeight w:val="360"/>
        </w:trPr>
        <w:tc>
          <w:tcPr>
            <w:tcW w:w="2835" w:type="dxa"/>
            <w:tcBorders>
              <w:top w:val="single" w:sz="4" w:space="0" w:color="auto"/>
              <w:left w:val="single" w:sz="4" w:space="0" w:color="auto"/>
              <w:bottom w:val="single" w:sz="4" w:space="0" w:color="auto"/>
              <w:right w:val="single" w:sz="4" w:space="0" w:color="auto"/>
            </w:tcBorders>
          </w:tcPr>
          <w:p w14:paraId="36C283CA" w14:textId="77777777" w:rsidR="00407308" w:rsidRPr="00F33674" w:rsidRDefault="00407308" w:rsidP="00407308">
            <w:pPr>
              <w:rPr>
                <w:rFonts w:ascii="Arial Narrow" w:hAnsi="Arial Narrow" w:cs="Arial"/>
                <w:b/>
                <w:sz w:val="20"/>
                <w:szCs w:val="20"/>
              </w:rPr>
            </w:pPr>
            <w:r w:rsidRPr="00F33674">
              <w:rPr>
                <w:rFonts w:ascii="Arial Narrow" w:hAnsi="Arial Narrow" w:cs="Arial"/>
                <w:b/>
                <w:sz w:val="20"/>
                <w:szCs w:val="20"/>
              </w:rPr>
              <w:t>Prescriber type:</w:t>
            </w:r>
          </w:p>
          <w:p w14:paraId="5F469D92" w14:textId="77777777" w:rsidR="00407308" w:rsidRPr="00F33674" w:rsidRDefault="00407308" w:rsidP="00407308">
            <w:pPr>
              <w:rPr>
                <w:rFonts w:ascii="Arial Narrow" w:hAnsi="Arial Narrow" w:cs="Arial"/>
                <w:b/>
                <w:sz w:val="20"/>
                <w:szCs w:val="20"/>
              </w:rPr>
            </w:pPr>
          </w:p>
        </w:tc>
        <w:tc>
          <w:tcPr>
            <w:tcW w:w="6379" w:type="dxa"/>
            <w:tcBorders>
              <w:top w:val="single" w:sz="4" w:space="0" w:color="auto"/>
              <w:left w:val="single" w:sz="4" w:space="0" w:color="auto"/>
              <w:bottom w:val="single" w:sz="4" w:space="0" w:color="auto"/>
              <w:right w:val="single" w:sz="4" w:space="0" w:color="auto"/>
            </w:tcBorders>
          </w:tcPr>
          <w:p w14:paraId="3317C4EE" w14:textId="03AA76CD" w:rsidR="00407308" w:rsidRPr="00F33674" w:rsidRDefault="00407308" w:rsidP="00407308">
            <w:pPr>
              <w:rPr>
                <w:rFonts w:ascii="Arial Narrow" w:hAnsi="Arial Narrow" w:cs="Arial"/>
                <w:sz w:val="20"/>
                <w:szCs w:val="20"/>
              </w:rPr>
            </w:pPr>
            <w:r w:rsidRPr="00F33674">
              <w:rPr>
                <w:rFonts w:ascii="Arial Narrow" w:hAnsi="Arial Narrow" w:cs="Arial"/>
                <w:sz w:val="20"/>
                <w:szCs w:val="20"/>
              </w:rPr>
              <w:fldChar w:fldCharType="begin">
                <w:ffData>
                  <w:name w:val="Check1"/>
                  <w:enabled/>
                  <w:calcOnExit w:val="0"/>
                  <w:checkBox>
                    <w:sizeAuto/>
                    <w:default w:val="0"/>
                  </w:checkBox>
                </w:ffData>
              </w:fldChar>
            </w:r>
            <w:r w:rsidRPr="00F33674">
              <w:rPr>
                <w:rFonts w:ascii="Arial Narrow" w:hAnsi="Arial Narrow" w:cs="Arial"/>
                <w:sz w:val="20"/>
                <w:szCs w:val="20"/>
              </w:rPr>
              <w:instrText xml:space="preserve"> FORMCHECKBOX </w:instrText>
            </w:r>
            <w:r w:rsidR="00233D13">
              <w:rPr>
                <w:rFonts w:ascii="Arial Narrow" w:hAnsi="Arial Narrow" w:cs="Arial"/>
                <w:sz w:val="20"/>
                <w:szCs w:val="20"/>
              </w:rPr>
            </w:r>
            <w:r w:rsidR="00233D13">
              <w:rPr>
                <w:rFonts w:ascii="Arial Narrow" w:hAnsi="Arial Narrow" w:cs="Arial"/>
                <w:sz w:val="20"/>
                <w:szCs w:val="20"/>
              </w:rPr>
              <w:fldChar w:fldCharType="separate"/>
            </w:r>
            <w:r w:rsidRPr="00F33674">
              <w:rPr>
                <w:rFonts w:ascii="Arial Narrow" w:hAnsi="Arial Narrow" w:cs="Arial"/>
                <w:sz w:val="20"/>
                <w:szCs w:val="20"/>
              </w:rPr>
              <w:fldChar w:fldCharType="end"/>
            </w:r>
            <w:r w:rsidRPr="00F33674">
              <w:rPr>
                <w:rFonts w:ascii="Arial Narrow" w:hAnsi="Arial Narrow" w:cs="Arial"/>
                <w:sz w:val="20"/>
                <w:szCs w:val="20"/>
              </w:rPr>
              <w:t>Dental</w:t>
            </w:r>
            <w:r w:rsidR="002C1329">
              <w:rPr>
                <w:rFonts w:ascii="Arial Narrow" w:hAnsi="Arial Narrow" w:cs="Arial"/>
                <w:sz w:val="20"/>
                <w:szCs w:val="20"/>
              </w:rPr>
              <w:t xml:space="preserve"> </w:t>
            </w:r>
            <w:r w:rsidRPr="00F33674">
              <w:rPr>
                <w:rFonts w:ascii="Arial Narrow" w:hAnsi="Arial Narrow" w:cs="Arial"/>
                <w:sz w:val="20"/>
                <w:szCs w:val="20"/>
              </w:rPr>
              <w:fldChar w:fldCharType="begin">
                <w:ffData>
                  <w:name w:val=""/>
                  <w:enabled/>
                  <w:calcOnExit w:val="0"/>
                  <w:checkBox>
                    <w:sizeAuto/>
                    <w:default w:val="1"/>
                  </w:checkBox>
                </w:ffData>
              </w:fldChar>
            </w:r>
            <w:r w:rsidRPr="00F33674">
              <w:rPr>
                <w:rFonts w:ascii="Arial Narrow" w:hAnsi="Arial Narrow" w:cs="Arial"/>
                <w:sz w:val="20"/>
                <w:szCs w:val="20"/>
              </w:rPr>
              <w:instrText xml:space="preserve"> FORMCHECKBOX </w:instrText>
            </w:r>
            <w:r w:rsidR="00233D13">
              <w:rPr>
                <w:rFonts w:ascii="Arial Narrow" w:hAnsi="Arial Narrow" w:cs="Arial"/>
                <w:sz w:val="20"/>
                <w:szCs w:val="20"/>
              </w:rPr>
            </w:r>
            <w:r w:rsidR="00233D13">
              <w:rPr>
                <w:rFonts w:ascii="Arial Narrow" w:hAnsi="Arial Narrow" w:cs="Arial"/>
                <w:sz w:val="20"/>
                <w:szCs w:val="20"/>
              </w:rPr>
              <w:fldChar w:fldCharType="separate"/>
            </w:r>
            <w:r w:rsidRPr="00F33674">
              <w:rPr>
                <w:rFonts w:ascii="Arial Narrow" w:hAnsi="Arial Narrow" w:cs="Arial"/>
                <w:sz w:val="20"/>
                <w:szCs w:val="20"/>
              </w:rPr>
              <w:fldChar w:fldCharType="end"/>
            </w:r>
            <w:r w:rsidRPr="00F33674">
              <w:rPr>
                <w:rFonts w:ascii="Arial Narrow" w:hAnsi="Arial Narrow" w:cs="Arial"/>
                <w:sz w:val="20"/>
                <w:szCs w:val="20"/>
              </w:rPr>
              <w:t>Medical Practitioners</w:t>
            </w:r>
            <w:r w:rsidR="002C1329">
              <w:rPr>
                <w:rFonts w:ascii="Arial Narrow" w:hAnsi="Arial Narrow" w:cs="Arial"/>
                <w:sz w:val="20"/>
                <w:szCs w:val="20"/>
              </w:rPr>
              <w:t xml:space="preserve"> </w:t>
            </w:r>
            <w:r w:rsidRPr="00F33674">
              <w:rPr>
                <w:rFonts w:ascii="Arial Narrow" w:hAnsi="Arial Narrow" w:cs="Arial"/>
                <w:sz w:val="20"/>
                <w:szCs w:val="20"/>
              </w:rPr>
              <w:fldChar w:fldCharType="begin">
                <w:ffData>
                  <w:name w:val="Check3"/>
                  <w:enabled/>
                  <w:calcOnExit w:val="0"/>
                  <w:checkBox>
                    <w:sizeAuto/>
                    <w:default w:val="1"/>
                  </w:checkBox>
                </w:ffData>
              </w:fldChar>
            </w:r>
            <w:r w:rsidRPr="00F33674">
              <w:rPr>
                <w:rFonts w:ascii="Arial Narrow" w:hAnsi="Arial Narrow" w:cs="Arial"/>
                <w:sz w:val="20"/>
                <w:szCs w:val="20"/>
              </w:rPr>
              <w:instrText xml:space="preserve"> FORMCHECKBOX </w:instrText>
            </w:r>
            <w:r w:rsidR="00233D13">
              <w:rPr>
                <w:rFonts w:ascii="Arial Narrow" w:hAnsi="Arial Narrow" w:cs="Arial"/>
                <w:sz w:val="20"/>
                <w:szCs w:val="20"/>
              </w:rPr>
            </w:r>
            <w:r w:rsidR="00233D13">
              <w:rPr>
                <w:rFonts w:ascii="Arial Narrow" w:hAnsi="Arial Narrow" w:cs="Arial"/>
                <w:sz w:val="20"/>
                <w:szCs w:val="20"/>
              </w:rPr>
              <w:fldChar w:fldCharType="separate"/>
            </w:r>
            <w:r w:rsidRPr="00F33674">
              <w:rPr>
                <w:rFonts w:ascii="Arial Narrow" w:hAnsi="Arial Narrow" w:cs="Arial"/>
                <w:sz w:val="20"/>
                <w:szCs w:val="20"/>
              </w:rPr>
              <w:fldChar w:fldCharType="end"/>
            </w:r>
            <w:r w:rsidRPr="00F33674">
              <w:rPr>
                <w:rFonts w:ascii="Arial Narrow" w:hAnsi="Arial Narrow" w:cs="Arial"/>
                <w:sz w:val="20"/>
                <w:szCs w:val="20"/>
              </w:rPr>
              <w:t>Nurse practitioners</w:t>
            </w:r>
            <w:r w:rsidR="002C1329">
              <w:rPr>
                <w:rFonts w:ascii="Arial Narrow" w:hAnsi="Arial Narrow" w:cs="Arial"/>
                <w:sz w:val="20"/>
                <w:szCs w:val="20"/>
              </w:rPr>
              <w:t xml:space="preserve"> </w:t>
            </w:r>
            <w:r w:rsidRPr="00F33674">
              <w:rPr>
                <w:rFonts w:ascii="Arial Narrow" w:hAnsi="Arial Narrow" w:cs="Arial"/>
                <w:sz w:val="20"/>
                <w:szCs w:val="20"/>
              </w:rPr>
              <w:fldChar w:fldCharType="begin">
                <w:ffData>
                  <w:name w:val=""/>
                  <w:enabled/>
                  <w:calcOnExit w:val="0"/>
                  <w:checkBox>
                    <w:sizeAuto/>
                    <w:default w:val="0"/>
                  </w:checkBox>
                </w:ffData>
              </w:fldChar>
            </w:r>
            <w:r w:rsidRPr="00F33674">
              <w:rPr>
                <w:rFonts w:ascii="Arial Narrow" w:hAnsi="Arial Narrow" w:cs="Arial"/>
                <w:sz w:val="20"/>
                <w:szCs w:val="20"/>
              </w:rPr>
              <w:instrText xml:space="preserve"> FORMCHECKBOX </w:instrText>
            </w:r>
            <w:r w:rsidR="00233D13">
              <w:rPr>
                <w:rFonts w:ascii="Arial Narrow" w:hAnsi="Arial Narrow" w:cs="Arial"/>
                <w:sz w:val="20"/>
                <w:szCs w:val="20"/>
              </w:rPr>
            </w:r>
            <w:r w:rsidR="00233D13">
              <w:rPr>
                <w:rFonts w:ascii="Arial Narrow" w:hAnsi="Arial Narrow" w:cs="Arial"/>
                <w:sz w:val="20"/>
                <w:szCs w:val="20"/>
              </w:rPr>
              <w:fldChar w:fldCharType="separate"/>
            </w:r>
            <w:r w:rsidRPr="00F33674">
              <w:rPr>
                <w:rFonts w:ascii="Arial Narrow" w:hAnsi="Arial Narrow" w:cs="Arial"/>
                <w:sz w:val="20"/>
                <w:szCs w:val="20"/>
              </w:rPr>
              <w:fldChar w:fldCharType="end"/>
            </w:r>
            <w:r w:rsidRPr="00F33674">
              <w:rPr>
                <w:rFonts w:ascii="Arial Narrow" w:hAnsi="Arial Narrow" w:cs="Arial"/>
                <w:sz w:val="20"/>
                <w:szCs w:val="20"/>
              </w:rPr>
              <w:t>Optometrists</w:t>
            </w:r>
          </w:p>
          <w:p w14:paraId="31EA9E9A" w14:textId="77777777" w:rsidR="00407308" w:rsidRPr="00F33674" w:rsidRDefault="00407308" w:rsidP="00407308">
            <w:pPr>
              <w:rPr>
                <w:rFonts w:ascii="Arial Narrow" w:hAnsi="Arial Narrow" w:cs="Arial"/>
                <w:sz w:val="20"/>
                <w:szCs w:val="20"/>
              </w:rPr>
            </w:pPr>
            <w:r w:rsidRPr="00F33674">
              <w:rPr>
                <w:rFonts w:ascii="Arial Narrow" w:hAnsi="Arial Narrow" w:cs="Arial"/>
                <w:sz w:val="20"/>
                <w:szCs w:val="20"/>
              </w:rPr>
              <w:fldChar w:fldCharType="begin">
                <w:ffData>
                  <w:name w:val="Check5"/>
                  <w:enabled/>
                  <w:calcOnExit w:val="0"/>
                  <w:checkBox>
                    <w:sizeAuto/>
                    <w:default w:val="0"/>
                  </w:checkBox>
                </w:ffData>
              </w:fldChar>
            </w:r>
            <w:r w:rsidRPr="00F33674">
              <w:rPr>
                <w:rFonts w:ascii="Arial Narrow" w:hAnsi="Arial Narrow" w:cs="Arial"/>
                <w:sz w:val="20"/>
                <w:szCs w:val="20"/>
              </w:rPr>
              <w:instrText xml:space="preserve"> FORMCHECKBOX </w:instrText>
            </w:r>
            <w:r w:rsidR="00233D13">
              <w:rPr>
                <w:rFonts w:ascii="Arial Narrow" w:hAnsi="Arial Narrow" w:cs="Arial"/>
                <w:sz w:val="20"/>
                <w:szCs w:val="20"/>
              </w:rPr>
            </w:r>
            <w:r w:rsidR="00233D13">
              <w:rPr>
                <w:rFonts w:ascii="Arial Narrow" w:hAnsi="Arial Narrow" w:cs="Arial"/>
                <w:sz w:val="20"/>
                <w:szCs w:val="20"/>
              </w:rPr>
              <w:fldChar w:fldCharType="separate"/>
            </w:r>
            <w:r w:rsidRPr="00F33674">
              <w:rPr>
                <w:rFonts w:ascii="Arial Narrow" w:hAnsi="Arial Narrow" w:cs="Arial"/>
                <w:sz w:val="20"/>
                <w:szCs w:val="20"/>
              </w:rPr>
              <w:fldChar w:fldCharType="end"/>
            </w:r>
            <w:r w:rsidRPr="00F33674">
              <w:rPr>
                <w:rFonts w:ascii="Arial Narrow" w:hAnsi="Arial Narrow" w:cs="Arial"/>
                <w:sz w:val="20"/>
                <w:szCs w:val="20"/>
              </w:rPr>
              <w:t>Midwives</w:t>
            </w:r>
          </w:p>
        </w:tc>
      </w:tr>
      <w:tr w:rsidR="00407308" w:rsidRPr="00F33674" w14:paraId="57BB30FF" w14:textId="77777777" w:rsidTr="00407308">
        <w:trPr>
          <w:cantSplit/>
          <w:trHeight w:val="369"/>
        </w:trPr>
        <w:tc>
          <w:tcPr>
            <w:tcW w:w="2835" w:type="dxa"/>
            <w:tcBorders>
              <w:top w:val="single" w:sz="4" w:space="0" w:color="auto"/>
              <w:left w:val="single" w:sz="4" w:space="0" w:color="auto"/>
              <w:bottom w:val="single" w:sz="4" w:space="0" w:color="auto"/>
              <w:right w:val="single" w:sz="4" w:space="0" w:color="auto"/>
            </w:tcBorders>
          </w:tcPr>
          <w:p w14:paraId="134B39D6" w14:textId="77777777" w:rsidR="00407308" w:rsidRPr="00F33674" w:rsidRDefault="00407308" w:rsidP="00407308">
            <w:pPr>
              <w:rPr>
                <w:rFonts w:ascii="Arial Narrow" w:hAnsi="Arial Narrow" w:cs="Arial"/>
                <w:b/>
                <w:sz w:val="20"/>
                <w:szCs w:val="20"/>
              </w:rPr>
            </w:pPr>
            <w:r w:rsidRPr="00F33674">
              <w:rPr>
                <w:rFonts w:ascii="Arial Narrow" w:hAnsi="Arial Narrow" w:cs="Arial"/>
                <w:b/>
                <w:sz w:val="20"/>
                <w:szCs w:val="20"/>
              </w:rPr>
              <w:t>PBS indication:</w:t>
            </w:r>
          </w:p>
        </w:tc>
        <w:tc>
          <w:tcPr>
            <w:tcW w:w="6379" w:type="dxa"/>
            <w:tcBorders>
              <w:top w:val="single" w:sz="4" w:space="0" w:color="auto"/>
              <w:left w:val="single" w:sz="4" w:space="0" w:color="auto"/>
              <w:bottom w:val="single" w:sz="4" w:space="0" w:color="auto"/>
              <w:right w:val="single" w:sz="4" w:space="0" w:color="auto"/>
            </w:tcBorders>
          </w:tcPr>
          <w:p w14:paraId="47F6878E" w14:textId="77777777" w:rsidR="00407308" w:rsidRPr="00F33674" w:rsidRDefault="00407308" w:rsidP="00407308">
            <w:pPr>
              <w:rPr>
                <w:rFonts w:ascii="Arial Narrow" w:hAnsi="Arial Narrow" w:cs="Arial"/>
                <w:sz w:val="20"/>
                <w:szCs w:val="20"/>
              </w:rPr>
            </w:pPr>
            <w:r w:rsidRPr="00F33674">
              <w:rPr>
                <w:rFonts w:ascii="Arial Narrow" w:hAnsi="Arial Narrow" w:cs="Arial"/>
                <w:sz w:val="20"/>
                <w:szCs w:val="20"/>
              </w:rPr>
              <w:t>[7861] Severe pain</w:t>
            </w:r>
          </w:p>
        </w:tc>
      </w:tr>
      <w:tr w:rsidR="00407308" w:rsidRPr="00F33674" w14:paraId="219CF014" w14:textId="77777777" w:rsidTr="00407308">
        <w:trPr>
          <w:cantSplit/>
          <w:trHeight w:val="360"/>
        </w:trPr>
        <w:tc>
          <w:tcPr>
            <w:tcW w:w="2835" w:type="dxa"/>
            <w:tcBorders>
              <w:top w:val="single" w:sz="4" w:space="0" w:color="auto"/>
              <w:left w:val="single" w:sz="4" w:space="0" w:color="auto"/>
              <w:bottom w:val="single" w:sz="4" w:space="0" w:color="auto"/>
              <w:right w:val="single" w:sz="4" w:space="0" w:color="auto"/>
            </w:tcBorders>
          </w:tcPr>
          <w:p w14:paraId="43537B61" w14:textId="77777777" w:rsidR="00407308" w:rsidRPr="00F33674" w:rsidRDefault="00407308" w:rsidP="00407308">
            <w:pPr>
              <w:rPr>
                <w:rFonts w:ascii="Arial Narrow" w:hAnsi="Arial Narrow" w:cs="Arial"/>
                <w:b/>
                <w:sz w:val="20"/>
                <w:szCs w:val="20"/>
              </w:rPr>
            </w:pPr>
            <w:r w:rsidRPr="00F33674">
              <w:rPr>
                <w:rFonts w:ascii="Arial Narrow" w:hAnsi="Arial Narrow" w:cs="Arial"/>
                <w:b/>
                <w:sz w:val="20"/>
                <w:szCs w:val="20"/>
              </w:rPr>
              <w:t>Restriction Level / Method:</w:t>
            </w:r>
          </w:p>
          <w:p w14:paraId="74B122C9" w14:textId="77777777" w:rsidR="00407308" w:rsidRPr="00F33674" w:rsidRDefault="00407308" w:rsidP="00407308">
            <w:pPr>
              <w:rPr>
                <w:rFonts w:ascii="Arial Narrow" w:hAnsi="Arial Narrow" w:cs="Arial"/>
                <w:i/>
                <w:sz w:val="20"/>
                <w:szCs w:val="20"/>
              </w:rPr>
            </w:pPr>
          </w:p>
          <w:p w14:paraId="4A905E19" w14:textId="77777777" w:rsidR="00407308" w:rsidRPr="00F33674" w:rsidRDefault="00407308" w:rsidP="00407308">
            <w:pPr>
              <w:rPr>
                <w:rFonts w:ascii="Arial Narrow" w:hAnsi="Arial Narrow" w:cs="Arial"/>
                <w:i/>
                <w:sz w:val="20"/>
                <w:szCs w:val="20"/>
              </w:rPr>
            </w:pPr>
          </w:p>
          <w:p w14:paraId="1F76C046" w14:textId="77777777" w:rsidR="00407308" w:rsidRPr="00F33674" w:rsidRDefault="00407308" w:rsidP="00407308">
            <w:pPr>
              <w:rPr>
                <w:rFonts w:ascii="Arial Narrow" w:hAnsi="Arial Narrow" w:cs="Arial"/>
                <w:i/>
                <w:sz w:val="20"/>
                <w:szCs w:val="20"/>
              </w:rPr>
            </w:pPr>
          </w:p>
        </w:tc>
        <w:tc>
          <w:tcPr>
            <w:tcW w:w="6379" w:type="dxa"/>
            <w:tcBorders>
              <w:top w:val="single" w:sz="4" w:space="0" w:color="auto"/>
              <w:left w:val="single" w:sz="4" w:space="0" w:color="auto"/>
              <w:bottom w:val="single" w:sz="4" w:space="0" w:color="auto"/>
              <w:right w:val="single" w:sz="4" w:space="0" w:color="auto"/>
            </w:tcBorders>
          </w:tcPr>
          <w:p w14:paraId="29BAF314" w14:textId="77777777" w:rsidR="00407308" w:rsidRPr="00F33674" w:rsidRDefault="00407308" w:rsidP="00407308">
            <w:pPr>
              <w:rPr>
                <w:rFonts w:ascii="Arial Narrow" w:hAnsi="Arial Narrow" w:cs="Arial"/>
                <w:sz w:val="20"/>
                <w:szCs w:val="20"/>
              </w:rPr>
            </w:pPr>
            <w:r w:rsidRPr="00F33674">
              <w:rPr>
                <w:rFonts w:ascii="Arial Narrow" w:hAnsi="Arial Narrow" w:cs="Arial"/>
                <w:sz w:val="20"/>
                <w:szCs w:val="20"/>
              </w:rPr>
              <w:fldChar w:fldCharType="begin">
                <w:ffData>
                  <w:name w:val=""/>
                  <w:enabled/>
                  <w:calcOnExit w:val="0"/>
                  <w:checkBox>
                    <w:sizeAuto/>
                    <w:default w:val="0"/>
                  </w:checkBox>
                </w:ffData>
              </w:fldChar>
            </w:r>
            <w:r w:rsidRPr="00F33674">
              <w:rPr>
                <w:rFonts w:ascii="Arial Narrow" w:hAnsi="Arial Narrow" w:cs="Arial"/>
                <w:sz w:val="20"/>
                <w:szCs w:val="20"/>
              </w:rPr>
              <w:instrText xml:space="preserve"> FORMCHECKBOX </w:instrText>
            </w:r>
            <w:r w:rsidR="00233D13">
              <w:rPr>
                <w:rFonts w:ascii="Arial Narrow" w:hAnsi="Arial Narrow" w:cs="Arial"/>
                <w:sz w:val="20"/>
                <w:szCs w:val="20"/>
              </w:rPr>
            </w:r>
            <w:r w:rsidR="00233D13">
              <w:rPr>
                <w:rFonts w:ascii="Arial Narrow" w:hAnsi="Arial Narrow" w:cs="Arial"/>
                <w:sz w:val="20"/>
                <w:szCs w:val="20"/>
              </w:rPr>
              <w:fldChar w:fldCharType="separate"/>
            </w:r>
            <w:r w:rsidRPr="00F33674">
              <w:rPr>
                <w:rFonts w:ascii="Arial Narrow" w:hAnsi="Arial Narrow" w:cs="Arial"/>
                <w:sz w:val="20"/>
                <w:szCs w:val="20"/>
              </w:rPr>
              <w:fldChar w:fldCharType="end"/>
            </w:r>
            <w:r w:rsidRPr="00F33674">
              <w:rPr>
                <w:rFonts w:ascii="Arial Narrow" w:hAnsi="Arial Narrow" w:cs="Arial"/>
                <w:sz w:val="20"/>
                <w:szCs w:val="20"/>
              </w:rPr>
              <w:t>Unrestricted benefit</w:t>
            </w:r>
          </w:p>
          <w:p w14:paraId="040C2235" w14:textId="77777777" w:rsidR="00407308" w:rsidRPr="00F33674" w:rsidRDefault="00407308" w:rsidP="00407308">
            <w:pPr>
              <w:rPr>
                <w:rFonts w:ascii="Arial Narrow" w:hAnsi="Arial Narrow" w:cs="Arial"/>
                <w:i/>
                <w:sz w:val="20"/>
                <w:szCs w:val="20"/>
              </w:rPr>
            </w:pPr>
            <w:r w:rsidRPr="00F33674">
              <w:rPr>
                <w:rFonts w:ascii="Arial Narrow" w:hAnsi="Arial Narrow" w:cs="Arial"/>
                <w:i/>
                <w:sz w:val="20"/>
                <w:szCs w:val="20"/>
              </w:rPr>
              <w:fldChar w:fldCharType="begin">
                <w:ffData>
                  <w:name w:val="Check1"/>
                  <w:enabled/>
                  <w:calcOnExit w:val="0"/>
                  <w:checkBox>
                    <w:sizeAuto/>
                    <w:default w:val="1"/>
                  </w:checkBox>
                </w:ffData>
              </w:fldChar>
            </w:r>
            <w:r w:rsidRPr="00F33674">
              <w:rPr>
                <w:rFonts w:ascii="Arial Narrow" w:hAnsi="Arial Narrow" w:cs="Arial"/>
                <w:i/>
                <w:sz w:val="20"/>
                <w:szCs w:val="20"/>
              </w:rPr>
              <w:instrText xml:space="preserve"> FORMCHECKBOX </w:instrText>
            </w:r>
            <w:r w:rsidR="00233D13">
              <w:rPr>
                <w:rFonts w:ascii="Arial Narrow" w:hAnsi="Arial Narrow" w:cs="Arial"/>
                <w:i/>
                <w:sz w:val="20"/>
                <w:szCs w:val="20"/>
              </w:rPr>
            </w:r>
            <w:r w:rsidR="00233D13">
              <w:rPr>
                <w:rFonts w:ascii="Arial Narrow" w:hAnsi="Arial Narrow" w:cs="Arial"/>
                <w:i/>
                <w:sz w:val="20"/>
                <w:szCs w:val="20"/>
              </w:rPr>
              <w:fldChar w:fldCharType="separate"/>
            </w:r>
            <w:r w:rsidRPr="00F33674">
              <w:rPr>
                <w:rFonts w:ascii="Arial Narrow" w:hAnsi="Arial Narrow" w:cs="Arial"/>
                <w:i/>
                <w:sz w:val="20"/>
                <w:szCs w:val="20"/>
              </w:rPr>
              <w:fldChar w:fldCharType="end"/>
            </w:r>
            <w:r w:rsidRPr="00F33674">
              <w:rPr>
                <w:rFonts w:ascii="Arial Narrow" w:hAnsi="Arial Narrow" w:cs="Arial"/>
                <w:sz w:val="20"/>
                <w:szCs w:val="20"/>
              </w:rPr>
              <w:t>Restricted benefit</w:t>
            </w:r>
          </w:p>
          <w:p w14:paraId="6088F9DC" w14:textId="77777777" w:rsidR="00407308" w:rsidRPr="00F33674" w:rsidRDefault="00407308" w:rsidP="00407308">
            <w:pPr>
              <w:rPr>
                <w:rFonts w:ascii="Arial Narrow" w:hAnsi="Arial Narrow" w:cs="Arial"/>
                <w:sz w:val="20"/>
                <w:szCs w:val="20"/>
              </w:rPr>
            </w:pPr>
            <w:r w:rsidRPr="00F33674">
              <w:rPr>
                <w:rFonts w:ascii="Arial Narrow" w:hAnsi="Arial Narrow" w:cs="Arial"/>
                <w:sz w:val="20"/>
                <w:szCs w:val="20"/>
              </w:rPr>
              <w:fldChar w:fldCharType="begin">
                <w:ffData>
                  <w:name w:val=""/>
                  <w:enabled/>
                  <w:calcOnExit w:val="0"/>
                  <w:checkBox>
                    <w:sizeAuto/>
                    <w:default w:val="0"/>
                  </w:checkBox>
                </w:ffData>
              </w:fldChar>
            </w:r>
            <w:r w:rsidRPr="00F33674">
              <w:rPr>
                <w:rFonts w:ascii="Arial Narrow" w:hAnsi="Arial Narrow" w:cs="Arial"/>
                <w:sz w:val="20"/>
                <w:szCs w:val="20"/>
              </w:rPr>
              <w:instrText xml:space="preserve"> FORMCHECKBOX </w:instrText>
            </w:r>
            <w:r w:rsidR="00233D13">
              <w:rPr>
                <w:rFonts w:ascii="Arial Narrow" w:hAnsi="Arial Narrow" w:cs="Arial"/>
                <w:sz w:val="20"/>
                <w:szCs w:val="20"/>
              </w:rPr>
            </w:r>
            <w:r w:rsidR="00233D13">
              <w:rPr>
                <w:rFonts w:ascii="Arial Narrow" w:hAnsi="Arial Narrow" w:cs="Arial"/>
                <w:sz w:val="20"/>
                <w:szCs w:val="20"/>
              </w:rPr>
              <w:fldChar w:fldCharType="separate"/>
            </w:r>
            <w:r w:rsidRPr="00F33674">
              <w:rPr>
                <w:rFonts w:ascii="Arial Narrow" w:hAnsi="Arial Narrow" w:cs="Arial"/>
                <w:sz w:val="20"/>
                <w:szCs w:val="20"/>
              </w:rPr>
              <w:fldChar w:fldCharType="end"/>
            </w:r>
            <w:r w:rsidRPr="00F33674">
              <w:rPr>
                <w:rFonts w:ascii="Arial Narrow" w:hAnsi="Arial Narrow" w:cs="Arial"/>
                <w:sz w:val="20"/>
                <w:szCs w:val="20"/>
              </w:rPr>
              <w:t>Authority Required – In Writing</w:t>
            </w:r>
          </w:p>
          <w:p w14:paraId="01E64604" w14:textId="77777777" w:rsidR="00407308" w:rsidRPr="00F33674" w:rsidRDefault="00407308" w:rsidP="00407308">
            <w:pPr>
              <w:rPr>
                <w:rFonts w:ascii="Arial Narrow" w:hAnsi="Arial Narrow" w:cs="Arial"/>
                <w:sz w:val="20"/>
                <w:szCs w:val="20"/>
              </w:rPr>
            </w:pPr>
            <w:r w:rsidRPr="00F33674">
              <w:rPr>
                <w:rFonts w:ascii="Arial Narrow" w:hAnsi="Arial Narrow" w:cs="Arial"/>
                <w:sz w:val="20"/>
                <w:szCs w:val="20"/>
              </w:rPr>
              <w:fldChar w:fldCharType="begin">
                <w:ffData>
                  <w:name w:val="Check3"/>
                  <w:enabled/>
                  <w:calcOnExit w:val="0"/>
                  <w:checkBox>
                    <w:sizeAuto/>
                    <w:default w:val="0"/>
                  </w:checkBox>
                </w:ffData>
              </w:fldChar>
            </w:r>
            <w:r w:rsidRPr="00F33674">
              <w:rPr>
                <w:rFonts w:ascii="Arial Narrow" w:hAnsi="Arial Narrow" w:cs="Arial"/>
                <w:sz w:val="20"/>
                <w:szCs w:val="20"/>
              </w:rPr>
              <w:instrText xml:space="preserve"> FORMCHECKBOX </w:instrText>
            </w:r>
            <w:r w:rsidR="00233D13">
              <w:rPr>
                <w:rFonts w:ascii="Arial Narrow" w:hAnsi="Arial Narrow" w:cs="Arial"/>
                <w:sz w:val="20"/>
                <w:szCs w:val="20"/>
              </w:rPr>
            </w:r>
            <w:r w:rsidR="00233D13">
              <w:rPr>
                <w:rFonts w:ascii="Arial Narrow" w:hAnsi="Arial Narrow" w:cs="Arial"/>
                <w:sz w:val="20"/>
                <w:szCs w:val="20"/>
              </w:rPr>
              <w:fldChar w:fldCharType="separate"/>
            </w:r>
            <w:r w:rsidRPr="00F33674">
              <w:rPr>
                <w:rFonts w:ascii="Arial Narrow" w:hAnsi="Arial Narrow" w:cs="Arial"/>
                <w:sz w:val="20"/>
                <w:szCs w:val="20"/>
              </w:rPr>
              <w:fldChar w:fldCharType="end"/>
            </w:r>
            <w:r w:rsidRPr="00F33674">
              <w:rPr>
                <w:rFonts w:ascii="Arial Narrow" w:hAnsi="Arial Narrow" w:cs="Arial"/>
                <w:sz w:val="20"/>
                <w:szCs w:val="20"/>
              </w:rPr>
              <w:t>Authority Required – Telephone/Electronic/Emergency</w:t>
            </w:r>
          </w:p>
          <w:p w14:paraId="7A18B9CD" w14:textId="77777777" w:rsidR="00407308" w:rsidRPr="00F33674" w:rsidRDefault="00407308" w:rsidP="00407308">
            <w:pPr>
              <w:rPr>
                <w:rFonts w:ascii="Arial Narrow" w:hAnsi="Arial Narrow" w:cs="Arial"/>
                <w:sz w:val="20"/>
                <w:szCs w:val="20"/>
              </w:rPr>
            </w:pPr>
            <w:r w:rsidRPr="00F33674">
              <w:rPr>
                <w:rFonts w:ascii="Arial Narrow" w:hAnsi="Arial Narrow" w:cs="Arial"/>
                <w:sz w:val="20"/>
                <w:szCs w:val="20"/>
              </w:rPr>
              <w:fldChar w:fldCharType="begin">
                <w:ffData>
                  <w:name w:val="Check5"/>
                  <w:enabled/>
                  <w:calcOnExit w:val="0"/>
                  <w:checkBox>
                    <w:sizeAuto/>
                    <w:default w:val="0"/>
                  </w:checkBox>
                </w:ffData>
              </w:fldChar>
            </w:r>
            <w:r w:rsidRPr="00F33674">
              <w:rPr>
                <w:rFonts w:ascii="Arial Narrow" w:hAnsi="Arial Narrow" w:cs="Arial"/>
                <w:sz w:val="20"/>
                <w:szCs w:val="20"/>
              </w:rPr>
              <w:instrText xml:space="preserve"> FORMCHECKBOX </w:instrText>
            </w:r>
            <w:r w:rsidR="00233D13">
              <w:rPr>
                <w:rFonts w:ascii="Arial Narrow" w:hAnsi="Arial Narrow" w:cs="Arial"/>
                <w:sz w:val="20"/>
                <w:szCs w:val="20"/>
              </w:rPr>
            </w:r>
            <w:r w:rsidR="00233D13">
              <w:rPr>
                <w:rFonts w:ascii="Arial Narrow" w:hAnsi="Arial Narrow" w:cs="Arial"/>
                <w:sz w:val="20"/>
                <w:szCs w:val="20"/>
              </w:rPr>
              <w:fldChar w:fldCharType="separate"/>
            </w:r>
            <w:r w:rsidRPr="00F33674">
              <w:rPr>
                <w:rFonts w:ascii="Arial Narrow" w:hAnsi="Arial Narrow" w:cs="Arial"/>
                <w:sz w:val="20"/>
                <w:szCs w:val="20"/>
              </w:rPr>
              <w:fldChar w:fldCharType="end"/>
            </w:r>
            <w:r w:rsidRPr="00F33674">
              <w:rPr>
                <w:rFonts w:ascii="Arial Narrow" w:hAnsi="Arial Narrow" w:cs="Arial"/>
                <w:sz w:val="20"/>
                <w:szCs w:val="20"/>
              </w:rPr>
              <w:t>Streamlined</w:t>
            </w:r>
          </w:p>
        </w:tc>
      </w:tr>
      <w:tr w:rsidR="00407308" w:rsidRPr="00F33674" w14:paraId="417F0AE7" w14:textId="77777777" w:rsidTr="00407308">
        <w:trPr>
          <w:cantSplit/>
          <w:trHeight w:val="360"/>
        </w:trPr>
        <w:tc>
          <w:tcPr>
            <w:tcW w:w="2835" w:type="dxa"/>
            <w:tcBorders>
              <w:top w:val="single" w:sz="4" w:space="0" w:color="auto"/>
              <w:left w:val="single" w:sz="4" w:space="0" w:color="auto"/>
              <w:bottom w:val="single" w:sz="4" w:space="0" w:color="auto"/>
              <w:right w:val="single" w:sz="4" w:space="0" w:color="auto"/>
            </w:tcBorders>
          </w:tcPr>
          <w:p w14:paraId="1CB2EA63" w14:textId="77777777" w:rsidR="00407308" w:rsidRPr="00F33674" w:rsidRDefault="00407308" w:rsidP="00407308">
            <w:pPr>
              <w:rPr>
                <w:rFonts w:ascii="Arial Narrow" w:hAnsi="Arial Narrow" w:cs="Arial"/>
                <w:b/>
                <w:sz w:val="20"/>
                <w:szCs w:val="20"/>
              </w:rPr>
            </w:pPr>
            <w:r>
              <w:rPr>
                <w:rFonts w:ascii="Arial Narrow" w:hAnsi="Arial Narrow" w:cs="Arial"/>
                <w:b/>
                <w:sz w:val="20"/>
                <w:szCs w:val="20"/>
              </w:rPr>
              <w:t>Treatment phase:</w:t>
            </w:r>
          </w:p>
        </w:tc>
        <w:tc>
          <w:tcPr>
            <w:tcW w:w="6379" w:type="dxa"/>
            <w:tcBorders>
              <w:top w:val="single" w:sz="4" w:space="0" w:color="auto"/>
              <w:left w:val="single" w:sz="4" w:space="0" w:color="auto"/>
              <w:bottom w:val="single" w:sz="4" w:space="0" w:color="auto"/>
              <w:right w:val="single" w:sz="4" w:space="0" w:color="auto"/>
            </w:tcBorders>
          </w:tcPr>
          <w:p w14:paraId="16D69782" w14:textId="518AC6B1" w:rsidR="00407308" w:rsidRPr="00F33674" w:rsidRDefault="00407308" w:rsidP="00945502">
            <w:pPr>
              <w:jc w:val="left"/>
              <w:rPr>
                <w:rFonts w:ascii="Arial Narrow" w:hAnsi="Arial Narrow" w:cs="Arial"/>
                <w:sz w:val="20"/>
                <w:szCs w:val="20"/>
              </w:rPr>
            </w:pPr>
            <w:r w:rsidRPr="00407308">
              <w:rPr>
                <w:rFonts w:ascii="Arial Narrow" w:hAnsi="Arial Narrow" w:cs="Arial"/>
                <w:sz w:val="20"/>
                <w:szCs w:val="20"/>
              </w:rPr>
              <w:t xml:space="preserve">Initial PBS treatment after 1 June 2020 where patient has been treated with opioids for </w:t>
            </w:r>
            <w:r w:rsidR="0021023D">
              <w:rPr>
                <w:rFonts w:ascii="Arial Narrow" w:hAnsi="Arial Narrow" w:cs="Arial"/>
                <w:sz w:val="20"/>
                <w:szCs w:val="20"/>
              </w:rPr>
              <w:t>more</w:t>
            </w:r>
            <w:r w:rsidRPr="00407308">
              <w:rPr>
                <w:rFonts w:ascii="Arial Narrow" w:hAnsi="Arial Narrow" w:cs="Arial"/>
                <w:sz w:val="20"/>
                <w:szCs w:val="20"/>
              </w:rPr>
              <w:t xml:space="preserve"> than 12 months</w:t>
            </w:r>
          </w:p>
        </w:tc>
      </w:tr>
      <w:tr w:rsidR="00407308" w:rsidRPr="00F33674" w14:paraId="4E0E9017" w14:textId="77777777" w:rsidTr="00407308">
        <w:trPr>
          <w:cantSplit/>
          <w:trHeight w:val="360"/>
        </w:trPr>
        <w:tc>
          <w:tcPr>
            <w:tcW w:w="2835" w:type="dxa"/>
            <w:tcBorders>
              <w:top w:val="single" w:sz="4" w:space="0" w:color="auto"/>
              <w:left w:val="single" w:sz="4" w:space="0" w:color="auto"/>
              <w:bottom w:val="single" w:sz="4" w:space="0" w:color="auto"/>
              <w:right w:val="single" w:sz="4" w:space="0" w:color="auto"/>
            </w:tcBorders>
          </w:tcPr>
          <w:p w14:paraId="41D20DFE" w14:textId="77777777" w:rsidR="00407308" w:rsidRPr="00F33674" w:rsidRDefault="00407308" w:rsidP="00407308">
            <w:pPr>
              <w:rPr>
                <w:rFonts w:ascii="Arial Narrow" w:hAnsi="Arial Narrow" w:cs="Arial"/>
                <w:b/>
                <w:sz w:val="20"/>
                <w:szCs w:val="20"/>
              </w:rPr>
            </w:pPr>
            <w:r w:rsidRPr="00F33674">
              <w:rPr>
                <w:rFonts w:ascii="Arial Narrow" w:hAnsi="Arial Narrow" w:cs="Arial"/>
                <w:b/>
                <w:sz w:val="20"/>
                <w:szCs w:val="20"/>
              </w:rPr>
              <w:t>Clinical criteria:</w:t>
            </w:r>
          </w:p>
        </w:tc>
        <w:tc>
          <w:tcPr>
            <w:tcW w:w="6379" w:type="dxa"/>
            <w:tcBorders>
              <w:top w:val="single" w:sz="4" w:space="0" w:color="auto"/>
              <w:left w:val="single" w:sz="4" w:space="0" w:color="auto"/>
              <w:bottom w:val="single" w:sz="4" w:space="0" w:color="auto"/>
              <w:right w:val="single" w:sz="4" w:space="0" w:color="auto"/>
            </w:tcBorders>
          </w:tcPr>
          <w:p w14:paraId="326FAD74" w14:textId="08D2DC8F" w:rsidR="00407308" w:rsidRPr="00F33674" w:rsidRDefault="00407308" w:rsidP="00407308">
            <w:pPr>
              <w:jc w:val="left"/>
              <w:rPr>
                <w:rFonts w:ascii="Arial Narrow" w:hAnsi="Arial Narrow" w:cs="Arial"/>
                <w:sz w:val="20"/>
                <w:szCs w:val="20"/>
              </w:rPr>
            </w:pPr>
            <w:r w:rsidRPr="00F33674">
              <w:rPr>
                <w:rFonts w:ascii="Arial Narrow" w:hAnsi="Arial Narrow" w:cs="Arial"/>
                <w:sz w:val="20"/>
                <w:szCs w:val="20"/>
              </w:rPr>
              <w:t>[new] Patient must have</w:t>
            </w:r>
            <w:r w:rsidR="007A2171">
              <w:rPr>
                <w:rFonts w:ascii="Arial Narrow" w:hAnsi="Arial Narrow" w:cs="Arial"/>
                <w:sz w:val="20"/>
                <w:szCs w:val="20"/>
              </w:rPr>
              <w:t xml:space="preserve"> had</w:t>
            </w:r>
            <w:r w:rsidRPr="00F33674">
              <w:rPr>
                <w:rFonts w:ascii="Arial Narrow" w:hAnsi="Arial Narrow" w:cs="Arial"/>
                <w:sz w:val="20"/>
                <w:szCs w:val="20"/>
              </w:rPr>
              <w:t xml:space="preserve"> </w:t>
            </w:r>
            <w:r>
              <w:rPr>
                <w:rFonts w:ascii="Arial Narrow" w:hAnsi="Arial Narrow" w:cs="Arial"/>
                <w:sz w:val="20"/>
                <w:szCs w:val="20"/>
              </w:rPr>
              <w:t>or would have</w:t>
            </w:r>
            <w:r w:rsidRPr="00F33674">
              <w:rPr>
                <w:rFonts w:ascii="Arial Narrow" w:hAnsi="Arial Narrow" w:cs="Arial"/>
                <w:sz w:val="20"/>
                <w:szCs w:val="20"/>
              </w:rPr>
              <w:t xml:space="preserve"> inadequate </w:t>
            </w:r>
            <w:r>
              <w:rPr>
                <w:rFonts w:ascii="Arial Narrow" w:hAnsi="Arial Narrow" w:cs="Arial"/>
                <w:sz w:val="20"/>
                <w:szCs w:val="20"/>
              </w:rPr>
              <w:t xml:space="preserve">pain </w:t>
            </w:r>
            <w:r w:rsidRPr="00F33674">
              <w:rPr>
                <w:rFonts w:ascii="Arial Narrow" w:hAnsi="Arial Narrow" w:cs="Arial"/>
                <w:sz w:val="20"/>
                <w:szCs w:val="20"/>
              </w:rPr>
              <w:t xml:space="preserve">management </w:t>
            </w:r>
            <w:r>
              <w:rPr>
                <w:rFonts w:ascii="Arial Narrow" w:hAnsi="Arial Narrow" w:cs="Arial"/>
                <w:sz w:val="20"/>
                <w:szCs w:val="20"/>
              </w:rPr>
              <w:t>with</w:t>
            </w:r>
            <w:r w:rsidRPr="00F33674">
              <w:rPr>
                <w:rFonts w:ascii="Arial Narrow" w:hAnsi="Arial Narrow" w:cs="Arial"/>
                <w:sz w:val="20"/>
                <w:szCs w:val="20"/>
              </w:rPr>
              <w:t xml:space="preserve"> maximum tolerated doses of non-opioid analgesics</w:t>
            </w:r>
          </w:p>
          <w:p w14:paraId="015E0F5D" w14:textId="77777777" w:rsidR="00407308" w:rsidRPr="00F33674" w:rsidRDefault="00407308" w:rsidP="00407308">
            <w:pPr>
              <w:jc w:val="left"/>
              <w:rPr>
                <w:rFonts w:ascii="Arial Narrow" w:hAnsi="Arial Narrow" w:cs="Arial"/>
                <w:sz w:val="20"/>
                <w:szCs w:val="20"/>
              </w:rPr>
            </w:pPr>
          </w:p>
          <w:p w14:paraId="10801C8F" w14:textId="77777777" w:rsidR="00407308" w:rsidRPr="00F33674" w:rsidRDefault="00407308" w:rsidP="00407308">
            <w:pPr>
              <w:jc w:val="left"/>
              <w:rPr>
                <w:rFonts w:ascii="Arial Narrow" w:hAnsi="Arial Narrow" w:cs="Arial"/>
                <w:sz w:val="20"/>
                <w:szCs w:val="20"/>
              </w:rPr>
            </w:pPr>
            <w:r w:rsidRPr="00F33674">
              <w:rPr>
                <w:rFonts w:ascii="Arial Narrow" w:hAnsi="Arial Narrow" w:cs="Arial"/>
                <w:sz w:val="20"/>
                <w:szCs w:val="20"/>
              </w:rPr>
              <w:t>OR</w:t>
            </w:r>
          </w:p>
          <w:p w14:paraId="1DD44F27" w14:textId="77777777" w:rsidR="00407308" w:rsidRPr="00F33674" w:rsidRDefault="00407308" w:rsidP="00407308">
            <w:pPr>
              <w:jc w:val="left"/>
              <w:rPr>
                <w:rFonts w:ascii="Arial Narrow" w:hAnsi="Arial Narrow" w:cs="Arial"/>
                <w:sz w:val="20"/>
                <w:szCs w:val="20"/>
              </w:rPr>
            </w:pPr>
          </w:p>
          <w:p w14:paraId="74ED48CB" w14:textId="77777777" w:rsidR="00407308" w:rsidRPr="00F33674" w:rsidRDefault="00407308" w:rsidP="00407308">
            <w:pPr>
              <w:jc w:val="left"/>
              <w:rPr>
                <w:rFonts w:ascii="Arial Narrow" w:hAnsi="Arial Narrow" w:cs="Arial"/>
                <w:sz w:val="20"/>
                <w:szCs w:val="20"/>
              </w:rPr>
            </w:pPr>
            <w:r w:rsidRPr="00F33674">
              <w:rPr>
                <w:rFonts w:ascii="Arial Narrow" w:hAnsi="Arial Narrow" w:cs="Arial"/>
                <w:sz w:val="20"/>
                <w:szCs w:val="20"/>
              </w:rPr>
              <w:t>[new] Patient must be unable to use non-opioid analgesics due to contraindications or intolerance.</w:t>
            </w:r>
          </w:p>
        </w:tc>
      </w:tr>
      <w:tr w:rsidR="00407308" w:rsidRPr="00F33674" w14:paraId="092D63E1" w14:textId="77777777" w:rsidTr="00407308">
        <w:trPr>
          <w:cantSplit/>
          <w:trHeight w:val="360"/>
        </w:trPr>
        <w:tc>
          <w:tcPr>
            <w:tcW w:w="2835" w:type="dxa"/>
            <w:tcBorders>
              <w:top w:val="single" w:sz="4" w:space="0" w:color="auto"/>
              <w:left w:val="single" w:sz="4" w:space="0" w:color="auto"/>
              <w:bottom w:val="single" w:sz="4" w:space="0" w:color="auto"/>
              <w:right w:val="single" w:sz="4" w:space="0" w:color="auto"/>
            </w:tcBorders>
          </w:tcPr>
          <w:p w14:paraId="1FBA99A6" w14:textId="77777777" w:rsidR="00407308" w:rsidRPr="00F33674" w:rsidRDefault="00407308" w:rsidP="00407308">
            <w:pPr>
              <w:rPr>
                <w:rFonts w:ascii="Arial Narrow" w:hAnsi="Arial Narrow" w:cs="Arial"/>
                <w:b/>
                <w:sz w:val="20"/>
                <w:szCs w:val="20"/>
              </w:rPr>
            </w:pPr>
            <w:r w:rsidRPr="00F33674">
              <w:rPr>
                <w:rFonts w:ascii="Arial Narrow" w:hAnsi="Arial Narrow" w:cs="Arial"/>
                <w:b/>
                <w:sz w:val="20"/>
                <w:szCs w:val="20"/>
              </w:rPr>
              <w:lastRenderedPageBreak/>
              <w:t>Prescriber instructions:</w:t>
            </w:r>
          </w:p>
        </w:tc>
        <w:tc>
          <w:tcPr>
            <w:tcW w:w="6379" w:type="dxa"/>
            <w:tcBorders>
              <w:top w:val="single" w:sz="4" w:space="0" w:color="auto"/>
              <w:left w:val="single" w:sz="4" w:space="0" w:color="auto"/>
              <w:bottom w:val="single" w:sz="4" w:space="0" w:color="auto"/>
              <w:right w:val="single" w:sz="4" w:space="0" w:color="auto"/>
            </w:tcBorders>
          </w:tcPr>
          <w:p w14:paraId="6A571C04" w14:textId="77777777" w:rsidR="0021023D" w:rsidRPr="0021023D" w:rsidRDefault="00407308" w:rsidP="0021023D">
            <w:pPr>
              <w:jc w:val="left"/>
              <w:rPr>
                <w:rFonts w:ascii="Arial Narrow" w:hAnsi="Arial Narrow" w:cs="Arial"/>
                <w:sz w:val="20"/>
                <w:szCs w:val="20"/>
              </w:rPr>
            </w:pPr>
            <w:r w:rsidRPr="00F33674">
              <w:rPr>
                <w:rFonts w:ascii="Arial Narrow" w:hAnsi="Arial Narrow" w:cs="Arial"/>
                <w:sz w:val="20"/>
                <w:szCs w:val="20"/>
              </w:rPr>
              <w:t xml:space="preserve">[new] </w:t>
            </w:r>
            <w:r w:rsidR="0021023D" w:rsidRPr="0021023D">
              <w:rPr>
                <w:rFonts w:ascii="Arial Narrow" w:hAnsi="Arial Narrow" w:cs="Arial"/>
                <w:sz w:val="20"/>
                <w:szCs w:val="20"/>
              </w:rPr>
              <w:t>Authorities for increased maximum quantities and/or repeats must only be considered for:</w:t>
            </w:r>
          </w:p>
          <w:p w14:paraId="2ADAB1A7" w14:textId="77777777" w:rsidR="0021023D" w:rsidRPr="0021023D" w:rsidRDefault="0021023D" w:rsidP="0021023D">
            <w:pPr>
              <w:jc w:val="left"/>
              <w:rPr>
                <w:rFonts w:ascii="Arial Narrow" w:hAnsi="Arial Narrow" w:cs="Arial"/>
                <w:sz w:val="20"/>
                <w:szCs w:val="20"/>
              </w:rPr>
            </w:pPr>
            <w:r w:rsidRPr="0021023D">
              <w:rPr>
                <w:rFonts w:ascii="Arial Narrow" w:hAnsi="Arial Narrow" w:cs="Arial"/>
                <w:sz w:val="20"/>
                <w:szCs w:val="20"/>
              </w:rPr>
              <w:t>(i) severe disabling pain associated with proven malignant neoplasia; or</w:t>
            </w:r>
          </w:p>
          <w:p w14:paraId="22DE123C" w14:textId="77777777" w:rsidR="0021023D" w:rsidRPr="0021023D" w:rsidRDefault="0021023D" w:rsidP="0021023D">
            <w:pPr>
              <w:jc w:val="left"/>
              <w:rPr>
                <w:rFonts w:ascii="Arial Narrow" w:hAnsi="Arial Narrow" w:cs="Arial"/>
                <w:sz w:val="20"/>
                <w:szCs w:val="20"/>
              </w:rPr>
            </w:pPr>
            <w:r w:rsidRPr="0021023D">
              <w:rPr>
                <w:rFonts w:ascii="Arial Narrow" w:hAnsi="Arial Narrow" w:cs="Arial"/>
                <w:sz w:val="20"/>
                <w:szCs w:val="20"/>
              </w:rPr>
              <w:t>(ii) palliative care patients with chronic severe disabling pain where the total duration of non-PBS and PBS opioid analgesic treatment exceeds 12 months and the patient is unable to have annual pain management review due to their clinical condition; or</w:t>
            </w:r>
          </w:p>
          <w:p w14:paraId="3C6E54F9" w14:textId="77777777" w:rsidR="0021023D" w:rsidRPr="0021023D" w:rsidRDefault="0021023D" w:rsidP="0021023D">
            <w:pPr>
              <w:jc w:val="left"/>
              <w:rPr>
                <w:rFonts w:ascii="Arial Narrow" w:hAnsi="Arial Narrow" w:cs="Arial"/>
                <w:sz w:val="20"/>
                <w:szCs w:val="20"/>
              </w:rPr>
            </w:pPr>
            <w:r w:rsidRPr="0021023D">
              <w:rPr>
                <w:rFonts w:ascii="Arial Narrow" w:hAnsi="Arial Narrow" w:cs="Arial"/>
                <w:sz w:val="20"/>
                <w:szCs w:val="20"/>
              </w:rPr>
              <w:t>(iii) chronic severe disabling pain where the total duration of non-PBS and PBS opioid analgesic treatment exceeds 12 months and the patient's clinical need for continuing opioid treatment has been confirmed through consultation with the patient by another medical practitioner or a palliative care nurse practitioner in the past 12 months; or</w:t>
            </w:r>
          </w:p>
          <w:p w14:paraId="54A5403B" w14:textId="6FBEB1BD" w:rsidR="00407308" w:rsidRPr="00F33674" w:rsidRDefault="0021023D" w:rsidP="0021023D">
            <w:pPr>
              <w:jc w:val="left"/>
              <w:rPr>
                <w:rFonts w:ascii="Arial Narrow" w:hAnsi="Arial Narrow" w:cs="Arial"/>
                <w:sz w:val="20"/>
                <w:szCs w:val="20"/>
              </w:rPr>
            </w:pPr>
            <w:proofErr w:type="gramStart"/>
            <w:r w:rsidRPr="0021023D">
              <w:rPr>
                <w:rFonts w:ascii="Arial Narrow" w:hAnsi="Arial Narrow" w:cs="Arial"/>
                <w:sz w:val="20"/>
                <w:szCs w:val="20"/>
              </w:rPr>
              <w:t>(iv) chronic severe disabling pain where the total duration of non-PBS and PBS opioid analgesic treatment has exceeded 12 months prior to 1 June 2020 and the patient's clinical need for continuing opioid treatment has not been confirmed through consultation with the patient by another medical practitioner or a palliative care nurse practitioner in the past 12 months, but is planned in the next 3 months.</w:t>
            </w:r>
            <w:proofErr w:type="gramEnd"/>
          </w:p>
          <w:p w14:paraId="629E09D9" w14:textId="04CD7B54" w:rsidR="00407308" w:rsidRDefault="00407308" w:rsidP="00407308">
            <w:pPr>
              <w:jc w:val="left"/>
              <w:rPr>
                <w:rFonts w:ascii="Arial Narrow" w:hAnsi="Arial Narrow" w:cs="Arial"/>
                <w:sz w:val="20"/>
                <w:szCs w:val="20"/>
              </w:rPr>
            </w:pPr>
          </w:p>
          <w:p w14:paraId="5A010B59" w14:textId="30061904" w:rsidR="0021023D" w:rsidRDefault="0021023D" w:rsidP="00407308">
            <w:pPr>
              <w:jc w:val="left"/>
              <w:rPr>
                <w:rFonts w:ascii="Arial Narrow" w:hAnsi="Arial Narrow" w:cs="Arial"/>
                <w:sz w:val="20"/>
                <w:szCs w:val="20"/>
              </w:rPr>
            </w:pPr>
            <w:r>
              <w:rPr>
                <w:rFonts w:ascii="Arial Narrow" w:hAnsi="Arial Narrow" w:cs="Arial"/>
                <w:sz w:val="20"/>
                <w:szCs w:val="20"/>
              </w:rPr>
              <w:t xml:space="preserve">[new] </w:t>
            </w:r>
            <w:r w:rsidRPr="0021023D">
              <w:rPr>
                <w:rFonts w:ascii="Arial Narrow" w:hAnsi="Arial Narrow" w:cs="Arial"/>
                <w:sz w:val="20"/>
                <w:szCs w:val="20"/>
              </w:rPr>
              <w:t>Palliative care nurses may conduct annual review under this item for the treatment of palliative care patients only.</w:t>
            </w:r>
          </w:p>
          <w:p w14:paraId="7D50E983" w14:textId="77777777" w:rsidR="0021023D" w:rsidRPr="00F33674" w:rsidRDefault="0021023D" w:rsidP="00407308">
            <w:pPr>
              <w:jc w:val="left"/>
              <w:rPr>
                <w:rFonts w:ascii="Arial Narrow" w:hAnsi="Arial Narrow" w:cs="Arial"/>
                <w:sz w:val="20"/>
                <w:szCs w:val="20"/>
              </w:rPr>
            </w:pPr>
          </w:p>
          <w:p w14:paraId="63ECB1AE" w14:textId="77777777" w:rsidR="00407308" w:rsidRPr="00F33674" w:rsidRDefault="00407308" w:rsidP="00407308">
            <w:pPr>
              <w:jc w:val="left"/>
              <w:rPr>
                <w:rFonts w:ascii="Arial Narrow" w:hAnsi="Arial Narrow" w:cs="Arial"/>
                <w:sz w:val="20"/>
                <w:szCs w:val="20"/>
              </w:rPr>
            </w:pPr>
            <w:r w:rsidRPr="00F33674">
              <w:rPr>
                <w:rFonts w:ascii="Arial Narrow" w:hAnsi="Arial Narrow" w:cs="Arial"/>
                <w:sz w:val="20"/>
                <w:szCs w:val="20"/>
              </w:rPr>
              <w:t>[new] Authority requests extending treatment duration up to 1 month may be requested though the Online PBS Authorities system or by calling Services Australia.</w:t>
            </w:r>
          </w:p>
          <w:p w14:paraId="0A6956FA" w14:textId="77777777" w:rsidR="00407308" w:rsidRPr="00F33674" w:rsidRDefault="00407308" w:rsidP="00407308">
            <w:pPr>
              <w:jc w:val="left"/>
              <w:rPr>
                <w:rFonts w:ascii="Arial Narrow" w:hAnsi="Arial Narrow" w:cs="Arial"/>
                <w:sz w:val="20"/>
                <w:szCs w:val="20"/>
              </w:rPr>
            </w:pPr>
          </w:p>
          <w:p w14:paraId="063A647B" w14:textId="77777777" w:rsidR="00407308" w:rsidRPr="00F33674" w:rsidRDefault="00407308" w:rsidP="00407308">
            <w:pPr>
              <w:jc w:val="left"/>
              <w:rPr>
                <w:rFonts w:ascii="Arial Narrow" w:hAnsi="Arial Narrow" w:cs="Arial"/>
                <w:sz w:val="20"/>
                <w:szCs w:val="20"/>
              </w:rPr>
            </w:pPr>
            <w:r w:rsidRPr="00F33674">
              <w:rPr>
                <w:rFonts w:ascii="Arial Narrow" w:hAnsi="Arial Narrow" w:cs="Arial"/>
                <w:sz w:val="20"/>
                <w:szCs w:val="20"/>
              </w:rPr>
              <w:t xml:space="preserve">Authority requests extending treatment duration beyond 1 month </w:t>
            </w:r>
            <w:r>
              <w:rPr>
                <w:rFonts w:ascii="Arial Narrow" w:hAnsi="Arial Narrow" w:cs="Arial"/>
                <w:sz w:val="20"/>
                <w:szCs w:val="20"/>
              </w:rPr>
              <w:t>may</w:t>
            </w:r>
            <w:r w:rsidRPr="00F33674">
              <w:rPr>
                <w:rFonts w:ascii="Arial Narrow" w:hAnsi="Arial Narrow" w:cs="Arial"/>
                <w:sz w:val="20"/>
                <w:szCs w:val="20"/>
              </w:rPr>
              <w:t xml:space="preserve"> be </w:t>
            </w:r>
            <w:r>
              <w:rPr>
                <w:rFonts w:ascii="Arial Narrow" w:hAnsi="Arial Narrow" w:cs="Arial"/>
                <w:sz w:val="20"/>
                <w:szCs w:val="20"/>
              </w:rPr>
              <w:t>requested through the Online PBS Authorities system</w:t>
            </w:r>
            <w:r w:rsidRPr="00F33674">
              <w:rPr>
                <w:rFonts w:ascii="Arial Narrow" w:hAnsi="Arial Narrow" w:cs="Arial"/>
                <w:sz w:val="20"/>
                <w:szCs w:val="20"/>
              </w:rPr>
              <w:t xml:space="preserve"> or in writing and must not provide a treatment duration exceeding 3 months</w:t>
            </w:r>
            <w:r>
              <w:rPr>
                <w:rFonts w:ascii="Arial Narrow" w:hAnsi="Arial Narrow" w:cs="Arial"/>
                <w:sz w:val="20"/>
                <w:szCs w:val="20"/>
              </w:rPr>
              <w:t xml:space="preserve"> (quantity sufficient for up to </w:t>
            </w:r>
            <w:proofErr w:type="gramStart"/>
            <w:r>
              <w:rPr>
                <w:rFonts w:ascii="Arial Narrow" w:hAnsi="Arial Narrow" w:cs="Arial"/>
                <w:sz w:val="20"/>
                <w:szCs w:val="20"/>
              </w:rPr>
              <w:t>1 month</w:t>
            </w:r>
            <w:proofErr w:type="gramEnd"/>
            <w:r>
              <w:rPr>
                <w:rFonts w:ascii="Arial Narrow" w:hAnsi="Arial Narrow" w:cs="Arial"/>
                <w:sz w:val="20"/>
                <w:szCs w:val="20"/>
              </w:rPr>
              <w:t xml:space="preserve"> treatment and sufficient repeats)</w:t>
            </w:r>
            <w:r w:rsidRPr="00F33674">
              <w:rPr>
                <w:rFonts w:ascii="Arial Narrow" w:hAnsi="Arial Narrow" w:cs="Arial"/>
                <w:sz w:val="20"/>
                <w:szCs w:val="20"/>
              </w:rPr>
              <w:t>.</w:t>
            </w:r>
          </w:p>
        </w:tc>
      </w:tr>
      <w:tr w:rsidR="00407308" w:rsidRPr="00F33674" w14:paraId="6525275B" w14:textId="77777777" w:rsidTr="00407308">
        <w:trPr>
          <w:cantSplit/>
          <w:trHeight w:val="360"/>
        </w:trPr>
        <w:tc>
          <w:tcPr>
            <w:tcW w:w="2835" w:type="dxa"/>
            <w:tcBorders>
              <w:top w:val="single" w:sz="4" w:space="0" w:color="auto"/>
              <w:left w:val="single" w:sz="4" w:space="0" w:color="auto"/>
              <w:bottom w:val="single" w:sz="4" w:space="0" w:color="auto"/>
              <w:right w:val="single" w:sz="4" w:space="0" w:color="auto"/>
            </w:tcBorders>
          </w:tcPr>
          <w:p w14:paraId="2D5D7420" w14:textId="77777777" w:rsidR="00407308" w:rsidRPr="00F33674" w:rsidRDefault="00407308" w:rsidP="00407308">
            <w:pPr>
              <w:rPr>
                <w:rFonts w:ascii="Arial Narrow" w:hAnsi="Arial Narrow" w:cs="Arial"/>
                <w:b/>
                <w:sz w:val="20"/>
                <w:szCs w:val="20"/>
              </w:rPr>
            </w:pPr>
            <w:r w:rsidRPr="00F33674">
              <w:rPr>
                <w:rFonts w:ascii="Arial Narrow" w:hAnsi="Arial Narrow" w:cs="Arial"/>
                <w:b/>
                <w:sz w:val="20"/>
                <w:szCs w:val="20"/>
              </w:rPr>
              <w:t>Administrative advice:</w:t>
            </w:r>
          </w:p>
        </w:tc>
        <w:tc>
          <w:tcPr>
            <w:tcW w:w="6379" w:type="dxa"/>
            <w:tcBorders>
              <w:top w:val="single" w:sz="4" w:space="0" w:color="auto"/>
              <w:left w:val="single" w:sz="4" w:space="0" w:color="auto"/>
              <w:bottom w:val="single" w:sz="4" w:space="0" w:color="auto"/>
              <w:right w:val="single" w:sz="4" w:space="0" w:color="auto"/>
            </w:tcBorders>
          </w:tcPr>
          <w:p w14:paraId="753CAABE" w14:textId="77777777" w:rsidR="00407308" w:rsidRPr="00F33674" w:rsidRDefault="00407308" w:rsidP="00407308">
            <w:pPr>
              <w:jc w:val="left"/>
              <w:rPr>
                <w:rFonts w:ascii="Arial Narrow" w:hAnsi="Arial Narrow" w:cs="Arial"/>
                <w:sz w:val="20"/>
                <w:szCs w:val="20"/>
              </w:rPr>
            </w:pPr>
            <w:r w:rsidRPr="00F33674">
              <w:rPr>
                <w:rFonts w:ascii="Arial Narrow" w:hAnsi="Arial Narrow" w:cs="Arial"/>
                <w:sz w:val="20"/>
                <w:szCs w:val="20"/>
              </w:rPr>
              <w:t>[new] Real time online applications for increased maximum quantities/repeats may be made using the Online PBS Authorities system (see www.servicesaustralia.gov.au/organisations/health-professionals/services/medicare/hpos/services/request-authority-using-online-pbs-authorities-hpos)</w:t>
            </w:r>
          </w:p>
          <w:p w14:paraId="336F20ED" w14:textId="77777777" w:rsidR="00407308" w:rsidRPr="00F33674" w:rsidRDefault="00407308" w:rsidP="00407308">
            <w:pPr>
              <w:jc w:val="left"/>
              <w:rPr>
                <w:rFonts w:ascii="Arial Narrow" w:hAnsi="Arial Narrow" w:cs="Arial"/>
                <w:sz w:val="20"/>
                <w:szCs w:val="20"/>
              </w:rPr>
            </w:pPr>
          </w:p>
          <w:p w14:paraId="494EFF23" w14:textId="3206E758" w:rsidR="00407308" w:rsidRPr="00F33674" w:rsidRDefault="00407308" w:rsidP="00407308">
            <w:pPr>
              <w:jc w:val="left"/>
              <w:rPr>
                <w:rFonts w:ascii="Arial Narrow" w:hAnsi="Arial Narrow" w:cs="Arial"/>
                <w:sz w:val="20"/>
                <w:szCs w:val="20"/>
              </w:rPr>
            </w:pPr>
            <w:r w:rsidRPr="00F33674">
              <w:rPr>
                <w:rFonts w:ascii="Arial Narrow" w:hAnsi="Arial Narrow" w:cs="Arial"/>
                <w:sz w:val="20"/>
                <w:szCs w:val="20"/>
              </w:rPr>
              <w:t>Phone applications for increased maximum quantities/repeats may be made by calling 1800 888 333.</w:t>
            </w:r>
          </w:p>
          <w:p w14:paraId="769EAFCA" w14:textId="77777777" w:rsidR="00407308" w:rsidRPr="00F33674" w:rsidRDefault="00407308" w:rsidP="00407308">
            <w:pPr>
              <w:jc w:val="left"/>
              <w:rPr>
                <w:rFonts w:ascii="Arial Narrow" w:hAnsi="Arial Narrow" w:cs="Arial"/>
                <w:sz w:val="20"/>
                <w:szCs w:val="20"/>
              </w:rPr>
            </w:pPr>
          </w:p>
          <w:p w14:paraId="40CABC90" w14:textId="77777777" w:rsidR="00407308" w:rsidRPr="00F33674" w:rsidRDefault="00407308" w:rsidP="00407308">
            <w:pPr>
              <w:jc w:val="left"/>
              <w:rPr>
                <w:rFonts w:ascii="Arial Narrow" w:hAnsi="Arial Narrow" w:cs="Arial"/>
                <w:sz w:val="20"/>
                <w:szCs w:val="20"/>
              </w:rPr>
            </w:pPr>
            <w:r w:rsidRPr="00F33674">
              <w:rPr>
                <w:rFonts w:ascii="Arial Narrow" w:hAnsi="Arial Narrow" w:cs="Arial"/>
                <w:sz w:val="20"/>
                <w:szCs w:val="20"/>
              </w:rPr>
              <w:t>Written authority applications for increased maximum quantities/repeats can be uploaded online through HPOS form upload or mailed to:</w:t>
            </w:r>
          </w:p>
          <w:p w14:paraId="3CB0B49B" w14:textId="77777777" w:rsidR="00407308" w:rsidRPr="00F33674" w:rsidRDefault="00407308" w:rsidP="00407308">
            <w:pPr>
              <w:jc w:val="left"/>
              <w:rPr>
                <w:rFonts w:ascii="Arial Narrow" w:hAnsi="Arial Narrow" w:cs="Arial"/>
                <w:sz w:val="20"/>
                <w:szCs w:val="20"/>
              </w:rPr>
            </w:pPr>
            <w:r w:rsidRPr="00F33674">
              <w:rPr>
                <w:rFonts w:ascii="Arial Narrow" w:hAnsi="Arial Narrow" w:cs="Arial"/>
                <w:sz w:val="20"/>
                <w:szCs w:val="20"/>
              </w:rPr>
              <w:t>Pharmaceutical Benefits Scheme</w:t>
            </w:r>
          </w:p>
          <w:p w14:paraId="620D8568" w14:textId="77777777" w:rsidR="00407308" w:rsidRPr="00F33674" w:rsidRDefault="00407308" w:rsidP="00407308">
            <w:pPr>
              <w:jc w:val="left"/>
              <w:rPr>
                <w:rFonts w:ascii="Arial Narrow" w:hAnsi="Arial Narrow" w:cs="Arial"/>
                <w:sz w:val="20"/>
                <w:szCs w:val="20"/>
              </w:rPr>
            </w:pPr>
            <w:r w:rsidRPr="00F33674">
              <w:rPr>
                <w:rFonts w:ascii="Arial Narrow" w:hAnsi="Arial Narrow" w:cs="Arial"/>
                <w:sz w:val="20"/>
                <w:szCs w:val="20"/>
              </w:rPr>
              <w:t>Reply Paid 9857</w:t>
            </w:r>
          </w:p>
          <w:p w14:paraId="3BC3E496" w14:textId="77777777" w:rsidR="00407308" w:rsidRPr="00F33674" w:rsidRDefault="00407308" w:rsidP="00407308">
            <w:pPr>
              <w:jc w:val="left"/>
              <w:rPr>
                <w:rFonts w:ascii="Arial Narrow" w:hAnsi="Arial Narrow" w:cs="Arial"/>
                <w:sz w:val="20"/>
                <w:szCs w:val="20"/>
              </w:rPr>
            </w:pPr>
            <w:r w:rsidRPr="00F33674">
              <w:rPr>
                <w:rFonts w:ascii="Arial Narrow" w:hAnsi="Arial Narrow" w:cs="Arial"/>
                <w:sz w:val="20"/>
                <w:szCs w:val="20"/>
              </w:rPr>
              <w:t>[Your capital city]</w:t>
            </w:r>
          </w:p>
        </w:tc>
      </w:tr>
      <w:tr w:rsidR="00407308" w:rsidRPr="00F33674" w14:paraId="66985A9F" w14:textId="77777777" w:rsidTr="00407308">
        <w:trPr>
          <w:cantSplit/>
          <w:trHeight w:val="360"/>
        </w:trPr>
        <w:tc>
          <w:tcPr>
            <w:tcW w:w="2835" w:type="dxa"/>
            <w:tcBorders>
              <w:top w:val="single" w:sz="4" w:space="0" w:color="auto"/>
              <w:left w:val="single" w:sz="4" w:space="0" w:color="auto"/>
              <w:bottom w:val="single" w:sz="4" w:space="0" w:color="auto"/>
              <w:right w:val="single" w:sz="4" w:space="0" w:color="auto"/>
            </w:tcBorders>
          </w:tcPr>
          <w:p w14:paraId="5D63B83B" w14:textId="77777777" w:rsidR="00407308" w:rsidRPr="00F33674" w:rsidRDefault="00407308" w:rsidP="00407308">
            <w:pPr>
              <w:rPr>
                <w:rFonts w:ascii="Arial Narrow" w:hAnsi="Arial Narrow" w:cs="Arial"/>
                <w:b/>
                <w:sz w:val="20"/>
                <w:szCs w:val="20"/>
              </w:rPr>
            </w:pPr>
            <w:r w:rsidRPr="00F33674">
              <w:rPr>
                <w:rFonts w:ascii="Arial Narrow" w:hAnsi="Arial Narrow" w:cs="Arial"/>
                <w:b/>
                <w:sz w:val="20"/>
                <w:szCs w:val="20"/>
              </w:rPr>
              <w:t>Cautions:</w:t>
            </w:r>
          </w:p>
        </w:tc>
        <w:tc>
          <w:tcPr>
            <w:tcW w:w="6379" w:type="dxa"/>
            <w:tcBorders>
              <w:top w:val="single" w:sz="4" w:space="0" w:color="auto"/>
              <w:left w:val="single" w:sz="4" w:space="0" w:color="auto"/>
              <w:bottom w:val="single" w:sz="4" w:space="0" w:color="auto"/>
              <w:right w:val="single" w:sz="4" w:space="0" w:color="auto"/>
            </w:tcBorders>
          </w:tcPr>
          <w:p w14:paraId="559F9808" w14:textId="77777777" w:rsidR="00407308" w:rsidRPr="00F33674" w:rsidRDefault="00407308" w:rsidP="00407308">
            <w:pPr>
              <w:jc w:val="left"/>
              <w:rPr>
                <w:rFonts w:ascii="Arial Narrow" w:hAnsi="Arial Narrow" w:cs="Arial"/>
                <w:sz w:val="20"/>
                <w:szCs w:val="20"/>
              </w:rPr>
            </w:pPr>
            <w:r w:rsidRPr="00F33674">
              <w:rPr>
                <w:rFonts w:ascii="Arial Narrow" w:hAnsi="Arial Narrow" w:cs="Arial"/>
                <w:sz w:val="20"/>
                <w:szCs w:val="20"/>
              </w:rPr>
              <w:t>[6986] The risk of drug dependence is high.</w:t>
            </w:r>
          </w:p>
        </w:tc>
      </w:tr>
    </w:tbl>
    <w:p w14:paraId="6B5F934A" w14:textId="4C0A4FD3" w:rsidR="00D36BEC" w:rsidRDefault="00D36BEC" w:rsidP="00193259">
      <w:pPr>
        <w:pStyle w:val="3-BodyText"/>
        <w:numPr>
          <w:ilvl w:val="0"/>
          <w:numId w:val="0"/>
        </w:numPr>
        <w:ind w:left="720" w:hanging="720"/>
      </w:pPr>
    </w:p>
    <w:tbl>
      <w:tblPr>
        <w:tblW w:w="9214" w:type="dxa"/>
        <w:tblInd w:w="-5" w:type="dxa"/>
        <w:tblLayout w:type="fixed"/>
        <w:tblLook w:val="0000" w:firstRow="0" w:lastRow="0" w:firstColumn="0" w:lastColumn="0" w:noHBand="0" w:noVBand="0"/>
      </w:tblPr>
      <w:tblGrid>
        <w:gridCol w:w="2835"/>
        <w:gridCol w:w="6379"/>
      </w:tblGrid>
      <w:tr w:rsidR="00D36BEC" w:rsidRPr="00F33674" w14:paraId="61B610A1" w14:textId="77777777" w:rsidTr="00A74C03">
        <w:trPr>
          <w:cantSplit/>
          <w:trHeight w:val="360"/>
        </w:trPr>
        <w:tc>
          <w:tcPr>
            <w:tcW w:w="2835" w:type="dxa"/>
            <w:tcBorders>
              <w:top w:val="single" w:sz="4" w:space="0" w:color="auto"/>
              <w:left w:val="single" w:sz="4" w:space="0" w:color="auto"/>
              <w:bottom w:val="single" w:sz="4" w:space="0" w:color="auto"/>
              <w:right w:val="single" w:sz="4" w:space="0" w:color="auto"/>
            </w:tcBorders>
          </w:tcPr>
          <w:p w14:paraId="2ADF3C51" w14:textId="77777777" w:rsidR="00D36BEC" w:rsidRPr="00F33674" w:rsidRDefault="00D36BEC" w:rsidP="00A74C03">
            <w:pPr>
              <w:rPr>
                <w:rFonts w:ascii="Arial Narrow" w:hAnsi="Arial Narrow" w:cs="Arial"/>
                <w:b/>
                <w:sz w:val="20"/>
                <w:szCs w:val="20"/>
              </w:rPr>
            </w:pPr>
            <w:r w:rsidRPr="00F33674">
              <w:rPr>
                <w:rFonts w:ascii="Arial Narrow" w:hAnsi="Arial Narrow" w:cs="Arial"/>
                <w:b/>
                <w:sz w:val="20"/>
                <w:szCs w:val="20"/>
              </w:rPr>
              <w:t>Category / Program:</w:t>
            </w:r>
          </w:p>
        </w:tc>
        <w:tc>
          <w:tcPr>
            <w:tcW w:w="6379" w:type="dxa"/>
            <w:tcBorders>
              <w:top w:val="single" w:sz="4" w:space="0" w:color="auto"/>
              <w:left w:val="single" w:sz="4" w:space="0" w:color="auto"/>
              <w:bottom w:val="single" w:sz="4" w:space="0" w:color="auto"/>
              <w:right w:val="single" w:sz="4" w:space="0" w:color="auto"/>
            </w:tcBorders>
          </w:tcPr>
          <w:p w14:paraId="5119B15D" w14:textId="77777777" w:rsidR="00D36BEC" w:rsidRPr="00F33674" w:rsidRDefault="00D36BEC" w:rsidP="00A74C03">
            <w:pPr>
              <w:rPr>
                <w:rFonts w:ascii="Arial Narrow" w:hAnsi="Arial Narrow" w:cs="Arial"/>
                <w:sz w:val="20"/>
                <w:szCs w:val="20"/>
              </w:rPr>
            </w:pPr>
            <w:r w:rsidRPr="00F33674">
              <w:rPr>
                <w:rFonts w:ascii="Arial Narrow" w:hAnsi="Arial Narrow" w:cs="Arial"/>
                <w:sz w:val="20"/>
                <w:szCs w:val="20"/>
              </w:rPr>
              <w:t>GENERAL – General Schedule (Code GE)</w:t>
            </w:r>
          </w:p>
        </w:tc>
      </w:tr>
      <w:tr w:rsidR="00D36BEC" w:rsidRPr="00F33674" w14:paraId="6C577E9D" w14:textId="77777777" w:rsidTr="00A74C03">
        <w:trPr>
          <w:cantSplit/>
          <w:trHeight w:val="360"/>
        </w:trPr>
        <w:tc>
          <w:tcPr>
            <w:tcW w:w="2835" w:type="dxa"/>
            <w:tcBorders>
              <w:top w:val="single" w:sz="4" w:space="0" w:color="auto"/>
              <w:left w:val="single" w:sz="4" w:space="0" w:color="auto"/>
              <w:bottom w:val="single" w:sz="4" w:space="0" w:color="auto"/>
              <w:right w:val="single" w:sz="4" w:space="0" w:color="auto"/>
            </w:tcBorders>
          </w:tcPr>
          <w:p w14:paraId="20A8D425" w14:textId="77777777" w:rsidR="00D36BEC" w:rsidRPr="00F33674" w:rsidRDefault="00D36BEC" w:rsidP="00A74C03">
            <w:pPr>
              <w:rPr>
                <w:rFonts w:ascii="Arial Narrow" w:hAnsi="Arial Narrow" w:cs="Arial"/>
                <w:b/>
                <w:sz w:val="20"/>
                <w:szCs w:val="20"/>
              </w:rPr>
            </w:pPr>
            <w:r w:rsidRPr="00F33674">
              <w:rPr>
                <w:rFonts w:ascii="Arial Narrow" w:hAnsi="Arial Narrow" w:cs="Arial"/>
                <w:b/>
                <w:sz w:val="20"/>
                <w:szCs w:val="20"/>
              </w:rPr>
              <w:t>Prescriber type:</w:t>
            </w:r>
          </w:p>
          <w:p w14:paraId="07DF5940" w14:textId="77777777" w:rsidR="00D36BEC" w:rsidRPr="00F33674" w:rsidRDefault="00D36BEC" w:rsidP="00A74C03">
            <w:pPr>
              <w:rPr>
                <w:rFonts w:ascii="Arial Narrow" w:hAnsi="Arial Narrow" w:cs="Arial"/>
                <w:b/>
                <w:sz w:val="20"/>
                <w:szCs w:val="20"/>
              </w:rPr>
            </w:pPr>
          </w:p>
        </w:tc>
        <w:tc>
          <w:tcPr>
            <w:tcW w:w="6379" w:type="dxa"/>
            <w:tcBorders>
              <w:top w:val="single" w:sz="4" w:space="0" w:color="auto"/>
              <w:left w:val="single" w:sz="4" w:space="0" w:color="auto"/>
              <w:bottom w:val="single" w:sz="4" w:space="0" w:color="auto"/>
              <w:right w:val="single" w:sz="4" w:space="0" w:color="auto"/>
            </w:tcBorders>
          </w:tcPr>
          <w:p w14:paraId="1E6F9C82" w14:textId="6EF40625" w:rsidR="00D36BEC" w:rsidRPr="00F33674" w:rsidRDefault="00D36BEC" w:rsidP="00A74C03">
            <w:pPr>
              <w:rPr>
                <w:rFonts w:ascii="Arial Narrow" w:hAnsi="Arial Narrow" w:cs="Arial"/>
                <w:sz w:val="20"/>
                <w:szCs w:val="20"/>
              </w:rPr>
            </w:pPr>
            <w:r w:rsidRPr="00F33674">
              <w:rPr>
                <w:rFonts w:ascii="Arial Narrow" w:hAnsi="Arial Narrow" w:cs="Arial"/>
                <w:sz w:val="20"/>
                <w:szCs w:val="20"/>
              </w:rPr>
              <w:fldChar w:fldCharType="begin">
                <w:ffData>
                  <w:name w:val="Check1"/>
                  <w:enabled/>
                  <w:calcOnExit w:val="0"/>
                  <w:checkBox>
                    <w:sizeAuto/>
                    <w:default w:val="0"/>
                  </w:checkBox>
                </w:ffData>
              </w:fldChar>
            </w:r>
            <w:r w:rsidRPr="00F33674">
              <w:rPr>
                <w:rFonts w:ascii="Arial Narrow" w:hAnsi="Arial Narrow" w:cs="Arial"/>
                <w:sz w:val="20"/>
                <w:szCs w:val="20"/>
              </w:rPr>
              <w:instrText xml:space="preserve"> FORMCHECKBOX </w:instrText>
            </w:r>
            <w:r w:rsidR="00233D13">
              <w:rPr>
                <w:rFonts w:ascii="Arial Narrow" w:hAnsi="Arial Narrow" w:cs="Arial"/>
                <w:sz w:val="20"/>
                <w:szCs w:val="20"/>
              </w:rPr>
            </w:r>
            <w:r w:rsidR="00233D13">
              <w:rPr>
                <w:rFonts w:ascii="Arial Narrow" w:hAnsi="Arial Narrow" w:cs="Arial"/>
                <w:sz w:val="20"/>
                <w:szCs w:val="20"/>
              </w:rPr>
              <w:fldChar w:fldCharType="separate"/>
            </w:r>
            <w:r w:rsidRPr="00F33674">
              <w:rPr>
                <w:rFonts w:ascii="Arial Narrow" w:hAnsi="Arial Narrow" w:cs="Arial"/>
                <w:sz w:val="20"/>
                <w:szCs w:val="20"/>
              </w:rPr>
              <w:fldChar w:fldCharType="end"/>
            </w:r>
            <w:r w:rsidRPr="00F33674">
              <w:rPr>
                <w:rFonts w:ascii="Arial Narrow" w:hAnsi="Arial Narrow" w:cs="Arial"/>
                <w:sz w:val="20"/>
                <w:szCs w:val="20"/>
              </w:rPr>
              <w:t>Dental</w:t>
            </w:r>
            <w:r w:rsidR="002C1329">
              <w:rPr>
                <w:rFonts w:ascii="Arial Narrow" w:hAnsi="Arial Narrow" w:cs="Arial"/>
                <w:sz w:val="20"/>
                <w:szCs w:val="20"/>
              </w:rPr>
              <w:t xml:space="preserve"> </w:t>
            </w:r>
            <w:r w:rsidRPr="00F33674">
              <w:rPr>
                <w:rFonts w:ascii="Arial Narrow" w:hAnsi="Arial Narrow" w:cs="Arial"/>
                <w:sz w:val="20"/>
                <w:szCs w:val="20"/>
              </w:rPr>
              <w:fldChar w:fldCharType="begin">
                <w:ffData>
                  <w:name w:val=""/>
                  <w:enabled/>
                  <w:calcOnExit w:val="0"/>
                  <w:checkBox>
                    <w:sizeAuto/>
                    <w:default w:val="1"/>
                  </w:checkBox>
                </w:ffData>
              </w:fldChar>
            </w:r>
            <w:r w:rsidRPr="00F33674">
              <w:rPr>
                <w:rFonts w:ascii="Arial Narrow" w:hAnsi="Arial Narrow" w:cs="Arial"/>
                <w:sz w:val="20"/>
                <w:szCs w:val="20"/>
              </w:rPr>
              <w:instrText xml:space="preserve"> FORMCHECKBOX </w:instrText>
            </w:r>
            <w:r w:rsidR="00233D13">
              <w:rPr>
                <w:rFonts w:ascii="Arial Narrow" w:hAnsi="Arial Narrow" w:cs="Arial"/>
                <w:sz w:val="20"/>
                <w:szCs w:val="20"/>
              </w:rPr>
            </w:r>
            <w:r w:rsidR="00233D13">
              <w:rPr>
                <w:rFonts w:ascii="Arial Narrow" w:hAnsi="Arial Narrow" w:cs="Arial"/>
                <w:sz w:val="20"/>
                <w:szCs w:val="20"/>
              </w:rPr>
              <w:fldChar w:fldCharType="separate"/>
            </w:r>
            <w:r w:rsidRPr="00F33674">
              <w:rPr>
                <w:rFonts w:ascii="Arial Narrow" w:hAnsi="Arial Narrow" w:cs="Arial"/>
                <w:sz w:val="20"/>
                <w:szCs w:val="20"/>
              </w:rPr>
              <w:fldChar w:fldCharType="end"/>
            </w:r>
            <w:r w:rsidRPr="00F33674">
              <w:rPr>
                <w:rFonts w:ascii="Arial Narrow" w:hAnsi="Arial Narrow" w:cs="Arial"/>
                <w:sz w:val="20"/>
                <w:szCs w:val="20"/>
              </w:rPr>
              <w:t>Medical Practitioners</w:t>
            </w:r>
            <w:r w:rsidR="002C1329">
              <w:rPr>
                <w:rFonts w:ascii="Arial Narrow" w:hAnsi="Arial Narrow" w:cs="Arial"/>
                <w:sz w:val="20"/>
                <w:szCs w:val="20"/>
              </w:rPr>
              <w:t xml:space="preserve"> </w:t>
            </w:r>
            <w:r w:rsidRPr="00F33674">
              <w:rPr>
                <w:rFonts w:ascii="Arial Narrow" w:hAnsi="Arial Narrow" w:cs="Arial"/>
                <w:sz w:val="20"/>
                <w:szCs w:val="20"/>
              </w:rPr>
              <w:fldChar w:fldCharType="begin">
                <w:ffData>
                  <w:name w:val="Check3"/>
                  <w:enabled/>
                  <w:calcOnExit w:val="0"/>
                  <w:checkBox>
                    <w:sizeAuto/>
                    <w:default w:val="1"/>
                  </w:checkBox>
                </w:ffData>
              </w:fldChar>
            </w:r>
            <w:r w:rsidRPr="00F33674">
              <w:rPr>
                <w:rFonts w:ascii="Arial Narrow" w:hAnsi="Arial Narrow" w:cs="Arial"/>
                <w:sz w:val="20"/>
                <w:szCs w:val="20"/>
              </w:rPr>
              <w:instrText xml:space="preserve"> FORMCHECKBOX </w:instrText>
            </w:r>
            <w:r w:rsidR="00233D13">
              <w:rPr>
                <w:rFonts w:ascii="Arial Narrow" w:hAnsi="Arial Narrow" w:cs="Arial"/>
                <w:sz w:val="20"/>
                <w:szCs w:val="20"/>
              </w:rPr>
            </w:r>
            <w:r w:rsidR="00233D13">
              <w:rPr>
                <w:rFonts w:ascii="Arial Narrow" w:hAnsi="Arial Narrow" w:cs="Arial"/>
                <w:sz w:val="20"/>
                <w:szCs w:val="20"/>
              </w:rPr>
              <w:fldChar w:fldCharType="separate"/>
            </w:r>
            <w:r w:rsidRPr="00F33674">
              <w:rPr>
                <w:rFonts w:ascii="Arial Narrow" w:hAnsi="Arial Narrow" w:cs="Arial"/>
                <w:sz w:val="20"/>
                <w:szCs w:val="20"/>
              </w:rPr>
              <w:fldChar w:fldCharType="end"/>
            </w:r>
            <w:r w:rsidRPr="00F33674">
              <w:rPr>
                <w:rFonts w:ascii="Arial Narrow" w:hAnsi="Arial Narrow" w:cs="Arial"/>
                <w:sz w:val="20"/>
                <w:szCs w:val="20"/>
              </w:rPr>
              <w:t>Nurse practitioners</w:t>
            </w:r>
            <w:r w:rsidR="002C1329">
              <w:rPr>
                <w:rFonts w:ascii="Arial Narrow" w:hAnsi="Arial Narrow" w:cs="Arial"/>
                <w:sz w:val="20"/>
                <w:szCs w:val="20"/>
              </w:rPr>
              <w:t xml:space="preserve"> </w:t>
            </w:r>
            <w:r w:rsidRPr="00F33674">
              <w:rPr>
                <w:rFonts w:ascii="Arial Narrow" w:hAnsi="Arial Narrow" w:cs="Arial"/>
                <w:sz w:val="20"/>
                <w:szCs w:val="20"/>
              </w:rPr>
              <w:fldChar w:fldCharType="begin">
                <w:ffData>
                  <w:name w:val=""/>
                  <w:enabled/>
                  <w:calcOnExit w:val="0"/>
                  <w:checkBox>
                    <w:sizeAuto/>
                    <w:default w:val="0"/>
                  </w:checkBox>
                </w:ffData>
              </w:fldChar>
            </w:r>
            <w:r w:rsidRPr="00F33674">
              <w:rPr>
                <w:rFonts w:ascii="Arial Narrow" w:hAnsi="Arial Narrow" w:cs="Arial"/>
                <w:sz w:val="20"/>
                <w:szCs w:val="20"/>
              </w:rPr>
              <w:instrText xml:space="preserve"> FORMCHECKBOX </w:instrText>
            </w:r>
            <w:r w:rsidR="00233D13">
              <w:rPr>
                <w:rFonts w:ascii="Arial Narrow" w:hAnsi="Arial Narrow" w:cs="Arial"/>
                <w:sz w:val="20"/>
                <w:szCs w:val="20"/>
              </w:rPr>
            </w:r>
            <w:r w:rsidR="00233D13">
              <w:rPr>
                <w:rFonts w:ascii="Arial Narrow" w:hAnsi="Arial Narrow" w:cs="Arial"/>
                <w:sz w:val="20"/>
                <w:szCs w:val="20"/>
              </w:rPr>
              <w:fldChar w:fldCharType="separate"/>
            </w:r>
            <w:r w:rsidRPr="00F33674">
              <w:rPr>
                <w:rFonts w:ascii="Arial Narrow" w:hAnsi="Arial Narrow" w:cs="Arial"/>
                <w:sz w:val="20"/>
                <w:szCs w:val="20"/>
              </w:rPr>
              <w:fldChar w:fldCharType="end"/>
            </w:r>
            <w:r w:rsidRPr="00F33674">
              <w:rPr>
                <w:rFonts w:ascii="Arial Narrow" w:hAnsi="Arial Narrow" w:cs="Arial"/>
                <w:sz w:val="20"/>
                <w:szCs w:val="20"/>
              </w:rPr>
              <w:t>Optometrists</w:t>
            </w:r>
          </w:p>
          <w:p w14:paraId="3AD3D9CE" w14:textId="77777777" w:rsidR="00D36BEC" w:rsidRPr="00F33674" w:rsidRDefault="00D36BEC" w:rsidP="00A74C03">
            <w:pPr>
              <w:rPr>
                <w:rFonts w:ascii="Arial Narrow" w:hAnsi="Arial Narrow" w:cs="Arial"/>
                <w:sz w:val="20"/>
                <w:szCs w:val="20"/>
              </w:rPr>
            </w:pPr>
            <w:r w:rsidRPr="00F33674">
              <w:rPr>
                <w:rFonts w:ascii="Arial Narrow" w:hAnsi="Arial Narrow" w:cs="Arial"/>
                <w:sz w:val="20"/>
                <w:szCs w:val="20"/>
              </w:rPr>
              <w:fldChar w:fldCharType="begin">
                <w:ffData>
                  <w:name w:val="Check5"/>
                  <w:enabled/>
                  <w:calcOnExit w:val="0"/>
                  <w:checkBox>
                    <w:sizeAuto/>
                    <w:default w:val="0"/>
                  </w:checkBox>
                </w:ffData>
              </w:fldChar>
            </w:r>
            <w:r w:rsidRPr="00F33674">
              <w:rPr>
                <w:rFonts w:ascii="Arial Narrow" w:hAnsi="Arial Narrow" w:cs="Arial"/>
                <w:sz w:val="20"/>
                <w:szCs w:val="20"/>
              </w:rPr>
              <w:instrText xml:space="preserve"> FORMCHECKBOX </w:instrText>
            </w:r>
            <w:r w:rsidR="00233D13">
              <w:rPr>
                <w:rFonts w:ascii="Arial Narrow" w:hAnsi="Arial Narrow" w:cs="Arial"/>
                <w:sz w:val="20"/>
                <w:szCs w:val="20"/>
              </w:rPr>
            </w:r>
            <w:r w:rsidR="00233D13">
              <w:rPr>
                <w:rFonts w:ascii="Arial Narrow" w:hAnsi="Arial Narrow" w:cs="Arial"/>
                <w:sz w:val="20"/>
                <w:szCs w:val="20"/>
              </w:rPr>
              <w:fldChar w:fldCharType="separate"/>
            </w:r>
            <w:r w:rsidRPr="00F33674">
              <w:rPr>
                <w:rFonts w:ascii="Arial Narrow" w:hAnsi="Arial Narrow" w:cs="Arial"/>
                <w:sz w:val="20"/>
                <w:szCs w:val="20"/>
              </w:rPr>
              <w:fldChar w:fldCharType="end"/>
            </w:r>
            <w:r w:rsidRPr="00F33674">
              <w:rPr>
                <w:rFonts w:ascii="Arial Narrow" w:hAnsi="Arial Narrow" w:cs="Arial"/>
                <w:sz w:val="20"/>
                <w:szCs w:val="20"/>
              </w:rPr>
              <w:t>Midwives</w:t>
            </w:r>
          </w:p>
        </w:tc>
      </w:tr>
      <w:tr w:rsidR="00D36BEC" w:rsidRPr="00F33674" w14:paraId="25410F2C" w14:textId="77777777" w:rsidTr="00A74C03">
        <w:trPr>
          <w:cantSplit/>
          <w:trHeight w:val="369"/>
        </w:trPr>
        <w:tc>
          <w:tcPr>
            <w:tcW w:w="2835" w:type="dxa"/>
            <w:tcBorders>
              <w:top w:val="single" w:sz="4" w:space="0" w:color="auto"/>
              <w:left w:val="single" w:sz="4" w:space="0" w:color="auto"/>
              <w:bottom w:val="single" w:sz="4" w:space="0" w:color="auto"/>
              <w:right w:val="single" w:sz="4" w:space="0" w:color="auto"/>
            </w:tcBorders>
          </w:tcPr>
          <w:p w14:paraId="73A13183" w14:textId="77777777" w:rsidR="00D36BEC" w:rsidRPr="00F33674" w:rsidRDefault="00D36BEC" w:rsidP="00A74C03">
            <w:pPr>
              <w:rPr>
                <w:rFonts w:ascii="Arial Narrow" w:hAnsi="Arial Narrow" w:cs="Arial"/>
                <w:b/>
                <w:sz w:val="20"/>
                <w:szCs w:val="20"/>
              </w:rPr>
            </w:pPr>
            <w:r w:rsidRPr="00F33674">
              <w:rPr>
                <w:rFonts w:ascii="Arial Narrow" w:hAnsi="Arial Narrow" w:cs="Arial"/>
                <w:b/>
                <w:sz w:val="20"/>
                <w:szCs w:val="20"/>
              </w:rPr>
              <w:t>PBS indication:</w:t>
            </w:r>
          </w:p>
        </w:tc>
        <w:tc>
          <w:tcPr>
            <w:tcW w:w="6379" w:type="dxa"/>
            <w:tcBorders>
              <w:top w:val="single" w:sz="4" w:space="0" w:color="auto"/>
              <w:left w:val="single" w:sz="4" w:space="0" w:color="auto"/>
              <w:bottom w:val="single" w:sz="4" w:space="0" w:color="auto"/>
              <w:right w:val="single" w:sz="4" w:space="0" w:color="auto"/>
            </w:tcBorders>
          </w:tcPr>
          <w:p w14:paraId="09F55EC3" w14:textId="77777777" w:rsidR="00D36BEC" w:rsidRPr="00F33674" w:rsidRDefault="00D36BEC" w:rsidP="00A74C03">
            <w:pPr>
              <w:rPr>
                <w:rFonts w:ascii="Arial Narrow" w:hAnsi="Arial Narrow" w:cs="Arial"/>
                <w:sz w:val="20"/>
                <w:szCs w:val="20"/>
              </w:rPr>
            </w:pPr>
            <w:r w:rsidRPr="00F33674">
              <w:rPr>
                <w:rFonts w:ascii="Arial Narrow" w:hAnsi="Arial Narrow" w:cs="Arial"/>
                <w:sz w:val="20"/>
                <w:szCs w:val="20"/>
              </w:rPr>
              <w:t>[7861] Severe pain</w:t>
            </w:r>
          </w:p>
        </w:tc>
      </w:tr>
      <w:tr w:rsidR="00D36BEC" w:rsidRPr="00F33674" w14:paraId="416216CD" w14:textId="77777777" w:rsidTr="00A74C03">
        <w:trPr>
          <w:cantSplit/>
          <w:trHeight w:val="360"/>
        </w:trPr>
        <w:tc>
          <w:tcPr>
            <w:tcW w:w="2835" w:type="dxa"/>
            <w:tcBorders>
              <w:top w:val="single" w:sz="4" w:space="0" w:color="auto"/>
              <w:left w:val="single" w:sz="4" w:space="0" w:color="auto"/>
              <w:bottom w:val="single" w:sz="4" w:space="0" w:color="auto"/>
              <w:right w:val="single" w:sz="4" w:space="0" w:color="auto"/>
            </w:tcBorders>
          </w:tcPr>
          <w:p w14:paraId="4BEFC487" w14:textId="77777777" w:rsidR="00D36BEC" w:rsidRPr="00F33674" w:rsidRDefault="00D36BEC" w:rsidP="00A74C03">
            <w:pPr>
              <w:rPr>
                <w:rFonts w:ascii="Arial Narrow" w:hAnsi="Arial Narrow" w:cs="Arial"/>
                <w:b/>
                <w:sz w:val="20"/>
                <w:szCs w:val="20"/>
              </w:rPr>
            </w:pPr>
            <w:r w:rsidRPr="00F33674">
              <w:rPr>
                <w:rFonts w:ascii="Arial Narrow" w:hAnsi="Arial Narrow" w:cs="Arial"/>
                <w:b/>
                <w:sz w:val="20"/>
                <w:szCs w:val="20"/>
              </w:rPr>
              <w:t>Restriction Level / Method:</w:t>
            </w:r>
          </w:p>
          <w:p w14:paraId="48535C10" w14:textId="77777777" w:rsidR="00D36BEC" w:rsidRPr="00F33674" w:rsidRDefault="00D36BEC" w:rsidP="00A74C03">
            <w:pPr>
              <w:rPr>
                <w:rFonts w:ascii="Arial Narrow" w:hAnsi="Arial Narrow" w:cs="Arial"/>
                <w:i/>
                <w:sz w:val="20"/>
                <w:szCs w:val="20"/>
              </w:rPr>
            </w:pPr>
          </w:p>
          <w:p w14:paraId="40FFB6AB" w14:textId="77777777" w:rsidR="00D36BEC" w:rsidRPr="00F33674" w:rsidRDefault="00D36BEC" w:rsidP="00A74C03">
            <w:pPr>
              <w:rPr>
                <w:rFonts w:ascii="Arial Narrow" w:hAnsi="Arial Narrow" w:cs="Arial"/>
                <w:i/>
                <w:sz w:val="20"/>
                <w:szCs w:val="20"/>
              </w:rPr>
            </w:pPr>
          </w:p>
          <w:p w14:paraId="2D0F8455" w14:textId="77777777" w:rsidR="00D36BEC" w:rsidRPr="00F33674" w:rsidRDefault="00D36BEC" w:rsidP="00A74C03">
            <w:pPr>
              <w:rPr>
                <w:rFonts w:ascii="Arial Narrow" w:hAnsi="Arial Narrow" w:cs="Arial"/>
                <w:i/>
                <w:sz w:val="20"/>
                <w:szCs w:val="20"/>
              </w:rPr>
            </w:pPr>
          </w:p>
        </w:tc>
        <w:tc>
          <w:tcPr>
            <w:tcW w:w="6379" w:type="dxa"/>
            <w:tcBorders>
              <w:top w:val="single" w:sz="4" w:space="0" w:color="auto"/>
              <w:left w:val="single" w:sz="4" w:space="0" w:color="auto"/>
              <w:bottom w:val="single" w:sz="4" w:space="0" w:color="auto"/>
              <w:right w:val="single" w:sz="4" w:space="0" w:color="auto"/>
            </w:tcBorders>
          </w:tcPr>
          <w:p w14:paraId="47546BEC" w14:textId="77777777" w:rsidR="00D36BEC" w:rsidRPr="00F33674" w:rsidRDefault="00D36BEC" w:rsidP="00A74C03">
            <w:pPr>
              <w:rPr>
                <w:rFonts w:ascii="Arial Narrow" w:hAnsi="Arial Narrow" w:cs="Arial"/>
                <w:sz w:val="20"/>
                <w:szCs w:val="20"/>
              </w:rPr>
            </w:pPr>
            <w:r w:rsidRPr="00F33674">
              <w:rPr>
                <w:rFonts w:ascii="Arial Narrow" w:hAnsi="Arial Narrow" w:cs="Arial"/>
                <w:sz w:val="20"/>
                <w:szCs w:val="20"/>
              </w:rPr>
              <w:fldChar w:fldCharType="begin">
                <w:ffData>
                  <w:name w:val=""/>
                  <w:enabled/>
                  <w:calcOnExit w:val="0"/>
                  <w:checkBox>
                    <w:sizeAuto/>
                    <w:default w:val="0"/>
                  </w:checkBox>
                </w:ffData>
              </w:fldChar>
            </w:r>
            <w:r w:rsidRPr="00F33674">
              <w:rPr>
                <w:rFonts w:ascii="Arial Narrow" w:hAnsi="Arial Narrow" w:cs="Arial"/>
                <w:sz w:val="20"/>
                <w:szCs w:val="20"/>
              </w:rPr>
              <w:instrText xml:space="preserve"> FORMCHECKBOX </w:instrText>
            </w:r>
            <w:r w:rsidR="00233D13">
              <w:rPr>
                <w:rFonts w:ascii="Arial Narrow" w:hAnsi="Arial Narrow" w:cs="Arial"/>
                <w:sz w:val="20"/>
                <w:szCs w:val="20"/>
              </w:rPr>
            </w:r>
            <w:r w:rsidR="00233D13">
              <w:rPr>
                <w:rFonts w:ascii="Arial Narrow" w:hAnsi="Arial Narrow" w:cs="Arial"/>
                <w:sz w:val="20"/>
                <w:szCs w:val="20"/>
              </w:rPr>
              <w:fldChar w:fldCharType="separate"/>
            </w:r>
            <w:r w:rsidRPr="00F33674">
              <w:rPr>
                <w:rFonts w:ascii="Arial Narrow" w:hAnsi="Arial Narrow" w:cs="Arial"/>
                <w:sz w:val="20"/>
                <w:szCs w:val="20"/>
              </w:rPr>
              <w:fldChar w:fldCharType="end"/>
            </w:r>
            <w:r w:rsidRPr="00F33674">
              <w:rPr>
                <w:rFonts w:ascii="Arial Narrow" w:hAnsi="Arial Narrow" w:cs="Arial"/>
                <w:sz w:val="20"/>
                <w:szCs w:val="20"/>
              </w:rPr>
              <w:t>Unrestricted benefit</w:t>
            </w:r>
          </w:p>
          <w:p w14:paraId="0CBD1BAC" w14:textId="77777777" w:rsidR="00D36BEC" w:rsidRPr="00F33674" w:rsidRDefault="00D36BEC" w:rsidP="00A74C03">
            <w:pPr>
              <w:rPr>
                <w:rFonts w:ascii="Arial Narrow" w:hAnsi="Arial Narrow" w:cs="Arial"/>
                <w:i/>
                <w:sz w:val="20"/>
                <w:szCs w:val="20"/>
              </w:rPr>
            </w:pPr>
            <w:r w:rsidRPr="00F33674">
              <w:rPr>
                <w:rFonts w:ascii="Arial Narrow" w:hAnsi="Arial Narrow" w:cs="Arial"/>
                <w:i/>
                <w:sz w:val="20"/>
                <w:szCs w:val="20"/>
              </w:rPr>
              <w:fldChar w:fldCharType="begin">
                <w:ffData>
                  <w:name w:val="Check1"/>
                  <w:enabled/>
                  <w:calcOnExit w:val="0"/>
                  <w:checkBox>
                    <w:sizeAuto/>
                    <w:default w:val="1"/>
                  </w:checkBox>
                </w:ffData>
              </w:fldChar>
            </w:r>
            <w:r w:rsidRPr="00F33674">
              <w:rPr>
                <w:rFonts w:ascii="Arial Narrow" w:hAnsi="Arial Narrow" w:cs="Arial"/>
                <w:i/>
                <w:sz w:val="20"/>
                <w:szCs w:val="20"/>
              </w:rPr>
              <w:instrText xml:space="preserve"> FORMCHECKBOX </w:instrText>
            </w:r>
            <w:r w:rsidR="00233D13">
              <w:rPr>
                <w:rFonts w:ascii="Arial Narrow" w:hAnsi="Arial Narrow" w:cs="Arial"/>
                <w:i/>
                <w:sz w:val="20"/>
                <w:szCs w:val="20"/>
              </w:rPr>
            </w:r>
            <w:r w:rsidR="00233D13">
              <w:rPr>
                <w:rFonts w:ascii="Arial Narrow" w:hAnsi="Arial Narrow" w:cs="Arial"/>
                <w:i/>
                <w:sz w:val="20"/>
                <w:szCs w:val="20"/>
              </w:rPr>
              <w:fldChar w:fldCharType="separate"/>
            </w:r>
            <w:r w:rsidRPr="00F33674">
              <w:rPr>
                <w:rFonts w:ascii="Arial Narrow" w:hAnsi="Arial Narrow" w:cs="Arial"/>
                <w:i/>
                <w:sz w:val="20"/>
                <w:szCs w:val="20"/>
              </w:rPr>
              <w:fldChar w:fldCharType="end"/>
            </w:r>
            <w:r w:rsidRPr="00F33674">
              <w:rPr>
                <w:rFonts w:ascii="Arial Narrow" w:hAnsi="Arial Narrow" w:cs="Arial"/>
                <w:sz w:val="20"/>
                <w:szCs w:val="20"/>
              </w:rPr>
              <w:t>Restricted benefit</w:t>
            </w:r>
          </w:p>
          <w:p w14:paraId="4DDB4E48" w14:textId="77777777" w:rsidR="00D36BEC" w:rsidRPr="00F33674" w:rsidRDefault="00D36BEC" w:rsidP="00A74C03">
            <w:pPr>
              <w:rPr>
                <w:rFonts w:ascii="Arial Narrow" w:hAnsi="Arial Narrow" w:cs="Arial"/>
                <w:sz w:val="20"/>
                <w:szCs w:val="20"/>
              </w:rPr>
            </w:pPr>
            <w:r w:rsidRPr="00F33674">
              <w:rPr>
                <w:rFonts w:ascii="Arial Narrow" w:hAnsi="Arial Narrow" w:cs="Arial"/>
                <w:sz w:val="20"/>
                <w:szCs w:val="20"/>
              </w:rPr>
              <w:fldChar w:fldCharType="begin">
                <w:ffData>
                  <w:name w:val=""/>
                  <w:enabled/>
                  <w:calcOnExit w:val="0"/>
                  <w:checkBox>
                    <w:sizeAuto/>
                    <w:default w:val="0"/>
                  </w:checkBox>
                </w:ffData>
              </w:fldChar>
            </w:r>
            <w:r w:rsidRPr="00F33674">
              <w:rPr>
                <w:rFonts w:ascii="Arial Narrow" w:hAnsi="Arial Narrow" w:cs="Arial"/>
                <w:sz w:val="20"/>
                <w:szCs w:val="20"/>
              </w:rPr>
              <w:instrText xml:space="preserve"> FORMCHECKBOX </w:instrText>
            </w:r>
            <w:r w:rsidR="00233D13">
              <w:rPr>
                <w:rFonts w:ascii="Arial Narrow" w:hAnsi="Arial Narrow" w:cs="Arial"/>
                <w:sz w:val="20"/>
                <w:szCs w:val="20"/>
              </w:rPr>
            </w:r>
            <w:r w:rsidR="00233D13">
              <w:rPr>
                <w:rFonts w:ascii="Arial Narrow" w:hAnsi="Arial Narrow" w:cs="Arial"/>
                <w:sz w:val="20"/>
                <w:szCs w:val="20"/>
              </w:rPr>
              <w:fldChar w:fldCharType="separate"/>
            </w:r>
            <w:r w:rsidRPr="00F33674">
              <w:rPr>
                <w:rFonts w:ascii="Arial Narrow" w:hAnsi="Arial Narrow" w:cs="Arial"/>
                <w:sz w:val="20"/>
                <w:szCs w:val="20"/>
              </w:rPr>
              <w:fldChar w:fldCharType="end"/>
            </w:r>
            <w:r w:rsidRPr="00F33674">
              <w:rPr>
                <w:rFonts w:ascii="Arial Narrow" w:hAnsi="Arial Narrow" w:cs="Arial"/>
                <w:sz w:val="20"/>
                <w:szCs w:val="20"/>
              </w:rPr>
              <w:t>Authority Required – In Writing</w:t>
            </w:r>
          </w:p>
          <w:p w14:paraId="7156EDDB" w14:textId="77777777" w:rsidR="00D36BEC" w:rsidRPr="00F33674" w:rsidRDefault="00D36BEC" w:rsidP="00A74C03">
            <w:pPr>
              <w:rPr>
                <w:rFonts w:ascii="Arial Narrow" w:hAnsi="Arial Narrow" w:cs="Arial"/>
                <w:sz w:val="20"/>
                <w:szCs w:val="20"/>
              </w:rPr>
            </w:pPr>
            <w:r w:rsidRPr="00F33674">
              <w:rPr>
                <w:rFonts w:ascii="Arial Narrow" w:hAnsi="Arial Narrow" w:cs="Arial"/>
                <w:sz w:val="20"/>
                <w:szCs w:val="20"/>
              </w:rPr>
              <w:fldChar w:fldCharType="begin">
                <w:ffData>
                  <w:name w:val="Check3"/>
                  <w:enabled/>
                  <w:calcOnExit w:val="0"/>
                  <w:checkBox>
                    <w:sizeAuto/>
                    <w:default w:val="0"/>
                  </w:checkBox>
                </w:ffData>
              </w:fldChar>
            </w:r>
            <w:r w:rsidRPr="00F33674">
              <w:rPr>
                <w:rFonts w:ascii="Arial Narrow" w:hAnsi="Arial Narrow" w:cs="Arial"/>
                <w:sz w:val="20"/>
                <w:szCs w:val="20"/>
              </w:rPr>
              <w:instrText xml:space="preserve"> FORMCHECKBOX </w:instrText>
            </w:r>
            <w:r w:rsidR="00233D13">
              <w:rPr>
                <w:rFonts w:ascii="Arial Narrow" w:hAnsi="Arial Narrow" w:cs="Arial"/>
                <w:sz w:val="20"/>
                <w:szCs w:val="20"/>
              </w:rPr>
            </w:r>
            <w:r w:rsidR="00233D13">
              <w:rPr>
                <w:rFonts w:ascii="Arial Narrow" w:hAnsi="Arial Narrow" w:cs="Arial"/>
                <w:sz w:val="20"/>
                <w:szCs w:val="20"/>
              </w:rPr>
              <w:fldChar w:fldCharType="separate"/>
            </w:r>
            <w:r w:rsidRPr="00F33674">
              <w:rPr>
                <w:rFonts w:ascii="Arial Narrow" w:hAnsi="Arial Narrow" w:cs="Arial"/>
                <w:sz w:val="20"/>
                <w:szCs w:val="20"/>
              </w:rPr>
              <w:fldChar w:fldCharType="end"/>
            </w:r>
            <w:r w:rsidRPr="00F33674">
              <w:rPr>
                <w:rFonts w:ascii="Arial Narrow" w:hAnsi="Arial Narrow" w:cs="Arial"/>
                <w:sz w:val="20"/>
                <w:szCs w:val="20"/>
              </w:rPr>
              <w:t>Authority Required – Telephone/Electronic/Emergency</w:t>
            </w:r>
          </w:p>
          <w:p w14:paraId="2EEFD243" w14:textId="77777777" w:rsidR="00D36BEC" w:rsidRPr="00F33674" w:rsidRDefault="00D36BEC" w:rsidP="00A74C03">
            <w:pPr>
              <w:rPr>
                <w:rFonts w:ascii="Arial Narrow" w:hAnsi="Arial Narrow" w:cs="Arial"/>
                <w:sz w:val="20"/>
                <w:szCs w:val="20"/>
              </w:rPr>
            </w:pPr>
            <w:r w:rsidRPr="00F33674">
              <w:rPr>
                <w:rFonts w:ascii="Arial Narrow" w:hAnsi="Arial Narrow" w:cs="Arial"/>
                <w:sz w:val="20"/>
                <w:szCs w:val="20"/>
              </w:rPr>
              <w:fldChar w:fldCharType="begin">
                <w:ffData>
                  <w:name w:val="Check5"/>
                  <w:enabled/>
                  <w:calcOnExit w:val="0"/>
                  <w:checkBox>
                    <w:sizeAuto/>
                    <w:default w:val="0"/>
                  </w:checkBox>
                </w:ffData>
              </w:fldChar>
            </w:r>
            <w:r w:rsidRPr="00F33674">
              <w:rPr>
                <w:rFonts w:ascii="Arial Narrow" w:hAnsi="Arial Narrow" w:cs="Arial"/>
                <w:sz w:val="20"/>
                <w:szCs w:val="20"/>
              </w:rPr>
              <w:instrText xml:space="preserve"> FORMCHECKBOX </w:instrText>
            </w:r>
            <w:r w:rsidR="00233D13">
              <w:rPr>
                <w:rFonts w:ascii="Arial Narrow" w:hAnsi="Arial Narrow" w:cs="Arial"/>
                <w:sz w:val="20"/>
                <w:szCs w:val="20"/>
              </w:rPr>
            </w:r>
            <w:r w:rsidR="00233D13">
              <w:rPr>
                <w:rFonts w:ascii="Arial Narrow" w:hAnsi="Arial Narrow" w:cs="Arial"/>
                <w:sz w:val="20"/>
                <w:szCs w:val="20"/>
              </w:rPr>
              <w:fldChar w:fldCharType="separate"/>
            </w:r>
            <w:r w:rsidRPr="00F33674">
              <w:rPr>
                <w:rFonts w:ascii="Arial Narrow" w:hAnsi="Arial Narrow" w:cs="Arial"/>
                <w:sz w:val="20"/>
                <w:szCs w:val="20"/>
              </w:rPr>
              <w:fldChar w:fldCharType="end"/>
            </w:r>
            <w:r w:rsidRPr="00F33674">
              <w:rPr>
                <w:rFonts w:ascii="Arial Narrow" w:hAnsi="Arial Narrow" w:cs="Arial"/>
                <w:sz w:val="20"/>
                <w:szCs w:val="20"/>
              </w:rPr>
              <w:t>Streamlined</w:t>
            </w:r>
          </w:p>
        </w:tc>
      </w:tr>
      <w:tr w:rsidR="00D36BEC" w:rsidRPr="00F33674" w14:paraId="04145350" w14:textId="77777777" w:rsidTr="00A74C03">
        <w:trPr>
          <w:cantSplit/>
          <w:trHeight w:val="360"/>
        </w:trPr>
        <w:tc>
          <w:tcPr>
            <w:tcW w:w="2835" w:type="dxa"/>
            <w:tcBorders>
              <w:top w:val="single" w:sz="4" w:space="0" w:color="auto"/>
              <w:left w:val="single" w:sz="4" w:space="0" w:color="auto"/>
              <w:bottom w:val="single" w:sz="4" w:space="0" w:color="auto"/>
              <w:right w:val="single" w:sz="4" w:space="0" w:color="auto"/>
            </w:tcBorders>
          </w:tcPr>
          <w:p w14:paraId="6B1194BB" w14:textId="77777777" w:rsidR="00D36BEC" w:rsidRPr="00F33674" w:rsidRDefault="00D36BEC" w:rsidP="00A74C03">
            <w:pPr>
              <w:rPr>
                <w:rFonts w:ascii="Arial Narrow" w:hAnsi="Arial Narrow" w:cs="Arial"/>
                <w:b/>
                <w:sz w:val="20"/>
                <w:szCs w:val="20"/>
              </w:rPr>
            </w:pPr>
            <w:r>
              <w:rPr>
                <w:rFonts w:ascii="Arial Narrow" w:hAnsi="Arial Narrow" w:cs="Arial"/>
                <w:b/>
                <w:sz w:val="20"/>
                <w:szCs w:val="20"/>
              </w:rPr>
              <w:t>Treatment phase:</w:t>
            </w:r>
          </w:p>
        </w:tc>
        <w:tc>
          <w:tcPr>
            <w:tcW w:w="6379" w:type="dxa"/>
            <w:tcBorders>
              <w:top w:val="single" w:sz="4" w:space="0" w:color="auto"/>
              <w:left w:val="single" w:sz="4" w:space="0" w:color="auto"/>
              <w:bottom w:val="single" w:sz="4" w:space="0" w:color="auto"/>
              <w:right w:val="single" w:sz="4" w:space="0" w:color="auto"/>
            </w:tcBorders>
          </w:tcPr>
          <w:p w14:paraId="1C83B71B" w14:textId="31E9A099" w:rsidR="00D36BEC" w:rsidRPr="00F33674" w:rsidRDefault="00D36BEC" w:rsidP="00945502">
            <w:pPr>
              <w:jc w:val="left"/>
              <w:rPr>
                <w:rFonts w:ascii="Arial Narrow" w:hAnsi="Arial Narrow" w:cs="Arial"/>
                <w:sz w:val="20"/>
                <w:szCs w:val="20"/>
              </w:rPr>
            </w:pPr>
            <w:r>
              <w:rPr>
                <w:rFonts w:ascii="Arial Narrow" w:hAnsi="Arial Narrow" w:cs="Arial"/>
                <w:sz w:val="20"/>
                <w:szCs w:val="20"/>
              </w:rPr>
              <w:t>Continuing</w:t>
            </w:r>
            <w:r w:rsidRPr="00407308">
              <w:rPr>
                <w:rFonts w:ascii="Arial Narrow" w:hAnsi="Arial Narrow" w:cs="Arial"/>
                <w:sz w:val="20"/>
                <w:szCs w:val="20"/>
              </w:rPr>
              <w:t xml:space="preserve"> PBS treatment after 1 June 2020</w:t>
            </w:r>
          </w:p>
        </w:tc>
      </w:tr>
      <w:tr w:rsidR="00D36BEC" w:rsidRPr="00F33674" w14:paraId="1FCF829B" w14:textId="77777777" w:rsidTr="00A74C03">
        <w:trPr>
          <w:cantSplit/>
          <w:trHeight w:val="360"/>
        </w:trPr>
        <w:tc>
          <w:tcPr>
            <w:tcW w:w="2835" w:type="dxa"/>
            <w:tcBorders>
              <w:top w:val="single" w:sz="4" w:space="0" w:color="auto"/>
              <w:left w:val="single" w:sz="4" w:space="0" w:color="auto"/>
              <w:bottom w:val="single" w:sz="4" w:space="0" w:color="auto"/>
              <w:right w:val="single" w:sz="4" w:space="0" w:color="auto"/>
            </w:tcBorders>
          </w:tcPr>
          <w:p w14:paraId="1ACCE900" w14:textId="77777777" w:rsidR="00D36BEC" w:rsidRPr="00F33674" w:rsidRDefault="00D36BEC" w:rsidP="00A74C03">
            <w:pPr>
              <w:rPr>
                <w:rFonts w:ascii="Arial Narrow" w:hAnsi="Arial Narrow" w:cs="Arial"/>
                <w:b/>
                <w:sz w:val="20"/>
                <w:szCs w:val="20"/>
              </w:rPr>
            </w:pPr>
            <w:r w:rsidRPr="00F33674">
              <w:rPr>
                <w:rFonts w:ascii="Arial Narrow" w:hAnsi="Arial Narrow" w:cs="Arial"/>
                <w:b/>
                <w:sz w:val="20"/>
                <w:szCs w:val="20"/>
              </w:rPr>
              <w:t>Clinical criteria:</w:t>
            </w:r>
          </w:p>
        </w:tc>
        <w:tc>
          <w:tcPr>
            <w:tcW w:w="6379" w:type="dxa"/>
            <w:tcBorders>
              <w:top w:val="single" w:sz="4" w:space="0" w:color="auto"/>
              <w:left w:val="single" w:sz="4" w:space="0" w:color="auto"/>
              <w:bottom w:val="single" w:sz="4" w:space="0" w:color="auto"/>
              <w:right w:val="single" w:sz="4" w:space="0" w:color="auto"/>
            </w:tcBorders>
          </w:tcPr>
          <w:p w14:paraId="0A2A9CD6" w14:textId="6AC180DD" w:rsidR="00D36BEC" w:rsidRPr="00F33674" w:rsidRDefault="00D36BEC" w:rsidP="00945502">
            <w:pPr>
              <w:jc w:val="left"/>
              <w:rPr>
                <w:rFonts w:ascii="Arial Narrow" w:hAnsi="Arial Narrow" w:cs="Arial"/>
                <w:sz w:val="20"/>
                <w:szCs w:val="20"/>
              </w:rPr>
            </w:pPr>
            <w:r w:rsidRPr="00F33674">
              <w:rPr>
                <w:rFonts w:ascii="Arial Narrow" w:hAnsi="Arial Narrow" w:cs="Arial"/>
                <w:sz w:val="20"/>
                <w:szCs w:val="20"/>
              </w:rPr>
              <w:t xml:space="preserve">[new] </w:t>
            </w:r>
            <w:r w:rsidRPr="00D36BEC">
              <w:rPr>
                <w:rFonts w:ascii="Arial Narrow" w:hAnsi="Arial Narrow" w:cs="Arial"/>
                <w:sz w:val="20"/>
                <w:szCs w:val="20"/>
              </w:rPr>
              <w:t>Patient must have previously received PBS-subsidised treatment with this form of this drug for this condition after 1 June 2020</w:t>
            </w:r>
            <w:r w:rsidR="005E10AF">
              <w:rPr>
                <w:rFonts w:ascii="Arial Narrow" w:hAnsi="Arial Narrow" w:cs="Arial"/>
                <w:sz w:val="20"/>
                <w:szCs w:val="20"/>
              </w:rPr>
              <w:t>.</w:t>
            </w:r>
          </w:p>
        </w:tc>
      </w:tr>
      <w:tr w:rsidR="00D36BEC" w:rsidRPr="00F33674" w14:paraId="31406540" w14:textId="77777777" w:rsidTr="00A74C03">
        <w:trPr>
          <w:cantSplit/>
          <w:trHeight w:val="360"/>
        </w:trPr>
        <w:tc>
          <w:tcPr>
            <w:tcW w:w="2835" w:type="dxa"/>
            <w:tcBorders>
              <w:top w:val="single" w:sz="4" w:space="0" w:color="auto"/>
              <w:left w:val="single" w:sz="4" w:space="0" w:color="auto"/>
              <w:bottom w:val="single" w:sz="4" w:space="0" w:color="auto"/>
              <w:right w:val="single" w:sz="4" w:space="0" w:color="auto"/>
            </w:tcBorders>
          </w:tcPr>
          <w:p w14:paraId="76D22502" w14:textId="77777777" w:rsidR="00D36BEC" w:rsidRPr="00F33674" w:rsidRDefault="00D36BEC" w:rsidP="00A74C03">
            <w:pPr>
              <w:rPr>
                <w:rFonts w:ascii="Arial Narrow" w:hAnsi="Arial Narrow" w:cs="Arial"/>
                <w:b/>
                <w:sz w:val="20"/>
                <w:szCs w:val="20"/>
              </w:rPr>
            </w:pPr>
            <w:r w:rsidRPr="00F33674">
              <w:rPr>
                <w:rFonts w:ascii="Arial Narrow" w:hAnsi="Arial Narrow" w:cs="Arial"/>
                <w:b/>
                <w:sz w:val="20"/>
                <w:szCs w:val="20"/>
              </w:rPr>
              <w:lastRenderedPageBreak/>
              <w:t>Prescriber instructions:</w:t>
            </w:r>
          </w:p>
        </w:tc>
        <w:tc>
          <w:tcPr>
            <w:tcW w:w="6379" w:type="dxa"/>
            <w:tcBorders>
              <w:top w:val="single" w:sz="4" w:space="0" w:color="auto"/>
              <w:left w:val="single" w:sz="4" w:space="0" w:color="auto"/>
              <w:bottom w:val="single" w:sz="4" w:space="0" w:color="auto"/>
              <w:right w:val="single" w:sz="4" w:space="0" w:color="auto"/>
            </w:tcBorders>
          </w:tcPr>
          <w:p w14:paraId="50A0C337" w14:textId="77777777" w:rsidR="00C17A07" w:rsidRPr="00C17A07" w:rsidRDefault="00D36BEC" w:rsidP="00C17A07">
            <w:pPr>
              <w:jc w:val="left"/>
              <w:rPr>
                <w:rFonts w:ascii="Arial Narrow" w:hAnsi="Arial Narrow" w:cs="Arial"/>
                <w:sz w:val="20"/>
                <w:szCs w:val="20"/>
              </w:rPr>
            </w:pPr>
            <w:r w:rsidRPr="00F33674">
              <w:rPr>
                <w:rFonts w:ascii="Arial Narrow" w:hAnsi="Arial Narrow" w:cs="Arial"/>
                <w:sz w:val="20"/>
                <w:szCs w:val="20"/>
              </w:rPr>
              <w:t xml:space="preserve">[new] </w:t>
            </w:r>
            <w:r w:rsidR="00C17A07" w:rsidRPr="00C17A07">
              <w:rPr>
                <w:rFonts w:ascii="Arial Narrow" w:hAnsi="Arial Narrow" w:cs="Arial"/>
                <w:sz w:val="20"/>
                <w:szCs w:val="20"/>
              </w:rPr>
              <w:t>Authorities for increased maximum quantities and/or repeats must only be considered where the patient has received initial authority approval for:</w:t>
            </w:r>
          </w:p>
          <w:p w14:paraId="426DEE4C" w14:textId="77777777" w:rsidR="00C17A07" w:rsidRPr="00C17A07" w:rsidRDefault="00C17A07" w:rsidP="00C17A07">
            <w:pPr>
              <w:jc w:val="left"/>
              <w:rPr>
                <w:rFonts w:ascii="Arial Narrow" w:hAnsi="Arial Narrow" w:cs="Arial"/>
                <w:sz w:val="20"/>
                <w:szCs w:val="20"/>
              </w:rPr>
            </w:pPr>
            <w:r w:rsidRPr="00C17A07">
              <w:rPr>
                <w:rFonts w:ascii="Arial Narrow" w:hAnsi="Arial Narrow" w:cs="Arial"/>
                <w:sz w:val="20"/>
                <w:szCs w:val="20"/>
              </w:rPr>
              <w:t>(i) severe disabling pain associated with malignant neoplasia; or</w:t>
            </w:r>
          </w:p>
          <w:p w14:paraId="0E5BA0DF" w14:textId="77777777" w:rsidR="00C17A07" w:rsidRPr="00C17A07" w:rsidRDefault="00C17A07" w:rsidP="00C17A07">
            <w:pPr>
              <w:jc w:val="left"/>
              <w:rPr>
                <w:rFonts w:ascii="Arial Narrow" w:hAnsi="Arial Narrow" w:cs="Arial"/>
                <w:sz w:val="20"/>
                <w:szCs w:val="20"/>
              </w:rPr>
            </w:pPr>
            <w:r w:rsidRPr="00C17A07">
              <w:rPr>
                <w:rFonts w:ascii="Arial Narrow" w:hAnsi="Arial Narrow" w:cs="Arial"/>
                <w:sz w:val="20"/>
                <w:szCs w:val="20"/>
              </w:rPr>
              <w:t>(ii) chronic severe disabling pain where the total duration of non-PBS and PBS opioid analgesic treatment is less than 12 months; or</w:t>
            </w:r>
          </w:p>
          <w:p w14:paraId="6C373485" w14:textId="77777777" w:rsidR="00C17A07" w:rsidRPr="00C17A07" w:rsidRDefault="00C17A07" w:rsidP="00C17A07">
            <w:pPr>
              <w:jc w:val="left"/>
              <w:rPr>
                <w:rFonts w:ascii="Arial Narrow" w:hAnsi="Arial Narrow" w:cs="Arial"/>
                <w:sz w:val="20"/>
                <w:szCs w:val="20"/>
              </w:rPr>
            </w:pPr>
            <w:r w:rsidRPr="00C17A07">
              <w:rPr>
                <w:rFonts w:ascii="Arial Narrow" w:hAnsi="Arial Narrow" w:cs="Arial"/>
                <w:sz w:val="20"/>
                <w:szCs w:val="20"/>
              </w:rPr>
              <w:t>(iii) palliative care patients with chronic severe disabling pain where the total duration of non-PBS and PBS opioid analgesic treatment exceeds 12 months and the patient is unable to have annual pain management review due to their clinical condition; or</w:t>
            </w:r>
          </w:p>
          <w:p w14:paraId="1CE6C449" w14:textId="77777777" w:rsidR="00C17A07" w:rsidRPr="00C17A07" w:rsidRDefault="00C17A07" w:rsidP="00C17A07">
            <w:pPr>
              <w:jc w:val="left"/>
              <w:rPr>
                <w:rFonts w:ascii="Arial Narrow" w:hAnsi="Arial Narrow" w:cs="Arial"/>
                <w:sz w:val="20"/>
                <w:szCs w:val="20"/>
              </w:rPr>
            </w:pPr>
            <w:r w:rsidRPr="00C17A07">
              <w:rPr>
                <w:rFonts w:ascii="Arial Narrow" w:hAnsi="Arial Narrow" w:cs="Arial"/>
                <w:sz w:val="20"/>
                <w:szCs w:val="20"/>
              </w:rPr>
              <w:t>(iv) chronic severe disabling pain where the total duration of non-PBS and PBS opioid analgesic treatment exceeds 12 months and the patient's clinical need for continuing opioid treatment has been confirmed through consultation with the patient by another medical practitioner or a palliative care nurse practitioner in the past 12 months; or</w:t>
            </w:r>
          </w:p>
          <w:p w14:paraId="418E5483" w14:textId="5C04E2A2" w:rsidR="00D36BEC" w:rsidRPr="00F33674" w:rsidRDefault="00C17A07" w:rsidP="00C17A07">
            <w:pPr>
              <w:jc w:val="left"/>
              <w:rPr>
                <w:rFonts w:ascii="Arial Narrow" w:hAnsi="Arial Narrow" w:cs="Arial"/>
                <w:sz w:val="20"/>
                <w:szCs w:val="20"/>
              </w:rPr>
            </w:pPr>
            <w:proofErr w:type="gramStart"/>
            <w:r w:rsidRPr="00C17A07">
              <w:rPr>
                <w:rFonts w:ascii="Arial Narrow" w:hAnsi="Arial Narrow" w:cs="Arial"/>
                <w:sz w:val="20"/>
                <w:szCs w:val="20"/>
              </w:rPr>
              <w:t>(v) chronic severe disabling pain where the total duration of non-PBS and PBS opioid analgesic treatment has exceeded 12 months prior to 1 June 2020 and the patient's clinical need for continuing opioid treatment has not been confirmed through consultation with the patient by another medical practitioner or a palliative care nurse practitioner in the past 12 months, but is planned in the next 3 months.</w:t>
            </w:r>
            <w:proofErr w:type="gramEnd"/>
          </w:p>
          <w:p w14:paraId="0C4D06A0" w14:textId="77777777" w:rsidR="00D36BEC" w:rsidRDefault="00D36BEC" w:rsidP="00A74C03">
            <w:pPr>
              <w:jc w:val="left"/>
              <w:rPr>
                <w:rFonts w:ascii="Arial Narrow" w:hAnsi="Arial Narrow" w:cs="Arial"/>
                <w:sz w:val="20"/>
                <w:szCs w:val="20"/>
              </w:rPr>
            </w:pPr>
          </w:p>
          <w:p w14:paraId="0203E439" w14:textId="77777777" w:rsidR="00D36BEC" w:rsidRDefault="00D36BEC" w:rsidP="00A74C03">
            <w:pPr>
              <w:jc w:val="left"/>
              <w:rPr>
                <w:rFonts w:ascii="Arial Narrow" w:hAnsi="Arial Narrow" w:cs="Arial"/>
                <w:sz w:val="20"/>
                <w:szCs w:val="20"/>
              </w:rPr>
            </w:pPr>
            <w:r>
              <w:rPr>
                <w:rFonts w:ascii="Arial Narrow" w:hAnsi="Arial Narrow" w:cs="Arial"/>
                <w:sz w:val="20"/>
                <w:szCs w:val="20"/>
              </w:rPr>
              <w:t xml:space="preserve">[new] </w:t>
            </w:r>
            <w:r w:rsidRPr="0021023D">
              <w:rPr>
                <w:rFonts w:ascii="Arial Narrow" w:hAnsi="Arial Narrow" w:cs="Arial"/>
                <w:sz w:val="20"/>
                <w:szCs w:val="20"/>
              </w:rPr>
              <w:t>Palliative care nurses may conduct annual review under this item for the treatment of palliative care patients only.</w:t>
            </w:r>
          </w:p>
          <w:p w14:paraId="6A5705BE" w14:textId="77777777" w:rsidR="00D36BEC" w:rsidRPr="00F33674" w:rsidRDefault="00D36BEC" w:rsidP="00A74C03">
            <w:pPr>
              <w:jc w:val="left"/>
              <w:rPr>
                <w:rFonts w:ascii="Arial Narrow" w:hAnsi="Arial Narrow" w:cs="Arial"/>
                <w:sz w:val="20"/>
                <w:szCs w:val="20"/>
              </w:rPr>
            </w:pPr>
          </w:p>
          <w:p w14:paraId="27843C38" w14:textId="77777777" w:rsidR="00D36BEC" w:rsidRPr="00F33674" w:rsidRDefault="00D36BEC" w:rsidP="00A74C03">
            <w:pPr>
              <w:jc w:val="left"/>
              <w:rPr>
                <w:rFonts w:ascii="Arial Narrow" w:hAnsi="Arial Narrow" w:cs="Arial"/>
                <w:sz w:val="20"/>
                <w:szCs w:val="20"/>
              </w:rPr>
            </w:pPr>
            <w:r w:rsidRPr="00F33674">
              <w:rPr>
                <w:rFonts w:ascii="Arial Narrow" w:hAnsi="Arial Narrow" w:cs="Arial"/>
                <w:sz w:val="20"/>
                <w:szCs w:val="20"/>
              </w:rPr>
              <w:t>[new] Authority requests extending treatment duration up to 1 month may be requested though the Online PBS Authorities system or by calling Services Australia.</w:t>
            </w:r>
          </w:p>
          <w:p w14:paraId="1706F3EF" w14:textId="77777777" w:rsidR="00D36BEC" w:rsidRPr="00F33674" w:rsidRDefault="00D36BEC" w:rsidP="00A74C03">
            <w:pPr>
              <w:jc w:val="left"/>
              <w:rPr>
                <w:rFonts w:ascii="Arial Narrow" w:hAnsi="Arial Narrow" w:cs="Arial"/>
                <w:sz w:val="20"/>
                <w:szCs w:val="20"/>
              </w:rPr>
            </w:pPr>
          </w:p>
          <w:p w14:paraId="00C8C529" w14:textId="77777777" w:rsidR="00D36BEC" w:rsidRPr="00F33674" w:rsidRDefault="00D36BEC" w:rsidP="00A74C03">
            <w:pPr>
              <w:jc w:val="left"/>
              <w:rPr>
                <w:rFonts w:ascii="Arial Narrow" w:hAnsi="Arial Narrow" w:cs="Arial"/>
                <w:sz w:val="20"/>
                <w:szCs w:val="20"/>
              </w:rPr>
            </w:pPr>
            <w:r w:rsidRPr="00F33674">
              <w:rPr>
                <w:rFonts w:ascii="Arial Narrow" w:hAnsi="Arial Narrow" w:cs="Arial"/>
                <w:sz w:val="20"/>
                <w:szCs w:val="20"/>
              </w:rPr>
              <w:t xml:space="preserve">Authority requests extending treatment duration beyond 1 month </w:t>
            </w:r>
            <w:r>
              <w:rPr>
                <w:rFonts w:ascii="Arial Narrow" w:hAnsi="Arial Narrow" w:cs="Arial"/>
                <w:sz w:val="20"/>
                <w:szCs w:val="20"/>
              </w:rPr>
              <w:t>may</w:t>
            </w:r>
            <w:r w:rsidRPr="00F33674">
              <w:rPr>
                <w:rFonts w:ascii="Arial Narrow" w:hAnsi="Arial Narrow" w:cs="Arial"/>
                <w:sz w:val="20"/>
                <w:szCs w:val="20"/>
              </w:rPr>
              <w:t xml:space="preserve"> be </w:t>
            </w:r>
            <w:r>
              <w:rPr>
                <w:rFonts w:ascii="Arial Narrow" w:hAnsi="Arial Narrow" w:cs="Arial"/>
                <w:sz w:val="20"/>
                <w:szCs w:val="20"/>
              </w:rPr>
              <w:t>requested through the Online PBS Authorities system</w:t>
            </w:r>
            <w:r w:rsidRPr="00F33674">
              <w:rPr>
                <w:rFonts w:ascii="Arial Narrow" w:hAnsi="Arial Narrow" w:cs="Arial"/>
                <w:sz w:val="20"/>
                <w:szCs w:val="20"/>
              </w:rPr>
              <w:t xml:space="preserve"> or in writing and must not provide a treatment duration exceeding 3 months</w:t>
            </w:r>
            <w:r>
              <w:rPr>
                <w:rFonts w:ascii="Arial Narrow" w:hAnsi="Arial Narrow" w:cs="Arial"/>
                <w:sz w:val="20"/>
                <w:szCs w:val="20"/>
              </w:rPr>
              <w:t xml:space="preserve"> (quantity sufficient for up to </w:t>
            </w:r>
            <w:proofErr w:type="gramStart"/>
            <w:r>
              <w:rPr>
                <w:rFonts w:ascii="Arial Narrow" w:hAnsi="Arial Narrow" w:cs="Arial"/>
                <w:sz w:val="20"/>
                <w:szCs w:val="20"/>
              </w:rPr>
              <w:t>1 month</w:t>
            </w:r>
            <w:proofErr w:type="gramEnd"/>
            <w:r>
              <w:rPr>
                <w:rFonts w:ascii="Arial Narrow" w:hAnsi="Arial Narrow" w:cs="Arial"/>
                <w:sz w:val="20"/>
                <w:szCs w:val="20"/>
              </w:rPr>
              <w:t xml:space="preserve"> treatment and sufficient repeats)</w:t>
            </w:r>
            <w:r w:rsidRPr="00F33674">
              <w:rPr>
                <w:rFonts w:ascii="Arial Narrow" w:hAnsi="Arial Narrow" w:cs="Arial"/>
                <w:sz w:val="20"/>
                <w:szCs w:val="20"/>
              </w:rPr>
              <w:t>.</w:t>
            </w:r>
          </w:p>
        </w:tc>
      </w:tr>
      <w:tr w:rsidR="00D36BEC" w:rsidRPr="00F33674" w14:paraId="1E2432CF" w14:textId="77777777" w:rsidTr="00A74C03">
        <w:trPr>
          <w:cantSplit/>
          <w:trHeight w:val="360"/>
        </w:trPr>
        <w:tc>
          <w:tcPr>
            <w:tcW w:w="2835" w:type="dxa"/>
            <w:tcBorders>
              <w:top w:val="single" w:sz="4" w:space="0" w:color="auto"/>
              <w:left w:val="single" w:sz="4" w:space="0" w:color="auto"/>
              <w:bottom w:val="single" w:sz="4" w:space="0" w:color="auto"/>
              <w:right w:val="single" w:sz="4" w:space="0" w:color="auto"/>
            </w:tcBorders>
          </w:tcPr>
          <w:p w14:paraId="0E791A4D" w14:textId="77777777" w:rsidR="00D36BEC" w:rsidRPr="00F33674" w:rsidRDefault="00D36BEC" w:rsidP="00A74C03">
            <w:pPr>
              <w:rPr>
                <w:rFonts w:ascii="Arial Narrow" w:hAnsi="Arial Narrow" w:cs="Arial"/>
                <w:b/>
                <w:sz w:val="20"/>
                <w:szCs w:val="20"/>
              </w:rPr>
            </w:pPr>
            <w:r w:rsidRPr="00F33674">
              <w:rPr>
                <w:rFonts w:ascii="Arial Narrow" w:hAnsi="Arial Narrow" w:cs="Arial"/>
                <w:b/>
                <w:sz w:val="20"/>
                <w:szCs w:val="20"/>
              </w:rPr>
              <w:t>Administrative advice:</w:t>
            </w:r>
          </w:p>
        </w:tc>
        <w:tc>
          <w:tcPr>
            <w:tcW w:w="6379" w:type="dxa"/>
            <w:tcBorders>
              <w:top w:val="single" w:sz="4" w:space="0" w:color="auto"/>
              <w:left w:val="single" w:sz="4" w:space="0" w:color="auto"/>
              <w:bottom w:val="single" w:sz="4" w:space="0" w:color="auto"/>
              <w:right w:val="single" w:sz="4" w:space="0" w:color="auto"/>
            </w:tcBorders>
          </w:tcPr>
          <w:p w14:paraId="56F2B6FA" w14:textId="77777777" w:rsidR="00D36BEC" w:rsidRPr="00F33674" w:rsidRDefault="00D36BEC" w:rsidP="00A74C03">
            <w:pPr>
              <w:jc w:val="left"/>
              <w:rPr>
                <w:rFonts w:ascii="Arial Narrow" w:hAnsi="Arial Narrow" w:cs="Arial"/>
                <w:sz w:val="20"/>
                <w:szCs w:val="20"/>
              </w:rPr>
            </w:pPr>
            <w:r w:rsidRPr="00F33674">
              <w:rPr>
                <w:rFonts w:ascii="Arial Narrow" w:hAnsi="Arial Narrow" w:cs="Arial"/>
                <w:sz w:val="20"/>
                <w:szCs w:val="20"/>
              </w:rPr>
              <w:t>[new] Real time online applications for increased maximum quantities/repeats may be made using the Online PBS Authorities system (see www.servicesaustralia.gov.au/organisations/health-professionals/services/medicare/hpos/services/request-authority-using-online-pbs-authorities-hpos)</w:t>
            </w:r>
          </w:p>
          <w:p w14:paraId="38628374" w14:textId="77777777" w:rsidR="00D36BEC" w:rsidRPr="00F33674" w:rsidRDefault="00D36BEC" w:rsidP="00A74C03">
            <w:pPr>
              <w:jc w:val="left"/>
              <w:rPr>
                <w:rFonts w:ascii="Arial Narrow" w:hAnsi="Arial Narrow" w:cs="Arial"/>
                <w:sz w:val="20"/>
                <w:szCs w:val="20"/>
              </w:rPr>
            </w:pPr>
          </w:p>
          <w:p w14:paraId="3659C738" w14:textId="75FC2324" w:rsidR="00D36BEC" w:rsidRPr="00F33674" w:rsidRDefault="00D36BEC" w:rsidP="00A74C03">
            <w:pPr>
              <w:jc w:val="left"/>
              <w:rPr>
                <w:rFonts w:ascii="Arial Narrow" w:hAnsi="Arial Narrow" w:cs="Arial"/>
                <w:sz w:val="20"/>
                <w:szCs w:val="20"/>
              </w:rPr>
            </w:pPr>
            <w:r w:rsidRPr="00F33674">
              <w:rPr>
                <w:rFonts w:ascii="Arial Narrow" w:hAnsi="Arial Narrow" w:cs="Arial"/>
                <w:sz w:val="20"/>
                <w:szCs w:val="20"/>
              </w:rPr>
              <w:t xml:space="preserve">Phone applications for increased maximum quantities/repeats may </w:t>
            </w:r>
            <w:r w:rsidR="00C17A07">
              <w:rPr>
                <w:rFonts w:ascii="Arial Narrow" w:hAnsi="Arial Narrow" w:cs="Arial"/>
                <w:sz w:val="20"/>
                <w:szCs w:val="20"/>
              </w:rPr>
              <w:t>be made by calling 1800 888 333.</w:t>
            </w:r>
          </w:p>
          <w:p w14:paraId="2D3C6D29" w14:textId="77777777" w:rsidR="00D36BEC" w:rsidRPr="00F33674" w:rsidRDefault="00D36BEC" w:rsidP="00A74C03">
            <w:pPr>
              <w:jc w:val="left"/>
              <w:rPr>
                <w:rFonts w:ascii="Arial Narrow" w:hAnsi="Arial Narrow" w:cs="Arial"/>
                <w:sz w:val="20"/>
                <w:szCs w:val="20"/>
              </w:rPr>
            </w:pPr>
          </w:p>
          <w:p w14:paraId="0234921E" w14:textId="77777777" w:rsidR="00D36BEC" w:rsidRPr="00F33674" w:rsidRDefault="00D36BEC" w:rsidP="00A74C03">
            <w:pPr>
              <w:jc w:val="left"/>
              <w:rPr>
                <w:rFonts w:ascii="Arial Narrow" w:hAnsi="Arial Narrow" w:cs="Arial"/>
                <w:sz w:val="20"/>
                <w:szCs w:val="20"/>
              </w:rPr>
            </w:pPr>
            <w:r w:rsidRPr="00F33674">
              <w:rPr>
                <w:rFonts w:ascii="Arial Narrow" w:hAnsi="Arial Narrow" w:cs="Arial"/>
                <w:sz w:val="20"/>
                <w:szCs w:val="20"/>
              </w:rPr>
              <w:t>Written authority applications for increased maximum quantities/repeats can be uploaded online through HPOS form upload or mailed to:</w:t>
            </w:r>
          </w:p>
          <w:p w14:paraId="35D642AB" w14:textId="77777777" w:rsidR="00D36BEC" w:rsidRPr="00F33674" w:rsidRDefault="00D36BEC" w:rsidP="00A74C03">
            <w:pPr>
              <w:jc w:val="left"/>
              <w:rPr>
                <w:rFonts w:ascii="Arial Narrow" w:hAnsi="Arial Narrow" w:cs="Arial"/>
                <w:sz w:val="20"/>
                <w:szCs w:val="20"/>
              </w:rPr>
            </w:pPr>
            <w:r w:rsidRPr="00F33674">
              <w:rPr>
                <w:rFonts w:ascii="Arial Narrow" w:hAnsi="Arial Narrow" w:cs="Arial"/>
                <w:sz w:val="20"/>
                <w:szCs w:val="20"/>
              </w:rPr>
              <w:t>Pharmaceutical Benefits Scheme</w:t>
            </w:r>
          </w:p>
          <w:p w14:paraId="77C875AF" w14:textId="77777777" w:rsidR="00D36BEC" w:rsidRPr="00F33674" w:rsidRDefault="00D36BEC" w:rsidP="00A74C03">
            <w:pPr>
              <w:jc w:val="left"/>
              <w:rPr>
                <w:rFonts w:ascii="Arial Narrow" w:hAnsi="Arial Narrow" w:cs="Arial"/>
                <w:sz w:val="20"/>
                <w:szCs w:val="20"/>
              </w:rPr>
            </w:pPr>
            <w:r w:rsidRPr="00F33674">
              <w:rPr>
                <w:rFonts w:ascii="Arial Narrow" w:hAnsi="Arial Narrow" w:cs="Arial"/>
                <w:sz w:val="20"/>
                <w:szCs w:val="20"/>
              </w:rPr>
              <w:t>Reply Paid 9857</w:t>
            </w:r>
          </w:p>
          <w:p w14:paraId="6057AA11" w14:textId="77777777" w:rsidR="00D36BEC" w:rsidRPr="00F33674" w:rsidRDefault="00D36BEC" w:rsidP="00A74C03">
            <w:pPr>
              <w:jc w:val="left"/>
              <w:rPr>
                <w:rFonts w:ascii="Arial Narrow" w:hAnsi="Arial Narrow" w:cs="Arial"/>
                <w:sz w:val="20"/>
                <w:szCs w:val="20"/>
              </w:rPr>
            </w:pPr>
            <w:r w:rsidRPr="00F33674">
              <w:rPr>
                <w:rFonts w:ascii="Arial Narrow" w:hAnsi="Arial Narrow" w:cs="Arial"/>
                <w:sz w:val="20"/>
                <w:szCs w:val="20"/>
              </w:rPr>
              <w:t>[Your capital city]</w:t>
            </w:r>
          </w:p>
        </w:tc>
      </w:tr>
      <w:tr w:rsidR="00D36BEC" w:rsidRPr="00F33674" w14:paraId="325E40F4" w14:textId="77777777" w:rsidTr="00A74C03">
        <w:trPr>
          <w:cantSplit/>
          <w:trHeight w:val="360"/>
        </w:trPr>
        <w:tc>
          <w:tcPr>
            <w:tcW w:w="2835" w:type="dxa"/>
            <w:tcBorders>
              <w:top w:val="single" w:sz="4" w:space="0" w:color="auto"/>
              <w:left w:val="single" w:sz="4" w:space="0" w:color="auto"/>
              <w:bottom w:val="single" w:sz="4" w:space="0" w:color="auto"/>
              <w:right w:val="single" w:sz="4" w:space="0" w:color="auto"/>
            </w:tcBorders>
          </w:tcPr>
          <w:p w14:paraId="6DBDE080" w14:textId="77777777" w:rsidR="00D36BEC" w:rsidRPr="00F33674" w:rsidRDefault="00D36BEC" w:rsidP="00A74C03">
            <w:pPr>
              <w:rPr>
                <w:rFonts w:ascii="Arial Narrow" w:hAnsi="Arial Narrow" w:cs="Arial"/>
                <w:b/>
                <w:sz w:val="20"/>
                <w:szCs w:val="20"/>
              </w:rPr>
            </w:pPr>
            <w:r w:rsidRPr="00F33674">
              <w:rPr>
                <w:rFonts w:ascii="Arial Narrow" w:hAnsi="Arial Narrow" w:cs="Arial"/>
                <w:b/>
                <w:sz w:val="20"/>
                <w:szCs w:val="20"/>
              </w:rPr>
              <w:t>Cautions:</w:t>
            </w:r>
          </w:p>
        </w:tc>
        <w:tc>
          <w:tcPr>
            <w:tcW w:w="6379" w:type="dxa"/>
            <w:tcBorders>
              <w:top w:val="single" w:sz="4" w:space="0" w:color="auto"/>
              <w:left w:val="single" w:sz="4" w:space="0" w:color="auto"/>
              <w:bottom w:val="single" w:sz="4" w:space="0" w:color="auto"/>
              <w:right w:val="single" w:sz="4" w:space="0" w:color="auto"/>
            </w:tcBorders>
          </w:tcPr>
          <w:p w14:paraId="285A7C46" w14:textId="77777777" w:rsidR="00D36BEC" w:rsidRPr="00F33674" w:rsidRDefault="00D36BEC" w:rsidP="00A74C03">
            <w:pPr>
              <w:jc w:val="left"/>
              <w:rPr>
                <w:rFonts w:ascii="Arial Narrow" w:hAnsi="Arial Narrow" w:cs="Arial"/>
                <w:sz w:val="20"/>
                <w:szCs w:val="20"/>
              </w:rPr>
            </w:pPr>
            <w:r w:rsidRPr="00F33674">
              <w:rPr>
                <w:rFonts w:ascii="Arial Narrow" w:hAnsi="Arial Narrow" w:cs="Arial"/>
                <w:sz w:val="20"/>
                <w:szCs w:val="20"/>
              </w:rPr>
              <w:t>[6986] The risk of drug dependence is high.</w:t>
            </w:r>
          </w:p>
        </w:tc>
      </w:tr>
    </w:tbl>
    <w:p w14:paraId="5B4E8439" w14:textId="4B7F3D4D" w:rsidR="00F33674" w:rsidRPr="00F33674" w:rsidRDefault="00F33674" w:rsidP="00F33674">
      <w:pPr>
        <w:pStyle w:val="3-BodyText"/>
      </w:pPr>
      <w:r w:rsidRPr="00F33674">
        <w:t>Delete item: 8611F</w:t>
      </w:r>
    </w:p>
    <w:p w14:paraId="6E33740B" w14:textId="77777777" w:rsidR="00F33674" w:rsidRPr="00F33674" w:rsidRDefault="00F33674" w:rsidP="00F33674">
      <w:pPr>
        <w:pStyle w:val="3-BodyText"/>
      </w:pPr>
      <w:r w:rsidRPr="00F33674">
        <w:t>Delete item: 8785J</w:t>
      </w:r>
    </w:p>
    <w:p w14:paraId="3A6542CF" w14:textId="77777777" w:rsidR="00CB71CC" w:rsidRDefault="00CB71CC">
      <w:pPr>
        <w:jc w:val="left"/>
        <w:rPr>
          <w:rFonts w:asciiTheme="minorHAnsi" w:eastAsiaTheme="minorHAnsi" w:hAnsiTheme="minorHAnsi" w:cstheme="minorBidi"/>
          <w:szCs w:val="22"/>
        </w:rPr>
      </w:pPr>
      <w:r>
        <w:br w:type="page"/>
      </w:r>
    </w:p>
    <w:p w14:paraId="46F7B512" w14:textId="66DCA9A6" w:rsidR="00F33674" w:rsidRPr="00F33674" w:rsidRDefault="00F33674" w:rsidP="00F33674">
      <w:pPr>
        <w:pStyle w:val="3-BodyText"/>
      </w:pPr>
      <w:r w:rsidRPr="00F33674">
        <w:lastRenderedPageBreak/>
        <w:t>Amend item:</w:t>
      </w:r>
    </w:p>
    <w:p w14:paraId="27EA3CBF" w14:textId="77777777" w:rsidR="00F33674" w:rsidRPr="00F33674" w:rsidRDefault="00F33674" w:rsidP="00F33674">
      <w:pPr>
        <w:keepNext/>
        <w:keepLines/>
        <w:spacing w:before="40"/>
        <w:jc w:val="left"/>
        <w:outlineLvl w:val="2"/>
        <w:rPr>
          <w:rFonts w:asciiTheme="minorHAnsi" w:eastAsiaTheme="majorEastAsia" w:hAnsiTheme="minorHAnsi" w:cstheme="majorBidi"/>
          <w:b/>
          <w:color w:val="000000" w:themeColor="text1"/>
        </w:rPr>
      </w:pPr>
      <w:bookmarkStart w:id="14" w:name="_Toc32300580"/>
      <w:r w:rsidRPr="00F33674">
        <w:rPr>
          <w:rFonts w:asciiTheme="minorHAnsi" w:eastAsiaTheme="majorEastAsia" w:hAnsiTheme="minorHAnsi" w:cstheme="majorBidi"/>
          <w:b/>
          <w:color w:val="000000" w:themeColor="text1"/>
        </w:rPr>
        <w:t xml:space="preserve">Listing 2: Restriction for short-term pain TGA indication in </w:t>
      </w:r>
      <w:proofErr w:type="gramStart"/>
      <w:r w:rsidRPr="00F33674">
        <w:rPr>
          <w:rFonts w:asciiTheme="minorHAnsi" w:eastAsiaTheme="majorEastAsia" w:hAnsiTheme="minorHAnsi" w:cstheme="majorBidi"/>
          <w:b/>
          <w:color w:val="000000" w:themeColor="text1"/>
        </w:rPr>
        <w:t>1st</w:t>
      </w:r>
      <w:proofErr w:type="gramEnd"/>
      <w:r w:rsidRPr="00F33674">
        <w:rPr>
          <w:rFonts w:asciiTheme="minorHAnsi" w:eastAsiaTheme="majorEastAsia" w:hAnsiTheme="minorHAnsi" w:cstheme="majorBidi"/>
          <w:b/>
          <w:color w:val="000000" w:themeColor="text1"/>
        </w:rPr>
        <w:t xml:space="preserve"> line opioid setting (oxycodone suppositories):</w:t>
      </w:r>
      <w:bookmarkEnd w:id="14"/>
    </w:p>
    <w:p w14:paraId="6029309E" w14:textId="77777777" w:rsidR="00F33674" w:rsidRPr="00F33674" w:rsidRDefault="00F33674" w:rsidP="00F33674">
      <w:pPr>
        <w:jc w:val="left"/>
        <w:rPr>
          <w:sz w:val="22"/>
          <w:szCs w:val="22"/>
        </w:rPr>
      </w:pPr>
    </w:p>
    <w:tbl>
      <w:tblPr>
        <w:tblW w:w="9272" w:type="dxa"/>
        <w:tblLook w:val="04A0" w:firstRow="1" w:lastRow="0" w:firstColumn="1" w:lastColumn="0" w:noHBand="0" w:noVBand="1"/>
      </w:tblPr>
      <w:tblGrid>
        <w:gridCol w:w="1456"/>
        <w:gridCol w:w="700"/>
        <w:gridCol w:w="1776"/>
        <w:gridCol w:w="875"/>
        <w:gridCol w:w="554"/>
        <w:gridCol w:w="1794"/>
        <w:gridCol w:w="2126"/>
      </w:tblGrid>
      <w:tr w:rsidR="00F33674" w:rsidRPr="00F33674" w14:paraId="25C76380" w14:textId="77777777" w:rsidTr="00F33674">
        <w:trPr>
          <w:trHeight w:val="300"/>
        </w:trPr>
        <w:tc>
          <w:tcPr>
            <w:tcW w:w="1456" w:type="dxa"/>
            <w:tcBorders>
              <w:bottom w:val="single" w:sz="4" w:space="0" w:color="auto"/>
            </w:tcBorders>
            <w:shd w:val="clear" w:color="auto" w:fill="auto"/>
            <w:noWrap/>
          </w:tcPr>
          <w:p w14:paraId="273B174F"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Arial"/>
                <w:sz w:val="20"/>
                <w:szCs w:val="20"/>
              </w:rPr>
              <w:t>LI Drug</w:t>
            </w:r>
          </w:p>
        </w:tc>
        <w:tc>
          <w:tcPr>
            <w:tcW w:w="691" w:type="dxa"/>
            <w:tcBorders>
              <w:bottom w:val="single" w:sz="4" w:space="0" w:color="auto"/>
            </w:tcBorders>
          </w:tcPr>
          <w:p w14:paraId="20F9F97C"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Arial"/>
                <w:sz w:val="20"/>
                <w:szCs w:val="20"/>
              </w:rPr>
              <w:t>Item Code</w:t>
            </w:r>
          </w:p>
        </w:tc>
        <w:tc>
          <w:tcPr>
            <w:tcW w:w="1776" w:type="dxa"/>
            <w:tcBorders>
              <w:bottom w:val="single" w:sz="4" w:space="0" w:color="auto"/>
            </w:tcBorders>
            <w:shd w:val="clear" w:color="auto" w:fill="auto"/>
            <w:noWrap/>
          </w:tcPr>
          <w:p w14:paraId="30E4BDF9"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Arial"/>
                <w:sz w:val="20"/>
                <w:szCs w:val="20"/>
              </w:rPr>
              <w:t>Legal Instrument Form</w:t>
            </w:r>
          </w:p>
        </w:tc>
        <w:tc>
          <w:tcPr>
            <w:tcW w:w="875" w:type="dxa"/>
            <w:tcBorders>
              <w:bottom w:val="single" w:sz="4" w:space="0" w:color="auto"/>
            </w:tcBorders>
            <w:shd w:val="clear" w:color="auto" w:fill="auto"/>
            <w:noWrap/>
          </w:tcPr>
          <w:p w14:paraId="5258CE93"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Arial"/>
                <w:sz w:val="20"/>
                <w:szCs w:val="20"/>
              </w:rPr>
              <w:t>Max. Qty</w:t>
            </w:r>
          </w:p>
        </w:tc>
        <w:tc>
          <w:tcPr>
            <w:tcW w:w="554" w:type="dxa"/>
            <w:tcBorders>
              <w:bottom w:val="single" w:sz="4" w:space="0" w:color="auto"/>
            </w:tcBorders>
            <w:shd w:val="clear" w:color="auto" w:fill="auto"/>
            <w:noWrap/>
          </w:tcPr>
          <w:p w14:paraId="33F9C46E"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Arial"/>
                <w:sz w:val="20"/>
                <w:szCs w:val="20"/>
              </w:rPr>
              <w:t>No. Rpt</w:t>
            </w:r>
          </w:p>
        </w:tc>
        <w:tc>
          <w:tcPr>
            <w:tcW w:w="1794" w:type="dxa"/>
            <w:tcBorders>
              <w:bottom w:val="single" w:sz="4" w:space="0" w:color="auto"/>
            </w:tcBorders>
            <w:shd w:val="clear" w:color="auto" w:fill="auto"/>
            <w:noWrap/>
          </w:tcPr>
          <w:p w14:paraId="0FF18070"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Arial"/>
                <w:sz w:val="20"/>
                <w:szCs w:val="20"/>
              </w:rPr>
              <w:t>Brand Name</w:t>
            </w:r>
          </w:p>
        </w:tc>
        <w:tc>
          <w:tcPr>
            <w:tcW w:w="2126" w:type="dxa"/>
            <w:tcBorders>
              <w:bottom w:val="single" w:sz="4" w:space="0" w:color="auto"/>
            </w:tcBorders>
            <w:shd w:val="clear" w:color="auto" w:fill="auto"/>
            <w:noWrap/>
          </w:tcPr>
          <w:p w14:paraId="3ED8FF50"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Arial"/>
                <w:sz w:val="20"/>
                <w:szCs w:val="20"/>
              </w:rPr>
              <w:t>Responsible Person</w:t>
            </w:r>
          </w:p>
        </w:tc>
      </w:tr>
      <w:tr w:rsidR="00F33674" w:rsidRPr="00F33674" w14:paraId="7C954E54" w14:textId="77777777" w:rsidTr="00F33674">
        <w:trPr>
          <w:trHeight w:val="300"/>
        </w:trPr>
        <w:tc>
          <w:tcPr>
            <w:tcW w:w="1456" w:type="dxa"/>
            <w:tcBorders>
              <w:top w:val="single" w:sz="4" w:space="0" w:color="auto"/>
            </w:tcBorders>
            <w:shd w:val="clear" w:color="auto" w:fill="auto"/>
            <w:noWrap/>
          </w:tcPr>
          <w:p w14:paraId="6D40EB41" w14:textId="77777777" w:rsidR="00F33674" w:rsidRPr="00F33674" w:rsidRDefault="00F33674" w:rsidP="00F33674">
            <w:pPr>
              <w:jc w:val="left"/>
              <w:rPr>
                <w:rFonts w:ascii="Arial Narrow" w:hAnsi="Arial Narrow" w:cs="Arial"/>
                <w:sz w:val="20"/>
                <w:szCs w:val="20"/>
              </w:rPr>
            </w:pPr>
            <w:r w:rsidRPr="00F33674">
              <w:rPr>
                <w:rFonts w:ascii="Arial Narrow" w:hAnsi="Arial Narrow" w:cs="Arial"/>
                <w:sz w:val="20"/>
                <w:szCs w:val="20"/>
              </w:rPr>
              <w:t>OXYCODONE</w:t>
            </w:r>
          </w:p>
        </w:tc>
        <w:tc>
          <w:tcPr>
            <w:tcW w:w="691" w:type="dxa"/>
            <w:tcBorders>
              <w:top w:val="single" w:sz="4" w:space="0" w:color="auto"/>
            </w:tcBorders>
          </w:tcPr>
          <w:p w14:paraId="6E8E20EF" w14:textId="77777777" w:rsidR="00F33674" w:rsidRPr="00F33674" w:rsidRDefault="00F33674" w:rsidP="00F33674">
            <w:pPr>
              <w:jc w:val="left"/>
              <w:rPr>
                <w:rFonts w:ascii="Arial Narrow" w:hAnsi="Arial Narrow" w:cs="Arial"/>
                <w:sz w:val="20"/>
                <w:szCs w:val="20"/>
              </w:rPr>
            </w:pPr>
            <w:r w:rsidRPr="00F33674">
              <w:rPr>
                <w:rFonts w:ascii="Arial Narrow" w:hAnsi="Arial Narrow" w:cs="Arial"/>
                <w:sz w:val="20"/>
                <w:szCs w:val="20"/>
              </w:rPr>
              <w:t>2481N</w:t>
            </w:r>
          </w:p>
        </w:tc>
        <w:tc>
          <w:tcPr>
            <w:tcW w:w="1776" w:type="dxa"/>
            <w:tcBorders>
              <w:top w:val="single" w:sz="4" w:space="0" w:color="auto"/>
            </w:tcBorders>
            <w:shd w:val="clear" w:color="auto" w:fill="auto"/>
            <w:noWrap/>
          </w:tcPr>
          <w:p w14:paraId="5D9268A2" w14:textId="77777777" w:rsidR="00F33674" w:rsidRPr="00F33674" w:rsidRDefault="00F33674" w:rsidP="00F33674">
            <w:pPr>
              <w:jc w:val="left"/>
              <w:rPr>
                <w:rFonts w:ascii="Arial Narrow" w:hAnsi="Arial Narrow" w:cs="Arial"/>
                <w:sz w:val="20"/>
                <w:szCs w:val="20"/>
              </w:rPr>
            </w:pPr>
            <w:r w:rsidRPr="00F33674">
              <w:rPr>
                <w:rFonts w:ascii="Arial Narrow" w:hAnsi="Arial Narrow" w:cs="Arial"/>
                <w:sz w:val="20"/>
                <w:szCs w:val="20"/>
              </w:rPr>
              <w:t>Suppository 30 mg (as pectinate)</w:t>
            </w:r>
          </w:p>
        </w:tc>
        <w:tc>
          <w:tcPr>
            <w:tcW w:w="875" w:type="dxa"/>
            <w:tcBorders>
              <w:top w:val="single" w:sz="4" w:space="0" w:color="auto"/>
            </w:tcBorders>
            <w:shd w:val="clear" w:color="auto" w:fill="auto"/>
            <w:noWrap/>
          </w:tcPr>
          <w:p w14:paraId="54C4F9C6" w14:textId="77777777" w:rsidR="00F33674" w:rsidRPr="00F33674" w:rsidRDefault="00F33674" w:rsidP="00F33674">
            <w:pPr>
              <w:jc w:val="left"/>
              <w:rPr>
                <w:rFonts w:ascii="Arial Narrow" w:hAnsi="Arial Narrow" w:cs="Arial"/>
                <w:sz w:val="20"/>
                <w:szCs w:val="20"/>
              </w:rPr>
            </w:pPr>
            <w:r w:rsidRPr="00F33674">
              <w:rPr>
                <w:rFonts w:ascii="Arial Narrow" w:hAnsi="Arial Narrow" w:cs="Arial"/>
                <w:sz w:val="20"/>
                <w:szCs w:val="20"/>
              </w:rPr>
              <w:t>12</w:t>
            </w:r>
          </w:p>
        </w:tc>
        <w:tc>
          <w:tcPr>
            <w:tcW w:w="554" w:type="dxa"/>
            <w:tcBorders>
              <w:top w:val="single" w:sz="4" w:space="0" w:color="auto"/>
            </w:tcBorders>
            <w:shd w:val="clear" w:color="auto" w:fill="auto"/>
            <w:noWrap/>
          </w:tcPr>
          <w:p w14:paraId="23AF027D" w14:textId="77777777" w:rsidR="00F33674" w:rsidRPr="00F33674" w:rsidRDefault="00F33674" w:rsidP="00F33674">
            <w:pPr>
              <w:jc w:val="left"/>
              <w:rPr>
                <w:rFonts w:ascii="Arial Narrow" w:hAnsi="Arial Narrow" w:cs="Arial"/>
                <w:sz w:val="20"/>
                <w:szCs w:val="20"/>
              </w:rPr>
            </w:pPr>
            <w:r w:rsidRPr="00F33674">
              <w:rPr>
                <w:rFonts w:ascii="Arial Narrow" w:hAnsi="Arial Narrow" w:cs="Arial"/>
                <w:sz w:val="20"/>
                <w:szCs w:val="20"/>
              </w:rPr>
              <w:t>0</w:t>
            </w:r>
          </w:p>
        </w:tc>
        <w:tc>
          <w:tcPr>
            <w:tcW w:w="1794" w:type="dxa"/>
            <w:tcBorders>
              <w:top w:val="single" w:sz="4" w:space="0" w:color="auto"/>
            </w:tcBorders>
            <w:shd w:val="clear" w:color="auto" w:fill="auto"/>
            <w:noWrap/>
          </w:tcPr>
          <w:p w14:paraId="0BFF3BEC" w14:textId="77777777" w:rsidR="00F33674" w:rsidRPr="00F33674" w:rsidRDefault="00F33674" w:rsidP="00F33674">
            <w:pPr>
              <w:jc w:val="left"/>
              <w:rPr>
                <w:rFonts w:ascii="Arial Narrow" w:hAnsi="Arial Narrow" w:cs="Arial"/>
                <w:sz w:val="20"/>
                <w:szCs w:val="20"/>
              </w:rPr>
            </w:pPr>
            <w:r w:rsidRPr="00F33674">
              <w:rPr>
                <w:rFonts w:ascii="Arial Narrow" w:hAnsi="Arial Narrow" w:cs="Arial"/>
                <w:sz w:val="20"/>
                <w:szCs w:val="20"/>
              </w:rPr>
              <w:t>Proladone</w:t>
            </w:r>
          </w:p>
        </w:tc>
        <w:tc>
          <w:tcPr>
            <w:tcW w:w="2126" w:type="dxa"/>
            <w:tcBorders>
              <w:top w:val="single" w:sz="4" w:space="0" w:color="auto"/>
            </w:tcBorders>
            <w:shd w:val="clear" w:color="auto" w:fill="auto"/>
            <w:noWrap/>
          </w:tcPr>
          <w:p w14:paraId="59AA7D49" w14:textId="77777777" w:rsidR="00F33674" w:rsidRPr="00F33674" w:rsidRDefault="00F33674" w:rsidP="00F33674">
            <w:pPr>
              <w:jc w:val="left"/>
              <w:rPr>
                <w:rFonts w:ascii="Arial Narrow" w:hAnsi="Arial Narrow" w:cs="Arial"/>
                <w:sz w:val="20"/>
                <w:szCs w:val="20"/>
              </w:rPr>
            </w:pPr>
            <w:r w:rsidRPr="00F33674">
              <w:rPr>
                <w:rFonts w:ascii="Arial Narrow" w:hAnsi="Arial Narrow" w:cs="Arial"/>
                <w:sz w:val="20"/>
                <w:szCs w:val="20"/>
              </w:rPr>
              <w:t>Phebra Pty Ltd</w:t>
            </w:r>
          </w:p>
        </w:tc>
      </w:tr>
    </w:tbl>
    <w:p w14:paraId="06EAF38A" w14:textId="77777777" w:rsidR="00F33674" w:rsidRPr="00F33674" w:rsidRDefault="00F33674" w:rsidP="00F33674">
      <w:pPr>
        <w:jc w:val="left"/>
        <w:rPr>
          <w:sz w:val="22"/>
          <w:szCs w:val="22"/>
        </w:rPr>
      </w:pPr>
    </w:p>
    <w:tbl>
      <w:tblPr>
        <w:tblW w:w="9026"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781"/>
        <w:gridCol w:w="6245"/>
      </w:tblGrid>
      <w:tr w:rsidR="00F33674" w:rsidRPr="00F33674" w14:paraId="4608F194" w14:textId="77777777" w:rsidTr="00F33674">
        <w:trPr>
          <w:cantSplit/>
          <w:trHeight w:val="360"/>
        </w:trPr>
        <w:tc>
          <w:tcPr>
            <w:tcW w:w="2781" w:type="dxa"/>
            <w:tcMar>
              <w:top w:w="0" w:type="dxa"/>
              <w:left w:w="108" w:type="dxa"/>
              <w:bottom w:w="0" w:type="dxa"/>
              <w:right w:w="108" w:type="dxa"/>
            </w:tcMar>
            <w:hideMark/>
          </w:tcPr>
          <w:p w14:paraId="7E8DB4E5" w14:textId="77777777" w:rsidR="00F33674" w:rsidRPr="00F33674" w:rsidRDefault="00F33674" w:rsidP="00F33674">
            <w:pPr>
              <w:rPr>
                <w:rFonts w:ascii="Arial Narrow" w:hAnsi="Arial Narrow"/>
                <w:b/>
                <w:bCs/>
                <w:sz w:val="20"/>
                <w:szCs w:val="20"/>
              </w:rPr>
            </w:pPr>
            <w:r w:rsidRPr="00F33674">
              <w:rPr>
                <w:rFonts w:ascii="Arial Narrow" w:hAnsi="Arial Narrow" w:cs="Arial"/>
                <w:b/>
                <w:sz w:val="20"/>
                <w:szCs w:val="20"/>
              </w:rPr>
              <w:t>Category / Program:</w:t>
            </w:r>
          </w:p>
        </w:tc>
        <w:tc>
          <w:tcPr>
            <w:tcW w:w="6245" w:type="dxa"/>
            <w:tcMar>
              <w:top w:w="0" w:type="dxa"/>
              <w:left w:w="108" w:type="dxa"/>
              <w:bottom w:w="0" w:type="dxa"/>
              <w:right w:w="108" w:type="dxa"/>
            </w:tcMar>
            <w:hideMark/>
          </w:tcPr>
          <w:p w14:paraId="1D61A523" w14:textId="77777777" w:rsidR="00F33674" w:rsidRPr="00F33674" w:rsidRDefault="00F33674" w:rsidP="00F33674">
            <w:pPr>
              <w:rPr>
                <w:rFonts w:ascii="Arial Narrow" w:hAnsi="Arial Narrow"/>
                <w:sz w:val="20"/>
                <w:szCs w:val="20"/>
              </w:rPr>
            </w:pPr>
            <w:r w:rsidRPr="00F33674">
              <w:rPr>
                <w:rFonts w:ascii="Arial Narrow" w:hAnsi="Arial Narrow" w:cs="Arial"/>
                <w:sz w:val="20"/>
                <w:szCs w:val="20"/>
              </w:rPr>
              <w:t>GENERAL – General Schedule (Code GE)</w:t>
            </w:r>
          </w:p>
        </w:tc>
      </w:tr>
      <w:tr w:rsidR="00F33674" w:rsidRPr="00F33674" w14:paraId="636E7367" w14:textId="77777777" w:rsidTr="00F33674">
        <w:trPr>
          <w:cantSplit/>
          <w:trHeight w:val="360"/>
        </w:trPr>
        <w:tc>
          <w:tcPr>
            <w:tcW w:w="2781" w:type="dxa"/>
            <w:tcMar>
              <w:top w:w="0" w:type="dxa"/>
              <w:left w:w="108" w:type="dxa"/>
              <w:bottom w:w="0" w:type="dxa"/>
              <w:right w:w="108" w:type="dxa"/>
            </w:tcMar>
          </w:tcPr>
          <w:p w14:paraId="602887A4" w14:textId="77777777" w:rsidR="00F33674" w:rsidRPr="00F33674" w:rsidRDefault="00F33674" w:rsidP="00F33674">
            <w:pPr>
              <w:rPr>
                <w:rFonts w:ascii="Arial Narrow" w:hAnsi="Arial Narrow" w:cs="Arial"/>
                <w:b/>
                <w:sz w:val="20"/>
                <w:szCs w:val="20"/>
              </w:rPr>
            </w:pPr>
            <w:r w:rsidRPr="00F33674">
              <w:rPr>
                <w:rFonts w:ascii="Arial Narrow" w:hAnsi="Arial Narrow" w:cs="Arial"/>
                <w:b/>
                <w:sz w:val="20"/>
                <w:szCs w:val="20"/>
              </w:rPr>
              <w:t>Prescriber type:</w:t>
            </w:r>
          </w:p>
          <w:p w14:paraId="0DE8865B" w14:textId="77777777" w:rsidR="00F33674" w:rsidRPr="00F33674" w:rsidRDefault="00F33674" w:rsidP="00F33674">
            <w:pPr>
              <w:rPr>
                <w:rFonts w:ascii="Arial Narrow" w:hAnsi="Arial Narrow"/>
                <w:b/>
                <w:bCs/>
                <w:sz w:val="20"/>
                <w:szCs w:val="20"/>
              </w:rPr>
            </w:pPr>
          </w:p>
        </w:tc>
        <w:tc>
          <w:tcPr>
            <w:tcW w:w="6245" w:type="dxa"/>
            <w:tcMar>
              <w:top w:w="0" w:type="dxa"/>
              <w:left w:w="108" w:type="dxa"/>
              <w:bottom w:w="0" w:type="dxa"/>
              <w:right w:w="108" w:type="dxa"/>
            </w:tcMar>
            <w:hideMark/>
          </w:tcPr>
          <w:p w14:paraId="2C771A7D" w14:textId="1533FA1E" w:rsidR="00F33674" w:rsidRPr="00F33674" w:rsidRDefault="00F33674" w:rsidP="00F33674">
            <w:pPr>
              <w:rPr>
                <w:rFonts w:ascii="Arial Narrow" w:hAnsi="Arial Narrow" w:cs="Arial"/>
                <w:sz w:val="20"/>
                <w:szCs w:val="20"/>
              </w:rPr>
            </w:pPr>
            <w:r w:rsidRPr="00F33674">
              <w:rPr>
                <w:rFonts w:ascii="Arial Narrow" w:hAnsi="Arial Narrow" w:cs="Arial"/>
                <w:sz w:val="20"/>
                <w:szCs w:val="20"/>
              </w:rPr>
              <w:fldChar w:fldCharType="begin">
                <w:ffData>
                  <w:name w:val="Check1"/>
                  <w:enabled/>
                  <w:calcOnExit w:val="0"/>
                  <w:checkBox>
                    <w:sizeAuto/>
                    <w:default w:val="0"/>
                  </w:checkBox>
                </w:ffData>
              </w:fldChar>
            </w:r>
            <w:r w:rsidRPr="00F33674">
              <w:rPr>
                <w:rFonts w:ascii="Arial Narrow" w:hAnsi="Arial Narrow" w:cs="Arial"/>
                <w:sz w:val="20"/>
                <w:szCs w:val="20"/>
              </w:rPr>
              <w:instrText xml:space="preserve"> FORMCHECKBOX </w:instrText>
            </w:r>
            <w:r w:rsidR="00233D13">
              <w:rPr>
                <w:rFonts w:ascii="Arial Narrow" w:hAnsi="Arial Narrow" w:cs="Arial"/>
                <w:sz w:val="20"/>
                <w:szCs w:val="20"/>
              </w:rPr>
            </w:r>
            <w:r w:rsidR="00233D13">
              <w:rPr>
                <w:rFonts w:ascii="Arial Narrow" w:hAnsi="Arial Narrow" w:cs="Arial"/>
                <w:sz w:val="20"/>
                <w:szCs w:val="20"/>
              </w:rPr>
              <w:fldChar w:fldCharType="separate"/>
            </w:r>
            <w:r w:rsidRPr="00F33674">
              <w:rPr>
                <w:rFonts w:ascii="Arial Narrow" w:hAnsi="Arial Narrow" w:cs="Arial"/>
                <w:sz w:val="20"/>
                <w:szCs w:val="20"/>
              </w:rPr>
              <w:fldChar w:fldCharType="end"/>
            </w:r>
            <w:r w:rsidRPr="00F33674">
              <w:rPr>
                <w:rFonts w:ascii="Arial Narrow" w:hAnsi="Arial Narrow" w:cs="Arial"/>
                <w:sz w:val="20"/>
                <w:szCs w:val="20"/>
              </w:rPr>
              <w:t>Dental</w:t>
            </w:r>
            <w:r w:rsidR="002C1329">
              <w:rPr>
                <w:rFonts w:ascii="Arial Narrow" w:hAnsi="Arial Narrow" w:cs="Arial"/>
                <w:sz w:val="20"/>
                <w:szCs w:val="20"/>
              </w:rPr>
              <w:t xml:space="preserve"> </w:t>
            </w:r>
            <w:r w:rsidRPr="00F33674">
              <w:rPr>
                <w:rFonts w:ascii="Arial Narrow" w:hAnsi="Arial Narrow" w:cs="Arial"/>
                <w:sz w:val="20"/>
                <w:szCs w:val="20"/>
              </w:rPr>
              <w:fldChar w:fldCharType="begin">
                <w:ffData>
                  <w:name w:val=""/>
                  <w:enabled/>
                  <w:calcOnExit w:val="0"/>
                  <w:checkBox>
                    <w:sizeAuto/>
                    <w:default w:val="1"/>
                  </w:checkBox>
                </w:ffData>
              </w:fldChar>
            </w:r>
            <w:r w:rsidRPr="00F33674">
              <w:rPr>
                <w:rFonts w:ascii="Arial Narrow" w:hAnsi="Arial Narrow" w:cs="Arial"/>
                <w:sz w:val="20"/>
                <w:szCs w:val="20"/>
              </w:rPr>
              <w:instrText xml:space="preserve"> FORMCHECKBOX </w:instrText>
            </w:r>
            <w:r w:rsidR="00233D13">
              <w:rPr>
                <w:rFonts w:ascii="Arial Narrow" w:hAnsi="Arial Narrow" w:cs="Arial"/>
                <w:sz w:val="20"/>
                <w:szCs w:val="20"/>
              </w:rPr>
            </w:r>
            <w:r w:rsidR="00233D13">
              <w:rPr>
                <w:rFonts w:ascii="Arial Narrow" w:hAnsi="Arial Narrow" w:cs="Arial"/>
                <w:sz w:val="20"/>
                <w:szCs w:val="20"/>
              </w:rPr>
              <w:fldChar w:fldCharType="separate"/>
            </w:r>
            <w:r w:rsidRPr="00F33674">
              <w:rPr>
                <w:rFonts w:ascii="Arial Narrow" w:hAnsi="Arial Narrow" w:cs="Arial"/>
                <w:sz w:val="20"/>
                <w:szCs w:val="20"/>
              </w:rPr>
              <w:fldChar w:fldCharType="end"/>
            </w:r>
            <w:r w:rsidRPr="00F33674">
              <w:rPr>
                <w:rFonts w:ascii="Arial Narrow" w:hAnsi="Arial Narrow" w:cs="Arial"/>
                <w:sz w:val="20"/>
                <w:szCs w:val="20"/>
              </w:rPr>
              <w:t>Medical Practitioners</w:t>
            </w:r>
            <w:r w:rsidR="002C1329">
              <w:rPr>
                <w:rFonts w:ascii="Arial Narrow" w:hAnsi="Arial Narrow" w:cs="Arial"/>
                <w:sz w:val="20"/>
                <w:szCs w:val="20"/>
              </w:rPr>
              <w:t xml:space="preserve"> </w:t>
            </w:r>
            <w:r w:rsidRPr="00F33674">
              <w:rPr>
                <w:rFonts w:ascii="Arial Narrow" w:hAnsi="Arial Narrow" w:cs="Arial"/>
                <w:sz w:val="20"/>
                <w:szCs w:val="20"/>
              </w:rPr>
              <w:fldChar w:fldCharType="begin">
                <w:ffData>
                  <w:name w:val="Check3"/>
                  <w:enabled/>
                  <w:calcOnExit w:val="0"/>
                  <w:checkBox>
                    <w:sizeAuto/>
                    <w:default w:val="1"/>
                  </w:checkBox>
                </w:ffData>
              </w:fldChar>
            </w:r>
            <w:r w:rsidRPr="00F33674">
              <w:rPr>
                <w:rFonts w:ascii="Arial Narrow" w:hAnsi="Arial Narrow" w:cs="Arial"/>
                <w:sz w:val="20"/>
                <w:szCs w:val="20"/>
              </w:rPr>
              <w:instrText xml:space="preserve"> FORMCHECKBOX </w:instrText>
            </w:r>
            <w:r w:rsidR="00233D13">
              <w:rPr>
                <w:rFonts w:ascii="Arial Narrow" w:hAnsi="Arial Narrow" w:cs="Arial"/>
                <w:sz w:val="20"/>
                <w:szCs w:val="20"/>
              </w:rPr>
            </w:r>
            <w:r w:rsidR="00233D13">
              <w:rPr>
                <w:rFonts w:ascii="Arial Narrow" w:hAnsi="Arial Narrow" w:cs="Arial"/>
                <w:sz w:val="20"/>
                <w:szCs w:val="20"/>
              </w:rPr>
              <w:fldChar w:fldCharType="separate"/>
            </w:r>
            <w:r w:rsidRPr="00F33674">
              <w:rPr>
                <w:rFonts w:ascii="Arial Narrow" w:hAnsi="Arial Narrow" w:cs="Arial"/>
                <w:sz w:val="20"/>
                <w:szCs w:val="20"/>
              </w:rPr>
              <w:fldChar w:fldCharType="end"/>
            </w:r>
            <w:r w:rsidRPr="00F33674">
              <w:rPr>
                <w:rFonts w:ascii="Arial Narrow" w:hAnsi="Arial Narrow" w:cs="Arial"/>
                <w:sz w:val="20"/>
                <w:szCs w:val="20"/>
              </w:rPr>
              <w:t>Nurse practitioners</w:t>
            </w:r>
            <w:r w:rsidR="002C1329">
              <w:rPr>
                <w:rFonts w:ascii="Arial Narrow" w:hAnsi="Arial Narrow" w:cs="Arial"/>
                <w:sz w:val="20"/>
                <w:szCs w:val="20"/>
              </w:rPr>
              <w:t xml:space="preserve"> </w:t>
            </w:r>
            <w:r w:rsidRPr="00F33674">
              <w:rPr>
                <w:rFonts w:ascii="Arial Narrow" w:hAnsi="Arial Narrow" w:cs="Arial"/>
                <w:sz w:val="20"/>
                <w:szCs w:val="20"/>
              </w:rPr>
              <w:fldChar w:fldCharType="begin">
                <w:ffData>
                  <w:name w:val=""/>
                  <w:enabled/>
                  <w:calcOnExit w:val="0"/>
                  <w:checkBox>
                    <w:sizeAuto/>
                    <w:default w:val="0"/>
                  </w:checkBox>
                </w:ffData>
              </w:fldChar>
            </w:r>
            <w:r w:rsidRPr="00F33674">
              <w:rPr>
                <w:rFonts w:ascii="Arial Narrow" w:hAnsi="Arial Narrow" w:cs="Arial"/>
                <w:sz w:val="20"/>
                <w:szCs w:val="20"/>
              </w:rPr>
              <w:instrText xml:space="preserve"> FORMCHECKBOX </w:instrText>
            </w:r>
            <w:r w:rsidR="00233D13">
              <w:rPr>
                <w:rFonts w:ascii="Arial Narrow" w:hAnsi="Arial Narrow" w:cs="Arial"/>
                <w:sz w:val="20"/>
                <w:szCs w:val="20"/>
              </w:rPr>
            </w:r>
            <w:r w:rsidR="00233D13">
              <w:rPr>
                <w:rFonts w:ascii="Arial Narrow" w:hAnsi="Arial Narrow" w:cs="Arial"/>
                <w:sz w:val="20"/>
                <w:szCs w:val="20"/>
              </w:rPr>
              <w:fldChar w:fldCharType="separate"/>
            </w:r>
            <w:r w:rsidRPr="00F33674">
              <w:rPr>
                <w:rFonts w:ascii="Arial Narrow" w:hAnsi="Arial Narrow" w:cs="Arial"/>
                <w:sz w:val="20"/>
                <w:szCs w:val="20"/>
              </w:rPr>
              <w:fldChar w:fldCharType="end"/>
            </w:r>
            <w:r w:rsidRPr="00F33674">
              <w:rPr>
                <w:rFonts w:ascii="Arial Narrow" w:hAnsi="Arial Narrow" w:cs="Arial"/>
                <w:sz w:val="20"/>
                <w:szCs w:val="20"/>
              </w:rPr>
              <w:t>Optometrists</w:t>
            </w:r>
          </w:p>
          <w:p w14:paraId="7040078C" w14:textId="77777777" w:rsidR="00F33674" w:rsidRPr="00F33674" w:rsidRDefault="00F33674" w:rsidP="00F33674">
            <w:pPr>
              <w:rPr>
                <w:rFonts w:ascii="Arial Narrow" w:hAnsi="Arial Narrow"/>
                <w:sz w:val="20"/>
                <w:szCs w:val="20"/>
              </w:rPr>
            </w:pPr>
            <w:r w:rsidRPr="00F33674">
              <w:rPr>
                <w:rFonts w:ascii="Arial Narrow" w:hAnsi="Arial Narrow" w:cs="Arial"/>
                <w:sz w:val="20"/>
                <w:szCs w:val="20"/>
              </w:rPr>
              <w:fldChar w:fldCharType="begin">
                <w:ffData>
                  <w:name w:val="Check5"/>
                  <w:enabled/>
                  <w:calcOnExit w:val="0"/>
                  <w:checkBox>
                    <w:sizeAuto/>
                    <w:default w:val="0"/>
                  </w:checkBox>
                </w:ffData>
              </w:fldChar>
            </w:r>
            <w:r w:rsidRPr="00F33674">
              <w:rPr>
                <w:rFonts w:ascii="Arial Narrow" w:hAnsi="Arial Narrow" w:cs="Arial"/>
                <w:sz w:val="20"/>
                <w:szCs w:val="20"/>
              </w:rPr>
              <w:instrText xml:space="preserve"> FORMCHECKBOX </w:instrText>
            </w:r>
            <w:r w:rsidR="00233D13">
              <w:rPr>
                <w:rFonts w:ascii="Arial Narrow" w:hAnsi="Arial Narrow" w:cs="Arial"/>
                <w:sz w:val="20"/>
                <w:szCs w:val="20"/>
              </w:rPr>
            </w:r>
            <w:r w:rsidR="00233D13">
              <w:rPr>
                <w:rFonts w:ascii="Arial Narrow" w:hAnsi="Arial Narrow" w:cs="Arial"/>
                <w:sz w:val="20"/>
                <w:szCs w:val="20"/>
              </w:rPr>
              <w:fldChar w:fldCharType="separate"/>
            </w:r>
            <w:r w:rsidRPr="00F33674">
              <w:rPr>
                <w:rFonts w:ascii="Arial Narrow" w:hAnsi="Arial Narrow" w:cs="Arial"/>
                <w:sz w:val="20"/>
                <w:szCs w:val="20"/>
              </w:rPr>
              <w:fldChar w:fldCharType="end"/>
            </w:r>
            <w:r w:rsidRPr="00F33674">
              <w:rPr>
                <w:rFonts w:ascii="Arial Narrow" w:hAnsi="Arial Narrow" w:cs="Arial"/>
                <w:sz w:val="20"/>
                <w:szCs w:val="20"/>
              </w:rPr>
              <w:t>Midwives</w:t>
            </w:r>
          </w:p>
        </w:tc>
      </w:tr>
      <w:tr w:rsidR="00F33674" w:rsidRPr="00F33674" w14:paraId="06952B35" w14:textId="77777777" w:rsidTr="00F33674">
        <w:trPr>
          <w:cantSplit/>
          <w:trHeight w:val="369"/>
        </w:trPr>
        <w:tc>
          <w:tcPr>
            <w:tcW w:w="2781" w:type="dxa"/>
            <w:tcMar>
              <w:top w:w="0" w:type="dxa"/>
              <w:left w:w="108" w:type="dxa"/>
              <w:bottom w:w="0" w:type="dxa"/>
              <w:right w:w="108" w:type="dxa"/>
            </w:tcMar>
            <w:hideMark/>
          </w:tcPr>
          <w:p w14:paraId="1F4E25D7" w14:textId="77777777" w:rsidR="00F33674" w:rsidRPr="00F33674" w:rsidRDefault="00F33674" w:rsidP="00F33674">
            <w:pPr>
              <w:rPr>
                <w:rFonts w:ascii="Arial Narrow" w:hAnsi="Arial Narrow"/>
                <w:b/>
                <w:bCs/>
                <w:sz w:val="20"/>
                <w:szCs w:val="20"/>
              </w:rPr>
            </w:pPr>
            <w:r w:rsidRPr="00F33674">
              <w:rPr>
                <w:rFonts w:ascii="Arial Narrow" w:hAnsi="Arial Narrow" w:cs="Arial"/>
                <w:b/>
                <w:sz w:val="20"/>
                <w:szCs w:val="20"/>
              </w:rPr>
              <w:t>PBS indication:</w:t>
            </w:r>
          </w:p>
        </w:tc>
        <w:tc>
          <w:tcPr>
            <w:tcW w:w="6245" w:type="dxa"/>
            <w:tcMar>
              <w:top w:w="0" w:type="dxa"/>
              <w:left w:w="108" w:type="dxa"/>
              <w:bottom w:w="0" w:type="dxa"/>
              <w:right w:w="108" w:type="dxa"/>
            </w:tcMar>
            <w:hideMark/>
          </w:tcPr>
          <w:p w14:paraId="140E6068" w14:textId="77777777" w:rsidR="00F33674" w:rsidRPr="00F33674" w:rsidRDefault="00F33674" w:rsidP="00F33674">
            <w:pPr>
              <w:rPr>
                <w:rFonts w:ascii="Arial Narrow" w:hAnsi="Arial Narrow"/>
                <w:sz w:val="20"/>
                <w:szCs w:val="20"/>
              </w:rPr>
            </w:pPr>
            <w:r w:rsidRPr="00F33674">
              <w:rPr>
                <w:rFonts w:ascii="Arial Narrow" w:hAnsi="Arial Narrow" w:cs="Arial"/>
                <w:sz w:val="20"/>
                <w:szCs w:val="20"/>
              </w:rPr>
              <w:t>[7861] Severe pain</w:t>
            </w:r>
          </w:p>
        </w:tc>
      </w:tr>
      <w:tr w:rsidR="00F33674" w:rsidRPr="00F33674" w14:paraId="16C829FA" w14:textId="77777777" w:rsidTr="00F33674">
        <w:trPr>
          <w:cantSplit/>
          <w:trHeight w:val="360"/>
        </w:trPr>
        <w:tc>
          <w:tcPr>
            <w:tcW w:w="2781" w:type="dxa"/>
            <w:tcMar>
              <w:top w:w="0" w:type="dxa"/>
              <w:left w:w="108" w:type="dxa"/>
              <w:bottom w:w="0" w:type="dxa"/>
              <w:right w:w="108" w:type="dxa"/>
            </w:tcMar>
          </w:tcPr>
          <w:p w14:paraId="23A7574A" w14:textId="77777777" w:rsidR="00F33674" w:rsidRPr="00F33674" w:rsidRDefault="00F33674" w:rsidP="00F33674">
            <w:pPr>
              <w:rPr>
                <w:rFonts w:ascii="Arial Narrow" w:hAnsi="Arial Narrow" w:cs="Arial"/>
                <w:b/>
                <w:sz w:val="20"/>
                <w:szCs w:val="20"/>
              </w:rPr>
            </w:pPr>
            <w:r w:rsidRPr="00F33674">
              <w:rPr>
                <w:rFonts w:ascii="Arial Narrow" w:hAnsi="Arial Narrow" w:cs="Arial"/>
                <w:b/>
                <w:sz w:val="20"/>
                <w:szCs w:val="20"/>
              </w:rPr>
              <w:t>Restriction Level / Method:</w:t>
            </w:r>
          </w:p>
          <w:p w14:paraId="65CC6CD9" w14:textId="77777777" w:rsidR="00F33674" w:rsidRPr="00F33674" w:rsidRDefault="00F33674" w:rsidP="00F33674">
            <w:pPr>
              <w:rPr>
                <w:rFonts w:ascii="Arial Narrow" w:hAnsi="Arial Narrow" w:cs="Arial"/>
                <w:i/>
                <w:sz w:val="20"/>
                <w:szCs w:val="20"/>
              </w:rPr>
            </w:pPr>
          </w:p>
          <w:p w14:paraId="6E78BF29" w14:textId="77777777" w:rsidR="00F33674" w:rsidRPr="00F33674" w:rsidRDefault="00F33674" w:rsidP="00F33674">
            <w:pPr>
              <w:rPr>
                <w:rFonts w:ascii="Arial Narrow" w:hAnsi="Arial Narrow" w:cs="Arial"/>
                <w:i/>
                <w:sz w:val="20"/>
                <w:szCs w:val="20"/>
              </w:rPr>
            </w:pPr>
          </w:p>
          <w:p w14:paraId="294A6B2D" w14:textId="77777777" w:rsidR="00F33674" w:rsidRPr="00F33674" w:rsidRDefault="00F33674" w:rsidP="00F33674">
            <w:pPr>
              <w:rPr>
                <w:rFonts w:ascii="Arial Narrow" w:hAnsi="Arial Narrow"/>
                <w:i/>
                <w:iCs/>
                <w:sz w:val="20"/>
                <w:szCs w:val="20"/>
              </w:rPr>
            </w:pPr>
          </w:p>
        </w:tc>
        <w:tc>
          <w:tcPr>
            <w:tcW w:w="6245" w:type="dxa"/>
            <w:tcMar>
              <w:top w:w="0" w:type="dxa"/>
              <w:left w:w="108" w:type="dxa"/>
              <w:bottom w:w="0" w:type="dxa"/>
              <w:right w:w="108" w:type="dxa"/>
            </w:tcMar>
            <w:hideMark/>
          </w:tcPr>
          <w:p w14:paraId="26FE6AC0" w14:textId="77777777" w:rsidR="00F33674" w:rsidRPr="00F33674" w:rsidRDefault="00F33674" w:rsidP="00F33674">
            <w:pPr>
              <w:rPr>
                <w:rFonts w:ascii="Arial Narrow" w:hAnsi="Arial Narrow" w:cs="Arial"/>
                <w:sz w:val="20"/>
                <w:szCs w:val="20"/>
              </w:rPr>
            </w:pPr>
            <w:r w:rsidRPr="00F33674">
              <w:rPr>
                <w:rFonts w:ascii="Arial Narrow" w:hAnsi="Arial Narrow" w:cs="Arial"/>
                <w:sz w:val="20"/>
                <w:szCs w:val="20"/>
              </w:rPr>
              <w:fldChar w:fldCharType="begin">
                <w:ffData>
                  <w:name w:val=""/>
                  <w:enabled/>
                  <w:calcOnExit w:val="0"/>
                  <w:checkBox>
                    <w:sizeAuto/>
                    <w:default w:val="0"/>
                  </w:checkBox>
                </w:ffData>
              </w:fldChar>
            </w:r>
            <w:r w:rsidRPr="00F33674">
              <w:rPr>
                <w:rFonts w:ascii="Arial Narrow" w:hAnsi="Arial Narrow" w:cs="Arial"/>
                <w:sz w:val="20"/>
                <w:szCs w:val="20"/>
              </w:rPr>
              <w:instrText xml:space="preserve"> FORMCHECKBOX </w:instrText>
            </w:r>
            <w:r w:rsidR="00233D13">
              <w:rPr>
                <w:rFonts w:ascii="Arial Narrow" w:hAnsi="Arial Narrow" w:cs="Arial"/>
                <w:sz w:val="20"/>
                <w:szCs w:val="20"/>
              </w:rPr>
            </w:r>
            <w:r w:rsidR="00233D13">
              <w:rPr>
                <w:rFonts w:ascii="Arial Narrow" w:hAnsi="Arial Narrow" w:cs="Arial"/>
                <w:sz w:val="20"/>
                <w:szCs w:val="20"/>
              </w:rPr>
              <w:fldChar w:fldCharType="separate"/>
            </w:r>
            <w:r w:rsidRPr="00F33674">
              <w:rPr>
                <w:rFonts w:ascii="Arial Narrow" w:hAnsi="Arial Narrow" w:cs="Arial"/>
                <w:sz w:val="20"/>
                <w:szCs w:val="20"/>
              </w:rPr>
              <w:fldChar w:fldCharType="end"/>
            </w:r>
            <w:r w:rsidRPr="00F33674">
              <w:rPr>
                <w:rFonts w:ascii="Arial Narrow" w:hAnsi="Arial Narrow" w:cs="Arial"/>
                <w:sz w:val="20"/>
                <w:szCs w:val="20"/>
              </w:rPr>
              <w:t>Unrestricted benefit</w:t>
            </w:r>
          </w:p>
          <w:p w14:paraId="09521395" w14:textId="77777777" w:rsidR="00F33674" w:rsidRPr="00F33674" w:rsidRDefault="00F33674" w:rsidP="00F33674">
            <w:pPr>
              <w:rPr>
                <w:rFonts w:ascii="Arial Narrow" w:hAnsi="Arial Narrow" w:cs="Arial"/>
                <w:i/>
                <w:sz w:val="20"/>
                <w:szCs w:val="20"/>
              </w:rPr>
            </w:pPr>
            <w:r w:rsidRPr="00F33674">
              <w:rPr>
                <w:rFonts w:ascii="Arial Narrow" w:hAnsi="Arial Narrow" w:cs="Arial"/>
                <w:i/>
                <w:sz w:val="20"/>
                <w:szCs w:val="20"/>
              </w:rPr>
              <w:fldChar w:fldCharType="begin">
                <w:ffData>
                  <w:name w:val="Check1"/>
                  <w:enabled/>
                  <w:calcOnExit w:val="0"/>
                  <w:checkBox>
                    <w:sizeAuto/>
                    <w:default w:val="1"/>
                  </w:checkBox>
                </w:ffData>
              </w:fldChar>
            </w:r>
            <w:r w:rsidRPr="00F33674">
              <w:rPr>
                <w:rFonts w:ascii="Arial Narrow" w:hAnsi="Arial Narrow" w:cs="Arial"/>
                <w:i/>
                <w:sz w:val="20"/>
                <w:szCs w:val="20"/>
              </w:rPr>
              <w:instrText xml:space="preserve"> FORMCHECKBOX </w:instrText>
            </w:r>
            <w:r w:rsidR="00233D13">
              <w:rPr>
                <w:rFonts w:ascii="Arial Narrow" w:hAnsi="Arial Narrow" w:cs="Arial"/>
                <w:i/>
                <w:sz w:val="20"/>
                <w:szCs w:val="20"/>
              </w:rPr>
            </w:r>
            <w:r w:rsidR="00233D13">
              <w:rPr>
                <w:rFonts w:ascii="Arial Narrow" w:hAnsi="Arial Narrow" w:cs="Arial"/>
                <w:i/>
                <w:sz w:val="20"/>
                <w:szCs w:val="20"/>
              </w:rPr>
              <w:fldChar w:fldCharType="separate"/>
            </w:r>
            <w:r w:rsidRPr="00F33674">
              <w:rPr>
                <w:rFonts w:ascii="Arial Narrow" w:hAnsi="Arial Narrow" w:cs="Arial"/>
                <w:i/>
                <w:sz w:val="20"/>
                <w:szCs w:val="20"/>
              </w:rPr>
              <w:fldChar w:fldCharType="end"/>
            </w:r>
            <w:r w:rsidRPr="00F33674">
              <w:rPr>
                <w:rFonts w:ascii="Arial Narrow" w:hAnsi="Arial Narrow" w:cs="Arial"/>
                <w:sz w:val="20"/>
                <w:szCs w:val="20"/>
              </w:rPr>
              <w:t>Restricted benefit</w:t>
            </w:r>
          </w:p>
          <w:p w14:paraId="2CC5E7B6" w14:textId="77777777" w:rsidR="00F33674" w:rsidRPr="00F33674" w:rsidRDefault="00F33674" w:rsidP="00F33674">
            <w:pPr>
              <w:rPr>
                <w:rFonts w:ascii="Arial Narrow" w:hAnsi="Arial Narrow" w:cs="Arial"/>
                <w:sz w:val="20"/>
                <w:szCs w:val="20"/>
              </w:rPr>
            </w:pPr>
            <w:r w:rsidRPr="00F33674">
              <w:rPr>
                <w:rFonts w:ascii="Arial Narrow" w:hAnsi="Arial Narrow" w:cs="Arial"/>
                <w:sz w:val="20"/>
                <w:szCs w:val="20"/>
              </w:rPr>
              <w:fldChar w:fldCharType="begin">
                <w:ffData>
                  <w:name w:val=""/>
                  <w:enabled/>
                  <w:calcOnExit w:val="0"/>
                  <w:checkBox>
                    <w:sizeAuto/>
                    <w:default w:val="0"/>
                  </w:checkBox>
                </w:ffData>
              </w:fldChar>
            </w:r>
            <w:r w:rsidRPr="00F33674">
              <w:rPr>
                <w:rFonts w:ascii="Arial Narrow" w:hAnsi="Arial Narrow" w:cs="Arial"/>
                <w:sz w:val="20"/>
                <w:szCs w:val="20"/>
              </w:rPr>
              <w:instrText xml:space="preserve"> FORMCHECKBOX </w:instrText>
            </w:r>
            <w:r w:rsidR="00233D13">
              <w:rPr>
                <w:rFonts w:ascii="Arial Narrow" w:hAnsi="Arial Narrow" w:cs="Arial"/>
                <w:sz w:val="20"/>
                <w:szCs w:val="20"/>
              </w:rPr>
            </w:r>
            <w:r w:rsidR="00233D13">
              <w:rPr>
                <w:rFonts w:ascii="Arial Narrow" w:hAnsi="Arial Narrow" w:cs="Arial"/>
                <w:sz w:val="20"/>
                <w:szCs w:val="20"/>
              </w:rPr>
              <w:fldChar w:fldCharType="separate"/>
            </w:r>
            <w:r w:rsidRPr="00F33674">
              <w:rPr>
                <w:rFonts w:ascii="Arial Narrow" w:hAnsi="Arial Narrow" w:cs="Arial"/>
                <w:sz w:val="20"/>
                <w:szCs w:val="20"/>
              </w:rPr>
              <w:fldChar w:fldCharType="end"/>
            </w:r>
            <w:r w:rsidRPr="00F33674">
              <w:rPr>
                <w:rFonts w:ascii="Arial Narrow" w:hAnsi="Arial Narrow" w:cs="Arial"/>
                <w:sz w:val="20"/>
                <w:szCs w:val="20"/>
              </w:rPr>
              <w:t>Authority Required – In Writing</w:t>
            </w:r>
          </w:p>
          <w:p w14:paraId="3F570DE1" w14:textId="77777777" w:rsidR="00F33674" w:rsidRPr="00F33674" w:rsidRDefault="00F33674" w:rsidP="00F33674">
            <w:pPr>
              <w:rPr>
                <w:rFonts w:ascii="Arial Narrow" w:hAnsi="Arial Narrow" w:cs="Arial"/>
                <w:sz w:val="20"/>
                <w:szCs w:val="20"/>
              </w:rPr>
            </w:pPr>
            <w:r w:rsidRPr="00F33674">
              <w:rPr>
                <w:rFonts w:ascii="Arial Narrow" w:hAnsi="Arial Narrow" w:cs="Arial"/>
                <w:sz w:val="20"/>
                <w:szCs w:val="20"/>
              </w:rPr>
              <w:fldChar w:fldCharType="begin">
                <w:ffData>
                  <w:name w:val="Check3"/>
                  <w:enabled/>
                  <w:calcOnExit w:val="0"/>
                  <w:checkBox>
                    <w:sizeAuto/>
                    <w:default w:val="0"/>
                  </w:checkBox>
                </w:ffData>
              </w:fldChar>
            </w:r>
            <w:r w:rsidRPr="00F33674">
              <w:rPr>
                <w:rFonts w:ascii="Arial Narrow" w:hAnsi="Arial Narrow" w:cs="Arial"/>
                <w:sz w:val="20"/>
                <w:szCs w:val="20"/>
              </w:rPr>
              <w:instrText xml:space="preserve"> FORMCHECKBOX </w:instrText>
            </w:r>
            <w:r w:rsidR="00233D13">
              <w:rPr>
                <w:rFonts w:ascii="Arial Narrow" w:hAnsi="Arial Narrow" w:cs="Arial"/>
                <w:sz w:val="20"/>
                <w:szCs w:val="20"/>
              </w:rPr>
            </w:r>
            <w:r w:rsidR="00233D13">
              <w:rPr>
                <w:rFonts w:ascii="Arial Narrow" w:hAnsi="Arial Narrow" w:cs="Arial"/>
                <w:sz w:val="20"/>
                <w:szCs w:val="20"/>
              </w:rPr>
              <w:fldChar w:fldCharType="separate"/>
            </w:r>
            <w:r w:rsidRPr="00F33674">
              <w:rPr>
                <w:rFonts w:ascii="Arial Narrow" w:hAnsi="Arial Narrow" w:cs="Arial"/>
                <w:sz w:val="20"/>
                <w:szCs w:val="20"/>
              </w:rPr>
              <w:fldChar w:fldCharType="end"/>
            </w:r>
            <w:r w:rsidRPr="00F33674">
              <w:rPr>
                <w:rFonts w:ascii="Arial Narrow" w:hAnsi="Arial Narrow" w:cs="Arial"/>
                <w:sz w:val="20"/>
                <w:szCs w:val="20"/>
              </w:rPr>
              <w:t>Authority Required – Telephone/Electronic/Emergency</w:t>
            </w:r>
          </w:p>
          <w:p w14:paraId="09BC45A3" w14:textId="77777777" w:rsidR="00F33674" w:rsidRPr="00F33674" w:rsidRDefault="00F33674" w:rsidP="00F33674">
            <w:pPr>
              <w:rPr>
                <w:rFonts w:ascii="Arial Narrow" w:hAnsi="Arial Narrow"/>
                <w:sz w:val="20"/>
                <w:szCs w:val="20"/>
              </w:rPr>
            </w:pPr>
            <w:r w:rsidRPr="00F33674">
              <w:rPr>
                <w:rFonts w:ascii="Arial Narrow" w:hAnsi="Arial Narrow" w:cs="Arial"/>
                <w:sz w:val="20"/>
                <w:szCs w:val="20"/>
              </w:rPr>
              <w:fldChar w:fldCharType="begin">
                <w:ffData>
                  <w:name w:val="Check5"/>
                  <w:enabled/>
                  <w:calcOnExit w:val="0"/>
                  <w:checkBox>
                    <w:sizeAuto/>
                    <w:default w:val="0"/>
                  </w:checkBox>
                </w:ffData>
              </w:fldChar>
            </w:r>
            <w:r w:rsidRPr="00F33674">
              <w:rPr>
                <w:rFonts w:ascii="Arial Narrow" w:hAnsi="Arial Narrow" w:cs="Arial"/>
                <w:sz w:val="20"/>
                <w:szCs w:val="20"/>
              </w:rPr>
              <w:instrText xml:space="preserve"> FORMCHECKBOX </w:instrText>
            </w:r>
            <w:r w:rsidR="00233D13">
              <w:rPr>
                <w:rFonts w:ascii="Arial Narrow" w:hAnsi="Arial Narrow" w:cs="Arial"/>
                <w:sz w:val="20"/>
                <w:szCs w:val="20"/>
              </w:rPr>
            </w:r>
            <w:r w:rsidR="00233D13">
              <w:rPr>
                <w:rFonts w:ascii="Arial Narrow" w:hAnsi="Arial Narrow" w:cs="Arial"/>
                <w:sz w:val="20"/>
                <w:szCs w:val="20"/>
              </w:rPr>
              <w:fldChar w:fldCharType="separate"/>
            </w:r>
            <w:r w:rsidRPr="00F33674">
              <w:rPr>
                <w:rFonts w:ascii="Arial Narrow" w:hAnsi="Arial Narrow" w:cs="Arial"/>
                <w:sz w:val="20"/>
                <w:szCs w:val="20"/>
              </w:rPr>
              <w:fldChar w:fldCharType="end"/>
            </w:r>
            <w:r w:rsidRPr="00F33674">
              <w:rPr>
                <w:rFonts w:ascii="Arial Narrow" w:hAnsi="Arial Narrow" w:cs="Arial"/>
                <w:sz w:val="20"/>
                <w:szCs w:val="20"/>
              </w:rPr>
              <w:t>Streamlined</w:t>
            </w:r>
          </w:p>
        </w:tc>
      </w:tr>
      <w:tr w:rsidR="00B77DDA" w:rsidRPr="00F33674" w14:paraId="6F468E15" w14:textId="77777777" w:rsidTr="00F33674">
        <w:trPr>
          <w:cantSplit/>
          <w:trHeight w:val="360"/>
        </w:trPr>
        <w:tc>
          <w:tcPr>
            <w:tcW w:w="2781" w:type="dxa"/>
            <w:tcMar>
              <w:top w:w="0" w:type="dxa"/>
              <w:left w:w="108" w:type="dxa"/>
              <w:bottom w:w="0" w:type="dxa"/>
              <w:right w:w="108" w:type="dxa"/>
            </w:tcMar>
          </w:tcPr>
          <w:p w14:paraId="3FB531EA" w14:textId="79F95D64" w:rsidR="00B77DDA" w:rsidRPr="00F33674" w:rsidRDefault="00B77DDA" w:rsidP="00B77DDA">
            <w:pPr>
              <w:rPr>
                <w:rFonts w:ascii="Arial Narrow" w:hAnsi="Arial Narrow" w:cs="Arial"/>
                <w:b/>
                <w:sz w:val="20"/>
                <w:szCs w:val="20"/>
              </w:rPr>
            </w:pPr>
            <w:r>
              <w:rPr>
                <w:rFonts w:ascii="Arial Narrow" w:hAnsi="Arial Narrow" w:cs="Arial"/>
                <w:b/>
                <w:sz w:val="20"/>
                <w:szCs w:val="20"/>
              </w:rPr>
              <w:t>Treatment phase:</w:t>
            </w:r>
          </w:p>
        </w:tc>
        <w:tc>
          <w:tcPr>
            <w:tcW w:w="6245" w:type="dxa"/>
            <w:tcMar>
              <w:top w:w="0" w:type="dxa"/>
              <w:left w:w="108" w:type="dxa"/>
              <w:bottom w:w="0" w:type="dxa"/>
              <w:right w:w="108" w:type="dxa"/>
            </w:tcMar>
          </w:tcPr>
          <w:p w14:paraId="2548A74A" w14:textId="477AF380" w:rsidR="00B77DDA" w:rsidRPr="00F33674" w:rsidRDefault="00265869" w:rsidP="007A2171">
            <w:pPr>
              <w:jc w:val="left"/>
              <w:rPr>
                <w:rFonts w:ascii="Arial Narrow" w:hAnsi="Arial Narrow" w:cs="Arial"/>
                <w:sz w:val="20"/>
                <w:szCs w:val="20"/>
              </w:rPr>
            </w:pPr>
            <w:r>
              <w:rPr>
                <w:rFonts w:ascii="Arial Narrow" w:hAnsi="Arial Narrow" w:cs="Arial"/>
                <w:sz w:val="20"/>
                <w:szCs w:val="20"/>
              </w:rPr>
              <w:t xml:space="preserve">Initial PBS treatment after 1 June 2020 where patient </w:t>
            </w:r>
            <w:proofErr w:type="gramStart"/>
            <w:r>
              <w:rPr>
                <w:rFonts w:ascii="Arial Narrow" w:hAnsi="Arial Narrow" w:cs="Arial"/>
                <w:sz w:val="20"/>
                <w:szCs w:val="20"/>
              </w:rPr>
              <w:t>has been treated</w:t>
            </w:r>
            <w:proofErr w:type="gramEnd"/>
            <w:r>
              <w:rPr>
                <w:rFonts w:ascii="Arial Narrow" w:hAnsi="Arial Narrow" w:cs="Arial"/>
                <w:sz w:val="20"/>
                <w:szCs w:val="20"/>
              </w:rPr>
              <w:t xml:space="preserve"> with opioids for less than 12 months.</w:t>
            </w:r>
          </w:p>
        </w:tc>
      </w:tr>
      <w:tr w:rsidR="00B77DDA" w:rsidRPr="00F33674" w14:paraId="33E390F8" w14:textId="77777777" w:rsidTr="00F33674">
        <w:trPr>
          <w:cantSplit/>
          <w:trHeight w:val="360"/>
        </w:trPr>
        <w:tc>
          <w:tcPr>
            <w:tcW w:w="2781" w:type="dxa"/>
            <w:tcMar>
              <w:top w:w="0" w:type="dxa"/>
              <w:left w:w="108" w:type="dxa"/>
              <w:bottom w:w="0" w:type="dxa"/>
              <w:right w:w="108" w:type="dxa"/>
            </w:tcMar>
            <w:hideMark/>
          </w:tcPr>
          <w:p w14:paraId="17FF124C" w14:textId="77777777" w:rsidR="00B77DDA" w:rsidRPr="00F33674" w:rsidRDefault="00B77DDA" w:rsidP="00B77DDA">
            <w:pPr>
              <w:rPr>
                <w:rFonts w:ascii="Arial Narrow" w:hAnsi="Arial Narrow"/>
                <w:b/>
                <w:bCs/>
                <w:sz w:val="20"/>
                <w:szCs w:val="20"/>
              </w:rPr>
            </w:pPr>
            <w:r w:rsidRPr="00F33674">
              <w:rPr>
                <w:rFonts w:ascii="Arial Narrow" w:hAnsi="Arial Narrow" w:cs="Arial"/>
                <w:b/>
                <w:sz w:val="20"/>
                <w:szCs w:val="20"/>
              </w:rPr>
              <w:t>Clinical criteria:</w:t>
            </w:r>
          </w:p>
        </w:tc>
        <w:tc>
          <w:tcPr>
            <w:tcW w:w="6245" w:type="dxa"/>
            <w:tcMar>
              <w:top w:w="0" w:type="dxa"/>
              <w:left w:w="108" w:type="dxa"/>
              <w:bottom w:w="0" w:type="dxa"/>
              <w:right w:w="108" w:type="dxa"/>
            </w:tcMar>
          </w:tcPr>
          <w:p w14:paraId="2F6DA31C" w14:textId="52DC61B2" w:rsidR="00B77DDA" w:rsidRPr="00F33674" w:rsidRDefault="00B77DDA" w:rsidP="00B77DDA">
            <w:pPr>
              <w:jc w:val="left"/>
              <w:rPr>
                <w:rFonts w:ascii="Arial Narrow" w:hAnsi="Arial Narrow" w:cs="Arial"/>
                <w:sz w:val="20"/>
                <w:szCs w:val="20"/>
              </w:rPr>
            </w:pPr>
            <w:r w:rsidRPr="00F33674">
              <w:rPr>
                <w:rFonts w:ascii="Arial Narrow" w:hAnsi="Arial Narrow" w:cs="Arial"/>
                <w:sz w:val="20"/>
                <w:szCs w:val="20"/>
              </w:rPr>
              <w:t>[18096] Patient must have</w:t>
            </w:r>
            <w:r>
              <w:rPr>
                <w:rFonts w:ascii="Arial Narrow" w:hAnsi="Arial Narrow" w:cs="Arial"/>
                <w:sz w:val="20"/>
                <w:szCs w:val="20"/>
              </w:rPr>
              <w:t xml:space="preserve"> cancer</w:t>
            </w:r>
            <w:r w:rsidRPr="00F33674">
              <w:rPr>
                <w:rFonts w:ascii="Arial Narrow" w:hAnsi="Arial Narrow" w:cs="Arial"/>
                <w:sz w:val="20"/>
                <w:szCs w:val="20"/>
              </w:rPr>
              <w:t xml:space="preserve"> pain</w:t>
            </w:r>
          </w:p>
          <w:p w14:paraId="1C17372D" w14:textId="77777777" w:rsidR="00B77DDA" w:rsidRPr="00F33674" w:rsidRDefault="00B77DDA" w:rsidP="00B77DDA">
            <w:pPr>
              <w:jc w:val="left"/>
              <w:rPr>
                <w:rFonts w:ascii="Arial Narrow" w:hAnsi="Arial Narrow" w:cs="Arial"/>
                <w:sz w:val="20"/>
                <w:szCs w:val="20"/>
              </w:rPr>
            </w:pPr>
            <w:r w:rsidRPr="00F33674">
              <w:rPr>
                <w:rFonts w:ascii="Arial Narrow" w:hAnsi="Arial Narrow" w:cs="Arial"/>
                <w:sz w:val="20"/>
                <w:szCs w:val="20"/>
              </w:rPr>
              <w:t>OR</w:t>
            </w:r>
          </w:p>
          <w:p w14:paraId="41AC7032" w14:textId="6B9CCE97" w:rsidR="00B77DDA" w:rsidRPr="00F33674" w:rsidRDefault="00B77DDA" w:rsidP="00B77DDA">
            <w:pPr>
              <w:jc w:val="left"/>
              <w:rPr>
                <w:rFonts w:ascii="Arial Narrow" w:hAnsi="Arial Narrow" w:cs="Arial"/>
                <w:sz w:val="20"/>
                <w:szCs w:val="20"/>
              </w:rPr>
            </w:pPr>
            <w:r w:rsidRPr="00F33674">
              <w:rPr>
                <w:rFonts w:ascii="Arial Narrow" w:hAnsi="Arial Narrow" w:cs="Arial"/>
                <w:sz w:val="20"/>
                <w:szCs w:val="20"/>
              </w:rPr>
              <w:t xml:space="preserve">[new] </w:t>
            </w:r>
            <w:r>
              <w:rPr>
                <w:rFonts w:ascii="Arial Narrow" w:hAnsi="Arial Narrow" w:cs="Arial"/>
                <w:sz w:val="20"/>
                <w:szCs w:val="20"/>
              </w:rPr>
              <w:t>The t</w:t>
            </w:r>
            <w:r w:rsidRPr="00F33674">
              <w:rPr>
                <w:rFonts w:ascii="Arial Narrow" w:hAnsi="Arial Narrow" w:cs="Arial"/>
                <w:sz w:val="20"/>
                <w:szCs w:val="20"/>
              </w:rPr>
              <w:t>reatment must be for post-operative pain following a major operative procedure</w:t>
            </w:r>
          </w:p>
          <w:p w14:paraId="0F590682" w14:textId="77777777" w:rsidR="00B77DDA" w:rsidRPr="00F33674" w:rsidRDefault="00B77DDA" w:rsidP="00B77DDA">
            <w:pPr>
              <w:jc w:val="left"/>
              <w:rPr>
                <w:rFonts w:ascii="Arial Narrow" w:hAnsi="Arial Narrow" w:cs="Arial"/>
                <w:sz w:val="20"/>
                <w:szCs w:val="20"/>
              </w:rPr>
            </w:pPr>
          </w:p>
          <w:p w14:paraId="655B629F" w14:textId="77777777" w:rsidR="00B77DDA" w:rsidRPr="00F33674" w:rsidRDefault="00B77DDA" w:rsidP="00B77DDA">
            <w:pPr>
              <w:jc w:val="left"/>
              <w:rPr>
                <w:rFonts w:ascii="Arial Narrow" w:hAnsi="Arial Narrow" w:cs="Arial"/>
                <w:sz w:val="20"/>
                <w:szCs w:val="20"/>
              </w:rPr>
            </w:pPr>
            <w:r w:rsidRPr="00F33674">
              <w:rPr>
                <w:rFonts w:ascii="Arial Narrow" w:hAnsi="Arial Narrow" w:cs="Arial"/>
                <w:sz w:val="20"/>
                <w:szCs w:val="20"/>
              </w:rPr>
              <w:t>AND</w:t>
            </w:r>
          </w:p>
          <w:p w14:paraId="7DE34CD8" w14:textId="77777777" w:rsidR="00B77DDA" w:rsidRPr="00F33674" w:rsidRDefault="00B77DDA" w:rsidP="00B77DDA">
            <w:pPr>
              <w:jc w:val="left"/>
              <w:rPr>
                <w:rFonts w:ascii="Arial Narrow" w:hAnsi="Arial Narrow" w:cs="Arial"/>
                <w:sz w:val="20"/>
                <w:szCs w:val="20"/>
              </w:rPr>
            </w:pPr>
          </w:p>
          <w:p w14:paraId="1407E791" w14:textId="0070F2F3" w:rsidR="00B77DDA" w:rsidRPr="00F33674" w:rsidRDefault="00B77DDA" w:rsidP="00B77DDA">
            <w:pPr>
              <w:jc w:val="left"/>
              <w:rPr>
                <w:rFonts w:ascii="Arial Narrow" w:hAnsi="Arial Narrow" w:cs="Arial"/>
                <w:sz w:val="20"/>
                <w:szCs w:val="20"/>
              </w:rPr>
            </w:pPr>
            <w:r w:rsidRPr="00F33674">
              <w:rPr>
                <w:rFonts w:ascii="Arial Narrow" w:hAnsi="Arial Narrow" w:cs="Arial"/>
                <w:sz w:val="20"/>
                <w:szCs w:val="20"/>
              </w:rPr>
              <w:t>[new] Patient must have</w:t>
            </w:r>
            <w:r w:rsidR="007A2171">
              <w:rPr>
                <w:rFonts w:ascii="Arial Narrow" w:hAnsi="Arial Narrow" w:cs="Arial"/>
                <w:sz w:val="20"/>
                <w:szCs w:val="20"/>
              </w:rPr>
              <w:t xml:space="preserve"> had</w:t>
            </w:r>
            <w:r w:rsidRPr="00F33674">
              <w:rPr>
                <w:rFonts w:ascii="Arial Narrow" w:hAnsi="Arial Narrow" w:cs="Arial"/>
                <w:sz w:val="20"/>
                <w:szCs w:val="20"/>
              </w:rPr>
              <w:t xml:space="preserve"> </w:t>
            </w:r>
            <w:r>
              <w:rPr>
                <w:rFonts w:ascii="Arial Narrow" w:hAnsi="Arial Narrow" w:cs="Arial"/>
                <w:sz w:val="20"/>
                <w:szCs w:val="20"/>
              </w:rPr>
              <w:t>or would have</w:t>
            </w:r>
            <w:r w:rsidRPr="00F33674">
              <w:rPr>
                <w:rFonts w:ascii="Arial Narrow" w:hAnsi="Arial Narrow" w:cs="Arial"/>
                <w:sz w:val="20"/>
                <w:szCs w:val="20"/>
              </w:rPr>
              <w:t xml:space="preserve"> inadequate</w:t>
            </w:r>
            <w:r>
              <w:rPr>
                <w:rFonts w:ascii="Arial Narrow" w:hAnsi="Arial Narrow" w:cs="Arial"/>
                <w:sz w:val="20"/>
                <w:szCs w:val="20"/>
              </w:rPr>
              <w:t xml:space="preserve"> pain</w:t>
            </w:r>
            <w:r w:rsidRPr="00F33674">
              <w:rPr>
                <w:rFonts w:ascii="Arial Narrow" w:hAnsi="Arial Narrow" w:cs="Arial"/>
                <w:sz w:val="20"/>
                <w:szCs w:val="20"/>
              </w:rPr>
              <w:t xml:space="preserve"> management </w:t>
            </w:r>
            <w:r>
              <w:rPr>
                <w:rFonts w:ascii="Arial Narrow" w:hAnsi="Arial Narrow" w:cs="Arial"/>
                <w:sz w:val="20"/>
                <w:szCs w:val="20"/>
              </w:rPr>
              <w:t>with</w:t>
            </w:r>
            <w:r w:rsidRPr="00F33674">
              <w:rPr>
                <w:rFonts w:ascii="Arial Narrow" w:hAnsi="Arial Narrow" w:cs="Arial"/>
                <w:sz w:val="20"/>
                <w:szCs w:val="20"/>
              </w:rPr>
              <w:t xml:space="preserve"> maximum tolerated doses of non-opioid analgesics</w:t>
            </w:r>
          </w:p>
          <w:p w14:paraId="0E4B6B23" w14:textId="77777777" w:rsidR="00B77DDA" w:rsidRPr="00F33674" w:rsidRDefault="00B77DDA" w:rsidP="00B77DDA">
            <w:pPr>
              <w:jc w:val="left"/>
              <w:rPr>
                <w:rFonts w:ascii="Arial Narrow" w:hAnsi="Arial Narrow" w:cs="Arial"/>
                <w:sz w:val="20"/>
                <w:szCs w:val="20"/>
              </w:rPr>
            </w:pPr>
            <w:r w:rsidRPr="00F33674">
              <w:rPr>
                <w:rFonts w:ascii="Arial Narrow" w:hAnsi="Arial Narrow" w:cs="Arial"/>
                <w:sz w:val="20"/>
                <w:szCs w:val="20"/>
              </w:rPr>
              <w:t>OR</w:t>
            </w:r>
          </w:p>
          <w:p w14:paraId="61FCA219" w14:textId="38066E54" w:rsidR="00B77DDA" w:rsidRPr="00F33674" w:rsidRDefault="00B77DDA" w:rsidP="007A2171">
            <w:pPr>
              <w:jc w:val="left"/>
              <w:rPr>
                <w:rFonts w:ascii="Arial Narrow" w:hAnsi="Arial Narrow"/>
                <w:sz w:val="20"/>
                <w:szCs w:val="20"/>
              </w:rPr>
            </w:pPr>
            <w:r w:rsidRPr="00F33674" w:rsidDel="00B77DDA">
              <w:rPr>
                <w:rFonts w:ascii="Arial Narrow" w:hAnsi="Arial Narrow" w:cs="Arial"/>
                <w:sz w:val="20"/>
                <w:szCs w:val="20"/>
              </w:rPr>
              <w:t xml:space="preserve"> </w:t>
            </w:r>
            <w:r w:rsidRPr="00F33674">
              <w:rPr>
                <w:rFonts w:ascii="Arial Narrow" w:hAnsi="Arial Narrow" w:cs="Arial"/>
                <w:sz w:val="20"/>
                <w:szCs w:val="20"/>
              </w:rPr>
              <w:t>[new] Patient must be unable to use non-opioid analgesics due to contraindications or intolerance.</w:t>
            </w:r>
          </w:p>
        </w:tc>
      </w:tr>
      <w:tr w:rsidR="00B77DDA" w:rsidRPr="00F33674" w14:paraId="10DBD3B0" w14:textId="77777777" w:rsidTr="00F33674">
        <w:trPr>
          <w:cantSplit/>
          <w:trHeight w:val="360"/>
        </w:trPr>
        <w:tc>
          <w:tcPr>
            <w:tcW w:w="2781" w:type="dxa"/>
            <w:tcMar>
              <w:top w:w="0" w:type="dxa"/>
              <w:left w:w="108" w:type="dxa"/>
              <w:bottom w:w="0" w:type="dxa"/>
              <w:right w:w="108" w:type="dxa"/>
            </w:tcMar>
          </w:tcPr>
          <w:p w14:paraId="3C3D458C" w14:textId="77777777" w:rsidR="00B77DDA" w:rsidRPr="00F33674" w:rsidRDefault="00B77DDA" w:rsidP="00B77DDA">
            <w:pPr>
              <w:rPr>
                <w:rFonts w:ascii="Arial Narrow" w:hAnsi="Arial Narrow" w:cs="Arial"/>
                <w:b/>
                <w:sz w:val="20"/>
                <w:szCs w:val="20"/>
              </w:rPr>
            </w:pPr>
            <w:r w:rsidRPr="00F33674">
              <w:rPr>
                <w:rFonts w:ascii="Arial Narrow" w:hAnsi="Arial Narrow" w:cs="Arial"/>
                <w:b/>
                <w:sz w:val="20"/>
                <w:szCs w:val="20"/>
              </w:rPr>
              <w:t>Prescriber instructions:</w:t>
            </w:r>
          </w:p>
        </w:tc>
        <w:tc>
          <w:tcPr>
            <w:tcW w:w="6245" w:type="dxa"/>
            <w:tcMar>
              <w:top w:w="0" w:type="dxa"/>
              <w:left w:w="108" w:type="dxa"/>
              <w:bottom w:w="0" w:type="dxa"/>
              <w:right w:w="108" w:type="dxa"/>
            </w:tcMar>
          </w:tcPr>
          <w:p w14:paraId="1A85FF3B" w14:textId="33C98F3B" w:rsidR="00B77DDA" w:rsidRPr="00F33674" w:rsidRDefault="00B77DDA" w:rsidP="00193259">
            <w:pPr>
              <w:jc w:val="left"/>
              <w:rPr>
                <w:rFonts w:ascii="Arial Narrow" w:hAnsi="Arial Narrow" w:cs="Arial"/>
                <w:sz w:val="20"/>
                <w:szCs w:val="20"/>
              </w:rPr>
            </w:pPr>
            <w:r w:rsidRPr="00F33674">
              <w:rPr>
                <w:rFonts w:ascii="Arial Narrow" w:hAnsi="Arial Narrow" w:cs="Arial"/>
                <w:sz w:val="20"/>
                <w:szCs w:val="20"/>
              </w:rPr>
              <w:t xml:space="preserve">[new] Authorities for increased maximum quantities and/or repeats </w:t>
            </w:r>
            <w:r w:rsidR="00A52524">
              <w:rPr>
                <w:rFonts w:ascii="Arial Narrow" w:hAnsi="Arial Narrow" w:cs="Arial"/>
                <w:sz w:val="20"/>
                <w:szCs w:val="20"/>
              </w:rPr>
              <w:t xml:space="preserve">under this restriction </w:t>
            </w:r>
            <w:proofErr w:type="gramStart"/>
            <w:r w:rsidRPr="00F33674">
              <w:rPr>
                <w:rFonts w:ascii="Arial Narrow" w:hAnsi="Arial Narrow" w:cs="Arial"/>
                <w:sz w:val="20"/>
                <w:szCs w:val="20"/>
              </w:rPr>
              <w:t>must only be considered</w:t>
            </w:r>
            <w:proofErr w:type="gramEnd"/>
            <w:r w:rsidRPr="00F33674">
              <w:rPr>
                <w:rFonts w:ascii="Arial Narrow" w:hAnsi="Arial Narrow" w:cs="Arial"/>
                <w:sz w:val="20"/>
                <w:szCs w:val="20"/>
              </w:rPr>
              <w:t xml:space="preserve"> for</w:t>
            </w:r>
            <w:r w:rsidR="00A52524">
              <w:rPr>
                <w:rFonts w:ascii="Arial Narrow" w:hAnsi="Arial Narrow" w:cs="Arial"/>
                <w:sz w:val="20"/>
                <w:szCs w:val="20"/>
              </w:rPr>
              <w:t xml:space="preserve"> </w:t>
            </w:r>
            <w:r w:rsidRPr="00F33674">
              <w:rPr>
                <w:rFonts w:ascii="Arial Narrow" w:hAnsi="Arial Narrow" w:cs="Arial"/>
                <w:sz w:val="20"/>
                <w:szCs w:val="20"/>
              </w:rPr>
              <w:t>severe disabling pain associated with proven malignant neoplasia or</w:t>
            </w:r>
            <w:r w:rsidR="00A52524">
              <w:rPr>
                <w:rFonts w:ascii="Arial Narrow" w:hAnsi="Arial Narrow" w:cs="Arial"/>
                <w:sz w:val="20"/>
                <w:szCs w:val="20"/>
              </w:rPr>
              <w:t xml:space="preserve"> </w:t>
            </w:r>
            <w:r w:rsidRPr="00F33674">
              <w:rPr>
                <w:rFonts w:ascii="Arial Narrow" w:hAnsi="Arial Narrow" w:cs="Arial"/>
                <w:sz w:val="20"/>
                <w:szCs w:val="20"/>
              </w:rPr>
              <w:t>chronic severe disabling pain where the total duration of non-PBS and PBS subsidised opioid analgesic treatment is less than 12 months.</w:t>
            </w:r>
          </w:p>
          <w:p w14:paraId="219D4CEF" w14:textId="77777777" w:rsidR="00B77DDA" w:rsidRPr="00F33674" w:rsidRDefault="00B77DDA" w:rsidP="00B77DDA">
            <w:pPr>
              <w:jc w:val="left"/>
              <w:rPr>
                <w:rFonts w:ascii="Arial Narrow" w:hAnsi="Arial Narrow" w:cs="Arial"/>
                <w:sz w:val="20"/>
                <w:szCs w:val="20"/>
              </w:rPr>
            </w:pPr>
          </w:p>
          <w:p w14:paraId="2A9D1FC7" w14:textId="77777777" w:rsidR="00B77DDA" w:rsidRPr="00F33674" w:rsidRDefault="00B77DDA" w:rsidP="00B77DDA">
            <w:pPr>
              <w:jc w:val="left"/>
              <w:rPr>
                <w:rFonts w:ascii="Arial Narrow" w:hAnsi="Arial Narrow" w:cs="Arial"/>
                <w:sz w:val="20"/>
                <w:szCs w:val="20"/>
              </w:rPr>
            </w:pPr>
            <w:r w:rsidRPr="00F33674">
              <w:rPr>
                <w:rFonts w:ascii="Arial Narrow" w:hAnsi="Arial Narrow" w:cs="Arial"/>
                <w:sz w:val="20"/>
                <w:szCs w:val="20"/>
              </w:rPr>
              <w:t>[new] Authority requests extending treatment duration up to 1 month may be requested though the Online PBS Authorities system or by calling Services Australia.</w:t>
            </w:r>
          </w:p>
          <w:p w14:paraId="68D8DC8C" w14:textId="77777777" w:rsidR="00B77DDA" w:rsidRPr="00F33674" w:rsidRDefault="00B77DDA" w:rsidP="00B77DDA">
            <w:pPr>
              <w:jc w:val="left"/>
              <w:rPr>
                <w:rFonts w:ascii="Arial Narrow" w:hAnsi="Arial Narrow" w:cs="Arial"/>
                <w:sz w:val="20"/>
                <w:szCs w:val="20"/>
              </w:rPr>
            </w:pPr>
          </w:p>
          <w:p w14:paraId="6291DD18" w14:textId="56889955" w:rsidR="00B77DDA" w:rsidRPr="00F33674" w:rsidRDefault="00B77DDA" w:rsidP="00B77DDA">
            <w:pPr>
              <w:jc w:val="left"/>
              <w:rPr>
                <w:rFonts w:ascii="Arial Narrow" w:hAnsi="Arial Narrow" w:cs="Arial"/>
                <w:sz w:val="20"/>
                <w:szCs w:val="20"/>
              </w:rPr>
            </w:pPr>
            <w:r w:rsidRPr="00F33674">
              <w:rPr>
                <w:rFonts w:ascii="Arial Narrow" w:hAnsi="Arial Narrow" w:cs="Arial"/>
                <w:sz w:val="20"/>
                <w:szCs w:val="20"/>
              </w:rPr>
              <w:t xml:space="preserve">Authority requests extending treatment duration beyond 1 month </w:t>
            </w:r>
            <w:r w:rsidR="00A52524" w:rsidRPr="00A52524">
              <w:rPr>
                <w:rFonts w:ascii="Arial Narrow" w:hAnsi="Arial Narrow" w:cs="Arial"/>
                <w:sz w:val="20"/>
                <w:szCs w:val="20"/>
              </w:rPr>
              <w:t>may be requested through the Online PBS Authorities system</w:t>
            </w:r>
            <w:r w:rsidRPr="00F33674">
              <w:rPr>
                <w:rFonts w:ascii="Arial Narrow" w:hAnsi="Arial Narrow" w:cs="Arial"/>
                <w:sz w:val="20"/>
                <w:szCs w:val="20"/>
              </w:rPr>
              <w:t xml:space="preserve"> or in writing only and must not provide a treatment duration exceeding 3 months</w:t>
            </w:r>
            <w:r w:rsidR="00A52524">
              <w:rPr>
                <w:rFonts w:ascii="Arial Narrow" w:hAnsi="Arial Narrow" w:cs="Arial"/>
                <w:sz w:val="20"/>
                <w:szCs w:val="20"/>
              </w:rPr>
              <w:t xml:space="preserve"> </w:t>
            </w:r>
            <w:r w:rsidR="00A52524" w:rsidRPr="00A52524">
              <w:rPr>
                <w:rFonts w:ascii="Arial Narrow" w:hAnsi="Arial Narrow" w:cs="Arial"/>
                <w:sz w:val="20"/>
                <w:szCs w:val="20"/>
              </w:rPr>
              <w:t xml:space="preserve">(quantity sufficient for up to </w:t>
            </w:r>
            <w:proofErr w:type="gramStart"/>
            <w:r w:rsidR="00A52524" w:rsidRPr="00A52524">
              <w:rPr>
                <w:rFonts w:ascii="Arial Narrow" w:hAnsi="Arial Narrow" w:cs="Arial"/>
                <w:sz w:val="20"/>
                <w:szCs w:val="20"/>
              </w:rPr>
              <w:t>1 month</w:t>
            </w:r>
            <w:proofErr w:type="gramEnd"/>
            <w:r w:rsidR="00A52524" w:rsidRPr="00A52524">
              <w:rPr>
                <w:rFonts w:ascii="Arial Narrow" w:hAnsi="Arial Narrow" w:cs="Arial"/>
                <w:sz w:val="20"/>
                <w:szCs w:val="20"/>
              </w:rPr>
              <w:t xml:space="preserve"> treatment and sufficient repeats)</w:t>
            </w:r>
            <w:r w:rsidRPr="00F33674">
              <w:rPr>
                <w:rFonts w:ascii="Arial Narrow" w:hAnsi="Arial Narrow" w:cs="Arial"/>
                <w:sz w:val="20"/>
                <w:szCs w:val="20"/>
              </w:rPr>
              <w:t>.</w:t>
            </w:r>
          </w:p>
        </w:tc>
      </w:tr>
      <w:tr w:rsidR="00B77DDA" w:rsidRPr="00F33674" w14:paraId="3E49E978" w14:textId="77777777" w:rsidTr="00F33674">
        <w:trPr>
          <w:cantSplit/>
          <w:trHeight w:val="360"/>
        </w:trPr>
        <w:tc>
          <w:tcPr>
            <w:tcW w:w="2781" w:type="dxa"/>
            <w:tcMar>
              <w:top w:w="0" w:type="dxa"/>
              <w:left w:w="108" w:type="dxa"/>
              <w:bottom w:w="0" w:type="dxa"/>
              <w:right w:w="108" w:type="dxa"/>
            </w:tcMar>
          </w:tcPr>
          <w:p w14:paraId="5C54C4FA" w14:textId="77777777" w:rsidR="00B77DDA" w:rsidRPr="00F33674" w:rsidRDefault="00B77DDA" w:rsidP="00B77DDA">
            <w:pPr>
              <w:rPr>
                <w:rFonts w:ascii="Arial Narrow" w:hAnsi="Arial Narrow" w:cs="Arial"/>
                <w:b/>
                <w:sz w:val="20"/>
                <w:szCs w:val="20"/>
              </w:rPr>
            </w:pPr>
            <w:r w:rsidRPr="00F33674">
              <w:rPr>
                <w:rFonts w:ascii="Arial Narrow" w:hAnsi="Arial Narrow" w:cs="Arial"/>
                <w:b/>
                <w:sz w:val="20"/>
                <w:szCs w:val="20"/>
              </w:rPr>
              <w:lastRenderedPageBreak/>
              <w:t>Administrative advice:</w:t>
            </w:r>
          </w:p>
        </w:tc>
        <w:tc>
          <w:tcPr>
            <w:tcW w:w="6245" w:type="dxa"/>
            <w:tcMar>
              <w:top w:w="0" w:type="dxa"/>
              <w:left w:w="108" w:type="dxa"/>
              <w:bottom w:w="0" w:type="dxa"/>
              <w:right w:w="108" w:type="dxa"/>
            </w:tcMar>
          </w:tcPr>
          <w:p w14:paraId="3B1593F2" w14:textId="77777777" w:rsidR="00B77DDA" w:rsidRPr="00F33674" w:rsidRDefault="00B77DDA" w:rsidP="00B77DDA">
            <w:pPr>
              <w:jc w:val="left"/>
              <w:rPr>
                <w:rFonts w:ascii="Arial Narrow" w:hAnsi="Arial Narrow" w:cs="Arial"/>
                <w:sz w:val="20"/>
                <w:szCs w:val="20"/>
              </w:rPr>
            </w:pPr>
            <w:r w:rsidRPr="00F33674">
              <w:rPr>
                <w:rFonts w:ascii="Arial Narrow" w:hAnsi="Arial Narrow" w:cs="Arial"/>
                <w:sz w:val="20"/>
                <w:szCs w:val="20"/>
              </w:rPr>
              <w:t>[new] Real time online applications for increased maximum quantities/repeats may be made using the Online PBS Authorities system (see www.servicesaustralia.gov.au/organisations/health-professionals/services/medicare/hpos/services/request-authority-using-online-pbs-authorities-hpos)</w:t>
            </w:r>
          </w:p>
          <w:p w14:paraId="45D97EAF" w14:textId="77777777" w:rsidR="00B77DDA" w:rsidRPr="00F33674" w:rsidRDefault="00B77DDA" w:rsidP="00B77DDA">
            <w:pPr>
              <w:jc w:val="left"/>
              <w:rPr>
                <w:rFonts w:ascii="Arial Narrow" w:hAnsi="Arial Narrow" w:cs="Arial"/>
                <w:sz w:val="20"/>
                <w:szCs w:val="20"/>
              </w:rPr>
            </w:pPr>
          </w:p>
          <w:p w14:paraId="43DDDC43" w14:textId="3276D1CD" w:rsidR="00B77DDA" w:rsidRPr="00F33674" w:rsidRDefault="00B77DDA" w:rsidP="00B77DDA">
            <w:pPr>
              <w:jc w:val="left"/>
              <w:rPr>
                <w:rFonts w:ascii="Arial Narrow" w:hAnsi="Arial Narrow" w:cs="Arial"/>
                <w:sz w:val="20"/>
                <w:szCs w:val="20"/>
              </w:rPr>
            </w:pPr>
            <w:r w:rsidRPr="00F33674">
              <w:rPr>
                <w:rFonts w:ascii="Arial Narrow" w:hAnsi="Arial Narrow" w:cs="Arial"/>
                <w:sz w:val="20"/>
                <w:szCs w:val="20"/>
              </w:rPr>
              <w:t>Phone applications for increased maximum quantities/repeats may be made by calling 1800 888 333.</w:t>
            </w:r>
          </w:p>
          <w:p w14:paraId="3157C444" w14:textId="77777777" w:rsidR="00B77DDA" w:rsidRPr="00F33674" w:rsidRDefault="00B77DDA" w:rsidP="00B77DDA">
            <w:pPr>
              <w:jc w:val="left"/>
              <w:rPr>
                <w:rFonts w:ascii="Arial Narrow" w:hAnsi="Arial Narrow" w:cs="Arial"/>
                <w:sz w:val="20"/>
                <w:szCs w:val="20"/>
              </w:rPr>
            </w:pPr>
          </w:p>
          <w:p w14:paraId="0F113AF3" w14:textId="77777777" w:rsidR="00B77DDA" w:rsidRPr="00F33674" w:rsidRDefault="00B77DDA" w:rsidP="00B77DDA">
            <w:pPr>
              <w:jc w:val="left"/>
              <w:rPr>
                <w:rFonts w:ascii="Arial Narrow" w:hAnsi="Arial Narrow" w:cs="Arial"/>
                <w:sz w:val="20"/>
                <w:szCs w:val="20"/>
              </w:rPr>
            </w:pPr>
            <w:r w:rsidRPr="00F33674">
              <w:rPr>
                <w:rFonts w:ascii="Arial Narrow" w:hAnsi="Arial Narrow" w:cs="Arial"/>
                <w:sz w:val="20"/>
                <w:szCs w:val="20"/>
              </w:rPr>
              <w:t>Written authority applications for increased maximum quantities/repeats can be uploaded online through HPOS form upload or mailed to:</w:t>
            </w:r>
          </w:p>
          <w:p w14:paraId="230F3261" w14:textId="77777777" w:rsidR="00B77DDA" w:rsidRPr="00F33674" w:rsidRDefault="00B77DDA" w:rsidP="00B77DDA">
            <w:pPr>
              <w:jc w:val="left"/>
              <w:rPr>
                <w:rFonts w:ascii="Arial Narrow" w:hAnsi="Arial Narrow" w:cs="Arial"/>
                <w:sz w:val="20"/>
                <w:szCs w:val="20"/>
              </w:rPr>
            </w:pPr>
            <w:r w:rsidRPr="00F33674">
              <w:rPr>
                <w:rFonts w:ascii="Arial Narrow" w:hAnsi="Arial Narrow" w:cs="Arial"/>
                <w:sz w:val="20"/>
                <w:szCs w:val="20"/>
              </w:rPr>
              <w:t>Pharmaceutical Benefits Scheme</w:t>
            </w:r>
          </w:p>
          <w:p w14:paraId="190C6C43" w14:textId="77777777" w:rsidR="00B77DDA" w:rsidRPr="00F33674" w:rsidRDefault="00B77DDA" w:rsidP="00B77DDA">
            <w:pPr>
              <w:jc w:val="left"/>
              <w:rPr>
                <w:rFonts w:ascii="Arial Narrow" w:hAnsi="Arial Narrow" w:cs="Arial"/>
                <w:sz w:val="20"/>
                <w:szCs w:val="20"/>
              </w:rPr>
            </w:pPr>
            <w:r w:rsidRPr="00F33674">
              <w:rPr>
                <w:rFonts w:ascii="Arial Narrow" w:hAnsi="Arial Narrow" w:cs="Arial"/>
                <w:sz w:val="20"/>
                <w:szCs w:val="20"/>
              </w:rPr>
              <w:t>Reply Paid 9857</w:t>
            </w:r>
          </w:p>
          <w:p w14:paraId="0CA20296" w14:textId="77777777" w:rsidR="00B77DDA" w:rsidRPr="00F33674" w:rsidRDefault="00B77DDA" w:rsidP="00B77DDA">
            <w:pPr>
              <w:jc w:val="left"/>
              <w:rPr>
                <w:rFonts w:ascii="Arial Narrow" w:hAnsi="Arial Narrow" w:cs="Arial"/>
                <w:sz w:val="20"/>
                <w:szCs w:val="20"/>
              </w:rPr>
            </w:pPr>
            <w:r w:rsidRPr="00F33674">
              <w:rPr>
                <w:rFonts w:ascii="Arial Narrow" w:hAnsi="Arial Narrow" w:cs="Arial"/>
                <w:sz w:val="20"/>
                <w:szCs w:val="20"/>
              </w:rPr>
              <w:t>[Your capital city]</w:t>
            </w:r>
          </w:p>
        </w:tc>
      </w:tr>
      <w:tr w:rsidR="00B77DDA" w:rsidRPr="00F33674" w14:paraId="5E36C77F" w14:textId="77777777" w:rsidTr="00F33674">
        <w:trPr>
          <w:cantSplit/>
          <w:trHeight w:val="360"/>
        </w:trPr>
        <w:tc>
          <w:tcPr>
            <w:tcW w:w="2781" w:type="dxa"/>
            <w:tcMar>
              <w:top w:w="0" w:type="dxa"/>
              <w:left w:w="108" w:type="dxa"/>
              <w:bottom w:w="0" w:type="dxa"/>
              <w:right w:w="108" w:type="dxa"/>
            </w:tcMar>
            <w:hideMark/>
          </w:tcPr>
          <w:p w14:paraId="348E642E" w14:textId="77777777" w:rsidR="00B77DDA" w:rsidRPr="00F33674" w:rsidRDefault="00B77DDA" w:rsidP="00B77DDA">
            <w:pPr>
              <w:rPr>
                <w:rFonts w:ascii="Arial Narrow" w:hAnsi="Arial Narrow"/>
                <w:b/>
                <w:bCs/>
                <w:sz w:val="20"/>
                <w:szCs w:val="20"/>
              </w:rPr>
            </w:pPr>
            <w:r w:rsidRPr="00F33674">
              <w:rPr>
                <w:rFonts w:ascii="Arial Narrow" w:hAnsi="Arial Narrow" w:cs="Arial"/>
                <w:b/>
                <w:sz w:val="20"/>
                <w:szCs w:val="20"/>
              </w:rPr>
              <w:t>Cautions:</w:t>
            </w:r>
          </w:p>
        </w:tc>
        <w:tc>
          <w:tcPr>
            <w:tcW w:w="6245" w:type="dxa"/>
            <w:tcMar>
              <w:top w:w="0" w:type="dxa"/>
              <w:left w:w="108" w:type="dxa"/>
              <w:bottom w:w="0" w:type="dxa"/>
              <w:right w:w="108" w:type="dxa"/>
            </w:tcMar>
            <w:hideMark/>
          </w:tcPr>
          <w:p w14:paraId="55A60C68" w14:textId="77777777" w:rsidR="00B77DDA" w:rsidRPr="00F33674" w:rsidRDefault="00B77DDA" w:rsidP="00B77DDA">
            <w:pPr>
              <w:jc w:val="left"/>
              <w:rPr>
                <w:rFonts w:ascii="Arial Narrow" w:hAnsi="Arial Narrow"/>
                <w:sz w:val="20"/>
                <w:szCs w:val="20"/>
              </w:rPr>
            </w:pPr>
            <w:r w:rsidRPr="00F33674">
              <w:rPr>
                <w:rFonts w:ascii="Arial Narrow" w:hAnsi="Arial Narrow" w:cs="Arial"/>
                <w:sz w:val="20"/>
                <w:szCs w:val="20"/>
              </w:rPr>
              <w:t>[6986] The risk of drug dependence is high.</w:t>
            </w:r>
          </w:p>
        </w:tc>
      </w:tr>
    </w:tbl>
    <w:p w14:paraId="40A3CAEB" w14:textId="0A9D57A7" w:rsidR="00C032BC" w:rsidRDefault="00C032BC" w:rsidP="00193259">
      <w:pPr>
        <w:pStyle w:val="3-BodyText"/>
        <w:numPr>
          <w:ilvl w:val="0"/>
          <w:numId w:val="0"/>
        </w:numPr>
        <w:ind w:left="720" w:hanging="720"/>
      </w:pPr>
    </w:p>
    <w:tbl>
      <w:tblPr>
        <w:tblW w:w="9026"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781"/>
        <w:gridCol w:w="6245"/>
      </w:tblGrid>
      <w:tr w:rsidR="00C032BC" w:rsidRPr="00F33674" w14:paraId="77A89C4C" w14:textId="77777777" w:rsidTr="00A74C03">
        <w:trPr>
          <w:cantSplit/>
          <w:trHeight w:val="360"/>
        </w:trPr>
        <w:tc>
          <w:tcPr>
            <w:tcW w:w="2781" w:type="dxa"/>
            <w:tcMar>
              <w:top w:w="0" w:type="dxa"/>
              <w:left w:w="108" w:type="dxa"/>
              <w:bottom w:w="0" w:type="dxa"/>
              <w:right w:w="108" w:type="dxa"/>
            </w:tcMar>
            <w:hideMark/>
          </w:tcPr>
          <w:p w14:paraId="2ABE075C" w14:textId="77777777" w:rsidR="00C032BC" w:rsidRPr="00F33674" w:rsidRDefault="00C032BC" w:rsidP="00A74C03">
            <w:pPr>
              <w:rPr>
                <w:rFonts w:ascii="Arial Narrow" w:hAnsi="Arial Narrow"/>
                <w:b/>
                <w:bCs/>
                <w:sz w:val="20"/>
                <w:szCs w:val="20"/>
              </w:rPr>
            </w:pPr>
            <w:r w:rsidRPr="00F33674">
              <w:rPr>
                <w:rFonts w:ascii="Arial Narrow" w:hAnsi="Arial Narrow" w:cs="Arial"/>
                <w:b/>
                <w:sz w:val="20"/>
                <w:szCs w:val="20"/>
              </w:rPr>
              <w:t>Category / Program:</w:t>
            </w:r>
          </w:p>
        </w:tc>
        <w:tc>
          <w:tcPr>
            <w:tcW w:w="6245" w:type="dxa"/>
            <w:tcMar>
              <w:top w:w="0" w:type="dxa"/>
              <w:left w:w="108" w:type="dxa"/>
              <w:bottom w:w="0" w:type="dxa"/>
              <w:right w:w="108" w:type="dxa"/>
            </w:tcMar>
            <w:hideMark/>
          </w:tcPr>
          <w:p w14:paraId="572D15C2" w14:textId="77777777" w:rsidR="00C032BC" w:rsidRPr="00F33674" w:rsidRDefault="00C032BC" w:rsidP="00A74C03">
            <w:pPr>
              <w:rPr>
                <w:rFonts w:ascii="Arial Narrow" w:hAnsi="Arial Narrow"/>
                <w:sz w:val="20"/>
                <w:szCs w:val="20"/>
              </w:rPr>
            </w:pPr>
            <w:r w:rsidRPr="00F33674">
              <w:rPr>
                <w:rFonts w:ascii="Arial Narrow" w:hAnsi="Arial Narrow" w:cs="Arial"/>
                <w:sz w:val="20"/>
                <w:szCs w:val="20"/>
              </w:rPr>
              <w:t>GENERAL – General Schedule (Code GE)</w:t>
            </w:r>
          </w:p>
        </w:tc>
      </w:tr>
      <w:tr w:rsidR="00C032BC" w:rsidRPr="00F33674" w14:paraId="20B92AB0" w14:textId="77777777" w:rsidTr="00A74C03">
        <w:trPr>
          <w:cantSplit/>
          <w:trHeight w:val="360"/>
        </w:trPr>
        <w:tc>
          <w:tcPr>
            <w:tcW w:w="2781" w:type="dxa"/>
            <w:tcMar>
              <w:top w:w="0" w:type="dxa"/>
              <w:left w:w="108" w:type="dxa"/>
              <w:bottom w:w="0" w:type="dxa"/>
              <w:right w:w="108" w:type="dxa"/>
            </w:tcMar>
          </w:tcPr>
          <w:p w14:paraId="1A81143C" w14:textId="77777777" w:rsidR="00C032BC" w:rsidRPr="00F33674" w:rsidRDefault="00C032BC" w:rsidP="00A74C03">
            <w:pPr>
              <w:rPr>
                <w:rFonts w:ascii="Arial Narrow" w:hAnsi="Arial Narrow" w:cs="Arial"/>
                <w:b/>
                <w:sz w:val="20"/>
                <w:szCs w:val="20"/>
              </w:rPr>
            </w:pPr>
            <w:r w:rsidRPr="00F33674">
              <w:rPr>
                <w:rFonts w:ascii="Arial Narrow" w:hAnsi="Arial Narrow" w:cs="Arial"/>
                <w:b/>
                <w:sz w:val="20"/>
                <w:szCs w:val="20"/>
              </w:rPr>
              <w:t>Prescriber type:</w:t>
            </w:r>
          </w:p>
          <w:p w14:paraId="64F208C1" w14:textId="77777777" w:rsidR="00C032BC" w:rsidRPr="00F33674" w:rsidRDefault="00C032BC" w:rsidP="00A74C03">
            <w:pPr>
              <w:rPr>
                <w:rFonts w:ascii="Arial Narrow" w:hAnsi="Arial Narrow"/>
                <w:b/>
                <w:bCs/>
                <w:sz w:val="20"/>
                <w:szCs w:val="20"/>
              </w:rPr>
            </w:pPr>
          </w:p>
        </w:tc>
        <w:tc>
          <w:tcPr>
            <w:tcW w:w="6245" w:type="dxa"/>
            <w:tcMar>
              <w:top w:w="0" w:type="dxa"/>
              <w:left w:w="108" w:type="dxa"/>
              <w:bottom w:w="0" w:type="dxa"/>
              <w:right w:w="108" w:type="dxa"/>
            </w:tcMar>
            <w:hideMark/>
          </w:tcPr>
          <w:p w14:paraId="3446AE7A" w14:textId="75C14977" w:rsidR="00C032BC" w:rsidRPr="00F33674" w:rsidRDefault="00C032BC" w:rsidP="00A74C03">
            <w:pPr>
              <w:rPr>
                <w:rFonts w:ascii="Arial Narrow" w:hAnsi="Arial Narrow" w:cs="Arial"/>
                <w:sz w:val="20"/>
                <w:szCs w:val="20"/>
              </w:rPr>
            </w:pPr>
            <w:r w:rsidRPr="00F33674">
              <w:rPr>
                <w:rFonts w:ascii="Arial Narrow" w:hAnsi="Arial Narrow" w:cs="Arial"/>
                <w:sz w:val="20"/>
                <w:szCs w:val="20"/>
              </w:rPr>
              <w:fldChar w:fldCharType="begin">
                <w:ffData>
                  <w:name w:val="Check1"/>
                  <w:enabled/>
                  <w:calcOnExit w:val="0"/>
                  <w:checkBox>
                    <w:sizeAuto/>
                    <w:default w:val="0"/>
                  </w:checkBox>
                </w:ffData>
              </w:fldChar>
            </w:r>
            <w:r w:rsidRPr="00F33674">
              <w:rPr>
                <w:rFonts w:ascii="Arial Narrow" w:hAnsi="Arial Narrow" w:cs="Arial"/>
                <w:sz w:val="20"/>
                <w:szCs w:val="20"/>
              </w:rPr>
              <w:instrText xml:space="preserve"> FORMCHECKBOX </w:instrText>
            </w:r>
            <w:r w:rsidR="00233D13">
              <w:rPr>
                <w:rFonts w:ascii="Arial Narrow" w:hAnsi="Arial Narrow" w:cs="Arial"/>
                <w:sz w:val="20"/>
                <w:szCs w:val="20"/>
              </w:rPr>
            </w:r>
            <w:r w:rsidR="00233D13">
              <w:rPr>
                <w:rFonts w:ascii="Arial Narrow" w:hAnsi="Arial Narrow" w:cs="Arial"/>
                <w:sz w:val="20"/>
                <w:szCs w:val="20"/>
              </w:rPr>
              <w:fldChar w:fldCharType="separate"/>
            </w:r>
            <w:r w:rsidRPr="00F33674">
              <w:rPr>
                <w:rFonts w:ascii="Arial Narrow" w:hAnsi="Arial Narrow" w:cs="Arial"/>
                <w:sz w:val="20"/>
                <w:szCs w:val="20"/>
              </w:rPr>
              <w:fldChar w:fldCharType="end"/>
            </w:r>
            <w:r w:rsidRPr="00F33674">
              <w:rPr>
                <w:rFonts w:ascii="Arial Narrow" w:hAnsi="Arial Narrow" w:cs="Arial"/>
                <w:sz w:val="20"/>
                <w:szCs w:val="20"/>
              </w:rPr>
              <w:t>Dental</w:t>
            </w:r>
            <w:r w:rsidR="002C1329">
              <w:rPr>
                <w:rFonts w:ascii="Arial Narrow" w:hAnsi="Arial Narrow" w:cs="Arial"/>
                <w:sz w:val="20"/>
                <w:szCs w:val="20"/>
              </w:rPr>
              <w:t xml:space="preserve"> </w:t>
            </w:r>
            <w:r w:rsidRPr="00F33674">
              <w:rPr>
                <w:rFonts w:ascii="Arial Narrow" w:hAnsi="Arial Narrow" w:cs="Arial"/>
                <w:sz w:val="20"/>
                <w:szCs w:val="20"/>
              </w:rPr>
              <w:fldChar w:fldCharType="begin">
                <w:ffData>
                  <w:name w:val=""/>
                  <w:enabled/>
                  <w:calcOnExit w:val="0"/>
                  <w:checkBox>
                    <w:sizeAuto/>
                    <w:default w:val="1"/>
                  </w:checkBox>
                </w:ffData>
              </w:fldChar>
            </w:r>
            <w:r w:rsidRPr="00F33674">
              <w:rPr>
                <w:rFonts w:ascii="Arial Narrow" w:hAnsi="Arial Narrow" w:cs="Arial"/>
                <w:sz w:val="20"/>
                <w:szCs w:val="20"/>
              </w:rPr>
              <w:instrText xml:space="preserve"> FORMCHECKBOX </w:instrText>
            </w:r>
            <w:r w:rsidR="00233D13">
              <w:rPr>
                <w:rFonts w:ascii="Arial Narrow" w:hAnsi="Arial Narrow" w:cs="Arial"/>
                <w:sz w:val="20"/>
                <w:szCs w:val="20"/>
              </w:rPr>
            </w:r>
            <w:r w:rsidR="00233D13">
              <w:rPr>
                <w:rFonts w:ascii="Arial Narrow" w:hAnsi="Arial Narrow" w:cs="Arial"/>
                <w:sz w:val="20"/>
                <w:szCs w:val="20"/>
              </w:rPr>
              <w:fldChar w:fldCharType="separate"/>
            </w:r>
            <w:r w:rsidRPr="00F33674">
              <w:rPr>
                <w:rFonts w:ascii="Arial Narrow" w:hAnsi="Arial Narrow" w:cs="Arial"/>
                <w:sz w:val="20"/>
                <w:szCs w:val="20"/>
              </w:rPr>
              <w:fldChar w:fldCharType="end"/>
            </w:r>
            <w:r w:rsidRPr="00F33674">
              <w:rPr>
                <w:rFonts w:ascii="Arial Narrow" w:hAnsi="Arial Narrow" w:cs="Arial"/>
                <w:sz w:val="20"/>
                <w:szCs w:val="20"/>
              </w:rPr>
              <w:t>Medical Practitioners</w:t>
            </w:r>
            <w:r w:rsidR="002C1329">
              <w:rPr>
                <w:rFonts w:ascii="Arial Narrow" w:hAnsi="Arial Narrow" w:cs="Arial"/>
                <w:sz w:val="20"/>
                <w:szCs w:val="20"/>
              </w:rPr>
              <w:t xml:space="preserve"> </w:t>
            </w:r>
            <w:r w:rsidRPr="00F33674">
              <w:rPr>
                <w:rFonts w:ascii="Arial Narrow" w:hAnsi="Arial Narrow" w:cs="Arial"/>
                <w:sz w:val="20"/>
                <w:szCs w:val="20"/>
              </w:rPr>
              <w:fldChar w:fldCharType="begin">
                <w:ffData>
                  <w:name w:val="Check3"/>
                  <w:enabled/>
                  <w:calcOnExit w:val="0"/>
                  <w:checkBox>
                    <w:sizeAuto/>
                    <w:default w:val="1"/>
                  </w:checkBox>
                </w:ffData>
              </w:fldChar>
            </w:r>
            <w:r w:rsidRPr="00F33674">
              <w:rPr>
                <w:rFonts w:ascii="Arial Narrow" w:hAnsi="Arial Narrow" w:cs="Arial"/>
                <w:sz w:val="20"/>
                <w:szCs w:val="20"/>
              </w:rPr>
              <w:instrText xml:space="preserve"> FORMCHECKBOX </w:instrText>
            </w:r>
            <w:r w:rsidR="00233D13">
              <w:rPr>
                <w:rFonts w:ascii="Arial Narrow" w:hAnsi="Arial Narrow" w:cs="Arial"/>
                <w:sz w:val="20"/>
                <w:szCs w:val="20"/>
              </w:rPr>
            </w:r>
            <w:r w:rsidR="00233D13">
              <w:rPr>
                <w:rFonts w:ascii="Arial Narrow" w:hAnsi="Arial Narrow" w:cs="Arial"/>
                <w:sz w:val="20"/>
                <w:szCs w:val="20"/>
              </w:rPr>
              <w:fldChar w:fldCharType="separate"/>
            </w:r>
            <w:r w:rsidRPr="00F33674">
              <w:rPr>
                <w:rFonts w:ascii="Arial Narrow" w:hAnsi="Arial Narrow" w:cs="Arial"/>
                <w:sz w:val="20"/>
                <w:szCs w:val="20"/>
              </w:rPr>
              <w:fldChar w:fldCharType="end"/>
            </w:r>
            <w:r w:rsidRPr="00F33674">
              <w:rPr>
                <w:rFonts w:ascii="Arial Narrow" w:hAnsi="Arial Narrow" w:cs="Arial"/>
                <w:sz w:val="20"/>
                <w:szCs w:val="20"/>
              </w:rPr>
              <w:t>Nurse practitioners</w:t>
            </w:r>
            <w:r w:rsidR="002C1329">
              <w:rPr>
                <w:rFonts w:ascii="Arial Narrow" w:hAnsi="Arial Narrow" w:cs="Arial"/>
                <w:sz w:val="20"/>
                <w:szCs w:val="20"/>
              </w:rPr>
              <w:t xml:space="preserve"> </w:t>
            </w:r>
            <w:r w:rsidRPr="00F33674">
              <w:rPr>
                <w:rFonts w:ascii="Arial Narrow" w:hAnsi="Arial Narrow" w:cs="Arial"/>
                <w:sz w:val="20"/>
                <w:szCs w:val="20"/>
              </w:rPr>
              <w:fldChar w:fldCharType="begin">
                <w:ffData>
                  <w:name w:val=""/>
                  <w:enabled/>
                  <w:calcOnExit w:val="0"/>
                  <w:checkBox>
                    <w:sizeAuto/>
                    <w:default w:val="0"/>
                  </w:checkBox>
                </w:ffData>
              </w:fldChar>
            </w:r>
            <w:r w:rsidRPr="00F33674">
              <w:rPr>
                <w:rFonts w:ascii="Arial Narrow" w:hAnsi="Arial Narrow" w:cs="Arial"/>
                <w:sz w:val="20"/>
                <w:szCs w:val="20"/>
              </w:rPr>
              <w:instrText xml:space="preserve"> FORMCHECKBOX </w:instrText>
            </w:r>
            <w:r w:rsidR="00233D13">
              <w:rPr>
                <w:rFonts w:ascii="Arial Narrow" w:hAnsi="Arial Narrow" w:cs="Arial"/>
                <w:sz w:val="20"/>
                <w:szCs w:val="20"/>
              </w:rPr>
            </w:r>
            <w:r w:rsidR="00233D13">
              <w:rPr>
                <w:rFonts w:ascii="Arial Narrow" w:hAnsi="Arial Narrow" w:cs="Arial"/>
                <w:sz w:val="20"/>
                <w:szCs w:val="20"/>
              </w:rPr>
              <w:fldChar w:fldCharType="separate"/>
            </w:r>
            <w:r w:rsidRPr="00F33674">
              <w:rPr>
                <w:rFonts w:ascii="Arial Narrow" w:hAnsi="Arial Narrow" w:cs="Arial"/>
                <w:sz w:val="20"/>
                <w:szCs w:val="20"/>
              </w:rPr>
              <w:fldChar w:fldCharType="end"/>
            </w:r>
            <w:r w:rsidRPr="00F33674">
              <w:rPr>
                <w:rFonts w:ascii="Arial Narrow" w:hAnsi="Arial Narrow" w:cs="Arial"/>
                <w:sz w:val="20"/>
                <w:szCs w:val="20"/>
              </w:rPr>
              <w:t>Optometrists</w:t>
            </w:r>
          </w:p>
          <w:p w14:paraId="16A05A69" w14:textId="77777777" w:rsidR="00C032BC" w:rsidRPr="00F33674" w:rsidRDefault="00C032BC" w:rsidP="00A74C03">
            <w:pPr>
              <w:rPr>
                <w:rFonts w:ascii="Arial Narrow" w:hAnsi="Arial Narrow"/>
                <w:sz w:val="20"/>
                <w:szCs w:val="20"/>
              </w:rPr>
            </w:pPr>
            <w:r w:rsidRPr="00F33674">
              <w:rPr>
                <w:rFonts w:ascii="Arial Narrow" w:hAnsi="Arial Narrow" w:cs="Arial"/>
                <w:sz w:val="20"/>
                <w:szCs w:val="20"/>
              </w:rPr>
              <w:fldChar w:fldCharType="begin">
                <w:ffData>
                  <w:name w:val="Check5"/>
                  <w:enabled/>
                  <w:calcOnExit w:val="0"/>
                  <w:checkBox>
                    <w:sizeAuto/>
                    <w:default w:val="0"/>
                  </w:checkBox>
                </w:ffData>
              </w:fldChar>
            </w:r>
            <w:r w:rsidRPr="00F33674">
              <w:rPr>
                <w:rFonts w:ascii="Arial Narrow" w:hAnsi="Arial Narrow" w:cs="Arial"/>
                <w:sz w:val="20"/>
                <w:szCs w:val="20"/>
              </w:rPr>
              <w:instrText xml:space="preserve"> FORMCHECKBOX </w:instrText>
            </w:r>
            <w:r w:rsidR="00233D13">
              <w:rPr>
                <w:rFonts w:ascii="Arial Narrow" w:hAnsi="Arial Narrow" w:cs="Arial"/>
                <w:sz w:val="20"/>
                <w:szCs w:val="20"/>
              </w:rPr>
            </w:r>
            <w:r w:rsidR="00233D13">
              <w:rPr>
                <w:rFonts w:ascii="Arial Narrow" w:hAnsi="Arial Narrow" w:cs="Arial"/>
                <w:sz w:val="20"/>
                <w:szCs w:val="20"/>
              </w:rPr>
              <w:fldChar w:fldCharType="separate"/>
            </w:r>
            <w:r w:rsidRPr="00F33674">
              <w:rPr>
                <w:rFonts w:ascii="Arial Narrow" w:hAnsi="Arial Narrow" w:cs="Arial"/>
                <w:sz w:val="20"/>
                <w:szCs w:val="20"/>
              </w:rPr>
              <w:fldChar w:fldCharType="end"/>
            </w:r>
            <w:r w:rsidRPr="00F33674">
              <w:rPr>
                <w:rFonts w:ascii="Arial Narrow" w:hAnsi="Arial Narrow" w:cs="Arial"/>
                <w:sz w:val="20"/>
                <w:szCs w:val="20"/>
              </w:rPr>
              <w:t>Midwives</w:t>
            </w:r>
          </w:p>
        </w:tc>
      </w:tr>
      <w:tr w:rsidR="00C032BC" w:rsidRPr="00F33674" w14:paraId="552E0464" w14:textId="77777777" w:rsidTr="00A74C03">
        <w:trPr>
          <w:cantSplit/>
          <w:trHeight w:val="369"/>
        </w:trPr>
        <w:tc>
          <w:tcPr>
            <w:tcW w:w="2781" w:type="dxa"/>
            <w:tcMar>
              <w:top w:w="0" w:type="dxa"/>
              <w:left w:w="108" w:type="dxa"/>
              <w:bottom w:w="0" w:type="dxa"/>
              <w:right w:w="108" w:type="dxa"/>
            </w:tcMar>
            <w:hideMark/>
          </w:tcPr>
          <w:p w14:paraId="7AA772C8" w14:textId="77777777" w:rsidR="00C032BC" w:rsidRPr="00F33674" w:rsidRDefault="00C032BC" w:rsidP="00A74C03">
            <w:pPr>
              <w:rPr>
                <w:rFonts w:ascii="Arial Narrow" w:hAnsi="Arial Narrow"/>
                <w:b/>
                <w:bCs/>
                <w:sz w:val="20"/>
                <w:szCs w:val="20"/>
              </w:rPr>
            </w:pPr>
            <w:r w:rsidRPr="00F33674">
              <w:rPr>
                <w:rFonts w:ascii="Arial Narrow" w:hAnsi="Arial Narrow" w:cs="Arial"/>
                <w:b/>
                <w:sz w:val="20"/>
                <w:szCs w:val="20"/>
              </w:rPr>
              <w:t>PBS indication:</w:t>
            </w:r>
          </w:p>
        </w:tc>
        <w:tc>
          <w:tcPr>
            <w:tcW w:w="6245" w:type="dxa"/>
            <w:tcMar>
              <w:top w:w="0" w:type="dxa"/>
              <w:left w:w="108" w:type="dxa"/>
              <w:bottom w:w="0" w:type="dxa"/>
              <w:right w:w="108" w:type="dxa"/>
            </w:tcMar>
            <w:hideMark/>
          </w:tcPr>
          <w:p w14:paraId="04EB627D" w14:textId="77777777" w:rsidR="00C032BC" w:rsidRPr="00F33674" w:rsidRDefault="00C032BC" w:rsidP="00A74C03">
            <w:pPr>
              <w:rPr>
                <w:rFonts w:ascii="Arial Narrow" w:hAnsi="Arial Narrow"/>
                <w:sz w:val="20"/>
                <w:szCs w:val="20"/>
              </w:rPr>
            </w:pPr>
            <w:r w:rsidRPr="00F33674">
              <w:rPr>
                <w:rFonts w:ascii="Arial Narrow" w:hAnsi="Arial Narrow" w:cs="Arial"/>
                <w:sz w:val="20"/>
                <w:szCs w:val="20"/>
              </w:rPr>
              <w:t>[7861] Severe pain</w:t>
            </w:r>
          </w:p>
        </w:tc>
      </w:tr>
      <w:tr w:rsidR="00C032BC" w:rsidRPr="00F33674" w14:paraId="67F53B4F" w14:textId="77777777" w:rsidTr="00A74C03">
        <w:trPr>
          <w:cantSplit/>
          <w:trHeight w:val="360"/>
        </w:trPr>
        <w:tc>
          <w:tcPr>
            <w:tcW w:w="2781" w:type="dxa"/>
            <w:tcMar>
              <w:top w:w="0" w:type="dxa"/>
              <w:left w:w="108" w:type="dxa"/>
              <w:bottom w:w="0" w:type="dxa"/>
              <w:right w:w="108" w:type="dxa"/>
            </w:tcMar>
          </w:tcPr>
          <w:p w14:paraId="616B45E5" w14:textId="77777777" w:rsidR="00C032BC" w:rsidRPr="00F33674" w:rsidRDefault="00C032BC" w:rsidP="00A74C03">
            <w:pPr>
              <w:rPr>
                <w:rFonts w:ascii="Arial Narrow" w:hAnsi="Arial Narrow" w:cs="Arial"/>
                <w:b/>
                <w:sz w:val="20"/>
                <w:szCs w:val="20"/>
              </w:rPr>
            </w:pPr>
            <w:r w:rsidRPr="00F33674">
              <w:rPr>
                <w:rFonts w:ascii="Arial Narrow" w:hAnsi="Arial Narrow" w:cs="Arial"/>
                <w:b/>
                <w:sz w:val="20"/>
                <w:szCs w:val="20"/>
              </w:rPr>
              <w:t>Restriction Level / Method:</w:t>
            </w:r>
          </w:p>
          <w:p w14:paraId="6B654CAA" w14:textId="77777777" w:rsidR="00C032BC" w:rsidRPr="00F33674" w:rsidRDefault="00C032BC" w:rsidP="00A74C03">
            <w:pPr>
              <w:rPr>
                <w:rFonts w:ascii="Arial Narrow" w:hAnsi="Arial Narrow" w:cs="Arial"/>
                <w:i/>
                <w:sz w:val="20"/>
                <w:szCs w:val="20"/>
              </w:rPr>
            </w:pPr>
          </w:p>
          <w:p w14:paraId="283AF3DF" w14:textId="77777777" w:rsidR="00C032BC" w:rsidRPr="00F33674" w:rsidRDefault="00C032BC" w:rsidP="00A74C03">
            <w:pPr>
              <w:rPr>
                <w:rFonts w:ascii="Arial Narrow" w:hAnsi="Arial Narrow" w:cs="Arial"/>
                <w:i/>
                <w:sz w:val="20"/>
                <w:szCs w:val="20"/>
              </w:rPr>
            </w:pPr>
          </w:p>
          <w:p w14:paraId="78AA6AE1" w14:textId="77777777" w:rsidR="00C032BC" w:rsidRPr="00F33674" w:rsidRDefault="00C032BC" w:rsidP="00A74C03">
            <w:pPr>
              <w:rPr>
                <w:rFonts w:ascii="Arial Narrow" w:hAnsi="Arial Narrow"/>
                <w:i/>
                <w:iCs/>
                <w:sz w:val="20"/>
                <w:szCs w:val="20"/>
              </w:rPr>
            </w:pPr>
          </w:p>
        </w:tc>
        <w:tc>
          <w:tcPr>
            <w:tcW w:w="6245" w:type="dxa"/>
            <w:tcMar>
              <w:top w:w="0" w:type="dxa"/>
              <w:left w:w="108" w:type="dxa"/>
              <w:bottom w:w="0" w:type="dxa"/>
              <w:right w:w="108" w:type="dxa"/>
            </w:tcMar>
            <w:hideMark/>
          </w:tcPr>
          <w:p w14:paraId="3CD334C5" w14:textId="77777777" w:rsidR="00C032BC" w:rsidRPr="00F33674" w:rsidRDefault="00C032BC" w:rsidP="00A74C03">
            <w:pPr>
              <w:rPr>
                <w:rFonts w:ascii="Arial Narrow" w:hAnsi="Arial Narrow" w:cs="Arial"/>
                <w:sz w:val="20"/>
                <w:szCs w:val="20"/>
              </w:rPr>
            </w:pPr>
            <w:r w:rsidRPr="00F33674">
              <w:rPr>
                <w:rFonts w:ascii="Arial Narrow" w:hAnsi="Arial Narrow" w:cs="Arial"/>
                <w:sz w:val="20"/>
                <w:szCs w:val="20"/>
              </w:rPr>
              <w:fldChar w:fldCharType="begin">
                <w:ffData>
                  <w:name w:val=""/>
                  <w:enabled/>
                  <w:calcOnExit w:val="0"/>
                  <w:checkBox>
                    <w:sizeAuto/>
                    <w:default w:val="0"/>
                  </w:checkBox>
                </w:ffData>
              </w:fldChar>
            </w:r>
            <w:r w:rsidRPr="00F33674">
              <w:rPr>
                <w:rFonts w:ascii="Arial Narrow" w:hAnsi="Arial Narrow" w:cs="Arial"/>
                <w:sz w:val="20"/>
                <w:szCs w:val="20"/>
              </w:rPr>
              <w:instrText xml:space="preserve"> FORMCHECKBOX </w:instrText>
            </w:r>
            <w:r w:rsidR="00233D13">
              <w:rPr>
                <w:rFonts w:ascii="Arial Narrow" w:hAnsi="Arial Narrow" w:cs="Arial"/>
                <w:sz w:val="20"/>
                <w:szCs w:val="20"/>
              </w:rPr>
            </w:r>
            <w:r w:rsidR="00233D13">
              <w:rPr>
                <w:rFonts w:ascii="Arial Narrow" w:hAnsi="Arial Narrow" w:cs="Arial"/>
                <w:sz w:val="20"/>
                <w:szCs w:val="20"/>
              </w:rPr>
              <w:fldChar w:fldCharType="separate"/>
            </w:r>
            <w:r w:rsidRPr="00F33674">
              <w:rPr>
                <w:rFonts w:ascii="Arial Narrow" w:hAnsi="Arial Narrow" w:cs="Arial"/>
                <w:sz w:val="20"/>
                <w:szCs w:val="20"/>
              </w:rPr>
              <w:fldChar w:fldCharType="end"/>
            </w:r>
            <w:r w:rsidRPr="00F33674">
              <w:rPr>
                <w:rFonts w:ascii="Arial Narrow" w:hAnsi="Arial Narrow" w:cs="Arial"/>
                <w:sz w:val="20"/>
                <w:szCs w:val="20"/>
              </w:rPr>
              <w:t>Unrestricted benefit</w:t>
            </w:r>
          </w:p>
          <w:p w14:paraId="0D9C4D4D" w14:textId="77777777" w:rsidR="00C032BC" w:rsidRPr="00F33674" w:rsidRDefault="00C032BC" w:rsidP="00A74C03">
            <w:pPr>
              <w:rPr>
                <w:rFonts w:ascii="Arial Narrow" w:hAnsi="Arial Narrow" w:cs="Arial"/>
                <w:i/>
                <w:sz w:val="20"/>
                <w:szCs w:val="20"/>
              </w:rPr>
            </w:pPr>
            <w:r w:rsidRPr="00F33674">
              <w:rPr>
                <w:rFonts w:ascii="Arial Narrow" w:hAnsi="Arial Narrow" w:cs="Arial"/>
                <w:i/>
                <w:sz w:val="20"/>
                <w:szCs w:val="20"/>
              </w:rPr>
              <w:fldChar w:fldCharType="begin">
                <w:ffData>
                  <w:name w:val="Check1"/>
                  <w:enabled/>
                  <w:calcOnExit w:val="0"/>
                  <w:checkBox>
                    <w:sizeAuto/>
                    <w:default w:val="1"/>
                  </w:checkBox>
                </w:ffData>
              </w:fldChar>
            </w:r>
            <w:r w:rsidRPr="00F33674">
              <w:rPr>
                <w:rFonts w:ascii="Arial Narrow" w:hAnsi="Arial Narrow" w:cs="Arial"/>
                <w:i/>
                <w:sz w:val="20"/>
                <w:szCs w:val="20"/>
              </w:rPr>
              <w:instrText xml:space="preserve"> FORMCHECKBOX </w:instrText>
            </w:r>
            <w:r w:rsidR="00233D13">
              <w:rPr>
                <w:rFonts w:ascii="Arial Narrow" w:hAnsi="Arial Narrow" w:cs="Arial"/>
                <w:i/>
                <w:sz w:val="20"/>
                <w:szCs w:val="20"/>
              </w:rPr>
            </w:r>
            <w:r w:rsidR="00233D13">
              <w:rPr>
                <w:rFonts w:ascii="Arial Narrow" w:hAnsi="Arial Narrow" w:cs="Arial"/>
                <w:i/>
                <w:sz w:val="20"/>
                <w:szCs w:val="20"/>
              </w:rPr>
              <w:fldChar w:fldCharType="separate"/>
            </w:r>
            <w:r w:rsidRPr="00F33674">
              <w:rPr>
                <w:rFonts w:ascii="Arial Narrow" w:hAnsi="Arial Narrow" w:cs="Arial"/>
                <w:i/>
                <w:sz w:val="20"/>
                <w:szCs w:val="20"/>
              </w:rPr>
              <w:fldChar w:fldCharType="end"/>
            </w:r>
            <w:r w:rsidRPr="00F33674">
              <w:rPr>
                <w:rFonts w:ascii="Arial Narrow" w:hAnsi="Arial Narrow" w:cs="Arial"/>
                <w:sz w:val="20"/>
                <w:szCs w:val="20"/>
              </w:rPr>
              <w:t>Restricted benefit</w:t>
            </w:r>
          </w:p>
          <w:p w14:paraId="404E2D62" w14:textId="77777777" w:rsidR="00C032BC" w:rsidRPr="00F33674" w:rsidRDefault="00C032BC" w:rsidP="00A74C03">
            <w:pPr>
              <w:rPr>
                <w:rFonts w:ascii="Arial Narrow" w:hAnsi="Arial Narrow" w:cs="Arial"/>
                <w:sz w:val="20"/>
                <w:szCs w:val="20"/>
              </w:rPr>
            </w:pPr>
            <w:r w:rsidRPr="00F33674">
              <w:rPr>
                <w:rFonts w:ascii="Arial Narrow" w:hAnsi="Arial Narrow" w:cs="Arial"/>
                <w:sz w:val="20"/>
                <w:szCs w:val="20"/>
              </w:rPr>
              <w:fldChar w:fldCharType="begin">
                <w:ffData>
                  <w:name w:val=""/>
                  <w:enabled/>
                  <w:calcOnExit w:val="0"/>
                  <w:checkBox>
                    <w:sizeAuto/>
                    <w:default w:val="0"/>
                  </w:checkBox>
                </w:ffData>
              </w:fldChar>
            </w:r>
            <w:r w:rsidRPr="00F33674">
              <w:rPr>
                <w:rFonts w:ascii="Arial Narrow" w:hAnsi="Arial Narrow" w:cs="Arial"/>
                <w:sz w:val="20"/>
                <w:szCs w:val="20"/>
              </w:rPr>
              <w:instrText xml:space="preserve"> FORMCHECKBOX </w:instrText>
            </w:r>
            <w:r w:rsidR="00233D13">
              <w:rPr>
                <w:rFonts w:ascii="Arial Narrow" w:hAnsi="Arial Narrow" w:cs="Arial"/>
                <w:sz w:val="20"/>
                <w:szCs w:val="20"/>
              </w:rPr>
            </w:r>
            <w:r w:rsidR="00233D13">
              <w:rPr>
                <w:rFonts w:ascii="Arial Narrow" w:hAnsi="Arial Narrow" w:cs="Arial"/>
                <w:sz w:val="20"/>
                <w:szCs w:val="20"/>
              </w:rPr>
              <w:fldChar w:fldCharType="separate"/>
            </w:r>
            <w:r w:rsidRPr="00F33674">
              <w:rPr>
                <w:rFonts w:ascii="Arial Narrow" w:hAnsi="Arial Narrow" w:cs="Arial"/>
                <w:sz w:val="20"/>
                <w:szCs w:val="20"/>
              </w:rPr>
              <w:fldChar w:fldCharType="end"/>
            </w:r>
            <w:r w:rsidRPr="00F33674">
              <w:rPr>
                <w:rFonts w:ascii="Arial Narrow" w:hAnsi="Arial Narrow" w:cs="Arial"/>
                <w:sz w:val="20"/>
                <w:szCs w:val="20"/>
              </w:rPr>
              <w:t>Authority Required – In Writing</w:t>
            </w:r>
          </w:p>
          <w:p w14:paraId="122FDB1A" w14:textId="77777777" w:rsidR="00C032BC" w:rsidRPr="00F33674" w:rsidRDefault="00C032BC" w:rsidP="00A74C03">
            <w:pPr>
              <w:rPr>
                <w:rFonts w:ascii="Arial Narrow" w:hAnsi="Arial Narrow" w:cs="Arial"/>
                <w:sz w:val="20"/>
                <w:szCs w:val="20"/>
              </w:rPr>
            </w:pPr>
            <w:r w:rsidRPr="00F33674">
              <w:rPr>
                <w:rFonts w:ascii="Arial Narrow" w:hAnsi="Arial Narrow" w:cs="Arial"/>
                <w:sz w:val="20"/>
                <w:szCs w:val="20"/>
              </w:rPr>
              <w:fldChar w:fldCharType="begin">
                <w:ffData>
                  <w:name w:val="Check3"/>
                  <w:enabled/>
                  <w:calcOnExit w:val="0"/>
                  <w:checkBox>
                    <w:sizeAuto/>
                    <w:default w:val="0"/>
                  </w:checkBox>
                </w:ffData>
              </w:fldChar>
            </w:r>
            <w:r w:rsidRPr="00F33674">
              <w:rPr>
                <w:rFonts w:ascii="Arial Narrow" w:hAnsi="Arial Narrow" w:cs="Arial"/>
                <w:sz w:val="20"/>
                <w:szCs w:val="20"/>
              </w:rPr>
              <w:instrText xml:space="preserve"> FORMCHECKBOX </w:instrText>
            </w:r>
            <w:r w:rsidR="00233D13">
              <w:rPr>
                <w:rFonts w:ascii="Arial Narrow" w:hAnsi="Arial Narrow" w:cs="Arial"/>
                <w:sz w:val="20"/>
                <w:szCs w:val="20"/>
              </w:rPr>
            </w:r>
            <w:r w:rsidR="00233D13">
              <w:rPr>
                <w:rFonts w:ascii="Arial Narrow" w:hAnsi="Arial Narrow" w:cs="Arial"/>
                <w:sz w:val="20"/>
                <w:szCs w:val="20"/>
              </w:rPr>
              <w:fldChar w:fldCharType="separate"/>
            </w:r>
            <w:r w:rsidRPr="00F33674">
              <w:rPr>
                <w:rFonts w:ascii="Arial Narrow" w:hAnsi="Arial Narrow" w:cs="Arial"/>
                <w:sz w:val="20"/>
                <w:szCs w:val="20"/>
              </w:rPr>
              <w:fldChar w:fldCharType="end"/>
            </w:r>
            <w:r w:rsidRPr="00F33674">
              <w:rPr>
                <w:rFonts w:ascii="Arial Narrow" w:hAnsi="Arial Narrow" w:cs="Arial"/>
                <w:sz w:val="20"/>
                <w:szCs w:val="20"/>
              </w:rPr>
              <w:t>Authority Required – Telephone/Electronic/Emergency</w:t>
            </w:r>
          </w:p>
          <w:p w14:paraId="50F52765" w14:textId="77777777" w:rsidR="00C032BC" w:rsidRPr="00F33674" w:rsidRDefault="00C032BC" w:rsidP="00A74C03">
            <w:pPr>
              <w:rPr>
                <w:rFonts w:ascii="Arial Narrow" w:hAnsi="Arial Narrow"/>
                <w:sz w:val="20"/>
                <w:szCs w:val="20"/>
              </w:rPr>
            </w:pPr>
            <w:r w:rsidRPr="00F33674">
              <w:rPr>
                <w:rFonts w:ascii="Arial Narrow" w:hAnsi="Arial Narrow" w:cs="Arial"/>
                <w:sz w:val="20"/>
                <w:szCs w:val="20"/>
              </w:rPr>
              <w:fldChar w:fldCharType="begin">
                <w:ffData>
                  <w:name w:val="Check5"/>
                  <w:enabled/>
                  <w:calcOnExit w:val="0"/>
                  <w:checkBox>
                    <w:sizeAuto/>
                    <w:default w:val="0"/>
                  </w:checkBox>
                </w:ffData>
              </w:fldChar>
            </w:r>
            <w:r w:rsidRPr="00F33674">
              <w:rPr>
                <w:rFonts w:ascii="Arial Narrow" w:hAnsi="Arial Narrow" w:cs="Arial"/>
                <w:sz w:val="20"/>
                <w:szCs w:val="20"/>
              </w:rPr>
              <w:instrText xml:space="preserve"> FORMCHECKBOX </w:instrText>
            </w:r>
            <w:r w:rsidR="00233D13">
              <w:rPr>
                <w:rFonts w:ascii="Arial Narrow" w:hAnsi="Arial Narrow" w:cs="Arial"/>
                <w:sz w:val="20"/>
                <w:szCs w:val="20"/>
              </w:rPr>
            </w:r>
            <w:r w:rsidR="00233D13">
              <w:rPr>
                <w:rFonts w:ascii="Arial Narrow" w:hAnsi="Arial Narrow" w:cs="Arial"/>
                <w:sz w:val="20"/>
                <w:szCs w:val="20"/>
              </w:rPr>
              <w:fldChar w:fldCharType="separate"/>
            </w:r>
            <w:r w:rsidRPr="00F33674">
              <w:rPr>
                <w:rFonts w:ascii="Arial Narrow" w:hAnsi="Arial Narrow" w:cs="Arial"/>
                <w:sz w:val="20"/>
                <w:szCs w:val="20"/>
              </w:rPr>
              <w:fldChar w:fldCharType="end"/>
            </w:r>
            <w:r w:rsidRPr="00F33674">
              <w:rPr>
                <w:rFonts w:ascii="Arial Narrow" w:hAnsi="Arial Narrow" w:cs="Arial"/>
                <w:sz w:val="20"/>
                <w:szCs w:val="20"/>
              </w:rPr>
              <w:t>Streamlined</w:t>
            </w:r>
          </w:p>
        </w:tc>
      </w:tr>
      <w:tr w:rsidR="00C032BC" w:rsidRPr="00F33674" w14:paraId="40A3F6C9" w14:textId="77777777" w:rsidTr="00A74C03">
        <w:trPr>
          <w:cantSplit/>
          <w:trHeight w:val="360"/>
        </w:trPr>
        <w:tc>
          <w:tcPr>
            <w:tcW w:w="2781" w:type="dxa"/>
            <w:tcMar>
              <w:top w:w="0" w:type="dxa"/>
              <w:left w:w="108" w:type="dxa"/>
              <w:bottom w:w="0" w:type="dxa"/>
              <w:right w:w="108" w:type="dxa"/>
            </w:tcMar>
          </w:tcPr>
          <w:p w14:paraId="45F13BF0" w14:textId="77777777" w:rsidR="00C032BC" w:rsidRPr="00F33674" w:rsidRDefault="00C032BC" w:rsidP="00A74C03">
            <w:pPr>
              <w:rPr>
                <w:rFonts w:ascii="Arial Narrow" w:hAnsi="Arial Narrow" w:cs="Arial"/>
                <w:b/>
                <w:sz w:val="20"/>
                <w:szCs w:val="20"/>
              </w:rPr>
            </w:pPr>
            <w:r>
              <w:rPr>
                <w:rFonts w:ascii="Arial Narrow" w:hAnsi="Arial Narrow" w:cs="Arial"/>
                <w:b/>
                <w:sz w:val="20"/>
                <w:szCs w:val="20"/>
              </w:rPr>
              <w:t>Treatment phase:</w:t>
            </w:r>
          </w:p>
        </w:tc>
        <w:tc>
          <w:tcPr>
            <w:tcW w:w="6245" w:type="dxa"/>
            <w:tcMar>
              <w:top w:w="0" w:type="dxa"/>
              <w:left w:w="108" w:type="dxa"/>
              <w:bottom w:w="0" w:type="dxa"/>
              <w:right w:w="108" w:type="dxa"/>
            </w:tcMar>
          </w:tcPr>
          <w:p w14:paraId="529531CA" w14:textId="07F028C2" w:rsidR="00C032BC" w:rsidRPr="00F33674" w:rsidRDefault="00C032BC" w:rsidP="007A2171">
            <w:pPr>
              <w:jc w:val="left"/>
              <w:rPr>
                <w:rFonts w:ascii="Arial Narrow" w:hAnsi="Arial Narrow" w:cs="Arial"/>
                <w:sz w:val="20"/>
                <w:szCs w:val="20"/>
              </w:rPr>
            </w:pPr>
            <w:r w:rsidRPr="00407308">
              <w:rPr>
                <w:rFonts w:ascii="Arial Narrow" w:hAnsi="Arial Narrow" w:cs="Arial"/>
                <w:sz w:val="20"/>
                <w:szCs w:val="20"/>
              </w:rPr>
              <w:t xml:space="preserve">Initial PBS treatment after 1 June 2020 where patient has been treated with opioids for </w:t>
            </w:r>
            <w:r>
              <w:rPr>
                <w:rFonts w:ascii="Arial Narrow" w:hAnsi="Arial Narrow" w:cs="Arial"/>
                <w:sz w:val="20"/>
                <w:szCs w:val="20"/>
              </w:rPr>
              <w:t>more</w:t>
            </w:r>
            <w:r w:rsidRPr="00407308">
              <w:rPr>
                <w:rFonts w:ascii="Arial Narrow" w:hAnsi="Arial Narrow" w:cs="Arial"/>
                <w:sz w:val="20"/>
                <w:szCs w:val="20"/>
              </w:rPr>
              <w:t xml:space="preserve"> than 12 months</w:t>
            </w:r>
          </w:p>
        </w:tc>
      </w:tr>
      <w:tr w:rsidR="00C032BC" w:rsidRPr="00F33674" w14:paraId="57BBBAD3" w14:textId="77777777" w:rsidTr="00A74C03">
        <w:trPr>
          <w:cantSplit/>
          <w:trHeight w:val="360"/>
        </w:trPr>
        <w:tc>
          <w:tcPr>
            <w:tcW w:w="2781" w:type="dxa"/>
            <w:tcMar>
              <w:top w:w="0" w:type="dxa"/>
              <w:left w:w="108" w:type="dxa"/>
              <w:bottom w:w="0" w:type="dxa"/>
              <w:right w:w="108" w:type="dxa"/>
            </w:tcMar>
            <w:hideMark/>
          </w:tcPr>
          <w:p w14:paraId="6D3F6624" w14:textId="77777777" w:rsidR="00C032BC" w:rsidRPr="00F33674" w:rsidRDefault="00C032BC" w:rsidP="00A74C03">
            <w:pPr>
              <w:rPr>
                <w:rFonts w:ascii="Arial Narrow" w:hAnsi="Arial Narrow"/>
                <w:b/>
                <w:bCs/>
                <w:sz w:val="20"/>
                <w:szCs w:val="20"/>
              </w:rPr>
            </w:pPr>
            <w:r w:rsidRPr="00F33674">
              <w:rPr>
                <w:rFonts w:ascii="Arial Narrow" w:hAnsi="Arial Narrow" w:cs="Arial"/>
                <w:b/>
                <w:sz w:val="20"/>
                <w:szCs w:val="20"/>
              </w:rPr>
              <w:t>Clinical criteria:</w:t>
            </w:r>
          </w:p>
        </w:tc>
        <w:tc>
          <w:tcPr>
            <w:tcW w:w="6245" w:type="dxa"/>
            <w:tcMar>
              <w:top w:w="0" w:type="dxa"/>
              <w:left w:w="108" w:type="dxa"/>
              <w:bottom w:w="0" w:type="dxa"/>
              <w:right w:w="108" w:type="dxa"/>
            </w:tcMar>
          </w:tcPr>
          <w:p w14:paraId="343E6D36" w14:textId="77777777" w:rsidR="00C032BC" w:rsidRPr="00F33674" w:rsidRDefault="00C032BC" w:rsidP="00A74C03">
            <w:pPr>
              <w:jc w:val="left"/>
              <w:rPr>
                <w:rFonts w:ascii="Arial Narrow" w:hAnsi="Arial Narrow" w:cs="Arial"/>
                <w:sz w:val="20"/>
                <w:szCs w:val="20"/>
              </w:rPr>
            </w:pPr>
            <w:r w:rsidRPr="00F33674">
              <w:rPr>
                <w:rFonts w:ascii="Arial Narrow" w:hAnsi="Arial Narrow" w:cs="Arial"/>
                <w:sz w:val="20"/>
                <w:szCs w:val="20"/>
              </w:rPr>
              <w:t>[18096] Patient must have</w:t>
            </w:r>
            <w:r>
              <w:rPr>
                <w:rFonts w:ascii="Arial Narrow" w:hAnsi="Arial Narrow" w:cs="Arial"/>
                <w:sz w:val="20"/>
                <w:szCs w:val="20"/>
              </w:rPr>
              <w:t xml:space="preserve"> cancer</w:t>
            </w:r>
            <w:r w:rsidRPr="00F33674">
              <w:rPr>
                <w:rFonts w:ascii="Arial Narrow" w:hAnsi="Arial Narrow" w:cs="Arial"/>
                <w:sz w:val="20"/>
                <w:szCs w:val="20"/>
              </w:rPr>
              <w:t xml:space="preserve"> pain</w:t>
            </w:r>
          </w:p>
          <w:p w14:paraId="59F08D74" w14:textId="77777777" w:rsidR="00C032BC" w:rsidRPr="00F33674" w:rsidRDefault="00C032BC" w:rsidP="00A74C03">
            <w:pPr>
              <w:jc w:val="left"/>
              <w:rPr>
                <w:rFonts w:ascii="Arial Narrow" w:hAnsi="Arial Narrow" w:cs="Arial"/>
                <w:sz w:val="20"/>
                <w:szCs w:val="20"/>
              </w:rPr>
            </w:pPr>
            <w:r w:rsidRPr="00F33674">
              <w:rPr>
                <w:rFonts w:ascii="Arial Narrow" w:hAnsi="Arial Narrow" w:cs="Arial"/>
                <w:sz w:val="20"/>
                <w:szCs w:val="20"/>
              </w:rPr>
              <w:t>OR</w:t>
            </w:r>
          </w:p>
          <w:p w14:paraId="7C6F7700" w14:textId="77777777" w:rsidR="00C032BC" w:rsidRPr="00F33674" w:rsidRDefault="00C032BC" w:rsidP="00A74C03">
            <w:pPr>
              <w:jc w:val="left"/>
              <w:rPr>
                <w:rFonts w:ascii="Arial Narrow" w:hAnsi="Arial Narrow" w:cs="Arial"/>
                <w:sz w:val="20"/>
                <w:szCs w:val="20"/>
              </w:rPr>
            </w:pPr>
            <w:r w:rsidRPr="00F33674">
              <w:rPr>
                <w:rFonts w:ascii="Arial Narrow" w:hAnsi="Arial Narrow" w:cs="Arial"/>
                <w:sz w:val="20"/>
                <w:szCs w:val="20"/>
              </w:rPr>
              <w:t xml:space="preserve">[new] </w:t>
            </w:r>
            <w:r>
              <w:rPr>
                <w:rFonts w:ascii="Arial Narrow" w:hAnsi="Arial Narrow" w:cs="Arial"/>
                <w:sz w:val="20"/>
                <w:szCs w:val="20"/>
              </w:rPr>
              <w:t>The t</w:t>
            </w:r>
            <w:r w:rsidRPr="00F33674">
              <w:rPr>
                <w:rFonts w:ascii="Arial Narrow" w:hAnsi="Arial Narrow" w:cs="Arial"/>
                <w:sz w:val="20"/>
                <w:szCs w:val="20"/>
              </w:rPr>
              <w:t>reatment must be for post-operative pain following a major operative procedure</w:t>
            </w:r>
          </w:p>
          <w:p w14:paraId="5B352F5D" w14:textId="77777777" w:rsidR="00C032BC" w:rsidRPr="00F33674" w:rsidRDefault="00C032BC" w:rsidP="00A74C03">
            <w:pPr>
              <w:jc w:val="left"/>
              <w:rPr>
                <w:rFonts w:ascii="Arial Narrow" w:hAnsi="Arial Narrow" w:cs="Arial"/>
                <w:sz w:val="20"/>
                <w:szCs w:val="20"/>
              </w:rPr>
            </w:pPr>
          </w:p>
          <w:p w14:paraId="2266E013" w14:textId="77777777" w:rsidR="00C032BC" w:rsidRPr="00F33674" w:rsidRDefault="00C032BC" w:rsidP="00A74C03">
            <w:pPr>
              <w:jc w:val="left"/>
              <w:rPr>
                <w:rFonts w:ascii="Arial Narrow" w:hAnsi="Arial Narrow" w:cs="Arial"/>
                <w:sz w:val="20"/>
                <w:szCs w:val="20"/>
              </w:rPr>
            </w:pPr>
            <w:r w:rsidRPr="00F33674">
              <w:rPr>
                <w:rFonts w:ascii="Arial Narrow" w:hAnsi="Arial Narrow" w:cs="Arial"/>
                <w:sz w:val="20"/>
                <w:szCs w:val="20"/>
              </w:rPr>
              <w:t>AND</w:t>
            </w:r>
          </w:p>
          <w:p w14:paraId="5FAEF1D9" w14:textId="77777777" w:rsidR="00C032BC" w:rsidRPr="00F33674" w:rsidRDefault="00C032BC" w:rsidP="00A74C03">
            <w:pPr>
              <w:jc w:val="left"/>
              <w:rPr>
                <w:rFonts w:ascii="Arial Narrow" w:hAnsi="Arial Narrow" w:cs="Arial"/>
                <w:sz w:val="20"/>
                <w:szCs w:val="20"/>
              </w:rPr>
            </w:pPr>
          </w:p>
          <w:p w14:paraId="5580ED78" w14:textId="5398EBFB" w:rsidR="00C032BC" w:rsidRPr="00F33674" w:rsidRDefault="00C032BC" w:rsidP="00A74C03">
            <w:pPr>
              <w:jc w:val="left"/>
              <w:rPr>
                <w:rFonts w:ascii="Arial Narrow" w:hAnsi="Arial Narrow" w:cs="Arial"/>
                <w:sz w:val="20"/>
                <w:szCs w:val="20"/>
              </w:rPr>
            </w:pPr>
            <w:r w:rsidRPr="00F33674">
              <w:rPr>
                <w:rFonts w:ascii="Arial Narrow" w:hAnsi="Arial Narrow" w:cs="Arial"/>
                <w:sz w:val="20"/>
                <w:szCs w:val="20"/>
              </w:rPr>
              <w:t xml:space="preserve">[new] Patient must have </w:t>
            </w:r>
            <w:r w:rsidR="007A2171">
              <w:rPr>
                <w:rFonts w:ascii="Arial Narrow" w:hAnsi="Arial Narrow" w:cs="Arial"/>
                <w:sz w:val="20"/>
                <w:szCs w:val="20"/>
              </w:rPr>
              <w:t xml:space="preserve">had </w:t>
            </w:r>
            <w:r>
              <w:rPr>
                <w:rFonts w:ascii="Arial Narrow" w:hAnsi="Arial Narrow" w:cs="Arial"/>
                <w:sz w:val="20"/>
                <w:szCs w:val="20"/>
              </w:rPr>
              <w:t>or would have</w:t>
            </w:r>
            <w:r w:rsidRPr="00F33674">
              <w:rPr>
                <w:rFonts w:ascii="Arial Narrow" w:hAnsi="Arial Narrow" w:cs="Arial"/>
                <w:sz w:val="20"/>
                <w:szCs w:val="20"/>
              </w:rPr>
              <w:t xml:space="preserve"> inadequate</w:t>
            </w:r>
            <w:r>
              <w:rPr>
                <w:rFonts w:ascii="Arial Narrow" w:hAnsi="Arial Narrow" w:cs="Arial"/>
                <w:sz w:val="20"/>
                <w:szCs w:val="20"/>
              </w:rPr>
              <w:t xml:space="preserve"> pain</w:t>
            </w:r>
            <w:r w:rsidRPr="00F33674">
              <w:rPr>
                <w:rFonts w:ascii="Arial Narrow" w:hAnsi="Arial Narrow" w:cs="Arial"/>
                <w:sz w:val="20"/>
                <w:szCs w:val="20"/>
              </w:rPr>
              <w:t xml:space="preserve"> management </w:t>
            </w:r>
            <w:r>
              <w:rPr>
                <w:rFonts w:ascii="Arial Narrow" w:hAnsi="Arial Narrow" w:cs="Arial"/>
                <w:sz w:val="20"/>
                <w:szCs w:val="20"/>
              </w:rPr>
              <w:t>with</w:t>
            </w:r>
            <w:r w:rsidRPr="00F33674">
              <w:rPr>
                <w:rFonts w:ascii="Arial Narrow" w:hAnsi="Arial Narrow" w:cs="Arial"/>
                <w:sz w:val="20"/>
                <w:szCs w:val="20"/>
              </w:rPr>
              <w:t xml:space="preserve"> maximum tolerated doses of non-opioid analgesics</w:t>
            </w:r>
          </w:p>
          <w:p w14:paraId="4E22F40D" w14:textId="77777777" w:rsidR="00C032BC" w:rsidRPr="00F33674" w:rsidRDefault="00C032BC" w:rsidP="00A74C03">
            <w:pPr>
              <w:jc w:val="left"/>
              <w:rPr>
                <w:rFonts w:ascii="Arial Narrow" w:hAnsi="Arial Narrow" w:cs="Arial"/>
                <w:sz w:val="20"/>
                <w:szCs w:val="20"/>
              </w:rPr>
            </w:pPr>
            <w:r w:rsidRPr="00F33674">
              <w:rPr>
                <w:rFonts w:ascii="Arial Narrow" w:hAnsi="Arial Narrow" w:cs="Arial"/>
                <w:sz w:val="20"/>
                <w:szCs w:val="20"/>
              </w:rPr>
              <w:t>OR</w:t>
            </w:r>
          </w:p>
          <w:p w14:paraId="2DF9804C" w14:textId="77777777" w:rsidR="00C032BC" w:rsidRPr="00F33674" w:rsidRDefault="00C032BC" w:rsidP="00A74C03">
            <w:pPr>
              <w:jc w:val="left"/>
              <w:rPr>
                <w:rFonts w:ascii="Arial Narrow" w:hAnsi="Arial Narrow"/>
                <w:sz w:val="20"/>
                <w:szCs w:val="20"/>
              </w:rPr>
            </w:pPr>
            <w:r w:rsidRPr="00F33674" w:rsidDel="00B77DDA">
              <w:rPr>
                <w:rFonts w:ascii="Arial Narrow" w:hAnsi="Arial Narrow" w:cs="Arial"/>
                <w:sz w:val="20"/>
                <w:szCs w:val="20"/>
              </w:rPr>
              <w:t xml:space="preserve"> </w:t>
            </w:r>
            <w:r w:rsidRPr="00F33674">
              <w:rPr>
                <w:rFonts w:ascii="Arial Narrow" w:hAnsi="Arial Narrow" w:cs="Arial"/>
                <w:sz w:val="20"/>
                <w:szCs w:val="20"/>
              </w:rPr>
              <w:t>[new] Patient must be unable to use non-opioid analgesics due to contraindications or intolerance.</w:t>
            </w:r>
          </w:p>
        </w:tc>
      </w:tr>
      <w:tr w:rsidR="00C032BC" w:rsidRPr="00F33674" w14:paraId="5D289088" w14:textId="77777777" w:rsidTr="00A74C03">
        <w:trPr>
          <w:cantSplit/>
          <w:trHeight w:val="360"/>
        </w:trPr>
        <w:tc>
          <w:tcPr>
            <w:tcW w:w="2781" w:type="dxa"/>
            <w:tcMar>
              <w:top w:w="0" w:type="dxa"/>
              <w:left w:w="108" w:type="dxa"/>
              <w:bottom w:w="0" w:type="dxa"/>
              <w:right w:w="108" w:type="dxa"/>
            </w:tcMar>
          </w:tcPr>
          <w:p w14:paraId="57FB1AF9" w14:textId="77777777" w:rsidR="00C032BC" w:rsidRPr="00F33674" w:rsidRDefault="00C032BC" w:rsidP="00A74C03">
            <w:pPr>
              <w:rPr>
                <w:rFonts w:ascii="Arial Narrow" w:hAnsi="Arial Narrow" w:cs="Arial"/>
                <w:b/>
                <w:sz w:val="20"/>
                <w:szCs w:val="20"/>
              </w:rPr>
            </w:pPr>
            <w:r w:rsidRPr="00F33674">
              <w:rPr>
                <w:rFonts w:ascii="Arial Narrow" w:hAnsi="Arial Narrow" w:cs="Arial"/>
                <w:b/>
                <w:sz w:val="20"/>
                <w:szCs w:val="20"/>
              </w:rPr>
              <w:lastRenderedPageBreak/>
              <w:t>Prescriber instructions:</w:t>
            </w:r>
          </w:p>
        </w:tc>
        <w:tc>
          <w:tcPr>
            <w:tcW w:w="6245" w:type="dxa"/>
            <w:tcMar>
              <w:top w:w="0" w:type="dxa"/>
              <w:left w:w="108" w:type="dxa"/>
              <w:bottom w:w="0" w:type="dxa"/>
              <w:right w:w="108" w:type="dxa"/>
            </w:tcMar>
          </w:tcPr>
          <w:p w14:paraId="05211181" w14:textId="77777777" w:rsidR="00C032BC" w:rsidRPr="0021023D" w:rsidRDefault="00C032BC" w:rsidP="00C032BC">
            <w:pPr>
              <w:jc w:val="left"/>
              <w:rPr>
                <w:rFonts w:ascii="Arial Narrow" w:hAnsi="Arial Narrow" w:cs="Arial"/>
                <w:sz w:val="20"/>
                <w:szCs w:val="20"/>
              </w:rPr>
            </w:pPr>
            <w:r w:rsidRPr="00F33674">
              <w:rPr>
                <w:rFonts w:ascii="Arial Narrow" w:hAnsi="Arial Narrow" w:cs="Arial"/>
                <w:sz w:val="20"/>
                <w:szCs w:val="20"/>
              </w:rPr>
              <w:t xml:space="preserve">[new] </w:t>
            </w:r>
            <w:r w:rsidRPr="0021023D">
              <w:rPr>
                <w:rFonts w:ascii="Arial Narrow" w:hAnsi="Arial Narrow" w:cs="Arial"/>
                <w:sz w:val="20"/>
                <w:szCs w:val="20"/>
              </w:rPr>
              <w:t>Authorities for increased maximum quantities and/or repeats must only be considered for:</w:t>
            </w:r>
          </w:p>
          <w:p w14:paraId="60A93CE8" w14:textId="77777777" w:rsidR="00C032BC" w:rsidRPr="0021023D" w:rsidRDefault="00C032BC" w:rsidP="00C032BC">
            <w:pPr>
              <w:jc w:val="left"/>
              <w:rPr>
                <w:rFonts w:ascii="Arial Narrow" w:hAnsi="Arial Narrow" w:cs="Arial"/>
                <w:sz w:val="20"/>
                <w:szCs w:val="20"/>
              </w:rPr>
            </w:pPr>
            <w:r w:rsidRPr="0021023D">
              <w:rPr>
                <w:rFonts w:ascii="Arial Narrow" w:hAnsi="Arial Narrow" w:cs="Arial"/>
                <w:sz w:val="20"/>
                <w:szCs w:val="20"/>
              </w:rPr>
              <w:t>(i) severe disabling pain associated with proven malignant neoplasia; or</w:t>
            </w:r>
          </w:p>
          <w:p w14:paraId="57926F37" w14:textId="77777777" w:rsidR="00C032BC" w:rsidRPr="0021023D" w:rsidRDefault="00C032BC" w:rsidP="00C032BC">
            <w:pPr>
              <w:jc w:val="left"/>
              <w:rPr>
                <w:rFonts w:ascii="Arial Narrow" w:hAnsi="Arial Narrow" w:cs="Arial"/>
                <w:sz w:val="20"/>
                <w:szCs w:val="20"/>
              </w:rPr>
            </w:pPr>
            <w:r w:rsidRPr="0021023D">
              <w:rPr>
                <w:rFonts w:ascii="Arial Narrow" w:hAnsi="Arial Narrow" w:cs="Arial"/>
                <w:sz w:val="20"/>
                <w:szCs w:val="20"/>
              </w:rPr>
              <w:t>(ii) palliative care patients with chronic severe disabling pain where the total duration of non-PBS and PBS opioid analgesic treatment exceeds 12 months and the patient is unable to have annual pain management review due to their clinical condition; or</w:t>
            </w:r>
          </w:p>
          <w:p w14:paraId="27C17024" w14:textId="77777777" w:rsidR="00C032BC" w:rsidRPr="0021023D" w:rsidRDefault="00C032BC" w:rsidP="00C032BC">
            <w:pPr>
              <w:jc w:val="left"/>
              <w:rPr>
                <w:rFonts w:ascii="Arial Narrow" w:hAnsi="Arial Narrow" w:cs="Arial"/>
                <w:sz w:val="20"/>
                <w:szCs w:val="20"/>
              </w:rPr>
            </w:pPr>
            <w:r w:rsidRPr="0021023D">
              <w:rPr>
                <w:rFonts w:ascii="Arial Narrow" w:hAnsi="Arial Narrow" w:cs="Arial"/>
                <w:sz w:val="20"/>
                <w:szCs w:val="20"/>
              </w:rPr>
              <w:t>(iii) chronic severe disabling pain where the total duration of non-PBS and PBS opioid analgesic treatment exceeds 12 months and the patient's clinical need for continuing opioid treatment has been confirmed through consultation with the patient by another medical practitioner or a palliative care nurse practitioner in the past 12 months; or</w:t>
            </w:r>
          </w:p>
          <w:p w14:paraId="42F7E2C7" w14:textId="77777777" w:rsidR="00C032BC" w:rsidRPr="00F33674" w:rsidRDefault="00C032BC" w:rsidP="00C032BC">
            <w:pPr>
              <w:jc w:val="left"/>
              <w:rPr>
                <w:rFonts w:ascii="Arial Narrow" w:hAnsi="Arial Narrow" w:cs="Arial"/>
                <w:sz w:val="20"/>
                <w:szCs w:val="20"/>
              </w:rPr>
            </w:pPr>
            <w:proofErr w:type="gramStart"/>
            <w:r w:rsidRPr="0021023D">
              <w:rPr>
                <w:rFonts w:ascii="Arial Narrow" w:hAnsi="Arial Narrow" w:cs="Arial"/>
                <w:sz w:val="20"/>
                <w:szCs w:val="20"/>
              </w:rPr>
              <w:t>(iv) chronic severe disabling pain where the total duration of non-PBS and PBS opioid analgesic treatment has exceeded 12 months prior to 1 June 2020 and the patient's clinical need for continuing opioid treatment has not been confirmed through consultation with the patient by another medical practitioner or a palliative care nurse practitioner in the past 12 months, but is planned in the next 3 months.</w:t>
            </w:r>
            <w:proofErr w:type="gramEnd"/>
          </w:p>
          <w:p w14:paraId="3AC3D3FF" w14:textId="77777777" w:rsidR="00C032BC" w:rsidRDefault="00C032BC" w:rsidP="00C032BC">
            <w:pPr>
              <w:jc w:val="left"/>
              <w:rPr>
                <w:rFonts w:ascii="Arial Narrow" w:hAnsi="Arial Narrow" w:cs="Arial"/>
                <w:sz w:val="20"/>
                <w:szCs w:val="20"/>
              </w:rPr>
            </w:pPr>
          </w:p>
          <w:p w14:paraId="05A8A01A" w14:textId="77777777" w:rsidR="00C032BC" w:rsidRDefault="00C032BC" w:rsidP="00C032BC">
            <w:pPr>
              <w:jc w:val="left"/>
              <w:rPr>
                <w:rFonts w:ascii="Arial Narrow" w:hAnsi="Arial Narrow" w:cs="Arial"/>
                <w:sz w:val="20"/>
                <w:szCs w:val="20"/>
              </w:rPr>
            </w:pPr>
            <w:r>
              <w:rPr>
                <w:rFonts w:ascii="Arial Narrow" w:hAnsi="Arial Narrow" w:cs="Arial"/>
                <w:sz w:val="20"/>
                <w:szCs w:val="20"/>
              </w:rPr>
              <w:t xml:space="preserve">[new] </w:t>
            </w:r>
            <w:r w:rsidRPr="0021023D">
              <w:rPr>
                <w:rFonts w:ascii="Arial Narrow" w:hAnsi="Arial Narrow" w:cs="Arial"/>
                <w:sz w:val="20"/>
                <w:szCs w:val="20"/>
              </w:rPr>
              <w:t>Palliative care nurses may conduct annual review under this item for the treatment of palliative care patients only.</w:t>
            </w:r>
          </w:p>
          <w:p w14:paraId="3112BD58" w14:textId="77777777" w:rsidR="00C032BC" w:rsidRPr="00F33674" w:rsidRDefault="00C032BC" w:rsidP="00C032BC">
            <w:pPr>
              <w:jc w:val="left"/>
              <w:rPr>
                <w:rFonts w:ascii="Arial Narrow" w:hAnsi="Arial Narrow" w:cs="Arial"/>
                <w:sz w:val="20"/>
                <w:szCs w:val="20"/>
              </w:rPr>
            </w:pPr>
          </w:p>
          <w:p w14:paraId="36F69FC7" w14:textId="77777777" w:rsidR="00C032BC" w:rsidRPr="00F33674" w:rsidRDefault="00C032BC" w:rsidP="00C032BC">
            <w:pPr>
              <w:jc w:val="left"/>
              <w:rPr>
                <w:rFonts w:ascii="Arial Narrow" w:hAnsi="Arial Narrow" w:cs="Arial"/>
                <w:sz w:val="20"/>
                <w:szCs w:val="20"/>
              </w:rPr>
            </w:pPr>
            <w:r w:rsidRPr="00F33674">
              <w:rPr>
                <w:rFonts w:ascii="Arial Narrow" w:hAnsi="Arial Narrow" w:cs="Arial"/>
                <w:sz w:val="20"/>
                <w:szCs w:val="20"/>
              </w:rPr>
              <w:t>[new] Authority requests extending treatment duration up to 1 month may be requested though the Online PBS Authorities system or by calling Services Australia.</w:t>
            </w:r>
          </w:p>
          <w:p w14:paraId="2E5C61B9" w14:textId="77777777" w:rsidR="00C032BC" w:rsidRPr="00F33674" w:rsidRDefault="00C032BC" w:rsidP="00C032BC">
            <w:pPr>
              <w:jc w:val="left"/>
              <w:rPr>
                <w:rFonts w:ascii="Arial Narrow" w:hAnsi="Arial Narrow" w:cs="Arial"/>
                <w:sz w:val="20"/>
                <w:szCs w:val="20"/>
              </w:rPr>
            </w:pPr>
          </w:p>
          <w:p w14:paraId="03FEB313" w14:textId="009390D0" w:rsidR="00C032BC" w:rsidRPr="00F33674" w:rsidRDefault="00C032BC" w:rsidP="007A2171">
            <w:pPr>
              <w:jc w:val="left"/>
              <w:rPr>
                <w:rFonts w:ascii="Arial Narrow" w:hAnsi="Arial Narrow" w:cs="Arial"/>
                <w:sz w:val="20"/>
                <w:szCs w:val="20"/>
              </w:rPr>
            </w:pPr>
            <w:r w:rsidRPr="00F33674">
              <w:rPr>
                <w:rFonts w:ascii="Arial Narrow" w:hAnsi="Arial Narrow" w:cs="Arial"/>
                <w:sz w:val="20"/>
                <w:szCs w:val="20"/>
              </w:rPr>
              <w:t xml:space="preserve">Authority requests extending treatment duration beyond 1 month </w:t>
            </w:r>
            <w:r>
              <w:rPr>
                <w:rFonts w:ascii="Arial Narrow" w:hAnsi="Arial Narrow" w:cs="Arial"/>
                <w:sz w:val="20"/>
                <w:szCs w:val="20"/>
              </w:rPr>
              <w:t>may</w:t>
            </w:r>
            <w:r w:rsidRPr="00F33674">
              <w:rPr>
                <w:rFonts w:ascii="Arial Narrow" w:hAnsi="Arial Narrow" w:cs="Arial"/>
                <w:sz w:val="20"/>
                <w:szCs w:val="20"/>
              </w:rPr>
              <w:t xml:space="preserve"> be </w:t>
            </w:r>
            <w:r>
              <w:rPr>
                <w:rFonts w:ascii="Arial Narrow" w:hAnsi="Arial Narrow" w:cs="Arial"/>
                <w:sz w:val="20"/>
                <w:szCs w:val="20"/>
              </w:rPr>
              <w:t>requested through the Online PBS Authorities system</w:t>
            </w:r>
            <w:r w:rsidRPr="00F33674">
              <w:rPr>
                <w:rFonts w:ascii="Arial Narrow" w:hAnsi="Arial Narrow" w:cs="Arial"/>
                <w:sz w:val="20"/>
                <w:szCs w:val="20"/>
              </w:rPr>
              <w:t xml:space="preserve"> or in writing and must not provide a treatment duration exceeding 3 months</w:t>
            </w:r>
            <w:r>
              <w:rPr>
                <w:rFonts w:ascii="Arial Narrow" w:hAnsi="Arial Narrow" w:cs="Arial"/>
                <w:sz w:val="20"/>
                <w:szCs w:val="20"/>
              </w:rPr>
              <w:t xml:space="preserve"> (quantity sufficient for up to </w:t>
            </w:r>
            <w:proofErr w:type="gramStart"/>
            <w:r>
              <w:rPr>
                <w:rFonts w:ascii="Arial Narrow" w:hAnsi="Arial Narrow" w:cs="Arial"/>
                <w:sz w:val="20"/>
                <w:szCs w:val="20"/>
              </w:rPr>
              <w:t>1 month</w:t>
            </w:r>
            <w:proofErr w:type="gramEnd"/>
            <w:r>
              <w:rPr>
                <w:rFonts w:ascii="Arial Narrow" w:hAnsi="Arial Narrow" w:cs="Arial"/>
                <w:sz w:val="20"/>
                <w:szCs w:val="20"/>
              </w:rPr>
              <w:t xml:space="preserve"> treatment and sufficient repeats)</w:t>
            </w:r>
            <w:r w:rsidRPr="00F33674">
              <w:rPr>
                <w:rFonts w:ascii="Arial Narrow" w:hAnsi="Arial Narrow" w:cs="Arial"/>
                <w:sz w:val="20"/>
                <w:szCs w:val="20"/>
              </w:rPr>
              <w:t>.</w:t>
            </w:r>
          </w:p>
        </w:tc>
      </w:tr>
      <w:tr w:rsidR="00C032BC" w:rsidRPr="00F33674" w14:paraId="634A079D" w14:textId="77777777" w:rsidTr="00A74C03">
        <w:trPr>
          <w:cantSplit/>
          <w:trHeight w:val="360"/>
        </w:trPr>
        <w:tc>
          <w:tcPr>
            <w:tcW w:w="2781" w:type="dxa"/>
            <w:tcMar>
              <w:top w:w="0" w:type="dxa"/>
              <w:left w:w="108" w:type="dxa"/>
              <w:bottom w:w="0" w:type="dxa"/>
              <w:right w:w="108" w:type="dxa"/>
            </w:tcMar>
          </w:tcPr>
          <w:p w14:paraId="783D86D2" w14:textId="77777777" w:rsidR="00C032BC" w:rsidRPr="00F33674" w:rsidRDefault="00C032BC" w:rsidP="00A74C03">
            <w:pPr>
              <w:rPr>
                <w:rFonts w:ascii="Arial Narrow" w:hAnsi="Arial Narrow" w:cs="Arial"/>
                <w:b/>
                <w:sz w:val="20"/>
                <w:szCs w:val="20"/>
              </w:rPr>
            </w:pPr>
            <w:r w:rsidRPr="00F33674">
              <w:rPr>
                <w:rFonts w:ascii="Arial Narrow" w:hAnsi="Arial Narrow" w:cs="Arial"/>
                <w:b/>
                <w:sz w:val="20"/>
                <w:szCs w:val="20"/>
              </w:rPr>
              <w:t>Administrative advice:</w:t>
            </w:r>
          </w:p>
        </w:tc>
        <w:tc>
          <w:tcPr>
            <w:tcW w:w="6245" w:type="dxa"/>
            <w:tcMar>
              <w:top w:w="0" w:type="dxa"/>
              <w:left w:w="108" w:type="dxa"/>
              <w:bottom w:w="0" w:type="dxa"/>
              <w:right w:w="108" w:type="dxa"/>
            </w:tcMar>
          </w:tcPr>
          <w:p w14:paraId="6B6A2930" w14:textId="77777777" w:rsidR="00C032BC" w:rsidRPr="00F33674" w:rsidRDefault="00C032BC" w:rsidP="00A74C03">
            <w:pPr>
              <w:jc w:val="left"/>
              <w:rPr>
                <w:rFonts w:ascii="Arial Narrow" w:hAnsi="Arial Narrow" w:cs="Arial"/>
                <w:sz w:val="20"/>
                <w:szCs w:val="20"/>
              </w:rPr>
            </w:pPr>
            <w:r w:rsidRPr="00F33674">
              <w:rPr>
                <w:rFonts w:ascii="Arial Narrow" w:hAnsi="Arial Narrow" w:cs="Arial"/>
                <w:sz w:val="20"/>
                <w:szCs w:val="20"/>
              </w:rPr>
              <w:t>[new] Real time online applications for increased maximum quantities/repeats may be made using the Online PBS Authorities system (see www.servicesaustralia.gov.au/organisations/health-professionals/services/medicare/hpos/services/request-authority-using-online-pbs-authorities-hpos)</w:t>
            </w:r>
          </w:p>
          <w:p w14:paraId="62BAFCDD" w14:textId="77777777" w:rsidR="00C032BC" w:rsidRPr="00F33674" w:rsidRDefault="00C032BC" w:rsidP="00A74C03">
            <w:pPr>
              <w:jc w:val="left"/>
              <w:rPr>
                <w:rFonts w:ascii="Arial Narrow" w:hAnsi="Arial Narrow" w:cs="Arial"/>
                <w:sz w:val="20"/>
                <w:szCs w:val="20"/>
              </w:rPr>
            </w:pPr>
          </w:p>
          <w:p w14:paraId="3A838FD0" w14:textId="77777777" w:rsidR="00C032BC" w:rsidRPr="00F33674" w:rsidRDefault="00C032BC" w:rsidP="00A74C03">
            <w:pPr>
              <w:jc w:val="left"/>
              <w:rPr>
                <w:rFonts w:ascii="Arial Narrow" w:hAnsi="Arial Narrow" w:cs="Arial"/>
                <w:sz w:val="20"/>
                <w:szCs w:val="20"/>
              </w:rPr>
            </w:pPr>
            <w:r w:rsidRPr="00F33674">
              <w:rPr>
                <w:rFonts w:ascii="Arial Narrow" w:hAnsi="Arial Narrow" w:cs="Arial"/>
                <w:sz w:val="20"/>
                <w:szCs w:val="20"/>
              </w:rPr>
              <w:t>Phone applications for increased maximum quantities/repeats may be made by calling 1800 888 333.</w:t>
            </w:r>
          </w:p>
          <w:p w14:paraId="6430FD1F" w14:textId="77777777" w:rsidR="00C032BC" w:rsidRPr="00F33674" w:rsidRDefault="00C032BC" w:rsidP="00A74C03">
            <w:pPr>
              <w:jc w:val="left"/>
              <w:rPr>
                <w:rFonts w:ascii="Arial Narrow" w:hAnsi="Arial Narrow" w:cs="Arial"/>
                <w:sz w:val="20"/>
                <w:szCs w:val="20"/>
              </w:rPr>
            </w:pPr>
          </w:p>
          <w:p w14:paraId="466B70F1" w14:textId="77777777" w:rsidR="00C032BC" w:rsidRPr="00F33674" w:rsidRDefault="00C032BC" w:rsidP="00A74C03">
            <w:pPr>
              <w:jc w:val="left"/>
              <w:rPr>
                <w:rFonts w:ascii="Arial Narrow" w:hAnsi="Arial Narrow" w:cs="Arial"/>
                <w:sz w:val="20"/>
                <w:szCs w:val="20"/>
              </w:rPr>
            </w:pPr>
            <w:r w:rsidRPr="00F33674">
              <w:rPr>
                <w:rFonts w:ascii="Arial Narrow" w:hAnsi="Arial Narrow" w:cs="Arial"/>
                <w:sz w:val="20"/>
                <w:szCs w:val="20"/>
              </w:rPr>
              <w:t>Written authority applications for increased maximum quantities/repeats can be uploaded online through HPOS form upload or mailed to:</w:t>
            </w:r>
          </w:p>
          <w:p w14:paraId="22D8AFDC" w14:textId="77777777" w:rsidR="00C032BC" w:rsidRPr="00F33674" w:rsidRDefault="00C032BC" w:rsidP="00A74C03">
            <w:pPr>
              <w:jc w:val="left"/>
              <w:rPr>
                <w:rFonts w:ascii="Arial Narrow" w:hAnsi="Arial Narrow" w:cs="Arial"/>
                <w:sz w:val="20"/>
                <w:szCs w:val="20"/>
              </w:rPr>
            </w:pPr>
            <w:r w:rsidRPr="00F33674">
              <w:rPr>
                <w:rFonts w:ascii="Arial Narrow" w:hAnsi="Arial Narrow" w:cs="Arial"/>
                <w:sz w:val="20"/>
                <w:szCs w:val="20"/>
              </w:rPr>
              <w:t>Pharmaceutical Benefits Scheme</w:t>
            </w:r>
          </w:p>
          <w:p w14:paraId="6DDF4A62" w14:textId="77777777" w:rsidR="00C032BC" w:rsidRPr="00F33674" w:rsidRDefault="00C032BC" w:rsidP="00A74C03">
            <w:pPr>
              <w:jc w:val="left"/>
              <w:rPr>
                <w:rFonts w:ascii="Arial Narrow" w:hAnsi="Arial Narrow" w:cs="Arial"/>
                <w:sz w:val="20"/>
                <w:szCs w:val="20"/>
              </w:rPr>
            </w:pPr>
            <w:r w:rsidRPr="00F33674">
              <w:rPr>
                <w:rFonts w:ascii="Arial Narrow" w:hAnsi="Arial Narrow" w:cs="Arial"/>
                <w:sz w:val="20"/>
                <w:szCs w:val="20"/>
              </w:rPr>
              <w:t>Reply Paid 9857</w:t>
            </w:r>
          </w:p>
          <w:p w14:paraId="2A358C09" w14:textId="77777777" w:rsidR="00C032BC" w:rsidRPr="00F33674" w:rsidRDefault="00C032BC" w:rsidP="00A74C03">
            <w:pPr>
              <w:jc w:val="left"/>
              <w:rPr>
                <w:rFonts w:ascii="Arial Narrow" w:hAnsi="Arial Narrow" w:cs="Arial"/>
                <w:sz w:val="20"/>
                <w:szCs w:val="20"/>
              </w:rPr>
            </w:pPr>
            <w:r w:rsidRPr="00F33674">
              <w:rPr>
                <w:rFonts w:ascii="Arial Narrow" w:hAnsi="Arial Narrow" w:cs="Arial"/>
                <w:sz w:val="20"/>
                <w:szCs w:val="20"/>
              </w:rPr>
              <w:t>[Your capital city]</w:t>
            </w:r>
          </w:p>
        </w:tc>
      </w:tr>
      <w:tr w:rsidR="00C032BC" w:rsidRPr="00F33674" w14:paraId="1CB212DF" w14:textId="77777777" w:rsidTr="00A74C03">
        <w:trPr>
          <w:cantSplit/>
          <w:trHeight w:val="360"/>
        </w:trPr>
        <w:tc>
          <w:tcPr>
            <w:tcW w:w="2781" w:type="dxa"/>
            <w:tcMar>
              <w:top w:w="0" w:type="dxa"/>
              <w:left w:w="108" w:type="dxa"/>
              <w:bottom w:w="0" w:type="dxa"/>
              <w:right w:w="108" w:type="dxa"/>
            </w:tcMar>
            <w:hideMark/>
          </w:tcPr>
          <w:p w14:paraId="2A1303C7" w14:textId="77777777" w:rsidR="00C032BC" w:rsidRPr="00F33674" w:rsidRDefault="00C032BC" w:rsidP="00A74C03">
            <w:pPr>
              <w:rPr>
                <w:rFonts w:ascii="Arial Narrow" w:hAnsi="Arial Narrow"/>
                <w:b/>
                <w:bCs/>
                <w:sz w:val="20"/>
                <w:szCs w:val="20"/>
              </w:rPr>
            </w:pPr>
            <w:r w:rsidRPr="00F33674">
              <w:rPr>
                <w:rFonts w:ascii="Arial Narrow" w:hAnsi="Arial Narrow" w:cs="Arial"/>
                <w:b/>
                <w:sz w:val="20"/>
                <w:szCs w:val="20"/>
              </w:rPr>
              <w:t>Cautions:</w:t>
            </w:r>
          </w:p>
        </w:tc>
        <w:tc>
          <w:tcPr>
            <w:tcW w:w="6245" w:type="dxa"/>
            <w:tcMar>
              <w:top w:w="0" w:type="dxa"/>
              <w:left w:w="108" w:type="dxa"/>
              <w:bottom w:w="0" w:type="dxa"/>
              <w:right w:w="108" w:type="dxa"/>
            </w:tcMar>
            <w:hideMark/>
          </w:tcPr>
          <w:p w14:paraId="3684B8CB" w14:textId="77777777" w:rsidR="00C032BC" w:rsidRPr="00F33674" w:rsidRDefault="00C032BC" w:rsidP="00A74C03">
            <w:pPr>
              <w:jc w:val="left"/>
              <w:rPr>
                <w:rFonts w:ascii="Arial Narrow" w:hAnsi="Arial Narrow"/>
                <w:sz w:val="20"/>
                <w:szCs w:val="20"/>
              </w:rPr>
            </w:pPr>
            <w:r w:rsidRPr="00F33674">
              <w:rPr>
                <w:rFonts w:ascii="Arial Narrow" w:hAnsi="Arial Narrow" w:cs="Arial"/>
                <w:sz w:val="20"/>
                <w:szCs w:val="20"/>
              </w:rPr>
              <w:t>[6986] The risk of drug dependence is high.</w:t>
            </w:r>
          </w:p>
        </w:tc>
      </w:tr>
    </w:tbl>
    <w:p w14:paraId="51385465" w14:textId="77777777" w:rsidR="00C032BC" w:rsidRDefault="00C032BC" w:rsidP="00193259">
      <w:pPr>
        <w:pStyle w:val="3-BodyText"/>
        <w:numPr>
          <w:ilvl w:val="0"/>
          <w:numId w:val="0"/>
        </w:numPr>
        <w:ind w:left="720" w:hanging="720"/>
      </w:pPr>
    </w:p>
    <w:tbl>
      <w:tblPr>
        <w:tblW w:w="9026"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781"/>
        <w:gridCol w:w="6245"/>
      </w:tblGrid>
      <w:tr w:rsidR="00C032BC" w:rsidRPr="00F33674" w14:paraId="77229D12" w14:textId="77777777" w:rsidTr="00A74C03">
        <w:trPr>
          <w:cantSplit/>
          <w:trHeight w:val="360"/>
        </w:trPr>
        <w:tc>
          <w:tcPr>
            <w:tcW w:w="2781" w:type="dxa"/>
            <w:tcMar>
              <w:top w:w="0" w:type="dxa"/>
              <w:left w:w="108" w:type="dxa"/>
              <w:bottom w:w="0" w:type="dxa"/>
              <w:right w:w="108" w:type="dxa"/>
            </w:tcMar>
            <w:hideMark/>
          </w:tcPr>
          <w:p w14:paraId="1865D9C4" w14:textId="77777777" w:rsidR="00C032BC" w:rsidRPr="00F33674" w:rsidRDefault="00C032BC" w:rsidP="00A74C03">
            <w:pPr>
              <w:rPr>
                <w:rFonts w:ascii="Arial Narrow" w:hAnsi="Arial Narrow"/>
                <w:b/>
                <w:bCs/>
                <w:sz w:val="20"/>
                <w:szCs w:val="20"/>
              </w:rPr>
            </w:pPr>
            <w:r w:rsidRPr="00F33674">
              <w:rPr>
                <w:rFonts w:ascii="Arial Narrow" w:hAnsi="Arial Narrow" w:cs="Arial"/>
                <w:b/>
                <w:sz w:val="20"/>
                <w:szCs w:val="20"/>
              </w:rPr>
              <w:t>Category / Program:</w:t>
            </w:r>
          </w:p>
        </w:tc>
        <w:tc>
          <w:tcPr>
            <w:tcW w:w="6245" w:type="dxa"/>
            <w:tcMar>
              <w:top w:w="0" w:type="dxa"/>
              <w:left w:w="108" w:type="dxa"/>
              <w:bottom w:w="0" w:type="dxa"/>
              <w:right w:w="108" w:type="dxa"/>
            </w:tcMar>
            <w:hideMark/>
          </w:tcPr>
          <w:p w14:paraId="165FE00A" w14:textId="77777777" w:rsidR="00C032BC" w:rsidRPr="00F33674" w:rsidRDefault="00C032BC" w:rsidP="00A74C03">
            <w:pPr>
              <w:rPr>
                <w:rFonts w:ascii="Arial Narrow" w:hAnsi="Arial Narrow"/>
                <w:sz w:val="20"/>
                <w:szCs w:val="20"/>
              </w:rPr>
            </w:pPr>
            <w:r w:rsidRPr="00F33674">
              <w:rPr>
                <w:rFonts w:ascii="Arial Narrow" w:hAnsi="Arial Narrow" w:cs="Arial"/>
                <w:sz w:val="20"/>
                <w:szCs w:val="20"/>
              </w:rPr>
              <w:t>GENERAL – General Schedule (Code GE)</w:t>
            </w:r>
          </w:p>
        </w:tc>
      </w:tr>
      <w:tr w:rsidR="00C032BC" w:rsidRPr="00F33674" w14:paraId="45E18881" w14:textId="77777777" w:rsidTr="00A74C03">
        <w:trPr>
          <w:cantSplit/>
          <w:trHeight w:val="360"/>
        </w:trPr>
        <w:tc>
          <w:tcPr>
            <w:tcW w:w="2781" w:type="dxa"/>
            <w:tcMar>
              <w:top w:w="0" w:type="dxa"/>
              <w:left w:w="108" w:type="dxa"/>
              <w:bottom w:w="0" w:type="dxa"/>
              <w:right w:w="108" w:type="dxa"/>
            </w:tcMar>
          </w:tcPr>
          <w:p w14:paraId="05F0B9A6" w14:textId="77777777" w:rsidR="00C032BC" w:rsidRPr="00F33674" w:rsidRDefault="00C032BC" w:rsidP="00A74C03">
            <w:pPr>
              <w:rPr>
                <w:rFonts w:ascii="Arial Narrow" w:hAnsi="Arial Narrow" w:cs="Arial"/>
                <w:b/>
                <w:sz w:val="20"/>
                <w:szCs w:val="20"/>
              </w:rPr>
            </w:pPr>
            <w:r w:rsidRPr="00F33674">
              <w:rPr>
                <w:rFonts w:ascii="Arial Narrow" w:hAnsi="Arial Narrow" w:cs="Arial"/>
                <w:b/>
                <w:sz w:val="20"/>
                <w:szCs w:val="20"/>
              </w:rPr>
              <w:t>Prescriber type:</w:t>
            </w:r>
          </w:p>
          <w:p w14:paraId="7F0EBD63" w14:textId="77777777" w:rsidR="00C032BC" w:rsidRPr="00F33674" w:rsidRDefault="00C032BC" w:rsidP="00A74C03">
            <w:pPr>
              <w:rPr>
                <w:rFonts w:ascii="Arial Narrow" w:hAnsi="Arial Narrow"/>
                <w:b/>
                <w:bCs/>
                <w:sz w:val="20"/>
                <w:szCs w:val="20"/>
              </w:rPr>
            </w:pPr>
          </w:p>
        </w:tc>
        <w:tc>
          <w:tcPr>
            <w:tcW w:w="6245" w:type="dxa"/>
            <w:tcMar>
              <w:top w:w="0" w:type="dxa"/>
              <w:left w:w="108" w:type="dxa"/>
              <w:bottom w:w="0" w:type="dxa"/>
              <w:right w:w="108" w:type="dxa"/>
            </w:tcMar>
            <w:hideMark/>
          </w:tcPr>
          <w:p w14:paraId="738485FC" w14:textId="55F2F5D6" w:rsidR="00C032BC" w:rsidRPr="00F33674" w:rsidRDefault="00C032BC" w:rsidP="00A74C03">
            <w:pPr>
              <w:rPr>
                <w:rFonts w:ascii="Arial Narrow" w:hAnsi="Arial Narrow" w:cs="Arial"/>
                <w:sz w:val="20"/>
                <w:szCs w:val="20"/>
              </w:rPr>
            </w:pPr>
            <w:r w:rsidRPr="00F33674">
              <w:rPr>
                <w:rFonts w:ascii="Arial Narrow" w:hAnsi="Arial Narrow" w:cs="Arial"/>
                <w:sz w:val="20"/>
                <w:szCs w:val="20"/>
              </w:rPr>
              <w:fldChar w:fldCharType="begin">
                <w:ffData>
                  <w:name w:val="Check1"/>
                  <w:enabled/>
                  <w:calcOnExit w:val="0"/>
                  <w:checkBox>
                    <w:sizeAuto/>
                    <w:default w:val="0"/>
                  </w:checkBox>
                </w:ffData>
              </w:fldChar>
            </w:r>
            <w:r w:rsidRPr="00F33674">
              <w:rPr>
                <w:rFonts w:ascii="Arial Narrow" w:hAnsi="Arial Narrow" w:cs="Arial"/>
                <w:sz w:val="20"/>
                <w:szCs w:val="20"/>
              </w:rPr>
              <w:instrText xml:space="preserve"> FORMCHECKBOX </w:instrText>
            </w:r>
            <w:r w:rsidR="00233D13">
              <w:rPr>
                <w:rFonts w:ascii="Arial Narrow" w:hAnsi="Arial Narrow" w:cs="Arial"/>
                <w:sz w:val="20"/>
                <w:szCs w:val="20"/>
              </w:rPr>
            </w:r>
            <w:r w:rsidR="00233D13">
              <w:rPr>
                <w:rFonts w:ascii="Arial Narrow" w:hAnsi="Arial Narrow" w:cs="Arial"/>
                <w:sz w:val="20"/>
                <w:szCs w:val="20"/>
              </w:rPr>
              <w:fldChar w:fldCharType="separate"/>
            </w:r>
            <w:r w:rsidRPr="00F33674">
              <w:rPr>
                <w:rFonts w:ascii="Arial Narrow" w:hAnsi="Arial Narrow" w:cs="Arial"/>
                <w:sz w:val="20"/>
                <w:szCs w:val="20"/>
              </w:rPr>
              <w:fldChar w:fldCharType="end"/>
            </w:r>
            <w:r w:rsidRPr="00F33674">
              <w:rPr>
                <w:rFonts w:ascii="Arial Narrow" w:hAnsi="Arial Narrow" w:cs="Arial"/>
                <w:sz w:val="20"/>
                <w:szCs w:val="20"/>
              </w:rPr>
              <w:t>Dental</w:t>
            </w:r>
            <w:r w:rsidR="002C1329">
              <w:rPr>
                <w:rFonts w:ascii="Arial Narrow" w:hAnsi="Arial Narrow" w:cs="Arial"/>
                <w:sz w:val="20"/>
                <w:szCs w:val="20"/>
              </w:rPr>
              <w:t xml:space="preserve"> </w:t>
            </w:r>
            <w:r w:rsidRPr="00F33674">
              <w:rPr>
                <w:rFonts w:ascii="Arial Narrow" w:hAnsi="Arial Narrow" w:cs="Arial"/>
                <w:sz w:val="20"/>
                <w:szCs w:val="20"/>
              </w:rPr>
              <w:fldChar w:fldCharType="begin">
                <w:ffData>
                  <w:name w:val=""/>
                  <w:enabled/>
                  <w:calcOnExit w:val="0"/>
                  <w:checkBox>
                    <w:sizeAuto/>
                    <w:default w:val="1"/>
                  </w:checkBox>
                </w:ffData>
              </w:fldChar>
            </w:r>
            <w:r w:rsidRPr="00F33674">
              <w:rPr>
                <w:rFonts w:ascii="Arial Narrow" w:hAnsi="Arial Narrow" w:cs="Arial"/>
                <w:sz w:val="20"/>
                <w:szCs w:val="20"/>
              </w:rPr>
              <w:instrText xml:space="preserve"> FORMCHECKBOX </w:instrText>
            </w:r>
            <w:r w:rsidR="00233D13">
              <w:rPr>
                <w:rFonts w:ascii="Arial Narrow" w:hAnsi="Arial Narrow" w:cs="Arial"/>
                <w:sz w:val="20"/>
                <w:szCs w:val="20"/>
              </w:rPr>
            </w:r>
            <w:r w:rsidR="00233D13">
              <w:rPr>
                <w:rFonts w:ascii="Arial Narrow" w:hAnsi="Arial Narrow" w:cs="Arial"/>
                <w:sz w:val="20"/>
                <w:szCs w:val="20"/>
              </w:rPr>
              <w:fldChar w:fldCharType="separate"/>
            </w:r>
            <w:r w:rsidRPr="00F33674">
              <w:rPr>
                <w:rFonts w:ascii="Arial Narrow" w:hAnsi="Arial Narrow" w:cs="Arial"/>
                <w:sz w:val="20"/>
                <w:szCs w:val="20"/>
              </w:rPr>
              <w:fldChar w:fldCharType="end"/>
            </w:r>
            <w:r w:rsidRPr="00F33674">
              <w:rPr>
                <w:rFonts w:ascii="Arial Narrow" w:hAnsi="Arial Narrow" w:cs="Arial"/>
                <w:sz w:val="20"/>
                <w:szCs w:val="20"/>
              </w:rPr>
              <w:t>Medical Practitioners</w:t>
            </w:r>
            <w:r w:rsidR="002C1329">
              <w:rPr>
                <w:rFonts w:ascii="Arial Narrow" w:hAnsi="Arial Narrow" w:cs="Arial"/>
                <w:sz w:val="20"/>
                <w:szCs w:val="20"/>
              </w:rPr>
              <w:t xml:space="preserve"> </w:t>
            </w:r>
            <w:r w:rsidRPr="00F33674">
              <w:rPr>
                <w:rFonts w:ascii="Arial Narrow" w:hAnsi="Arial Narrow" w:cs="Arial"/>
                <w:sz w:val="20"/>
                <w:szCs w:val="20"/>
              </w:rPr>
              <w:fldChar w:fldCharType="begin">
                <w:ffData>
                  <w:name w:val="Check3"/>
                  <w:enabled/>
                  <w:calcOnExit w:val="0"/>
                  <w:checkBox>
                    <w:sizeAuto/>
                    <w:default w:val="1"/>
                  </w:checkBox>
                </w:ffData>
              </w:fldChar>
            </w:r>
            <w:r w:rsidRPr="00F33674">
              <w:rPr>
                <w:rFonts w:ascii="Arial Narrow" w:hAnsi="Arial Narrow" w:cs="Arial"/>
                <w:sz w:val="20"/>
                <w:szCs w:val="20"/>
              </w:rPr>
              <w:instrText xml:space="preserve"> FORMCHECKBOX </w:instrText>
            </w:r>
            <w:r w:rsidR="00233D13">
              <w:rPr>
                <w:rFonts w:ascii="Arial Narrow" w:hAnsi="Arial Narrow" w:cs="Arial"/>
                <w:sz w:val="20"/>
                <w:szCs w:val="20"/>
              </w:rPr>
            </w:r>
            <w:r w:rsidR="00233D13">
              <w:rPr>
                <w:rFonts w:ascii="Arial Narrow" w:hAnsi="Arial Narrow" w:cs="Arial"/>
                <w:sz w:val="20"/>
                <w:szCs w:val="20"/>
              </w:rPr>
              <w:fldChar w:fldCharType="separate"/>
            </w:r>
            <w:r w:rsidRPr="00F33674">
              <w:rPr>
                <w:rFonts w:ascii="Arial Narrow" w:hAnsi="Arial Narrow" w:cs="Arial"/>
                <w:sz w:val="20"/>
                <w:szCs w:val="20"/>
              </w:rPr>
              <w:fldChar w:fldCharType="end"/>
            </w:r>
            <w:r w:rsidRPr="00F33674">
              <w:rPr>
                <w:rFonts w:ascii="Arial Narrow" w:hAnsi="Arial Narrow" w:cs="Arial"/>
                <w:sz w:val="20"/>
                <w:szCs w:val="20"/>
              </w:rPr>
              <w:t>Nurse practitioners</w:t>
            </w:r>
            <w:r w:rsidR="002C1329">
              <w:rPr>
                <w:rFonts w:ascii="Arial Narrow" w:hAnsi="Arial Narrow" w:cs="Arial"/>
                <w:sz w:val="20"/>
                <w:szCs w:val="20"/>
              </w:rPr>
              <w:t xml:space="preserve"> </w:t>
            </w:r>
            <w:r w:rsidRPr="00F33674">
              <w:rPr>
                <w:rFonts w:ascii="Arial Narrow" w:hAnsi="Arial Narrow" w:cs="Arial"/>
                <w:sz w:val="20"/>
                <w:szCs w:val="20"/>
              </w:rPr>
              <w:fldChar w:fldCharType="begin">
                <w:ffData>
                  <w:name w:val=""/>
                  <w:enabled/>
                  <w:calcOnExit w:val="0"/>
                  <w:checkBox>
                    <w:sizeAuto/>
                    <w:default w:val="0"/>
                  </w:checkBox>
                </w:ffData>
              </w:fldChar>
            </w:r>
            <w:r w:rsidRPr="00F33674">
              <w:rPr>
                <w:rFonts w:ascii="Arial Narrow" w:hAnsi="Arial Narrow" w:cs="Arial"/>
                <w:sz w:val="20"/>
                <w:szCs w:val="20"/>
              </w:rPr>
              <w:instrText xml:space="preserve"> FORMCHECKBOX </w:instrText>
            </w:r>
            <w:r w:rsidR="00233D13">
              <w:rPr>
                <w:rFonts w:ascii="Arial Narrow" w:hAnsi="Arial Narrow" w:cs="Arial"/>
                <w:sz w:val="20"/>
                <w:szCs w:val="20"/>
              </w:rPr>
            </w:r>
            <w:r w:rsidR="00233D13">
              <w:rPr>
                <w:rFonts w:ascii="Arial Narrow" w:hAnsi="Arial Narrow" w:cs="Arial"/>
                <w:sz w:val="20"/>
                <w:szCs w:val="20"/>
              </w:rPr>
              <w:fldChar w:fldCharType="separate"/>
            </w:r>
            <w:r w:rsidRPr="00F33674">
              <w:rPr>
                <w:rFonts w:ascii="Arial Narrow" w:hAnsi="Arial Narrow" w:cs="Arial"/>
                <w:sz w:val="20"/>
                <w:szCs w:val="20"/>
              </w:rPr>
              <w:fldChar w:fldCharType="end"/>
            </w:r>
            <w:r w:rsidRPr="00F33674">
              <w:rPr>
                <w:rFonts w:ascii="Arial Narrow" w:hAnsi="Arial Narrow" w:cs="Arial"/>
                <w:sz w:val="20"/>
                <w:szCs w:val="20"/>
              </w:rPr>
              <w:t>Optometrists</w:t>
            </w:r>
          </w:p>
          <w:p w14:paraId="3E14FAAD" w14:textId="77777777" w:rsidR="00C032BC" w:rsidRPr="00F33674" w:rsidRDefault="00C032BC" w:rsidP="00A74C03">
            <w:pPr>
              <w:rPr>
                <w:rFonts w:ascii="Arial Narrow" w:hAnsi="Arial Narrow"/>
                <w:sz w:val="20"/>
                <w:szCs w:val="20"/>
              </w:rPr>
            </w:pPr>
            <w:r w:rsidRPr="00F33674">
              <w:rPr>
                <w:rFonts w:ascii="Arial Narrow" w:hAnsi="Arial Narrow" w:cs="Arial"/>
                <w:sz w:val="20"/>
                <w:szCs w:val="20"/>
              </w:rPr>
              <w:fldChar w:fldCharType="begin">
                <w:ffData>
                  <w:name w:val="Check5"/>
                  <w:enabled/>
                  <w:calcOnExit w:val="0"/>
                  <w:checkBox>
                    <w:sizeAuto/>
                    <w:default w:val="0"/>
                  </w:checkBox>
                </w:ffData>
              </w:fldChar>
            </w:r>
            <w:r w:rsidRPr="00F33674">
              <w:rPr>
                <w:rFonts w:ascii="Arial Narrow" w:hAnsi="Arial Narrow" w:cs="Arial"/>
                <w:sz w:val="20"/>
                <w:szCs w:val="20"/>
              </w:rPr>
              <w:instrText xml:space="preserve"> FORMCHECKBOX </w:instrText>
            </w:r>
            <w:r w:rsidR="00233D13">
              <w:rPr>
                <w:rFonts w:ascii="Arial Narrow" w:hAnsi="Arial Narrow" w:cs="Arial"/>
                <w:sz w:val="20"/>
                <w:szCs w:val="20"/>
              </w:rPr>
            </w:r>
            <w:r w:rsidR="00233D13">
              <w:rPr>
                <w:rFonts w:ascii="Arial Narrow" w:hAnsi="Arial Narrow" w:cs="Arial"/>
                <w:sz w:val="20"/>
                <w:szCs w:val="20"/>
              </w:rPr>
              <w:fldChar w:fldCharType="separate"/>
            </w:r>
            <w:r w:rsidRPr="00F33674">
              <w:rPr>
                <w:rFonts w:ascii="Arial Narrow" w:hAnsi="Arial Narrow" w:cs="Arial"/>
                <w:sz w:val="20"/>
                <w:szCs w:val="20"/>
              </w:rPr>
              <w:fldChar w:fldCharType="end"/>
            </w:r>
            <w:r w:rsidRPr="00F33674">
              <w:rPr>
                <w:rFonts w:ascii="Arial Narrow" w:hAnsi="Arial Narrow" w:cs="Arial"/>
                <w:sz w:val="20"/>
                <w:szCs w:val="20"/>
              </w:rPr>
              <w:t>Midwives</w:t>
            </w:r>
          </w:p>
        </w:tc>
      </w:tr>
      <w:tr w:rsidR="00C032BC" w:rsidRPr="00F33674" w14:paraId="438B0B51" w14:textId="77777777" w:rsidTr="00A74C03">
        <w:trPr>
          <w:cantSplit/>
          <w:trHeight w:val="369"/>
        </w:trPr>
        <w:tc>
          <w:tcPr>
            <w:tcW w:w="2781" w:type="dxa"/>
            <w:tcMar>
              <w:top w:w="0" w:type="dxa"/>
              <w:left w:w="108" w:type="dxa"/>
              <w:bottom w:w="0" w:type="dxa"/>
              <w:right w:w="108" w:type="dxa"/>
            </w:tcMar>
            <w:hideMark/>
          </w:tcPr>
          <w:p w14:paraId="783E858A" w14:textId="77777777" w:rsidR="00C032BC" w:rsidRPr="00F33674" w:rsidRDefault="00C032BC" w:rsidP="00A74C03">
            <w:pPr>
              <w:rPr>
                <w:rFonts w:ascii="Arial Narrow" w:hAnsi="Arial Narrow"/>
                <w:b/>
                <w:bCs/>
                <w:sz w:val="20"/>
                <w:szCs w:val="20"/>
              </w:rPr>
            </w:pPr>
            <w:r w:rsidRPr="00F33674">
              <w:rPr>
                <w:rFonts w:ascii="Arial Narrow" w:hAnsi="Arial Narrow" w:cs="Arial"/>
                <w:b/>
                <w:sz w:val="20"/>
                <w:szCs w:val="20"/>
              </w:rPr>
              <w:t>PBS indication:</w:t>
            </w:r>
          </w:p>
        </w:tc>
        <w:tc>
          <w:tcPr>
            <w:tcW w:w="6245" w:type="dxa"/>
            <w:tcMar>
              <w:top w:w="0" w:type="dxa"/>
              <w:left w:w="108" w:type="dxa"/>
              <w:bottom w:w="0" w:type="dxa"/>
              <w:right w:w="108" w:type="dxa"/>
            </w:tcMar>
            <w:hideMark/>
          </w:tcPr>
          <w:p w14:paraId="119606AE" w14:textId="77777777" w:rsidR="00C032BC" w:rsidRPr="00F33674" w:rsidRDefault="00C032BC" w:rsidP="00A74C03">
            <w:pPr>
              <w:rPr>
                <w:rFonts w:ascii="Arial Narrow" w:hAnsi="Arial Narrow"/>
                <w:sz w:val="20"/>
                <w:szCs w:val="20"/>
              </w:rPr>
            </w:pPr>
            <w:r w:rsidRPr="00F33674">
              <w:rPr>
                <w:rFonts w:ascii="Arial Narrow" w:hAnsi="Arial Narrow" w:cs="Arial"/>
                <w:sz w:val="20"/>
                <w:szCs w:val="20"/>
              </w:rPr>
              <w:t>[7861] Severe pain</w:t>
            </w:r>
          </w:p>
        </w:tc>
      </w:tr>
      <w:tr w:rsidR="00C032BC" w:rsidRPr="00F33674" w14:paraId="4DF7B6E1" w14:textId="77777777" w:rsidTr="00A74C03">
        <w:trPr>
          <w:cantSplit/>
          <w:trHeight w:val="360"/>
        </w:trPr>
        <w:tc>
          <w:tcPr>
            <w:tcW w:w="2781" w:type="dxa"/>
            <w:tcMar>
              <w:top w:w="0" w:type="dxa"/>
              <w:left w:w="108" w:type="dxa"/>
              <w:bottom w:w="0" w:type="dxa"/>
              <w:right w:w="108" w:type="dxa"/>
            </w:tcMar>
          </w:tcPr>
          <w:p w14:paraId="483DEE8E" w14:textId="77777777" w:rsidR="00C032BC" w:rsidRPr="00F33674" w:rsidRDefault="00C032BC" w:rsidP="00A74C03">
            <w:pPr>
              <w:rPr>
                <w:rFonts w:ascii="Arial Narrow" w:hAnsi="Arial Narrow" w:cs="Arial"/>
                <w:b/>
                <w:sz w:val="20"/>
                <w:szCs w:val="20"/>
              </w:rPr>
            </w:pPr>
            <w:r w:rsidRPr="00F33674">
              <w:rPr>
                <w:rFonts w:ascii="Arial Narrow" w:hAnsi="Arial Narrow" w:cs="Arial"/>
                <w:b/>
                <w:sz w:val="20"/>
                <w:szCs w:val="20"/>
              </w:rPr>
              <w:t>Restriction Level / Method:</w:t>
            </w:r>
          </w:p>
          <w:p w14:paraId="0AF5860C" w14:textId="77777777" w:rsidR="00C032BC" w:rsidRPr="00F33674" w:rsidRDefault="00C032BC" w:rsidP="00A74C03">
            <w:pPr>
              <w:rPr>
                <w:rFonts w:ascii="Arial Narrow" w:hAnsi="Arial Narrow" w:cs="Arial"/>
                <w:i/>
                <w:sz w:val="20"/>
                <w:szCs w:val="20"/>
              </w:rPr>
            </w:pPr>
          </w:p>
          <w:p w14:paraId="08242047" w14:textId="77777777" w:rsidR="00C032BC" w:rsidRPr="00F33674" w:rsidRDefault="00C032BC" w:rsidP="00A74C03">
            <w:pPr>
              <w:rPr>
                <w:rFonts w:ascii="Arial Narrow" w:hAnsi="Arial Narrow" w:cs="Arial"/>
                <w:i/>
                <w:sz w:val="20"/>
                <w:szCs w:val="20"/>
              </w:rPr>
            </w:pPr>
          </w:p>
          <w:p w14:paraId="6CF6F3D2" w14:textId="77777777" w:rsidR="00C032BC" w:rsidRPr="00F33674" w:rsidRDefault="00C032BC" w:rsidP="00A74C03">
            <w:pPr>
              <w:rPr>
                <w:rFonts w:ascii="Arial Narrow" w:hAnsi="Arial Narrow"/>
                <w:i/>
                <w:iCs/>
                <w:sz w:val="20"/>
                <w:szCs w:val="20"/>
              </w:rPr>
            </w:pPr>
          </w:p>
        </w:tc>
        <w:tc>
          <w:tcPr>
            <w:tcW w:w="6245" w:type="dxa"/>
            <w:tcMar>
              <w:top w:w="0" w:type="dxa"/>
              <w:left w:w="108" w:type="dxa"/>
              <w:bottom w:w="0" w:type="dxa"/>
              <w:right w:w="108" w:type="dxa"/>
            </w:tcMar>
            <w:hideMark/>
          </w:tcPr>
          <w:p w14:paraId="58F4A9B0" w14:textId="77777777" w:rsidR="00C032BC" w:rsidRPr="00F33674" w:rsidRDefault="00C032BC" w:rsidP="00A74C03">
            <w:pPr>
              <w:rPr>
                <w:rFonts w:ascii="Arial Narrow" w:hAnsi="Arial Narrow" w:cs="Arial"/>
                <w:sz w:val="20"/>
                <w:szCs w:val="20"/>
              </w:rPr>
            </w:pPr>
            <w:r w:rsidRPr="00F33674">
              <w:rPr>
                <w:rFonts w:ascii="Arial Narrow" w:hAnsi="Arial Narrow" w:cs="Arial"/>
                <w:sz w:val="20"/>
                <w:szCs w:val="20"/>
              </w:rPr>
              <w:fldChar w:fldCharType="begin">
                <w:ffData>
                  <w:name w:val=""/>
                  <w:enabled/>
                  <w:calcOnExit w:val="0"/>
                  <w:checkBox>
                    <w:sizeAuto/>
                    <w:default w:val="0"/>
                  </w:checkBox>
                </w:ffData>
              </w:fldChar>
            </w:r>
            <w:r w:rsidRPr="00F33674">
              <w:rPr>
                <w:rFonts w:ascii="Arial Narrow" w:hAnsi="Arial Narrow" w:cs="Arial"/>
                <w:sz w:val="20"/>
                <w:szCs w:val="20"/>
              </w:rPr>
              <w:instrText xml:space="preserve"> FORMCHECKBOX </w:instrText>
            </w:r>
            <w:r w:rsidR="00233D13">
              <w:rPr>
                <w:rFonts w:ascii="Arial Narrow" w:hAnsi="Arial Narrow" w:cs="Arial"/>
                <w:sz w:val="20"/>
                <w:szCs w:val="20"/>
              </w:rPr>
            </w:r>
            <w:r w:rsidR="00233D13">
              <w:rPr>
                <w:rFonts w:ascii="Arial Narrow" w:hAnsi="Arial Narrow" w:cs="Arial"/>
                <w:sz w:val="20"/>
                <w:szCs w:val="20"/>
              </w:rPr>
              <w:fldChar w:fldCharType="separate"/>
            </w:r>
            <w:r w:rsidRPr="00F33674">
              <w:rPr>
                <w:rFonts w:ascii="Arial Narrow" w:hAnsi="Arial Narrow" w:cs="Arial"/>
                <w:sz w:val="20"/>
                <w:szCs w:val="20"/>
              </w:rPr>
              <w:fldChar w:fldCharType="end"/>
            </w:r>
            <w:r w:rsidRPr="00F33674">
              <w:rPr>
                <w:rFonts w:ascii="Arial Narrow" w:hAnsi="Arial Narrow" w:cs="Arial"/>
                <w:sz w:val="20"/>
                <w:szCs w:val="20"/>
              </w:rPr>
              <w:t>Unrestricted benefit</w:t>
            </w:r>
          </w:p>
          <w:p w14:paraId="3D1E9C14" w14:textId="77777777" w:rsidR="00C032BC" w:rsidRPr="00F33674" w:rsidRDefault="00C032BC" w:rsidP="00A74C03">
            <w:pPr>
              <w:rPr>
                <w:rFonts w:ascii="Arial Narrow" w:hAnsi="Arial Narrow" w:cs="Arial"/>
                <w:i/>
                <w:sz w:val="20"/>
                <w:szCs w:val="20"/>
              </w:rPr>
            </w:pPr>
            <w:r w:rsidRPr="00F33674">
              <w:rPr>
                <w:rFonts w:ascii="Arial Narrow" w:hAnsi="Arial Narrow" w:cs="Arial"/>
                <w:i/>
                <w:sz w:val="20"/>
                <w:szCs w:val="20"/>
              </w:rPr>
              <w:fldChar w:fldCharType="begin">
                <w:ffData>
                  <w:name w:val="Check1"/>
                  <w:enabled/>
                  <w:calcOnExit w:val="0"/>
                  <w:checkBox>
                    <w:sizeAuto/>
                    <w:default w:val="1"/>
                  </w:checkBox>
                </w:ffData>
              </w:fldChar>
            </w:r>
            <w:r w:rsidRPr="00F33674">
              <w:rPr>
                <w:rFonts w:ascii="Arial Narrow" w:hAnsi="Arial Narrow" w:cs="Arial"/>
                <w:i/>
                <w:sz w:val="20"/>
                <w:szCs w:val="20"/>
              </w:rPr>
              <w:instrText xml:space="preserve"> FORMCHECKBOX </w:instrText>
            </w:r>
            <w:r w:rsidR="00233D13">
              <w:rPr>
                <w:rFonts w:ascii="Arial Narrow" w:hAnsi="Arial Narrow" w:cs="Arial"/>
                <w:i/>
                <w:sz w:val="20"/>
                <w:szCs w:val="20"/>
              </w:rPr>
            </w:r>
            <w:r w:rsidR="00233D13">
              <w:rPr>
                <w:rFonts w:ascii="Arial Narrow" w:hAnsi="Arial Narrow" w:cs="Arial"/>
                <w:i/>
                <w:sz w:val="20"/>
                <w:szCs w:val="20"/>
              </w:rPr>
              <w:fldChar w:fldCharType="separate"/>
            </w:r>
            <w:r w:rsidRPr="00F33674">
              <w:rPr>
                <w:rFonts w:ascii="Arial Narrow" w:hAnsi="Arial Narrow" w:cs="Arial"/>
                <w:i/>
                <w:sz w:val="20"/>
                <w:szCs w:val="20"/>
              </w:rPr>
              <w:fldChar w:fldCharType="end"/>
            </w:r>
            <w:r w:rsidRPr="00F33674">
              <w:rPr>
                <w:rFonts w:ascii="Arial Narrow" w:hAnsi="Arial Narrow" w:cs="Arial"/>
                <w:sz w:val="20"/>
                <w:szCs w:val="20"/>
              </w:rPr>
              <w:t>Restricted benefit</w:t>
            </w:r>
          </w:p>
          <w:p w14:paraId="5A568E9F" w14:textId="77777777" w:rsidR="00C032BC" w:rsidRPr="00F33674" w:rsidRDefault="00C032BC" w:rsidP="00A74C03">
            <w:pPr>
              <w:rPr>
                <w:rFonts w:ascii="Arial Narrow" w:hAnsi="Arial Narrow" w:cs="Arial"/>
                <w:sz w:val="20"/>
                <w:szCs w:val="20"/>
              </w:rPr>
            </w:pPr>
            <w:r w:rsidRPr="00F33674">
              <w:rPr>
                <w:rFonts w:ascii="Arial Narrow" w:hAnsi="Arial Narrow" w:cs="Arial"/>
                <w:sz w:val="20"/>
                <w:szCs w:val="20"/>
              </w:rPr>
              <w:fldChar w:fldCharType="begin">
                <w:ffData>
                  <w:name w:val=""/>
                  <w:enabled/>
                  <w:calcOnExit w:val="0"/>
                  <w:checkBox>
                    <w:sizeAuto/>
                    <w:default w:val="0"/>
                  </w:checkBox>
                </w:ffData>
              </w:fldChar>
            </w:r>
            <w:r w:rsidRPr="00F33674">
              <w:rPr>
                <w:rFonts w:ascii="Arial Narrow" w:hAnsi="Arial Narrow" w:cs="Arial"/>
                <w:sz w:val="20"/>
                <w:szCs w:val="20"/>
              </w:rPr>
              <w:instrText xml:space="preserve"> FORMCHECKBOX </w:instrText>
            </w:r>
            <w:r w:rsidR="00233D13">
              <w:rPr>
                <w:rFonts w:ascii="Arial Narrow" w:hAnsi="Arial Narrow" w:cs="Arial"/>
                <w:sz w:val="20"/>
                <w:szCs w:val="20"/>
              </w:rPr>
            </w:r>
            <w:r w:rsidR="00233D13">
              <w:rPr>
                <w:rFonts w:ascii="Arial Narrow" w:hAnsi="Arial Narrow" w:cs="Arial"/>
                <w:sz w:val="20"/>
                <w:szCs w:val="20"/>
              </w:rPr>
              <w:fldChar w:fldCharType="separate"/>
            </w:r>
            <w:r w:rsidRPr="00F33674">
              <w:rPr>
                <w:rFonts w:ascii="Arial Narrow" w:hAnsi="Arial Narrow" w:cs="Arial"/>
                <w:sz w:val="20"/>
                <w:szCs w:val="20"/>
              </w:rPr>
              <w:fldChar w:fldCharType="end"/>
            </w:r>
            <w:r w:rsidRPr="00F33674">
              <w:rPr>
                <w:rFonts w:ascii="Arial Narrow" w:hAnsi="Arial Narrow" w:cs="Arial"/>
                <w:sz w:val="20"/>
                <w:szCs w:val="20"/>
              </w:rPr>
              <w:t>Authority Required – In Writing</w:t>
            </w:r>
          </w:p>
          <w:p w14:paraId="45AA3E0E" w14:textId="77777777" w:rsidR="00C032BC" w:rsidRPr="00F33674" w:rsidRDefault="00C032BC" w:rsidP="00A74C03">
            <w:pPr>
              <w:rPr>
                <w:rFonts w:ascii="Arial Narrow" w:hAnsi="Arial Narrow" w:cs="Arial"/>
                <w:sz w:val="20"/>
                <w:szCs w:val="20"/>
              </w:rPr>
            </w:pPr>
            <w:r w:rsidRPr="00F33674">
              <w:rPr>
                <w:rFonts w:ascii="Arial Narrow" w:hAnsi="Arial Narrow" w:cs="Arial"/>
                <w:sz w:val="20"/>
                <w:szCs w:val="20"/>
              </w:rPr>
              <w:fldChar w:fldCharType="begin">
                <w:ffData>
                  <w:name w:val="Check3"/>
                  <w:enabled/>
                  <w:calcOnExit w:val="0"/>
                  <w:checkBox>
                    <w:sizeAuto/>
                    <w:default w:val="0"/>
                  </w:checkBox>
                </w:ffData>
              </w:fldChar>
            </w:r>
            <w:r w:rsidRPr="00F33674">
              <w:rPr>
                <w:rFonts w:ascii="Arial Narrow" w:hAnsi="Arial Narrow" w:cs="Arial"/>
                <w:sz w:val="20"/>
                <w:szCs w:val="20"/>
              </w:rPr>
              <w:instrText xml:space="preserve"> FORMCHECKBOX </w:instrText>
            </w:r>
            <w:r w:rsidR="00233D13">
              <w:rPr>
                <w:rFonts w:ascii="Arial Narrow" w:hAnsi="Arial Narrow" w:cs="Arial"/>
                <w:sz w:val="20"/>
                <w:szCs w:val="20"/>
              </w:rPr>
            </w:r>
            <w:r w:rsidR="00233D13">
              <w:rPr>
                <w:rFonts w:ascii="Arial Narrow" w:hAnsi="Arial Narrow" w:cs="Arial"/>
                <w:sz w:val="20"/>
                <w:szCs w:val="20"/>
              </w:rPr>
              <w:fldChar w:fldCharType="separate"/>
            </w:r>
            <w:r w:rsidRPr="00F33674">
              <w:rPr>
                <w:rFonts w:ascii="Arial Narrow" w:hAnsi="Arial Narrow" w:cs="Arial"/>
                <w:sz w:val="20"/>
                <w:szCs w:val="20"/>
              </w:rPr>
              <w:fldChar w:fldCharType="end"/>
            </w:r>
            <w:r w:rsidRPr="00F33674">
              <w:rPr>
                <w:rFonts w:ascii="Arial Narrow" w:hAnsi="Arial Narrow" w:cs="Arial"/>
                <w:sz w:val="20"/>
                <w:szCs w:val="20"/>
              </w:rPr>
              <w:t>Authority Required – Telephone/Electronic/Emergency</w:t>
            </w:r>
          </w:p>
          <w:p w14:paraId="2F1B8630" w14:textId="77777777" w:rsidR="00C032BC" w:rsidRPr="00F33674" w:rsidRDefault="00C032BC" w:rsidP="00A74C03">
            <w:pPr>
              <w:rPr>
                <w:rFonts w:ascii="Arial Narrow" w:hAnsi="Arial Narrow"/>
                <w:sz w:val="20"/>
                <w:szCs w:val="20"/>
              </w:rPr>
            </w:pPr>
            <w:r w:rsidRPr="00F33674">
              <w:rPr>
                <w:rFonts w:ascii="Arial Narrow" w:hAnsi="Arial Narrow" w:cs="Arial"/>
                <w:sz w:val="20"/>
                <w:szCs w:val="20"/>
              </w:rPr>
              <w:fldChar w:fldCharType="begin">
                <w:ffData>
                  <w:name w:val="Check5"/>
                  <w:enabled/>
                  <w:calcOnExit w:val="0"/>
                  <w:checkBox>
                    <w:sizeAuto/>
                    <w:default w:val="0"/>
                  </w:checkBox>
                </w:ffData>
              </w:fldChar>
            </w:r>
            <w:r w:rsidRPr="00F33674">
              <w:rPr>
                <w:rFonts w:ascii="Arial Narrow" w:hAnsi="Arial Narrow" w:cs="Arial"/>
                <w:sz w:val="20"/>
                <w:szCs w:val="20"/>
              </w:rPr>
              <w:instrText xml:space="preserve"> FORMCHECKBOX </w:instrText>
            </w:r>
            <w:r w:rsidR="00233D13">
              <w:rPr>
                <w:rFonts w:ascii="Arial Narrow" w:hAnsi="Arial Narrow" w:cs="Arial"/>
                <w:sz w:val="20"/>
                <w:szCs w:val="20"/>
              </w:rPr>
            </w:r>
            <w:r w:rsidR="00233D13">
              <w:rPr>
                <w:rFonts w:ascii="Arial Narrow" w:hAnsi="Arial Narrow" w:cs="Arial"/>
                <w:sz w:val="20"/>
                <w:szCs w:val="20"/>
              </w:rPr>
              <w:fldChar w:fldCharType="separate"/>
            </w:r>
            <w:r w:rsidRPr="00F33674">
              <w:rPr>
                <w:rFonts w:ascii="Arial Narrow" w:hAnsi="Arial Narrow" w:cs="Arial"/>
                <w:sz w:val="20"/>
                <w:szCs w:val="20"/>
              </w:rPr>
              <w:fldChar w:fldCharType="end"/>
            </w:r>
            <w:r w:rsidRPr="00F33674">
              <w:rPr>
                <w:rFonts w:ascii="Arial Narrow" w:hAnsi="Arial Narrow" w:cs="Arial"/>
                <w:sz w:val="20"/>
                <w:szCs w:val="20"/>
              </w:rPr>
              <w:t>Streamlined</w:t>
            </w:r>
          </w:p>
        </w:tc>
      </w:tr>
      <w:tr w:rsidR="00C032BC" w:rsidRPr="00F33674" w14:paraId="04BE4B81" w14:textId="77777777" w:rsidTr="00A74C03">
        <w:trPr>
          <w:cantSplit/>
          <w:trHeight w:val="360"/>
        </w:trPr>
        <w:tc>
          <w:tcPr>
            <w:tcW w:w="2781" w:type="dxa"/>
            <w:tcMar>
              <w:top w:w="0" w:type="dxa"/>
              <w:left w:w="108" w:type="dxa"/>
              <w:bottom w:w="0" w:type="dxa"/>
              <w:right w:w="108" w:type="dxa"/>
            </w:tcMar>
          </w:tcPr>
          <w:p w14:paraId="332FAE9B" w14:textId="553E46B6" w:rsidR="00C032BC" w:rsidRPr="00F33674" w:rsidRDefault="00C032BC" w:rsidP="00C032BC">
            <w:pPr>
              <w:rPr>
                <w:rFonts w:ascii="Arial Narrow" w:hAnsi="Arial Narrow" w:cs="Arial"/>
                <w:b/>
                <w:sz w:val="20"/>
                <w:szCs w:val="20"/>
              </w:rPr>
            </w:pPr>
            <w:r>
              <w:rPr>
                <w:rFonts w:ascii="Arial Narrow" w:hAnsi="Arial Narrow" w:cs="Arial"/>
                <w:b/>
                <w:sz w:val="20"/>
                <w:szCs w:val="20"/>
              </w:rPr>
              <w:t>Treatment phase:</w:t>
            </w:r>
          </w:p>
        </w:tc>
        <w:tc>
          <w:tcPr>
            <w:tcW w:w="6245" w:type="dxa"/>
            <w:tcMar>
              <w:top w:w="0" w:type="dxa"/>
              <w:left w:w="108" w:type="dxa"/>
              <w:bottom w:w="0" w:type="dxa"/>
              <w:right w:w="108" w:type="dxa"/>
            </w:tcMar>
          </w:tcPr>
          <w:p w14:paraId="474A341E" w14:textId="149E588C" w:rsidR="00C032BC" w:rsidRPr="00F33674" w:rsidRDefault="00C032BC" w:rsidP="00C032BC">
            <w:pPr>
              <w:jc w:val="left"/>
              <w:rPr>
                <w:rFonts w:ascii="Arial Narrow" w:hAnsi="Arial Narrow" w:cs="Arial"/>
                <w:sz w:val="20"/>
                <w:szCs w:val="20"/>
              </w:rPr>
            </w:pPr>
            <w:r>
              <w:rPr>
                <w:rFonts w:ascii="Arial Narrow" w:hAnsi="Arial Narrow" w:cs="Arial"/>
                <w:sz w:val="20"/>
                <w:szCs w:val="20"/>
              </w:rPr>
              <w:t>Continuing</w:t>
            </w:r>
            <w:r w:rsidRPr="00407308">
              <w:rPr>
                <w:rFonts w:ascii="Arial Narrow" w:hAnsi="Arial Narrow" w:cs="Arial"/>
                <w:sz w:val="20"/>
                <w:szCs w:val="20"/>
              </w:rPr>
              <w:t xml:space="preserve"> PBS treatment after 1 June 2020</w:t>
            </w:r>
          </w:p>
        </w:tc>
      </w:tr>
      <w:tr w:rsidR="00C032BC" w:rsidRPr="00F33674" w14:paraId="42E098B0" w14:textId="77777777" w:rsidTr="00A74C03">
        <w:trPr>
          <w:cantSplit/>
          <w:trHeight w:val="360"/>
        </w:trPr>
        <w:tc>
          <w:tcPr>
            <w:tcW w:w="2781" w:type="dxa"/>
            <w:tcMar>
              <w:top w:w="0" w:type="dxa"/>
              <w:left w:w="108" w:type="dxa"/>
              <w:bottom w:w="0" w:type="dxa"/>
              <w:right w:w="108" w:type="dxa"/>
            </w:tcMar>
            <w:hideMark/>
          </w:tcPr>
          <w:p w14:paraId="136336DC" w14:textId="383DE2D8" w:rsidR="00C032BC" w:rsidRPr="00F33674" w:rsidRDefault="00C032BC" w:rsidP="00C032BC">
            <w:pPr>
              <w:rPr>
                <w:rFonts w:ascii="Arial Narrow" w:hAnsi="Arial Narrow"/>
                <w:b/>
                <w:bCs/>
                <w:sz w:val="20"/>
                <w:szCs w:val="20"/>
              </w:rPr>
            </w:pPr>
            <w:r w:rsidRPr="00F33674">
              <w:rPr>
                <w:rFonts w:ascii="Arial Narrow" w:hAnsi="Arial Narrow" w:cs="Arial"/>
                <w:b/>
                <w:sz w:val="20"/>
                <w:szCs w:val="20"/>
              </w:rPr>
              <w:lastRenderedPageBreak/>
              <w:t>Clinical criteria:</w:t>
            </w:r>
          </w:p>
        </w:tc>
        <w:tc>
          <w:tcPr>
            <w:tcW w:w="6245" w:type="dxa"/>
            <w:tcMar>
              <w:top w:w="0" w:type="dxa"/>
              <w:left w:w="108" w:type="dxa"/>
              <w:bottom w:w="0" w:type="dxa"/>
              <w:right w:w="108" w:type="dxa"/>
            </w:tcMar>
          </w:tcPr>
          <w:p w14:paraId="2E3BB020" w14:textId="62FDF97C" w:rsidR="00C032BC" w:rsidRPr="00F33674" w:rsidRDefault="00C032BC" w:rsidP="00C032BC">
            <w:pPr>
              <w:jc w:val="left"/>
              <w:rPr>
                <w:rFonts w:ascii="Arial Narrow" w:hAnsi="Arial Narrow"/>
                <w:sz w:val="20"/>
                <w:szCs w:val="20"/>
              </w:rPr>
            </w:pPr>
            <w:r w:rsidRPr="00F33674">
              <w:rPr>
                <w:rFonts w:ascii="Arial Narrow" w:hAnsi="Arial Narrow" w:cs="Arial"/>
                <w:sz w:val="20"/>
                <w:szCs w:val="20"/>
              </w:rPr>
              <w:t xml:space="preserve">[new] </w:t>
            </w:r>
            <w:r w:rsidRPr="00D36BEC">
              <w:rPr>
                <w:rFonts w:ascii="Arial Narrow" w:hAnsi="Arial Narrow" w:cs="Arial"/>
                <w:sz w:val="20"/>
                <w:szCs w:val="20"/>
              </w:rPr>
              <w:t>Patient must have previously received PBS-subsidised treatment with this form of this drug for this condition after 1 June 2020</w:t>
            </w:r>
          </w:p>
        </w:tc>
      </w:tr>
      <w:tr w:rsidR="00C032BC" w:rsidRPr="00F33674" w14:paraId="561FED64" w14:textId="77777777" w:rsidTr="00A74C03">
        <w:trPr>
          <w:cantSplit/>
          <w:trHeight w:val="360"/>
        </w:trPr>
        <w:tc>
          <w:tcPr>
            <w:tcW w:w="2781" w:type="dxa"/>
            <w:tcMar>
              <w:top w:w="0" w:type="dxa"/>
              <w:left w:w="108" w:type="dxa"/>
              <w:bottom w:w="0" w:type="dxa"/>
              <w:right w:w="108" w:type="dxa"/>
            </w:tcMar>
          </w:tcPr>
          <w:p w14:paraId="3D4E6257" w14:textId="22422098" w:rsidR="00C032BC" w:rsidRPr="00F33674" w:rsidRDefault="00C032BC" w:rsidP="00C032BC">
            <w:pPr>
              <w:rPr>
                <w:rFonts w:ascii="Arial Narrow" w:hAnsi="Arial Narrow" w:cs="Arial"/>
                <w:b/>
                <w:sz w:val="20"/>
                <w:szCs w:val="20"/>
              </w:rPr>
            </w:pPr>
            <w:r w:rsidRPr="00F33674">
              <w:rPr>
                <w:rFonts w:ascii="Arial Narrow" w:hAnsi="Arial Narrow" w:cs="Arial"/>
                <w:b/>
                <w:sz w:val="20"/>
                <w:szCs w:val="20"/>
              </w:rPr>
              <w:t>Prescriber instructions:</w:t>
            </w:r>
          </w:p>
        </w:tc>
        <w:tc>
          <w:tcPr>
            <w:tcW w:w="6245" w:type="dxa"/>
            <w:tcMar>
              <w:top w:w="0" w:type="dxa"/>
              <w:left w:w="108" w:type="dxa"/>
              <w:bottom w:w="0" w:type="dxa"/>
              <w:right w:w="108" w:type="dxa"/>
            </w:tcMar>
          </w:tcPr>
          <w:p w14:paraId="08F7EC6F" w14:textId="77777777" w:rsidR="00C032BC" w:rsidRPr="00C17A07" w:rsidRDefault="00C032BC" w:rsidP="00C032BC">
            <w:pPr>
              <w:jc w:val="left"/>
              <w:rPr>
                <w:rFonts w:ascii="Arial Narrow" w:hAnsi="Arial Narrow" w:cs="Arial"/>
                <w:sz w:val="20"/>
                <w:szCs w:val="20"/>
              </w:rPr>
            </w:pPr>
            <w:r w:rsidRPr="00F33674">
              <w:rPr>
                <w:rFonts w:ascii="Arial Narrow" w:hAnsi="Arial Narrow" w:cs="Arial"/>
                <w:sz w:val="20"/>
                <w:szCs w:val="20"/>
              </w:rPr>
              <w:t xml:space="preserve">[new] </w:t>
            </w:r>
            <w:r w:rsidRPr="00C17A07">
              <w:rPr>
                <w:rFonts w:ascii="Arial Narrow" w:hAnsi="Arial Narrow" w:cs="Arial"/>
                <w:sz w:val="20"/>
                <w:szCs w:val="20"/>
              </w:rPr>
              <w:t>Authorities for increased maximum quantities and/or repeats must only be considered where the patient has received initial authority approval for:</w:t>
            </w:r>
          </w:p>
          <w:p w14:paraId="2A360BE2" w14:textId="77777777" w:rsidR="00C032BC" w:rsidRPr="00C17A07" w:rsidRDefault="00C032BC" w:rsidP="00C032BC">
            <w:pPr>
              <w:jc w:val="left"/>
              <w:rPr>
                <w:rFonts w:ascii="Arial Narrow" w:hAnsi="Arial Narrow" w:cs="Arial"/>
                <w:sz w:val="20"/>
                <w:szCs w:val="20"/>
              </w:rPr>
            </w:pPr>
            <w:r w:rsidRPr="00C17A07">
              <w:rPr>
                <w:rFonts w:ascii="Arial Narrow" w:hAnsi="Arial Narrow" w:cs="Arial"/>
                <w:sz w:val="20"/>
                <w:szCs w:val="20"/>
              </w:rPr>
              <w:t>(i) severe disabling pain associated with malignant neoplasia; or</w:t>
            </w:r>
          </w:p>
          <w:p w14:paraId="7672A15C" w14:textId="77777777" w:rsidR="00C032BC" w:rsidRPr="00C17A07" w:rsidRDefault="00C032BC" w:rsidP="00C032BC">
            <w:pPr>
              <w:jc w:val="left"/>
              <w:rPr>
                <w:rFonts w:ascii="Arial Narrow" w:hAnsi="Arial Narrow" w:cs="Arial"/>
                <w:sz w:val="20"/>
                <w:szCs w:val="20"/>
              </w:rPr>
            </w:pPr>
            <w:r w:rsidRPr="00C17A07">
              <w:rPr>
                <w:rFonts w:ascii="Arial Narrow" w:hAnsi="Arial Narrow" w:cs="Arial"/>
                <w:sz w:val="20"/>
                <w:szCs w:val="20"/>
              </w:rPr>
              <w:t>(ii) chronic severe disabling pain where the total duration of non-PBS and PBS opioid analgesic treatment is less than 12 months; or</w:t>
            </w:r>
          </w:p>
          <w:p w14:paraId="26A53278" w14:textId="77777777" w:rsidR="00C032BC" w:rsidRPr="00C17A07" w:rsidRDefault="00C032BC" w:rsidP="00C032BC">
            <w:pPr>
              <w:jc w:val="left"/>
              <w:rPr>
                <w:rFonts w:ascii="Arial Narrow" w:hAnsi="Arial Narrow" w:cs="Arial"/>
                <w:sz w:val="20"/>
                <w:szCs w:val="20"/>
              </w:rPr>
            </w:pPr>
            <w:r w:rsidRPr="00C17A07">
              <w:rPr>
                <w:rFonts w:ascii="Arial Narrow" w:hAnsi="Arial Narrow" w:cs="Arial"/>
                <w:sz w:val="20"/>
                <w:szCs w:val="20"/>
              </w:rPr>
              <w:t>(iii) palliative care patients with chronic severe disabling pain where the total duration of non-PBS and PBS opioid analgesic treatment exceeds 12 months and the patient is unable to have annual pain management review due to their clinical condition; or</w:t>
            </w:r>
          </w:p>
          <w:p w14:paraId="2A8DFCBD" w14:textId="77777777" w:rsidR="00C032BC" w:rsidRPr="00C17A07" w:rsidRDefault="00C032BC" w:rsidP="00C032BC">
            <w:pPr>
              <w:jc w:val="left"/>
              <w:rPr>
                <w:rFonts w:ascii="Arial Narrow" w:hAnsi="Arial Narrow" w:cs="Arial"/>
                <w:sz w:val="20"/>
                <w:szCs w:val="20"/>
              </w:rPr>
            </w:pPr>
            <w:r w:rsidRPr="00C17A07">
              <w:rPr>
                <w:rFonts w:ascii="Arial Narrow" w:hAnsi="Arial Narrow" w:cs="Arial"/>
                <w:sz w:val="20"/>
                <w:szCs w:val="20"/>
              </w:rPr>
              <w:t>(iv) chronic severe disabling pain where the total duration of non-PBS and PBS opioid analgesic treatment exceeds 12 months and the patient's clinical need for continuing opioid treatment has been confirmed through consultation with the patient by another medical practitioner or a palliative care nurse practitioner in the past 12 months; or</w:t>
            </w:r>
          </w:p>
          <w:p w14:paraId="24259BA7" w14:textId="77777777" w:rsidR="00C032BC" w:rsidRPr="00F33674" w:rsidRDefault="00C032BC" w:rsidP="00C032BC">
            <w:pPr>
              <w:jc w:val="left"/>
              <w:rPr>
                <w:rFonts w:ascii="Arial Narrow" w:hAnsi="Arial Narrow" w:cs="Arial"/>
                <w:sz w:val="20"/>
                <w:szCs w:val="20"/>
              </w:rPr>
            </w:pPr>
            <w:proofErr w:type="gramStart"/>
            <w:r w:rsidRPr="00C17A07">
              <w:rPr>
                <w:rFonts w:ascii="Arial Narrow" w:hAnsi="Arial Narrow" w:cs="Arial"/>
                <w:sz w:val="20"/>
                <w:szCs w:val="20"/>
              </w:rPr>
              <w:t>(v) chronic severe disabling pain where the total duration of non-PBS and PBS opioid analgesic treatment has exceeded 12 months prior to 1 June 2020 and the patient's clinical need for continuing opioid treatment has not been confirmed through consultation with the patient by another medical practitioner or a palliative care nurse practitioner in the past 12 months, but is planned in the next 3 months.</w:t>
            </w:r>
            <w:proofErr w:type="gramEnd"/>
          </w:p>
          <w:p w14:paraId="51D129F6" w14:textId="77777777" w:rsidR="00C032BC" w:rsidRDefault="00C032BC" w:rsidP="00C032BC">
            <w:pPr>
              <w:jc w:val="left"/>
              <w:rPr>
                <w:rFonts w:ascii="Arial Narrow" w:hAnsi="Arial Narrow" w:cs="Arial"/>
                <w:sz w:val="20"/>
                <w:szCs w:val="20"/>
              </w:rPr>
            </w:pPr>
          </w:p>
          <w:p w14:paraId="6043A978" w14:textId="77777777" w:rsidR="00C032BC" w:rsidRDefault="00C032BC" w:rsidP="00C032BC">
            <w:pPr>
              <w:jc w:val="left"/>
              <w:rPr>
                <w:rFonts w:ascii="Arial Narrow" w:hAnsi="Arial Narrow" w:cs="Arial"/>
                <w:sz w:val="20"/>
                <w:szCs w:val="20"/>
              </w:rPr>
            </w:pPr>
            <w:r>
              <w:rPr>
                <w:rFonts w:ascii="Arial Narrow" w:hAnsi="Arial Narrow" w:cs="Arial"/>
                <w:sz w:val="20"/>
                <w:szCs w:val="20"/>
              </w:rPr>
              <w:t xml:space="preserve">[new] </w:t>
            </w:r>
            <w:r w:rsidRPr="0021023D">
              <w:rPr>
                <w:rFonts w:ascii="Arial Narrow" w:hAnsi="Arial Narrow" w:cs="Arial"/>
                <w:sz w:val="20"/>
                <w:szCs w:val="20"/>
              </w:rPr>
              <w:t>Palliative care nurses may conduct annual review under this item for the treatment of palliative care patients only.</w:t>
            </w:r>
          </w:p>
          <w:p w14:paraId="1EC9380A" w14:textId="77777777" w:rsidR="00C032BC" w:rsidRPr="00F33674" w:rsidRDefault="00C032BC" w:rsidP="00C032BC">
            <w:pPr>
              <w:jc w:val="left"/>
              <w:rPr>
                <w:rFonts w:ascii="Arial Narrow" w:hAnsi="Arial Narrow" w:cs="Arial"/>
                <w:sz w:val="20"/>
                <w:szCs w:val="20"/>
              </w:rPr>
            </w:pPr>
          </w:p>
          <w:p w14:paraId="28778A23" w14:textId="77777777" w:rsidR="00C032BC" w:rsidRPr="00F33674" w:rsidRDefault="00C032BC" w:rsidP="00C032BC">
            <w:pPr>
              <w:jc w:val="left"/>
              <w:rPr>
                <w:rFonts w:ascii="Arial Narrow" w:hAnsi="Arial Narrow" w:cs="Arial"/>
                <w:sz w:val="20"/>
                <w:szCs w:val="20"/>
              </w:rPr>
            </w:pPr>
            <w:r w:rsidRPr="00F33674">
              <w:rPr>
                <w:rFonts w:ascii="Arial Narrow" w:hAnsi="Arial Narrow" w:cs="Arial"/>
                <w:sz w:val="20"/>
                <w:szCs w:val="20"/>
              </w:rPr>
              <w:t>[new] Authority requests extending treatment duration up to 1 month may be requested though the Online PBS Authorities system or by calling Services Australia.</w:t>
            </w:r>
          </w:p>
          <w:p w14:paraId="0CFB2487" w14:textId="77777777" w:rsidR="00C032BC" w:rsidRPr="00F33674" w:rsidRDefault="00C032BC" w:rsidP="00C032BC">
            <w:pPr>
              <w:jc w:val="left"/>
              <w:rPr>
                <w:rFonts w:ascii="Arial Narrow" w:hAnsi="Arial Narrow" w:cs="Arial"/>
                <w:sz w:val="20"/>
                <w:szCs w:val="20"/>
              </w:rPr>
            </w:pPr>
          </w:p>
          <w:p w14:paraId="4215B725" w14:textId="19B51148" w:rsidR="00C032BC" w:rsidRPr="00F33674" w:rsidRDefault="00C032BC" w:rsidP="00C032BC">
            <w:pPr>
              <w:jc w:val="left"/>
              <w:rPr>
                <w:rFonts w:ascii="Arial Narrow" w:hAnsi="Arial Narrow" w:cs="Arial"/>
                <w:sz w:val="20"/>
                <w:szCs w:val="20"/>
              </w:rPr>
            </w:pPr>
            <w:r w:rsidRPr="00F33674">
              <w:rPr>
                <w:rFonts w:ascii="Arial Narrow" w:hAnsi="Arial Narrow" w:cs="Arial"/>
                <w:sz w:val="20"/>
                <w:szCs w:val="20"/>
              </w:rPr>
              <w:t xml:space="preserve">Authority requests extending treatment duration beyond 1 month </w:t>
            </w:r>
            <w:r>
              <w:rPr>
                <w:rFonts w:ascii="Arial Narrow" w:hAnsi="Arial Narrow" w:cs="Arial"/>
                <w:sz w:val="20"/>
                <w:szCs w:val="20"/>
              </w:rPr>
              <w:t>may</w:t>
            </w:r>
            <w:r w:rsidRPr="00F33674">
              <w:rPr>
                <w:rFonts w:ascii="Arial Narrow" w:hAnsi="Arial Narrow" w:cs="Arial"/>
                <w:sz w:val="20"/>
                <w:szCs w:val="20"/>
              </w:rPr>
              <w:t xml:space="preserve"> be </w:t>
            </w:r>
            <w:r>
              <w:rPr>
                <w:rFonts w:ascii="Arial Narrow" w:hAnsi="Arial Narrow" w:cs="Arial"/>
                <w:sz w:val="20"/>
                <w:szCs w:val="20"/>
              </w:rPr>
              <w:t>requested through the Online PBS Authorities system</w:t>
            </w:r>
            <w:r w:rsidRPr="00F33674">
              <w:rPr>
                <w:rFonts w:ascii="Arial Narrow" w:hAnsi="Arial Narrow" w:cs="Arial"/>
                <w:sz w:val="20"/>
                <w:szCs w:val="20"/>
              </w:rPr>
              <w:t xml:space="preserve"> or in writing and must not provide a treatment duration exceeding 3 months</w:t>
            </w:r>
            <w:r>
              <w:rPr>
                <w:rFonts w:ascii="Arial Narrow" w:hAnsi="Arial Narrow" w:cs="Arial"/>
                <w:sz w:val="20"/>
                <w:szCs w:val="20"/>
              </w:rPr>
              <w:t xml:space="preserve"> (quantity sufficient for up to </w:t>
            </w:r>
            <w:proofErr w:type="gramStart"/>
            <w:r>
              <w:rPr>
                <w:rFonts w:ascii="Arial Narrow" w:hAnsi="Arial Narrow" w:cs="Arial"/>
                <w:sz w:val="20"/>
                <w:szCs w:val="20"/>
              </w:rPr>
              <w:t>1 month</w:t>
            </w:r>
            <w:proofErr w:type="gramEnd"/>
            <w:r>
              <w:rPr>
                <w:rFonts w:ascii="Arial Narrow" w:hAnsi="Arial Narrow" w:cs="Arial"/>
                <w:sz w:val="20"/>
                <w:szCs w:val="20"/>
              </w:rPr>
              <w:t xml:space="preserve"> treatment and sufficient repeats)</w:t>
            </w:r>
            <w:r w:rsidRPr="00F33674">
              <w:rPr>
                <w:rFonts w:ascii="Arial Narrow" w:hAnsi="Arial Narrow" w:cs="Arial"/>
                <w:sz w:val="20"/>
                <w:szCs w:val="20"/>
              </w:rPr>
              <w:t>.</w:t>
            </w:r>
          </w:p>
        </w:tc>
      </w:tr>
      <w:tr w:rsidR="00C032BC" w:rsidRPr="00F33674" w14:paraId="60747871" w14:textId="77777777" w:rsidTr="00A74C03">
        <w:trPr>
          <w:cantSplit/>
          <w:trHeight w:val="360"/>
        </w:trPr>
        <w:tc>
          <w:tcPr>
            <w:tcW w:w="2781" w:type="dxa"/>
            <w:tcMar>
              <w:top w:w="0" w:type="dxa"/>
              <w:left w:w="108" w:type="dxa"/>
              <w:bottom w:w="0" w:type="dxa"/>
              <w:right w:w="108" w:type="dxa"/>
            </w:tcMar>
          </w:tcPr>
          <w:p w14:paraId="21E30533" w14:textId="7E3A34C2" w:rsidR="00C032BC" w:rsidRPr="00F33674" w:rsidRDefault="00C032BC" w:rsidP="00C032BC">
            <w:pPr>
              <w:rPr>
                <w:rFonts w:ascii="Arial Narrow" w:hAnsi="Arial Narrow" w:cs="Arial"/>
                <w:b/>
                <w:sz w:val="20"/>
                <w:szCs w:val="20"/>
              </w:rPr>
            </w:pPr>
            <w:r w:rsidRPr="00F33674">
              <w:rPr>
                <w:rFonts w:ascii="Arial Narrow" w:hAnsi="Arial Narrow" w:cs="Arial"/>
                <w:b/>
                <w:sz w:val="20"/>
                <w:szCs w:val="20"/>
              </w:rPr>
              <w:t>Administrative advice:</w:t>
            </w:r>
          </w:p>
        </w:tc>
        <w:tc>
          <w:tcPr>
            <w:tcW w:w="6245" w:type="dxa"/>
            <w:tcMar>
              <w:top w:w="0" w:type="dxa"/>
              <w:left w:w="108" w:type="dxa"/>
              <w:bottom w:w="0" w:type="dxa"/>
              <w:right w:w="108" w:type="dxa"/>
            </w:tcMar>
          </w:tcPr>
          <w:p w14:paraId="276CCF5F" w14:textId="77777777" w:rsidR="00C032BC" w:rsidRPr="00F33674" w:rsidRDefault="00C032BC" w:rsidP="00C032BC">
            <w:pPr>
              <w:jc w:val="left"/>
              <w:rPr>
                <w:rFonts w:ascii="Arial Narrow" w:hAnsi="Arial Narrow" w:cs="Arial"/>
                <w:sz w:val="20"/>
                <w:szCs w:val="20"/>
              </w:rPr>
            </w:pPr>
            <w:r w:rsidRPr="00F33674">
              <w:rPr>
                <w:rFonts w:ascii="Arial Narrow" w:hAnsi="Arial Narrow" w:cs="Arial"/>
                <w:sz w:val="20"/>
                <w:szCs w:val="20"/>
              </w:rPr>
              <w:t>[new] Real time online applications for increased maximum quantities/repeats may be made using the Online PBS Authorities system (see www.servicesaustralia.gov.au/organisations/health-professionals/services/medicare/hpos/services/request-authority-using-online-pbs-authorities-hpos)</w:t>
            </w:r>
          </w:p>
          <w:p w14:paraId="145C3F9D" w14:textId="77777777" w:rsidR="00C032BC" w:rsidRPr="00F33674" w:rsidRDefault="00C032BC" w:rsidP="00C032BC">
            <w:pPr>
              <w:jc w:val="left"/>
              <w:rPr>
                <w:rFonts w:ascii="Arial Narrow" w:hAnsi="Arial Narrow" w:cs="Arial"/>
                <w:sz w:val="20"/>
                <w:szCs w:val="20"/>
              </w:rPr>
            </w:pPr>
          </w:p>
          <w:p w14:paraId="3201242E" w14:textId="77777777" w:rsidR="00C032BC" w:rsidRPr="00F33674" w:rsidRDefault="00C032BC" w:rsidP="00C032BC">
            <w:pPr>
              <w:jc w:val="left"/>
              <w:rPr>
                <w:rFonts w:ascii="Arial Narrow" w:hAnsi="Arial Narrow" w:cs="Arial"/>
                <w:sz w:val="20"/>
                <w:szCs w:val="20"/>
              </w:rPr>
            </w:pPr>
            <w:r w:rsidRPr="00F33674">
              <w:rPr>
                <w:rFonts w:ascii="Arial Narrow" w:hAnsi="Arial Narrow" w:cs="Arial"/>
                <w:sz w:val="20"/>
                <w:szCs w:val="20"/>
              </w:rPr>
              <w:t xml:space="preserve">Phone applications for increased maximum quantities/repeats may </w:t>
            </w:r>
            <w:r>
              <w:rPr>
                <w:rFonts w:ascii="Arial Narrow" w:hAnsi="Arial Narrow" w:cs="Arial"/>
                <w:sz w:val="20"/>
                <w:szCs w:val="20"/>
              </w:rPr>
              <w:t>be made by calling 1800 888 333.</w:t>
            </w:r>
          </w:p>
          <w:p w14:paraId="70D5D0C0" w14:textId="77777777" w:rsidR="00C032BC" w:rsidRPr="00F33674" w:rsidRDefault="00C032BC" w:rsidP="00C032BC">
            <w:pPr>
              <w:jc w:val="left"/>
              <w:rPr>
                <w:rFonts w:ascii="Arial Narrow" w:hAnsi="Arial Narrow" w:cs="Arial"/>
                <w:sz w:val="20"/>
                <w:szCs w:val="20"/>
              </w:rPr>
            </w:pPr>
          </w:p>
          <w:p w14:paraId="55B63FFF" w14:textId="77777777" w:rsidR="00C032BC" w:rsidRPr="00F33674" w:rsidRDefault="00C032BC" w:rsidP="00C032BC">
            <w:pPr>
              <w:jc w:val="left"/>
              <w:rPr>
                <w:rFonts w:ascii="Arial Narrow" w:hAnsi="Arial Narrow" w:cs="Arial"/>
                <w:sz w:val="20"/>
                <w:szCs w:val="20"/>
              </w:rPr>
            </w:pPr>
            <w:r w:rsidRPr="00F33674">
              <w:rPr>
                <w:rFonts w:ascii="Arial Narrow" w:hAnsi="Arial Narrow" w:cs="Arial"/>
                <w:sz w:val="20"/>
                <w:szCs w:val="20"/>
              </w:rPr>
              <w:t>Written authority applications for increased maximum quantities/repeats can be uploaded online through HPOS form upload or mailed to:</w:t>
            </w:r>
          </w:p>
          <w:p w14:paraId="4BC2095B" w14:textId="77777777" w:rsidR="00C032BC" w:rsidRPr="00F33674" w:rsidRDefault="00C032BC" w:rsidP="00C032BC">
            <w:pPr>
              <w:jc w:val="left"/>
              <w:rPr>
                <w:rFonts w:ascii="Arial Narrow" w:hAnsi="Arial Narrow" w:cs="Arial"/>
                <w:sz w:val="20"/>
                <w:szCs w:val="20"/>
              </w:rPr>
            </w:pPr>
            <w:r w:rsidRPr="00F33674">
              <w:rPr>
                <w:rFonts w:ascii="Arial Narrow" w:hAnsi="Arial Narrow" w:cs="Arial"/>
                <w:sz w:val="20"/>
                <w:szCs w:val="20"/>
              </w:rPr>
              <w:t>Pharmaceutical Benefits Scheme</w:t>
            </w:r>
          </w:p>
          <w:p w14:paraId="6DEDBB3A" w14:textId="77777777" w:rsidR="00C032BC" w:rsidRPr="00F33674" w:rsidRDefault="00C032BC" w:rsidP="00C032BC">
            <w:pPr>
              <w:jc w:val="left"/>
              <w:rPr>
                <w:rFonts w:ascii="Arial Narrow" w:hAnsi="Arial Narrow" w:cs="Arial"/>
                <w:sz w:val="20"/>
                <w:szCs w:val="20"/>
              </w:rPr>
            </w:pPr>
            <w:r w:rsidRPr="00F33674">
              <w:rPr>
                <w:rFonts w:ascii="Arial Narrow" w:hAnsi="Arial Narrow" w:cs="Arial"/>
                <w:sz w:val="20"/>
                <w:szCs w:val="20"/>
              </w:rPr>
              <w:t>Reply Paid 9857</w:t>
            </w:r>
          </w:p>
          <w:p w14:paraId="0D325F08" w14:textId="543491BC" w:rsidR="00C032BC" w:rsidRPr="00F33674" w:rsidRDefault="00C032BC" w:rsidP="00C032BC">
            <w:pPr>
              <w:jc w:val="left"/>
              <w:rPr>
                <w:rFonts w:ascii="Arial Narrow" w:hAnsi="Arial Narrow" w:cs="Arial"/>
                <w:sz w:val="20"/>
                <w:szCs w:val="20"/>
              </w:rPr>
            </w:pPr>
            <w:r w:rsidRPr="00F33674">
              <w:rPr>
                <w:rFonts w:ascii="Arial Narrow" w:hAnsi="Arial Narrow" w:cs="Arial"/>
                <w:sz w:val="20"/>
                <w:szCs w:val="20"/>
              </w:rPr>
              <w:t>[Your capital city]</w:t>
            </w:r>
          </w:p>
        </w:tc>
      </w:tr>
      <w:tr w:rsidR="00C032BC" w:rsidRPr="00F33674" w14:paraId="3578D36C" w14:textId="77777777" w:rsidTr="00A74C03">
        <w:trPr>
          <w:cantSplit/>
          <w:trHeight w:val="360"/>
        </w:trPr>
        <w:tc>
          <w:tcPr>
            <w:tcW w:w="2781" w:type="dxa"/>
            <w:tcMar>
              <w:top w:w="0" w:type="dxa"/>
              <w:left w:w="108" w:type="dxa"/>
              <w:bottom w:w="0" w:type="dxa"/>
              <w:right w:w="108" w:type="dxa"/>
            </w:tcMar>
            <w:hideMark/>
          </w:tcPr>
          <w:p w14:paraId="6F3D6C47" w14:textId="2E5AB2EB" w:rsidR="00C032BC" w:rsidRPr="00F33674" w:rsidRDefault="00C032BC" w:rsidP="00C032BC">
            <w:pPr>
              <w:rPr>
                <w:rFonts w:ascii="Arial Narrow" w:hAnsi="Arial Narrow"/>
                <w:b/>
                <w:bCs/>
                <w:sz w:val="20"/>
                <w:szCs w:val="20"/>
              </w:rPr>
            </w:pPr>
            <w:r w:rsidRPr="00F33674">
              <w:rPr>
                <w:rFonts w:ascii="Arial Narrow" w:hAnsi="Arial Narrow" w:cs="Arial"/>
                <w:b/>
                <w:sz w:val="20"/>
                <w:szCs w:val="20"/>
              </w:rPr>
              <w:t>Cautions:</w:t>
            </w:r>
          </w:p>
        </w:tc>
        <w:tc>
          <w:tcPr>
            <w:tcW w:w="6245" w:type="dxa"/>
            <w:tcMar>
              <w:top w:w="0" w:type="dxa"/>
              <w:left w:w="108" w:type="dxa"/>
              <w:bottom w:w="0" w:type="dxa"/>
              <w:right w:w="108" w:type="dxa"/>
            </w:tcMar>
            <w:hideMark/>
          </w:tcPr>
          <w:p w14:paraId="226FC8D8" w14:textId="44F06C77" w:rsidR="00C032BC" w:rsidRPr="00F33674" w:rsidRDefault="00C032BC" w:rsidP="00C032BC">
            <w:pPr>
              <w:jc w:val="left"/>
              <w:rPr>
                <w:rFonts w:ascii="Arial Narrow" w:hAnsi="Arial Narrow"/>
                <w:sz w:val="20"/>
                <w:szCs w:val="20"/>
              </w:rPr>
            </w:pPr>
            <w:r w:rsidRPr="00F33674">
              <w:rPr>
                <w:rFonts w:ascii="Arial Narrow" w:hAnsi="Arial Narrow" w:cs="Arial"/>
                <w:sz w:val="20"/>
                <w:szCs w:val="20"/>
              </w:rPr>
              <w:t>[6986] The risk of drug dependence is high.</w:t>
            </w:r>
          </w:p>
        </w:tc>
      </w:tr>
    </w:tbl>
    <w:p w14:paraId="4919A1BE" w14:textId="77777777" w:rsidR="00CB71CC" w:rsidRDefault="00CB71CC">
      <w:pPr>
        <w:jc w:val="left"/>
        <w:rPr>
          <w:rFonts w:asciiTheme="minorHAnsi" w:eastAsiaTheme="minorHAnsi" w:hAnsiTheme="minorHAnsi" w:cstheme="minorBidi"/>
          <w:szCs w:val="22"/>
        </w:rPr>
      </w:pPr>
      <w:r>
        <w:br w:type="page"/>
      </w:r>
    </w:p>
    <w:p w14:paraId="76904B8B" w14:textId="4B24428B" w:rsidR="00F33674" w:rsidRPr="00F33674" w:rsidRDefault="00F33674" w:rsidP="00F33674">
      <w:pPr>
        <w:pStyle w:val="3-BodyText"/>
      </w:pPr>
      <w:r w:rsidRPr="00F33674">
        <w:lastRenderedPageBreak/>
        <w:t>Amend items:</w:t>
      </w:r>
    </w:p>
    <w:p w14:paraId="18AF0FBB" w14:textId="77777777" w:rsidR="00F33674" w:rsidRPr="00F33674" w:rsidRDefault="00F33674" w:rsidP="00F33674">
      <w:pPr>
        <w:keepNext/>
        <w:keepLines/>
        <w:spacing w:before="40"/>
        <w:jc w:val="left"/>
        <w:outlineLvl w:val="2"/>
        <w:rPr>
          <w:rFonts w:asciiTheme="minorHAnsi" w:eastAsiaTheme="majorEastAsia" w:hAnsiTheme="minorHAnsi" w:cstheme="majorBidi"/>
          <w:b/>
          <w:color w:val="000000" w:themeColor="text1"/>
        </w:rPr>
      </w:pPr>
      <w:bookmarkStart w:id="15" w:name="_Toc32300581"/>
      <w:r w:rsidRPr="00F33674">
        <w:rPr>
          <w:rFonts w:asciiTheme="minorHAnsi" w:eastAsiaTheme="majorEastAsia" w:hAnsiTheme="minorHAnsi" w:cstheme="majorBidi"/>
          <w:b/>
          <w:color w:val="000000" w:themeColor="text1"/>
        </w:rPr>
        <w:t xml:space="preserve">Listing 3: Dentists’ restriction for short-term pain TGA indication in </w:t>
      </w:r>
      <w:proofErr w:type="gramStart"/>
      <w:r w:rsidRPr="00F33674">
        <w:rPr>
          <w:rFonts w:asciiTheme="minorHAnsi" w:eastAsiaTheme="majorEastAsia" w:hAnsiTheme="minorHAnsi" w:cstheme="majorBidi"/>
          <w:b/>
          <w:color w:val="000000" w:themeColor="text1"/>
        </w:rPr>
        <w:t>1</w:t>
      </w:r>
      <w:r w:rsidRPr="00F33674">
        <w:rPr>
          <w:rFonts w:asciiTheme="minorHAnsi" w:eastAsiaTheme="majorEastAsia" w:hAnsiTheme="minorHAnsi" w:cstheme="majorBidi"/>
          <w:b/>
          <w:color w:val="000000" w:themeColor="text1"/>
          <w:vertAlign w:val="superscript"/>
        </w:rPr>
        <w:t>st</w:t>
      </w:r>
      <w:proofErr w:type="gramEnd"/>
      <w:r w:rsidRPr="00F33674">
        <w:rPr>
          <w:rFonts w:asciiTheme="minorHAnsi" w:eastAsiaTheme="majorEastAsia" w:hAnsiTheme="minorHAnsi" w:cstheme="majorBidi"/>
          <w:b/>
          <w:color w:val="000000" w:themeColor="text1"/>
        </w:rPr>
        <w:t xml:space="preserve"> line opioid setting (excluding oxycodone suppositories):</w:t>
      </w:r>
      <w:bookmarkEnd w:id="15"/>
    </w:p>
    <w:p w14:paraId="0EFB32B5" w14:textId="77777777" w:rsidR="00F33674" w:rsidRPr="00F33674" w:rsidRDefault="00F33674" w:rsidP="00F33674">
      <w:pPr>
        <w:ind w:left="360" w:hanging="360"/>
        <w:contextualSpacing/>
        <w:jc w:val="left"/>
      </w:pPr>
    </w:p>
    <w:tbl>
      <w:tblPr>
        <w:tblW w:w="10009" w:type="dxa"/>
        <w:tblLook w:val="04A0" w:firstRow="1" w:lastRow="0" w:firstColumn="1" w:lastColumn="0" w:noHBand="0" w:noVBand="1"/>
      </w:tblPr>
      <w:tblGrid>
        <w:gridCol w:w="1456"/>
        <w:gridCol w:w="1149"/>
        <w:gridCol w:w="3007"/>
        <w:gridCol w:w="572"/>
        <w:gridCol w:w="472"/>
        <w:gridCol w:w="1794"/>
        <w:gridCol w:w="1559"/>
      </w:tblGrid>
      <w:tr w:rsidR="00F33674" w:rsidRPr="00F33674" w14:paraId="70C301AD" w14:textId="77777777" w:rsidTr="00F33674">
        <w:trPr>
          <w:trHeight w:val="300"/>
        </w:trPr>
        <w:tc>
          <w:tcPr>
            <w:tcW w:w="1456" w:type="dxa"/>
            <w:tcBorders>
              <w:bottom w:val="single" w:sz="4" w:space="0" w:color="auto"/>
            </w:tcBorders>
            <w:shd w:val="clear" w:color="auto" w:fill="auto"/>
            <w:noWrap/>
            <w:hideMark/>
          </w:tcPr>
          <w:p w14:paraId="55D4FEF4"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LI Drug</w:t>
            </w:r>
          </w:p>
        </w:tc>
        <w:tc>
          <w:tcPr>
            <w:tcW w:w="1149" w:type="dxa"/>
            <w:tcBorders>
              <w:bottom w:val="single" w:sz="4" w:space="0" w:color="auto"/>
            </w:tcBorders>
          </w:tcPr>
          <w:p w14:paraId="6745AF21"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Item Code</w:t>
            </w:r>
          </w:p>
        </w:tc>
        <w:tc>
          <w:tcPr>
            <w:tcW w:w="3007" w:type="dxa"/>
            <w:tcBorders>
              <w:bottom w:val="single" w:sz="4" w:space="0" w:color="auto"/>
            </w:tcBorders>
            <w:shd w:val="clear" w:color="auto" w:fill="auto"/>
            <w:noWrap/>
            <w:hideMark/>
          </w:tcPr>
          <w:p w14:paraId="775C72AE"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Legal Instrument Form</w:t>
            </w:r>
          </w:p>
        </w:tc>
        <w:tc>
          <w:tcPr>
            <w:tcW w:w="572" w:type="dxa"/>
            <w:tcBorders>
              <w:bottom w:val="single" w:sz="4" w:space="0" w:color="auto"/>
            </w:tcBorders>
            <w:shd w:val="clear" w:color="auto" w:fill="auto"/>
            <w:noWrap/>
            <w:hideMark/>
          </w:tcPr>
          <w:p w14:paraId="30A87A6B"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Max. Qty</w:t>
            </w:r>
          </w:p>
        </w:tc>
        <w:tc>
          <w:tcPr>
            <w:tcW w:w="472" w:type="dxa"/>
            <w:tcBorders>
              <w:bottom w:val="single" w:sz="4" w:space="0" w:color="auto"/>
            </w:tcBorders>
            <w:shd w:val="clear" w:color="auto" w:fill="auto"/>
            <w:noWrap/>
            <w:hideMark/>
          </w:tcPr>
          <w:p w14:paraId="4A6D226D"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No. Rpt</w:t>
            </w:r>
          </w:p>
        </w:tc>
        <w:tc>
          <w:tcPr>
            <w:tcW w:w="1794" w:type="dxa"/>
            <w:tcBorders>
              <w:bottom w:val="single" w:sz="4" w:space="0" w:color="auto"/>
            </w:tcBorders>
            <w:shd w:val="clear" w:color="auto" w:fill="auto"/>
            <w:noWrap/>
            <w:hideMark/>
          </w:tcPr>
          <w:p w14:paraId="57CE9B58"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Brand Name</w:t>
            </w:r>
          </w:p>
        </w:tc>
        <w:tc>
          <w:tcPr>
            <w:tcW w:w="1559" w:type="dxa"/>
            <w:tcBorders>
              <w:bottom w:val="single" w:sz="4" w:space="0" w:color="auto"/>
            </w:tcBorders>
            <w:shd w:val="clear" w:color="auto" w:fill="auto"/>
            <w:noWrap/>
            <w:hideMark/>
          </w:tcPr>
          <w:p w14:paraId="2C2A6074"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Responsible Person</w:t>
            </w:r>
          </w:p>
        </w:tc>
      </w:tr>
      <w:tr w:rsidR="00F33674" w:rsidRPr="00F33674" w14:paraId="38958123" w14:textId="77777777" w:rsidTr="00F33674">
        <w:trPr>
          <w:trHeight w:val="300"/>
        </w:trPr>
        <w:tc>
          <w:tcPr>
            <w:tcW w:w="1456" w:type="dxa"/>
            <w:tcBorders>
              <w:top w:val="single" w:sz="4" w:space="0" w:color="auto"/>
            </w:tcBorders>
            <w:shd w:val="clear" w:color="auto" w:fill="auto"/>
            <w:noWrap/>
            <w:hideMark/>
          </w:tcPr>
          <w:p w14:paraId="04244B41"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CODEINE</w:t>
            </w:r>
          </w:p>
        </w:tc>
        <w:tc>
          <w:tcPr>
            <w:tcW w:w="1149" w:type="dxa"/>
            <w:tcBorders>
              <w:top w:val="single" w:sz="4" w:space="0" w:color="auto"/>
            </w:tcBorders>
          </w:tcPr>
          <w:p w14:paraId="7F67A466"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5063L</w:t>
            </w:r>
          </w:p>
        </w:tc>
        <w:tc>
          <w:tcPr>
            <w:tcW w:w="3007" w:type="dxa"/>
            <w:tcBorders>
              <w:top w:val="single" w:sz="4" w:space="0" w:color="auto"/>
            </w:tcBorders>
            <w:shd w:val="clear" w:color="auto" w:fill="auto"/>
            <w:noWrap/>
            <w:hideMark/>
          </w:tcPr>
          <w:p w14:paraId="461AC834"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Tablet containing codeine phosphate hemihydrate 30 mg</w:t>
            </w:r>
          </w:p>
        </w:tc>
        <w:tc>
          <w:tcPr>
            <w:tcW w:w="572" w:type="dxa"/>
            <w:tcBorders>
              <w:top w:val="single" w:sz="4" w:space="0" w:color="auto"/>
            </w:tcBorders>
            <w:shd w:val="clear" w:color="auto" w:fill="auto"/>
            <w:noWrap/>
            <w:hideMark/>
          </w:tcPr>
          <w:p w14:paraId="0C7F4324"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20</w:t>
            </w:r>
          </w:p>
        </w:tc>
        <w:tc>
          <w:tcPr>
            <w:tcW w:w="472" w:type="dxa"/>
            <w:tcBorders>
              <w:top w:val="single" w:sz="4" w:space="0" w:color="auto"/>
            </w:tcBorders>
            <w:shd w:val="clear" w:color="auto" w:fill="auto"/>
            <w:noWrap/>
            <w:hideMark/>
          </w:tcPr>
          <w:p w14:paraId="093F842A"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0</w:t>
            </w:r>
          </w:p>
        </w:tc>
        <w:tc>
          <w:tcPr>
            <w:tcW w:w="1794" w:type="dxa"/>
            <w:tcBorders>
              <w:top w:val="single" w:sz="4" w:space="0" w:color="auto"/>
            </w:tcBorders>
            <w:shd w:val="clear" w:color="auto" w:fill="auto"/>
            <w:noWrap/>
            <w:hideMark/>
          </w:tcPr>
          <w:p w14:paraId="64BDE8B1"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Aspen Pharma Pty Ltd</w:t>
            </w:r>
          </w:p>
        </w:tc>
        <w:tc>
          <w:tcPr>
            <w:tcW w:w="1559" w:type="dxa"/>
            <w:tcBorders>
              <w:top w:val="single" w:sz="4" w:space="0" w:color="auto"/>
            </w:tcBorders>
            <w:shd w:val="clear" w:color="auto" w:fill="auto"/>
            <w:noWrap/>
            <w:hideMark/>
          </w:tcPr>
          <w:p w14:paraId="6494B94C"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Aspen Pharma Pty Ltd</w:t>
            </w:r>
          </w:p>
        </w:tc>
      </w:tr>
      <w:tr w:rsidR="00F33674" w:rsidRPr="00F33674" w14:paraId="7E05C723" w14:textId="77777777" w:rsidTr="00F33674">
        <w:trPr>
          <w:trHeight w:val="300"/>
        </w:trPr>
        <w:tc>
          <w:tcPr>
            <w:tcW w:w="1456" w:type="dxa"/>
            <w:shd w:val="clear" w:color="auto" w:fill="auto"/>
            <w:noWrap/>
          </w:tcPr>
          <w:p w14:paraId="5A87DE1A"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CODEINE WITH PARACETAMOL</w:t>
            </w:r>
          </w:p>
        </w:tc>
        <w:tc>
          <w:tcPr>
            <w:tcW w:w="1149" w:type="dxa"/>
          </w:tcPr>
          <w:p w14:paraId="296062BD"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3316M</w:t>
            </w:r>
          </w:p>
        </w:tc>
        <w:tc>
          <w:tcPr>
            <w:tcW w:w="3007" w:type="dxa"/>
            <w:vMerge w:val="restart"/>
            <w:shd w:val="clear" w:color="auto" w:fill="auto"/>
            <w:noWrap/>
          </w:tcPr>
          <w:p w14:paraId="71B8B796"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Tablet containing codeine phosphate hemihydrate 30 mg with paracetamol 500 mg</w:t>
            </w:r>
          </w:p>
        </w:tc>
        <w:tc>
          <w:tcPr>
            <w:tcW w:w="572" w:type="dxa"/>
            <w:shd w:val="clear" w:color="auto" w:fill="auto"/>
            <w:noWrap/>
          </w:tcPr>
          <w:p w14:paraId="5667E7E8"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20</w:t>
            </w:r>
          </w:p>
        </w:tc>
        <w:tc>
          <w:tcPr>
            <w:tcW w:w="472" w:type="dxa"/>
            <w:shd w:val="clear" w:color="auto" w:fill="auto"/>
            <w:noWrap/>
          </w:tcPr>
          <w:p w14:paraId="6B389734"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0</w:t>
            </w:r>
          </w:p>
        </w:tc>
        <w:tc>
          <w:tcPr>
            <w:tcW w:w="1794" w:type="dxa"/>
            <w:shd w:val="clear" w:color="auto" w:fill="auto"/>
            <w:noWrap/>
          </w:tcPr>
          <w:p w14:paraId="750DA39E"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APO- Paracetamol/Codeine 500/30</w:t>
            </w:r>
          </w:p>
        </w:tc>
        <w:tc>
          <w:tcPr>
            <w:tcW w:w="1559" w:type="dxa"/>
            <w:shd w:val="clear" w:color="auto" w:fill="auto"/>
            <w:noWrap/>
          </w:tcPr>
          <w:p w14:paraId="274ADCCF"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Apotex Pty Ltd</w:t>
            </w:r>
          </w:p>
        </w:tc>
      </w:tr>
      <w:tr w:rsidR="00F33674" w:rsidRPr="00F33674" w14:paraId="661108BC" w14:textId="77777777" w:rsidTr="00F33674">
        <w:trPr>
          <w:trHeight w:val="300"/>
        </w:trPr>
        <w:tc>
          <w:tcPr>
            <w:tcW w:w="1456" w:type="dxa"/>
            <w:shd w:val="clear" w:color="auto" w:fill="auto"/>
            <w:noWrap/>
          </w:tcPr>
          <w:p w14:paraId="3EB59708" w14:textId="77777777" w:rsidR="00F33674" w:rsidRPr="00F33674" w:rsidRDefault="00F33674" w:rsidP="00F33674">
            <w:pPr>
              <w:jc w:val="left"/>
              <w:rPr>
                <w:rFonts w:ascii="Arial Narrow" w:hAnsi="Arial Narrow" w:cs="Calibri"/>
                <w:color w:val="000000"/>
                <w:sz w:val="20"/>
                <w:szCs w:val="20"/>
                <w:lang w:eastAsia="en-AU"/>
              </w:rPr>
            </w:pPr>
          </w:p>
        </w:tc>
        <w:tc>
          <w:tcPr>
            <w:tcW w:w="1149" w:type="dxa"/>
          </w:tcPr>
          <w:p w14:paraId="576FD78F" w14:textId="77777777" w:rsidR="00F33674" w:rsidRPr="00F33674" w:rsidRDefault="00F33674" w:rsidP="00F33674">
            <w:pPr>
              <w:jc w:val="left"/>
              <w:rPr>
                <w:rFonts w:ascii="Arial Narrow" w:hAnsi="Arial Narrow" w:cs="Calibri"/>
                <w:color w:val="000000"/>
                <w:sz w:val="20"/>
                <w:szCs w:val="20"/>
                <w:lang w:eastAsia="en-AU"/>
              </w:rPr>
            </w:pPr>
          </w:p>
        </w:tc>
        <w:tc>
          <w:tcPr>
            <w:tcW w:w="3007" w:type="dxa"/>
            <w:vMerge/>
            <w:shd w:val="clear" w:color="auto" w:fill="auto"/>
            <w:noWrap/>
          </w:tcPr>
          <w:p w14:paraId="78AD77FD" w14:textId="77777777" w:rsidR="00F33674" w:rsidRPr="00F33674" w:rsidRDefault="00F33674" w:rsidP="00F33674">
            <w:pPr>
              <w:jc w:val="left"/>
              <w:rPr>
                <w:rFonts w:ascii="Arial Narrow" w:hAnsi="Arial Narrow" w:cs="Calibri"/>
                <w:color w:val="000000"/>
                <w:sz w:val="20"/>
                <w:szCs w:val="20"/>
                <w:lang w:eastAsia="en-AU"/>
              </w:rPr>
            </w:pPr>
          </w:p>
        </w:tc>
        <w:tc>
          <w:tcPr>
            <w:tcW w:w="572" w:type="dxa"/>
            <w:shd w:val="clear" w:color="auto" w:fill="auto"/>
            <w:noWrap/>
          </w:tcPr>
          <w:p w14:paraId="31E12C75" w14:textId="77777777" w:rsidR="00F33674" w:rsidRPr="00F33674" w:rsidRDefault="00F33674" w:rsidP="00F33674">
            <w:pPr>
              <w:jc w:val="left"/>
              <w:rPr>
                <w:rFonts w:ascii="Arial Narrow" w:hAnsi="Arial Narrow" w:cs="Calibri"/>
                <w:color w:val="000000"/>
                <w:sz w:val="20"/>
                <w:szCs w:val="20"/>
                <w:lang w:eastAsia="en-AU"/>
              </w:rPr>
            </w:pPr>
          </w:p>
        </w:tc>
        <w:tc>
          <w:tcPr>
            <w:tcW w:w="472" w:type="dxa"/>
            <w:shd w:val="clear" w:color="auto" w:fill="auto"/>
            <w:noWrap/>
          </w:tcPr>
          <w:p w14:paraId="26734E9C" w14:textId="77777777" w:rsidR="00F33674" w:rsidRPr="00F33674" w:rsidRDefault="00F33674" w:rsidP="00F33674">
            <w:pPr>
              <w:jc w:val="left"/>
              <w:rPr>
                <w:rFonts w:ascii="Arial Narrow" w:hAnsi="Arial Narrow" w:cs="Calibri"/>
                <w:color w:val="000000"/>
                <w:sz w:val="20"/>
                <w:szCs w:val="20"/>
                <w:lang w:eastAsia="en-AU"/>
              </w:rPr>
            </w:pPr>
          </w:p>
        </w:tc>
        <w:tc>
          <w:tcPr>
            <w:tcW w:w="1794" w:type="dxa"/>
            <w:shd w:val="clear" w:color="auto" w:fill="auto"/>
            <w:noWrap/>
          </w:tcPr>
          <w:p w14:paraId="309B82CD"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Codalgin Forte</w:t>
            </w:r>
          </w:p>
        </w:tc>
        <w:tc>
          <w:tcPr>
            <w:tcW w:w="1559" w:type="dxa"/>
            <w:shd w:val="clear" w:color="auto" w:fill="auto"/>
            <w:noWrap/>
          </w:tcPr>
          <w:p w14:paraId="58F5BAED"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Alphapharm Pty Ltd</w:t>
            </w:r>
          </w:p>
        </w:tc>
      </w:tr>
      <w:tr w:rsidR="00F33674" w:rsidRPr="00F33674" w14:paraId="63B14984" w14:textId="77777777" w:rsidTr="00F33674">
        <w:trPr>
          <w:trHeight w:val="300"/>
        </w:trPr>
        <w:tc>
          <w:tcPr>
            <w:tcW w:w="1456" w:type="dxa"/>
            <w:shd w:val="clear" w:color="auto" w:fill="auto"/>
            <w:noWrap/>
          </w:tcPr>
          <w:p w14:paraId="3689110E" w14:textId="77777777" w:rsidR="00F33674" w:rsidRPr="00F33674" w:rsidRDefault="00F33674" w:rsidP="00F33674">
            <w:pPr>
              <w:jc w:val="left"/>
              <w:rPr>
                <w:rFonts w:ascii="Arial Narrow" w:hAnsi="Arial Narrow" w:cs="Calibri"/>
                <w:color w:val="000000"/>
                <w:sz w:val="20"/>
                <w:szCs w:val="20"/>
                <w:lang w:eastAsia="en-AU"/>
              </w:rPr>
            </w:pPr>
          </w:p>
        </w:tc>
        <w:tc>
          <w:tcPr>
            <w:tcW w:w="1149" w:type="dxa"/>
          </w:tcPr>
          <w:p w14:paraId="43600A1F" w14:textId="77777777" w:rsidR="00F33674" w:rsidRPr="00F33674" w:rsidRDefault="00F33674" w:rsidP="00F33674">
            <w:pPr>
              <w:jc w:val="left"/>
              <w:rPr>
                <w:rFonts w:ascii="Arial Narrow" w:hAnsi="Arial Narrow" w:cs="Calibri"/>
                <w:color w:val="000000"/>
                <w:sz w:val="20"/>
                <w:szCs w:val="20"/>
                <w:lang w:eastAsia="en-AU"/>
              </w:rPr>
            </w:pPr>
          </w:p>
        </w:tc>
        <w:tc>
          <w:tcPr>
            <w:tcW w:w="3007" w:type="dxa"/>
            <w:vMerge/>
            <w:shd w:val="clear" w:color="auto" w:fill="auto"/>
            <w:noWrap/>
          </w:tcPr>
          <w:p w14:paraId="56711E67" w14:textId="77777777" w:rsidR="00F33674" w:rsidRPr="00F33674" w:rsidRDefault="00F33674" w:rsidP="00F33674">
            <w:pPr>
              <w:jc w:val="left"/>
              <w:rPr>
                <w:rFonts w:ascii="Arial Narrow" w:hAnsi="Arial Narrow" w:cs="Calibri"/>
                <w:color w:val="000000"/>
                <w:sz w:val="20"/>
                <w:szCs w:val="20"/>
                <w:lang w:eastAsia="en-AU"/>
              </w:rPr>
            </w:pPr>
          </w:p>
        </w:tc>
        <w:tc>
          <w:tcPr>
            <w:tcW w:w="572" w:type="dxa"/>
            <w:shd w:val="clear" w:color="auto" w:fill="auto"/>
            <w:noWrap/>
          </w:tcPr>
          <w:p w14:paraId="4CA838C6" w14:textId="77777777" w:rsidR="00F33674" w:rsidRPr="00F33674" w:rsidRDefault="00F33674" w:rsidP="00F33674">
            <w:pPr>
              <w:jc w:val="left"/>
              <w:rPr>
                <w:rFonts w:ascii="Arial Narrow" w:hAnsi="Arial Narrow" w:cs="Calibri"/>
                <w:color w:val="000000"/>
                <w:sz w:val="20"/>
                <w:szCs w:val="20"/>
                <w:lang w:eastAsia="en-AU"/>
              </w:rPr>
            </w:pPr>
          </w:p>
        </w:tc>
        <w:tc>
          <w:tcPr>
            <w:tcW w:w="472" w:type="dxa"/>
            <w:shd w:val="clear" w:color="auto" w:fill="auto"/>
            <w:noWrap/>
          </w:tcPr>
          <w:p w14:paraId="6C96D839" w14:textId="77777777" w:rsidR="00F33674" w:rsidRPr="00F33674" w:rsidRDefault="00F33674" w:rsidP="00F33674">
            <w:pPr>
              <w:jc w:val="left"/>
              <w:rPr>
                <w:rFonts w:ascii="Arial Narrow" w:hAnsi="Arial Narrow" w:cs="Calibri"/>
                <w:color w:val="000000"/>
                <w:sz w:val="20"/>
                <w:szCs w:val="20"/>
                <w:lang w:eastAsia="en-AU"/>
              </w:rPr>
            </w:pPr>
          </w:p>
        </w:tc>
        <w:tc>
          <w:tcPr>
            <w:tcW w:w="1794" w:type="dxa"/>
            <w:shd w:val="clear" w:color="auto" w:fill="auto"/>
            <w:noWrap/>
          </w:tcPr>
          <w:p w14:paraId="71F1E9CE"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Codapane Forte 500/30</w:t>
            </w:r>
          </w:p>
        </w:tc>
        <w:tc>
          <w:tcPr>
            <w:tcW w:w="1559" w:type="dxa"/>
            <w:shd w:val="clear" w:color="auto" w:fill="auto"/>
            <w:noWrap/>
          </w:tcPr>
          <w:p w14:paraId="68A381A3"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Alphapharm Pty Ltd</w:t>
            </w:r>
          </w:p>
        </w:tc>
      </w:tr>
      <w:tr w:rsidR="00F33674" w:rsidRPr="00F33674" w14:paraId="6A796458" w14:textId="77777777" w:rsidTr="00F33674">
        <w:trPr>
          <w:trHeight w:val="300"/>
        </w:trPr>
        <w:tc>
          <w:tcPr>
            <w:tcW w:w="1456" w:type="dxa"/>
            <w:shd w:val="clear" w:color="auto" w:fill="auto"/>
            <w:noWrap/>
          </w:tcPr>
          <w:p w14:paraId="235E3E19" w14:textId="77777777" w:rsidR="00F33674" w:rsidRPr="00F33674" w:rsidRDefault="00F33674" w:rsidP="00F33674">
            <w:pPr>
              <w:jc w:val="left"/>
              <w:rPr>
                <w:rFonts w:ascii="Arial Narrow" w:hAnsi="Arial Narrow" w:cs="Calibri"/>
                <w:color w:val="000000"/>
                <w:sz w:val="20"/>
                <w:szCs w:val="20"/>
                <w:lang w:eastAsia="en-AU"/>
              </w:rPr>
            </w:pPr>
          </w:p>
        </w:tc>
        <w:tc>
          <w:tcPr>
            <w:tcW w:w="1149" w:type="dxa"/>
          </w:tcPr>
          <w:p w14:paraId="71810332" w14:textId="77777777" w:rsidR="00F33674" w:rsidRPr="00F33674" w:rsidRDefault="00F33674" w:rsidP="00F33674">
            <w:pPr>
              <w:jc w:val="left"/>
              <w:rPr>
                <w:rFonts w:ascii="Arial Narrow" w:hAnsi="Arial Narrow" w:cs="Calibri"/>
                <w:color w:val="000000"/>
                <w:sz w:val="20"/>
                <w:szCs w:val="20"/>
                <w:lang w:eastAsia="en-AU"/>
              </w:rPr>
            </w:pPr>
          </w:p>
        </w:tc>
        <w:tc>
          <w:tcPr>
            <w:tcW w:w="3007" w:type="dxa"/>
            <w:vMerge/>
            <w:shd w:val="clear" w:color="auto" w:fill="auto"/>
            <w:noWrap/>
          </w:tcPr>
          <w:p w14:paraId="7D648541" w14:textId="77777777" w:rsidR="00F33674" w:rsidRPr="00F33674" w:rsidRDefault="00F33674" w:rsidP="00F33674">
            <w:pPr>
              <w:jc w:val="left"/>
              <w:rPr>
                <w:rFonts w:ascii="Arial Narrow" w:hAnsi="Arial Narrow" w:cs="Calibri"/>
                <w:color w:val="000000"/>
                <w:sz w:val="20"/>
                <w:szCs w:val="20"/>
                <w:lang w:eastAsia="en-AU"/>
              </w:rPr>
            </w:pPr>
          </w:p>
        </w:tc>
        <w:tc>
          <w:tcPr>
            <w:tcW w:w="572" w:type="dxa"/>
            <w:shd w:val="clear" w:color="auto" w:fill="auto"/>
            <w:noWrap/>
          </w:tcPr>
          <w:p w14:paraId="145904A1" w14:textId="77777777" w:rsidR="00F33674" w:rsidRPr="00F33674" w:rsidRDefault="00F33674" w:rsidP="00F33674">
            <w:pPr>
              <w:jc w:val="left"/>
              <w:rPr>
                <w:rFonts w:ascii="Arial Narrow" w:hAnsi="Arial Narrow" w:cs="Calibri"/>
                <w:color w:val="000000"/>
                <w:sz w:val="20"/>
                <w:szCs w:val="20"/>
                <w:lang w:eastAsia="en-AU"/>
              </w:rPr>
            </w:pPr>
          </w:p>
        </w:tc>
        <w:tc>
          <w:tcPr>
            <w:tcW w:w="472" w:type="dxa"/>
            <w:shd w:val="clear" w:color="auto" w:fill="auto"/>
            <w:noWrap/>
          </w:tcPr>
          <w:p w14:paraId="36134B43" w14:textId="77777777" w:rsidR="00F33674" w:rsidRPr="00F33674" w:rsidRDefault="00F33674" w:rsidP="00F33674">
            <w:pPr>
              <w:jc w:val="left"/>
              <w:rPr>
                <w:rFonts w:ascii="Arial Narrow" w:hAnsi="Arial Narrow" w:cs="Calibri"/>
                <w:color w:val="000000"/>
                <w:sz w:val="20"/>
                <w:szCs w:val="20"/>
                <w:lang w:eastAsia="en-AU"/>
              </w:rPr>
            </w:pPr>
          </w:p>
        </w:tc>
        <w:tc>
          <w:tcPr>
            <w:tcW w:w="1794" w:type="dxa"/>
            <w:shd w:val="clear" w:color="auto" w:fill="auto"/>
            <w:noWrap/>
          </w:tcPr>
          <w:p w14:paraId="1D3B1AB7"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Comfarol Forte</w:t>
            </w:r>
          </w:p>
        </w:tc>
        <w:tc>
          <w:tcPr>
            <w:tcW w:w="1559" w:type="dxa"/>
            <w:shd w:val="clear" w:color="auto" w:fill="auto"/>
            <w:noWrap/>
          </w:tcPr>
          <w:p w14:paraId="7F7C9BFE"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Sandoz Pty Ltd</w:t>
            </w:r>
          </w:p>
        </w:tc>
      </w:tr>
      <w:tr w:rsidR="00F33674" w:rsidRPr="00F33674" w14:paraId="73EF1902" w14:textId="77777777" w:rsidTr="00F33674">
        <w:trPr>
          <w:trHeight w:val="300"/>
        </w:trPr>
        <w:tc>
          <w:tcPr>
            <w:tcW w:w="1456" w:type="dxa"/>
            <w:shd w:val="clear" w:color="auto" w:fill="auto"/>
            <w:noWrap/>
          </w:tcPr>
          <w:p w14:paraId="4E0B7496" w14:textId="77777777" w:rsidR="00F33674" w:rsidRPr="00F33674" w:rsidRDefault="00F33674" w:rsidP="00F33674">
            <w:pPr>
              <w:jc w:val="left"/>
              <w:rPr>
                <w:rFonts w:ascii="Arial Narrow" w:hAnsi="Arial Narrow" w:cs="Calibri"/>
                <w:color w:val="000000"/>
                <w:sz w:val="20"/>
                <w:szCs w:val="20"/>
                <w:lang w:eastAsia="en-AU"/>
              </w:rPr>
            </w:pPr>
          </w:p>
        </w:tc>
        <w:tc>
          <w:tcPr>
            <w:tcW w:w="1149" w:type="dxa"/>
          </w:tcPr>
          <w:p w14:paraId="2884788F" w14:textId="77777777" w:rsidR="00F33674" w:rsidRPr="00F33674" w:rsidRDefault="00F33674" w:rsidP="00F33674">
            <w:pPr>
              <w:jc w:val="left"/>
              <w:rPr>
                <w:rFonts w:ascii="Arial Narrow" w:hAnsi="Arial Narrow" w:cs="Calibri"/>
                <w:color w:val="000000"/>
                <w:sz w:val="20"/>
                <w:szCs w:val="20"/>
                <w:lang w:eastAsia="en-AU"/>
              </w:rPr>
            </w:pPr>
          </w:p>
        </w:tc>
        <w:tc>
          <w:tcPr>
            <w:tcW w:w="3007" w:type="dxa"/>
            <w:vMerge/>
            <w:shd w:val="clear" w:color="auto" w:fill="auto"/>
            <w:noWrap/>
          </w:tcPr>
          <w:p w14:paraId="7D11C629" w14:textId="77777777" w:rsidR="00F33674" w:rsidRPr="00F33674" w:rsidRDefault="00F33674" w:rsidP="00F33674">
            <w:pPr>
              <w:jc w:val="left"/>
              <w:rPr>
                <w:rFonts w:ascii="Arial Narrow" w:hAnsi="Arial Narrow" w:cs="Calibri"/>
                <w:color w:val="000000"/>
                <w:sz w:val="20"/>
                <w:szCs w:val="20"/>
                <w:lang w:eastAsia="en-AU"/>
              </w:rPr>
            </w:pPr>
          </w:p>
        </w:tc>
        <w:tc>
          <w:tcPr>
            <w:tcW w:w="572" w:type="dxa"/>
            <w:shd w:val="clear" w:color="auto" w:fill="auto"/>
            <w:noWrap/>
          </w:tcPr>
          <w:p w14:paraId="2DEC0649" w14:textId="77777777" w:rsidR="00F33674" w:rsidRPr="00F33674" w:rsidRDefault="00F33674" w:rsidP="00F33674">
            <w:pPr>
              <w:jc w:val="left"/>
              <w:rPr>
                <w:rFonts w:ascii="Arial Narrow" w:hAnsi="Arial Narrow" w:cs="Calibri"/>
                <w:color w:val="000000"/>
                <w:sz w:val="20"/>
                <w:szCs w:val="20"/>
                <w:lang w:eastAsia="en-AU"/>
              </w:rPr>
            </w:pPr>
          </w:p>
        </w:tc>
        <w:tc>
          <w:tcPr>
            <w:tcW w:w="472" w:type="dxa"/>
            <w:shd w:val="clear" w:color="auto" w:fill="auto"/>
            <w:noWrap/>
          </w:tcPr>
          <w:p w14:paraId="52B9EDDE" w14:textId="77777777" w:rsidR="00F33674" w:rsidRPr="00F33674" w:rsidRDefault="00F33674" w:rsidP="00F33674">
            <w:pPr>
              <w:jc w:val="left"/>
              <w:rPr>
                <w:rFonts w:ascii="Arial Narrow" w:hAnsi="Arial Narrow" w:cs="Calibri"/>
                <w:color w:val="000000"/>
                <w:sz w:val="20"/>
                <w:szCs w:val="20"/>
                <w:lang w:eastAsia="en-AU"/>
              </w:rPr>
            </w:pPr>
          </w:p>
        </w:tc>
        <w:tc>
          <w:tcPr>
            <w:tcW w:w="1794" w:type="dxa"/>
            <w:shd w:val="clear" w:color="auto" w:fill="auto"/>
            <w:noWrap/>
          </w:tcPr>
          <w:p w14:paraId="41E74533"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Panadeine Forte</w:t>
            </w:r>
          </w:p>
        </w:tc>
        <w:tc>
          <w:tcPr>
            <w:tcW w:w="1559" w:type="dxa"/>
            <w:shd w:val="clear" w:color="auto" w:fill="auto"/>
            <w:noWrap/>
          </w:tcPr>
          <w:p w14:paraId="6056906A"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sanofi-aventis Australia Pty Ltd</w:t>
            </w:r>
          </w:p>
        </w:tc>
      </w:tr>
      <w:tr w:rsidR="00F33674" w:rsidRPr="00F33674" w14:paraId="2C261463" w14:textId="77777777" w:rsidTr="00F33674">
        <w:trPr>
          <w:trHeight w:val="300"/>
        </w:trPr>
        <w:tc>
          <w:tcPr>
            <w:tcW w:w="1456" w:type="dxa"/>
            <w:shd w:val="clear" w:color="auto" w:fill="auto"/>
            <w:noWrap/>
          </w:tcPr>
          <w:p w14:paraId="369F4E26" w14:textId="77777777" w:rsidR="00F33674" w:rsidRPr="00F33674" w:rsidRDefault="00F33674" w:rsidP="00F33674">
            <w:pPr>
              <w:jc w:val="left"/>
              <w:rPr>
                <w:rFonts w:ascii="Arial Narrow" w:hAnsi="Arial Narrow" w:cs="Calibri"/>
                <w:color w:val="000000"/>
                <w:sz w:val="20"/>
                <w:szCs w:val="20"/>
                <w:lang w:eastAsia="en-AU"/>
              </w:rPr>
            </w:pPr>
          </w:p>
        </w:tc>
        <w:tc>
          <w:tcPr>
            <w:tcW w:w="1149" w:type="dxa"/>
          </w:tcPr>
          <w:p w14:paraId="1885DB5A" w14:textId="77777777" w:rsidR="00F33674" w:rsidRPr="00F33674" w:rsidRDefault="00F33674" w:rsidP="00F33674">
            <w:pPr>
              <w:jc w:val="left"/>
              <w:rPr>
                <w:rFonts w:ascii="Arial Narrow" w:hAnsi="Arial Narrow" w:cs="Calibri"/>
                <w:color w:val="000000"/>
                <w:sz w:val="20"/>
                <w:szCs w:val="20"/>
                <w:lang w:eastAsia="en-AU"/>
              </w:rPr>
            </w:pPr>
          </w:p>
        </w:tc>
        <w:tc>
          <w:tcPr>
            <w:tcW w:w="3007" w:type="dxa"/>
            <w:vMerge/>
            <w:shd w:val="clear" w:color="auto" w:fill="auto"/>
            <w:noWrap/>
          </w:tcPr>
          <w:p w14:paraId="623CD37A" w14:textId="77777777" w:rsidR="00F33674" w:rsidRPr="00F33674" w:rsidRDefault="00F33674" w:rsidP="00F33674">
            <w:pPr>
              <w:jc w:val="left"/>
              <w:rPr>
                <w:rFonts w:ascii="Arial Narrow" w:hAnsi="Arial Narrow" w:cs="Calibri"/>
                <w:color w:val="000000"/>
                <w:sz w:val="20"/>
                <w:szCs w:val="20"/>
                <w:lang w:eastAsia="en-AU"/>
              </w:rPr>
            </w:pPr>
          </w:p>
        </w:tc>
        <w:tc>
          <w:tcPr>
            <w:tcW w:w="572" w:type="dxa"/>
            <w:shd w:val="clear" w:color="auto" w:fill="auto"/>
            <w:noWrap/>
          </w:tcPr>
          <w:p w14:paraId="5289C99C" w14:textId="77777777" w:rsidR="00F33674" w:rsidRPr="00F33674" w:rsidRDefault="00F33674" w:rsidP="00F33674">
            <w:pPr>
              <w:jc w:val="left"/>
              <w:rPr>
                <w:rFonts w:ascii="Arial Narrow" w:hAnsi="Arial Narrow" w:cs="Calibri"/>
                <w:color w:val="000000"/>
                <w:sz w:val="20"/>
                <w:szCs w:val="20"/>
                <w:lang w:eastAsia="en-AU"/>
              </w:rPr>
            </w:pPr>
          </w:p>
        </w:tc>
        <w:tc>
          <w:tcPr>
            <w:tcW w:w="472" w:type="dxa"/>
            <w:shd w:val="clear" w:color="auto" w:fill="auto"/>
            <w:noWrap/>
          </w:tcPr>
          <w:p w14:paraId="0B083ACB" w14:textId="77777777" w:rsidR="00F33674" w:rsidRPr="00F33674" w:rsidRDefault="00F33674" w:rsidP="00F33674">
            <w:pPr>
              <w:jc w:val="left"/>
              <w:rPr>
                <w:rFonts w:ascii="Arial Narrow" w:hAnsi="Arial Narrow" w:cs="Calibri"/>
                <w:color w:val="000000"/>
                <w:sz w:val="20"/>
                <w:szCs w:val="20"/>
                <w:lang w:eastAsia="en-AU"/>
              </w:rPr>
            </w:pPr>
          </w:p>
        </w:tc>
        <w:tc>
          <w:tcPr>
            <w:tcW w:w="1794" w:type="dxa"/>
            <w:shd w:val="clear" w:color="auto" w:fill="auto"/>
            <w:noWrap/>
          </w:tcPr>
          <w:p w14:paraId="55C43E69"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Paracetamol/Codeine GH 500/30</w:t>
            </w:r>
          </w:p>
        </w:tc>
        <w:tc>
          <w:tcPr>
            <w:tcW w:w="1559" w:type="dxa"/>
            <w:shd w:val="clear" w:color="auto" w:fill="auto"/>
            <w:noWrap/>
          </w:tcPr>
          <w:p w14:paraId="649B129E"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Generic Health Pty Ltd</w:t>
            </w:r>
          </w:p>
        </w:tc>
      </w:tr>
      <w:tr w:rsidR="00F33674" w:rsidRPr="00F33674" w14:paraId="30F9C74C" w14:textId="77777777" w:rsidTr="00F33674">
        <w:trPr>
          <w:trHeight w:val="300"/>
        </w:trPr>
        <w:tc>
          <w:tcPr>
            <w:tcW w:w="1456" w:type="dxa"/>
            <w:shd w:val="clear" w:color="auto" w:fill="auto"/>
            <w:noWrap/>
          </w:tcPr>
          <w:p w14:paraId="4BE8DD66" w14:textId="77777777" w:rsidR="00F33674" w:rsidRPr="00F33674" w:rsidRDefault="00F33674" w:rsidP="00F33674">
            <w:pPr>
              <w:jc w:val="left"/>
              <w:rPr>
                <w:rFonts w:ascii="Arial Narrow" w:hAnsi="Arial Narrow" w:cs="Calibri"/>
                <w:color w:val="000000"/>
                <w:sz w:val="20"/>
                <w:szCs w:val="20"/>
                <w:lang w:eastAsia="en-AU"/>
              </w:rPr>
            </w:pPr>
          </w:p>
        </w:tc>
        <w:tc>
          <w:tcPr>
            <w:tcW w:w="1149" w:type="dxa"/>
          </w:tcPr>
          <w:p w14:paraId="3F827E2D" w14:textId="77777777" w:rsidR="00F33674" w:rsidRPr="00F33674" w:rsidRDefault="00F33674" w:rsidP="00F33674">
            <w:pPr>
              <w:jc w:val="left"/>
              <w:rPr>
                <w:rFonts w:ascii="Arial Narrow" w:hAnsi="Arial Narrow" w:cs="Calibri"/>
                <w:color w:val="000000"/>
                <w:sz w:val="20"/>
                <w:szCs w:val="20"/>
                <w:lang w:eastAsia="en-AU"/>
              </w:rPr>
            </w:pPr>
          </w:p>
        </w:tc>
        <w:tc>
          <w:tcPr>
            <w:tcW w:w="3007" w:type="dxa"/>
            <w:vMerge/>
            <w:shd w:val="clear" w:color="auto" w:fill="auto"/>
            <w:noWrap/>
          </w:tcPr>
          <w:p w14:paraId="0C2F6250" w14:textId="77777777" w:rsidR="00F33674" w:rsidRPr="00F33674" w:rsidRDefault="00F33674" w:rsidP="00F33674">
            <w:pPr>
              <w:jc w:val="left"/>
              <w:rPr>
                <w:rFonts w:ascii="Arial Narrow" w:hAnsi="Arial Narrow" w:cs="Calibri"/>
                <w:color w:val="000000"/>
                <w:sz w:val="20"/>
                <w:szCs w:val="20"/>
                <w:lang w:eastAsia="en-AU"/>
              </w:rPr>
            </w:pPr>
          </w:p>
        </w:tc>
        <w:tc>
          <w:tcPr>
            <w:tcW w:w="572" w:type="dxa"/>
            <w:shd w:val="clear" w:color="auto" w:fill="auto"/>
            <w:noWrap/>
          </w:tcPr>
          <w:p w14:paraId="10DB4200" w14:textId="77777777" w:rsidR="00F33674" w:rsidRPr="00F33674" w:rsidRDefault="00F33674" w:rsidP="00F33674">
            <w:pPr>
              <w:jc w:val="left"/>
              <w:rPr>
                <w:rFonts w:ascii="Arial Narrow" w:hAnsi="Arial Narrow" w:cs="Calibri"/>
                <w:color w:val="000000"/>
                <w:sz w:val="20"/>
                <w:szCs w:val="20"/>
                <w:lang w:eastAsia="en-AU"/>
              </w:rPr>
            </w:pPr>
          </w:p>
        </w:tc>
        <w:tc>
          <w:tcPr>
            <w:tcW w:w="472" w:type="dxa"/>
            <w:shd w:val="clear" w:color="auto" w:fill="auto"/>
            <w:noWrap/>
          </w:tcPr>
          <w:p w14:paraId="467FB08C" w14:textId="77777777" w:rsidR="00F33674" w:rsidRPr="00F33674" w:rsidRDefault="00F33674" w:rsidP="00F33674">
            <w:pPr>
              <w:jc w:val="left"/>
              <w:rPr>
                <w:rFonts w:ascii="Arial Narrow" w:hAnsi="Arial Narrow" w:cs="Calibri"/>
                <w:color w:val="000000"/>
                <w:sz w:val="20"/>
                <w:szCs w:val="20"/>
                <w:lang w:eastAsia="en-AU"/>
              </w:rPr>
            </w:pPr>
          </w:p>
        </w:tc>
        <w:tc>
          <w:tcPr>
            <w:tcW w:w="1794" w:type="dxa"/>
            <w:shd w:val="clear" w:color="auto" w:fill="auto"/>
            <w:noWrap/>
          </w:tcPr>
          <w:p w14:paraId="2BA4CDB1"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Prodeine Forte</w:t>
            </w:r>
          </w:p>
        </w:tc>
        <w:tc>
          <w:tcPr>
            <w:tcW w:w="1559" w:type="dxa"/>
            <w:shd w:val="clear" w:color="auto" w:fill="auto"/>
            <w:noWrap/>
          </w:tcPr>
          <w:p w14:paraId="6C73C92D"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sanofi-aventis Australia Pty Ltd</w:t>
            </w:r>
          </w:p>
        </w:tc>
      </w:tr>
      <w:tr w:rsidR="00F33674" w:rsidRPr="00F33674" w14:paraId="1457526B" w14:textId="77777777" w:rsidTr="00F33674">
        <w:trPr>
          <w:trHeight w:val="300"/>
        </w:trPr>
        <w:tc>
          <w:tcPr>
            <w:tcW w:w="1456" w:type="dxa"/>
            <w:shd w:val="clear" w:color="auto" w:fill="auto"/>
            <w:noWrap/>
            <w:hideMark/>
          </w:tcPr>
          <w:p w14:paraId="795F8380"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OXYCODONE</w:t>
            </w:r>
          </w:p>
        </w:tc>
        <w:tc>
          <w:tcPr>
            <w:tcW w:w="1149" w:type="dxa"/>
          </w:tcPr>
          <w:p w14:paraId="6044BDFC"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5197M</w:t>
            </w:r>
          </w:p>
        </w:tc>
        <w:tc>
          <w:tcPr>
            <w:tcW w:w="3007" w:type="dxa"/>
            <w:vMerge w:val="restart"/>
            <w:shd w:val="clear" w:color="auto" w:fill="auto"/>
            <w:noWrap/>
            <w:hideMark/>
          </w:tcPr>
          <w:p w14:paraId="48394962"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Capsule containing oxycodone hydrochloride 10 mg</w:t>
            </w:r>
          </w:p>
        </w:tc>
        <w:tc>
          <w:tcPr>
            <w:tcW w:w="572" w:type="dxa"/>
            <w:shd w:val="clear" w:color="auto" w:fill="auto"/>
            <w:noWrap/>
            <w:hideMark/>
          </w:tcPr>
          <w:p w14:paraId="58C11076"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20</w:t>
            </w:r>
          </w:p>
        </w:tc>
        <w:tc>
          <w:tcPr>
            <w:tcW w:w="472" w:type="dxa"/>
            <w:shd w:val="clear" w:color="auto" w:fill="auto"/>
            <w:noWrap/>
            <w:hideMark/>
          </w:tcPr>
          <w:p w14:paraId="01A1733C"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0</w:t>
            </w:r>
          </w:p>
        </w:tc>
        <w:tc>
          <w:tcPr>
            <w:tcW w:w="1794" w:type="dxa"/>
            <w:shd w:val="clear" w:color="auto" w:fill="auto"/>
            <w:noWrap/>
            <w:hideMark/>
          </w:tcPr>
          <w:p w14:paraId="29CE7BA5"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OxyNorm</w:t>
            </w:r>
          </w:p>
        </w:tc>
        <w:tc>
          <w:tcPr>
            <w:tcW w:w="1559" w:type="dxa"/>
            <w:shd w:val="clear" w:color="auto" w:fill="auto"/>
            <w:noWrap/>
            <w:hideMark/>
          </w:tcPr>
          <w:p w14:paraId="716A4148"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Mundipharma Pty Limited</w:t>
            </w:r>
          </w:p>
        </w:tc>
      </w:tr>
      <w:tr w:rsidR="00F33674" w:rsidRPr="00F33674" w14:paraId="574F5753" w14:textId="77777777" w:rsidTr="00F33674">
        <w:trPr>
          <w:trHeight w:val="300"/>
        </w:trPr>
        <w:tc>
          <w:tcPr>
            <w:tcW w:w="1456" w:type="dxa"/>
            <w:shd w:val="clear" w:color="auto" w:fill="auto"/>
            <w:noWrap/>
          </w:tcPr>
          <w:p w14:paraId="75019A46" w14:textId="77777777" w:rsidR="00F33674" w:rsidRPr="00F33674" w:rsidRDefault="00F33674" w:rsidP="00F33674">
            <w:pPr>
              <w:jc w:val="left"/>
              <w:rPr>
                <w:rFonts w:ascii="Arial Narrow" w:hAnsi="Arial Narrow" w:cs="Calibri"/>
                <w:color w:val="000000"/>
                <w:sz w:val="20"/>
                <w:szCs w:val="20"/>
                <w:lang w:eastAsia="en-AU"/>
              </w:rPr>
            </w:pPr>
          </w:p>
        </w:tc>
        <w:tc>
          <w:tcPr>
            <w:tcW w:w="1149" w:type="dxa"/>
          </w:tcPr>
          <w:p w14:paraId="5988739A" w14:textId="77777777" w:rsidR="00F33674" w:rsidRPr="00F33674" w:rsidRDefault="00F33674" w:rsidP="00F33674">
            <w:pPr>
              <w:jc w:val="left"/>
              <w:rPr>
                <w:rFonts w:ascii="Arial Narrow" w:hAnsi="Arial Narrow" w:cs="Calibri"/>
                <w:color w:val="000000"/>
                <w:sz w:val="20"/>
                <w:szCs w:val="20"/>
                <w:lang w:eastAsia="en-AU"/>
              </w:rPr>
            </w:pPr>
          </w:p>
        </w:tc>
        <w:tc>
          <w:tcPr>
            <w:tcW w:w="3007" w:type="dxa"/>
            <w:vMerge/>
            <w:shd w:val="clear" w:color="auto" w:fill="auto"/>
            <w:noWrap/>
          </w:tcPr>
          <w:p w14:paraId="62C7C4AB" w14:textId="77777777" w:rsidR="00F33674" w:rsidRPr="00F33674" w:rsidRDefault="00F33674" w:rsidP="00F33674">
            <w:pPr>
              <w:jc w:val="left"/>
              <w:rPr>
                <w:rFonts w:ascii="Arial Narrow" w:hAnsi="Arial Narrow" w:cs="Calibri"/>
                <w:color w:val="000000"/>
                <w:sz w:val="20"/>
                <w:szCs w:val="20"/>
                <w:lang w:eastAsia="en-AU"/>
              </w:rPr>
            </w:pPr>
          </w:p>
        </w:tc>
        <w:tc>
          <w:tcPr>
            <w:tcW w:w="572" w:type="dxa"/>
            <w:shd w:val="clear" w:color="auto" w:fill="auto"/>
            <w:noWrap/>
          </w:tcPr>
          <w:p w14:paraId="24D0B947" w14:textId="77777777" w:rsidR="00F33674" w:rsidRPr="00F33674" w:rsidRDefault="00F33674" w:rsidP="00F33674">
            <w:pPr>
              <w:jc w:val="left"/>
              <w:rPr>
                <w:rFonts w:ascii="Arial Narrow" w:hAnsi="Arial Narrow" w:cs="Calibri"/>
                <w:color w:val="000000"/>
                <w:sz w:val="20"/>
                <w:szCs w:val="20"/>
                <w:lang w:eastAsia="en-AU"/>
              </w:rPr>
            </w:pPr>
          </w:p>
        </w:tc>
        <w:tc>
          <w:tcPr>
            <w:tcW w:w="472" w:type="dxa"/>
            <w:shd w:val="clear" w:color="auto" w:fill="auto"/>
            <w:noWrap/>
          </w:tcPr>
          <w:p w14:paraId="76609482" w14:textId="77777777" w:rsidR="00F33674" w:rsidRPr="00F33674" w:rsidRDefault="00F33674" w:rsidP="00F33674">
            <w:pPr>
              <w:jc w:val="left"/>
              <w:rPr>
                <w:rFonts w:ascii="Arial Narrow" w:hAnsi="Arial Narrow" w:cs="Calibri"/>
                <w:color w:val="000000"/>
                <w:sz w:val="20"/>
                <w:szCs w:val="20"/>
                <w:lang w:eastAsia="en-AU"/>
              </w:rPr>
            </w:pPr>
          </w:p>
        </w:tc>
        <w:tc>
          <w:tcPr>
            <w:tcW w:w="1794" w:type="dxa"/>
            <w:shd w:val="clear" w:color="auto" w:fill="auto"/>
            <w:noWrap/>
            <w:hideMark/>
          </w:tcPr>
          <w:p w14:paraId="722E3682"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Oxycodone BNM</w:t>
            </w:r>
          </w:p>
        </w:tc>
        <w:tc>
          <w:tcPr>
            <w:tcW w:w="1559" w:type="dxa"/>
            <w:shd w:val="clear" w:color="auto" w:fill="auto"/>
            <w:noWrap/>
            <w:hideMark/>
          </w:tcPr>
          <w:p w14:paraId="71EE2005"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Luminarie Pty Ltd</w:t>
            </w:r>
          </w:p>
        </w:tc>
      </w:tr>
      <w:tr w:rsidR="00F33674" w:rsidRPr="00F33674" w14:paraId="0DAEEBF2" w14:textId="77777777" w:rsidTr="00F33674">
        <w:trPr>
          <w:trHeight w:val="300"/>
        </w:trPr>
        <w:tc>
          <w:tcPr>
            <w:tcW w:w="1456" w:type="dxa"/>
            <w:shd w:val="clear" w:color="auto" w:fill="auto"/>
            <w:noWrap/>
          </w:tcPr>
          <w:p w14:paraId="19D60091" w14:textId="77777777" w:rsidR="00F33674" w:rsidRPr="00F33674" w:rsidRDefault="00F33674" w:rsidP="00F33674">
            <w:pPr>
              <w:jc w:val="left"/>
              <w:rPr>
                <w:rFonts w:ascii="Arial Narrow" w:hAnsi="Arial Narrow" w:cs="Calibri"/>
                <w:color w:val="000000"/>
                <w:sz w:val="20"/>
                <w:szCs w:val="20"/>
                <w:lang w:eastAsia="en-AU"/>
              </w:rPr>
            </w:pPr>
          </w:p>
        </w:tc>
        <w:tc>
          <w:tcPr>
            <w:tcW w:w="1149" w:type="dxa"/>
          </w:tcPr>
          <w:p w14:paraId="41E0865B"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5191F</w:t>
            </w:r>
          </w:p>
        </w:tc>
        <w:tc>
          <w:tcPr>
            <w:tcW w:w="3007" w:type="dxa"/>
            <w:vMerge w:val="restart"/>
            <w:shd w:val="clear" w:color="auto" w:fill="auto"/>
            <w:noWrap/>
            <w:hideMark/>
          </w:tcPr>
          <w:p w14:paraId="5D8F1611"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Capsule containing oxycodone hydrochloride 5 mg</w:t>
            </w:r>
          </w:p>
        </w:tc>
        <w:tc>
          <w:tcPr>
            <w:tcW w:w="572" w:type="dxa"/>
            <w:shd w:val="clear" w:color="auto" w:fill="auto"/>
            <w:noWrap/>
            <w:hideMark/>
          </w:tcPr>
          <w:p w14:paraId="554E6F2E"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20</w:t>
            </w:r>
          </w:p>
        </w:tc>
        <w:tc>
          <w:tcPr>
            <w:tcW w:w="472" w:type="dxa"/>
            <w:shd w:val="clear" w:color="auto" w:fill="auto"/>
            <w:noWrap/>
            <w:hideMark/>
          </w:tcPr>
          <w:p w14:paraId="3D0C0BDB"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0</w:t>
            </w:r>
          </w:p>
        </w:tc>
        <w:tc>
          <w:tcPr>
            <w:tcW w:w="1794" w:type="dxa"/>
            <w:shd w:val="clear" w:color="auto" w:fill="auto"/>
            <w:noWrap/>
            <w:hideMark/>
          </w:tcPr>
          <w:p w14:paraId="122FA9BA"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OxyNorm</w:t>
            </w:r>
          </w:p>
        </w:tc>
        <w:tc>
          <w:tcPr>
            <w:tcW w:w="1559" w:type="dxa"/>
            <w:shd w:val="clear" w:color="auto" w:fill="auto"/>
            <w:noWrap/>
            <w:hideMark/>
          </w:tcPr>
          <w:p w14:paraId="498EFDE4"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Mundipharma Pty Limited</w:t>
            </w:r>
          </w:p>
        </w:tc>
      </w:tr>
      <w:tr w:rsidR="00F33674" w:rsidRPr="00F33674" w14:paraId="4D5496DB" w14:textId="77777777" w:rsidTr="00F33674">
        <w:trPr>
          <w:trHeight w:val="300"/>
        </w:trPr>
        <w:tc>
          <w:tcPr>
            <w:tcW w:w="1456" w:type="dxa"/>
            <w:shd w:val="clear" w:color="auto" w:fill="auto"/>
            <w:noWrap/>
          </w:tcPr>
          <w:p w14:paraId="0A9E6DC5" w14:textId="77777777" w:rsidR="00F33674" w:rsidRPr="00F33674" w:rsidRDefault="00F33674" w:rsidP="00F33674">
            <w:pPr>
              <w:jc w:val="left"/>
              <w:rPr>
                <w:rFonts w:ascii="Arial Narrow" w:hAnsi="Arial Narrow" w:cs="Calibri"/>
                <w:color w:val="000000"/>
                <w:sz w:val="20"/>
                <w:szCs w:val="20"/>
                <w:lang w:eastAsia="en-AU"/>
              </w:rPr>
            </w:pPr>
          </w:p>
        </w:tc>
        <w:tc>
          <w:tcPr>
            <w:tcW w:w="1149" w:type="dxa"/>
          </w:tcPr>
          <w:p w14:paraId="7AE5E3A6" w14:textId="77777777" w:rsidR="00F33674" w:rsidRPr="00F33674" w:rsidRDefault="00F33674" w:rsidP="00F33674">
            <w:pPr>
              <w:jc w:val="left"/>
              <w:rPr>
                <w:rFonts w:ascii="Arial Narrow" w:hAnsi="Arial Narrow" w:cs="Calibri"/>
                <w:color w:val="000000"/>
                <w:sz w:val="20"/>
                <w:szCs w:val="20"/>
                <w:lang w:eastAsia="en-AU"/>
              </w:rPr>
            </w:pPr>
          </w:p>
        </w:tc>
        <w:tc>
          <w:tcPr>
            <w:tcW w:w="3007" w:type="dxa"/>
            <w:vMerge/>
            <w:shd w:val="clear" w:color="auto" w:fill="auto"/>
            <w:noWrap/>
          </w:tcPr>
          <w:p w14:paraId="605B4346" w14:textId="77777777" w:rsidR="00F33674" w:rsidRPr="00F33674" w:rsidRDefault="00F33674" w:rsidP="00F33674">
            <w:pPr>
              <w:jc w:val="left"/>
              <w:rPr>
                <w:rFonts w:ascii="Arial Narrow" w:hAnsi="Arial Narrow" w:cs="Calibri"/>
                <w:color w:val="000000"/>
                <w:sz w:val="20"/>
                <w:szCs w:val="20"/>
                <w:lang w:eastAsia="en-AU"/>
              </w:rPr>
            </w:pPr>
          </w:p>
        </w:tc>
        <w:tc>
          <w:tcPr>
            <w:tcW w:w="572" w:type="dxa"/>
            <w:shd w:val="clear" w:color="auto" w:fill="auto"/>
            <w:noWrap/>
          </w:tcPr>
          <w:p w14:paraId="2830CAE5" w14:textId="77777777" w:rsidR="00F33674" w:rsidRPr="00F33674" w:rsidRDefault="00F33674" w:rsidP="00F33674">
            <w:pPr>
              <w:jc w:val="left"/>
              <w:rPr>
                <w:rFonts w:ascii="Arial Narrow" w:hAnsi="Arial Narrow" w:cs="Calibri"/>
                <w:color w:val="000000"/>
                <w:sz w:val="20"/>
                <w:szCs w:val="20"/>
                <w:lang w:eastAsia="en-AU"/>
              </w:rPr>
            </w:pPr>
          </w:p>
        </w:tc>
        <w:tc>
          <w:tcPr>
            <w:tcW w:w="472" w:type="dxa"/>
            <w:shd w:val="clear" w:color="auto" w:fill="auto"/>
            <w:noWrap/>
          </w:tcPr>
          <w:p w14:paraId="72E46D55" w14:textId="77777777" w:rsidR="00F33674" w:rsidRPr="00F33674" w:rsidRDefault="00F33674" w:rsidP="00F33674">
            <w:pPr>
              <w:jc w:val="left"/>
              <w:rPr>
                <w:rFonts w:ascii="Arial Narrow" w:hAnsi="Arial Narrow" w:cs="Calibri"/>
                <w:color w:val="000000"/>
                <w:sz w:val="20"/>
                <w:szCs w:val="20"/>
                <w:lang w:eastAsia="en-AU"/>
              </w:rPr>
            </w:pPr>
          </w:p>
        </w:tc>
        <w:tc>
          <w:tcPr>
            <w:tcW w:w="1794" w:type="dxa"/>
            <w:shd w:val="clear" w:color="auto" w:fill="auto"/>
            <w:noWrap/>
            <w:hideMark/>
          </w:tcPr>
          <w:p w14:paraId="40435449"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Oxycodone BNM</w:t>
            </w:r>
          </w:p>
        </w:tc>
        <w:tc>
          <w:tcPr>
            <w:tcW w:w="1559" w:type="dxa"/>
            <w:shd w:val="clear" w:color="auto" w:fill="auto"/>
            <w:noWrap/>
            <w:hideMark/>
          </w:tcPr>
          <w:p w14:paraId="7205387A"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Luminarie Pty Ltd</w:t>
            </w:r>
          </w:p>
        </w:tc>
      </w:tr>
      <w:tr w:rsidR="00F33674" w:rsidRPr="00F33674" w14:paraId="4F9A56A0" w14:textId="77777777" w:rsidTr="00F33674">
        <w:trPr>
          <w:trHeight w:val="300"/>
        </w:trPr>
        <w:tc>
          <w:tcPr>
            <w:tcW w:w="1456" w:type="dxa"/>
            <w:shd w:val="clear" w:color="auto" w:fill="auto"/>
            <w:noWrap/>
          </w:tcPr>
          <w:p w14:paraId="412C372F" w14:textId="77777777" w:rsidR="00F33674" w:rsidRPr="00F33674" w:rsidRDefault="00F33674" w:rsidP="00F33674">
            <w:pPr>
              <w:jc w:val="left"/>
              <w:rPr>
                <w:rFonts w:ascii="Arial Narrow" w:hAnsi="Arial Narrow" w:cs="Calibri"/>
                <w:color w:val="000000"/>
                <w:sz w:val="20"/>
                <w:szCs w:val="20"/>
                <w:lang w:eastAsia="en-AU"/>
              </w:rPr>
            </w:pPr>
          </w:p>
        </w:tc>
        <w:tc>
          <w:tcPr>
            <w:tcW w:w="1149" w:type="dxa"/>
          </w:tcPr>
          <w:p w14:paraId="584DE7EE"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5190E</w:t>
            </w:r>
          </w:p>
        </w:tc>
        <w:tc>
          <w:tcPr>
            <w:tcW w:w="3007" w:type="dxa"/>
            <w:shd w:val="clear" w:color="auto" w:fill="auto"/>
            <w:noWrap/>
            <w:hideMark/>
          </w:tcPr>
          <w:p w14:paraId="3FC777D8"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Oral solution containing oxycodone hydrochloride 1 mg per mL, 250 mL</w:t>
            </w:r>
          </w:p>
        </w:tc>
        <w:tc>
          <w:tcPr>
            <w:tcW w:w="572" w:type="dxa"/>
            <w:shd w:val="clear" w:color="auto" w:fill="auto"/>
            <w:noWrap/>
            <w:hideMark/>
          </w:tcPr>
          <w:p w14:paraId="624D5FE6"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1</w:t>
            </w:r>
          </w:p>
        </w:tc>
        <w:tc>
          <w:tcPr>
            <w:tcW w:w="472" w:type="dxa"/>
            <w:shd w:val="clear" w:color="auto" w:fill="auto"/>
            <w:noWrap/>
            <w:hideMark/>
          </w:tcPr>
          <w:p w14:paraId="4D64F0DE"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0</w:t>
            </w:r>
          </w:p>
        </w:tc>
        <w:tc>
          <w:tcPr>
            <w:tcW w:w="1794" w:type="dxa"/>
            <w:shd w:val="clear" w:color="auto" w:fill="auto"/>
            <w:noWrap/>
            <w:hideMark/>
          </w:tcPr>
          <w:p w14:paraId="34794738"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OxyNorm Liquid 1mg/mL</w:t>
            </w:r>
          </w:p>
        </w:tc>
        <w:tc>
          <w:tcPr>
            <w:tcW w:w="1559" w:type="dxa"/>
            <w:shd w:val="clear" w:color="auto" w:fill="auto"/>
            <w:noWrap/>
            <w:hideMark/>
          </w:tcPr>
          <w:p w14:paraId="2BAE0FA1"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Mundipharma Pty Limited</w:t>
            </w:r>
          </w:p>
        </w:tc>
      </w:tr>
      <w:tr w:rsidR="00F33674" w:rsidRPr="00F33674" w14:paraId="3374EF53" w14:textId="77777777" w:rsidTr="00F33674">
        <w:trPr>
          <w:trHeight w:val="300"/>
        </w:trPr>
        <w:tc>
          <w:tcPr>
            <w:tcW w:w="1456" w:type="dxa"/>
            <w:shd w:val="clear" w:color="auto" w:fill="auto"/>
            <w:noWrap/>
          </w:tcPr>
          <w:p w14:paraId="6EFA085F" w14:textId="77777777" w:rsidR="00F33674" w:rsidRPr="00F33674" w:rsidRDefault="00F33674" w:rsidP="00F33674">
            <w:pPr>
              <w:jc w:val="left"/>
              <w:rPr>
                <w:rFonts w:ascii="Arial Narrow" w:hAnsi="Arial Narrow" w:cs="Calibri"/>
                <w:color w:val="000000"/>
                <w:sz w:val="20"/>
                <w:szCs w:val="20"/>
                <w:lang w:eastAsia="en-AU"/>
              </w:rPr>
            </w:pPr>
          </w:p>
        </w:tc>
        <w:tc>
          <w:tcPr>
            <w:tcW w:w="1149" w:type="dxa"/>
          </w:tcPr>
          <w:p w14:paraId="092012F6"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5195K</w:t>
            </w:r>
          </w:p>
        </w:tc>
        <w:tc>
          <w:tcPr>
            <w:tcW w:w="3007" w:type="dxa"/>
            <w:vMerge w:val="restart"/>
            <w:shd w:val="clear" w:color="auto" w:fill="auto"/>
            <w:noWrap/>
            <w:hideMark/>
          </w:tcPr>
          <w:p w14:paraId="2E8410F4"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Tablet containing oxycodone hydrochloride 5 mg</w:t>
            </w:r>
          </w:p>
        </w:tc>
        <w:tc>
          <w:tcPr>
            <w:tcW w:w="572" w:type="dxa"/>
            <w:shd w:val="clear" w:color="auto" w:fill="auto"/>
            <w:noWrap/>
            <w:hideMark/>
          </w:tcPr>
          <w:p w14:paraId="1B8B3337"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20</w:t>
            </w:r>
          </w:p>
        </w:tc>
        <w:tc>
          <w:tcPr>
            <w:tcW w:w="472" w:type="dxa"/>
            <w:shd w:val="clear" w:color="auto" w:fill="auto"/>
            <w:noWrap/>
            <w:hideMark/>
          </w:tcPr>
          <w:p w14:paraId="46387EE6"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0</w:t>
            </w:r>
          </w:p>
        </w:tc>
        <w:tc>
          <w:tcPr>
            <w:tcW w:w="1794" w:type="dxa"/>
            <w:shd w:val="clear" w:color="auto" w:fill="auto"/>
            <w:noWrap/>
            <w:hideMark/>
          </w:tcPr>
          <w:p w14:paraId="0069270F"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Endone</w:t>
            </w:r>
          </w:p>
        </w:tc>
        <w:tc>
          <w:tcPr>
            <w:tcW w:w="1559" w:type="dxa"/>
            <w:shd w:val="clear" w:color="auto" w:fill="auto"/>
            <w:noWrap/>
            <w:hideMark/>
          </w:tcPr>
          <w:p w14:paraId="5D0C1455"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Alphapharm Pty Ltd</w:t>
            </w:r>
          </w:p>
        </w:tc>
      </w:tr>
      <w:tr w:rsidR="00F33674" w:rsidRPr="00F33674" w14:paraId="2C981DC9" w14:textId="77777777" w:rsidTr="00F33674">
        <w:trPr>
          <w:trHeight w:val="300"/>
        </w:trPr>
        <w:tc>
          <w:tcPr>
            <w:tcW w:w="1456" w:type="dxa"/>
            <w:shd w:val="clear" w:color="auto" w:fill="auto"/>
            <w:noWrap/>
          </w:tcPr>
          <w:p w14:paraId="280E2157" w14:textId="77777777" w:rsidR="00F33674" w:rsidRPr="00F33674" w:rsidRDefault="00F33674" w:rsidP="00F33674">
            <w:pPr>
              <w:jc w:val="left"/>
              <w:rPr>
                <w:rFonts w:ascii="Arial Narrow" w:hAnsi="Arial Narrow" w:cs="Calibri"/>
                <w:color w:val="000000"/>
                <w:sz w:val="20"/>
                <w:szCs w:val="20"/>
                <w:lang w:eastAsia="en-AU"/>
              </w:rPr>
            </w:pPr>
          </w:p>
        </w:tc>
        <w:tc>
          <w:tcPr>
            <w:tcW w:w="1149" w:type="dxa"/>
          </w:tcPr>
          <w:p w14:paraId="4121C672" w14:textId="77777777" w:rsidR="00F33674" w:rsidRPr="00F33674" w:rsidRDefault="00F33674" w:rsidP="00F33674">
            <w:pPr>
              <w:jc w:val="left"/>
              <w:rPr>
                <w:rFonts w:ascii="Arial Narrow" w:hAnsi="Arial Narrow" w:cs="Calibri"/>
                <w:color w:val="000000"/>
                <w:sz w:val="20"/>
                <w:szCs w:val="20"/>
                <w:lang w:eastAsia="en-AU"/>
              </w:rPr>
            </w:pPr>
          </w:p>
        </w:tc>
        <w:tc>
          <w:tcPr>
            <w:tcW w:w="3007" w:type="dxa"/>
            <w:vMerge/>
            <w:shd w:val="clear" w:color="auto" w:fill="auto"/>
            <w:noWrap/>
          </w:tcPr>
          <w:p w14:paraId="47C6D3F6" w14:textId="77777777" w:rsidR="00F33674" w:rsidRPr="00F33674" w:rsidRDefault="00F33674" w:rsidP="00F33674">
            <w:pPr>
              <w:jc w:val="left"/>
              <w:rPr>
                <w:rFonts w:ascii="Arial Narrow" w:hAnsi="Arial Narrow" w:cs="Calibri"/>
                <w:color w:val="000000"/>
                <w:sz w:val="20"/>
                <w:szCs w:val="20"/>
                <w:lang w:eastAsia="en-AU"/>
              </w:rPr>
            </w:pPr>
          </w:p>
        </w:tc>
        <w:tc>
          <w:tcPr>
            <w:tcW w:w="572" w:type="dxa"/>
            <w:shd w:val="clear" w:color="auto" w:fill="auto"/>
            <w:noWrap/>
          </w:tcPr>
          <w:p w14:paraId="31BE6853" w14:textId="77777777" w:rsidR="00F33674" w:rsidRPr="00F33674" w:rsidRDefault="00F33674" w:rsidP="00F33674">
            <w:pPr>
              <w:jc w:val="left"/>
              <w:rPr>
                <w:rFonts w:ascii="Arial Narrow" w:hAnsi="Arial Narrow" w:cs="Calibri"/>
                <w:color w:val="000000"/>
                <w:sz w:val="20"/>
                <w:szCs w:val="20"/>
                <w:lang w:eastAsia="en-AU"/>
              </w:rPr>
            </w:pPr>
          </w:p>
        </w:tc>
        <w:tc>
          <w:tcPr>
            <w:tcW w:w="472" w:type="dxa"/>
            <w:shd w:val="clear" w:color="auto" w:fill="auto"/>
            <w:noWrap/>
          </w:tcPr>
          <w:p w14:paraId="70B4F777" w14:textId="77777777" w:rsidR="00F33674" w:rsidRPr="00F33674" w:rsidRDefault="00F33674" w:rsidP="00F33674">
            <w:pPr>
              <w:jc w:val="left"/>
              <w:rPr>
                <w:rFonts w:ascii="Arial Narrow" w:hAnsi="Arial Narrow" w:cs="Calibri"/>
                <w:color w:val="000000"/>
                <w:sz w:val="20"/>
                <w:szCs w:val="20"/>
                <w:lang w:eastAsia="en-AU"/>
              </w:rPr>
            </w:pPr>
          </w:p>
        </w:tc>
        <w:tc>
          <w:tcPr>
            <w:tcW w:w="1794" w:type="dxa"/>
            <w:shd w:val="clear" w:color="auto" w:fill="auto"/>
            <w:noWrap/>
            <w:hideMark/>
          </w:tcPr>
          <w:p w14:paraId="69867CB9"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Mayne Pharma Oxycodone IR</w:t>
            </w:r>
          </w:p>
        </w:tc>
        <w:tc>
          <w:tcPr>
            <w:tcW w:w="1559" w:type="dxa"/>
            <w:shd w:val="clear" w:color="auto" w:fill="auto"/>
            <w:noWrap/>
            <w:hideMark/>
          </w:tcPr>
          <w:p w14:paraId="676BC602"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Mayne Pharma International Pty Ltd</w:t>
            </w:r>
          </w:p>
        </w:tc>
      </w:tr>
      <w:tr w:rsidR="00F33674" w:rsidRPr="00F33674" w14:paraId="351574D3" w14:textId="77777777" w:rsidTr="00F33674">
        <w:trPr>
          <w:trHeight w:val="300"/>
        </w:trPr>
        <w:tc>
          <w:tcPr>
            <w:tcW w:w="1456" w:type="dxa"/>
            <w:shd w:val="clear" w:color="auto" w:fill="auto"/>
            <w:noWrap/>
          </w:tcPr>
          <w:p w14:paraId="62BB6070" w14:textId="77777777" w:rsidR="00F33674" w:rsidRPr="00F33674" w:rsidRDefault="00F33674" w:rsidP="00F33674">
            <w:pPr>
              <w:jc w:val="left"/>
              <w:rPr>
                <w:rFonts w:ascii="Arial Narrow" w:hAnsi="Arial Narrow" w:cs="Calibri"/>
                <w:color w:val="000000"/>
                <w:sz w:val="20"/>
                <w:szCs w:val="20"/>
                <w:lang w:eastAsia="en-AU"/>
              </w:rPr>
            </w:pPr>
          </w:p>
        </w:tc>
        <w:tc>
          <w:tcPr>
            <w:tcW w:w="1149" w:type="dxa"/>
          </w:tcPr>
          <w:p w14:paraId="496FA046" w14:textId="77777777" w:rsidR="00F33674" w:rsidRPr="00F33674" w:rsidRDefault="00F33674" w:rsidP="00F33674">
            <w:pPr>
              <w:jc w:val="left"/>
              <w:rPr>
                <w:rFonts w:ascii="Arial Narrow" w:hAnsi="Arial Narrow" w:cs="Calibri"/>
                <w:color w:val="000000"/>
                <w:sz w:val="20"/>
                <w:szCs w:val="20"/>
                <w:lang w:eastAsia="en-AU"/>
              </w:rPr>
            </w:pPr>
          </w:p>
        </w:tc>
        <w:tc>
          <w:tcPr>
            <w:tcW w:w="3007" w:type="dxa"/>
            <w:vMerge/>
            <w:shd w:val="clear" w:color="auto" w:fill="auto"/>
            <w:noWrap/>
          </w:tcPr>
          <w:p w14:paraId="5A64735F" w14:textId="77777777" w:rsidR="00F33674" w:rsidRPr="00F33674" w:rsidRDefault="00F33674" w:rsidP="00F33674">
            <w:pPr>
              <w:jc w:val="left"/>
              <w:rPr>
                <w:rFonts w:ascii="Arial Narrow" w:hAnsi="Arial Narrow" w:cs="Calibri"/>
                <w:color w:val="000000"/>
                <w:sz w:val="20"/>
                <w:szCs w:val="20"/>
                <w:lang w:eastAsia="en-AU"/>
              </w:rPr>
            </w:pPr>
          </w:p>
        </w:tc>
        <w:tc>
          <w:tcPr>
            <w:tcW w:w="572" w:type="dxa"/>
            <w:shd w:val="clear" w:color="auto" w:fill="auto"/>
            <w:noWrap/>
          </w:tcPr>
          <w:p w14:paraId="5AAAEA76" w14:textId="77777777" w:rsidR="00F33674" w:rsidRPr="00F33674" w:rsidRDefault="00F33674" w:rsidP="00F33674">
            <w:pPr>
              <w:jc w:val="left"/>
              <w:rPr>
                <w:rFonts w:ascii="Arial Narrow" w:hAnsi="Arial Narrow" w:cs="Calibri"/>
                <w:color w:val="000000"/>
                <w:sz w:val="20"/>
                <w:szCs w:val="20"/>
                <w:lang w:eastAsia="en-AU"/>
              </w:rPr>
            </w:pPr>
          </w:p>
        </w:tc>
        <w:tc>
          <w:tcPr>
            <w:tcW w:w="472" w:type="dxa"/>
            <w:shd w:val="clear" w:color="auto" w:fill="auto"/>
            <w:noWrap/>
          </w:tcPr>
          <w:p w14:paraId="69F1A0BC" w14:textId="77777777" w:rsidR="00F33674" w:rsidRPr="00F33674" w:rsidRDefault="00F33674" w:rsidP="00F33674">
            <w:pPr>
              <w:jc w:val="left"/>
              <w:rPr>
                <w:rFonts w:ascii="Arial Narrow" w:hAnsi="Arial Narrow" w:cs="Calibri"/>
                <w:color w:val="000000"/>
                <w:sz w:val="20"/>
                <w:szCs w:val="20"/>
                <w:lang w:eastAsia="en-AU"/>
              </w:rPr>
            </w:pPr>
          </w:p>
        </w:tc>
        <w:tc>
          <w:tcPr>
            <w:tcW w:w="1794" w:type="dxa"/>
            <w:shd w:val="clear" w:color="auto" w:fill="auto"/>
            <w:noWrap/>
            <w:hideMark/>
          </w:tcPr>
          <w:p w14:paraId="75B02D67"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Oxycodone Aspen</w:t>
            </w:r>
          </w:p>
        </w:tc>
        <w:tc>
          <w:tcPr>
            <w:tcW w:w="1559" w:type="dxa"/>
            <w:shd w:val="clear" w:color="auto" w:fill="auto"/>
            <w:noWrap/>
            <w:hideMark/>
          </w:tcPr>
          <w:p w14:paraId="02CAB1D9"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Alphapharm Pty Ltd</w:t>
            </w:r>
          </w:p>
        </w:tc>
      </w:tr>
      <w:tr w:rsidR="00F33674" w:rsidRPr="00F33674" w14:paraId="132AD76A" w14:textId="77777777" w:rsidTr="00F33674">
        <w:trPr>
          <w:trHeight w:val="300"/>
        </w:trPr>
        <w:tc>
          <w:tcPr>
            <w:tcW w:w="1456" w:type="dxa"/>
            <w:shd w:val="clear" w:color="auto" w:fill="auto"/>
            <w:noWrap/>
            <w:hideMark/>
          </w:tcPr>
          <w:p w14:paraId="132F95D4"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TRAMADOL</w:t>
            </w:r>
          </w:p>
        </w:tc>
        <w:tc>
          <w:tcPr>
            <w:tcW w:w="1149" w:type="dxa"/>
          </w:tcPr>
          <w:p w14:paraId="2393A1F6"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5232J</w:t>
            </w:r>
          </w:p>
        </w:tc>
        <w:tc>
          <w:tcPr>
            <w:tcW w:w="3007" w:type="dxa"/>
            <w:vMerge w:val="restart"/>
            <w:shd w:val="clear" w:color="auto" w:fill="auto"/>
            <w:noWrap/>
            <w:hideMark/>
          </w:tcPr>
          <w:p w14:paraId="71B919D4"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Capsule containing tramadol hydrochloride 50 mg</w:t>
            </w:r>
          </w:p>
        </w:tc>
        <w:tc>
          <w:tcPr>
            <w:tcW w:w="572" w:type="dxa"/>
            <w:shd w:val="clear" w:color="auto" w:fill="auto"/>
            <w:noWrap/>
            <w:hideMark/>
          </w:tcPr>
          <w:p w14:paraId="6520D472"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20</w:t>
            </w:r>
          </w:p>
        </w:tc>
        <w:tc>
          <w:tcPr>
            <w:tcW w:w="472" w:type="dxa"/>
            <w:shd w:val="clear" w:color="auto" w:fill="auto"/>
            <w:noWrap/>
            <w:hideMark/>
          </w:tcPr>
          <w:p w14:paraId="37831220"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0</w:t>
            </w:r>
          </w:p>
        </w:tc>
        <w:tc>
          <w:tcPr>
            <w:tcW w:w="1794" w:type="dxa"/>
            <w:shd w:val="clear" w:color="auto" w:fill="auto"/>
            <w:noWrap/>
            <w:hideMark/>
          </w:tcPr>
          <w:p w14:paraId="3A5B2101"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APO-Tramadol</w:t>
            </w:r>
          </w:p>
        </w:tc>
        <w:tc>
          <w:tcPr>
            <w:tcW w:w="1559" w:type="dxa"/>
            <w:shd w:val="clear" w:color="auto" w:fill="auto"/>
            <w:noWrap/>
            <w:hideMark/>
          </w:tcPr>
          <w:p w14:paraId="550DF2DC"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Apotex Pty Ltd</w:t>
            </w:r>
          </w:p>
        </w:tc>
      </w:tr>
      <w:tr w:rsidR="00F33674" w:rsidRPr="00F33674" w14:paraId="1CD62346" w14:textId="77777777" w:rsidTr="00F33674">
        <w:trPr>
          <w:trHeight w:val="300"/>
        </w:trPr>
        <w:tc>
          <w:tcPr>
            <w:tcW w:w="1456" w:type="dxa"/>
            <w:shd w:val="clear" w:color="auto" w:fill="auto"/>
            <w:noWrap/>
          </w:tcPr>
          <w:p w14:paraId="6D96A9CA" w14:textId="77777777" w:rsidR="00F33674" w:rsidRPr="00F33674" w:rsidRDefault="00F33674" w:rsidP="00F33674">
            <w:pPr>
              <w:jc w:val="left"/>
              <w:rPr>
                <w:rFonts w:ascii="Arial Narrow" w:hAnsi="Arial Narrow" w:cs="Calibri"/>
                <w:color w:val="000000"/>
                <w:sz w:val="20"/>
                <w:szCs w:val="20"/>
                <w:lang w:eastAsia="en-AU"/>
              </w:rPr>
            </w:pPr>
          </w:p>
        </w:tc>
        <w:tc>
          <w:tcPr>
            <w:tcW w:w="1149" w:type="dxa"/>
          </w:tcPr>
          <w:p w14:paraId="47FC91A2" w14:textId="77777777" w:rsidR="00F33674" w:rsidRPr="00F33674" w:rsidRDefault="00F33674" w:rsidP="00F33674">
            <w:pPr>
              <w:jc w:val="left"/>
              <w:rPr>
                <w:rFonts w:ascii="Arial Narrow" w:hAnsi="Arial Narrow" w:cs="Calibri"/>
                <w:color w:val="000000"/>
                <w:sz w:val="20"/>
                <w:szCs w:val="20"/>
                <w:lang w:eastAsia="en-AU"/>
              </w:rPr>
            </w:pPr>
          </w:p>
        </w:tc>
        <w:tc>
          <w:tcPr>
            <w:tcW w:w="3007" w:type="dxa"/>
            <w:vMerge/>
            <w:shd w:val="clear" w:color="auto" w:fill="auto"/>
            <w:noWrap/>
          </w:tcPr>
          <w:p w14:paraId="3F6BD961" w14:textId="77777777" w:rsidR="00F33674" w:rsidRPr="00F33674" w:rsidRDefault="00F33674" w:rsidP="00F33674">
            <w:pPr>
              <w:jc w:val="left"/>
              <w:rPr>
                <w:rFonts w:ascii="Arial Narrow" w:hAnsi="Arial Narrow" w:cs="Calibri"/>
                <w:color w:val="000000"/>
                <w:sz w:val="20"/>
                <w:szCs w:val="20"/>
                <w:lang w:eastAsia="en-AU"/>
              </w:rPr>
            </w:pPr>
          </w:p>
        </w:tc>
        <w:tc>
          <w:tcPr>
            <w:tcW w:w="572" w:type="dxa"/>
            <w:shd w:val="clear" w:color="auto" w:fill="auto"/>
            <w:noWrap/>
          </w:tcPr>
          <w:p w14:paraId="277F3CCD" w14:textId="77777777" w:rsidR="00F33674" w:rsidRPr="00F33674" w:rsidRDefault="00F33674" w:rsidP="00F33674">
            <w:pPr>
              <w:jc w:val="left"/>
              <w:rPr>
                <w:rFonts w:ascii="Arial Narrow" w:hAnsi="Arial Narrow" w:cs="Calibri"/>
                <w:color w:val="000000"/>
                <w:sz w:val="20"/>
                <w:szCs w:val="20"/>
                <w:lang w:eastAsia="en-AU"/>
              </w:rPr>
            </w:pPr>
          </w:p>
        </w:tc>
        <w:tc>
          <w:tcPr>
            <w:tcW w:w="472" w:type="dxa"/>
            <w:shd w:val="clear" w:color="auto" w:fill="auto"/>
            <w:noWrap/>
          </w:tcPr>
          <w:p w14:paraId="574C40CA" w14:textId="77777777" w:rsidR="00F33674" w:rsidRPr="00F33674" w:rsidRDefault="00F33674" w:rsidP="00F33674">
            <w:pPr>
              <w:jc w:val="left"/>
              <w:rPr>
                <w:rFonts w:ascii="Arial Narrow" w:hAnsi="Arial Narrow" w:cs="Calibri"/>
                <w:color w:val="000000"/>
                <w:sz w:val="20"/>
                <w:szCs w:val="20"/>
                <w:lang w:eastAsia="en-AU"/>
              </w:rPr>
            </w:pPr>
          </w:p>
        </w:tc>
        <w:tc>
          <w:tcPr>
            <w:tcW w:w="1794" w:type="dxa"/>
            <w:shd w:val="clear" w:color="auto" w:fill="auto"/>
            <w:noWrap/>
            <w:hideMark/>
          </w:tcPr>
          <w:p w14:paraId="235E67B1"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Chem mart Tramadol</w:t>
            </w:r>
          </w:p>
        </w:tc>
        <w:tc>
          <w:tcPr>
            <w:tcW w:w="1559" w:type="dxa"/>
            <w:shd w:val="clear" w:color="auto" w:fill="auto"/>
            <w:noWrap/>
            <w:hideMark/>
          </w:tcPr>
          <w:p w14:paraId="77BCB0C3"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Apotex Pty Ltd</w:t>
            </w:r>
          </w:p>
        </w:tc>
      </w:tr>
      <w:tr w:rsidR="00F33674" w:rsidRPr="00F33674" w14:paraId="1F5D17C2" w14:textId="77777777" w:rsidTr="00F33674">
        <w:trPr>
          <w:trHeight w:val="300"/>
        </w:trPr>
        <w:tc>
          <w:tcPr>
            <w:tcW w:w="1456" w:type="dxa"/>
            <w:shd w:val="clear" w:color="auto" w:fill="auto"/>
            <w:noWrap/>
          </w:tcPr>
          <w:p w14:paraId="5E1406C6" w14:textId="77777777" w:rsidR="00F33674" w:rsidRPr="00F33674" w:rsidRDefault="00F33674" w:rsidP="00F33674">
            <w:pPr>
              <w:jc w:val="left"/>
              <w:rPr>
                <w:rFonts w:ascii="Arial Narrow" w:hAnsi="Arial Narrow" w:cs="Calibri"/>
                <w:color w:val="000000"/>
                <w:sz w:val="20"/>
                <w:szCs w:val="20"/>
                <w:lang w:eastAsia="en-AU"/>
              </w:rPr>
            </w:pPr>
          </w:p>
        </w:tc>
        <w:tc>
          <w:tcPr>
            <w:tcW w:w="1149" w:type="dxa"/>
          </w:tcPr>
          <w:p w14:paraId="4154CBAC" w14:textId="77777777" w:rsidR="00F33674" w:rsidRPr="00F33674" w:rsidRDefault="00F33674" w:rsidP="00F33674">
            <w:pPr>
              <w:jc w:val="left"/>
              <w:rPr>
                <w:rFonts w:ascii="Arial Narrow" w:hAnsi="Arial Narrow" w:cs="Calibri"/>
                <w:color w:val="000000"/>
                <w:sz w:val="20"/>
                <w:szCs w:val="20"/>
                <w:lang w:eastAsia="en-AU"/>
              </w:rPr>
            </w:pPr>
          </w:p>
        </w:tc>
        <w:tc>
          <w:tcPr>
            <w:tcW w:w="3007" w:type="dxa"/>
            <w:vMerge/>
            <w:shd w:val="clear" w:color="auto" w:fill="auto"/>
            <w:noWrap/>
          </w:tcPr>
          <w:p w14:paraId="6D1654FB" w14:textId="77777777" w:rsidR="00F33674" w:rsidRPr="00F33674" w:rsidRDefault="00F33674" w:rsidP="00F33674">
            <w:pPr>
              <w:jc w:val="left"/>
              <w:rPr>
                <w:rFonts w:ascii="Arial Narrow" w:hAnsi="Arial Narrow" w:cs="Calibri"/>
                <w:color w:val="000000"/>
                <w:sz w:val="20"/>
                <w:szCs w:val="20"/>
                <w:lang w:eastAsia="en-AU"/>
              </w:rPr>
            </w:pPr>
          </w:p>
        </w:tc>
        <w:tc>
          <w:tcPr>
            <w:tcW w:w="572" w:type="dxa"/>
            <w:shd w:val="clear" w:color="auto" w:fill="auto"/>
            <w:noWrap/>
          </w:tcPr>
          <w:p w14:paraId="0CC716AD" w14:textId="77777777" w:rsidR="00F33674" w:rsidRPr="00F33674" w:rsidRDefault="00F33674" w:rsidP="00F33674">
            <w:pPr>
              <w:jc w:val="left"/>
              <w:rPr>
                <w:rFonts w:ascii="Arial Narrow" w:hAnsi="Arial Narrow" w:cs="Calibri"/>
                <w:color w:val="000000"/>
                <w:sz w:val="20"/>
                <w:szCs w:val="20"/>
                <w:lang w:eastAsia="en-AU"/>
              </w:rPr>
            </w:pPr>
          </w:p>
        </w:tc>
        <w:tc>
          <w:tcPr>
            <w:tcW w:w="472" w:type="dxa"/>
            <w:shd w:val="clear" w:color="auto" w:fill="auto"/>
            <w:noWrap/>
          </w:tcPr>
          <w:p w14:paraId="4CBD9721" w14:textId="77777777" w:rsidR="00F33674" w:rsidRPr="00F33674" w:rsidRDefault="00F33674" w:rsidP="00F33674">
            <w:pPr>
              <w:jc w:val="left"/>
              <w:rPr>
                <w:rFonts w:ascii="Arial Narrow" w:hAnsi="Arial Narrow" w:cs="Calibri"/>
                <w:color w:val="000000"/>
                <w:sz w:val="20"/>
                <w:szCs w:val="20"/>
                <w:lang w:eastAsia="en-AU"/>
              </w:rPr>
            </w:pPr>
          </w:p>
        </w:tc>
        <w:tc>
          <w:tcPr>
            <w:tcW w:w="1794" w:type="dxa"/>
            <w:shd w:val="clear" w:color="auto" w:fill="auto"/>
            <w:noWrap/>
            <w:hideMark/>
          </w:tcPr>
          <w:p w14:paraId="205BB43E"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Terry White Chemists Tramadol</w:t>
            </w:r>
          </w:p>
        </w:tc>
        <w:tc>
          <w:tcPr>
            <w:tcW w:w="1559" w:type="dxa"/>
            <w:shd w:val="clear" w:color="auto" w:fill="auto"/>
            <w:noWrap/>
            <w:hideMark/>
          </w:tcPr>
          <w:p w14:paraId="791E6D89"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Apotex Pty Ltd</w:t>
            </w:r>
          </w:p>
        </w:tc>
      </w:tr>
      <w:tr w:rsidR="00F33674" w:rsidRPr="00F33674" w14:paraId="12A399C8" w14:textId="77777777" w:rsidTr="00F33674">
        <w:trPr>
          <w:trHeight w:val="300"/>
        </w:trPr>
        <w:tc>
          <w:tcPr>
            <w:tcW w:w="1456" w:type="dxa"/>
            <w:shd w:val="clear" w:color="auto" w:fill="auto"/>
            <w:noWrap/>
          </w:tcPr>
          <w:p w14:paraId="51653209" w14:textId="77777777" w:rsidR="00F33674" w:rsidRPr="00F33674" w:rsidRDefault="00F33674" w:rsidP="00F33674">
            <w:pPr>
              <w:jc w:val="left"/>
              <w:rPr>
                <w:rFonts w:ascii="Arial Narrow" w:hAnsi="Arial Narrow" w:cs="Calibri"/>
                <w:color w:val="000000"/>
                <w:sz w:val="20"/>
                <w:szCs w:val="20"/>
                <w:lang w:eastAsia="en-AU"/>
              </w:rPr>
            </w:pPr>
          </w:p>
        </w:tc>
        <w:tc>
          <w:tcPr>
            <w:tcW w:w="1149" w:type="dxa"/>
          </w:tcPr>
          <w:p w14:paraId="323D64D4" w14:textId="77777777" w:rsidR="00F33674" w:rsidRPr="00F33674" w:rsidRDefault="00F33674" w:rsidP="00F33674">
            <w:pPr>
              <w:jc w:val="left"/>
              <w:rPr>
                <w:rFonts w:ascii="Arial Narrow" w:hAnsi="Arial Narrow" w:cs="Calibri"/>
                <w:color w:val="000000"/>
                <w:sz w:val="20"/>
                <w:szCs w:val="20"/>
                <w:lang w:eastAsia="en-AU"/>
              </w:rPr>
            </w:pPr>
          </w:p>
        </w:tc>
        <w:tc>
          <w:tcPr>
            <w:tcW w:w="3007" w:type="dxa"/>
            <w:vMerge/>
            <w:shd w:val="clear" w:color="auto" w:fill="auto"/>
            <w:noWrap/>
          </w:tcPr>
          <w:p w14:paraId="7851DF85" w14:textId="77777777" w:rsidR="00F33674" w:rsidRPr="00F33674" w:rsidRDefault="00F33674" w:rsidP="00F33674">
            <w:pPr>
              <w:jc w:val="left"/>
              <w:rPr>
                <w:rFonts w:ascii="Arial Narrow" w:hAnsi="Arial Narrow" w:cs="Calibri"/>
                <w:color w:val="000000"/>
                <w:sz w:val="20"/>
                <w:szCs w:val="20"/>
                <w:lang w:eastAsia="en-AU"/>
              </w:rPr>
            </w:pPr>
          </w:p>
        </w:tc>
        <w:tc>
          <w:tcPr>
            <w:tcW w:w="572" w:type="dxa"/>
            <w:shd w:val="clear" w:color="auto" w:fill="auto"/>
            <w:noWrap/>
          </w:tcPr>
          <w:p w14:paraId="77F8EE98" w14:textId="77777777" w:rsidR="00F33674" w:rsidRPr="00F33674" w:rsidRDefault="00F33674" w:rsidP="00F33674">
            <w:pPr>
              <w:jc w:val="left"/>
              <w:rPr>
                <w:rFonts w:ascii="Arial Narrow" w:hAnsi="Arial Narrow" w:cs="Calibri"/>
                <w:color w:val="000000"/>
                <w:sz w:val="20"/>
                <w:szCs w:val="20"/>
                <w:lang w:eastAsia="en-AU"/>
              </w:rPr>
            </w:pPr>
          </w:p>
        </w:tc>
        <w:tc>
          <w:tcPr>
            <w:tcW w:w="472" w:type="dxa"/>
            <w:shd w:val="clear" w:color="auto" w:fill="auto"/>
            <w:noWrap/>
          </w:tcPr>
          <w:p w14:paraId="23E63209" w14:textId="77777777" w:rsidR="00F33674" w:rsidRPr="00F33674" w:rsidRDefault="00F33674" w:rsidP="00F33674">
            <w:pPr>
              <w:jc w:val="left"/>
              <w:rPr>
                <w:rFonts w:ascii="Arial Narrow" w:hAnsi="Arial Narrow" w:cs="Calibri"/>
                <w:color w:val="000000"/>
                <w:sz w:val="20"/>
                <w:szCs w:val="20"/>
                <w:lang w:eastAsia="en-AU"/>
              </w:rPr>
            </w:pPr>
          </w:p>
        </w:tc>
        <w:tc>
          <w:tcPr>
            <w:tcW w:w="1794" w:type="dxa"/>
            <w:shd w:val="clear" w:color="auto" w:fill="auto"/>
            <w:noWrap/>
            <w:hideMark/>
          </w:tcPr>
          <w:p w14:paraId="511A3DA3"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Tramadol AMNEAL</w:t>
            </w:r>
          </w:p>
        </w:tc>
        <w:tc>
          <w:tcPr>
            <w:tcW w:w="1559" w:type="dxa"/>
            <w:shd w:val="clear" w:color="auto" w:fill="auto"/>
            <w:noWrap/>
            <w:hideMark/>
          </w:tcPr>
          <w:p w14:paraId="76BB8328"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Amneal Pharmaceuticals Pty Ltd</w:t>
            </w:r>
          </w:p>
        </w:tc>
      </w:tr>
      <w:tr w:rsidR="00F33674" w:rsidRPr="00F33674" w14:paraId="6E46B5A9" w14:textId="77777777" w:rsidTr="00F33674">
        <w:trPr>
          <w:trHeight w:val="300"/>
        </w:trPr>
        <w:tc>
          <w:tcPr>
            <w:tcW w:w="1456" w:type="dxa"/>
            <w:shd w:val="clear" w:color="auto" w:fill="auto"/>
            <w:noWrap/>
          </w:tcPr>
          <w:p w14:paraId="294F5810" w14:textId="77777777" w:rsidR="00F33674" w:rsidRPr="00F33674" w:rsidRDefault="00F33674" w:rsidP="00F33674">
            <w:pPr>
              <w:jc w:val="left"/>
              <w:rPr>
                <w:rFonts w:ascii="Arial Narrow" w:hAnsi="Arial Narrow" w:cs="Calibri"/>
                <w:color w:val="000000"/>
                <w:sz w:val="20"/>
                <w:szCs w:val="20"/>
                <w:lang w:eastAsia="en-AU"/>
              </w:rPr>
            </w:pPr>
          </w:p>
        </w:tc>
        <w:tc>
          <w:tcPr>
            <w:tcW w:w="1149" w:type="dxa"/>
          </w:tcPr>
          <w:p w14:paraId="63F21F73" w14:textId="77777777" w:rsidR="00F33674" w:rsidRPr="00F33674" w:rsidRDefault="00F33674" w:rsidP="00F33674">
            <w:pPr>
              <w:jc w:val="left"/>
              <w:rPr>
                <w:rFonts w:ascii="Arial Narrow" w:hAnsi="Arial Narrow" w:cs="Calibri"/>
                <w:color w:val="000000"/>
                <w:sz w:val="20"/>
                <w:szCs w:val="20"/>
                <w:lang w:eastAsia="en-AU"/>
              </w:rPr>
            </w:pPr>
          </w:p>
        </w:tc>
        <w:tc>
          <w:tcPr>
            <w:tcW w:w="3007" w:type="dxa"/>
            <w:vMerge/>
            <w:shd w:val="clear" w:color="auto" w:fill="auto"/>
            <w:noWrap/>
          </w:tcPr>
          <w:p w14:paraId="5AAD5D1C" w14:textId="77777777" w:rsidR="00F33674" w:rsidRPr="00F33674" w:rsidRDefault="00F33674" w:rsidP="00F33674">
            <w:pPr>
              <w:jc w:val="left"/>
              <w:rPr>
                <w:rFonts w:ascii="Arial Narrow" w:hAnsi="Arial Narrow" w:cs="Calibri"/>
                <w:color w:val="000000"/>
                <w:sz w:val="20"/>
                <w:szCs w:val="20"/>
                <w:lang w:eastAsia="en-AU"/>
              </w:rPr>
            </w:pPr>
          </w:p>
        </w:tc>
        <w:tc>
          <w:tcPr>
            <w:tcW w:w="572" w:type="dxa"/>
            <w:shd w:val="clear" w:color="auto" w:fill="auto"/>
            <w:noWrap/>
          </w:tcPr>
          <w:p w14:paraId="47D9EF50" w14:textId="77777777" w:rsidR="00F33674" w:rsidRPr="00F33674" w:rsidRDefault="00F33674" w:rsidP="00F33674">
            <w:pPr>
              <w:jc w:val="left"/>
              <w:rPr>
                <w:rFonts w:ascii="Arial Narrow" w:hAnsi="Arial Narrow" w:cs="Calibri"/>
                <w:color w:val="000000"/>
                <w:sz w:val="20"/>
                <w:szCs w:val="20"/>
                <w:lang w:eastAsia="en-AU"/>
              </w:rPr>
            </w:pPr>
          </w:p>
        </w:tc>
        <w:tc>
          <w:tcPr>
            <w:tcW w:w="472" w:type="dxa"/>
            <w:shd w:val="clear" w:color="auto" w:fill="auto"/>
            <w:noWrap/>
          </w:tcPr>
          <w:p w14:paraId="0EBE985F" w14:textId="77777777" w:rsidR="00F33674" w:rsidRPr="00F33674" w:rsidRDefault="00F33674" w:rsidP="00F33674">
            <w:pPr>
              <w:jc w:val="left"/>
              <w:rPr>
                <w:rFonts w:ascii="Arial Narrow" w:hAnsi="Arial Narrow" w:cs="Calibri"/>
                <w:color w:val="000000"/>
                <w:sz w:val="20"/>
                <w:szCs w:val="20"/>
                <w:lang w:eastAsia="en-AU"/>
              </w:rPr>
            </w:pPr>
          </w:p>
        </w:tc>
        <w:tc>
          <w:tcPr>
            <w:tcW w:w="1794" w:type="dxa"/>
            <w:shd w:val="clear" w:color="auto" w:fill="auto"/>
            <w:noWrap/>
            <w:hideMark/>
          </w:tcPr>
          <w:p w14:paraId="40E832DA"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Tramadol AN</w:t>
            </w:r>
          </w:p>
        </w:tc>
        <w:tc>
          <w:tcPr>
            <w:tcW w:w="1559" w:type="dxa"/>
            <w:shd w:val="clear" w:color="auto" w:fill="auto"/>
            <w:noWrap/>
            <w:hideMark/>
          </w:tcPr>
          <w:p w14:paraId="26F3B3D5"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Amneal Pharmaceuticals Pty Ltd</w:t>
            </w:r>
          </w:p>
        </w:tc>
      </w:tr>
      <w:tr w:rsidR="00F33674" w:rsidRPr="00F33674" w14:paraId="223302A7" w14:textId="77777777" w:rsidTr="00F33674">
        <w:trPr>
          <w:trHeight w:val="300"/>
        </w:trPr>
        <w:tc>
          <w:tcPr>
            <w:tcW w:w="1456" w:type="dxa"/>
            <w:shd w:val="clear" w:color="auto" w:fill="auto"/>
            <w:noWrap/>
          </w:tcPr>
          <w:p w14:paraId="29B418F2" w14:textId="77777777" w:rsidR="00F33674" w:rsidRPr="00F33674" w:rsidRDefault="00F33674" w:rsidP="00F33674">
            <w:pPr>
              <w:jc w:val="left"/>
              <w:rPr>
                <w:rFonts w:ascii="Arial Narrow" w:hAnsi="Arial Narrow" w:cs="Calibri"/>
                <w:color w:val="000000"/>
                <w:sz w:val="20"/>
                <w:szCs w:val="20"/>
                <w:lang w:eastAsia="en-AU"/>
              </w:rPr>
            </w:pPr>
          </w:p>
        </w:tc>
        <w:tc>
          <w:tcPr>
            <w:tcW w:w="1149" w:type="dxa"/>
          </w:tcPr>
          <w:p w14:paraId="7D2DBBD3" w14:textId="77777777" w:rsidR="00F33674" w:rsidRPr="00F33674" w:rsidRDefault="00F33674" w:rsidP="00F33674">
            <w:pPr>
              <w:jc w:val="left"/>
              <w:rPr>
                <w:rFonts w:ascii="Arial Narrow" w:hAnsi="Arial Narrow" w:cs="Calibri"/>
                <w:color w:val="000000"/>
                <w:sz w:val="20"/>
                <w:szCs w:val="20"/>
                <w:lang w:eastAsia="en-AU"/>
              </w:rPr>
            </w:pPr>
          </w:p>
        </w:tc>
        <w:tc>
          <w:tcPr>
            <w:tcW w:w="3007" w:type="dxa"/>
            <w:vMerge/>
            <w:shd w:val="clear" w:color="auto" w:fill="auto"/>
            <w:noWrap/>
          </w:tcPr>
          <w:p w14:paraId="5E8B8B88" w14:textId="77777777" w:rsidR="00F33674" w:rsidRPr="00F33674" w:rsidRDefault="00F33674" w:rsidP="00F33674">
            <w:pPr>
              <w:jc w:val="left"/>
              <w:rPr>
                <w:rFonts w:ascii="Arial Narrow" w:hAnsi="Arial Narrow" w:cs="Calibri"/>
                <w:color w:val="000000"/>
                <w:sz w:val="20"/>
                <w:szCs w:val="20"/>
                <w:lang w:eastAsia="en-AU"/>
              </w:rPr>
            </w:pPr>
          </w:p>
        </w:tc>
        <w:tc>
          <w:tcPr>
            <w:tcW w:w="572" w:type="dxa"/>
            <w:shd w:val="clear" w:color="auto" w:fill="auto"/>
            <w:noWrap/>
          </w:tcPr>
          <w:p w14:paraId="2A74C03E" w14:textId="77777777" w:rsidR="00F33674" w:rsidRPr="00F33674" w:rsidRDefault="00F33674" w:rsidP="00F33674">
            <w:pPr>
              <w:jc w:val="left"/>
              <w:rPr>
                <w:rFonts w:ascii="Arial Narrow" w:hAnsi="Arial Narrow" w:cs="Calibri"/>
                <w:color w:val="000000"/>
                <w:sz w:val="20"/>
                <w:szCs w:val="20"/>
                <w:lang w:eastAsia="en-AU"/>
              </w:rPr>
            </w:pPr>
          </w:p>
        </w:tc>
        <w:tc>
          <w:tcPr>
            <w:tcW w:w="472" w:type="dxa"/>
            <w:shd w:val="clear" w:color="auto" w:fill="auto"/>
            <w:noWrap/>
          </w:tcPr>
          <w:p w14:paraId="5BFFCA36" w14:textId="77777777" w:rsidR="00F33674" w:rsidRPr="00F33674" w:rsidRDefault="00F33674" w:rsidP="00F33674">
            <w:pPr>
              <w:jc w:val="left"/>
              <w:rPr>
                <w:rFonts w:ascii="Arial Narrow" w:hAnsi="Arial Narrow" w:cs="Calibri"/>
                <w:color w:val="000000"/>
                <w:sz w:val="20"/>
                <w:szCs w:val="20"/>
                <w:lang w:eastAsia="en-AU"/>
              </w:rPr>
            </w:pPr>
          </w:p>
        </w:tc>
        <w:tc>
          <w:tcPr>
            <w:tcW w:w="1794" w:type="dxa"/>
            <w:shd w:val="clear" w:color="auto" w:fill="auto"/>
            <w:noWrap/>
            <w:hideMark/>
          </w:tcPr>
          <w:p w14:paraId="7EFD6297"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Tramadol SCP</w:t>
            </w:r>
          </w:p>
        </w:tc>
        <w:tc>
          <w:tcPr>
            <w:tcW w:w="1559" w:type="dxa"/>
            <w:shd w:val="clear" w:color="auto" w:fill="auto"/>
            <w:noWrap/>
            <w:hideMark/>
          </w:tcPr>
          <w:p w14:paraId="59BC270D"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Pharmacor Pty Limited</w:t>
            </w:r>
          </w:p>
        </w:tc>
      </w:tr>
      <w:tr w:rsidR="00F33674" w:rsidRPr="00F33674" w14:paraId="07BED012" w14:textId="77777777" w:rsidTr="00F33674">
        <w:trPr>
          <w:trHeight w:val="300"/>
        </w:trPr>
        <w:tc>
          <w:tcPr>
            <w:tcW w:w="1456" w:type="dxa"/>
            <w:shd w:val="clear" w:color="auto" w:fill="auto"/>
            <w:noWrap/>
          </w:tcPr>
          <w:p w14:paraId="19F98DD9" w14:textId="77777777" w:rsidR="00F33674" w:rsidRPr="00F33674" w:rsidRDefault="00F33674" w:rsidP="00F33674">
            <w:pPr>
              <w:jc w:val="left"/>
              <w:rPr>
                <w:rFonts w:ascii="Arial Narrow" w:hAnsi="Arial Narrow" w:cs="Calibri"/>
                <w:color w:val="000000"/>
                <w:sz w:val="20"/>
                <w:szCs w:val="20"/>
                <w:lang w:eastAsia="en-AU"/>
              </w:rPr>
            </w:pPr>
          </w:p>
        </w:tc>
        <w:tc>
          <w:tcPr>
            <w:tcW w:w="1149" w:type="dxa"/>
          </w:tcPr>
          <w:p w14:paraId="15C374C2" w14:textId="77777777" w:rsidR="00F33674" w:rsidRPr="00F33674" w:rsidRDefault="00F33674" w:rsidP="00F33674">
            <w:pPr>
              <w:jc w:val="left"/>
              <w:rPr>
                <w:rFonts w:ascii="Arial Narrow" w:hAnsi="Arial Narrow" w:cs="Calibri"/>
                <w:color w:val="000000"/>
                <w:sz w:val="20"/>
                <w:szCs w:val="20"/>
                <w:lang w:eastAsia="en-AU"/>
              </w:rPr>
            </w:pPr>
          </w:p>
        </w:tc>
        <w:tc>
          <w:tcPr>
            <w:tcW w:w="3007" w:type="dxa"/>
            <w:vMerge/>
            <w:shd w:val="clear" w:color="auto" w:fill="auto"/>
            <w:noWrap/>
          </w:tcPr>
          <w:p w14:paraId="0662EF6D" w14:textId="77777777" w:rsidR="00F33674" w:rsidRPr="00F33674" w:rsidRDefault="00F33674" w:rsidP="00F33674">
            <w:pPr>
              <w:jc w:val="left"/>
              <w:rPr>
                <w:rFonts w:ascii="Arial Narrow" w:hAnsi="Arial Narrow" w:cs="Calibri"/>
                <w:color w:val="000000"/>
                <w:sz w:val="20"/>
                <w:szCs w:val="20"/>
                <w:lang w:eastAsia="en-AU"/>
              </w:rPr>
            </w:pPr>
          </w:p>
        </w:tc>
        <w:tc>
          <w:tcPr>
            <w:tcW w:w="572" w:type="dxa"/>
            <w:shd w:val="clear" w:color="auto" w:fill="auto"/>
            <w:noWrap/>
          </w:tcPr>
          <w:p w14:paraId="1C87DDE0" w14:textId="77777777" w:rsidR="00F33674" w:rsidRPr="00F33674" w:rsidRDefault="00F33674" w:rsidP="00F33674">
            <w:pPr>
              <w:jc w:val="left"/>
              <w:rPr>
                <w:rFonts w:ascii="Arial Narrow" w:hAnsi="Arial Narrow" w:cs="Calibri"/>
                <w:color w:val="000000"/>
                <w:sz w:val="20"/>
                <w:szCs w:val="20"/>
                <w:lang w:eastAsia="en-AU"/>
              </w:rPr>
            </w:pPr>
          </w:p>
        </w:tc>
        <w:tc>
          <w:tcPr>
            <w:tcW w:w="472" w:type="dxa"/>
            <w:shd w:val="clear" w:color="auto" w:fill="auto"/>
            <w:noWrap/>
          </w:tcPr>
          <w:p w14:paraId="23579379" w14:textId="77777777" w:rsidR="00F33674" w:rsidRPr="00F33674" w:rsidRDefault="00F33674" w:rsidP="00F33674">
            <w:pPr>
              <w:jc w:val="left"/>
              <w:rPr>
                <w:rFonts w:ascii="Arial Narrow" w:hAnsi="Arial Narrow" w:cs="Calibri"/>
                <w:color w:val="000000"/>
                <w:sz w:val="20"/>
                <w:szCs w:val="20"/>
                <w:lang w:eastAsia="en-AU"/>
              </w:rPr>
            </w:pPr>
          </w:p>
        </w:tc>
        <w:tc>
          <w:tcPr>
            <w:tcW w:w="1794" w:type="dxa"/>
            <w:shd w:val="clear" w:color="auto" w:fill="auto"/>
            <w:noWrap/>
            <w:hideMark/>
          </w:tcPr>
          <w:p w14:paraId="71C14C2A"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Tramadol Sandoz</w:t>
            </w:r>
          </w:p>
        </w:tc>
        <w:tc>
          <w:tcPr>
            <w:tcW w:w="1559" w:type="dxa"/>
            <w:shd w:val="clear" w:color="auto" w:fill="auto"/>
            <w:noWrap/>
            <w:hideMark/>
          </w:tcPr>
          <w:p w14:paraId="1F93E4D7"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Sandoz Pty Ltd</w:t>
            </w:r>
          </w:p>
        </w:tc>
      </w:tr>
      <w:tr w:rsidR="00F33674" w:rsidRPr="00F33674" w14:paraId="544974A7" w14:textId="77777777" w:rsidTr="00F33674">
        <w:trPr>
          <w:trHeight w:val="300"/>
        </w:trPr>
        <w:tc>
          <w:tcPr>
            <w:tcW w:w="1456" w:type="dxa"/>
            <w:shd w:val="clear" w:color="auto" w:fill="auto"/>
            <w:noWrap/>
          </w:tcPr>
          <w:p w14:paraId="3E40EC59" w14:textId="77777777" w:rsidR="00F33674" w:rsidRPr="00F33674" w:rsidRDefault="00F33674" w:rsidP="00F33674">
            <w:pPr>
              <w:jc w:val="left"/>
              <w:rPr>
                <w:rFonts w:ascii="Arial Narrow" w:hAnsi="Arial Narrow" w:cs="Calibri"/>
                <w:color w:val="000000"/>
                <w:sz w:val="20"/>
                <w:szCs w:val="20"/>
                <w:lang w:eastAsia="en-AU"/>
              </w:rPr>
            </w:pPr>
          </w:p>
        </w:tc>
        <w:tc>
          <w:tcPr>
            <w:tcW w:w="1149" w:type="dxa"/>
          </w:tcPr>
          <w:p w14:paraId="5BB7F9CE" w14:textId="77777777" w:rsidR="00F33674" w:rsidRPr="00F33674" w:rsidRDefault="00F33674" w:rsidP="00F33674">
            <w:pPr>
              <w:jc w:val="left"/>
              <w:rPr>
                <w:rFonts w:ascii="Arial Narrow" w:hAnsi="Arial Narrow" w:cs="Calibri"/>
                <w:color w:val="000000"/>
                <w:sz w:val="20"/>
                <w:szCs w:val="20"/>
                <w:lang w:eastAsia="en-AU"/>
              </w:rPr>
            </w:pPr>
          </w:p>
        </w:tc>
        <w:tc>
          <w:tcPr>
            <w:tcW w:w="3007" w:type="dxa"/>
            <w:vMerge/>
            <w:shd w:val="clear" w:color="auto" w:fill="auto"/>
            <w:noWrap/>
          </w:tcPr>
          <w:p w14:paraId="3BF74E1F" w14:textId="77777777" w:rsidR="00F33674" w:rsidRPr="00F33674" w:rsidRDefault="00F33674" w:rsidP="00F33674">
            <w:pPr>
              <w:jc w:val="left"/>
              <w:rPr>
                <w:rFonts w:ascii="Arial Narrow" w:hAnsi="Arial Narrow" w:cs="Calibri"/>
                <w:color w:val="000000"/>
                <w:sz w:val="20"/>
                <w:szCs w:val="20"/>
                <w:lang w:eastAsia="en-AU"/>
              </w:rPr>
            </w:pPr>
          </w:p>
        </w:tc>
        <w:tc>
          <w:tcPr>
            <w:tcW w:w="572" w:type="dxa"/>
            <w:shd w:val="clear" w:color="auto" w:fill="auto"/>
            <w:noWrap/>
          </w:tcPr>
          <w:p w14:paraId="197CBF86" w14:textId="77777777" w:rsidR="00F33674" w:rsidRPr="00F33674" w:rsidRDefault="00F33674" w:rsidP="00F33674">
            <w:pPr>
              <w:jc w:val="left"/>
              <w:rPr>
                <w:rFonts w:ascii="Arial Narrow" w:hAnsi="Arial Narrow" w:cs="Calibri"/>
                <w:color w:val="000000"/>
                <w:sz w:val="20"/>
                <w:szCs w:val="20"/>
                <w:lang w:eastAsia="en-AU"/>
              </w:rPr>
            </w:pPr>
          </w:p>
        </w:tc>
        <w:tc>
          <w:tcPr>
            <w:tcW w:w="472" w:type="dxa"/>
            <w:shd w:val="clear" w:color="auto" w:fill="auto"/>
            <w:noWrap/>
          </w:tcPr>
          <w:p w14:paraId="61CC3D5C" w14:textId="77777777" w:rsidR="00F33674" w:rsidRPr="00F33674" w:rsidRDefault="00F33674" w:rsidP="00F33674">
            <w:pPr>
              <w:jc w:val="left"/>
              <w:rPr>
                <w:rFonts w:ascii="Arial Narrow" w:hAnsi="Arial Narrow" w:cs="Calibri"/>
                <w:color w:val="000000"/>
                <w:sz w:val="20"/>
                <w:szCs w:val="20"/>
                <w:lang w:eastAsia="en-AU"/>
              </w:rPr>
            </w:pPr>
          </w:p>
        </w:tc>
        <w:tc>
          <w:tcPr>
            <w:tcW w:w="1794" w:type="dxa"/>
            <w:shd w:val="clear" w:color="auto" w:fill="auto"/>
            <w:noWrap/>
            <w:hideMark/>
          </w:tcPr>
          <w:p w14:paraId="735AEFC6"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Tramal</w:t>
            </w:r>
          </w:p>
        </w:tc>
        <w:tc>
          <w:tcPr>
            <w:tcW w:w="1559" w:type="dxa"/>
            <w:shd w:val="clear" w:color="auto" w:fill="auto"/>
            <w:noWrap/>
            <w:hideMark/>
          </w:tcPr>
          <w:p w14:paraId="02AD7AB7"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Seqirus (Australia) Pty Ltd</w:t>
            </w:r>
          </w:p>
        </w:tc>
      </w:tr>
      <w:tr w:rsidR="00F33674" w:rsidRPr="00F33674" w14:paraId="3881E7A6" w14:textId="77777777" w:rsidTr="00F33674">
        <w:trPr>
          <w:trHeight w:val="300"/>
        </w:trPr>
        <w:tc>
          <w:tcPr>
            <w:tcW w:w="1456" w:type="dxa"/>
            <w:shd w:val="clear" w:color="auto" w:fill="auto"/>
            <w:noWrap/>
          </w:tcPr>
          <w:p w14:paraId="210D1106" w14:textId="77777777" w:rsidR="00F33674" w:rsidRPr="00F33674" w:rsidRDefault="00F33674" w:rsidP="00F33674">
            <w:pPr>
              <w:jc w:val="left"/>
              <w:rPr>
                <w:rFonts w:ascii="Arial Narrow" w:hAnsi="Arial Narrow" w:cs="Calibri"/>
                <w:color w:val="000000"/>
                <w:sz w:val="20"/>
                <w:szCs w:val="20"/>
                <w:lang w:eastAsia="en-AU"/>
              </w:rPr>
            </w:pPr>
          </w:p>
        </w:tc>
        <w:tc>
          <w:tcPr>
            <w:tcW w:w="1149" w:type="dxa"/>
          </w:tcPr>
          <w:p w14:paraId="0D52E24F" w14:textId="77777777" w:rsidR="00F33674" w:rsidRPr="00F33674" w:rsidRDefault="00F33674" w:rsidP="00F33674">
            <w:pPr>
              <w:jc w:val="left"/>
              <w:rPr>
                <w:rFonts w:ascii="Arial Narrow" w:hAnsi="Arial Narrow" w:cs="Calibri"/>
                <w:color w:val="000000"/>
                <w:sz w:val="20"/>
                <w:szCs w:val="20"/>
                <w:lang w:eastAsia="en-AU"/>
              </w:rPr>
            </w:pPr>
          </w:p>
        </w:tc>
        <w:tc>
          <w:tcPr>
            <w:tcW w:w="3007" w:type="dxa"/>
            <w:vMerge/>
            <w:shd w:val="clear" w:color="auto" w:fill="auto"/>
            <w:noWrap/>
          </w:tcPr>
          <w:p w14:paraId="3FC09CFB" w14:textId="77777777" w:rsidR="00F33674" w:rsidRPr="00F33674" w:rsidRDefault="00F33674" w:rsidP="00F33674">
            <w:pPr>
              <w:jc w:val="left"/>
              <w:rPr>
                <w:rFonts w:ascii="Arial Narrow" w:hAnsi="Arial Narrow" w:cs="Calibri"/>
                <w:color w:val="000000"/>
                <w:sz w:val="20"/>
                <w:szCs w:val="20"/>
                <w:lang w:eastAsia="en-AU"/>
              </w:rPr>
            </w:pPr>
          </w:p>
        </w:tc>
        <w:tc>
          <w:tcPr>
            <w:tcW w:w="572" w:type="dxa"/>
            <w:shd w:val="clear" w:color="auto" w:fill="auto"/>
            <w:noWrap/>
          </w:tcPr>
          <w:p w14:paraId="5B53306F" w14:textId="77777777" w:rsidR="00F33674" w:rsidRPr="00F33674" w:rsidRDefault="00F33674" w:rsidP="00F33674">
            <w:pPr>
              <w:jc w:val="left"/>
              <w:rPr>
                <w:rFonts w:ascii="Arial Narrow" w:hAnsi="Arial Narrow" w:cs="Calibri"/>
                <w:color w:val="000000"/>
                <w:sz w:val="20"/>
                <w:szCs w:val="20"/>
                <w:lang w:eastAsia="en-AU"/>
              </w:rPr>
            </w:pPr>
          </w:p>
        </w:tc>
        <w:tc>
          <w:tcPr>
            <w:tcW w:w="472" w:type="dxa"/>
            <w:shd w:val="clear" w:color="auto" w:fill="auto"/>
            <w:noWrap/>
          </w:tcPr>
          <w:p w14:paraId="2175F7B4" w14:textId="77777777" w:rsidR="00F33674" w:rsidRPr="00F33674" w:rsidRDefault="00F33674" w:rsidP="00F33674">
            <w:pPr>
              <w:jc w:val="left"/>
              <w:rPr>
                <w:rFonts w:ascii="Arial Narrow" w:hAnsi="Arial Narrow" w:cs="Calibri"/>
                <w:color w:val="000000"/>
                <w:sz w:val="20"/>
                <w:szCs w:val="20"/>
                <w:lang w:eastAsia="en-AU"/>
              </w:rPr>
            </w:pPr>
          </w:p>
        </w:tc>
        <w:tc>
          <w:tcPr>
            <w:tcW w:w="1794" w:type="dxa"/>
            <w:shd w:val="clear" w:color="auto" w:fill="auto"/>
            <w:noWrap/>
            <w:hideMark/>
          </w:tcPr>
          <w:p w14:paraId="45AC8503"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Tramedo</w:t>
            </w:r>
          </w:p>
        </w:tc>
        <w:tc>
          <w:tcPr>
            <w:tcW w:w="1559" w:type="dxa"/>
            <w:shd w:val="clear" w:color="auto" w:fill="auto"/>
            <w:noWrap/>
            <w:hideMark/>
          </w:tcPr>
          <w:p w14:paraId="0677AF04"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Alphapharm Pty Ltd</w:t>
            </w:r>
          </w:p>
        </w:tc>
      </w:tr>
      <w:tr w:rsidR="00F33674" w:rsidRPr="00F33674" w14:paraId="7AA6E893" w14:textId="77777777" w:rsidTr="00F33674">
        <w:trPr>
          <w:trHeight w:val="300"/>
        </w:trPr>
        <w:tc>
          <w:tcPr>
            <w:tcW w:w="1456" w:type="dxa"/>
            <w:shd w:val="clear" w:color="auto" w:fill="auto"/>
            <w:noWrap/>
          </w:tcPr>
          <w:p w14:paraId="6AA091CF" w14:textId="77777777" w:rsidR="00F33674" w:rsidRPr="00F33674" w:rsidRDefault="00F33674" w:rsidP="00F33674">
            <w:pPr>
              <w:jc w:val="left"/>
              <w:rPr>
                <w:rFonts w:ascii="Arial Narrow" w:hAnsi="Arial Narrow" w:cs="Calibri"/>
                <w:color w:val="000000"/>
                <w:sz w:val="20"/>
                <w:szCs w:val="20"/>
                <w:lang w:eastAsia="en-AU"/>
              </w:rPr>
            </w:pPr>
          </w:p>
        </w:tc>
        <w:tc>
          <w:tcPr>
            <w:tcW w:w="1149" w:type="dxa"/>
          </w:tcPr>
          <w:p w14:paraId="2D06AF7B" w14:textId="77777777" w:rsidR="00F33674" w:rsidRPr="00F33674" w:rsidRDefault="00F33674" w:rsidP="00F33674">
            <w:pPr>
              <w:jc w:val="left"/>
              <w:rPr>
                <w:rFonts w:ascii="Arial Narrow" w:hAnsi="Arial Narrow" w:cs="Calibri"/>
                <w:color w:val="000000"/>
                <w:sz w:val="20"/>
                <w:szCs w:val="20"/>
                <w:lang w:eastAsia="en-AU"/>
              </w:rPr>
            </w:pPr>
          </w:p>
        </w:tc>
        <w:tc>
          <w:tcPr>
            <w:tcW w:w="3007" w:type="dxa"/>
            <w:vMerge/>
            <w:shd w:val="clear" w:color="auto" w:fill="auto"/>
            <w:noWrap/>
          </w:tcPr>
          <w:p w14:paraId="7486D021" w14:textId="77777777" w:rsidR="00F33674" w:rsidRPr="00F33674" w:rsidRDefault="00F33674" w:rsidP="00F33674">
            <w:pPr>
              <w:jc w:val="left"/>
              <w:rPr>
                <w:rFonts w:ascii="Arial Narrow" w:hAnsi="Arial Narrow" w:cs="Calibri"/>
                <w:color w:val="000000"/>
                <w:sz w:val="20"/>
                <w:szCs w:val="20"/>
                <w:lang w:eastAsia="en-AU"/>
              </w:rPr>
            </w:pPr>
          </w:p>
        </w:tc>
        <w:tc>
          <w:tcPr>
            <w:tcW w:w="572" w:type="dxa"/>
            <w:shd w:val="clear" w:color="auto" w:fill="auto"/>
            <w:noWrap/>
          </w:tcPr>
          <w:p w14:paraId="72EB8902" w14:textId="77777777" w:rsidR="00F33674" w:rsidRPr="00F33674" w:rsidRDefault="00F33674" w:rsidP="00F33674">
            <w:pPr>
              <w:jc w:val="left"/>
              <w:rPr>
                <w:rFonts w:ascii="Arial Narrow" w:hAnsi="Arial Narrow" w:cs="Calibri"/>
                <w:color w:val="000000"/>
                <w:sz w:val="20"/>
                <w:szCs w:val="20"/>
                <w:lang w:eastAsia="en-AU"/>
              </w:rPr>
            </w:pPr>
          </w:p>
        </w:tc>
        <w:tc>
          <w:tcPr>
            <w:tcW w:w="472" w:type="dxa"/>
            <w:shd w:val="clear" w:color="auto" w:fill="auto"/>
            <w:noWrap/>
          </w:tcPr>
          <w:p w14:paraId="50F3F7DA" w14:textId="77777777" w:rsidR="00F33674" w:rsidRPr="00F33674" w:rsidRDefault="00F33674" w:rsidP="00F33674">
            <w:pPr>
              <w:jc w:val="left"/>
              <w:rPr>
                <w:rFonts w:ascii="Arial Narrow" w:hAnsi="Arial Narrow" w:cs="Calibri"/>
                <w:color w:val="000000"/>
                <w:sz w:val="20"/>
                <w:szCs w:val="20"/>
                <w:lang w:eastAsia="en-AU"/>
              </w:rPr>
            </w:pPr>
          </w:p>
        </w:tc>
        <w:tc>
          <w:tcPr>
            <w:tcW w:w="1794" w:type="dxa"/>
            <w:shd w:val="clear" w:color="auto" w:fill="auto"/>
            <w:noWrap/>
            <w:hideMark/>
          </w:tcPr>
          <w:p w14:paraId="3A785637"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Zydol</w:t>
            </w:r>
          </w:p>
        </w:tc>
        <w:tc>
          <w:tcPr>
            <w:tcW w:w="1559" w:type="dxa"/>
            <w:shd w:val="clear" w:color="auto" w:fill="auto"/>
            <w:noWrap/>
            <w:hideMark/>
          </w:tcPr>
          <w:p w14:paraId="359044A9"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Arrow Pharma Pty Ltd</w:t>
            </w:r>
          </w:p>
        </w:tc>
      </w:tr>
      <w:tr w:rsidR="00F33674" w:rsidRPr="00F33674" w14:paraId="0CDB4641" w14:textId="77777777" w:rsidTr="00F33674">
        <w:trPr>
          <w:trHeight w:val="300"/>
        </w:trPr>
        <w:tc>
          <w:tcPr>
            <w:tcW w:w="1456" w:type="dxa"/>
            <w:shd w:val="clear" w:color="auto" w:fill="auto"/>
            <w:noWrap/>
          </w:tcPr>
          <w:p w14:paraId="70353FCB" w14:textId="77777777" w:rsidR="00F33674" w:rsidRPr="00F33674" w:rsidRDefault="00F33674" w:rsidP="00F33674">
            <w:pPr>
              <w:jc w:val="left"/>
              <w:rPr>
                <w:rFonts w:ascii="Arial Narrow" w:hAnsi="Arial Narrow" w:cs="Calibri"/>
                <w:color w:val="000000"/>
                <w:sz w:val="20"/>
                <w:szCs w:val="20"/>
                <w:lang w:eastAsia="en-AU"/>
              </w:rPr>
            </w:pPr>
          </w:p>
        </w:tc>
        <w:tc>
          <w:tcPr>
            <w:tcW w:w="1149" w:type="dxa"/>
          </w:tcPr>
          <w:p w14:paraId="45DD3A45"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5231H</w:t>
            </w:r>
          </w:p>
        </w:tc>
        <w:tc>
          <w:tcPr>
            <w:tcW w:w="3007" w:type="dxa"/>
            <w:vMerge w:val="restart"/>
            <w:shd w:val="clear" w:color="auto" w:fill="auto"/>
            <w:noWrap/>
            <w:hideMark/>
          </w:tcPr>
          <w:p w14:paraId="531135B8"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Injection containing tramadol hydrochloride 100 mg in 2 mL</w:t>
            </w:r>
          </w:p>
        </w:tc>
        <w:tc>
          <w:tcPr>
            <w:tcW w:w="572" w:type="dxa"/>
            <w:shd w:val="clear" w:color="auto" w:fill="auto"/>
            <w:noWrap/>
            <w:hideMark/>
          </w:tcPr>
          <w:p w14:paraId="5646A6B7"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5</w:t>
            </w:r>
          </w:p>
        </w:tc>
        <w:tc>
          <w:tcPr>
            <w:tcW w:w="472" w:type="dxa"/>
            <w:shd w:val="clear" w:color="auto" w:fill="auto"/>
            <w:noWrap/>
            <w:hideMark/>
          </w:tcPr>
          <w:p w14:paraId="6F769045"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0</w:t>
            </w:r>
          </w:p>
        </w:tc>
        <w:tc>
          <w:tcPr>
            <w:tcW w:w="1794" w:type="dxa"/>
            <w:shd w:val="clear" w:color="auto" w:fill="auto"/>
            <w:noWrap/>
            <w:hideMark/>
          </w:tcPr>
          <w:p w14:paraId="3289A672"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Tramadol ACT</w:t>
            </w:r>
          </w:p>
        </w:tc>
        <w:tc>
          <w:tcPr>
            <w:tcW w:w="1559" w:type="dxa"/>
            <w:shd w:val="clear" w:color="auto" w:fill="auto"/>
            <w:noWrap/>
            <w:hideMark/>
          </w:tcPr>
          <w:p w14:paraId="65C33529"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Juno Pharmaceuticals Pty Ltd</w:t>
            </w:r>
          </w:p>
        </w:tc>
      </w:tr>
      <w:tr w:rsidR="00F33674" w:rsidRPr="00F33674" w14:paraId="3C46494F" w14:textId="77777777" w:rsidTr="00F33674">
        <w:trPr>
          <w:trHeight w:val="300"/>
        </w:trPr>
        <w:tc>
          <w:tcPr>
            <w:tcW w:w="1456" w:type="dxa"/>
            <w:shd w:val="clear" w:color="auto" w:fill="auto"/>
            <w:noWrap/>
          </w:tcPr>
          <w:p w14:paraId="5322F5B7" w14:textId="77777777" w:rsidR="00F33674" w:rsidRPr="00F33674" w:rsidRDefault="00F33674" w:rsidP="00F33674">
            <w:pPr>
              <w:jc w:val="left"/>
              <w:rPr>
                <w:rFonts w:ascii="Arial Narrow" w:hAnsi="Arial Narrow" w:cs="Calibri"/>
                <w:color w:val="000000"/>
                <w:sz w:val="20"/>
                <w:szCs w:val="20"/>
                <w:lang w:eastAsia="en-AU"/>
              </w:rPr>
            </w:pPr>
          </w:p>
        </w:tc>
        <w:tc>
          <w:tcPr>
            <w:tcW w:w="1149" w:type="dxa"/>
          </w:tcPr>
          <w:p w14:paraId="7F395FF8" w14:textId="77777777" w:rsidR="00F33674" w:rsidRPr="00F33674" w:rsidRDefault="00F33674" w:rsidP="00F33674">
            <w:pPr>
              <w:jc w:val="left"/>
              <w:rPr>
                <w:rFonts w:ascii="Arial Narrow" w:hAnsi="Arial Narrow" w:cs="Calibri"/>
                <w:color w:val="000000"/>
                <w:sz w:val="20"/>
                <w:szCs w:val="20"/>
                <w:lang w:eastAsia="en-AU"/>
              </w:rPr>
            </w:pPr>
          </w:p>
        </w:tc>
        <w:tc>
          <w:tcPr>
            <w:tcW w:w="3007" w:type="dxa"/>
            <w:vMerge/>
            <w:shd w:val="clear" w:color="auto" w:fill="auto"/>
            <w:noWrap/>
          </w:tcPr>
          <w:p w14:paraId="57239BE9" w14:textId="77777777" w:rsidR="00F33674" w:rsidRPr="00F33674" w:rsidRDefault="00F33674" w:rsidP="00F33674">
            <w:pPr>
              <w:jc w:val="left"/>
              <w:rPr>
                <w:rFonts w:ascii="Arial Narrow" w:hAnsi="Arial Narrow" w:cs="Calibri"/>
                <w:color w:val="000000"/>
                <w:sz w:val="20"/>
                <w:szCs w:val="20"/>
                <w:lang w:eastAsia="en-AU"/>
              </w:rPr>
            </w:pPr>
          </w:p>
        </w:tc>
        <w:tc>
          <w:tcPr>
            <w:tcW w:w="572" w:type="dxa"/>
            <w:shd w:val="clear" w:color="auto" w:fill="auto"/>
            <w:noWrap/>
          </w:tcPr>
          <w:p w14:paraId="0C212C5D" w14:textId="77777777" w:rsidR="00F33674" w:rsidRPr="00F33674" w:rsidRDefault="00F33674" w:rsidP="00F33674">
            <w:pPr>
              <w:jc w:val="left"/>
              <w:rPr>
                <w:rFonts w:ascii="Arial Narrow" w:hAnsi="Arial Narrow" w:cs="Calibri"/>
                <w:color w:val="000000"/>
                <w:sz w:val="20"/>
                <w:szCs w:val="20"/>
                <w:lang w:eastAsia="en-AU"/>
              </w:rPr>
            </w:pPr>
          </w:p>
        </w:tc>
        <w:tc>
          <w:tcPr>
            <w:tcW w:w="472" w:type="dxa"/>
            <w:shd w:val="clear" w:color="auto" w:fill="auto"/>
            <w:noWrap/>
          </w:tcPr>
          <w:p w14:paraId="6FAFA2C8" w14:textId="77777777" w:rsidR="00F33674" w:rsidRPr="00F33674" w:rsidRDefault="00F33674" w:rsidP="00F33674">
            <w:pPr>
              <w:jc w:val="left"/>
              <w:rPr>
                <w:rFonts w:ascii="Arial Narrow" w:hAnsi="Arial Narrow" w:cs="Calibri"/>
                <w:color w:val="000000"/>
                <w:sz w:val="20"/>
                <w:szCs w:val="20"/>
                <w:lang w:eastAsia="en-AU"/>
              </w:rPr>
            </w:pPr>
          </w:p>
        </w:tc>
        <w:tc>
          <w:tcPr>
            <w:tcW w:w="1794" w:type="dxa"/>
            <w:shd w:val="clear" w:color="auto" w:fill="auto"/>
            <w:noWrap/>
            <w:hideMark/>
          </w:tcPr>
          <w:p w14:paraId="4004B8EF"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Tramadol AN</w:t>
            </w:r>
          </w:p>
        </w:tc>
        <w:tc>
          <w:tcPr>
            <w:tcW w:w="1559" w:type="dxa"/>
            <w:shd w:val="clear" w:color="auto" w:fill="auto"/>
            <w:noWrap/>
            <w:hideMark/>
          </w:tcPr>
          <w:p w14:paraId="1037806B"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Juno Pharmaceuticals Pty Ltd</w:t>
            </w:r>
          </w:p>
        </w:tc>
      </w:tr>
      <w:tr w:rsidR="00F33674" w:rsidRPr="00F33674" w14:paraId="62A6A13B" w14:textId="77777777" w:rsidTr="00F33674">
        <w:trPr>
          <w:trHeight w:val="300"/>
        </w:trPr>
        <w:tc>
          <w:tcPr>
            <w:tcW w:w="1456" w:type="dxa"/>
            <w:shd w:val="clear" w:color="auto" w:fill="auto"/>
            <w:noWrap/>
          </w:tcPr>
          <w:p w14:paraId="6F773DA1" w14:textId="77777777" w:rsidR="00F33674" w:rsidRPr="00F33674" w:rsidRDefault="00F33674" w:rsidP="00F33674">
            <w:pPr>
              <w:jc w:val="left"/>
              <w:rPr>
                <w:rFonts w:ascii="Arial Narrow" w:hAnsi="Arial Narrow" w:cs="Calibri"/>
                <w:color w:val="000000"/>
                <w:sz w:val="20"/>
                <w:szCs w:val="20"/>
                <w:lang w:eastAsia="en-AU"/>
              </w:rPr>
            </w:pPr>
          </w:p>
        </w:tc>
        <w:tc>
          <w:tcPr>
            <w:tcW w:w="1149" w:type="dxa"/>
          </w:tcPr>
          <w:p w14:paraId="4C8432D6" w14:textId="77777777" w:rsidR="00F33674" w:rsidRPr="00F33674" w:rsidRDefault="00F33674" w:rsidP="00F33674">
            <w:pPr>
              <w:jc w:val="left"/>
              <w:rPr>
                <w:rFonts w:ascii="Arial Narrow" w:hAnsi="Arial Narrow" w:cs="Calibri"/>
                <w:color w:val="000000"/>
                <w:sz w:val="20"/>
                <w:szCs w:val="20"/>
                <w:lang w:eastAsia="en-AU"/>
              </w:rPr>
            </w:pPr>
          </w:p>
        </w:tc>
        <w:tc>
          <w:tcPr>
            <w:tcW w:w="3007" w:type="dxa"/>
            <w:vMerge/>
            <w:shd w:val="clear" w:color="auto" w:fill="auto"/>
            <w:noWrap/>
          </w:tcPr>
          <w:p w14:paraId="069F2492" w14:textId="77777777" w:rsidR="00F33674" w:rsidRPr="00F33674" w:rsidRDefault="00F33674" w:rsidP="00F33674">
            <w:pPr>
              <w:jc w:val="left"/>
              <w:rPr>
                <w:rFonts w:ascii="Arial Narrow" w:hAnsi="Arial Narrow" w:cs="Calibri"/>
                <w:color w:val="000000"/>
                <w:sz w:val="20"/>
                <w:szCs w:val="20"/>
                <w:lang w:eastAsia="en-AU"/>
              </w:rPr>
            </w:pPr>
          </w:p>
        </w:tc>
        <w:tc>
          <w:tcPr>
            <w:tcW w:w="572" w:type="dxa"/>
            <w:shd w:val="clear" w:color="auto" w:fill="auto"/>
            <w:noWrap/>
          </w:tcPr>
          <w:p w14:paraId="224AACF0" w14:textId="77777777" w:rsidR="00F33674" w:rsidRPr="00F33674" w:rsidRDefault="00F33674" w:rsidP="00F33674">
            <w:pPr>
              <w:jc w:val="left"/>
              <w:rPr>
                <w:rFonts w:ascii="Arial Narrow" w:hAnsi="Arial Narrow" w:cs="Calibri"/>
                <w:color w:val="000000"/>
                <w:sz w:val="20"/>
                <w:szCs w:val="20"/>
                <w:lang w:eastAsia="en-AU"/>
              </w:rPr>
            </w:pPr>
          </w:p>
        </w:tc>
        <w:tc>
          <w:tcPr>
            <w:tcW w:w="472" w:type="dxa"/>
            <w:shd w:val="clear" w:color="auto" w:fill="auto"/>
            <w:noWrap/>
          </w:tcPr>
          <w:p w14:paraId="25D939FF" w14:textId="77777777" w:rsidR="00F33674" w:rsidRPr="00F33674" w:rsidRDefault="00F33674" w:rsidP="00F33674">
            <w:pPr>
              <w:jc w:val="left"/>
              <w:rPr>
                <w:rFonts w:ascii="Arial Narrow" w:hAnsi="Arial Narrow" w:cs="Calibri"/>
                <w:color w:val="000000"/>
                <w:sz w:val="20"/>
                <w:szCs w:val="20"/>
                <w:lang w:eastAsia="en-AU"/>
              </w:rPr>
            </w:pPr>
          </w:p>
        </w:tc>
        <w:tc>
          <w:tcPr>
            <w:tcW w:w="1794" w:type="dxa"/>
            <w:shd w:val="clear" w:color="auto" w:fill="auto"/>
            <w:noWrap/>
            <w:hideMark/>
          </w:tcPr>
          <w:p w14:paraId="1992B811"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Tramadol Sandoz</w:t>
            </w:r>
          </w:p>
        </w:tc>
        <w:tc>
          <w:tcPr>
            <w:tcW w:w="1559" w:type="dxa"/>
            <w:shd w:val="clear" w:color="auto" w:fill="auto"/>
            <w:noWrap/>
            <w:hideMark/>
          </w:tcPr>
          <w:p w14:paraId="2CAC2225"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Sandoz Pty Ltd</w:t>
            </w:r>
          </w:p>
        </w:tc>
      </w:tr>
      <w:tr w:rsidR="00F33674" w:rsidRPr="00F33674" w14:paraId="38D1DBC7" w14:textId="77777777" w:rsidTr="00F33674">
        <w:trPr>
          <w:trHeight w:val="300"/>
        </w:trPr>
        <w:tc>
          <w:tcPr>
            <w:tcW w:w="1456" w:type="dxa"/>
            <w:shd w:val="clear" w:color="auto" w:fill="auto"/>
            <w:noWrap/>
          </w:tcPr>
          <w:p w14:paraId="2D8452B0" w14:textId="77777777" w:rsidR="00F33674" w:rsidRPr="00F33674" w:rsidRDefault="00F33674" w:rsidP="00F33674">
            <w:pPr>
              <w:jc w:val="left"/>
              <w:rPr>
                <w:rFonts w:ascii="Arial Narrow" w:hAnsi="Arial Narrow" w:cs="Calibri"/>
                <w:color w:val="000000"/>
                <w:sz w:val="20"/>
                <w:szCs w:val="20"/>
                <w:lang w:eastAsia="en-AU"/>
              </w:rPr>
            </w:pPr>
          </w:p>
        </w:tc>
        <w:tc>
          <w:tcPr>
            <w:tcW w:w="1149" w:type="dxa"/>
          </w:tcPr>
          <w:p w14:paraId="48650640" w14:textId="77777777" w:rsidR="00F33674" w:rsidRPr="00F33674" w:rsidRDefault="00F33674" w:rsidP="00F33674">
            <w:pPr>
              <w:jc w:val="left"/>
              <w:rPr>
                <w:rFonts w:ascii="Arial Narrow" w:hAnsi="Arial Narrow" w:cs="Calibri"/>
                <w:color w:val="000000"/>
                <w:sz w:val="20"/>
                <w:szCs w:val="20"/>
                <w:lang w:eastAsia="en-AU"/>
              </w:rPr>
            </w:pPr>
          </w:p>
        </w:tc>
        <w:tc>
          <w:tcPr>
            <w:tcW w:w="3007" w:type="dxa"/>
            <w:vMerge/>
            <w:shd w:val="clear" w:color="auto" w:fill="auto"/>
            <w:noWrap/>
          </w:tcPr>
          <w:p w14:paraId="66AD96B2" w14:textId="77777777" w:rsidR="00F33674" w:rsidRPr="00F33674" w:rsidRDefault="00F33674" w:rsidP="00F33674">
            <w:pPr>
              <w:jc w:val="left"/>
              <w:rPr>
                <w:rFonts w:ascii="Arial Narrow" w:hAnsi="Arial Narrow" w:cs="Calibri"/>
                <w:color w:val="000000"/>
                <w:sz w:val="20"/>
                <w:szCs w:val="20"/>
                <w:lang w:eastAsia="en-AU"/>
              </w:rPr>
            </w:pPr>
          </w:p>
        </w:tc>
        <w:tc>
          <w:tcPr>
            <w:tcW w:w="572" w:type="dxa"/>
            <w:shd w:val="clear" w:color="auto" w:fill="auto"/>
            <w:noWrap/>
          </w:tcPr>
          <w:p w14:paraId="2C7B1583" w14:textId="77777777" w:rsidR="00F33674" w:rsidRPr="00F33674" w:rsidRDefault="00F33674" w:rsidP="00F33674">
            <w:pPr>
              <w:jc w:val="left"/>
              <w:rPr>
                <w:rFonts w:ascii="Arial Narrow" w:hAnsi="Arial Narrow" w:cs="Calibri"/>
                <w:color w:val="000000"/>
                <w:sz w:val="20"/>
                <w:szCs w:val="20"/>
                <w:lang w:eastAsia="en-AU"/>
              </w:rPr>
            </w:pPr>
          </w:p>
        </w:tc>
        <w:tc>
          <w:tcPr>
            <w:tcW w:w="472" w:type="dxa"/>
            <w:shd w:val="clear" w:color="auto" w:fill="auto"/>
            <w:noWrap/>
          </w:tcPr>
          <w:p w14:paraId="08F51D2F" w14:textId="77777777" w:rsidR="00F33674" w:rsidRPr="00F33674" w:rsidRDefault="00F33674" w:rsidP="00F33674">
            <w:pPr>
              <w:jc w:val="left"/>
              <w:rPr>
                <w:rFonts w:ascii="Arial Narrow" w:hAnsi="Arial Narrow" w:cs="Calibri"/>
                <w:color w:val="000000"/>
                <w:sz w:val="20"/>
                <w:szCs w:val="20"/>
                <w:lang w:eastAsia="en-AU"/>
              </w:rPr>
            </w:pPr>
          </w:p>
        </w:tc>
        <w:tc>
          <w:tcPr>
            <w:tcW w:w="1794" w:type="dxa"/>
            <w:shd w:val="clear" w:color="auto" w:fill="auto"/>
            <w:noWrap/>
            <w:hideMark/>
          </w:tcPr>
          <w:p w14:paraId="3E6D3857"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Tramal 100</w:t>
            </w:r>
          </w:p>
        </w:tc>
        <w:tc>
          <w:tcPr>
            <w:tcW w:w="1559" w:type="dxa"/>
            <w:shd w:val="clear" w:color="auto" w:fill="auto"/>
            <w:noWrap/>
            <w:hideMark/>
          </w:tcPr>
          <w:p w14:paraId="7F173825"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Seqirus (Australia) Pty Ltd</w:t>
            </w:r>
          </w:p>
        </w:tc>
      </w:tr>
      <w:tr w:rsidR="00F33674" w:rsidRPr="00F33674" w14:paraId="79804044" w14:textId="77777777" w:rsidTr="00F33674">
        <w:trPr>
          <w:trHeight w:val="300"/>
        </w:trPr>
        <w:tc>
          <w:tcPr>
            <w:tcW w:w="1456" w:type="dxa"/>
            <w:shd w:val="clear" w:color="auto" w:fill="auto"/>
            <w:noWrap/>
          </w:tcPr>
          <w:p w14:paraId="65E93057" w14:textId="77777777" w:rsidR="00F33674" w:rsidRPr="00F33674" w:rsidRDefault="00F33674" w:rsidP="00F33674">
            <w:pPr>
              <w:jc w:val="left"/>
              <w:rPr>
                <w:rFonts w:ascii="Arial Narrow" w:hAnsi="Arial Narrow" w:cs="Calibri"/>
                <w:color w:val="000000"/>
                <w:sz w:val="20"/>
                <w:szCs w:val="20"/>
                <w:lang w:eastAsia="en-AU"/>
              </w:rPr>
            </w:pPr>
          </w:p>
        </w:tc>
        <w:tc>
          <w:tcPr>
            <w:tcW w:w="1149" w:type="dxa"/>
          </w:tcPr>
          <w:p w14:paraId="3DF06BA6"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5150C</w:t>
            </w:r>
          </w:p>
        </w:tc>
        <w:tc>
          <w:tcPr>
            <w:tcW w:w="3007" w:type="dxa"/>
            <w:shd w:val="clear" w:color="auto" w:fill="auto"/>
            <w:noWrap/>
            <w:hideMark/>
          </w:tcPr>
          <w:p w14:paraId="4B5E8450"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Oral drops containing tramadol hydrochloride 100 mg per mL, 10 mL</w:t>
            </w:r>
          </w:p>
        </w:tc>
        <w:tc>
          <w:tcPr>
            <w:tcW w:w="572" w:type="dxa"/>
            <w:shd w:val="clear" w:color="auto" w:fill="auto"/>
            <w:noWrap/>
            <w:hideMark/>
          </w:tcPr>
          <w:p w14:paraId="0406D612"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1</w:t>
            </w:r>
          </w:p>
        </w:tc>
        <w:tc>
          <w:tcPr>
            <w:tcW w:w="472" w:type="dxa"/>
            <w:shd w:val="clear" w:color="auto" w:fill="auto"/>
            <w:noWrap/>
            <w:hideMark/>
          </w:tcPr>
          <w:p w14:paraId="154F1E53"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0</w:t>
            </w:r>
          </w:p>
        </w:tc>
        <w:tc>
          <w:tcPr>
            <w:tcW w:w="1794" w:type="dxa"/>
            <w:shd w:val="clear" w:color="auto" w:fill="auto"/>
            <w:noWrap/>
            <w:hideMark/>
          </w:tcPr>
          <w:p w14:paraId="174B08F5"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Tramal</w:t>
            </w:r>
          </w:p>
        </w:tc>
        <w:tc>
          <w:tcPr>
            <w:tcW w:w="1559" w:type="dxa"/>
            <w:shd w:val="clear" w:color="auto" w:fill="auto"/>
            <w:noWrap/>
            <w:hideMark/>
          </w:tcPr>
          <w:p w14:paraId="34A35853"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Seqirus (Australia) Pty Ltd</w:t>
            </w:r>
          </w:p>
        </w:tc>
      </w:tr>
    </w:tbl>
    <w:p w14:paraId="482E61EB" w14:textId="77777777" w:rsidR="00F33674" w:rsidRPr="00F33674" w:rsidRDefault="00F33674" w:rsidP="00F33674">
      <w:pPr>
        <w:ind w:left="360" w:hanging="360"/>
        <w:contextualSpacing/>
        <w:jc w:val="left"/>
      </w:pPr>
    </w:p>
    <w:tbl>
      <w:tblPr>
        <w:tblW w:w="9214" w:type="dxa"/>
        <w:tblInd w:w="-5" w:type="dxa"/>
        <w:tblLayout w:type="fixed"/>
        <w:tblLook w:val="0000" w:firstRow="0" w:lastRow="0" w:firstColumn="0" w:lastColumn="0" w:noHBand="0" w:noVBand="0"/>
      </w:tblPr>
      <w:tblGrid>
        <w:gridCol w:w="2835"/>
        <w:gridCol w:w="6379"/>
      </w:tblGrid>
      <w:tr w:rsidR="00F33674" w:rsidRPr="00F33674" w14:paraId="512A7178" w14:textId="77777777" w:rsidTr="00F33674">
        <w:trPr>
          <w:cantSplit/>
          <w:trHeight w:val="360"/>
        </w:trPr>
        <w:tc>
          <w:tcPr>
            <w:tcW w:w="2835" w:type="dxa"/>
            <w:tcBorders>
              <w:top w:val="single" w:sz="4" w:space="0" w:color="auto"/>
              <w:left w:val="single" w:sz="4" w:space="0" w:color="auto"/>
              <w:bottom w:val="single" w:sz="4" w:space="0" w:color="auto"/>
              <w:right w:val="single" w:sz="4" w:space="0" w:color="auto"/>
            </w:tcBorders>
          </w:tcPr>
          <w:p w14:paraId="366F5FE5" w14:textId="77777777" w:rsidR="00F33674" w:rsidRPr="00F33674" w:rsidRDefault="00F33674" w:rsidP="00F33674">
            <w:pPr>
              <w:rPr>
                <w:rFonts w:ascii="Arial Narrow" w:hAnsi="Arial Narrow" w:cs="Arial"/>
                <w:b/>
                <w:sz w:val="20"/>
                <w:szCs w:val="20"/>
              </w:rPr>
            </w:pPr>
            <w:r w:rsidRPr="00F33674">
              <w:rPr>
                <w:rFonts w:ascii="Arial Narrow" w:hAnsi="Arial Narrow" w:cs="Arial"/>
                <w:b/>
                <w:sz w:val="20"/>
                <w:szCs w:val="20"/>
              </w:rPr>
              <w:t>Category / Program:</w:t>
            </w:r>
          </w:p>
        </w:tc>
        <w:tc>
          <w:tcPr>
            <w:tcW w:w="6379" w:type="dxa"/>
            <w:tcBorders>
              <w:top w:val="single" w:sz="4" w:space="0" w:color="auto"/>
              <w:left w:val="single" w:sz="4" w:space="0" w:color="auto"/>
              <w:bottom w:val="single" w:sz="4" w:space="0" w:color="auto"/>
              <w:right w:val="single" w:sz="4" w:space="0" w:color="auto"/>
            </w:tcBorders>
          </w:tcPr>
          <w:p w14:paraId="69BEA0C4" w14:textId="77777777" w:rsidR="00F33674" w:rsidRPr="00F33674" w:rsidRDefault="00F33674" w:rsidP="00F33674">
            <w:pPr>
              <w:rPr>
                <w:rFonts w:ascii="Arial Narrow" w:hAnsi="Arial Narrow" w:cs="Arial"/>
                <w:sz w:val="20"/>
                <w:szCs w:val="20"/>
              </w:rPr>
            </w:pPr>
            <w:r w:rsidRPr="00F33674">
              <w:rPr>
                <w:rFonts w:ascii="Arial Narrow" w:hAnsi="Arial Narrow" w:cs="Arial"/>
                <w:sz w:val="20"/>
                <w:szCs w:val="20"/>
              </w:rPr>
              <w:t>GENERAL – General Schedule (Code GE)</w:t>
            </w:r>
          </w:p>
        </w:tc>
      </w:tr>
      <w:tr w:rsidR="00F33674" w:rsidRPr="00F33674" w14:paraId="1DA7ABB1" w14:textId="77777777" w:rsidTr="00F33674">
        <w:trPr>
          <w:cantSplit/>
          <w:trHeight w:val="360"/>
        </w:trPr>
        <w:tc>
          <w:tcPr>
            <w:tcW w:w="2835" w:type="dxa"/>
            <w:tcBorders>
              <w:top w:val="single" w:sz="4" w:space="0" w:color="auto"/>
              <w:left w:val="single" w:sz="4" w:space="0" w:color="auto"/>
              <w:bottom w:val="single" w:sz="4" w:space="0" w:color="auto"/>
              <w:right w:val="single" w:sz="4" w:space="0" w:color="auto"/>
            </w:tcBorders>
          </w:tcPr>
          <w:p w14:paraId="644FE281" w14:textId="77777777" w:rsidR="00F33674" w:rsidRPr="00F33674" w:rsidRDefault="00F33674" w:rsidP="00F33674">
            <w:pPr>
              <w:rPr>
                <w:rFonts w:ascii="Arial Narrow" w:hAnsi="Arial Narrow" w:cs="Arial"/>
                <w:b/>
                <w:sz w:val="20"/>
                <w:szCs w:val="20"/>
              </w:rPr>
            </w:pPr>
            <w:r w:rsidRPr="00F33674">
              <w:rPr>
                <w:rFonts w:ascii="Arial Narrow" w:hAnsi="Arial Narrow" w:cs="Arial"/>
                <w:b/>
                <w:sz w:val="20"/>
                <w:szCs w:val="20"/>
              </w:rPr>
              <w:t>Prescriber type:</w:t>
            </w:r>
          </w:p>
          <w:p w14:paraId="67B16DDD" w14:textId="77777777" w:rsidR="00F33674" w:rsidRPr="00F33674" w:rsidRDefault="00F33674" w:rsidP="00F33674">
            <w:pPr>
              <w:rPr>
                <w:rFonts w:ascii="Arial Narrow" w:hAnsi="Arial Narrow" w:cs="Arial"/>
                <w:b/>
                <w:sz w:val="20"/>
                <w:szCs w:val="20"/>
              </w:rPr>
            </w:pPr>
          </w:p>
        </w:tc>
        <w:tc>
          <w:tcPr>
            <w:tcW w:w="6379" w:type="dxa"/>
            <w:tcBorders>
              <w:top w:val="single" w:sz="4" w:space="0" w:color="auto"/>
              <w:left w:val="single" w:sz="4" w:space="0" w:color="auto"/>
              <w:bottom w:val="single" w:sz="4" w:space="0" w:color="auto"/>
              <w:right w:val="single" w:sz="4" w:space="0" w:color="auto"/>
            </w:tcBorders>
          </w:tcPr>
          <w:p w14:paraId="1CD0B2EB" w14:textId="48175A84" w:rsidR="00F33674" w:rsidRPr="00F33674" w:rsidRDefault="00F33674" w:rsidP="00F33674">
            <w:pPr>
              <w:rPr>
                <w:rFonts w:ascii="Arial Narrow" w:hAnsi="Arial Narrow" w:cs="Arial"/>
                <w:sz w:val="20"/>
                <w:szCs w:val="20"/>
              </w:rPr>
            </w:pPr>
            <w:r w:rsidRPr="00F33674">
              <w:rPr>
                <w:rFonts w:ascii="Arial Narrow" w:hAnsi="Arial Narrow" w:cs="Arial"/>
                <w:sz w:val="20"/>
                <w:szCs w:val="20"/>
              </w:rPr>
              <w:fldChar w:fldCharType="begin">
                <w:ffData>
                  <w:name w:val=""/>
                  <w:enabled/>
                  <w:calcOnExit w:val="0"/>
                  <w:checkBox>
                    <w:sizeAuto/>
                    <w:default w:val="1"/>
                  </w:checkBox>
                </w:ffData>
              </w:fldChar>
            </w:r>
            <w:r w:rsidRPr="00F33674">
              <w:rPr>
                <w:rFonts w:ascii="Arial Narrow" w:hAnsi="Arial Narrow" w:cs="Arial"/>
                <w:sz w:val="20"/>
                <w:szCs w:val="20"/>
              </w:rPr>
              <w:instrText xml:space="preserve"> FORMCHECKBOX </w:instrText>
            </w:r>
            <w:r w:rsidR="00233D13">
              <w:rPr>
                <w:rFonts w:ascii="Arial Narrow" w:hAnsi="Arial Narrow" w:cs="Arial"/>
                <w:sz w:val="20"/>
                <w:szCs w:val="20"/>
              </w:rPr>
            </w:r>
            <w:r w:rsidR="00233D13">
              <w:rPr>
                <w:rFonts w:ascii="Arial Narrow" w:hAnsi="Arial Narrow" w:cs="Arial"/>
                <w:sz w:val="20"/>
                <w:szCs w:val="20"/>
              </w:rPr>
              <w:fldChar w:fldCharType="separate"/>
            </w:r>
            <w:r w:rsidRPr="00F33674">
              <w:rPr>
                <w:rFonts w:ascii="Arial Narrow" w:hAnsi="Arial Narrow" w:cs="Arial"/>
                <w:sz w:val="20"/>
                <w:szCs w:val="20"/>
              </w:rPr>
              <w:fldChar w:fldCharType="end"/>
            </w:r>
            <w:r w:rsidRPr="00F33674">
              <w:rPr>
                <w:rFonts w:ascii="Arial Narrow" w:hAnsi="Arial Narrow" w:cs="Arial"/>
                <w:sz w:val="20"/>
                <w:szCs w:val="20"/>
              </w:rPr>
              <w:t>Dental</w:t>
            </w:r>
            <w:r w:rsidR="002C1329">
              <w:rPr>
                <w:rFonts w:ascii="Arial Narrow" w:hAnsi="Arial Narrow" w:cs="Arial"/>
                <w:sz w:val="20"/>
                <w:szCs w:val="20"/>
              </w:rPr>
              <w:t xml:space="preserve"> </w:t>
            </w:r>
            <w:r w:rsidRPr="00F33674">
              <w:rPr>
                <w:rFonts w:ascii="Arial Narrow" w:hAnsi="Arial Narrow" w:cs="Arial"/>
                <w:sz w:val="20"/>
                <w:szCs w:val="20"/>
              </w:rPr>
              <w:fldChar w:fldCharType="begin">
                <w:ffData>
                  <w:name w:val=""/>
                  <w:enabled/>
                  <w:calcOnExit w:val="0"/>
                  <w:checkBox>
                    <w:sizeAuto/>
                    <w:default w:val="0"/>
                  </w:checkBox>
                </w:ffData>
              </w:fldChar>
            </w:r>
            <w:r w:rsidRPr="00F33674">
              <w:rPr>
                <w:rFonts w:ascii="Arial Narrow" w:hAnsi="Arial Narrow" w:cs="Arial"/>
                <w:sz w:val="20"/>
                <w:szCs w:val="20"/>
              </w:rPr>
              <w:instrText xml:space="preserve"> FORMCHECKBOX </w:instrText>
            </w:r>
            <w:r w:rsidR="00233D13">
              <w:rPr>
                <w:rFonts w:ascii="Arial Narrow" w:hAnsi="Arial Narrow" w:cs="Arial"/>
                <w:sz w:val="20"/>
                <w:szCs w:val="20"/>
              </w:rPr>
            </w:r>
            <w:r w:rsidR="00233D13">
              <w:rPr>
                <w:rFonts w:ascii="Arial Narrow" w:hAnsi="Arial Narrow" w:cs="Arial"/>
                <w:sz w:val="20"/>
                <w:szCs w:val="20"/>
              </w:rPr>
              <w:fldChar w:fldCharType="separate"/>
            </w:r>
            <w:r w:rsidRPr="00F33674">
              <w:rPr>
                <w:rFonts w:ascii="Arial Narrow" w:hAnsi="Arial Narrow" w:cs="Arial"/>
                <w:sz w:val="20"/>
                <w:szCs w:val="20"/>
              </w:rPr>
              <w:fldChar w:fldCharType="end"/>
            </w:r>
            <w:r w:rsidRPr="00F33674">
              <w:rPr>
                <w:rFonts w:ascii="Arial Narrow" w:hAnsi="Arial Narrow" w:cs="Arial"/>
                <w:sz w:val="20"/>
                <w:szCs w:val="20"/>
              </w:rPr>
              <w:t>Medical Practitioners</w:t>
            </w:r>
            <w:r w:rsidR="002C1329">
              <w:rPr>
                <w:rFonts w:ascii="Arial Narrow" w:hAnsi="Arial Narrow" w:cs="Arial"/>
                <w:sz w:val="20"/>
                <w:szCs w:val="20"/>
              </w:rPr>
              <w:t xml:space="preserve"> </w:t>
            </w:r>
            <w:r w:rsidRPr="00F33674">
              <w:rPr>
                <w:rFonts w:ascii="Arial Narrow" w:hAnsi="Arial Narrow" w:cs="Arial"/>
                <w:sz w:val="20"/>
                <w:szCs w:val="20"/>
              </w:rPr>
              <w:fldChar w:fldCharType="begin">
                <w:ffData>
                  <w:name w:val=""/>
                  <w:enabled/>
                  <w:calcOnExit w:val="0"/>
                  <w:checkBox>
                    <w:sizeAuto/>
                    <w:default w:val="0"/>
                  </w:checkBox>
                </w:ffData>
              </w:fldChar>
            </w:r>
            <w:r w:rsidRPr="00F33674">
              <w:rPr>
                <w:rFonts w:ascii="Arial Narrow" w:hAnsi="Arial Narrow" w:cs="Arial"/>
                <w:sz w:val="20"/>
                <w:szCs w:val="20"/>
              </w:rPr>
              <w:instrText xml:space="preserve"> FORMCHECKBOX </w:instrText>
            </w:r>
            <w:r w:rsidR="00233D13">
              <w:rPr>
                <w:rFonts w:ascii="Arial Narrow" w:hAnsi="Arial Narrow" w:cs="Arial"/>
                <w:sz w:val="20"/>
                <w:szCs w:val="20"/>
              </w:rPr>
            </w:r>
            <w:r w:rsidR="00233D13">
              <w:rPr>
                <w:rFonts w:ascii="Arial Narrow" w:hAnsi="Arial Narrow" w:cs="Arial"/>
                <w:sz w:val="20"/>
                <w:szCs w:val="20"/>
              </w:rPr>
              <w:fldChar w:fldCharType="separate"/>
            </w:r>
            <w:r w:rsidRPr="00F33674">
              <w:rPr>
                <w:rFonts w:ascii="Arial Narrow" w:hAnsi="Arial Narrow" w:cs="Arial"/>
                <w:sz w:val="20"/>
                <w:szCs w:val="20"/>
              </w:rPr>
              <w:fldChar w:fldCharType="end"/>
            </w:r>
            <w:r w:rsidRPr="00F33674">
              <w:rPr>
                <w:rFonts w:ascii="Arial Narrow" w:hAnsi="Arial Narrow" w:cs="Arial"/>
                <w:sz w:val="20"/>
                <w:szCs w:val="20"/>
              </w:rPr>
              <w:t>Nurse practitioners</w:t>
            </w:r>
            <w:r w:rsidR="002C1329">
              <w:rPr>
                <w:rFonts w:ascii="Arial Narrow" w:hAnsi="Arial Narrow" w:cs="Arial"/>
                <w:sz w:val="20"/>
                <w:szCs w:val="20"/>
              </w:rPr>
              <w:t xml:space="preserve"> </w:t>
            </w:r>
            <w:r w:rsidRPr="00F33674">
              <w:rPr>
                <w:rFonts w:ascii="Arial Narrow" w:hAnsi="Arial Narrow" w:cs="Arial"/>
                <w:sz w:val="20"/>
                <w:szCs w:val="20"/>
              </w:rPr>
              <w:fldChar w:fldCharType="begin">
                <w:ffData>
                  <w:name w:val=""/>
                  <w:enabled/>
                  <w:calcOnExit w:val="0"/>
                  <w:checkBox>
                    <w:sizeAuto/>
                    <w:default w:val="0"/>
                  </w:checkBox>
                </w:ffData>
              </w:fldChar>
            </w:r>
            <w:r w:rsidRPr="00F33674">
              <w:rPr>
                <w:rFonts w:ascii="Arial Narrow" w:hAnsi="Arial Narrow" w:cs="Arial"/>
                <w:sz w:val="20"/>
                <w:szCs w:val="20"/>
              </w:rPr>
              <w:instrText xml:space="preserve"> FORMCHECKBOX </w:instrText>
            </w:r>
            <w:r w:rsidR="00233D13">
              <w:rPr>
                <w:rFonts w:ascii="Arial Narrow" w:hAnsi="Arial Narrow" w:cs="Arial"/>
                <w:sz w:val="20"/>
                <w:szCs w:val="20"/>
              </w:rPr>
            </w:r>
            <w:r w:rsidR="00233D13">
              <w:rPr>
                <w:rFonts w:ascii="Arial Narrow" w:hAnsi="Arial Narrow" w:cs="Arial"/>
                <w:sz w:val="20"/>
                <w:szCs w:val="20"/>
              </w:rPr>
              <w:fldChar w:fldCharType="separate"/>
            </w:r>
            <w:r w:rsidRPr="00F33674">
              <w:rPr>
                <w:rFonts w:ascii="Arial Narrow" w:hAnsi="Arial Narrow" w:cs="Arial"/>
                <w:sz w:val="20"/>
                <w:szCs w:val="20"/>
              </w:rPr>
              <w:fldChar w:fldCharType="end"/>
            </w:r>
            <w:r w:rsidRPr="00F33674">
              <w:rPr>
                <w:rFonts w:ascii="Arial Narrow" w:hAnsi="Arial Narrow" w:cs="Arial"/>
                <w:sz w:val="20"/>
                <w:szCs w:val="20"/>
              </w:rPr>
              <w:t>Optometrists</w:t>
            </w:r>
          </w:p>
          <w:p w14:paraId="0D6CAFF9" w14:textId="77777777" w:rsidR="00F33674" w:rsidRPr="00F33674" w:rsidRDefault="00F33674" w:rsidP="00F33674">
            <w:pPr>
              <w:rPr>
                <w:rFonts w:ascii="Arial Narrow" w:hAnsi="Arial Narrow" w:cs="Arial"/>
                <w:sz w:val="20"/>
                <w:szCs w:val="20"/>
              </w:rPr>
            </w:pPr>
            <w:r w:rsidRPr="00F33674">
              <w:rPr>
                <w:rFonts w:ascii="Arial Narrow" w:hAnsi="Arial Narrow" w:cs="Arial"/>
                <w:sz w:val="20"/>
                <w:szCs w:val="20"/>
              </w:rPr>
              <w:fldChar w:fldCharType="begin">
                <w:ffData>
                  <w:name w:val="Check5"/>
                  <w:enabled/>
                  <w:calcOnExit w:val="0"/>
                  <w:checkBox>
                    <w:sizeAuto/>
                    <w:default w:val="0"/>
                  </w:checkBox>
                </w:ffData>
              </w:fldChar>
            </w:r>
            <w:r w:rsidRPr="00F33674">
              <w:rPr>
                <w:rFonts w:ascii="Arial Narrow" w:hAnsi="Arial Narrow" w:cs="Arial"/>
                <w:sz w:val="20"/>
                <w:szCs w:val="20"/>
              </w:rPr>
              <w:instrText xml:space="preserve"> FORMCHECKBOX </w:instrText>
            </w:r>
            <w:r w:rsidR="00233D13">
              <w:rPr>
                <w:rFonts w:ascii="Arial Narrow" w:hAnsi="Arial Narrow" w:cs="Arial"/>
                <w:sz w:val="20"/>
                <w:szCs w:val="20"/>
              </w:rPr>
            </w:r>
            <w:r w:rsidR="00233D13">
              <w:rPr>
                <w:rFonts w:ascii="Arial Narrow" w:hAnsi="Arial Narrow" w:cs="Arial"/>
                <w:sz w:val="20"/>
                <w:szCs w:val="20"/>
              </w:rPr>
              <w:fldChar w:fldCharType="separate"/>
            </w:r>
            <w:r w:rsidRPr="00F33674">
              <w:rPr>
                <w:rFonts w:ascii="Arial Narrow" w:hAnsi="Arial Narrow" w:cs="Arial"/>
                <w:sz w:val="20"/>
                <w:szCs w:val="20"/>
              </w:rPr>
              <w:fldChar w:fldCharType="end"/>
            </w:r>
            <w:r w:rsidRPr="00F33674">
              <w:rPr>
                <w:rFonts w:ascii="Arial Narrow" w:hAnsi="Arial Narrow" w:cs="Arial"/>
                <w:sz w:val="20"/>
                <w:szCs w:val="20"/>
              </w:rPr>
              <w:t>Midwives</w:t>
            </w:r>
          </w:p>
        </w:tc>
      </w:tr>
      <w:tr w:rsidR="00F33674" w:rsidRPr="00F33674" w14:paraId="04EDAE70" w14:textId="77777777" w:rsidTr="00F33674">
        <w:trPr>
          <w:cantSplit/>
          <w:trHeight w:val="369"/>
        </w:trPr>
        <w:tc>
          <w:tcPr>
            <w:tcW w:w="2835" w:type="dxa"/>
            <w:tcBorders>
              <w:top w:val="single" w:sz="4" w:space="0" w:color="auto"/>
              <w:left w:val="single" w:sz="4" w:space="0" w:color="auto"/>
              <w:bottom w:val="single" w:sz="4" w:space="0" w:color="auto"/>
              <w:right w:val="single" w:sz="4" w:space="0" w:color="auto"/>
            </w:tcBorders>
          </w:tcPr>
          <w:p w14:paraId="44725CAC" w14:textId="77777777" w:rsidR="00F33674" w:rsidRPr="00F33674" w:rsidRDefault="00F33674" w:rsidP="00F33674">
            <w:pPr>
              <w:rPr>
                <w:rFonts w:ascii="Arial Narrow" w:hAnsi="Arial Narrow" w:cs="Arial"/>
                <w:b/>
                <w:sz w:val="20"/>
                <w:szCs w:val="20"/>
              </w:rPr>
            </w:pPr>
            <w:r w:rsidRPr="00F33674">
              <w:rPr>
                <w:rFonts w:ascii="Arial Narrow" w:hAnsi="Arial Narrow" w:cs="Arial"/>
                <w:b/>
                <w:sz w:val="20"/>
                <w:szCs w:val="20"/>
              </w:rPr>
              <w:t>PBS indication:</w:t>
            </w:r>
          </w:p>
        </w:tc>
        <w:tc>
          <w:tcPr>
            <w:tcW w:w="6379" w:type="dxa"/>
            <w:tcBorders>
              <w:top w:val="single" w:sz="4" w:space="0" w:color="auto"/>
              <w:left w:val="single" w:sz="4" w:space="0" w:color="auto"/>
              <w:bottom w:val="single" w:sz="4" w:space="0" w:color="auto"/>
              <w:right w:val="single" w:sz="4" w:space="0" w:color="auto"/>
            </w:tcBorders>
          </w:tcPr>
          <w:p w14:paraId="725A153D" w14:textId="77777777" w:rsidR="00F33674" w:rsidRPr="00F33674" w:rsidRDefault="00F33674" w:rsidP="00F33674">
            <w:pPr>
              <w:rPr>
                <w:rFonts w:ascii="Arial Narrow" w:hAnsi="Arial Narrow" w:cs="Arial"/>
                <w:sz w:val="20"/>
                <w:szCs w:val="20"/>
              </w:rPr>
            </w:pPr>
            <w:r w:rsidRPr="00F33674">
              <w:rPr>
                <w:rFonts w:ascii="Arial Narrow" w:hAnsi="Arial Narrow" w:cs="Arial"/>
                <w:sz w:val="20"/>
                <w:szCs w:val="20"/>
              </w:rPr>
              <w:t>[7861] Severe pain</w:t>
            </w:r>
          </w:p>
        </w:tc>
      </w:tr>
      <w:tr w:rsidR="00F33674" w:rsidRPr="00F33674" w14:paraId="59939900" w14:textId="77777777" w:rsidTr="00F33674">
        <w:trPr>
          <w:cantSplit/>
          <w:trHeight w:val="360"/>
        </w:trPr>
        <w:tc>
          <w:tcPr>
            <w:tcW w:w="2835" w:type="dxa"/>
            <w:tcBorders>
              <w:top w:val="single" w:sz="4" w:space="0" w:color="auto"/>
              <w:left w:val="single" w:sz="4" w:space="0" w:color="auto"/>
              <w:bottom w:val="single" w:sz="4" w:space="0" w:color="auto"/>
              <w:right w:val="single" w:sz="4" w:space="0" w:color="auto"/>
            </w:tcBorders>
          </w:tcPr>
          <w:p w14:paraId="2D49BA1B" w14:textId="77777777" w:rsidR="00F33674" w:rsidRPr="00F33674" w:rsidRDefault="00F33674" w:rsidP="00F33674">
            <w:pPr>
              <w:rPr>
                <w:rFonts w:ascii="Arial Narrow" w:hAnsi="Arial Narrow" w:cs="Arial"/>
                <w:b/>
                <w:sz w:val="20"/>
                <w:szCs w:val="20"/>
              </w:rPr>
            </w:pPr>
            <w:r w:rsidRPr="00F33674">
              <w:rPr>
                <w:rFonts w:ascii="Arial Narrow" w:hAnsi="Arial Narrow" w:cs="Arial"/>
                <w:b/>
                <w:sz w:val="20"/>
                <w:szCs w:val="20"/>
              </w:rPr>
              <w:t>Restriction Level / Method:</w:t>
            </w:r>
          </w:p>
          <w:p w14:paraId="0075793A" w14:textId="77777777" w:rsidR="00F33674" w:rsidRPr="00F33674" w:rsidRDefault="00F33674" w:rsidP="00F33674">
            <w:pPr>
              <w:rPr>
                <w:rFonts w:ascii="Arial Narrow" w:hAnsi="Arial Narrow" w:cs="Arial"/>
                <w:i/>
                <w:sz w:val="20"/>
                <w:szCs w:val="20"/>
              </w:rPr>
            </w:pPr>
          </w:p>
          <w:p w14:paraId="35B84A43" w14:textId="77777777" w:rsidR="00F33674" w:rsidRPr="00F33674" w:rsidRDefault="00F33674" w:rsidP="00F33674">
            <w:pPr>
              <w:rPr>
                <w:rFonts w:ascii="Arial Narrow" w:hAnsi="Arial Narrow" w:cs="Arial"/>
                <w:i/>
                <w:sz w:val="20"/>
                <w:szCs w:val="20"/>
              </w:rPr>
            </w:pPr>
          </w:p>
          <w:p w14:paraId="7A05BBE9" w14:textId="77777777" w:rsidR="00F33674" w:rsidRPr="00F33674" w:rsidRDefault="00F33674" w:rsidP="00F33674">
            <w:pPr>
              <w:rPr>
                <w:rFonts w:ascii="Arial Narrow" w:hAnsi="Arial Narrow" w:cs="Arial"/>
                <w:i/>
                <w:sz w:val="20"/>
                <w:szCs w:val="20"/>
              </w:rPr>
            </w:pPr>
          </w:p>
        </w:tc>
        <w:tc>
          <w:tcPr>
            <w:tcW w:w="6379" w:type="dxa"/>
            <w:tcBorders>
              <w:top w:val="single" w:sz="4" w:space="0" w:color="auto"/>
              <w:left w:val="single" w:sz="4" w:space="0" w:color="auto"/>
              <w:bottom w:val="single" w:sz="4" w:space="0" w:color="auto"/>
              <w:right w:val="single" w:sz="4" w:space="0" w:color="auto"/>
            </w:tcBorders>
          </w:tcPr>
          <w:p w14:paraId="4906E190" w14:textId="77777777" w:rsidR="00F33674" w:rsidRPr="00F33674" w:rsidRDefault="00F33674" w:rsidP="00F33674">
            <w:pPr>
              <w:rPr>
                <w:rFonts w:ascii="Arial Narrow" w:hAnsi="Arial Narrow" w:cs="Arial"/>
                <w:sz w:val="20"/>
                <w:szCs w:val="20"/>
              </w:rPr>
            </w:pPr>
            <w:r w:rsidRPr="00F33674">
              <w:rPr>
                <w:rFonts w:ascii="Arial Narrow" w:hAnsi="Arial Narrow" w:cs="Arial"/>
                <w:sz w:val="20"/>
                <w:szCs w:val="20"/>
              </w:rPr>
              <w:fldChar w:fldCharType="begin">
                <w:ffData>
                  <w:name w:val=""/>
                  <w:enabled/>
                  <w:calcOnExit w:val="0"/>
                  <w:checkBox>
                    <w:sizeAuto/>
                    <w:default w:val="0"/>
                  </w:checkBox>
                </w:ffData>
              </w:fldChar>
            </w:r>
            <w:r w:rsidRPr="00F33674">
              <w:rPr>
                <w:rFonts w:ascii="Arial Narrow" w:hAnsi="Arial Narrow" w:cs="Arial"/>
                <w:sz w:val="20"/>
                <w:szCs w:val="20"/>
              </w:rPr>
              <w:instrText xml:space="preserve"> FORMCHECKBOX </w:instrText>
            </w:r>
            <w:r w:rsidR="00233D13">
              <w:rPr>
                <w:rFonts w:ascii="Arial Narrow" w:hAnsi="Arial Narrow" w:cs="Arial"/>
                <w:sz w:val="20"/>
                <w:szCs w:val="20"/>
              </w:rPr>
            </w:r>
            <w:r w:rsidR="00233D13">
              <w:rPr>
                <w:rFonts w:ascii="Arial Narrow" w:hAnsi="Arial Narrow" w:cs="Arial"/>
                <w:sz w:val="20"/>
                <w:szCs w:val="20"/>
              </w:rPr>
              <w:fldChar w:fldCharType="separate"/>
            </w:r>
            <w:r w:rsidRPr="00F33674">
              <w:rPr>
                <w:rFonts w:ascii="Arial Narrow" w:hAnsi="Arial Narrow" w:cs="Arial"/>
                <w:sz w:val="20"/>
                <w:szCs w:val="20"/>
              </w:rPr>
              <w:fldChar w:fldCharType="end"/>
            </w:r>
            <w:r w:rsidRPr="00F33674">
              <w:rPr>
                <w:rFonts w:ascii="Arial Narrow" w:hAnsi="Arial Narrow" w:cs="Arial"/>
                <w:sz w:val="20"/>
                <w:szCs w:val="20"/>
              </w:rPr>
              <w:t>Unrestricted benefit</w:t>
            </w:r>
          </w:p>
          <w:p w14:paraId="28083E56" w14:textId="77777777" w:rsidR="00F33674" w:rsidRPr="00F33674" w:rsidRDefault="00F33674" w:rsidP="00F33674">
            <w:pPr>
              <w:rPr>
                <w:rFonts w:ascii="Arial Narrow" w:hAnsi="Arial Narrow" w:cs="Arial"/>
                <w:i/>
                <w:sz w:val="20"/>
                <w:szCs w:val="20"/>
              </w:rPr>
            </w:pPr>
            <w:r w:rsidRPr="00F33674">
              <w:rPr>
                <w:rFonts w:ascii="Arial Narrow" w:hAnsi="Arial Narrow" w:cs="Arial"/>
                <w:i/>
                <w:sz w:val="20"/>
                <w:szCs w:val="20"/>
              </w:rPr>
              <w:fldChar w:fldCharType="begin">
                <w:ffData>
                  <w:name w:val="Check1"/>
                  <w:enabled/>
                  <w:calcOnExit w:val="0"/>
                  <w:checkBox>
                    <w:sizeAuto/>
                    <w:default w:val="1"/>
                  </w:checkBox>
                </w:ffData>
              </w:fldChar>
            </w:r>
            <w:r w:rsidRPr="00F33674">
              <w:rPr>
                <w:rFonts w:ascii="Arial Narrow" w:hAnsi="Arial Narrow" w:cs="Arial"/>
                <w:i/>
                <w:sz w:val="20"/>
                <w:szCs w:val="20"/>
              </w:rPr>
              <w:instrText xml:space="preserve"> FORMCHECKBOX </w:instrText>
            </w:r>
            <w:r w:rsidR="00233D13">
              <w:rPr>
                <w:rFonts w:ascii="Arial Narrow" w:hAnsi="Arial Narrow" w:cs="Arial"/>
                <w:i/>
                <w:sz w:val="20"/>
                <w:szCs w:val="20"/>
              </w:rPr>
            </w:r>
            <w:r w:rsidR="00233D13">
              <w:rPr>
                <w:rFonts w:ascii="Arial Narrow" w:hAnsi="Arial Narrow" w:cs="Arial"/>
                <w:i/>
                <w:sz w:val="20"/>
                <w:szCs w:val="20"/>
              </w:rPr>
              <w:fldChar w:fldCharType="separate"/>
            </w:r>
            <w:r w:rsidRPr="00F33674">
              <w:rPr>
                <w:rFonts w:ascii="Arial Narrow" w:hAnsi="Arial Narrow" w:cs="Arial"/>
                <w:i/>
                <w:sz w:val="20"/>
                <w:szCs w:val="20"/>
              </w:rPr>
              <w:fldChar w:fldCharType="end"/>
            </w:r>
            <w:r w:rsidRPr="00F33674">
              <w:rPr>
                <w:rFonts w:ascii="Arial Narrow" w:hAnsi="Arial Narrow" w:cs="Arial"/>
                <w:sz w:val="20"/>
                <w:szCs w:val="20"/>
              </w:rPr>
              <w:t>Restricted benefit</w:t>
            </w:r>
          </w:p>
          <w:p w14:paraId="5F4C27BB" w14:textId="77777777" w:rsidR="00F33674" w:rsidRPr="00F33674" w:rsidRDefault="00F33674" w:rsidP="00F33674">
            <w:pPr>
              <w:rPr>
                <w:rFonts w:ascii="Arial Narrow" w:hAnsi="Arial Narrow" w:cs="Arial"/>
                <w:sz w:val="20"/>
                <w:szCs w:val="20"/>
              </w:rPr>
            </w:pPr>
            <w:r w:rsidRPr="00F33674">
              <w:rPr>
                <w:rFonts w:ascii="Arial Narrow" w:hAnsi="Arial Narrow" w:cs="Arial"/>
                <w:sz w:val="20"/>
                <w:szCs w:val="20"/>
              </w:rPr>
              <w:fldChar w:fldCharType="begin">
                <w:ffData>
                  <w:name w:val=""/>
                  <w:enabled/>
                  <w:calcOnExit w:val="0"/>
                  <w:checkBox>
                    <w:sizeAuto/>
                    <w:default w:val="0"/>
                  </w:checkBox>
                </w:ffData>
              </w:fldChar>
            </w:r>
            <w:r w:rsidRPr="00F33674">
              <w:rPr>
                <w:rFonts w:ascii="Arial Narrow" w:hAnsi="Arial Narrow" w:cs="Arial"/>
                <w:sz w:val="20"/>
                <w:szCs w:val="20"/>
              </w:rPr>
              <w:instrText xml:space="preserve"> FORMCHECKBOX </w:instrText>
            </w:r>
            <w:r w:rsidR="00233D13">
              <w:rPr>
                <w:rFonts w:ascii="Arial Narrow" w:hAnsi="Arial Narrow" w:cs="Arial"/>
                <w:sz w:val="20"/>
                <w:szCs w:val="20"/>
              </w:rPr>
            </w:r>
            <w:r w:rsidR="00233D13">
              <w:rPr>
                <w:rFonts w:ascii="Arial Narrow" w:hAnsi="Arial Narrow" w:cs="Arial"/>
                <w:sz w:val="20"/>
                <w:szCs w:val="20"/>
              </w:rPr>
              <w:fldChar w:fldCharType="separate"/>
            </w:r>
            <w:r w:rsidRPr="00F33674">
              <w:rPr>
                <w:rFonts w:ascii="Arial Narrow" w:hAnsi="Arial Narrow" w:cs="Arial"/>
                <w:sz w:val="20"/>
                <w:szCs w:val="20"/>
              </w:rPr>
              <w:fldChar w:fldCharType="end"/>
            </w:r>
            <w:r w:rsidRPr="00F33674">
              <w:rPr>
                <w:rFonts w:ascii="Arial Narrow" w:hAnsi="Arial Narrow" w:cs="Arial"/>
                <w:sz w:val="20"/>
                <w:szCs w:val="20"/>
              </w:rPr>
              <w:t>Authority Required – In Writing</w:t>
            </w:r>
          </w:p>
          <w:p w14:paraId="079D1D82" w14:textId="77777777" w:rsidR="00F33674" w:rsidRPr="00F33674" w:rsidRDefault="00F33674" w:rsidP="00F33674">
            <w:pPr>
              <w:rPr>
                <w:rFonts w:ascii="Arial Narrow" w:hAnsi="Arial Narrow" w:cs="Arial"/>
                <w:sz w:val="20"/>
                <w:szCs w:val="20"/>
              </w:rPr>
            </w:pPr>
            <w:r w:rsidRPr="00F33674">
              <w:rPr>
                <w:rFonts w:ascii="Arial Narrow" w:hAnsi="Arial Narrow" w:cs="Arial"/>
                <w:sz w:val="20"/>
                <w:szCs w:val="20"/>
              </w:rPr>
              <w:fldChar w:fldCharType="begin">
                <w:ffData>
                  <w:name w:val="Check3"/>
                  <w:enabled/>
                  <w:calcOnExit w:val="0"/>
                  <w:checkBox>
                    <w:sizeAuto/>
                    <w:default w:val="0"/>
                  </w:checkBox>
                </w:ffData>
              </w:fldChar>
            </w:r>
            <w:r w:rsidRPr="00F33674">
              <w:rPr>
                <w:rFonts w:ascii="Arial Narrow" w:hAnsi="Arial Narrow" w:cs="Arial"/>
                <w:sz w:val="20"/>
                <w:szCs w:val="20"/>
              </w:rPr>
              <w:instrText xml:space="preserve"> FORMCHECKBOX </w:instrText>
            </w:r>
            <w:r w:rsidR="00233D13">
              <w:rPr>
                <w:rFonts w:ascii="Arial Narrow" w:hAnsi="Arial Narrow" w:cs="Arial"/>
                <w:sz w:val="20"/>
                <w:szCs w:val="20"/>
              </w:rPr>
            </w:r>
            <w:r w:rsidR="00233D13">
              <w:rPr>
                <w:rFonts w:ascii="Arial Narrow" w:hAnsi="Arial Narrow" w:cs="Arial"/>
                <w:sz w:val="20"/>
                <w:szCs w:val="20"/>
              </w:rPr>
              <w:fldChar w:fldCharType="separate"/>
            </w:r>
            <w:r w:rsidRPr="00F33674">
              <w:rPr>
                <w:rFonts w:ascii="Arial Narrow" w:hAnsi="Arial Narrow" w:cs="Arial"/>
                <w:sz w:val="20"/>
                <w:szCs w:val="20"/>
              </w:rPr>
              <w:fldChar w:fldCharType="end"/>
            </w:r>
            <w:r w:rsidRPr="00F33674">
              <w:rPr>
                <w:rFonts w:ascii="Arial Narrow" w:hAnsi="Arial Narrow" w:cs="Arial"/>
                <w:sz w:val="20"/>
                <w:szCs w:val="20"/>
              </w:rPr>
              <w:t>Authority Required – Telephone/Electronic/Emergency</w:t>
            </w:r>
          </w:p>
          <w:p w14:paraId="3181BF45" w14:textId="77777777" w:rsidR="00F33674" w:rsidRPr="00F33674" w:rsidRDefault="00F33674" w:rsidP="00F33674">
            <w:pPr>
              <w:rPr>
                <w:rFonts w:ascii="Arial Narrow" w:hAnsi="Arial Narrow" w:cs="Arial"/>
                <w:sz w:val="20"/>
                <w:szCs w:val="20"/>
              </w:rPr>
            </w:pPr>
            <w:r w:rsidRPr="00F33674">
              <w:rPr>
                <w:rFonts w:ascii="Arial Narrow" w:hAnsi="Arial Narrow" w:cs="Arial"/>
                <w:sz w:val="20"/>
                <w:szCs w:val="20"/>
              </w:rPr>
              <w:fldChar w:fldCharType="begin">
                <w:ffData>
                  <w:name w:val="Check5"/>
                  <w:enabled/>
                  <w:calcOnExit w:val="0"/>
                  <w:checkBox>
                    <w:sizeAuto/>
                    <w:default w:val="0"/>
                  </w:checkBox>
                </w:ffData>
              </w:fldChar>
            </w:r>
            <w:r w:rsidRPr="00F33674">
              <w:rPr>
                <w:rFonts w:ascii="Arial Narrow" w:hAnsi="Arial Narrow" w:cs="Arial"/>
                <w:sz w:val="20"/>
                <w:szCs w:val="20"/>
              </w:rPr>
              <w:instrText xml:space="preserve"> FORMCHECKBOX </w:instrText>
            </w:r>
            <w:r w:rsidR="00233D13">
              <w:rPr>
                <w:rFonts w:ascii="Arial Narrow" w:hAnsi="Arial Narrow" w:cs="Arial"/>
                <w:sz w:val="20"/>
                <w:szCs w:val="20"/>
              </w:rPr>
            </w:r>
            <w:r w:rsidR="00233D13">
              <w:rPr>
                <w:rFonts w:ascii="Arial Narrow" w:hAnsi="Arial Narrow" w:cs="Arial"/>
                <w:sz w:val="20"/>
                <w:szCs w:val="20"/>
              </w:rPr>
              <w:fldChar w:fldCharType="separate"/>
            </w:r>
            <w:r w:rsidRPr="00F33674">
              <w:rPr>
                <w:rFonts w:ascii="Arial Narrow" w:hAnsi="Arial Narrow" w:cs="Arial"/>
                <w:sz w:val="20"/>
                <w:szCs w:val="20"/>
              </w:rPr>
              <w:fldChar w:fldCharType="end"/>
            </w:r>
            <w:r w:rsidRPr="00F33674">
              <w:rPr>
                <w:rFonts w:ascii="Arial Narrow" w:hAnsi="Arial Narrow" w:cs="Arial"/>
                <w:sz w:val="20"/>
                <w:szCs w:val="20"/>
              </w:rPr>
              <w:t>Streamlined</w:t>
            </w:r>
          </w:p>
        </w:tc>
      </w:tr>
      <w:tr w:rsidR="00F33674" w:rsidRPr="00F33674" w14:paraId="1EB58576" w14:textId="77777777" w:rsidTr="00F33674">
        <w:trPr>
          <w:cantSplit/>
          <w:trHeight w:val="360"/>
        </w:trPr>
        <w:tc>
          <w:tcPr>
            <w:tcW w:w="2835" w:type="dxa"/>
            <w:tcBorders>
              <w:top w:val="single" w:sz="4" w:space="0" w:color="auto"/>
              <w:left w:val="single" w:sz="4" w:space="0" w:color="auto"/>
              <w:bottom w:val="single" w:sz="4" w:space="0" w:color="auto"/>
              <w:right w:val="single" w:sz="4" w:space="0" w:color="auto"/>
            </w:tcBorders>
          </w:tcPr>
          <w:p w14:paraId="0E61742A" w14:textId="77777777" w:rsidR="00F33674" w:rsidRPr="00F33674" w:rsidRDefault="00F33674" w:rsidP="00F33674">
            <w:pPr>
              <w:rPr>
                <w:rFonts w:ascii="Arial Narrow" w:hAnsi="Arial Narrow" w:cs="Arial"/>
                <w:b/>
                <w:sz w:val="20"/>
                <w:szCs w:val="20"/>
              </w:rPr>
            </w:pPr>
            <w:r w:rsidRPr="00F33674">
              <w:rPr>
                <w:rFonts w:ascii="Arial Narrow" w:hAnsi="Arial Narrow" w:cs="Arial"/>
                <w:b/>
                <w:sz w:val="20"/>
                <w:szCs w:val="20"/>
              </w:rPr>
              <w:t>Clinical criteria:</w:t>
            </w:r>
          </w:p>
        </w:tc>
        <w:tc>
          <w:tcPr>
            <w:tcW w:w="6379" w:type="dxa"/>
            <w:tcBorders>
              <w:top w:val="single" w:sz="4" w:space="0" w:color="auto"/>
              <w:left w:val="single" w:sz="4" w:space="0" w:color="auto"/>
              <w:bottom w:val="single" w:sz="4" w:space="0" w:color="auto"/>
              <w:right w:val="single" w:sz="4" w:space="0" w:color="auto"/>
            </w:tcBorders>
          </w:tcPr>
          <w:p w14:paraId="4BB21698" w14:textId="400D1B7F" w:rsidR="00F33674" w:rsidRPr="00F33674" w:rsidRDefault="00F33674" w:rsidP="00F33674">
            <w:pPr>
              <w:jc w:val="left"/>
              <w:rPr>
                <w:rFonts w:ascii="Arial Narrow" w:hAnsi="Arial Narrow" w:cs="Arial"/>
                <w:sz w:val="20"/>
                <w:szCs w:val="20"/>
              </w:rPr>
            </w:pPr>
            <w:r w:rsidRPr="00F33674">
              <w:rPr>
                <w:rFonts w:ascii="Arial Narrow" w:hAnsi="Arial Narrow" w:cs="Arial"/>
                <w:sz w:val="20"/>
                <w:szCs w:val="20"/>
              </w:rPr>
              <w:t>[new] Patient must have</w:t>
            </w:r>
            <w:r w:rsidR="003E5459">
              <w:rPr>
                <w:rFonts w:ascii="Arial Narrow" w:hAnsi="Arial Narrow" w:cs="Arial"/>
                <w:sz w:val="20"/>
                <w:szCs w:val="20"/>
              </w:rPr>
              <w:t xml:space="preserve"> had or would have</w:t>
            </w:r>
            <w:r w:rsidRPr="00F33674">
              <w:rPr>
                <w:rFonts w:ascii="Arial Narrow" w:hAnsi="Arial Narrow" w:cs="Arial"/>
                <w:sz w:val="20"/>
                <w:szCs w:val="20"/>
              </w:rPr>
              <w:t xml:space="preserve"> inadequate </w:t>
            </w:r>
            <w:r w:rsidR="003E5459">
              <w:rPr>
                <w:rFonts w:ascii="Arial Narrow" w:hAnsi="Arial Narrow" w:cs="Arial"/>
                <w:sz w:val="20"/>
                <w:szCs w:val="20"/>
              </w:rPr>
              <w:t xml:space="preserve">pain </w:t>
            </w:r>
            <w:r w:rsidRPr="00F33674">
              <w:rPr>
                <w:rFonts w:ascii="Arial Narrow" w:hAnsi="Arial Narrow" w:cs="Arial"/>
                <w:sz w:val="20"/>
                <w:szCs w:val="20"/>
              </w:rPr>
              <w:t>management</w:t>
            </w:r>
            <w:r w:rsidR="003E5459">
              <w:rPr>
                <w:rFonts w:ascii="Arial Narrow" w:hAnsi="Arial Narrow" w:cs="Arial"/>
                <w:sz w:val="20"/>
                <w:szCs w:val="20"/>
              </w:rPr>
              <w:t xml:space="preserve"> with</w:t>
            </w:r>
            <w:r w:rsidRPr="00F33674">
              <w:rPr>
                <w:rFonts w:ascii="Arial Narrow" w:hAnsi="Arial Narrow" w:cs="Arial"/>
                <w:sz w:val="20"/>
                <w:szCs w:val="20"/>
              </w:rPr>
              <w:t xml:space="preserve"> maximum tolerated doses of non-opioid analgesics</w:t>
            </w:r>
          </w:p>
          <w:p w14:paraId="0A19ACEC" w14:textId="77777777" w:rsidR="00F33674" w:rsidRPr="00F33674" w:rsidRDefault="00F33674" w:rsidP="00F33674">
            <w:pPr>
              <w:jc w:val="left"/>
              <w:rPr>
                <w:rFonts w:ascii="Arial Narrow" w:hAnsi="Arial Narrow" w:cs="Arial"/>
                <w:sz w:val="20"/>
                <w:szCs w:val="20"/>
              </w:rPr>
            </w:pPr>
          </w:p>
          <w:p w14:paraId="160B9C33" w14:textId="77777777" w:rsidR="00F33674" w:rsidRPr="00F33674" w:rsidRDefault="00F33674" w:rsidP="00F33674">
            <w:pPr>
              <w:jc w:val="left"/>
              <w:rPr>
                <w:rFonts w:ascii="Arial Narrow" w:hAnsi="Arial Narrow" w:cs="Arial"/>
                <w:sz w:val="20"/>
                <w:szCs w:val="20"/>
              </w:rPr>
            </w:pPr>
            <w:r w:rsidRPr="00F33674">
              <w:rPr>
                <w:rFonts w:ascii="Arial Narrow" w:hAnsi="Arial Narrow" w:cs="Arial"/>
                <w:sz w:val="20"/>
                <w:szCs w:val="20"/>
              </w:rPr>
              <w:t>OR</w:t>
            </w:r>
          </w:p>
          <w:p w14:paraId="5674086C" w14:textId="77777777" w:rsidR="00F33674" w:rsidRPr="00F33674" w:rsidRDefault="00F33674" w:rsidP="00F33674">
            <w:pPr>
              <w:jc w:val="left"/>
              <w:rPr>
                <w:rFonts w:ascii="Arial Narrow" w:hAnsi="Arial Narrow" w:cs="Arial"/>
                <w:sz w:val="20"/>
                <w:szCs w:val="20"/>
              </w:rPr>
            </w:pPr>
          </w:p>
          <w:p w14:paraId="42F3D169" w14:textId="70186C84" w:rsidR="00F33674" w:rsidRPr="00F33674" w:rsidRDefault="00F33674">
            <w:pPr>
              <w:jc w:val="left"/>
              <w:rPr>
                <w:rFonts w:ascii="Arial Narrow" w:hAnsi="Arial Narrow" w:cs="Arial"/>
                <w:i/>
                <w:color w:val="FF0000"/>
                <w:sz w:val="20"/>
                <w:szCs w:val="20"/>
              </w:rPr>
            </w:pPr>
            <w:r w:rsidRPr="00F33674">
              <w:rPr>
                <w:rFonts w:ascii="Arial Narrow" w:hAnsi="Arial Narrow" w:cs="Arial"/>
                <w:sz w:val="20"/>
                <w:szCs w:val="20"/>
              </w:rPr>
              <w:t>[new] Patient must be unable to use non-opioid analgesics due to contraindications or intolerance.</w:t>
            </w:r>
          </w:p>
        </w:tc>
      </w:tr>
      <w:tr w:rsidR="00F33674" w:rsidRPr="00F33674" w14:paraId="2F08FDA6" w14:textId="77777777" w:rsidTr="00F33674">
        <w:trPr>
          <w:cantSplit/>
          <w:trHeight w:val="360"/>
        </w:trPr>
        <w:tc>
          <w:tcPr>
            <w:tcW w:w="2835" w:type="dxa"/>
            <w:tcBorders>
              <w:top w:val="single" w:sz="4" w:space="0" w:color="auto"/>
              <w:left w:val="single" w:sz="4" w:space="0" w:color="auto"/>
              <w:bottom w:val="single" w:sz="4" w:space="0" w:color="auto"/>
              <w:right w:val="single" w:sz="4" w:space="0" w:color="auto"/>
            </w:tcBorders>
          </w:tcPr>
          <w:p w14:paraId="34CDC1F4" w14:textId="77777777" w:rsidR="00F33674" w:rsidRPr="00F33674" w:rsidRDefault="00F33674" w:rsidP="00F33674">
            <w:pPr>
              <w:rPr>
                <w:rFonts w:ascii="Arial Narrow" w:hAnsi="Arial Narrow" w:cs="Arial"/>
                <w:b/>
                <w:sz w:val="20"/>
                <w:szCs w:val="20"/>
              </w:rPr>
            </w:pPr>
            <w:r w:rsidRPr="00F33674">
              <w:rPr>
                <w:rFonts w:ascii="Arial Narrow" w:hAnsi="Arial Narrow" w:cs="Arial"/>
                <w:b/>
                <w:sz w:val="20"/>
                <w:szCs w:val="20"/>
              </w:rPr>
              <w:t>Administrative advice:</w:t>
            </w:r>
          </w:p>
        </w:tc>
        <w:tc>
          <w:tcPr>
            <w:tcW w:w="6379" w:type="dxa"/>
            <w:tcBorders>
              <w:top w:val="single" w:sz="4" w:space="0" w:color="auto"/>
              <w:left w:val="single" w:sz="4" w:space="0" w:color="auto"/>
              <w:bottom w:val="single" w:sz="4" w:space="0" w:color="auto"/>
              <w:right w:val="single" w:sz="4" w:space="0" w:color="auto"/>
            </w:tcBorders>
          </w:tcPr>
          <w:p w14:paraId="54968F6C" w14:textId="77777777" w:rsidR="00F33674" w:rsidRPr="00F33674" w:rsidRDefault="00F33674" w:rsidP="00F33674">
            <w:pPr>
              <w:jc w:val="left"/>
              <w:rPr>
                <w:rFonts w:ascii="Arial Narrow" w:hAnsi="Arial Narrow" w:cs="Arial"/>
                <w:sz w:val="20"/>
                <w:szCs w:val="20"/>
              </w:rPr>
            </w:pPr>
            <w:r w:rsidRPr="00F33674">
              <w:rPr>
                <w:rFonts w:ascii="Arial Narrow" w:hAnsi="Arial Narrow" w:cs="Arial"/>
                <w:sz w:val="20"/>
                <w:szCs w:val="20"/>
              </w:rPr>
              <w:t xml:space="preserve">[13808] Prescribing of drugs of addiction by dentists </w:t>
            </w:r>
            <w:proofErr w:type="gramStart"/>
            <w:r w:rsidRPr="00F33674">
              <w:rPr>
                <w:rFonts w:ascii="Arial Narrow" w:hAnsi="Arial Narrow" w:cs="Arial"/>
                <w:sz w:val="20"/>
                <w:szCs w:val="20"/>
              </w:rPr>
              <w:t>is not permitted</w:t>
            </w:r>
            <w:proofErr w:type="gramEnd"/>
            <w:r w:rsidRPr="00F33674">
              <w:rPr>
                <w:rFonts w:ascii="Arial Narrow" w:hAnsi="Arial Narrow" w:cs="Arial"/>
                <w:sz w:val="20"/>
                <w:szCs w:val="20"/>
              </w:rPr>
              <w:t xml:space="preserve"> in some States/Territories.</w:t>
            </w:r>
          </w:p>
        </w:tc>
      </w:tr>
      <w:tr w:rsidR="00F33674" w:rsidRPr="00F33674" w14:paraId="3334943B" w14:textId="77777777" w:rsidTr="00F33674">
        <w:trPr>
          <w:cantSplit/>
          <w:trHeight w:val="360"/>
        </w:trPr>
        <w:tc>
          <w:tcPr>
            <w:tcW w:w="2835" w:type="dxa"/>
            <w:tcBorders>
              <w:top w:val="single" w:sz="4" w:space="0" w:color="auto"/>
              <w:left w:val="single" w:sz="4" w:space="0" w:color="auto"/>
              <w:bottom w:val="single" w:sz="4" w:space="0" w:color="auto"/>
              <w:right w:val="single" w:sz="4" w:space="0" w:color="auto"/>
            </w:tcBorders>
          </w:tcPr>
          <w:p w14:paraId="06F793DD" w14:textId="77777777" w:rsidR="00F33674" w:rsidRPr="00F33674" w:rsidRDefault="00F33674" w:rsidP="00F33674">
            <w:pPr>
              <w:rPr>
                <w:rFonts w:ascii="Arial Narrow" w:hAnsi="Arial Narrow" w:cs="Arial"/>
                <w:b/>
                <w:sz w:val="20"/>
                <w:szCs w:val="20"/>
              </w:rPr>
            </w:pPr>
            <w:r w:rsidRPr="00F33674">
              <w:rPr>
                <w:rFonts w:ascii="Arial Narrow" w:hAnsi="Arial Narrow" w:cs="Arial"/>
                <w:b/>
                <w:sz w:val="20"/>
                <w:szCs w:val="20"/>
              </w:rPr>
              <w:t>Cautions:</w:t>
            </w:r>
          </w:p>
        </w:tc>
        <w:tc>
          <w:tcPr>
            <w:tcW w:w="6379" w:type="dxa"/>
            <w:tcBorders>
              <w:top w:val="single" w:sz="4" w:space="0" w:color="auto"/>
              <w:left w:val="single" w:sz="4" w:space="0" w:color="auto"/>
              <w:bottom w:val="single" w:sz="4" w:space="0" w:color="auto"/>
              <w:right w:val="single" w:sz="4" w:space="0" w:color="auto"/>
            </w:tcBorders>
          </w:tcPr>
          <w:p w14:paraId="62F02E7E" w14:textId="77777777" w:rsidR="00F33674" w:rsidRPr="00F33674" w:rsidRDefault="00F33674" w:rsidP="00F33674">
            <w:pPr>
              <w:jc w:val="left"/>
              <w:rPr>
                <w:rFonts w:ascii="Arial Narrow" w:hAnsi="Arial Narrow" w:cs="Arial"/>
                <w:sz w:val="20"/>
                <w:szCs w:val="20"/>
              </w:rPr>
            </w:pPr>
            <w:r w:rsidRPr="00F33674">
              <w:rPr>
                <w:rFonts w:ascii="Arial Narrow" w:hAnsi="Arial Narrow" w:cs="Arial"/>
                <w:sz w:val="20"/>
                <w:szCs w:val="20"/>
              </w:rPr>
              <w:t>[6986] The risk of drug dependence is high.</w:t>
            </w:r>
          </w:p>
        </w:tc>
      </w:tr>
    </w:tbl>
    <w:p w14:paraId="45DE2B61" w14:textId="77777777" w:rsidR="00CB71CC" w:rsidRDefault="00CB71CC" w:rsidP="00CB71CC">
      <w:pPr>
        <w:pStyle w:val="3-BodyText"/>
        <w:numPr>
          <w:ilvl w:val="0"/>
          <w:numId w:val="0"/>
        </w:numPr>
        <w:ind w:left="720"/>
      </w:pPr>
    </w:p>
    <w:p w14:paraId="7B22C817" w14:textId="77777777" w:rsidR="00CB71CC" w:rsidRDefault="00CB71CC">
      <w:pPr>
        <w:jc w:val="left"/>
        <w:rPr>
          <w:rFonts w:asciiTheme="minorHAnsi" w:eastAsiaTheme="minorHAnsi" w:hAnsiTheme="minorHAnsi" w:cstheme="minorBidi"/>
          <w:szCs w:val="22"/>
        </w:rPr>
      </w:pPr>
      <w:r>
        <w:br w:type="page"/>
      </w:r>
    </w:p>
    <w:p w14:paraId="032769F6" w14:textId="773303B9" w:rsidR="00F33674" w:rsidRPr="00F33674" w:rsidRDefault="00F33674" w:rsidP="00F33674">
      <w:pPr>
        <w:pStyle w:val="3-BodyText"/>
      </w:pPr>
      <w:r w:rsidRPr="00F33674">
        <w:lastRenderedPageBreak/>
        <w:t>Amend item:</w:t>
      </w:r>
    </w:p>
    <w:p w14:paraId="1A18C3A2" w14:textId="77777777" w:rsidR="00F33674" w:rsidRPr="00F33674" w:rsidRDefault="00F33674" w:rsidP="00F33674">
      <w:pPr>
        <w:keepNext/>
        <w:keepLines/>
        <w:spacing w:before="40"/>
        <w:jc w:val="left"/>
        <w:outlineLvl w:val="2"/>
        <w:rPr>
          <w:rFonts w:asciiTheme="minorHAnsi" w:eastAsiaTheme="majorEastAsia" w:hAnsiTheme="minorHAnsi" w:cstheme="majorBidi"/>
          <w:b/>
          <w:color w:val="000000" w:themeColor="text1"/>
        </w:rPr>
      </w:pPr>
      <w:bookmarkStart w:id="16" w:name="_Toc32300582"/>
      <w:r w:rsidRPr="00F33674">
        <w:rPr>
          <w:rFonts w:asciiTheme="minorHAnsi" w:eastAsiaTheme="majorEastAsia" w:hAnsiTheme="minorHAnsi" w:cstheme="majorBidi"/>
          <w:b/>
          <w:color w:val="000000" w:themeColor="text1"/>
        </w:rPr>
        <w:t xml:space="preserve">Listing 4: Dentists’ restriction for short-term pain TGA indication in </w:t>
      </w:r>
      <w:proofErr w:type="gramStart"/>
      <w:r w:rsidRPr="00F33674">
        <w:rPr>
          <w:rFonts w:asciiTheme="minorHAnsi" w:eastAsiaTheme="majorEastAsia" w:hAnsiTheme="minorHAnsi" w:cstheme="majorBidi"/>
          <w:b/>
          <w:color w:val="000000" w:themeColor="text1"/>
        </w:rPr>
        <w:t>1st</w:t>
      </w:r>
      <w:proofErr w:type="gramEnd"/>
      <w:r w:rsidRPr="00F33674">
        <w:rPr>
          <w:rFonts w:asciiTheme="minorHAnsi" w:eastAsiaTheme="majorEastAsia" w:hAnsiTheme="minorHAnsi" w:cstheme="majorBidi"/>
          <w:b/>
          <w:color w:val="000000" w:themeColor="text1"/>
        </w:rPr>
        <w:t xml:space="preserve"> line opioid setting (oxycodone suppositories):</w:t>
      </w:r>
      <w:bookmarkEnd w:id="16"/>
    </w:p>
    <w:p w14:paraId="4315D959" w14:textId="77777777" w:rsidR="00F33674" w:rsidRPr="00F33674" w:rsidRDefault="00F33674" w:rsidP="00F33674">
      <w:pPr>
        <w:jc w:val="left"/>
      </w:pPr>
    </w:p>
    <w:tbl>
      <w:tblPr>
        <w:tblW w:w="9272" w:type="dxa"/>
        <w:tblLook w:val="04A0" w:firstRow="1" w:lastRow="0" w:firstColumn="1" w:lastColumn="0" w:noHBand="0" w:noVBand="1"/>
      </w:tblPr>
      <w:tblGrid>
        <w:gridCol w:w="1456"/>
        <w:gridCol w:w="691"/>
        <w:gridCol w:w="1776"/>
        <w:gridCol w:w="875"/>
        <w:gridCol w:w="554"/>
        <w:gridCol w:w="1794"/>
        <w:gridCol w:w="2126"/>
      </w:tblGrid>
      <w:tr w:rsidR="00F33674" w:rsidRPr="00F33674" w14:paraId="2C36B604" w14:textId="77777777" w:rsidTr="00F33674">
        <w:trPr>
          <w:trHeight w:val="300"/>
        </w:trPr>
        <w:tc>
          <w:tcPr>
            <w:tcW w:w="1456" w:type="dxa"/>
            <w:tcBorders>
              <w:bottom w:val="single" w:sz="4" w:space="0" w:color="auto"/>
            </w:tcBorders>
            <w:shd w:val="clear" w:color="auto" w:fill="auto"/>
            <w:noWrap/>
          </w:tcPr>
          <w:p w14:paraId="383FFE5A"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Arial"/>
                <w:sz w:val="20"/>
                <w:szCs w:val="20"/>
              </w:rPr>
              <w:t>LI Drug</w:t>
            </w:r>
          </w:p>
        </w:tc>
        <w:tc>
          <w:tcPr>
            <w:tcW w:w="691" w:type="dxa"/>
            <w:tcBorders>
              <w:bottom w:val="single" w:sz="4" w:space="0" w:color="auto"/>
            </w:tcBorders>
          </w:tcPr>
          <w:p w14:paraId="0A0DA66E"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Arial"/>
                <w:sz w:val="20"/>
                <w:szCs w:val="20"/>
              </w:rPr>
              <w:t>Item Code</w:t>
            </w:r>
          </w:p>
        </w:tc>
        <w:tc>
          <w:tcPr>
            <w:tcW w:w="1776" w:type="dxa"/>
            <w:tcBorders>
              <w:bottom w:val="single" w:sz="4" w:space="0" w:color="auto"/>
            </w:tcBorders>
            <w:shd w:val="clear" w:color="auto" w:fill="auto"/>
            <w:noWrap/>
          </w:tcPr>
          <w:p w14:paraId="48B6745F"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Arial"/>
                <w:sz w:val="20"/>
                <w:szCs w:val="20"/>
              </w:rPr>
              <w:t>Legal Instrument Form</w:t>
            </w:r>
          </w:p>
        </w:tc>
        <w:tc>
          <w:tcPr>
            <w:tcW w:w="875" w:type="dxa"/>
            <w:tcBorders>
              <w:bottom w:val="single" w:sz="4" w:space="0" w:color="auto"/>
            </w:tcBorders>
            <w:shd w:val="clear" w:color="auto" w:fill="auto"/>
            <w:noWrap/>
          </w:tcPr>
          <w:p w14:paraId="1A9B3303"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Arial"/>
                <w:sz w:val="20"/>
                <w:szCs w:val="20"/>
              </w:rPr>
              <w:t>Max. Qty</w:t>
            </w:r>
          </w:p>
        </w:tc>
        <w:tc>
          <w:tcPr>
            <w:tcW w:w="554" w:type="dxa"/>
            <w:tcBorders>
              <w:bottom w:val="single" w:sz="4" w:space="0" w:color="auto"/>
            </w:tcBorders>
            <w:shd w:val="clear" w:color="auto" w:fill="auto"/>
            <w:noWrap/>
          </w:tcPr>
          <w:p w14:paraId="4F00AD0A"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Arial"/>
                <w:sz w:val="20"/>
                <w:szCs w:val="20"/>
              </w:rPr>
              <w:t>No. Rpt</w:t>
            </w:r>
          </w:p>
        </w:tc>
        <w:tc>
          <w:tcPr>
            <w:tcW w:w="1794" w:type="dxa"/>
            <w:tcBorders>
              <w:bottom w:val="single" w:sz="4" w:space="0" w:color="auto"/>
            </w:tcBorders>
            <w:shd w:val="clear" w:color="auto" w:fill="auto"/>
            <w:noWrap/>
          </w:tcPr>
          <w:p w14:paraId="67FB4640"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Arial"/>
                <w:sz w:val="20"/>
                <w:szCs w:val="20"/>
              </w:rPr>
              <w:t>Brand Name</w:t>
            </w:r>
          </w:p>
        </w:tc>
        <w:tc>
          <w:tcPr>
            <w:tcW w:w="2126" w:type="dxa"/>
            <w:tcBorders>
              <w:bottom w:val="single" w:sz="4" w:space="0" w:color="auto"/>
            </w:tcBorders>
            <w:shd w:val="clear" w:color="auto" w:fill="auto"/>
            <w:noWrap/>
          </w:tcPr>
          <w:p w14:paraId="2DC2FB7D"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Arial"/>
                <w:sz w:val="20"/>
                <w:szCs w:val="20"/>
              </w:rPr>
              <w:t>Responsible Person</w:t>
            </w:r>
          </w:p>
        </w:tc>
      </w:tr>
      <w:tr w:rsidR="00F33674" w:rsidRPr="00F33674" w14:paraId="576282F5" w14:textId="77777777" w:rsidTr="00F33674">
        <w:trPr>
          <w:trHeight w:val="300"/>
        </w:trPr>
        <w:tc>
          <w:tcPr>
            <w:tcW w:w="1456" w:type="dxa"/>
            <w:tcBorders>
              <w:top w:val="single" w:sz="4" w:space="0" w:color="auto"/>
            </w:tcBorders>
            <w:shd w:val="clear" w:color="auto" w:fill="auto"/>
            <w:noWrap/>
          </w:tcPr>
          <w:p w14:paraId="49F1757E" w14:textId="77777777" w:rsidR="00F33674" w:rsidRPr="00F33674" w:rsidRDefault="00F33674" w:rsidP="00F33674">
            <w:pPr>
              <w:jc w:val="left"/>
              <w:rPr>
                <w:rFonts w:ascii="Arial Narrow" w:hAnsi="Arial Narrow" w:cs="Arial"/>
                <w:sz w:val="20"/>
                <w:szCs w:val="20"/>
              </w:rPr>
            </w:pPr>
            <w:r w:rsidRPr="00F33674">
              <w:rPr>
                <w:rFonts w:ascii="Arial Narrow" w:hAnsi="Arial Narrow" w:cs="Arial"/>
                <w:sz w:val="20"/>
                <w:szCs w:val="20"/>
              </w:rPr>
              <w:t>OXYCODONE</w:t>
            </w:r>
          </w:p>
        </w:tc>
        <w:tc>
          <w:tcPr>
            <w:tcW w:w="691" w:type="dxa"/>
            <w:tcBorders>
              <w:top w:val="single" w:sz="4" w:space="0" w:color="auto"/>
            </w:tcBorders>
          </w:tcPr>
          <w:p w14:paraId="4F354BE6" w14:textId="77777777" w:rsidR="00F33674" w:rsidRPr="00F33674" w:rsidRDefault="00F33674" w:rsidP="00F33674">
            <w:pPr>
              <w:jc w:val="left"/>
              <w:rPr>
                <w:rFonts w:ascii="Arial Narrow" w:hAnsi="Arial Narrow" w:cs="Arial"/>
                <w:sz w:val="20"/>
                <w:szCs w:val="20"/>
              </w:rPr>
            </w:pPr>
            <w:r w:rsidRPr="00F33674">
              <w:rPr>
                <w:rFonts w:ascii="Arial Narrow" w:hAnsi="Arial Narrow" w:cs="Arial"/>
                <w:sz w:val="20"/>
                <w:szCs w:val="20"/>
              </w:rPr>
              <w:t>5194J</w:t>
            </w:r>
          </w:p>
        </w:tc>
        <w:tc>
          <w:tcPr>
            <w:tcW w:w="1776" w:type="dxa"/>
            <w:tcBorders>
              <w:top w:val="single" w:sz="4" w:space="0" w:color="auto"/>
            </w:tcBorders>
            <w:shd w:val="clear" w:color="auto" w:fill="auto"/>
            <w:noWrap/>
          </w:tcPr>
          <w:p w14:paraId="4AAD8A53" w14:textId="77777777" w:rsidR="00F33674" w:rsidRPr="00F33674" w:rsidRDefault="00F33674" w:rsidP="00F33674">
            <w:pPr>
              <w:jc w:val="left"/>
              <w:rPr>
                <w:rFonts w:ascii="Arial Narrow" w:hAnsi="Arial Narrow" w:cs="Arial"/>
                <w:sz w:val="20"/>
                <w:szCs w:val="20"/>
              </w:rPr>
            </w:pPr>
            <w:r w:rsidRPr="00F33674">
              <w:rPr>
                <w:rFonts w:ascii="Arial Narrow" w:hAnsi="Arial Narrow" w:cs="Arial"/>
                <w:sz w:val="20"/>
                <w:szCs w:val="20"/>
              </w:rPr>
              <w:t>Suppository 30 mg (as pectinate)</w:t>
            </w:r>
          </w:p>
        </w:tc>
        <w:tc>
          <w:tcPr>
            <w:tcW w:w="875" w:type="dxa"/>
            <w:tcBorders>
              <w:top w:val="single" w:sz="4" w:space="0" w:color="auto"/>
            </w:tcBorders>
            <w:shd w:val="clear" w:color="auto" w:fill="auto"/>
            <w:noWrap/>
          </w:tcPr>
          <w:p w14:paraId="7EA06ED6" w14:textId="77777777" w:rsidR="00F33674" w:rsidRPr="00F33674" w:rsidRDefault="00F33674" w:rsidP="00F33674">
            <w:pPr>
              <w:jc w:val="left"/>
              <w:rPr>
                <w:rFonts w:ascii="Arial Narrow" w:hAnsi="Arial Narrow" w:cs="Arial"/>
                <w:sz w:val="20"/>
                <w:szCs w:val="20"/>
              </w:rPr>
            </w:pPr>
            <w:r w:rsidRPr="00F33674">
              <w:rPr>
                <w:rFonts w:ascii="Arial Narrow" w:hAnsi="Arial Narrow" w:cs="Arial"/>
                <w:sz w:val="20"/>
                <w:szCs w:val="20"/>
              </w:rPr>
              <w:t>12</w:t>
            </w:r>
          </w:p>
        </w:tc>
        <w:tc>
          <w:tcPr>
            <w:tcW w:w="554" w:type="dxa"/>
            <w:tcBorders>
              <w:top w:val="single" w:sz="4" w:space="0" w:color="auto"/>
            </w:tcBorders>
            <w:shd w:val="clear" w:color="auto" w:fill="auto"/>
            <w:noWrap/>
          </w:tcPr>
          <w:p w14:paraId="6BC8FC07" w14:textId="77777777" w:rsidR="00F33674" w:rsidRPr="00F33674" w:rsidRDefault="00F33674" w:rsidP="00F33674">
            <w:pPr>
              <w:jc w:val="left"/>
              <w:rPr>
                <w:rFonts w:ascii="Arial Narrow" w:hAnsi="Arial Narrow" w:cs="Arial"/>
                <w:sz w:val="20"/>
                <w:szCs w:val="20"/>
              </w:rPr>
            </w:pPr>
            <w:r w:rsidRPr="00F33674">
              <w:rPr>
                <w:rFonts w:ascii="Arial Narrow" w:hAnsi="Arial Narrow" w:cs="Arial"/>
                <w:sz w:val="20"/>
                <w:szCs w:val="20"/>
              </w:rPr>
              <w:t>0</w:t>
            </w:r>
          </w:p>
        </w:tc>
        <w:tc>
          <w:tcPr>
            <w:tcW w:w="1794" w:type="dxa"/>
            <w:tcBorders>
              <w:top w:val="single" w:sz="4" w:space="0" w:color="auto"/>
            </w:tcBorders>
            <w:shd w:val="clear" w:color="auto" w:fill="auto"/>
            <w:noWrap/>
          </w:tcPr>
          <w:p w14:paraId="18799527" w14:textId="77777777" w:rsidR="00F33674" w:rsidRPr="00F33674" w:rsidRDefault="00F33674" w:rsidP="00F33674">
            <w:pPr>
              <w:jc w:val="left"/>
              <w:rPr>
                <w:rFonts w:ascii="Arial Narrow" w:hAnsi="Arial Narrow" w:cs="Arial"/>
                <w:sz w:val="20"/>
                <w:szCs w:val="20"/>
              </w:rPr>
            </w:pPr>
            <w:r w:rsidRPr="00F33674">
              <w:rPr>
                <w:rFonts w:ascii="Arial Narrow" w:hAnsi="Arial Narrow" w:cs="Arial"/>
                <w:sz w:val="20"/>
                <w:szCs w:val="20"/>
              </w:rPr>
              <w:t>Proladone</w:t>
            </w:r>
          </w:p>
        </w:tc>
        <w:tc>
          <w:tcPr>
            <w:tcW w:w="2126" w:type="dxa"/>
            <w:tcBorders>
              <w:top w:val="single" w:sz="4" w:space="0" w:color="auto"/>
            </w:tcBorders>
            <w:shd w:val="clear" w:color="auto" w:fill="auto"/>
            <w:noWrap/>
          </w:tcPr>
          <w:p w14:paraId="0B5BAF58" w14:textId="77777777" w:rsidR="00F33674" w:rsidRPr="00F33674" w:rsidRDefault="00F33674" w:rsidP="00F33674">
            <w:pPr>
              <w:jc w:val="left"/>
              <w:rPr>
                <w:rFonts w:ascii="Arial Narrow" w:hAnsi="Arial Narrow" w:cs="Arial"/>
                <w:sz w:val="20"/>
                <w:szCs w:val="20"/>
              </w:rPr>
            </w:pPr>
            <w:r w:rsidRPr="00F33674">
              <w:rPr>
                <w:rFonts w:ascii="Arial Narrow" w:hAnsi="Arial Narrow" w:cs="Arial"/>
                <w:sz w:val="20"/>
                <w:szCs w:val="20"/>
              </w:rPr>
              <w:t>Phebra Pty Ltd</w:t>
            </w:r>
          </w:p>
        </w:tc>
      </w:tr>
    </w:tbl>
    <w:p w14:paraId="7946CF7C" w14:textId="77777777" w:rsidR="00F33674" w:rsidRPr="00F33674" w:rsidRDefault="00F33674" w:rsidP="00F33674">
      <w:pPr>
        <w:jc w:val="left"/>
      </w:pPr>
    </w:p>
    <w:tbl>
      <w:tblPr>
        <w:tblW w:w="9026" w:type="dxa"/>
        <w:tblCellMar>
          <w:left w:w="0" w:type="dxa"/>
          <w:right w:w="0" w:type="dxa"/>
        </w:tblCellMar>
        <w:tblLook w:val="04A0" w:firstRow="1" w:lastRow="0" w:firstColumn="1" w:lastColumn="0" w:noHBand="0" w:noVBand="1"/>
      </w:tblPr>
      <w:tblGrid>
        <w:gridCol w:w="65"/>
        <w:gridCol w:w="2762"/>
        <w:gridCol w:w="6199"/>
      </w:tblGrid>
      <w:tr w:rsidR="00F33674" w:rsidRPr="00F33674" w14:paraId="40B0F9EB" w14:textId="77777777" w:rsidTr="00F33674">
        <w:trPr>
          <w:cantSplit/>
          <w:trHeight w:val="360"/>
        </w:trPr>
        <w:tc>
          <w:tcPr>
            <w:tcW w:w="65" w:type="dxa"/>
            <w:vAlign w:val="center"/>
            <w:hideMark/>
          </w:tcPr>
          <w:p w14:paraId="2C92CA20" w14:textId="77777777" w:rsidR="00F33674" w:rsidRPr="00F33674" w:rsidRDefault="00F33674" w:rsidP="00F33674">
            <w:pPr>
              <w:jc w:val="left"/>
            </w:pPr>
            <w:r w:rsidRPr="00F33674">
              <w:t> </w:t>
            </w:r>
          </w:p>
        </w:tc>
        <w:tc>
          <w:tcPr>
            <w:tcW w:w="276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660EDB1" w14:textId="77777777" w:rsidR="00F33674" w:rsidRPr="00F33674" w:rsidRDefault="00F33674" w:rsidP="00F33674">
            <w:pPr>
              <w:rPr>
                <w:rFonts w:ascii="Arial Narrow" w:hAnsi="Arial Narrow"/>
                <w:b/>
                <w:bCs/>
                <w:sz w:val="20"/>
                <w:szCs w:val="20"/>
              </w:rPr>
            </w:pPr>
            <w:r w:rsidRPr="00F33674">
              <w:rPr>
                <w:rFonts w:ascii="Arial Narrow" w:hAnsi="Arial Narrow" w:cs="Arial"/>
                <w:b/>
                <w:sz w:val="20"/>
                <w:szCs w:val="20"/>
              </w:rPr>
              <w:t>Category / Program:</w:t>
            </w:r>
          </w:p>
        </w:tc>
        <w:tc>
          <w:tcPr>
            <w:tcW w:w="619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F8B5E65" w14:textId="77777777" w:rsidR="00F33674" w:rsidRPr="00F33674" w:rsidRDefault="00F33674" w:rsidP="00F33674">
            <w:pPr>
              <w:rPr>
                <w:rFonts w:ascii="Arial Narrow" w:hAnsi="Arial Narrow"/>
                <w:sz w:val="20"/>
                <w:szCs w:val="20"/>
              </w:rPr>
            </w:pPr>
            <w:r w:rsidRPr="00F33674">
              <w:rPr>
                <w:rFonts w:ascii="Arial Narrow" w:hAnsi="Arial Narrow" w:cs="Arial"/>
                <w:sz w:val="20"/>
                <w:szCs w:val="20"/>
              </w:rPr>
              <w:t>GENERAL – General Schedule (Code GE)</w:t>
            </w:r>
          </w:p>
        </w:tc>
      </w:tr>
      <w:tr w:rsidR="00F33674" w:rsidRPr="00F33674" w14:paraId="23E713D1" w14:textId="77777777" w:rsidTr="00F33674">
        <w:trPr>
          <w:cantSplit/>
          <w:trHeight w:val="360"/>
        </w:trPr>
        <w:tc>
          <w:tcPr>
            <w:tcW w:w="65" w:type="dxa"/>
            <w:vAlign w:val="center"/>
            <w:hideMark/>
          </w:tcPr>
          <w:p w14:paraId="6070932C" w14:textId="77777777" w:rsidR="00F33674" w:rsidRPr="00F33674" w:rsidRDefault="00F33674" w:rsidP="00F33674">
            <w:pPr>
              <w:jc w:val="left"/>
              <w:rPr>
                <w:sz w:val="22"/>
                <w:szCs w:val="22"/>
              </w:rPr>
            </w:pPr>
            <w:r w:rsidRPr="00F33674">
              <w:t> </w:t>
            </w:r>
          </w:p>
        </w:tc>
        <w:tc>
          <w:tcPr>
            <w:tcW w:w="276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9CAE0EA" w14:textId="77777777" w:rsidR="00F33674" w:rsidRPr="00F33674" w:rsidRDefault="00F33674" w:rsidP="00F33674">
            <w:pPr>
              <w:rPr>
                <w:rFonts w:ascii="Arial Narrow" w:hAnsi="Arial Narrow" w:cs="Arial"/>
                <w:b/>
                <w:sz w:val="20"/>
                <w:szCs w:val="20"/>
              </w:rPr>
            </w:pPr>
            <w:r w:rsidRPr="00F33674">
              <w:rPr>
                <w:rFonts w:ascii="Arial Narrow" w:hAnsi="Arial Narrow" w:cs="Arial"/>
                <w:b/>
                <w:sz w:val="20"/>
                <w:szCs w:val="20"/>
              </w:rPr>
              <w:t>Prescriber type:</w:t>
            </w:r>
          </w:p>
          <w:p w14:paraId="57235A5B" w14:textId="77777777" w:rsidR="00F33674" w:rsidRPr="00F33674" w:rsidRDefault="00F33674" w:rsidP="00F33674">
            <w:pPr>
              <w:rPr>
                <w:rFonts w:ascii="Arial Narrow" w:hAnsi="Arial Narrow"/>
                <w:b/>
                <w:bCs/>
                <w:sz w:val="20"/>
                <w:szCs w:val="20"/>
              </w:rPr>
            </w:pPr>
          </w:p>
        </w:tc>
        <w:tc>
          <w:tcPr>
            <w:tcW w:w="6199" w:type="dxa"/>
            <w:tcBorders>
              <w:top w:val="nil"/>
              <w:left w:val="nil"/>
              <w:bottom w:val="single" w:sz="8" w:space="0" w:color="auto"/>
              <w:right w:val="single" w:sz="8" w:space="0" w:color="auto"/>
            </w:tcBorders>
            <w:tcMar>
              <w:top w:w="0" w:type="dxa"/>
              <w:left w:w="108" w:type="dxa"/>
              <w:bottom w:w="0" w:type="dxa"/>
              <w:right w:w="108" w:type="dxa"/>
            </w:tcMar>
            <w:hideMark/>
          </w:tcPr>
          <w:p w14:paraId="024E3DBD" w14:textId="7BFC88F4" w:rsidR="00F33674" w:rsidRPr="00F33674" w:rsidRDefault="00F33674" w:rsidP="00F33674">
            <w:pPr>
              <w:rPr>
                <w:rFonts w:ascii="Arial Narrow" w:hAnsi="Arial Narrow" w:cs="Arial"/>
                <w:sz w:val="20"/>
                <w:szCs w:val="20"/>
              </w:rPr>
            </w:pPr>
            <w:r w:rsidRPr="00F33674">
              <w:rPr>
                <w:rFonts w:ascii="Arial Narrow" w:hAnsi="Arial Narrow" w:cs="Arial"/>
                <w:sz w:val="20"/>
                <w:szCs w:val="20"/>
              </w:rPr>
              <w:fldChar w:fldCharType="begin">
                <w:ffData>
                  <w:name w:val=""/>
                  <w:enabled/>
                  <w:calcOnExit w:val="0"/>
                  <w:checkBox>
                    <w:sizeAuto/>
                    <w:default w:val="1"/>
                  </w:checkBox>
                </w:ffData>
              </w:fldChar>
            </w:r>
            <w:r w:rsidRPr="00F33674">
              <w:rPr>
                <w:rFonts w:ascii="Arial Narrow" w:hAnsi="Arial Narrow" w:cs="Arial"/>
                <w:sz w:val="20"/>
                <w:szCs w:val="20"/>
              </w:rPr>
              <w:instrText xml:space="preserve"> FORMCHECKBOX </w:instrText>
            </w:r>
            <w:r w:rsidR="00233D13">
              <w:rPr>
                <w:rFonts w:ascii="Arial Narrow" w:hAnsi="Arial Narrow" w:cs="Arial"/>
                <w:sz w:val="20"/>
                <w:szCs w:val="20"/>
              </w:rPr>
            </w:r>
            <w:r w:rsidR="00233D13">
              <w:rPr>
                <w:rFonts w:ascii="Arial Narrow" w:hAnsi="Arial Narrow" w:cs="Arial"/>
                <w:sz w:val="20"/>
                <w:szCs w:val="20"/>
              </w:rPr>
              <w:fldChar w:fldCharType="separate"/>
            </w:r>
            <w:r w:rsidRPr="00F33674">
              <w:rPr>
                <w:rFonts w:ascii="Arial Narrow" w:hAnsi="Arial Narrow" w:cs="Arial"/>
                <w:sz w:val="20"/>
                <w:szCs w:val="20"/>
              </w:rPr>
              <w:fldChar w:fldCharType="end"/>
            </w:r>
            <w:r w:rsidRPr="00F33674">
              <w:rPr>
                <w:rFonts w:ascii="Arial Narrow" w:hAnsi="Arial Narrow" w:cs="Arial"/>
                <w:sz w:val="20"/>
                <w:szCs w:val="20"/>
              </w:rPr>
              <w:t>Dental</w:t>
            </w:r>
            <w:r w:rsidR="002C1329">
              <w:rPr>
                <w:rFonts w:ascii="Arial Narrow" w:hAnsi="Arial Narrow" w:cs="Arial"/>
                <w:sz w:val="20"/>
                <w:szCs w:val="20"/>
              </w:rPr>
              <w:t xml:space="preserve"> </w:t>
            </w:r>
            <w:r w:rsidRPr="00F33674">
              <w:rPr>
                <w:rFonts w:ascii="Arial Narrow" w:hAnsi="Arial Narrow" w:cs="Arial"/>
                <w:sz w:val="20"/>
                <w:szCs w:val="20"/>
              </w:rPr>
              <w:fldChar w:fldCharType="begin">
                <w:ffData>
                  <w:name w:val=""/>
                  <w:enabled/>
                  <w:calcOnExit w:val="0"/>
                  <w:checkBox>
                    <w:sizeAuto/>
                    <w:default w:val="0"/>
                  </w:checkBox>
                </w:ffData>
              </w:fldChar>
            </w:r>
            <w:r w:rsidRPr="00F33674">
              <w:rPr>
                <w:rFonts w:ascii="Arial Narrow" w:hAnsi="Arial Narrow" w:cs="Arial"/>
                <w:sz w:val="20"/>
                <w:szCs w:val="20"/>
              </w:rPr>
              <w:instrText xml:space="preserve"> FORMCHECKBOX </w:instrText>
            </w:r>
            <w:r w:rsidR="00233D13">
              <w:rPr>
                <w:rFonts w:ascii="Arial Narrow" w:hAnsi="Arial Narrow" w:cs="Arial"/>
                <w:sz w:val="20"/>
                <w:szCs w:val="20"/>
              </w:rPr>
            </w:r>
            <w:r w:rsidR="00233D13">
              <w:rPr>
                <w:rFonts w:ascii="Arial Narrow" w:hAnsi="Arial Narrow" w:cs="Arial"/>
                <w:sz w:val="20"/>
                <w:szCs w:val="20"/>
              </w:rPr>
              <w:fldChar w:fldCharType="separate"/>
            </w:r>
            <w:r w:rsidRPr="00F33674">
              <w:rPr>
                <w:rFonts w:ascii="Arial Narrow" w:hAnsi="Arial Narrow" w:cs="Arial"/>
                <w:sz w:val="20"/>
                <w:szCs w:val="20"/>
              </w:rPr>
              <w:fldChar w:fldCharType="end"/>
            </w:r>
            <w:r w:rsidRPr="00F33674">
              <w:rPr>
                <w:rFonts w:ascii="Arial Narrow" w:hAnsi="Arial Narrow" w:cs="Arial"/>
                <w:sz w:val="20"/>
                <w:szCs w:val="20"/>
              </w:rPr>
              <w:t>Medical Practitioners</w:t>
            </w:r>
            <w:r w:rsidR="002C1329">
              <w:rPr>
                <w:rFonts w:ascii="Arial Narrow" w:hAnsi="Arial Narrow" w:cs="Arial"/>
                <w:sz w:val="20"/>
                <w:szCs w:val="20"/>
              </w:rPr>
              <w:t xml:space="preserve"> </w:t>
            </w:r>
            <w:r w:rsidRPr="00F33674">
              <w:rPr>
                <w:rFonts w:ascii="Arial Narrow" w:hAnsi="Arial Narrow" w:cs="Arial"/>
                <w:sz w:val="20"/>
                <w:szCs w:val="20"/>
              </w:rPr>
              <w:fldChar w:fldCharType="begin">
                <w:ffData>
                  <w:name w:val=""/>
                  <w:enabled/>
                  <w:calcOnExit w:val="0"/>
                  <w:checkBox>
                    <w:sizeAuto/>
                    <w:default w:val="0"/>
                  </w:checkBox>
                </w:ffData>
              </w:fldChar>
            </w:r>
            <w:r w:rsidRPr="00F33674">
              <w:rPr>
                <w:rFonts w:ascii="Arial Narrow" w:hAnsi="Arial Narrow" w:cs="Arial"/>
                <w:sz w:val="20"/>
                <w:szCs w:val="20"/>
              </w:rPr>
              <w:instrText xml:space="preserve"> FORMCHECKBOX </w:instrText>
            </w:r>
            <w:r w:rsidR="00233D13">
              <w:rPr>
                <w:rFonts w:ascii="Arial Narrow" w:hAnsi="Arial Narrow" w:cs="Arial"/>
                <w:sz w:val="20"/>
                <w:szCs w:val="20"/>
              </w:rPr>
            </w:r>
            <w:r w:rsidR="00233D13">
              <w:rPr>
                <w:rFonts w:ascii="Arial Narrow" w:hAnsi="Arial Narrow" w:cs="Arial"/>
                <w:sz w:val="20"/>
                <w:szCs w:val="20"/>
              </w:rPr>
              <w:fldChar w:fldCharType="separate"/>
            </w:r>
            <w:r w:rsidRPr="00F33674">
              <w:rPr>
                <w:rFonts w:ascii="Arial Narrow" w:hAnsi="Arial Narrow" w:cs="Arial"/>
                <w:sz w:val="20"/>
                <w:szCs w:val="20"/>
              </w:rPr>
              <w:fldChar w:fldCharType="end"/>
            </w:r>
            <w:r w:rsidRPr="00F33674">
              <w:rPr>
                <w:rFonts w:ascii="Arial Narrow" w:hAnsi="Arial Narrow" w:cs="Arial"/>
                <w:sz w:val="20"/>
                <w:szCs w:val="20"/>
              </w:rPr>
              <w:t>Nurse practitioners</w:t>
            </w:r>
            <w:r w:rsidR="002C1329">
              <w:rPr>
                <w:rFonts w:ascii="Arial Narrow" w:hAnsi="Arial Narrow" w:cs="Arial"/>
                <w:sz w:val="20"/>
                <w:szCs w:val="20"/>
              </w:rPr>
              <w:t xml:space="preserve"> </w:t>
            </w:r>
            <w:r w:rsidRPr="00F33674">
              <w:rPr>
                <w:rFonts w:ascii="Arial Narrow" w:hAnsi="Arial Narrow" w:cs="Arial"/>
                <w:sz w:val="20"/>
                <w:szCs w:val="20"/>
              </w:rPr>
              <w:fldChar w:fldCharType="begin">
                <w:ffData>
                  <w:name w:val=""/>
                  <w:enabled/>
                  <w:calcOnExit w:val="0"/>
                  <w:checkBox>
                    <w:sizeAuto/>
                    <w:default w:val="0"/>
                  </w:checkBox>
                </w:ffData>
              </w:fldChar>
            </w:r>
            <w:r w:rsidRPr="00F33674">
              <w:rPr>
                <w:rFonts w:ascii="Arial Narrow" w:hAnsi="Arial Narrow" w:cs="Arial"/>
                <w:sz w:val="20"/>
                <w:szCs w:val="20"/>
              </w:rPr>
              <w:instrText xml:space="preserve"> FORMCHECKBOX </w:instrText>
            </w:r>
            <w:r w:rsidR="00233D13">
              <w:rPr>
                <w:rFonts w:ascii="Arial Narrow" w:hAnsi="Arial Narrow" w:cs="Arial"/>
                <w:sz w:val="20"/>
                <w:szCs w:val="20"/>
              </w:rPr>
            </w:r>
            <w:r w:rsidR="00233D13">
              <w:rPr>
                <w:rFonts w:ascii="Arial Narrow" w:hAnsi="Arial Narrow" w:cs="Arial"/>
                <w:sz w:val="20"/>
                <w:szCs w:val="20"/>
              </w:rPr>
              <w:fldChar w:fldCharType="separate"/>
            </w:r>
            <w:r w:rsidRPr="00F33674">
              <w:rPr>
                <w:rFonts w:ascii="Arial Narrow" w:hAnsi="Arial Narrow" w:cs="Arial"/>
                <w:sz w:val="20"/>
                <w:szCs w:val="20"/>
              </w:rPr>
              <w:fldChar w:fldCharType="end"/>
            </w:r>
            <w:r w:rsidRPr="00F33674">
              <w:rPr>
                <w:rFonts w:ascii="Arial Narrow" w:hAnsi="Arial Narrow" w:cs="Arial"/>
                <w:sz w:val="20"/>
                <w:szCs w:val="20"/>
              </w:rPr>
              <w:t>Optometrists</w:t>
            </w:r>
          </w:p>
          <w:p w14:paraId="0EA325A0" w14:textId="77777777" w:rsidR="00F33674" w:rsidRPr="00F33674" w:rsidRDefault="00F33674" w:rsidP="00F33674">
            <w:pPr>
              <w:rPr>
                <w:rFonts w:ascii="Arial Narrow" w:hAnsi="Arial Narrow"/>
                <w:sz w:val="20"/>
                <w:szCs w:val="20"/>
              </w:rPr>
            </w:pPr>
            <w:r w:rsidRPr="00F33674">
              <w:rPr>
                <w:rFonts w:ascii="Arial Narrow" w:hAnsi="Arial Narrow" w:cs="Arial"/>
                <w:sz w:val="20"/>
                <w:szCs w:val="20"/>
              </w:rPr>
              <w:fldChar w:fldCharType="begin">
                <w:ffData>
                  <w:name w:val="Check5"/>
                  <w:enabled/>
                  <w:calcOnExit w:val="0"/>
                  <w:checkBox>
                    <w:sizeAuto/>
                    <w:default w:val="0"/>
                  </w:checkBox>
                </w:ffData>
              </w:fldChar>
            </w:r>
            <w:r w:rsidRPr="00F33674">
              <w:rPr>
                <w:rFonts w:ascii="Arial Narrow" w:hAnsi="Arial Narrow" w:cs="Arial"/>
                <w:sz w:val="20"/>
                <w:szCs w:val="20"/>
              </w:rPr>
              <w:instrText xml:space="preserve"> FORMCHECKBOX </w:instrText>
            </w:r>
            <w:r w:rsidR="00233D13">
              <w:rPr>
                <w:rFonts w:ascii="Arial Narrow" w:hAnsi="Arial Narrow" w:cs="Arial"/>
                <w:sz w:val="20"/>
                <w:szCs w:val="20"/>
              </w:rPr>
            </w:r>
            <w:r w:rsidR="00233D13">
              <w:rPr>
                <w:rFonts w:ascii="Arial Narrow" w:hAnsi="Arial Narrow" w:cs="Arial"/>
                <w:sz w:val="20"/>
                <w:szCs w:val="20"/>
              </w:rPr>
              <w:fldChar w:fldCharType="separate"/>
            </w:r>
            <w:r w:rsidRPr="00F33674">
              <w:rPr>
                <w:rFonts w:ascii="Arial Narrow" w:hAnsi="Arial Narrow" w:cs="Arial"/>
                <w:sz w:val="20"/>
                <w:szCs w:val="20"/>
              </w:rPr>
              <w:fldChar w:fldCharType="end"/>
            </w:r>
            <w:r w:rsidRPr="00F33674">
              <w:rPr>
                <w:rFonts w:ascii="Arial Narrow" w:hAnsi="Arial Narrow" w:cs="Arial"/>
                <w:sz w:val="20"/>
                <w:szCs w:val="20"/>
              </w:rPr>
              <w:t>Midwives</w:t>
            </w:r>
          </w:p>
        </w:tc>
      </w:tr>
      <w:tr w:rsidR="00F33674" w:rsidRPr="00F33674" w14:paraId="379F499D" w14:textId="77777777" w:rsidTr="00F33674">
        <w:trPr>
          <w:cantSplit/>
          <w:trHeight w:val="369"/>
        </w:trPr>
        <w:tc>
          <w:tcPr>
            <w:tcW w:w="65" w:type="dxa"/>
            <w:vAlign w:val="center"/>
            <w:hideMark/>
          </w:tcPr>
          <w:p w14:paraId="72EFF53E" w14:textId="77777777" w:rsidR="00F33674" w:rsidRPr="00F33674" w:rsidRDefault="00F33674" w:rsidP="00F33674">
            <w:pPr>
              <w:jc w:val="left"/>
              <w:rPr>
                <w:sz w:val="22"/>
                <w:szCs w:val="22"/>
              </w:rPr>
            </w:pPr>
            <w:r w:rsidRPr="00F33674">
              <w:t> </w:t>
            </w:r>
          </w:p>
        </w:tc>
        <w:tc>
          <w:tcPr>
            <w:tcW w:w="276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AA02DD3" w14:textId="77777777" w:rsidR="00F33674" w:rsidRPr="00F33674" w:rsidRDefault="00F33674" w:rsidP="00F33674">
            <w:pPr>
              <w:rPr>
                <w:rFonts w:ascii="Arial Narrow" w:hAnsi="Arial Narrow"/>
                <w:b/>
                <w:bCs/>
                <w:sz w:val="20"/>
                <w:szCs w:val="20"/>
              </w:rPr>
            </w:pPr>
            <w:r w:rsidRPr="00F33674">
              <w:rPr>
                <w:rFonts w:ascii="Arial Narrow" w:hAnsi="Arial Narrow" w:cs="Arial"/>
                <w:b/>
                <w:sz w:val="20"/>
                <w:szCs w:val="20"/>
              </w:rPr>
              <w:t>PBS indication:</w:t>
            </w:r>
          </w:p>
        </w:tc>
        <w:tc>
          <w:tcPr>
            <w:tcW w:w="6199" w:type="dxa"/>
            <w:tcBorders>
              <w:top w:val="nil"/>
              <w:left w:val="nil"/>
              <w:bottom w:val="single" w:sz="8" w:space="0" w:color="auto"/>
              <w:right w:val="single" w:sz="8" w:space="0" w:color="auto"/>
            </w:tcBorders>
            <w:tcMar>
              <w:top w:w="0" w:type="dxa"/>
              <w:left w:w="108" w:type="dxa"/>
              <w:bottom w:w="0" w:type="dxa"/>
              <w:right w:w="108" w:type="dxa"/>
            </w:tcMar>
            <w:hideMark/>
          </w:tcPr>
          <w:p w14:paraId="6E0B03D7" w14:textId="77777777" w:rsidR="00F33674" w:rsidRPr="00F33674" w:rsidRDefault="00F33674" w:rsidP="00F33674">
            <w:pPr>
              <w:rPr>
                <w:rFonts w:ascii="Arial Narrow" w:hAnsi="Arial Narrow"/>
                <w:sz w:val="20"/>
                <w:szCs w:val="20"/>
              </w:rPr>
            </w:pPr>
            <w:r w:rsidRPr="00F33674">
              <w:rPr>
                <w:rFonts w:ascii="Arial Narrow" w:hAnsi="Arial Narrow" w:cs="Arial"/>
                <w:sz w:val="20"/>
                <w:szCs w:val="20"/>
              </w:rPr>
              <w:t>[7861] Severe pain</w:t>
            </w:r>
          </w:p>
        </w:tc>
      </w:tr>
      <w:tr w:rsidR="00F33674" w:rsidRPr="00F33674" w14:paraId="4FCF8776" w14:textId="77777777" w:rsidTr="00F33674">
        <w:trPr>
          <w:cantSplit/>
          <w:trHeight w:val="360"/>
        </w:trPr>
        <w:tc>
          <w:tcPr>
            <w:tcW w:w="65" w:type="dxa"/>
            <w:vAlign w:val="center"/>
            <w:hideMark/>
          </w:tcPr>
          <w:p w14:paraId="74D7E546" w14:textId="77777777" w:rsidR="00F33674" w:rsidRPr="00F33674" w:rsidRDefault="00F33674" w:rsidP="00F33674">
            <w:pPr>
              <w:jc w:val="left"/>
              <w:rPr>
                <w:sz w:val="22"/>
                <w:szCs w:val="22"/>
              </w:rPr>
            </w:pPr>
            <w:r w:rsidRPr="00F33674">
              <w:t> </w:t>
            </w:r>
          </w:p>
        </w:tc>
        <w:tc>
          <w:tcPr>
            <w:tcW w:w="276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9839516" w14:textId="77777777" w:rsidR="00F33674" w:rsidRPr="00F33674" w:rsidRDefault="00F33674" w:rsidP="00F33674">
            <w:pPr>
              <w:rPr>
                <w:rFonts w:ascii="Arial Narrow" w:hAnsi="Arial Narrow" w:cs="Arial"/>
                <w:b/>
                <w:sz w:val="20"/>
                <w:szCs w:val="20"/>
              </w:rPr>
            </w:pPr>
            <w:r w:rsidRPr="00F33674">
              <w:rPr>
                <w:rFonts w:ascii="Arial Narrow" w:hAnsi="Arial Narrow" w:cs="Arial"/>
                <w:b/>
                <w:sz w:val="20"/>
                <w:szCs w:val="20"/>
              </w:rPr>
              <w:t>Restriction Level / Method:</w:t>
            </w:r>
          </w:p>
          <w:p w14:paraId="67FB1AC5" w14:textId="77777777" w:rsidR="00F33674" w:rsidRPr="00F33674" w:rsidRDefault="00F33674" w:rsidP="00F33674">
            <w:pPr>
              <w:rPr>
                <w:rFonts w:ascii="Arial Narrow" w:hAnsi="Arial Narrow" w:cs="Arial"/>
                <w:i/>
                <w:sz w:val="20"/>
                <w:szCs w:val="20"/>
              </w:rPr>
            </w:pPr>
          </w:p>
          <w:p w14:paraId="273EF719" w14:textId="77777777" w:rsidR="00F33674" w:rsidRPr="00F33674" w:rsidRDefault="00F33674" w:rsidP="00F33674">
            <w:pPr>
              <w:rPr>
                <w:rFonts w:ascii="Arial Narrow" w:hAnsi="Arial Narrow" w:cs="Arial"/>
                <w:i/>
                <w:sz w:val="20"/>
                <w:szCs w:val="20"/>
              </w:rPr>
            </w:pPr>
          </w:p>
          <w:p w14:paraId="359A3367" w14:textId="77777777" w:rsidR="00F33674" w:rsidRPr="00F33674" w:rsidRDefault="00F33674" w:rsidP="00F33674">
            <w:pPr>
              <w:rPr>
                <w:rFonts w:ascii="Arial Narrow" w:hAnsi="Arial Narrow"/>
                <w:i/>
                <w:iCs/>
                <w:sz w:val="20"/>
                <w:szCs w:val="20"/>
              </w:rPr>
            </w:pPr>
          </w:p>
        </w:tc>
        <w:tc>
          <w:tcPr>
            <w:tcW w:w="6199" w:type="dxa"/>
            <w:tcBorders>
              <w:top w:val="nil"/>
              <w:left w:val="nil"/>
              <w:bottom w:val="single" w:sz="8" w:space="0" w:color="auto"/>
              <w:right w:val="single" w:sz="8" w:space="0" w:color="auto"/>
            </w:tcBorders>
            <w:tcMar>
              <w:top w:w="0" w:type="dxa"/>
              <w:left w:w="108" w:type="dxa"/>
              <w:bottom w:w="0" w:type="dxa"/>
              <w:right w:w="108" w:type="dxa"/>
            </w:tcMar>
            <w:hideMark/>
          </w:tcPr>
          <w:p w14:paraId="77B2CE88" w14:textId="77777777" w:rsidR="00F33674" w:rsidRPr="00F33674" w:rsidRDefault="00F33674" w:rsidP="00F33674">
            <w:pPr>
              <w:rPr>
                <w:rFonts w:ascii="Arial Narrow" w:hAnsi="Arial Narrow" w:cs="Arial"/>
                <w:sz w:val="20"/>
                <w:szCs w:val="20"/>
              </w:rPr>
            </w:pPr>
            <w:r w:rsidRPr="00F33674">
              <w:rPr>
                <w:rFonts w:ascii="Arial Narrow" w:hAnsi="Arial Narrow" w:cs="Arial"/>
                <w:sz w:val="20"/>
                <w:szCs w:val="20"/>
              </w:rPr>
              <w:fldChar w:fldCharType="begin">
                <w:ffData>
                  <w:name w:val=""/>
                  <w:enabled/>
                  <w:calcOnExit w:val="0"/>
                  <w:checkBox>
                    <w:sizeAuto/>
                    <w:default w:val="0"/>
                  </w:checkBox>
                </w:ffData>
              </w:fldChar>
            </w:r>
            <w:r w:rsidRPr="00F33674">
              <w:rPr>
                <w:rFonts w:ascii="Arial Narrow" w:hAnsi="Arial Narrow" w:cs="Arial"/>
                <w:sz w:val="20"/>
                <w:szCs w:val="20"/>
              </w:rPr>
              <w:instrText xml:space="preserve"> FORMCHECKBOX </w:instrText>
            </w:r>
            <w:r w:rsidR="00233D13">
              <w:rPr>
                <w:rFonts w:ascii="Arial Narrow" w:hAnsi="Arial Narrow" w:cs="Arial"/>
                <w:sz w:val="20"/>
                <w:szCs w:val="20"/>
              </w:rPr>
            </w:r>
            <w:r w:rsidR="00233D13">
              <w:rPr>
                <w:rFonts w:ascii="Arial Narrow" w:hAnsi="Arial Narrow" w:cs="Arial"/>
                <w:sz w:val="20"/>
                <w:szCs w:val="20"/>
              </w:rPr>
              <w:fldChar w:fldCharType="separate"/>
            </w:r>
            <w:r w:rsidRPr="00F33674">
              <w:rPr>
                <w:rFonts w:ascii="Arial Narrow" w:hAnsi="Arial Narrow" w:cs="Arial"/>
                <w:sz w:val="20"/>
                <w:szCs w:val="20"/>
              </w:rPr>
              <w:fldChar w:fldCharType="end"/>
            </w:r>
            <w:r w:rsidRPr="00F33674">
              <w:rPr>
                <w:rFonts w:ascii="Arial Narrow" w:hAnsi="Arial Narrow" w:cs="Arial"/>
                <w:sz w:val="20"/>
                <w:szCs w:val="20"/>
              </w:rPr>
              <w:t>Unrestricted benefit</w:t>
            </w:r>
          </w:p>
          <w:p w14:paraId="21AA28A0" w14:textId="77777777" w:rsidR="00F33674" w:rsidRPr="00F33674" w:rsidRDefault="00F33674" w:rsidP="00F33674">
            <w:pPr>
              <w:rPr>
                <w:rFonts w:ascii="Arial Narrow" w:hAnsi="Arial Narrow" w:cs="Arial"/>
                <w:i/>
                <w:sz w:val="20"/>
                <w:szCs w:val="20"/>
              </w:rPr>
            </w:pPr>
            <w:r w:rsidRPr="00F33674">
              <w:rPr>
                <w:rFonts w:ascii="Arial Narrow" w:hAnsi="Arial Narrow" w:cs="Arial"/>
                <w:i/>
                <w:sz w:val="20"/>
                <w:szCs w:val="20"/>
              </w:rPr>
              <w:fldChar w:fldCharType="begin">
                <w:ffData>
                  <w:name w:val="Check1"/>
                  <w:enabled/>
                  <w:calcOnExit w:val="0"/>
                  <w:checkBox>
                    <w:sizeAuto/>
                    <w:default w:val="1"/>
                  </w:checkBox>
                </w:ffData>
              </w:fldChar>
            </w:r>
            <w:r w:rsidRPr="00F33674">
              <w:rPr>
                <w:rFonts w:ascii="Arial Narrow" w:hAnsi="Arial Narrow" w:cs="Arial"/>
                <w:i/>
                <w:sz w:val="20"/>
                <w:szCs w:val="20"/>
              </w:rPr>
              <w:instrText xml:space="preserve"> FORMCHECKBOX </w:instrText>
            </w:r>
            <w:r w:rsidR="00233D13">
              <w:rPr>
                <w:rFonts w:ascii="Arial Narrow" w:hAnsi="Arial Narrow" w:cs="Arial"/>
                <w:i/>
                <w:sz w:val="20"/>
                <w:szCs w:val="20"/>
              </w:rPr>
            </w:r>
            <w:r w:rsidR="00233D13">
              <w:rPr>
                <w:rFonts w:ascii="Arial Narrow" w:hAnsi="Arial Narrow" w:cs="Arial"/>
                <w:i/>
                <w:sz w:val="20"/>
                <w:szCs w:val="20"/>
              </w:rPr>
              <w:fldChar w:fldCharType="separate"/>
            </w:r>
            <w:r w:rsidRPr="00F33674">
              <w:rPr>
                <w:rFonts w:ascii="Arial Narrow" w:hAnsi="Arial Narrow" w:cs="Arial"/>
                <w:i/>
                <w:sz w:val="20"/>
                <w:szCs w:val="20"/>
              </w:rPr>
              <w:fldChar w:fldCharType="end"/>
            </w:r>
            <w:r w:rsidRPr="00F33674">
              <w:rPr>
                <w:rFonts w:ascii="Arial Narrow" w:hAnsi="Arial Narrow" w:cs="Arial"/>
                <w:sz w:val="20"/>
                <w:szCs w:val="20"/>
              </w:rPr>
              <w:t>Restricted benefit</w:t>
            </w:r>
          </w:p>
          <w:p w14:paraId="17E54749" w14:textId="77777777" w:rsidR="00F33674" w:rsidRPr="00F33674" w:rsidRDefault="00F33674" w:rsidP="00F33674">
            <w:pPr>
              <w:rPr>
                <w:rFonts w:ascii="Arial Narrow" w:hAnsi="Arial Narrow" w:cs="Arial"/>
                <w:sz w:val="20"/>
                <w:szCs w:val="20"/>
              </w:rPr>
            </w:pPr>
            <w:r w:rsidRPr="00F33674">
              <w:rPr>
                <w:rFonts w:ascii="Arial Narrow" w:hAnsi="Arial Narrow" w:cs="Arial"/>
                <w:sz w:val="20"/>
                <w:szCs w:val="20"/>
              </w:rPr>
              <w:fldChar w:fldCharType="begin">
                <w:ffData>
                  <w:name w:val=""/>
                  <w:enabled/>
                  <w:calcOnExit w:val="0"/>
                  <w:checkBox>
                    <w:sizeAuto/>
                    <w:default w:val="0"/>
                  </w:checkBox>
                </w:ffData>
              </w:fldChar>
            </w:r>
            <w:r w:rsidRPr="00F33674">
              <w:rPr>
                <w:rFonts w:ascii="Arial Narrow" w:hAnsi="Arial Narrow" w:cs="Arial"/>
                <w:sz w:val="20"/>
                <w:szCs w:val="20"/>
              </w:rPr>
              <w:instrText xml:space="preserve"> FORMCHECKBOX </w:instrText>
            </w:r>
            <w:r w:rsidR="00233D13">
              <w:rPr>
                <w:rFonts w:ascii="Arial Narrow" w:hAnsi="Arial Narrow" w:cs="Arial"/>
                <w:sz w:val="20"/>
                <w:szCs w:val="20"/>
              </w:rPr>
            </w:r>
            <w:r w:rsidR="00233D13">
              <w:rPr>
                <w:rFonts w:ascii="Arial Narrow" w:hAnsi="Arial Narrow" w:cs="Arial"/>
                <w:sz w:val="20"/>
                <w:szCs w:val="20"/>
              </w:rPr>
              <w:fldChar w:fldCharType="separate"/>
            </w:r>
            <w:r w:rsidRPr="00F33674">
              <w:rPr>
                <w:rFonts w:ascii="Arial Narrow" w:hAnsi="Arial Narrow" w:cs="Arial"/>
                <w:sz w:val="20"/>
                <w:szCs w:val="20"/>
              </w:rPr>
              <w:fldChar w:fldCharType="end"/>
            </w:r>
            <w:r w:rsidRPr="00F33674">
              <w:rPr>
                <w:rFonts w:ascii="Arial Narrow" w:hAnsi="Arial Narrow" w:cs="Arial"/>
                <w:sz w:val="20"/>
                <w:szCs w:val="20"/>
              </w:rPr>
              <w:t>Authority Required – In Writing</w:t>
            </w:r>
          </w:p>
          <w:p w14:paraId="51EC8818" w14:textId="77777777" w:rsidR="00F33674" w:rsidRPr="00F33674" w:rsidRDefault="00F33674" w:rsidP="00F33674">
            <w:pPr>
              <w:rPr>
                <w:rFonts w:ascii="Arial Narrow" w:hAnsi="Arial Narrow" w:cs="Arial"/>
                <w:sz w:val="20"/>
                <w:szCs w:val="20"/>
              </w:rPr>
            </w:pPr>
            <w:r w:rsidRPr="00F33674">
              <w:rPr>
                <w:rFonts w:ascii="Arial Narrow" w:hAnsi="Arial Narrow" w:cs="Arial"/>
                <w:sz w:val="20"/>
                <w:szCs w:val="20"/>
              </w:rPr>
              <w:fldChar w:fldCharType="begin">
                <w:ffData>
                  <w:name w:val="Check3"/>
                  <w:enabled/>
                  <w:calcOnExit w:val="0"/>
                  <w:checkBox>
                    <w:sizeAuto/>
                    <w:default w:val="0"/>
                  </w:checkBox>
                </w:ffData>
              </w:fldChar>
            </w:r>
            <w:r w:rsidRPr="00F33674">
              <w:rPr>
                <w:rFonts w:ascii="Arial Narrow" w:hAnsi="Arial Narrow" w:cs="Arial"/>
                <w:sz w:val="20"/>
                <w:szCs w:val="20"/>
              </w:rPr>
              <w:instrText xml:space="preserve"> FORMCHECKBOX </w:instrText>
            </w:r>
            <w:r w:rsidR="00233D13">
              <w:rPr>
                <w:rFonts w:ascii="Arial Narrow" w:hAnsi="Arial Narrow" w:cs="Arial"/>
                <w:sz w:val="20"/>
                <w:szCs w:val="20"/>
              </w:rPr>
            </w:r>
            <w:r w:rsidR="00233D13">
              <w:rPr>
                <w:rFonts w:ascii="Arial Narrow" w:hAnsi="Arial Narrow" w:cs="Arial"/>
                <w:sz w:val="20"/>
                <w:szCs w:val="20"/>
              </w:rPr>
              <w:fldChar w:fldCharType="separate"/>
            </w:r>
            <w:r w:rsidRPr="00F33674">
              <w:rPr>
                <w:rFonts w:ascii="Arial Narrow" w:hAnsi="Arial Narrow" w:cs="Arial"/>
                <w:sz w:val="20"/>
                <w:szCs w:val="20"/>
              </w:rPr>
              <w:fldChar w:fldCharType="end"/>
            </w:r>
            <w:r w:rsidRPr="00F33674">
              <w:rPr>
                <w:rFonts w:ascii="Arial Narrow" w:hAnsi="Arial Narrow" w:cs="Arial"/>
                <w:sz w:val="20"/>
                <w:szCs w:val="20"/>
              </w:rPr>
              <w:t>Authority Required – Telephone/Electronic/Emergency</w:t>
            </w:r>
          </w:p>
          <w:p w14:paraId="7A2DF2FB" w14:textId="77777777" w:rsidR="00F33674" w:rsidRPr="00F33674" w:rsidRDefault="00F33674" w:rsidP="00F33674">
            <w:pPr>
              <w:rPr>
                <w:rFonts w:ascii="Arial Narrow" w:hAnsi="Arial Narrow"/>
                <w:sz w:val="20"/>
                <w:szCs w:val="20"/>
              </w:rPr>
            </w:pPr>
            <w:r w:rsidRPr="00F33674">
              <w:rPr>
                <w:rFonts w:ascii="Arial Narrow" w:hAnsi="Arial Narrow" w:cs="Arial"/>
                <w:sz w:val="20"/>
                <w:szCs w:val="20"/>
              </w:rPr>
              <w:fldChar w:fldCharType="begin">
                <w:ffData>
                  <w:name w:val="Check5"/>
                  <w:enabled/>
                  <w:calcOnExit w:val="0"/>
                  <w:checkBox>
                    <w:sizeAuto/>
                    <w:default w:val="0"/>
                  </w:checkBox>
                </w:ffData>
              </w:fldChar>
            </w:r>
            <w:r w:rsidRPr="00F33674">
              <w:rPr>
                <w:rFonts w:ascii="Arial Narrow" w:hAnsi="Arial Narrow" w:cs="Arial"/>
                <w:sz w:val="20"/>
                <w:szCs w:val="20"/>
              </w:rPr>
              <w:instrText xml:space="preserve"> FORMCHECKBOX </w:instrText>
            </w:r>
            <w:r w:rsidR="00233D13">
              <w:rPr>
                <w:rFonts w:ascii="Arial Narrow" w:hAnsi="Arial Narrow" w:cs="Arial"/>
                <w:sz w:val="20"/>
                <w:szCs w:val="20"/>
              </w:rPr>
            </w:r>
            <w:r w:rsidR="00233D13">
              <w:rPr>
                <w:rFonts w:ascii="Arial Narrow" w:hAnsi="Arial Narrow" w:cs="Arial"/>
                <w:sz w:val="20"/>
                <w:szCs w:val="20"/>
              </w:rPr>
              <w:fldChar w:fldCharType="separate"/>
            </w:r>
            <w:r w:rsidRPr="00F33674">
              <w:rPr>
                <w:rFonts w:ascii="Arial Narrow" w:hAnsi="Arial Narrow" w:cs="Arial"/>
                <w:sz w:val="20"/>
                <w:szCs w:val="20"/>
              </w:rPr>
              <w:fldChar w:fldCharType="end"/>
            </w:r>
            <w:r w:rsidRPr="00F33674">
              <w:rPr>
                <w:rFonts w:ascii="Arial Narrow" w:hAnsi="Arial Narrow" w:cs="Arial"/>
                <w:sz w:val="20"/>
                <w:szCs w:val="20"/>
              </w:rPr>
              <w:t>Streamlined</w:t>
            </w:r>
          </w:p>
        </w:tc>
      </w:tr>
      <w:tr w:rsidR="00F33674" w:rsidRPr="00F33674" w14:paraId="20883670" w14:textId="77777777" w:rsidTr="00F33674">
        <w:trPr>
          <w:cantSplit/>
          <w:trHeight w:val="360"/>
        </w:trPr>
        <w:tc>
          <w:tcPr>
            <w:tcW w:w="65" w:type="dxa"/>
            <w:vAlign w:val="center"/>
            <w:hideMark/>
          </w:tcPr>
          <w:p w14:paraId="678C9281" w14:textId="77777777" w:rsidR="00F33674" w:rsidRPr="00F33674" w:rsidRDefault="00F33674" w:rsidP="00F33674">
            <w:pPr>
              <w:jc w:val="left"/>
              <w:rPr>
                <w:sz w:val="22"/>
                <w:szCs w:val="22"/>
              </w:rPr>
            </w:pPr>
            <w:r w:rsidRPr="00F33674">
              <w:t> </w:t>
            </w:r>
          </w:p>
        </w:tc>
        <w:tc>
          <w:tcPr>
            <w:tcW w:w="276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6DD5A7F" w14:textId="77777777" w:rsidR="00F33674" w:rsidRPr="00F33674" w:rsidRDefault="00F33674" w:rsidP="00F33674">
            <w:pPr>
              <w:rPr>
                <w:rFonts w:ascii="Arial Narrow" w:hAnsi="Arial Narrow"/>
                <w:b/>
                <w:bCs/>
                <w:sz w:val="20"/>
                <w:szCs w:val="20"/>
              </w:rPr>
            </w:pPr>
            <w:r w:rsidRPr="00F33674">
              <w:rPr>
                <w:rFonts w:ascii="Arial Narrow" w:hAnsi="Arial Narrow" w:cs="Arial"/>
                <w:b/>
                <w:sz w:val="20"/>
                <w:szCs w:val="20"/>
              </w:rPr>
              <w:t>Clinical criteria:</w:t>
            </w:r>
          </w:p>
        </w:tc>
        <w:tc>
          <w:tcPr>
            <w:tcW w:w="6199" w:type="dxa"/>
            <w:tcBorders>
              <w:top w:val="nil"/>
              <w:left w:val="nil"/>
              <w:bottom w:val="single" w:sz="8" w:space="0" w:color="auto"/>
              <w:right w:val="single" w:sz="8" w:space="0" w:color="auto"/>
            </w:tcBorders>
            <w:tcMar>
              <w:top w:w="0" w:type="dxa"/>
              <w:left w:w="108" w:type="dxa"/>
              <w:bottom w:w="0" w:type="dxa"/>
              <w:right w:w="108" w:type="dxa"/>
            </w:tcMar>
          </w:tcPr>
          <w:p w14:paraId="44E588BD" w14:textId="77777777" w:rsidR="00F33674" w:rsidRPr="00F33674" w:rsidRDefault="00F33674" w:rsidP="00F33674">
            <w:pPr>
              <w:jc w:val="left"/>
              <w:rPr>
                <w:rFonts w:ascii="Arial Narrow" w:hAnsi="Arial Narrow" w:cs="Arial"/>
                <w:sz w:val="20"/>
                <w:szCs w:val="20"/>
              </w:rPr>
            </w:pPr>
            <w:r w:rsidRPr="00F33674">
              <w:rPr>
                <w:rFonts w:ascii="Arial Narrow" w:hAnsi="Arial Narrow" w:cs="Arial"/>
                <w:sz w:val="20"/>
                <w:szCs w:val="20"/>
              </w:rPr>
              <w:t>[new] Treatment must be for post-operative pain following a major operative procedure</w:t>
            </w:r>
          </w:p>
          <w:p w14:paraId="34BB82E4" w14:textId="77777777" w:rsidR="00F33674" w:rsidRPr="00F33674" w:rsidRDefault="00F33674" w:rsidP="00F33674">
            <w:pPr>
              <w:jc w:val="left"/>
              <w:rPr>
                <w:rFonts w:ascii="Arial Narrow" w:hAnsi="Arial Narrow" w:cs="Arial"/>
                <w:sz w:val="20"/>
                <w:szCs w:val="20"/>
              </w:rPr>
            </w:pPr>
          </w:p>
          <w:p w14:paraId="18994291" w14:textId="77777777" w:rsidR="00F33674" w:rsidRPr="00F33674" w:rsidRDefault="00F33674" w:rsidP="00F33674">
            <w:pPr>
              <w:jc w:val="left"/>
              <w:rPr>
                <w:rFonts w:ascii="Arial Narrow" w:hAnsi="Arial Narrow" w:cs="Arial"/>
                <w:sz w:val="20"/>
                <w:szCs w:val="20"/>
              </w:rPr>
            </w:pPr>
            <w:r w:rsidRPr="00F33674">
              <w:rPr>
                <w:rFonts w:ascii="Arial Narrow" w:hAnsi="Arial Narrow" w:cs="Arial"/>
                <w:sz w:val="20"/>
                <w:szCs w:val="20"/>
              </w:rPr>
              <w:t>AND</w:t>
            </w:r>
          </w:p>
          <w:p w14:paraId="4A9B7111" w14:textId="77777777" w:rsidR="00F33674" w:rsidRPr="00F33674" w:rsidRDefault="00F33674" w:rsidP="00F33674">
            <w:pPr>
              <w:jc w:val="left"/>
              <w:rPr>
                <w:rFonts w:ascii="Arial Narrow" w:hAnsi="Arial Narrow" w:cs="Arial"/>
                <w:sz w:val="20"/>
                <w:szCs w:val="20"/>
              </w:rPr>
            </w:pPr>
          </w:p>
          <w:p w14:paraId="484D8273" w14:textId="70A2BF57" w:rsidR="00F33674" w:rsidRPr="00F33674" w:rsidRDefault="00F33674" w:rsidP="00F33674">
            <w:pPr>
              <w:jc w:val="left"/>
              <w:rPr>
                <w:rFonts w:ascii="Arial Narrow" w:hAnsi="Arial Narrow" w:cs="Arial"/>
                <w:sz w:val="20"/>
                <w:szCs w:val="20"/>
              </w:rPr>
            </w:pPr>
            <w:r w:rsidRPr="00F33674">
              <w:rPr>
                <w:rFonts w:ascii="Arial Narrow" w:hAnsi="Arial Narrow" w:cs="Arial"/>
                <w:sz w:val="20"/>
                <w:szCs w:val="20"/>
              </w:rPr>
              <w:t>[new] Patient must have</w:t>
            </w:r>
            <w:r w:rsidR="003E5459">
              <w:rPr>
                <w:rFonts w:ascii="Arial Narrow" w:hAnsi="Arial Narrow" w:cs="Arial"/>
                <w:sz w:val="20"/>
                <w:szCs w:val="20"/>
              </w:rPr>
              <w:t xml:space="preserve"> had or would have</w:t>
            </w:r>
            <w:r w:rsidRPr="00F33674">
              <w:rPr>
                <w:rFonts w:ascii="Arial Narrow" w:hAnsi="Arial Narrow" w:cs="Arial"/>
                <w:sz w:val="20"/>
                <w:szCs w:val="20"/>
              </w:rPr>
              <w:t xml:space="preserve"> inadequate </w:t>
            </w:r>
            <w:r w:rsidR="003E5459">
              <w:rPr>
                <w:rFonts w:ascii="Arial Narrow" w:hAnsi="Arial Narrow" w:cs="Arial"/>
                <w:sz w:val="20"/>
                <w:szCs w:val="20"/>
              </w:rPr>
              <w:t xml:space="preserve">pain </w:t>
            </w:r>
            <w:r w:rsidRPr="00F33674">
              <w:rPr>
                <w:rFonts w:ascii="Arial Narrow" w:hAnsi="Arial Narrow" w:cs="Arial"/>
                <w:sz w:val="20"/>
                <w:szCs w:val="20"/>
              </w:rPr>
              <w:t>management</w:t>
            </w:r>
            <w:r w:rsidR="003E5459">
              <w:rPr>
                <w:rFonts w:ascii="Arial Narrow" w:hAnsi="Arial Narrow" w:cs="Arial"/>
                <w:sz w:val="20"/>
                <w:szCs w:val="20"/>
              </w:rPr>
              <w:t xml:space="preserve"> with</w:t>
            </w:r>
            <w:r w:rsidRPr="00F33674">
              <w:rPr>
                <w:rFonts w:ascii="Arial Narrow" w:hAnsi="Arial Narrow" w:cs="Arial"/>
                <w:sz w:val="20"/>
                <w:szCs w:val="20"/>
              </w:rPr>
              <w:t xml:space="preserve"> maximum tolerated doses of non-opioid analgesics</w:t>
            </w:r>
          </w:p>
          <w:p w14:paraId="6092577B" w14:textId="77777777" w:rsidR="00F33674" w:rsidRPr="00F33674" w:rsidRDefault="00F33674" w:rsidP="00F33674">
            <w:pPr>
              <w:jc w:val="left"/>
              <w:rPr>
                <w:rFonts w:ascii="Arial Narrow" w:hAnsi="Arial Narrow" w:cs="Arial"/>
                <w:sz w:val="20"/>
                <w:szCs w:val="20"/>
              </w:rPr>
            </w:pPr>
            <w:r w:rsidRPr="00F33674">
              <w:rPr>
                <w:rFonts w:ascii="Arial Narrow" w:hAnsi="Arial Narrow" w:cs="Arial"/>
                <w:sz w:val="20"/>
                <w:szCs w:val="20"/>
              </w:rPr>
              <w:t>OR</w:t>
            </w:r>
          </w:p>
          <w:p w14:paraId="68C31EF9" w14:textId="7B918A8F" w:rsidR="00F33674" w:rsidRPr="00F33674" w:rsidRDefault="00F33674">
            <w:pPr>
              <w:jc w:val="left"/>
              <w:rPr>
                <w:rFonts w:ascii="Arial Narrow" w:hAnsi="Arial Narrow"/>
                <w:i/>
                <w:iCs/>
                <w:color w:val="FF0000"/>
                <w:sz w:val="20"/>
                <w:szCs w:val="20"/>
              </w:rPr>
            </w:pPr>
            <w:r w:rsidRPr="00F33674">
              <w:rPr>
                <w:rFonts w:ascii="Arial Narrow" w:hAnsi="Arial Narrow" w:cs="Arial"/>
                <w:sz w:val="20"/>
                <w:szCs w:val="20"/>
              </w:rPr>
              <w:t>[new] Patient must be unable to use non-opioid analgesics due to contraindications or intolerance.</w:t>
            </w:r>
          </w:p>
        </w:tc>
      </w:tr>
      <w:tr w:rsidR="00F33674" w:rsidRPr="00F33674" w14:paraId="6B446790" w14:textId="77777777" w:rsidTr="00F33674">
        <w:trPr>
          <w:cantSplit/>
          <w:trHeight w:val="360"/>
        </w:trPr>
        <w:tc>
          <w:tcPr>
            <w:tcW w:w="65" w:type="dxa"/>
            <w:vAlign w:val="center"/>
            <w:hideMark/>
          </w:tcPr>
          <w:p w14:paraId="249D2375" w14:textId="77777777" w:rsidR="00F33674" w:rsidRPr="00F33674" w:rsidRDefault="00F33674" w:rsidP="00F33674">
            <w:pPr>
              <w:jc w:val="left"/>
              <w:rPr>
                <w:sz w:val="22"/>
                <w:szCs w:val="22"/>
              </w:rPr>
            </w:pPr>
            <w:r w:rsidRPr="00F33674">
              <w:t> </w:t>
            </w:r>
          </w:p>
        </w:tc>
        <w:tc>
          <w:tcPr>
            <w:tcW w:w="276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B65FEE5" w14:textId="77777777" w:rsidR="00F33674" w:rsidRPr="00F33674" w:rsidRDefault="00F33674" w:rsidP="00F33674">
            <w:pPr>
              <w:rPr>
                <w:rFonts w:ascii="Arial Narrow" w:hAnsi="Arial Narrow"/>
                <w:b/>
                <w:bCs/>
                <w:sz w:val="20"/>
                <w:szCs w:val="20"/>
              </w:rPr>
            </w:pPr>
            <w:r w:rsidRPr="00F33674">
              <w:rPr>
                <w:rFonts w:ascii="Arial Narrow" w:hAnsi="Arial Narrow"/>
                <w:b/>
                <w:bCs/>
                <w:sz w:val="20"/>
                <w:szCs w:val="20"/>
              </w:rPr>
              <w:t>Administrative advice:</w:t>
            </w:r>
          </w:p>
        </w:tc>
        <w:tc>
          <w:tcPr>
            <w:tcW w:w="6199" w:type="dxa"/>
            <w:tcBorders>
              <w:top w:val="nil"/>
              <w:left w:val="nil"/>
              <w:bottom w:val="single" w:sz="8" w:space="0" w:color="auto"/>
              <w:right w:val="single" w:sz="8" w:space="0" w:color="auto"/>
            </w:tcBorders>
            <w:tcMar>
              <w:top w:w="0" w:type="dxa"/>
              <w:left w:w="108" w:type="dxa"/>
              <w:bottom w:w="0" w:type="dxa"/>
              <w:right w:w="108" w:type="dxa"/>
            </w:tcMar>
            <w:hideMark/>
          </w:tcPr>
          <w:p w14:paraId="52F0644B" w14:textId="77777777" w:rsidR="00F33674" w:rsidRPr="00F33674" w:rsidRDefault="00F33674" w:rsidP="00F33674">
            <w:pPr>
              <w:jc w:val="left"/>
              <w:rPr>
                <w:rFonts w:ascii="Arial Narrow" w:hAnsi="Arial Narrow"/>
                <w:sz w:val="20"/>
                <w:szCs w:val="20"/>
              </w:rPr>
            </w:pPr>
            <w:r w:rsidRPr="00F33674">
              <w:rPr>
                <w:rFonts w:ascii="Arial Narrow" w:hAnsi="Arial Narrow"/>
                <w:sz w:val="20"/>
                <w:szCs w:val="20"/>
              </w:rPr>
              <w:t xml:space="preserve">[13808] Prescribing of drugs of addiction by dentists </w:t>
            </w:r>
            <w:proofErr w:type="gramStart"/>
            <w:r w:rsidRPr="00F33674">
              <w:rPr>
                <w:rFonts w:ascii="Arial Narrow" w:hAnsi="Arial Narrow"/>
                <w:sz w:val="20"/>
                <w:szCs w:val="20"/>
              </w:rPr>
              <w:t>is not permitted</w:t>
            </w:r>
            <w:proofErr w:type="gramEnd"/>
            <w:r w:rsidRPr="00F33674">
              <w:rPr>
                <w:rFonts w:ascii="Arial Narrow" w:hAnsi="Arial Narrow"/>
                <w:sz w:val="20"/>
                <w:szCs w:val="20"/>
              </w:rPr>
              <w:t xml:space="preserve"> in some States/Territories.</w:t>
            </w:r>
          </w:p>
        </w:tc>
      </w:tr>
      <w:tr w:rsidR="00F33674" w:rsidRPr="00F33674" w14:paraId="6EC47534" w14:textId="77777777" w:rsidTr="00F33674">
        <w:trPr>
          <w:cantSplit/>
          <w:trHeight w:val="360"/>
        </w:trPr>
        <w:tc>
          <w:tcPr>
            <w:tcW w:w="65" w:type="dxa"/>
            <w:vAlign w:val="center"/>
            <w:hideMark/>
          </w:tcPr>
          <w:p w14:paraId="3A45E2BE" w14:textId="77777777" w:rsidR="00F33674" w:rsidRPr="00F33674" w:rsidRDefault="00F33674" w:rsidP="00F33674">
            <w:pPr>
              <w:jc w:val="left"/>
              <w:rPr>
                <w:sz w:val="22"/>
                <w:szCs w:val="22"/>
              </w:rPr>
            </w:pPr>
            <w:r w:rsidRPr="00F33674">
              <w:t> </w:t>
            </w:r>
          </w:p>
        </w:tc>
        <w:tc>
          <w:tcPr>
            <w:tcW w:w="276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6186E5D" w14:textId="77777777" w:rsidR="00F33674" w:rsidRPr="00F33674" w:rsidRDefault="00F33674" w:rsidP="00F33674">
            <w:pPr>
              <w:rPr>
                <w:rFonts w:ascii="Arial Narrow" w:hAnsi="Arial Narrow"/>
                <w:b/>
                <w:bCs/>
                <w:sz w:val="20"/>
                <w:szCs w:val="20"/>
              </w:rPr>
            </w:pPr>
            <w:r w:rsidRPr="00F33674">
              <w:rPr>
                <w:rFonts w:ascii="Arial Narrow" w:hAnsi="Arial Narrow"/>
                <w:b/>
                <w:bCs/>
                <w:sz w:val="20"/>
                <w:szCs w:val="20"/>
              </w:rPr>
              <w:t>Cautions:</w:t>
            </w:r>
          </w:p>
        </w:tc>
        <w:tc>
          <w:tcPr>
            <w:tcW w:w="6199" w:type="dxa"/>
            <w:tcBorders>
              <w:top w:val="nil"/>
              <w:left w:val="nil"/>
              <w:bottom w:val="single" w:sz="8" w:space="0" w:color="auto"/>
              <w:right w:val="single" w:sz="8" w:space="0" w:color="auto"/>
            </w:tcBorders>
            <w:tcMar>
              <w:top w:w="0" w:type="dxa"/>
              <w:left w:w="108" w:type="dxa"/>
              <w:bottom w:w="0" w:type="dxa"/>
              <w:right w:w="108" w:type="dxa"/>
            </w:tcMar>
            <w:hideMark/>
          </w:tcPr>
          <w:p w14:paraId="124EA960" w14:textId="77777777" w:rsidR="00F33674" w:rsidRPr="00F33674" w:rsidRDefault="00F33674" w:rsidP="00F33674">
            <w:pPr>
              <w:jc w:val="left"/>
              <w:rPr>
                <w:rFonts w:ascii="Arial Narrow" w:hAnsi="Arial Narrow"/>
                <w:sz w:val="20"/>
                <w:szCs w:val="20"/>
              </w:rPr>
            </w:pPr>
            <w:r w:rsidRPr="00F33674">
              <w:rPr>
                <w:rFonts w:ascii="Arial Narrow" w:hAnsi="Arial Narrow"/>
                <w:sz w:val="20"/>
                <w:szCs w:val="20"/>
              </w:rPr>
              <w:t>[6986] The risk of drug dependence is high.</w:t>
            </w:r>
          </w:p>
        </w:tc>
      </w:tr>
    </w:tbl>
    <w:p w14:paraId="56310B95" w14:textId="77777777" w:rsidR="00CB71CC" w:rsidRDefault="00CB71CC" w:rsidP="00CB71CC">
      <w:pPr>
        <w:pStyle w:val="3-BodyText"/>
        <w:numPr>
          <w:ilvl w:val="0"/>
          <w:numId w:val="0"/>
        </w:numPr>
        <w:ind w:left="720"/>
      </w:pPr>
    </w:p>
    <w:p w14:paraId="49615412" w14:textId="77777777" w:rsidR="00CB71CC" w:rsidRDefault="00CB71CC">
      <w:pPr>
        <w:jc w:val="left"/>
        <w:rPr>
          <w:rFonts w:asciiTheme="minorHAnsi" w:eastAsiaTheme="minorHAnsi" w:hAnsiTheme="minorHAnsi" w:cstheme="minorBidi"/>
          <w:szCs w:val="22"/>
        </w:rPr>
      </w:pPr>
      <w:r>
        <w:br w:type="page"/>
      </w:r>
    </w:p>
    <w:p w14:paraId="01D147FA" w14:textId="329641A6" w:rsidR="00F33674" w:rsidRPr="00F33674" w:rsidRDefault="00F33674" w:rsidP="00F33674">
      <w:pPr>
        <w:pStyle w:val="3-BodyText"/>
      </w:pPr>
      <w:r w:rsidRPr="00F33674">
        <w:lastRenderedPageBreak/>
        <w:t>Add new items:</w:t>
      </w:r>
    </w:p>
    <w:p w14:paraId="54C2ED81" w14:textId="77777777" w:rsidR="00F33674" w:rsidRPr="00F33674" w:rsidRDefault="00F33674" w:rsidP="00F33674">
      <w:pPr>
        <w:keepNext/>
        <w:keepLines/>
        <w:spacing w:before="40"/>
        <w:jc w:val="left"/>
        <w:outlineLvl w:val="2"/>
        <w:rPr>
          <w:rFonts w:asciiTheme="minorHAnsi" w:eastAsiaTheme="majorEastAsia" w:hAnsiTheme="minorHAnsi" w:cstheme="majorBidi"/>
          <w:b/>
          <w:color w:val="000000" w:themeColor="text1"/>
        </w:rPr>
      </w:pPr>
      <w:bookmarkStart w:id="17" w:name="_Toc32300583"/>
      <w:r w:rsidRPr="00F33674">
        <w:rPr>
          <w:rFonts w:asciiTheme="minorHAnsi" w:eastAsiaTheme="majorEastAsia" w:hAnsiTheme="minorHAnsi" w:cstheme="majorBidi"/>
          <w:b/>
          <w:color w:val="000000" w:themeColor="text1"/>
        </w:rPr>
        <w:t>Listing 5: Restriction for codeine in the body system: RESPIRATORY SYSTEM &gt; COUGH AND COLD PREPARATIONS &gt; COUGH SUPPRESSANTS, EXCL. COMBINATIONS WITH EXPECTORANTS:</w:t>
      </w:r>
      <w:bookmarkEnd w:id="17"/>
    </w:p>
    <w:p w14:paraId="551E43BC" w14:textId="77777777" w:rsidR="00F33674" w:rsidRPr="00F33674" w:rsidRDefault="00F33674" w:rsidP="00F33674">
      <w:pPr>
        <w:jc w:val="left"/>
      </w:pPr>
    </w:p>
    <w:tbl>
      <w:tblPr>
        <w:tblW w:w="9877" w:type="dxa"/>
        <w:tblLook w:val="04A0" w:firstRow="1" w:lastRow="0" w:firstColumn="1" w:lastColumn="0" w:noHBand="0" w:noVBand="1"/>
      </w:tblPr>
      <w:tblGrid>
        <w:gridCol w:w="1456"/>
        <w:gridCol w:w="1381"/>
        <w:gridCol w:w="2079"/>
        <w:gridCol w:w="464"/>
        <w:gridCol w:w="446"/>
        <w:gridCol w:w="2350"/>
        <w:gridCol w:w="1701"/>
      </w:tblGrid>
      <w:tr w:rsidR="00F33674" w:rsidRPr="00F33674" w14:paraId="34BA88BC" w14:textId="77777777" w:rsidTr="00F33674">
        <w:trPr>
          <w:trHeight w:val="300"/>
        </w:trPr>
        <w:tc>
          <w:tcPr>
            <w:tcW w:w="1456" w:type="dxa"/>
            <w:tcBorders>
              <w:bottom w:val="single" w:sz="4" w:space="0" w:color="auto"/>
            </w:tcBorders>
            <w:shd w:val="clear" w:color="auto" w:fill="auto"/>
            <w:noWrap/>
            <w:hideMark/>
          </w:tcPr>
          <w:p w14:paraId="051953EC" w14:textId="77777777" w:rsidR="00F33674" w:rsidRPr="00F33674" w:rsidRDefault="00F33674" w:rsidP="00F33674">
            <w:pPr>
              <w:keepNext/>
              <w:ind w:left="-108"/>
              <w:rPr>
                <w:rFonts w:ascii="Arial Narrow" w:hAnsi="Arial Narrow" w:cs="Arial"/>
                <w:sz w:val="20"/>
                <w:szCs w:val="20"/>
              </w:rPr>
            </w:pPr>
            <w:r w:rsidRPr="00F33674">
              <w:rPr>
                <w:rFonts w:ascii="Arial Narrow" w:hAnsi="Arial Narrow" w:cs="Arial"/>
                <w:sz w:val="20"/>
                <w:szCs w:val="20"/>
              </w:rPr>
              <w:t>LI Drug</w:t>
            </w:r>
          </w:p>
        </w:tc>
        <w:tc>
          <w:tcPr>
            <w:tcW w:w="1381" w:type="dxa"/>
            <w:tcBorders>
              <w:bottom w:val="single" w:sz="4" w:space="0" w:color="auto"/>
            </w:tcBorders>
            <w:shd w:val="clear" w:color="auto" w:fill="auto"/>
          </w:tcPr>
          <w:p w14:paraId="37B5494B" w14:textId="77777777" w:rsidR="00F33674" w:rsidRPr="00F33674" w:rsidRDefault="00F33674" w:rsidP="00F33674">
            <w:pPr>
              <w:keepNext/>
              <w:ind w:left="-108"/>
              <w:rPr>
                <w:rFonts w:ascii="Arial Narrow" w:hAnsi="Arial Narrow" w:cs="Arial"/>
                <w:sz w:val="20"/>
                <w:szCs w:val="20"/>
              </w:rPr>
            </w:pPr>
            <w:r w:rsidRPr="00F33674">
              <w:rPr>
                <w:rFonts w:ascii="Arial Narrow" w:hAnsi="Arial Narrow" w:cs="Arial"/>
                <w:sz w:val="20"/>
                <w:szCs w:val="20"/>
              </w:rPr>
              <w:t>Existing Item Code</w:t>
            </w:r>
          </w:p>
        </w:tc>
        <w:tc>
          <w:tcPr>
            <w:tcW w:w="2079" w:type="dxa"/>
            <w:tcBorders>
              <w:bottom w:val="single" w:sz="4" w:space="0" w:color="auto"/>
            </w:tcBorders>
            <w:shd w:val="clear" w:color="auto" w:fill="auto"/>
            <w:noWrap/>
            <w:hideMark/>
          </w:tcPr>
          <w:p w14:paraId="40C9A3CE" w14:textId="77777777" w:rsidR="00F33674" w:rsidRPr="00F33674" w:rsidRDefault="00F33674" w:rsidP="00F33674">
            <w:pPr>
              <w:keepNext/>
              <w:ind w:left="-108"/>
              <w:rPr>
                <w:rFonts w:ascii="Arial Narrow" w:hAnsi="Arial Narrow" w:cs="Arial"/>
                <w:sz w:val="20"/>
                <w:szCs w:val="20"/>
              </w:rPr>
            </w:pPr>
            <w:r w:rsidRPr="00F33674">
              <w:rPr>
                <w:rFonts w:ascii="Arial Narrow" w:hAnsi="Arial Narrow" w:cs="Arial"/>
                <w:sz w:val="20"/>
                <w:szCs w:val="20"/>
              </w:rPr>
              <w:t>Legal Instrument Form</w:t>
            </w:r>
          </w:p>
        </w:tc>
        <w:tc>
          <w:tcPr>
            <w:tcW w:w="464" w:type="dxa"/>
            <w:tcBorders>
              <w:bottom w:val="single" w:sz="4" w:space="0" w:color="auto"/>
            </w:tcBorders>
            <w:shd w:val="clear" w:color="auto" w:fill="auto"/>
            <w:noWrap/>
            <w:hideMark/>
          </w:tcPr>
          <w:p w14:paraId="129DDC59" w14:textId="77777777" w:rsidR="00F33674" w:rsidRPr="00F33674" w:rsidRDefault="00F33674" w:rsidP="00F33674">
            <w:pPr>
              <w:keepNext/>
              <w:ind w:left="-108"/>
              <w:jc w:val="left"/>
              <w:rPr>
                <w:rFonts w:ascii="Arial Narrow" w:hAnsi="Arial Narrow" w:cs="Arial"/>
                <w:sz w:val="20"/>
                <w:szCs w:val="20"/>
              </w:rPr>
            </w:pPr>
            <w:r w:rsidRPr="00F33674">
              <w:rPr>
                <w:rFonts w:ascii="Arial Narrow" w:hAnsi="Arial Narrow" w:cs="Arial"/>
                <w:sz w:val="20"/>
                <w:szCs w:val="20"/>
              </w:rPr>
              <w:t>Max. Qty</w:t>
            </w:r>
          </w:p>
        </w:tc>
        <w:tc>
          <w:tcPr>
            <w:tcW w:w="446" w:type="dxa"/>
            <w:tcBorders>
              <w:bottom w:val="single" w:sz="4" w:space="0" w:color="auto"/>
            </w:tcBorders>
            <w:shd w:val="clear" w:color="auto" w:fill="auto"/>
            <w:noWrap/>
            <w:hideMark/>
          </w:tcPr>
          <w:p w14:paraId="4D1AF2E3" w14:textId="77777777" w:rsidR="00F33674" w:rsidRPr="00F33674" w:rsidRDefault="00F33674" w:rsidP="00F33674">
            <w:pPr>
              <w:keepNext/>
              <w:ind w:left="-108"/>
              <w:jc w:val="left"/>
              <w:rPr>
                <w:rFonts w:ascii="Arial Narrow" w:hAnsi="Arial Narrow" w:cs="Arial"/>
                <w:sz w:val="20"/>
                <w:szCs w:val="20"/>
              </w:rPr>
            </w:pPr>
            <w:r w:rsidRPr="00F33674">
              <w:rPr>
                <w:rFonts w:ascii="Arial Narrow" w:hAnsi="Arial Narrow" w:cs="Arial"/>
                <w:sz w:val="20"/>
                <w:szCs w:val="20"/>
              </w:rPr>
              <w:t>No. Rpt</w:t>
            </w:r>
          </w:p>
        </w:tc>
        <w:tc>
          <w:tcPr>
            <w:tcW w:w="2350" w:type="dxa"/>
            <w:tcBorders>
              <w:bottom w:val="single" w:sz="4" w:space="0" w:color="auto"/>
            </w:tcBorders>
            <w:shd w:val="clear" w:color="auto" w:fill="auto"/>
            <w:noWrap/>
            <w:hideMark/>
          </w:tcPr>
          <w:p w14:paraId="1DE4BCEB" w14:textId="77777777" w:rsidR="00F33674" w:rsidRPr="00F33674" w:rsidRDefault="00F33674" w:rsidP="00F33674">
            <w:pPr>
              <w:keepNext/>
              <w:ind w:left="-108"/>
              <w:rPr>
                <w:rFonts w:ascii="Arial Narrow" w:hAnsi="Arial Narrow" w:cs="Arial"/>
                <w:sz w:val="20"/>
                <w:szCs w:val="20"/>
              </w:rPr>
            </w:pPr>
            <w:r w:rsidRPr="00F33674">
              <w:rPr>
                <w:rFonts w:ascii="Arial Narrow" w:hAnsi="Arial Narrow" w:cs="Arial"/>
                <w:sz w:val="20"/>
                <w:szCs w:val="20"/>
              </w:rPr>
              <w:t>Brand Name</w:t>
            </w:r>
          </w:p>
        </w:tc>
        <w:tc>
          <w:tcPr>
            <w:tcW w:w="1701" w:type="dxa"/>
            <w:tcBorders>
              <w:bottom w:val="single" w:sz="4" w:space="0" w:color="auto"/>
            </w:tcBorders>
            <w:shd w:val="clear" w:color="auto" w:fill="auto"/>
            <w:noWrap/>
            <w:hideMark/>
          </w:tcPr>
          <w:p w14:paraId="6B303DAA" w14:textId="77777777" w:rsidR="00F33674" w:rsidRPr="00F33674" w:rsidRDefault="00F33674" w:rsidP="00F33674">
            <w:pPr>
              <w:keepNext/>
              <w:ind w:left="-108"/>
              <w:rPr>
                <w:rFonts w:ascii="Arial Narrow" w:hAnsi="Arial Narrow" w:cs="Arial"/>
                <w:sz w:val="20"/>
                <w:szCs w:val="20"/>
              </w:rPr>
            </w:pPr>
            <w:r w:rsidRPr="00F33674">
              <w:rPr>
                <w:rFonts w:ascii="Arial Narrow" w:hAnsi="Arial Narrow" w:cs="Arial"/>
                <w:sz w:val="20"/>
                <w:szCs w:val="20"/>
              </w:rPr>
              <w:t>Responsible Person</w:t>
            </w:r>
          </w:p>
        </w:tc>
      </w:tr>
      <w:tr w:rsidR="00F33674" w:rsidRPr="00F33674" w14:paraId="0517083B" w14:textId="77777777" w:rsidTr="00F33674">
        <w:trPr>
          <w:trHeight w:val="300"/>
        </w:trPr>
        <w:tc>
          <w:tcPr>
            <w:tcW w:w="1456" w:type="dxa"/>
            <w:tcBorders>
              <w:top w:val="single" w:sz="4" w:space="0" w:color="auto"/>
            </w:tcBorders>
            <w:shd w:val="clear" w:color="auto" w:fill="auto"/>
            <w:noWrap/>
            <w:hideMark/>
          </w:tcPr>
          <w:p w14:paraId="731C7660"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CODEINE</w:t>
            </w:r>
          </w:p>
        </w:tc>
        <w:tc>
          <w:tcPr>
            <w:tcW w:w="1381" w:type="dxa"/>
            <w:tcBorders>
              <w:top w:val="single" w:sz="4" w:space="0" w:color="auto"/>
            </w:tcBorders>
          </w:tcPr>
          <w:p w14:paraId="25F6382A"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1214X</w:t>
            </w:r>
          </w:p>
        </w:tc>
        <w:tc>
          <w:tcPr>
            <w:tcW w:w="2079" w:type="dxa"/>
            <w:tcBorders>
              <w:top w:val="single" w:sz="4" w:space="0" w:color="auto"/>
            </w:tcBorders>
            <w:shd w:val="clear" w:color="auto" w:fill="auto"/>
            <w:noWrap/>
            <w:hideMark/>
          </w:tcPr>
          <w:p w14:paraId="71D55D53"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Tablet containing codeine phosphate hemihydrate 30 mg</w:t>
            </w:r>
          </w:p>
        </w:tc>
        <w:tc>
          <w:tcPr>
            <w:tcW w:w="464" w:type="dxa"/>
            <w:tcBorders>
              <w:top w:val="single" w:sz="4" w:space="0" w:color="auto"/>
            </w:tcBorders>
            <w:shd w:val="clear" w:color="auto" w:fill="auto"/>
            <w:noWrap/>
            <w:hideMark/>
          </w:tcPr>
          <w:p w14:paraId="216A3097"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20</w:t>
            </w:r>
          </w:p>
        </w:tc>
        <w:tc>
          <w:tcPr>
            <w:tcW w:w="446" w:type="dxa"/>
            <w:tcBorders>
              <w:top w:val="single" w:sz="4" w:space="0" w:color="auto"/>
            </w:tcBorders>
            <w:shd w:val="clear" w:color="auto" w:fill="auto"/>
            <w:noWrap/>
            <w:hideMark/>
          </w:tcPr>
          <w:p w14:paraId="01D6D904"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0</w:t>
            </w:r>
          </w:p>
        </w:tc>
        <w:tc>
          <w:tcPr>
            <w:tcW w:w="2350" w:type="dxa"/>
            <w:tcBorders>
              <w:top w:val="single" w:sz="4" w:space="0" w:color="auto"/>
            </w:tcBorders>
            <w:shd w:val="clear" w:color="auto" w:fill="auto"/>
            <w:noWrap/>
            <w:hideMark/>
          </w:tcPr>
          <w:p w14:paraId="2A501EDC"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Aspen Pharma Pty Ltd</w:t>
            </w:r>
          </w:p>
        </w:tc>
        <w:tc>
          <w:tcPr>
            <w:tcW w:w="1701" w:type="dxa"/>
            <w:tcBorders>
              <w:top w:val="single" w:sz="4" w:space="0" w:color="auto"/>
            </w:tcBorders>
            <w:shd w:val="clear" w:color="auto" w:fill="auto"/>
            <w:noWrap/>
            <w:hideMark/>
          </w:tcPr>
          <w:p w14:paraId="5EBC9E70"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Aspen Pharma Pty Ltd</w:t>
            </w:r>
          </w:p>
        </w:tc>
      </w:tr>
    </w:tbl>
    <w:p w14:paraId="5FA3753B" w14:textId="77777777" w:rsidR="00F33674" w:rsidRPr="00F33674" w:rsidRDefault="00F33674" w:rsidP="00F33674">
      <w:pPr>
        <w:ind w:left="360" w:hanging="360"/>
        <w:contextualSpacing/>
        <w:jc w:val="left"/>
      </w:pPr>
    </w:p>
    <w:tbl>
      <w:tblPr>
        <w:tblW w:w="9214" w:type="dxa"/>
        <w:tblInd w:w="-5" w:type="dxa"/>
        <w:tblLayout w:type="fixed"/>
        <w:tblLook w:val="0000" w:firstRow="0" w:lastRow="0" w:firstColumn="0" w:lastColumn="0" w:noHBand="0" w:noVBand="0"/>
      </w:tblPr>
      <w:tblGrid>
        <w:gridCol w:w="2835"/>
        <w:gridCol w:w="6379"/>
      </w:tblGrid>
      <w:tr w:rsidR="00F33674" w:rsidRPr="00F33674" w14:paraId="6E6D386F" w14:textId="77777777" w:rsidTr="00F33674">
        <w:trPr>
          <w:cantSplit/>
          <w:trHeight w:val="360"/>
        </w:trPr>
        <w:tc>
          <w:tcPr>
            <w:tcW w:w="2835" w:type="dxa"/>
            <w:tcBorders>
              <w:top w:val="single" w:sz="4" w:space="0" w:color="auto"/>
              <w:left w:val="single" w:sz="4" w:space="0" w:color="auto"/>
              <w:bottom w:val="single" w:sz="4" w:space="0" w:color="auto"/>
              <w:right w:val="single" w:sz="4" w:space="0" w:color="auto"/>
            </w:tcBorders>
          </w:tcPr>
          <w:p w14:paraId="1CD5424F" w14:textId="77777777" w:rsidR="00F33674" w:rsidRPr="00F33674" w:rsidRDefault="00F33674" w:rsidP="00F33674">
            <w:pPr>
              <w:rPr>
                <w:rFonts w:ascii="Arial Narrow" w:hAnsi="Arial Narrow" w:cs="Arial"/>
                <w:b/>
                <w:sz w:val="20"/>
                <w:szCs w:val="20"/>
              </w:rPr>
            </w:pPr>
            <w:r w:rsidRPr="00F33674">
              <w:rPr>
                <w:rFonts w:ascii="Arial Narrow" w:hAnsi="Arial Narrow" w:cs="Arial"/>
                <w:b/>
                <w:sz w:val="20"/>
                <w:szCs w:val="20"/>
              </w:rPr>
              <w:t>Category / Program:</w:t>
            </w:r>
          </w:p>
        </w:tc>
        <w:tc>
          <w:tcPr>
            <w:tcW w:w="6379" w:type="dxa"/>
            <w:tcBorders>
              <w:top w:val="single" w:sz="4" w:space="0" w:color="auto"/>
              <w:left w:val="single" w:sz="4" w:space="0" w:color="auto"/>
              <w:bottom w:val="single" w:sz="4" w:space="0" w:color="auto"/>
              <w:right w:val="single" w:sz="4" w:space="0" w:color="auto"/>
            </w:tcBorders>
          </w:tcPr>
          <w:p w14:paraId="3C5D9D6D" w14:textId="77777777" w:rsidR="00F33674" w:rsidRPr="00F33674" w:rsidRDefault="00F33674" w:rsidP="00F33674">
            <w:pPr>
              <w:rPr>
                <w:rFonts w:ascii="Arial Narrow" w:hAnsi="Arial Narrow" w:cs="Arial"/>
                <w:sz w:val="20"/>
                <w:szCs w:val="20"/>
              </w:rPr>
            </w:pPr>
            <w:r w:rsidRPr="00F33674">
              <w:rPr>
                <w:rFonts w:ascii="Arial Narrow" w:hAnsi="Arial Narrow" w:cs="Arial"/>
                <w:sz w:val="20"/>
                <w:szCs w:val="20"/>
              </w:rPr>
              <w:t>GENERAL – General Schedule (Code GE)</w:t>
            </w:r>
          </w:p>
        </w:tc>
      </w:tr>
      <w:tr w:rsidR="00F33674" w:rsidRPr="00F33674" w14:paraId="0EED5EDD" w14:textId="77777777" w:rsidTr="00F33674">
        <w:trPr>
          <w:cantSplit/>
          <w:trHeight w:val="360"/>
        </w:trPr>
        <w:tc>
          <w:tcPr>
            <w:tcW w:w="2835" w:type="dxa"/>
            <w:tcBorders>
              <w:top w:val="single" w:sz="4" w:space="0" w:color="auto"/>
              <w:left w:val="single" w:sz="4" w:space="0" w:color="auto"/>
              <w:bottom w:val="single" w:sz="4" w:space="0" w:color="auto"/>
              <w:right w:val="single" w:sz="4" w:space="0" w:color="auto"/>
            </w:tcBorders>
          </w:tcPr>
          <w:p w14:paraId="6F1AF25B" w14:textId="77777777" w:rsidR="00F33674" w:rsidRPr="00F33674" w:rsidRDefault="00F33674" w:rsidP="00F33674">
            <w:pPr>
              <w:rPr>
                <w:rFonts w:ascii="Arial Narrow" w:hAnsi="Arial Narrow" w:cs="Arial"/>
                <w:b/>
                <w:sz w:val="20"/>
                <w:szCs w:val="20"/>
              </w:rPr>
            </w:pPr>
            <w:r w:rsidRPr="00F33674">
              <w:rPr>
                <w:rFonts w:ascii="Arial Narrow" w:hAnsi="Arial Narrow" w:cs="Arial"/>
                <w:b/>
                <w:sz w:val="20"/>
                <w:szCs w:val="20"/>
              </w:rPr>
              <w:t>Prescriber type:</w:t>
            </w:r>
          </w:p>
          <w:p w14:paraId="77D08CF5" w14:textId="77777777" w:rsidR="00F33674" w:rsidRPr="00F33674" w:rsidRDefault="00F33674" w:rsidP="00F33674">
            <w:pPr>
              <w:rPr>
                <w:rFonts w:ascii="Arial Narrow" w:hAnsi="Arial Narrow" w:cs="Arial"/>
                <w:b/>
                <w:sz w:val="20"/>
                <w:szCs w:val="20"/>
              </w:rPr>
            </w:pPr>
          </w:p>
        </w:tc>
        <w:tc>
          <w:tcPr>
            <w:tcW w:w="6379" w:type="dxa"/>
            <w:tcBorders>
              <w:top w:val="single" w:sz="4" w:space="0" w:color="auto"/>
              <w:left w:val="single" w:sz="4" w:space="0" w:color="auto"/>
              <w:bottom w:val="single" w:sz="4" w:space="0" w:color="auto"/>
              <w:right w:val="single" w:sz="4" w:space="0" w:color="auto"/>
            </w:tcBorders>
          </w:tcPr>
          <w:p w14:paraId="16BC959B" w14:textId="55961053" w:rsidR="00F33674" w:rsidRPr="00F33674" w:rsidRDefault="00F33674" w:rsidP="00F33674">
            <w:pPr>
              <w:rPr>
                <w:rFonts w:ascii="Arial Narrow" w:hAnsi="Arial Narrow" w:cs="Arial"/>
                <w:sz w:val="20"/>
                <w:szCs w:val="20"/>
              </w:rPr>
            </w:pPr>
            <w:r w:rsidRPr="00F33674">
              <w:rPr>
                <w:rFonts w:ascii="Arial Narrow" w:hAnsi="Arial Narrow" w:cs="Arial"/>
                <w:sz w:val="20"/>
                <w:szCs w:val="20"/>
              </w:rPr>
              <w:fldChar w:fldCharType="begin">
                <w:ffData>
                  <w:name w:val="Check1"/>
                  <w:enabled/>
                  <w:calcOnExit w:val="0"/>
                  <w:checkBox>
                    <w:sizeAuto/>
                    <w:default w:val="0"/>
                  </w:checkBox>
                </w:ffData>
              </w:fldChar>
            </w:r>
            <w:r w:rsidRPr="00F33674">
              <w:rPr>
                <w:rFonts w:ascii="Arial Narrow" w:hAnsi="Arial Narrow" w:cs="Arial"/>
                <w:sz w:val="20"/>
                <w:szCs w:val="20"/>
              </w:rPr>
              <w:instrText xml:space="preserve"> FORMCHECKBOX </w:instrText>
            </w:r>
            <w:r w:rsidR="00233D13">
              <w:rPr>
                <w:rFonts w:ascii="Arial Narrow" w:hAnsi="Arial Narrow" w:cs="Arial"/>
                <w:sz w:val="20"/>
                <w:szCs w:val="20"/>
              </w:rPr>
            </w:r>
            <w:r w:rsidR="00233D13">
              <w:rPr>
                <w:rFonts w:ascii="Arial Narrow" w:hAnsi="Arial Narrow" w:cs="Arial"/>
                <w:sz w:val="20"/>
                <w:szCs w:val="20"/>
              </w:rPr>
              <w:fldChar w:fldCharType="separate"/>
            </w:r>
            <w:r w:rsidRPr="00F33674">
              <w:rPr>
                <w:rFonts w:ascii="Arial Narrow" w:hAnsi="Arial Narrow" w:cs="Arial"/>
                <w:sz w:val="20"/>
                <w:szCs w:val="20"/>
              </w:rPr>
              <w:fldChar w:fldCharType="end"/>
            </w:r>
            <w:r w:rsidRPr="00F33674">
              <w:rPr>
                <w:rFonts w:ascii="Arial Narrow" w:hAnsi="Arial Narrow" w:cs="Arial"/>
                <w:sz w:val="20"/>
                <w:szCs w:val="20"/>
              </w:rPr>
              <w:t>Dental</w:t>
            </w:r>
            <w:r w:rsidR="002C1329">
              <w:rPr>
                <w:rFonts w:ascii="Arial Narrow" w:hAnsi="Arial Narrow" w:cs="Arial"/>
                <w:sz w:val="20"/>
                <w:szCs w:val="20"/>
              </w:rPr>
              <w:t xml:space="preserve"> </w:t>
            </w:r>
            <w:r w:rsidRPr="00F33674">
              <w:rPr>
                <w:rFonts w:ascii="Arial Narrow" w:hAnsi="Arial Narrow" w:cs="Arial"/>
                <w:sz w:val="20"/>
                <w:szCs w:val="20"/>
              </w:rPr>
              <w:fldChar w:fldCharType="begin">
                <w:ffData>
                  <w:name w:val=""/>
                  <w:enabled/>
                  <w:calcOnExit w:val="0"/>
                  <w:checkBox>
                    <w:sizeAuto/>
                    <w:default w:val="1"/>
                  </w:checkBox>
                </w:ffData>
              </w:fldChar>
            </w:r>
            <w:r w:rsidRPr="00F33674">
              <w:rPr>
                <w:rFonts w:ascii="Arial Narrow" w:hAnsi="Arial Narrow" w:cs="Arial"/>
                <w:sz w:val="20"/>
                <w:szCs w:val="20"/>
              </w:rPr>
              <w:instrText xml:space="preserve"> FORMCHECKBOX </w:instrText>
            </w:r>
            <w:r w:rsidR="00233D13">
              <w:rPr>
                <w:rFonts w:ascii="Arial Narrow" w:hAnsi="Arial Narrow" w:cs="Arial"/>
                <w:sz w:val="20"/>
                <w:szCs w:val="20"/>
              </w:rPr>
            </w:r>
            <w:r w:rsidR="00233D13">
              <w:rPr>
                <w:rFonts w:ascii="Arial Narrow" w:hAnsi="Arial Narrow" w:cs="Arial"/>
                <w:sz w:val="20"/>
                <w:szCs w:val="20"/>
              </w:rPr>
              <w:fldChar w:fldCharType="separate"/>
            </w:r>
            <w:r w:rsidRPr="00F33674">
              <w:rPr>
                <w:rFonts w:ascii="Arial Narrow" w:hAnsi="Arial Narrow" w:cs="Arial"/>
                <w:sz w:val="20"/>
                <w:szCs w:val="20"/>
              </w:rPr>
              <w:fldChar w:fldCharType="end"/>
            </w:r>
            <w:r w:rsidRPr="00F33674">
              <w:rPr>
                <w:rFonts w:ascii="Arial Narrow" w:hAnsi="Arial Narrow" w:cs="Arial"/>
                <w:sz w:val="20"/>
                <w:szCs w:val="20"/>
              </w:rPr>
              <w:t>Medical Practitioners</w:t>
            </w:r>
            <w:r w:rsidR="002C1329">
              <w:rPr>
                <w:rFonts w:ascii="Arial Narrow" w:hAnsi="Arial Narrow" w:cs="Arial"/>
                <w:sz w:val="20"/>
                <w:szCs w:val="20"/>
              </w:rPr>
              <w:t xml:space="preserve"> </w:t>
            </w:r>
            <w:r w:rsidRPr="00F33674">
              <w:rPr>
                <w:rFonts w:ascii="Arial Narrow" w:hAnsi="Arial Narrow" w:cs="Arial"/>
                <w:sz w:val="20"/>
                <w:szCs w:val="20"/>
              </w:rPr>
              <w:fldChar w:fldCharType="begin">
                <w:ffData>
                  <w:name w:val="Check3"/>
                  <w:enabled/>
                  <w:calcOnExit w:val="0"/>
                  <w:checkBox>
                    <w:sizeAuto/>
                    <w:default w:val="1"/>
                  </w:checkBox>
                </w:ffData>
              </w:fldChar>
            </w:r>
            <w:r w:rsidRPr="00F33674">
              <w:rPr>
                <w:rFonts w:ascii="Arial Narrow" w:hAnsi="Arial Narrow" w:cs="Arial"/>
                <w:sz w:val="20"/>
                <w:szCs w:val="20"/>
              </w:rPr>
              <w:instrText xml:space="preserve"> FORMCHECKBOX </w:instrText>
            </w:r>
            <w:r w:rsidR="00233D13">
              <w:rPr>
                <w:rFonts w:ascii="Arial Narrow" w:hAnsi="Arial Narrow" w:cs="Arial"/>
                <w:sz w:val="20"/>
                <w:szCs w:val="20"/>
              </w:rPr>
            </w:r>
            <w:r w:rsidR="00233D13">
              <w:rPr>
                <w:rFonts w:ascii="Arial Narrow" w:hAnsi="Arial Narrow" w:cs="Arial"/>
                <w:sz w:val="20"/>
                <w:szCs w:val="20"/>
              </w:rPr>
              <w:fldChar w:fldCharType="separate"/>
            </w:r>
            <w:r w:rsidRPr="00F33674">
              <w:rPr>
                <w:rFonts w:ascii="Arial Narrow" w:hAnsi="Arial Narrow" w:cs="Arial"/>
                <w:sz w:val="20"/>
                <w:szCs w:val="20"/>
              </w:rPr>
              <w:fldChar w:fldCharType="end"/>
            </w:r>
            <w:r w:rsidRPr="00F33674">
              <w:rPr>
                <w:rFonts w:ascii="Arial Narrow" w:hAnsi="Arial Narrow" w:cs="Arial"/>
                <w:sz w:val="20"/>
                <w:szCs w:val="20"/>
              </w:rPr>
              <w:t>Nurse practitioners</w:t>
            </w:r>
            <w:r w:rsidR="002C1329">
              <w:rPr>
                <w:rFonts w:ascii="Arial Narrow" w:hAnsi="Arial Narrow" w:cs="Arial"/>
                <w:sz w:val="20"/>
                <w:szCs w:val="20"/>
              </w:rPr>
              <w:t xml:space="preserve"> </w:t>
            </w:r>
            <w:r w:rsidRPr="00F33674">
              <w:rPr>
                <w:rFonts w:ascii="Arial Narrow" w:hAnsi="Arial Narrow" w:cs="Arial"/>
                <w:sz w:val="20"/>
                <w:szCs w:val="20"/>
              </w:rPr>
              <w:fldChar w:fldCharType="begin">
                <w:ffData>
                  <w:name w:val=""/>
                  <w:enabled/>
                  <w:calcOnExit w:val="0"/>
                  <w:checkBox>
                    <w:sizeAuto/>
                    <w:default w:val="0"/>
                  </w:checkBox>
                </w:ffData>
              </w:fldChar>
            </w:r>
            <w:r w:rsidRPr="00F33674">
              <w:rPr>
                <w:rFonts w:ascii="Arial Narrow" w:hAnsi="Arial Narrow" w:cs="Arial"/>
                <w:sz w:val="20"/>
                <w:szCs w:val="20"/>
              </w:rPr>
              <w:instrText xml:space="preserve"> FORMCHECKBOX </w:instrText>
            </w:r>
            <w:r w:rsidR="00233D13">
              <w:rPr>
                <w:rFonts w:ascii="Arial Narrow" w:hAnsi="Arial Narrow" w:cs="Arial"/>
                <w:sz w:val="20"/>
                <w:szCs w:val="20"/>
              </w:rPr>
            </w:r>
            <w:r w:rsidR="00233D13">
              <w:rPr>
                <w:rFonts w:ascii="Arial Narrow" w:hAnsi="Arial Narrow" w:cs="Arial"/>
                <w:sz w:val="20"/>
                <w:szCs w:val="20"/>
              </w:rPr>
              <w:fldChar w:fldCharType="separate"/>
            </w:r>
            <w:r w:rsidRPr="00F33674">
              <w:rPr>
                <w:rFonts w:ascii="Arial Narrow" w:hAnsi="Arial Narrow" w:cs="Arial"/>
                <w:sz w:val="20"/>
                <w:szCs w:val="20"/>
              </w:rPr>
              <w:fldChar w:fldCharType="end"/>
            </w:r>
            <w:r w:rsidRPr="00F33674">
              <w:rPr>
                <w:rFonts w:ascii="Arial Narrow" w:hAnsi="Arial Narrow" w:cs="Arial"/>
                <w:sz w:val="20"/>
                <w:szCs w:val="20"/>
              </w:rPr>
              <w:t>Optometrists</w:t>
            </w:r>
          </w:p>
          <w:p w14:paraId="5BC425DC" w14:textId="77777777" w:rsidR="00F33674" w:rsidRPr="00F33674" w:rsidRDefault="00F33674" w:rsidP="00F33674">
            <w:pPr>
              <w:rPr>
                <w:rFonts w:ascii="Arial Narrow" w:hAnsi="Arial Narrow" w:cs="Arial"/>
                <w:sz w:val="20"/>
                <w:szCs w:val="20"/>
              </w:rPr>
            </w:pPr>
            <w:r w:rsidRPr="00F33674">
              <w:rPr>
                <w:rFonts w:ascii="Arial Narrow" w:hAnsi="Arial Narrow" w:cs="Arial"/>
                <w:sz w:val="20"/>
                <w:szCs w:val="20"/>
              </w:rPr>
              <w:fldChar w:fldCharType="begin">
                <w:ffData>
                  <w:name w:val="Check5"/>
                  <w:enabled/>
                  <w:calcOnExit w:val="0"/>
                  <w:checkBox>
                    <w:sizeAuto/>
                    <w:default w:val="0"/>
                  </w:checkBox>
                </w:ffData>
              </w:fldChar>
            </w:r>
            <w:r w:rsidRPr="00F33674">
              <w:rPr>
                <w:rFonts w:ascii="Arial Narrow" w:hAnsi="Arial Narrow" w:cs="Arial"/>
                <w:sz w:val="20"/>
                <w:szCs w:val="20"/>
              </w:rPr>
              <w:instrText xml:space="preserve"> FORMCHECKBOX </w:instrText>
            </w:r>
            <w:r w:rsidR="00233D13">
              <w:rPr>
                <w:rFonts w:ascii="Arial Narrow" w:hAnsi="Arial Narrow" w:cs="Arial"/>
                <w:sz w:val="20"/>
                <w:szCs w:val="20"/>
              </w:rPr>
            </w:r>
            <w:r w:rsidR="00233D13">
              <w:rPr>
                <w:rFonts w:ascii="Arial Narrow" w:hAnsi="Arial Narrow" w:cs="Arial"/>
                <w:sz w:val="20"/>
                <w:szCs w:val="20"/>
              </w:rPr>
              <w:fldChar w:fldCharType="separate"/>
            </w:r>
            <w:r w:rsidRPr="00F33674">
              <w:rPr>
                <w:rFonts w:ascii="Arial Narrow" w:hAnsi="Arial Narrow" w:cs="Arial"/>
                <w:sz w:val="20"/>
                <w:szCs w:val="20"/>
              </w:rPr>
              <w:fldChar w:fldCharType="end"/>
            </w:r>
            <w:r w:rsidRPr="00F33674">
              <w:rPr>
                <w:rFonts w:ascii="Arial Narrow" w:hAnsi="Arial Narrow" w:cs="Arial"/>
                <w:sz w:val="20"/>
                <w:szCs w:val="20"/>
              </w:rPr>
              <w:t>Midwives</w:t>
            </w:r>
          </w:p>
        </w:tc>
      </w:tr>
      <w:tr w:rsidR="00F33674" w:rsidRPr="00F33674" w14:paraId="7C7A5D71" w14:textId="77777777" w:rsidTr="00F33674">
        <w:trPr>
          <w:cantSplit/>
          <w:trHeight w:val="369"/>
        </w:trPr>
        <w:tc>
          <w:tcPr>
            <w:tcW w:w="2835" w:type="dxa"/>
            <w:tcBorders>
              <w:top w:val="single" w:sz="4" w:space="0" w:color="auto"/>
              <w:left w:val="single" w:sz="4" w:space="0" w:color="auto"/>
              <w:bottom w:val="single" w:sz="4" w:space="0" w:color="auto"/>
              <w:right w:val="single" w:sz="4" w:space="0" w:color="auto"/>
            </w:tcBorders>
          </w:tcPr>
          <w:p w14:paraId="435CF404" w14:textId="77777777" w:rsidR="00F33674" w:rsidRPr="00F33674" w:rsidRDefault="00F33674" w:rsidP="00F33674">
            <w:pPr>
              <w:rPr>
                <w:rFonts w:ascii="Arial Narrow" w:hAnsi="Arial Narrow" w:cs="Arial"/>
                <w:b/>
                <w:sz w:val="20"/>
                <w:szCs w:val="20"/>
              </w:rPr>
            </w:pPr>
            <w:r w:rsidRPr="00F33674">
              <w:rPr>
                <w:rFonts w:ascii="Arial Narrow" w:hAnsi="Arial Narrow" w:cs="Arial"/>
                <w:b/>
                <w:sz w:val="20"/>
                <w:szCs w:val="20"/>
              </w:rPr>
              <w:t>PBS indication:</w:t>
            </w:r>
          </w:p>
        </w:tc>
        <w:tc>
          <w:tcPr>
            <w:tcW w:w="6379" w:type="dxa"/>
            <w:tcBorders>
              <w:top w:val="single" w:sz="4" w:space="0" w:color="auto"/>
              <w:left w:val="single" w:sz="4" w:space="0" w:color="auto"/>
              <w:bottom w:val="single" w:sz="4" w:space="0" w:color="auto"/>
              <w:right w:val="single" w:sz="4" w:space="0" w:color="auto"/>
            </w:tcBorders>
          </w:tcPr>
          <w:p w14:paraId="600A0BFA" w14:textId="77777777" w:rsidR="00F33674" w:rsidRPr="00F33674" w:rsidRDefault="00F33674" w:rsidP="00F33674">
            <w:pPr>
              <w:rPr>
                <w:rFonts w:ascii="Arial Narrow" w:hAnsi="Arial Narrow" w:cs="Arial"/>
                <w:sz w:val="20"/>
                <w:szCs w:val="20"/>
              </w:rPr>
            </w:pPr>
            <w:r w:rsidRPr="00F33674">
              <w:rPr>
                <w:rFonts w:ascii="Arial Narrow" w:hAnsi="Arial Narrow" w:cs="Arial"/>
                <w:sz w:val="20"/>
                <w:szCs w:val="20"/>
              </w:rPr>
              <w:t>[new] Cough</w:t>
            </w:r>
          </w:p>
        </w:tc>
      </w:tr>
      <w:tr w:rsidR="00F33674" w:rsidRPr="00F33674" w14:paraId="4874D3CD" w14:textId="77777777" w:rsidTr="00F33674">
        <w:trPr>
          <w:cantSplit/>
          <w:trHeight w:val="360"/>
        </w:trPr>
        <w:tc>
          <w:tcPr>
            <w:tcW w:w="2835" w:type="dxa"/>
            <w:tcBorders>
              <w:top w:val="single" w:sz="4" w:space="0" w:color="auto"/>
              <w:left w:val="single" w:sz="4" w:space="0" w:color="auto"/>
              <w:bottom w:val="single" w:sz="4" w:space="0" w:color="auto"/>
              <w:right w:val="single" w:sz="4" w:space="0" w:color="auto"/>
            </w:tcBorders>
          </w:tcPr>
          <w:p w14:paraId="7D5FC044" w14:textId="77777777" w:rsidR="00F33674" w:rsidRPr="00F33674" w:rsidRDefault="00F33674" w:rsidP="00F33674">
            <w:pPr>
              <w:rPr>
                <w:rFonts w:ascii="Arial Narrow" w:hAnsi="Arial Narrow" w:cs="Arial"/>
                <w:b/>
                <w:sz w:val="20"/>
                <w:szCs w:val="20"/>
              </w:rPr>
            </w:pPr>
            <w:r w:rsidRPr="00F33674">
              <w:rPr>
                <w:rFonts w:ascii="Arial Narrow" w:hAnsi="Arial Narrow" w:cs="Arial"/>
                <w:b/>
                <w:sz w:val="20"/>
                <w:szCs w:val="20"/>
              </w:rPr>
              <w:t>Restriction Level / Method:</w:t>
            </w:r>
          </w:p>
          <w:p w14:paraId="5D5FF998" w14:textId="77777777" w:rsidR="00F33674" w:rsidRPr="00F33674" w:rsidRDefault="00F33674" w:rsidP="00F33674">
            <w:pPr>
              <w:rPr>
                <w:rFonts w:ascii="Arial Narrow" w:hAnsi="Arial Narrow" w:cs="Arial"/>
                <w:i/>
                <w:sz w:val="20"/>
                <w:szCs w:val="20"/>
              </w:rPr>
            </w:pPr>
          </w:p>
          <w:p w14:paraId="45F73707" w14:textId="77777777" w:rsidR="00F33674" w:rsidRPr="00F33674" w:rsidRDefault="00F33674" w:rsidP="00F33674">
            <w:pPr>
              <w:rPr>
                <w:rFonts w:ascii="Arial Narrow" w:hAnsi="Arial Narrow" w:cs="Arial"/>
                <w:i/>
                <w:sz w:val="20"/>
                <w:szCs w:val="20"/>
              </w:rPr>
            </w:pPr>
          </w:p>
          <w:p w14:paraId="3806D638" w14:textId="77777777" w:rsidR="00F33674" w:rsidRPr="00F33674" w:rsidRDefault="00F33674" w:rsidP="00F33674">
            <w:pPr>
              <w:rPr>
                <w:rFonts w:ascii="Arial Narrow" w:hAnsi="Arial Narrow" w:cs="Arial"/>
                <w:i/>
                <w:sz w:val="20"/>
                <w:szCs w:val="20"/>
              </w:rPr>
            </w:pPr>
          </w:p>
        </w:tc>
        <w:tc>
          <w:tcPr>
            <w:tcW w:w="6379" w:type="dxa"/>
            <w:tcBorders>
              <w:top w:val="single" w:sz="4" w:space="0" w:color="auto"/>
              <w:left w:val="single" w:sz="4" w:space="0" w:color="auto"/>
              <w:bottom w:val="single" w:sz="4" w:space="0" w:color="auto"/>
              <w:right w:val="single" w:sz="4" w:space="0" w:color="auto"/>
            </w:tcBorders>
          </w:tcPr>
          <w:p w14:paraId="7954F18A" w14:textId="77777777" w:rsidR="00F33674" w:rsidRPr="00F33674" w:rsidRDefault="00F33674" w:rsidP="00F33674">
            <w:pPr>
              <w:rPr>
                <w:rFonts w:ascii="Arial Narrow" w:hAnsi="Arial Narrow" w:cs="Arial"/>
                <w:sz w:val="20"/>
                <w:szCs w:val="20"/>
              </w:rPr>
            </w:pPr>
            <w:r w:rsidRPr="00F33674">
              <w:rPr>
                <w:rFonts w:ascii="Arial Narrow" w:hAnsi="Arial Narrow" w:cs="Arial"/>
                <w:sz w:val="20"/>
                <w:szCs w:val="20"/>
              </w:rPr>
              <w:fldChar w:fldCharType="begin">
                <w:ffData>
                  <w:name w:val=""/>
                  <w:enabled/>
                  <w:calcOnExit w:val="0"/>
                  <w:checkBox>
                    <w:sizeAuto/>
                    <w:default w:val="0"/>
                  </w:checkBox>
                </w:ffData>
              </w:fldChar>
            </w:r>
            <w:r w:rsidRPr="00F33674">
              <w:rPr>
                <w:rFonts w:ascii="Arial Narrow" w:hAnsi="Arial Narrow" w:cs="Arial"/>
                <w:sz w:val="20"/>
                <w:szCs w:val="20"/>
              </w:rPr>
              <w:instrText xml:space="preserve"> FORMCHECKBOX </w:instrText>
            </w:r>
            <w:r w:rsidR="00233D13">
              <w:rPr>
                <w:rFonts w:ascii="Arial Narrow" w:hAnsi="Arial Narrow" w:cs="Arial"/>
                <w:sz w:val="20"/>
                <w:szCs w:val="20"/>
              </w:rPr>
            </w:r>
            <w:r w:rsidR="00233D13">
              <w:rPr>
                <w:rFonts w:ascii="Arial Narrow" w:hAnsi="Arial Narrow" w:cs="Arial"/>
                <w:sz w:val="20"/>
                <w:szCs w:val="20"/>
              </w:rPr>
              <w:fldChar w:fldCharType="separate"/>
            </w:r>
            <w:r w:rsidRPr="00F33674">
              <w:rPr>
                <w:rFonts w:ascii="Arial Narrow" w:hAnsi="Arial Narrow" w:cs="Arial"/>
                <w:sz w:val="20"/>
                <w:szCs w:val="20"/>
              </w:rPr>
              <w:fldChar w:fldCharType="end"/>
            </w:r>
            <w:r w:rsidRPr="00F33674">
              <w:rPr>
                <w:rFonts w:ascii="Arial Narrow" w:hAnsi="Arial Narrow" w:cs="Arial"/>
                <w:sz w:val="20"/>
                <w:szCs w:val="20"/>
              </w:rPr>
              <w:t>Unrestricted benefit</w:t>
            </w:r>
          </w:p>
          <w:p w14:paraId="4AC33B1C" w14:textId="77777777" w:rsidR="00F33674" w:rsidRPr="00F33674" w:rsidRDefault="00F33674" w:rsidP="00F33674">
            <w:pPr>
              <w:rPr>
                <w:rFonts w:ascii="Arial Narrow" w:hAnsi="Arial Narrow" w:cs="Arial"/>
                <w:i/>
                <w:sz w:val="20"/>
                <w:szCs w:val="20"/>
              </w:rPr>
            </w:pPr>
            <w:r w:rsidRPr="00F33674">
              <w:rPr>
                <w:rFonts w:ascii="Arial Narrow" w:hAnsi="Arial Narrow" w:cs="Arial"/>
                <w:i/>
                <w:sz w:val="20"/>
                <w:szCs w:val="20"/>
              </w:rPr>
              <w:fldChar w:fldCharType="begin">
                <w:ffData>
                  <w:name w:val="Check1"/>
                  <w:enabled/>
                  <w:calcOnExit w:val="0"/>
                  <w:checkBox>
                    <w:sizeAuto/>
                    <w:default w:val="1"/>
                  </w:checkBox>
                </w:ffData>
              </w:fldChar>
            </w:r>
            <w:r w:rsidRPr="00F33674">
              <w:rPr>
                <w:rFonts w:ascii="Arial Narrow" w:hAnsi="Arial Narrow" w:cs="Arial"/>
                <w:i/>
                <w:sz w:val="20"/>
                <w:szCs w:val="20"/>
              </w:rPr>
              <w:instrText xml:space="preserve"> FORMCHECKBOX </w:instrText>
            </w:r>
            <w:r w:rsidR="00233D13">
              <w:rPr>
                <w:rFonts w:ascii="Arial Narrow" w:hAnsi="Arial Narrow" w:cs="Arial"/>
                <w:i/>
                <w:sz w:val="20"/>
                <w:szCs w:val="20"/>
              </w:rPr>
            </w:r>
            <w:r w:rsidR="00233D13">
              <w:rPr>
                <w:rFonts w:ascii="Arial Narrow" w:hAnsi="Arial Narrow" w:cs="Arial"/>
                <w:i/>
                <w:sz w:val="20"/>
                <w:szCs w:val="20"/>
              </w:rPr>
              <w:fldChar w:fldCharType="separate"/>
            </w:r>
            <w:r w:rsidRPr="00F33674">
              <w:rPr>
                <w:rFonts w:ascii="Arial Narrow" w:hAnsi="Arial Narrow" w:cs="Arial"/>
                <w:i/>
                <w:sz w:val="20"/>
                <w:szCs w:val="20"/>
              </w:rPr>
              <w:fldChar w:fldCharType="end"/>
            </w:r>
            <w:r w:rsidRPr="00F33674">
              <w:rPr>
                <w:rFonts w:ascii="Arial Narrow" w:hAnsi="Arial Narrow" w:cs="Arial"/>
                <w:sz w:val="20"/>
                <w:szCs w:val="20"/>
              </w:rPr>
              <w:t>Restricted benefit</w:t>
            </w:r>
          </w:p>
          <w:p w14:paraId="3EBF844D" w14:textId="77777777" w:rsidR="00F33674" w:rsidRPr="00F33674" w:rsidRDefault="00F33674" w:rsidP="00F33674">
            <w:pPr>
              <w:rPr>
                <w:rFonts w:ascii="Arial Narrow" w:hAnsi="Arial Narrow" w:cs="Arial"/>
                <w:sz w:val="20"/>
                <w:szCs w:val="20"/>
              </w:rPr>
            </w:pPr>
            <w:r w:rsidRPr="00F33674">
              <w:rPr>
                <w:rFonts w:ascii="Arial Narrow" w:hAnsi="Arial Narrow" w:cs="Arial"/>
                <w:sz w:val="20"/>
                <w:szCs w:val="20"/>
              </w:rPr>
              <w:fldChar w:fldCharType="begin">
                <w:ffData>
                  <w:name w:val=""/>
                  <w:enabled/>
                  <w:calcOnExit w:val="0"/>
                  <w:checkBox>
                    <w:sizeAuto/>
                    <w:default w:val="0"/>
                  </w:checkBox>
                </w:ffData>
              </w:fldChar>
            </w:r>
            <w:r w:rsidRPr="00F33674">
              <w:rPr>
                <w:rFonts w:ascii="Arial Narrow" w:hAnsi="Arial Narrow" w:cs="Arial"/>
                <w:sz w:val="20"/>
                <w:szCs w:val="20"/>
              </w:rPr>
              <w:instrText xml:space="preserve"> FORMCHECKBOX </w:instrText>
            </w:r>
            <w:r w:rsidR="00233D13">
              <w:rPr>
                <w:rFonts w:ascii="Arial Narrow" w:hAnsi="Arial Narrow" w:cs="Arial"/>
                <w:sz w:val="20"/>
                <w:szCs w:val="20"/>
              </w:rPr>
            </w:r>
            <w:r w:rsidR="00233D13">
              <w:rPr>
                <w:rFonts w:ascii="Arial Narrow" w:hAnsi="Arial Narrow" w:cs="Arial"/>
                <w:sz w:val="20"/>
                <w:szCs w:val="20"/>
              </w:rPr>
              <w:fldChar w:fldCharType="separate"/>
            </w:r>
            <w:r w:rsidRPr="00F33674">
              <w:rPr>
                <w:rFonts w:ascii="Arial Narrow" w:hAnsi="Arial Narrow" w:cs="Arial"/>
                <w:sz w:val="20"/>
                <w:szCs w:val="20"/>
              </w:rPr>
              <w:fldChar w:fldCharType="end"/>
            </w:r>
            <w:r w:rsidRPr="00F33674">
              <w:rPr>
                <w:rFonts w:ascii="Arial Narrow" w:hAnsi="Arial Narrow" w:cs="Arial"/>
                <w:sz w:val="20"/>
                <w:szCs w:val="20"/>
              </w:rPr>
              <w:t>Authority Required – In Writing</w:t>
            </w:r>
          </w:p>
          <w:p w14:paraId="544363B9" w14:textId="77777777" w:rsidR="00F33674" w:rsidRPr="00F33674" w:rsidRDefault="00F33674" w:rsidP="00F33674">
            <w:pPr>
              <w:rPr>
                <w:rFonts w:ascii="Arial Narrow" w:hAnsi="Arial Narrow" w:cs="Arial"/>
                <w:sz w:val="20"/>
                <w:szCs w:val="20"/>
              </w:rPr>
            </w:pPr>
            <w:r w:rsidRPr="00F33674">
              <w:rPr>
                <w:rFonts w:ascii="Arial Narrow" w:hAnsi="Arial Narrow" w:cs="Arial"/>
                <w:sz w:val="20"/>
                <w:szCs w:val="20"/>
              </w:rPr>
              <w:fldChar w:fldCharType="begin">
                <w:ffData>
                  <w:name w:val="Check3"/>
                  <w:enabled/>
                  <w:calcOnExit w:val="0"/>
                  <w:checkBox>
                    <w:sizeAuto/>
                    <w:default w:val="0"/>
                  </w:checkBox>
                </w:ffData>
              </w:fldChar>
            </w:r>
            <w:r w:rsidRPr="00F33674">
              <w:rPr>
                <w:rFonts w:ascii="Arial Narrow" w:hAnsi="Arial Narrow" w:cs="Arial"/>
                <w:sz w:val="20"/>
                <w:szCs w:val="20"/>
              </w:rPr>
              <w:instrText xml:space="preserve"> FORMCHECKBOX </w:instrText>
            </w:r>
            <w:r w:rsidR="00233D13">
              <w:rPr>
                <w:rFonts w:ascii="Arial Narrow" w:hAnsi="Arial Narrow" w:cs="Arial"/>
                <w:sz w:val="20"/>
                <w:szCs w:val="20"/>
              </w:rPr>
            </w:r>
            <w:r w:rsidR="00233D13">
              <w:rPr>
                <w:rFonts w:ascii="Arial Narrow" w:hAnsi="Arial Narrow" w:cs="Arial"/>
                <w:sz w:val="20"/>
                <w:szCs w:val="20"/>
              </w:rPr>
              <w:fldChar w:fldCharType="separate"/>
            </w:r>
            <w:r w:rsidRPr="00F33674">
              <w:rPr>
                <w:rFonts w:ascii="Arial Narrow" w:hAnsi="Arial Narrow" w:cs="Arial"/>
                <w:sz w:val="20"/>
                <w:szCs w:val="20"/>
              </w:rPr>
              <w:fldChar w:fldCharType="end"/>
            </w:r>
            <w:r w:rsidRPr="00F33674">
              <w:rPr>
                <w:rFonts w:ascii="Arial Narrow" w:hAnsi="Arial Narrow" w:cs="Arial"/>
                <w:sz w:val="20"/>
                <w:szCs w:val="20"/>
              </w:rPr>
              <w:t>Authority Required – Telephone/Electronic/Emergency</w:t>
            </w:r>
          </w:p>
          <w:p w14:paraId="3855A3AC" w14:textId="77777777" w:rsidR="00F33674" w:rsidRPr="00F33674" w:rsidRDefault="00F33674" w:rsidP="00F33674">
            <w:pPr>
              <w:rPr>
                <w:rFonts w:ascii="Arial Narrow" w:hAnsi="Arial Narrow" w:cs="Arial"/>
                <w:sz w:val="20"/>
                <w:szCs w:val="20"/>
              </w:rPr>
            </w:pPr>
            <w:r w:rsidRPr="00F33674">
              <w:rPr>
                <w:rFonts w:ascii="Arial Narrow" w:hAnsi="Arial Narrow" w:cs="Arial"/>
                <w:sz w:val="20"/>
                <w:szCs w:val="20"/>
              </w:rPr>
              <w:fldChar w:fldCharType="begin">
                <w:ffData>
                  <w:name w:val="Check5"/>
                  <w:enabled/>
                  <w:calcOnExit w:val="0"/>
                  <w:checkBox>
                    <w:sizeAuto/>
                    <w:default w:val="0"/>
                  </w:checkBox>
                </w:ffData>
              </w:fldChar>
            </w:r>
            <w:r w:rsidRPr="00F33674">
              <w:rPr>
                <w:rFonts w:ascii="Arial Narrow" w:hAnsi="Arial Narrow" w:cs="Arial"/>
                <w:sz w:val="20"/>
                <w:szCs w:val="20"/>
              </w:rPr>
              <w:instrText xml:space="preserve"> FORMCHECKBOX </w:instrText>
            </w:r>
            <w:r w:rsidR="00233D13">
              <w:rPr>
                <w:rFonts w:ascii="Arial Narrow" w:hAnsi="Arial Narrow" w:cs="Arial"/>
                <w:sz w:val="20"/>
                <w:szCs w:val="20"/>
              </w:rPr>
            </w:r>
            <w:r w:rsidR="00233D13">
              <w:rPr>
                <w:rFonts w:ascii="Arial Narrow" w:hAnsi="Arial Narrow" w:cs="Arial"/>
                <w:sz w:val="20"/>
                <w:szCs w:val="20"/>
              </w:rPr>
              <w:fldChar w:fldCharType="separate"/>
            </w:r>
            <w:r w:rsidRPr="00F33674">
              <w:rPr>
                <w:rFonts w:ascii="Arial Narrow" w:hAnsi="Arial Narrow" w:cs="Arial"/>
                <w:sz w:val="20"/>
                <w:szCs w:val="20"/>
              </w:rPr>
              <w:fldChar w:fldCharType="end"/>
            </w:r>
            <w:r w:rsidRPr="00F33674">
              <w:rPr>
                <w:rFonts w:ascii="Arial Narrow" w:hAnsi="Arial Narrow" w:cs="Arial"/>
                <w:sz w:val="20"/>
                <w:szCs w:val="20"/>
              </w:rPr>
              <w:t>Streamlined</w:t>
            </w:r>
          </w:p>
        </w:tc>
      </w:tr>
      <w:tr w:rsidR="00F33674" w:rsidRPr="00F33674" w14:paraId="4B148EB1" w14:textId="77777777" w:rsidTr="00F33674">
        <w:trPr>
          <w:cantSplit/>
          <w:trHeight w:val="360"/>
        </w:trPr>
        <w:tc>
          <w:tcPr>
            <w:tcW w:w="2835" w:type="dxa"/>
            <w:tcBorders>
              <w:top w:val="single" w:sz="4" w:space="0" w:color="auto"/>
              <w:left w:val="single" w:sz="4" w:space="0" w:color="auto"/>
              <w:bottom w:val="single" w:sz="4" w:space="0" w:color="auto"/>
              <w:right w:val="single" w:sz="4" w:space="0" w:color="auto"/>
            </w:tcBorders>
          </w:tcPr>
          <w:p w14:paraId="44EE42E7" w14:textId="77777777" w:rsidR="00F33674" w:rsidRPr="00F33674" w:rsidRDefault="00F33674" w:rsidP="00F33674">
            <w:pPr>
              <w:rPr>
                <w:rFonts w:ascii="Arial Narrow" w:hAnsi="Arial Narrow" w:cs="Arial"/>
                <w:b/>
                <w:sz w:val="20"/>
                <w:szCs w:val="20"/>
              </w:rPr>
            </w:pPr>
            <w:r w:rsidRPr="00F33674">
              <w:rPr>
                <w:rFonts w:ascii="Arial Narrow" w:hAnsi="Arial Narrow" w:cs="Arial"/>
                <w:b/>
                <w:sz w:val="20"/>
                <w:szCs w:val="20"/>
              </w:rPr>
              <w:t>Clinical criteria:</w:t>
            </w:r>
          </w:p>
        </w:tc>
        <w:tc>
          <w:tcPr>
            <w:tcW w:w="6379" w:type="dxa"/>
            <w:tcBorders>
              <w:top w:val="single" w:sz="4" w:space="0" w:color="auto"/>
              <w:left w:val="single" w:sz="4" w:space="0" w:color="auto"/>
              <w:bottom w:val="single" w:sz="4" w:space="0" w:color="auto"/>
              <w:right w:val="single" w:sz="4" w:space="0" w:color="auto"/>
            </w:tcBorders>
          </w:tcPr>
          <w:p w14:paraId="0389732F" w14:textId="77777777" w:rsidR="00F33674" w:rsidRPr="00F33674" w:rsidRDefault="00F33674" w:rsidP="00F33674">
            <w:pPr>
              <w:jc w:val="left"/>
              <w:rPr>
                <w:rFonts w:ascii="Arial Narrow" w:hAnsi="Arial Narrow" w:cs="Arial"/>
                <w:sz w:val="20"/>
                <w:szCs w:val="20"/>
              </w:rPr>
            </w:pPr>
            <w:r w:rsidRPr="00F33674">
              <w:rPr>
                <w:rFonts w:ascii="Arial Narrow" w:hAnsi="Arial Narrow" w:cs="Arial"/>
                <w:sz w:val="20"/>
                <w:szCs w:val="20"/>
              </w:rPr>
              <w:t>[new] Treatment must be for cough suppression.</w:t>
            </w:r>
          </w:p>
        </w:tc>
      </w:tr>
      <w:tr w:rsidR="00F33674" w:rsidRPr="00F33674" w14:paraId="177F382B" w14:textId="77777777" w:rsidTr="00F33674">
        <w:trPr>
          <w:cantSplit/>
          <w:trHeight w:val="360"/>
        </w:trPr>
        <w:tc>
          <w:tcPr>
            <w:tcW w:w="2835" w:type="dxa"/>
            <w:tcBorders>
              <w:top w:val="single" w:sz="4" w:space="0" w:color="auto"/>
              <w:left w:val="single" w:sz="4" w:space="0" w:color="auto"/>
              <w:bottom w:val="single" w:sz="4" w:space="0" w:color="auto"/>
              <w:right w:val="single" w:sz="4" w:space="0" w:color="auto"/>
            </w:tcBorders>
          </w:tcPr>
          <w:p w14:paraId="6EB2F41D" w14:textId="77777777" w:rsidR="00F33674" w:rsidRPr="00F33674" w:rsidRDefault="00F33674" w:rsidP="00F33674">
            <w:pPr>
              <w:rPr>
                <w:rFonts w:ascii="Arial Narrow" w:hAnsi="Arial Narrow" w:cs="Arial"/>
                <w:b/>
                <w:sz w:val="20"/>
                <w:szCs w:val="20"/>
              </w:rPr>
            </w:pPr>
            <w:r w:rsidRPr="00F33674">
              <w:rPr>
                <w:rFonts w:ascii="Arial Narrow" w:hAnsi="Arial Narrow" w:cs="Arial"/>
                <w:b/>
                <w:sz w:val="20"/>
                <w:szCs w:val="20"/>
              </w:rPr>
              <w:t>Cautions:</w:t>
            </w:r>
          </w:p>
        </w:tc>
        <w:tc>
          <w:tcPr>
            <w:tcW w:w="6379" w:type="dxa"/>
            <w:tcBorders>
              <w:top w:val="single" w:sz="4" w:space="0" w:color="auto"/>
              <w:left w:val="single" w:sz="4" w:space="0" w:color="auto"/>
              <w:bottom w:val="single" w:sz="4" w:space="0" w:color="auto"/>
              <w:right w:val="single" w:sz="4" w:space="0" w:color="auto"/>
            </w:tcBorders>
          </w:tcPr>
          <w:p w14:paraId="624BF83D" w14:textId="77777777" w:rsidR="00F33674" w:rsidRPr="00F33674" w:rsidRDefault="00F33674" w:rsidP="00F33674">
            <w:pPr>
              <w:jc w:val="left"/>
              <w:rPr>
                <w:rFonts w:ascii="Arial Narrow" w:hAnsi="Arial Narrow" w:cs="Arial"/>
                <w:sz w:val="20"/>
                <w:szCs w:val="20"/>
              </w:rPr>
            </w:pPr>
            <w:r w:rsidRPr="00F33674">
              <w:rPr>
                <w:rFonts w:ascii="Arial Narrow" w:hAnsi="Arial Narrow" w:cs="Arial"/>
                <w:sz w:val="20"/>
                <w:szCs w:val="20"/>
              </w:rPr>
              <w:t>[6986] The risk of drug dependence is high.</w:t>
            </w:r>
          </w:p>
        </w:tc>
      </w:tr>
    </w:tbl>
    <w:p w14:paraId="069A94B4" w14:textId="77777777" w:rsidR="00F33674" w:rsidRPr="00F33674" w:rsidRDefault="00F33674" w:rsidP="00F33674">
      <w:pPr>
        <w:jc w:val="left"/>
      </w:pPr>
    </w:p>
    <w:p w14:paraId="1FFF6377" w14:textId="77777777" w:rsidR="00CB71CC" w:rsidRDefault="00CB71CC">
      <w:pPr>
        <w:jc w:val="left"/>
        <w:rPr>
          <w:rFonts w:asciiTheme="minorHAnsi" w:eastAsiaTheme="majorEastAsia" w:hAnsiTheme="minorHAnsi" w:cstheme="majorBidi"/>
          <w:b/>
          <w:i/>
          <w:spacing w:val="5"/>
          <w:kern w:val="28"/>
          <w:sz w:val="28"/>
          <w:szCs w:val="36"/>
        </w:rPr>
      </w:pPr>
      <w:bookmarkStart w:id="18" w:name="_Toc32300584"/>
      <w:r>
        <w:rPr>
          <w:rFonts w:asciiTheme="minorHAnsi" w:eastAsiaTheme="majorEastAsia" w:hAnsiTheme="minorHAnsi" w:cstheme="majorBidi"/>
          <w:b/>
          <w:i/>
          <w:spacing w:val="5"/>
          <w:kern w:val="28"/>
          <w:sz w:val="28"/>
          <w:szCs w:val="36"/>
        </w:rPr>
        <w:br w:type="page"/>
      </w:r>
    </w:p>
    <w:p w14:paraId="73477103" w14:textId="518C8368" w:rsidR="00F33674" w:rsidRPr="00F33674" w:rsidRDefault="00F33674" w:rsidP="00F33674">
      <w:pPr>
        <w:keepNext/>
        <w:jc w:val="left"/>
        <w:outlineLvl w:val="1"/>
        <w:rPr>
          <w:rFonts w:asciiTheme="minorHAnsi" w:eastAsiaTheme="majorEastAsia" w:hAnsiTheme="minorHAnsi" w:cstheme="majorBidi"/>
          <w:b/>
          <w:i/>
          <w:spacing w:val="5"/>
          <w:kern w:val="28"/>
          <w:sz w:val="28"/>
          <w:szCs w:val="36"/>
        </w:rPr>
      </w:pPr>
      <w:r w:rsidRPr="00F33674">
        <w:rPr>
          <w:rFonts w:asciiTheme="minorHAnsi" w:eastAsiaTheme="majorEastAsia" w:hAnsiTheme="minorHAnsi" w:cstheme="majorBidi"/>
          <w:b/>
          <w:i/>
          <w:spacing w:val="5"/>
          <w:kern w:val="28"/>
          <w:sz w:val="28"/>
          <w:szCs w:val="36"/>
        </w:rPr>
        <w:lastRenderedPageBreak/>
        <w:t xml:space="preserve">TGA short-term pain indication: PBS restrictions in </w:t>
      </w:r>
      <w:proofErr w:type="gramStart"/>
      <w:r w:rsidRPr="00F33674">
        <w:rPr>
          <w:rFonts w:asciiTheme="minorHAnsi" w:eastAsiaTheme="majorEastAsia" w:hAnsiTheme="minorHAnsi" w:cstheme="majorBidi"/>
          <w:b/>
          <w:i/>
          <w:spacing w:val="5"/>
          <w:kern w:val="28"/>
          <w:sz w:val="28"/>
          <w:szCs w:val="36"/>
        </w:rPr>
        <w:t>2</w:t>
      </w:r>
      <w:r w:rsidRPr="00F33674">
        <w:rPr>
          <w:rFonts w:asciiTheme="minorHAnsi" w:eastAsiaTheme="majorEastAsia" w:hAnsiTheme="minorHAnsi" w:cstheme="majorBidi"/>
          <w:b/>
          <w:i/>
          <w:spacing w:val="5"/>
          <w:kern w:val="28"/>
          <w:sz w:val="28"/>
          <w:szCs w:val="36"/>
          <w:vertAlign w:val="superscript"/>
        </w:rPr>
        <w:t>nd</w:t>
      </w:r>
      <w:proofErr w:type="gramEnd"/>
      <w:r w:rsidRPr="00F33674">
        <w:rPr>
          <w:rFonts w:asciiTheme="minorHAnsi" w:eastAsiaTheme="majorEastAsia" w:hAnsiTheme="minorHAnsi" w:cstheme="majorBidi"/>
          <w:b/>
          <w:i/>
          <w:spacing w:val="5"/>
          <w:kern w:val="28"/>
          <w:sz w:val="28"/>
          <w:szCs w:val="36"/>
        </w:rPr>
        <w:t xml:space="preserve"> line setting</w:t>
      </w:r>
      <w:bookmarkEnd w:id="18"/>
    </w:p>
    <w:p w14:paraId="16C78611" w14:textId="77777777" w:rsidR="00F33674" w:rsidRPr="00F33674" w:rsidRDefault="00F33674" w:rsidP="00F33674">
      <w:pPr>
        <w:pStyle w:val="3-BodyText"/>
      </w:pPr>
      <w:r w:rsidRPr="00F33674">
        <w:t>Amend items:</w:t>
      </w:r>
    </w:p>
    <w:p w14:paraId="7F6EE4F5" w14:textId="77777777" w:rsidR="00F33674" w:rsidRPr="00F33674" w:rsidRDefault="00F33674" w:rsidP="00F33674">
      <w:pPr>
        <w:keepNext/>
        <w:keepLines/>
        <w:spacing w:before="40"/>
        <w:jc w:val="left"/>
        <w:outlineLvl w:val="2"/>
        <w:rPr>
          <w:rFonts w:asciiTheme="minorHAnsi" w:eastAsiaTheme="majorEastAsia" w:hAnsiTheme="minorHAnsi" w:cstheme="majorBidi"/>
          <w:b/>
          <w:color w:val="000000" w:themeColor="text1"/>
        </w:rPr>
      </w:pPr>
      <w:bookmarkStart w:id="19" w:name="_Toc32300585"/>
      <w:r w:rsidRPr="00F33674">
        <w:rPr>
          <w:rFonts w:asciiTheme="minorHAnsi" w:eastAsiaTheme="majorEastAsia" w:hAnsiTheme="minorHAnsi" w:cstheme="majorBidi"/>
          <w:b/>
          <w:color w:val="000000" w:themeColor="text1"/>
        </w:rPr>
        <w:t xml:space="preserve">Listing 6: Restriction for short-term pain TGA indication in </w:t>
      </w:r>
      <w:proofErr w:type="gramStart"/>
      <w:r w:rsidRPr="00F33674">
        <w:rPr>
          <w:rFonts w:asciiTheme="minorHAnsi" w:eastAsiaTheme="majorEastAsia" w:hAnsiTheme="minorHAnsi" w:cstheme="majorBidi"/>
          <w:b/>
          <w:color w:val="000000" w:themeColor="text1"/>
        </w:rPr>
        <w:t>2</w:t>
      </w:r>
      <w:r w:rsidRPr="00F33674">
        <w:rPr>
          <w:rFonts w:asciiTheme="minorHAnsi" w:eastAsiaTheme="majorEastAsia" w:hAnsiTheme="minorHAnsi" w:cstheme="majorBidi"/>
          <w:b/>
          <w:color w:val="000000" w:themeColor="text1"/>
          <w:vertAlign w:val="superscript"/>
        </w:rPr>
        <w:t>nd</w:t>
      </w:r>
      <w:proofErr w:type="gramEnd"/>
      <w:r w:rsidRPr="00F33674">
        <w:rPr>
          <w:rFonts w:asciiTheme="minorHAnsi" w:eastAsiaTheme="majorEastAsia" w:hAnsiTheme="minorHAnsi" w:cstheme="majorBidi"/>
          <w:b/>
          <w:color w:val="000000" w:themeColor="text1"/>
        </w:rPr>
        <w:t xml:space="preserve"> line opioid setting (excluding Sevredol, and morphine injections):</w:t>
      </w:r>
      <w:bookmarkEnd w:id="19"/>
    </w:p>
    <w:p w14:paraId="5C528057" w14:textId="77777777" w:rsidR="00F33674" w:rsidRPr="00F33674" w:rsidRDefault="00F33674" w:rsidP="00F33674">
      <w:pPr>
        <w:keepNext/>
        <w:ind w:left="-108"/>
        <w:rPr>
          <w:rFonts w:ascii="Arial Narrow" w:hAnsi="Arial Narrow" w:cs="Arial"/>
          <w:sz w:val="20"/>
          <w:szCs w:val="20"/>
        </w:rPr>
      </w:pPr>
    </w:p>
    <w:tbl>
      <w:tblPr>
        <w:tblW w:w="94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4"/>
        <w:gridCol w:w="809"/>
        <w:gridCol w:w="1670"/>
        <w:gridCol w:w="708"/>
        <w:gridCol w:w="364"/>
        <w:gridCol w:w="2188"/>
        <w:gridCol w:w="1934"/>
      </w:tblGrid>
      <w:tr w:rsidR="00F33674" w:rsidRPr="00F33674" w14:paraId="2B9DA3CF" w14:textId="77777777" w:rsidTr="00F33674">
        <w:trPr>
          <w:trHeight w:val="300"/>
          <w:tblHeader/>
        </w:trPr>
        <w:tc>
          <w:tcPr>
            <w:tcW w:w="1774" w:type="dxa"/>
            <w:tcBorders>
              <w:top w:val="nil"/>
              <w:left w:val="nil"/>
              <w:bottom w:val="single" w:sz="4" w:space="0" w:color="auto"/>
              <w:right w:val="nil"/>
            </w:tcBorders>
            <w:shd w:val="clear" w:color="auto" w:fill="auto"/>
            <w:noWrap/>
            <w:hideMark/>
          </w:tcPr>
          <w:p w14:paraId="641274D3" w14:textId="77777777" w:rsidR="00F33674" w:rsidRPr="00F33674" w:rsidRDefault="00F33674" w:rsidP="00F33674">
            <w:pPr>
              <w:keepNext/>
              <w:ind w:left="-108"/>
              <w:rPr>
                <w:rFonts w:ascii="Arial Narrow" w:hAnsi="Arial Narrow" w:cs="Arial"/>
                <w:sz w:val="20"/>
                <w:szCs w:val="20"/>
              </w:rPr>
            </w:pPr>
            <w:r w:rsidRPr="00F33674">
              <w:rPr>
                <w:rFonts w:ascii="Arial Narrow" w:hAnsi="Arial Narrow" w:cs="Arial"/>
                <w:sz w:val="20"/>
                <w:szCs w:val="20"/>
              </w:rPr>
              <w:t>LI Drug</w:t>
            </w:r>
          </w:p>
        </w:tc>
        <w:tc>
          <w:tcPr>
            <w:tcW w:w="809" w:type="dxa"/>
            <w:tcBorders>
              <w:top w:val="nil"/>
              <w:left w:val="nil"/>
              <w:bottom w:val="single" w:sz="4" w:space="0" w:color="auto"/>
              <w:right w:val="nil"/>
            </w:tcBorders>
            <w:shd w:val="clear" w:color="auto" w:fill="auto"/>
          </w:tcPr>
          <w:p w14:paraId="3318C015" w14:textId="77777777" w:rsidR="00F33674" w:rsidRPr="00F33674" w:rsidRDefault="00F33674" w:rsidP="00F33674">
            <w:pPr>
              <w:keepNext/>
              <w:ind w:left="-108"/>
              <w:rPr>
                <w:rFonts w:ascii="Arial Narrow" w:hAnsi="Arial Narrow" w:cs="Arial"/>
                <w:sz w:val="20"/>
                <w:szCs w:val="20"/>
              </w:rPr>
            </w:pPr>
            <w:r w:rsidRPr="00F33674">
              <w:rPr>
                <w:rFonts w:ascii="Arial Narrow" w:hAnsi="Arial Narrow" w:cs="Arial"/>
                <w:sz w:val="20"/>
                <w:szCs w:val="20"/>
              </w:rPr>
              <w:t>Item Code</w:t>
            </w:r>
          </w:p>
        </w:tc>
        <w:tc>
          <w:tcPr>
            <w:tcW w:w="1670" w:type="dxa"/>
            <w:tcBorders>
              <w:top w:val="nil"/>
              <w:left w:val="nil"/>
              <w:bottom w:val="single" w:sz="4" w:space="0" w:color="auto"/>
              <w:right w:val="nil"/>
            </w:tcBorders>
            <w:shd w:val="clear" w:color="auto" w:fill="auto"/>
            <w:noWrap/>
            <w:hideMark/>
          </w:tcPr>
          <w:p w14:paraId="578DC204" w14:textId="77777777" w:rsidR="00F33674" w:rsidRPr="00F33674" w:rsidRDefault="00F33674" w:rsidP="00F33674">
            <w:pPr>
              <w:keepNext/>
              <w:ind w:left="-108"/>
              <w:jc w:val="left"/>
              <w:rPr>
                <w:rFonts w:ascii="Arial Narrow" w:hAnsi="Arial Narrow" w:cs="Arial"/>
                <w:sz w:val="20"/>
                <w:szCs w:val="20"/>
              </w:rPr>
            </w:pPr>
            <w:r w:rsidRPr="00F33674">
              <w:rPr>
                <w:rFonts w:ascii="Arial Narrow" w:hAnsi="Arial Narrow" w:cs="Arial"/>
                <w:sz w:val="20"/>
                <w:szCs w:val="20"/>
              </w:rPr>
              <w:t>Legal Instrument Form</w:t>
            </w:r>
          </w:p>
        </w:tc>
        <w:tc>
          <w:tcPr>
            <w:tcW w:w="708" w:type="dxa"/>
            <w:tcBorders>
              <w:top w:val="nil"/>
              <w:left w:val="nil"/>
              <w:bottom w:val="single" w:sz="4" w:space="0" w:color="auto"/>
              <w:right w:val="nil"/>
            </w:tcBorders>
            <w:shd w:val="clear" w:color="auto" w:fill="auto"/>
            <w:noWrap/>
            <w:hideMark/>
          </w:tcPr>
          <w:p w14:paraId="7458EBDE" w14:textId="77777777" w:rsidR="00F33674" w:rsidRPr="00F33674" w:rsidRDefault="00F33674" w:rsidP="00F33674">
            <w:pPr>
              <w:keepNext/>
              <w:ind w:left="-108"/>
              <w:rPr>
                <w:rFonts w:ascii="Arial Narrow" w:hAnsi="Arial Narrow" w:cs="Arial"/>
                <w:sz w:val="20"/>
                <w:szCs w:val="20"/>
              </w:rPr>
            </w:pPr>
            <w:r w:rsidRPr="00F33674">
              <w:rPr>
                <w:rFonts w:ascii="Arial Narrow" w:hAnsi="Arial Narrow" w:cs="Arial"/>
                <w:sz w:val="20"/>
                <w:szCs w:val="20"/>
              </w:rPr>
              <w:t>Max. Qty</w:t>
            </w:r>
          </w:p>
        </w:tc>
        <w:tc>
          <w:tcPr>
            <w:tcW w:w="364" w:type="dxa"/>
            <w:tcBorders>
              <w:top w:val="nil"/>
              <w:left w:val="nil"/>
              <w:bottom w:val="single" w:sz="4" w:space="0" w:color="auto"/>
              <w:right w:val="nil"/>
            </w:tcBorders>
            <w:shd w:val="clear" w:color="auto" w:fill="auto"/>
            <w:noWrap/>
            <w:hideMark/>
          </w:tcPr>
          <w:p w14:paraId="125D8A61" w14:textId="77777777" w:rsidR="00F33674" w:rsidRPr="00F33674" w:rsidRDefault="00F33674" w:rsidP="00F33674">
            <w:pPr>
              <w:keepNext/>
              <w:ind w:left="-108"/>
              <w:rPr>
                <w:rFonts w:ascii="Arial Narrow" w:hAnsi="Arial Narrow" w:cs="Arial"/>
                <w:sz w:val="20"/>
                <w:szCs w:val="20"/>
              </w:rPr>
            </w:pPr>
            <w:r w:rsidRPr="00F33674">
              <w:rPr>
                <w:rFonts w:ascii="Arial Narrow" w:hAnsi="Arial Narrow" w:cs="Arial"/>
                <w:sz w:val="20"/>
                <w:szCs w:val="20"/>
              </w:rPr>
              <w:t>No. Rpt</w:t>
            </w:r>
          </w:p>
        </w:tc>
        <w:tc>
          <w:tcPr>
            <w:tcW w:w="2188" w:type="dxa"/>
            <w:tcBorders>
              <w:top w:val="nil"/>
              <w:left w:val="nil"/>
              <w:bottom w:val="single" w:sz="4" w:space="0" w:color="auto"/>
              <w:right w:val="nil"/>
            </w:tcBorders>
            <w:shd w:val="clear" w:color="auto" w:fill="auto"/>
            <w:noWrap/>
            <w:hideMark/>
          </w:tcPr>
          <w:p w14:paraId="29925FEA" w14:textId="77777777" w:rsidR="00F33674" w:rsidRPr="00F33674" w:rsidRDefault="00F33674" w:rsidP="00F33674">
            <w:pPr>
              <w:keepNext/>
              <w:ind w:left="-108"/>
              <w:rPr>
                <w:rFonts w:ascii="Arial Narrow" w:hAnsi="Arial Narrow" w:cs="Arial"/>
                <w:sz w:val="20"/>
                <w:szCs w:val="20"/>
              </w:rPr>
            </w:pPr>
            <w:r w:rsidRPr="00F33674">
              <w:rPr>
                <w:rFonts w:ascii="Arial Narrow" w:hAnsi="Arial Narrow" w:cs="Arial"/>
                <w:sz w:val="20"/>
                <w:szCs w:val="20"/>
              </w:rPr>
              <w:t>Brand Name</w:t>
            </w:r>
          </w:p>
        </w:tc>
        <w:tc>
          <w:tcPr>
            <w:tcW w:w="1934" w:type="dxa"/>
            <w:tcBorders>
              <w:top w:val="nil"/>
              <w:left w:val="nil"/>
              <w:bottom w:val="single" w:sz="4" w:space="0" w:color="auto"/>
              <w:right w:val="nil"/>
            </w:tcBorders>
            <w:shd w:val="clear" w:color="auto" w:fill="auto"/>
            <w:noWrap/>
            <w:hideMark/>
          </w:tcPr>
          <w:p w14:paraId="6F766215" w14:textId="77777777" w:rsidR="00F33674" w:rsidRPr="00F33674" w:rsidRDefault="00F33674" w:rsidP="00F33674">
            <w:pPr>
              <w:keepNext/>
              <w:ind w:left="-108"/>
              <w:rPr>
                <w:rFonts w:ascii="Arial Narrow" w:hAnsi="Arial Narrow" w:cs="Arial"/>
                <w:sz w:val="20"/>
                <w:szCs w:val="20"/>
              </w:rPr>
            </w:pPr>
            <w:r w:rsidRPr="00F33674">
              <w:rPr>
                <w:rFonts w:ascii="Arial Narrow" w:hAnsi="Arial Narrow" w:cs="Arial"/>
                <w:sz w:val="20"/>
                <w:szCs w:val="20"/>
              </w:rPr>
              <w:t>Responsible Person</w:t>
            </w:r>
          </w:p>
        </w:tc>
      </w:tr>
      <w:tr w:rsidR="00F33674" w:rsidRPr="00F33674" w14:paraId="258115FE" w14:textId="77777777" w:rsidTr="00F33674">
        <w:trPr>
          <w:trHeight w:val="300"/>
        </w:trPr>
        <w:tc>
          <w:tcPr>
            <w:tcW w:w="1774" w:type="dxa"/>
            <w:tcBorders>
              <w:top w:val="single" w:sz="4" w:space="0" w:color="auto"/>
              <w:left w:val="nil"/>
              <w:bottom w:val="nil"/>
              <w:right w:val="nil"/>
            </w:tcBorders>
            <w:shd w:val="clear" w:color="auto" w:fill="auto"/>
            <w:noWrap/>
            <w:hideMark/>
          </w:tcPr>
          <w:p w14:paraId="59A2107E"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HYDROMORPHONE</w:t>
            </w:r>
          </w:p>
        </w:tc>
        <w:tc>
          <w:tcPr>
            <w:tcW w:w="809" w:type="dxa"/>
            <w:tcBorders>
              <w:top w:val="single" w:sz="4" w:space="0" w:color="auto"/>
              <w:left w:val="nil"/>
              <w:bottom w:val="nil"/>
              <w:right w:val="nil"/>
            </w:tcBorders>
          </w:tcPr>
          <w:p w14:paraId="395F98E0" w14:textId="77777777" w:rsidR="00F33674" w:rsidRPr="00F33674" w:rsidRDefault="00F33674" w:rsidP="00F33674">
            <w:pPr>
              <w:ind w:left="-58" w:hanging="37"/>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8421F</w:t>
            </w:r>
          </w:p>
        </w:tc>
        <w:tc>
          <w:tcPr>
            <w:tcW w:w="1670" w:type="dxa"/>
            <w:vMerge w:val="restart"/>
            <w:tcBorders>
              <w:top w:val="single" w:sz="4" w:space="0" w:color="auto"/>
              <w:left w:val="nil"/>
              <w:right w:val="nil"/>
            </w:tcBorders>
            <w:shd w:val="clear" w:color="auto" w:fill="auto"/>
            <w:noWrap/>
            <w:hideMark/>
          </w:tcPr>
          <w:p w14:paraId="2378A0D2"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Injection containing hydromorphone hydrochloride 10 mg in 1 mL</w:t>
            </w:r>
          </w:p>
        </w:tc>
        <w:tc>
          <w:tcPr>
            <w:tcW w:w="708" w:type="dxa"/>
            <w:tcBorders>
              <w:top w:val="single" w:sz="4" w:space="0" w:color="auto"/>
              <w:left w:val="nil"/>
              <w:bottom w:val="nil"/>
              <w:right w:val="nil"/>
            </w:tcBorders>
            <w:shd w:val="clear" w:color="auto" w:fill="auto"/>
            <w:noWrap/>
            <w:hideMark/>
          </w:tcPr>
          <w:p w14:paraId="65BE4ACA"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5</w:t>
            </w:r>
          </w:p>
        </w:tc>
        <w:tc>
          <w:tcPr>
            <w:tcW w:w="364" w:type="dxa"/>
            <w:tcBorders>
              <w:top w:val="single" w:sz="4" w:space="0" w:color="auto"/>
              <w:left w:val="nil"/>
              <w:bottom w:val="nil"/>
              <w:right w:val="nil"/>
            </w:tcBorders>
            <w:shd w:val="clear" w:color="auto" w:fill="auto"/>
            <w:noWrap/>
            <w:hideMark/>
          </w:tcPr>
          <w:p w14:paraId="5048118E"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0</w:t>
            </w:r>
          </w:p>
        </w:tc>
        <w:tc>
          <w:tcPr>
            <w:tcW w:w="2188" w:type="dxa"/>
            <w:tcBorders>
              <w:top w:val="single" w:sz="4" w:space="0" w:color="auto"/>
              <w:left w:val="nil"/>
              <w:bottom w:val="nil"/>
              <w:right w:val="nil"/>
            </w:tcBorders>
            <w:shd w:val="clear" w:color="auto" w:fill="auto"/>
            <w:noWrap/>
            <w:hideMark/>
          </w:tcPr>
          <w:p w14:paraId="77D65D2F"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Dilaudid-HP</w:t>
            </w:r>
          </w:p>
        </w:tc>
        <w:tc>
          <w:tcPr>
            <w:tcW w:w="1934" w:type="dxa"/>
            <w:tcBorders>
              <w:top w:val="single" w:sz="4" w:space="0" w:color="auto"/>
              <w:left w:val="nil"/>
              <w:bottom w:val="nil"/>
              <w:right w:val="nil"/>
            </w:tcBorders>
            <w:shd w:val="clear" w:color="auto" w:fill="auto"/>
            <w:noWrap/>
            <w:hideMark/>
          </w:tcPr>
          <w:p w14:paraId="75C1C3CA"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Mundipharma Pty Limited</w:t>
            </w:r>
          </w:p>
        </w:tc>
      </w:tr>
      <w:tr w:rsidR="00F33674" w:rsidRPr="00F33674" w14:paraId="0043D4D9" w14:textId="77777777" w:rsidTr="00F33674">
        <w:trPr>
          <w:trHeight w:val="300"/>
        </w:trPr>
        <w:tc>
          <w:tcPr>
            <w:tcW w:w="1774" w:type="dxa"/>
            <w:tcBorders>
              <w:top w:val="nil"/>
              <w:left w:val="nil"/>
              <w:bottom w:val="nil"/>
              <w:right w:val="nil"/>
            </w:tcBorders>
            <w:shd w:val="clear" w:color="auto" w:fill="auto"/>
            <w:noWrap/>
          </w:tcPr>
          <w:p w14:paraId="6435839E" w14:textId="77777777" w:rsidR="00F33674" w:rsidRPr="00F33674" w:rsidRDefault="00F33674" w:rsidP="00F33674">
            <w:pPr>
              <w:jc w:val="left"/>
              <w:rPr>
                <w:rFonts w:ascii="Arial Narrow" w:hAnsi="Arial Narrow" w:cs="Calibri"/>
                <w:color w:val="000000"/>
                <w:sz w:val="20"/>
                <w:szCs w:val="20"/>
                <w:lang w:eastAsia="en-AU"/>
              </w:rPr>
            </w:pPr>
          </w:p>
        </w:tc>
        <w:tc>
          <w:tcPr>
            <w:tcW w:w="809" w:type="dxa"/>
            <w:tcBorders>
              <w:top w:val="nil"/>
              <w:left w:val="nil"/>
              <w:bottom w:val="nil"/>
              <w:right w:val="nil"/>
            </w:tcBorders>
          </w:tcPr>
          <w:p w14:paraId="74073623" w14:textId="77777777" w:rsidR="00F33674" w:rsidRPr="00F33674" w:rsidRDefault="00F33674" w:rsidP="00F33674">
            <w:pPr>
              <w:ind w:left="-58" w:hanging="37"/>
              <w:jc w:val="left"/>
              <w:rPr>
                <w:rFonts w:ascii="Arial Narrow" w:hAnsi="Arial Narrow" w:cs="Calibri"/>
                <w:color w:val="000000"/>
                <w:sz w:val="20"/>
                <w:szCs w:val="20"/>
                <w:lang w:eastAsia="en-AU"/>
              </w:rPr>
            </w:pPr>
          </w:p>
        </w:tc>
        <w:tc>
          <w:tcPr>
            <w:tcW w:w="1670" w:type="dxa"/>
            <w:vMerge/>
            <w:tcBorders>
              <w:left w:val="nil"/>
              <w:bottom w:val="nil"/>
              <w:right w:val="nil"/>
            </w:tcBorders>
            <w:shd w:val="clear" w:color="auto" w:fill="auto"/>
            <w:noWrap/>
          </w:tcPr>
          <w:p w14:paraId="53B4D294" w14:textId="77777777" w:rsidR="00F33674" w:rsidRPr="00F33674" w:rsidRDefault="00F33674" w:rsidP="00F33674">
            <w:pPr>
              <w:jc w:val="left"/>
              <w:rPr>
                <w:rFonts w:ascii="Arial Narrow" w:hAnsi="Arial Narrow" w:cs="Calibri"/>
                <w:color w:val="000000"/>
                <w:sz w:val="20"/>
                <w:szCs w:val="20"/>
                <w:lang w:eastAsia="en-AU"/>
              </w:rPr>
            </w:pPr>
          </w:p>
        </w:tc>
        <w:tc>
          <w:tcPr>
            <w:tcW w:w="708" w:type="dxa"/>
            <w:tcBorders>
              <w:top w:val="nil"/>
              <w:left w:val="nil"/>
              <w:bottom w:val="nil"/>
              <w:right w:val="nil"/>
            </w:tcBorders>
            <w:shd w:val="clear" w:color="auto" w:fill="auto"/>
            <w:noWrap/>
          </w:tcPr>
          <w:p w14:paraId="5AFF46F7" w14:textId="77777777" w:rsidR="00F33674" w:rsidRPr="00F33674" w:rsidRDefault="00F33674" w:rsidP="00F33674">
            <w:pPr>
              <w:jc w:val="left"/>
              <w:rPr>
                <w:rFonts w:ascii="Arial Narrow" w:hAnsi="Arial Narrow" w:cs="Calibri"/>
                <w:color w:val="000000"/>
                <w:sz w:val="20"/>
                <w:szCs w:val="20"/>
                <w:lang w:eastAsia="en-AU"/>
              </w:rPr>
            </w:pPr>
          </w:p>
        </w:tc>
        <w:tc>
          <w:tcPr>
            <w:tcW w:w="364" w:type="dxa"/>
            <w:tcBorders>
              <w:top w:val="nil"/>
              <w:left w:val="nil"/>
              <w:bottom w:val="nil"/>
              <w:right w:val="nil"/>
            </w:tcBorders>
            <w:shd w:val="clear" w:color="auto" w:fill="auto"/>
            <w:noWrap/>
          </w:tcPr>
          <w:p w14:paraId="0E524B59" w14:textId="77777777" w:rsidR="00F33674" w:rsidRPr="00F33674" w:rsidRDefault="00F33674" w:rsidP="00F33674">
            <w:pPr>
              <w:jc w:val="left"/>
              <w:rPr>
                <w:rFonts w:ascii="Arial Narrow" w:hAnsi="Arial Narrow" w:cs="Calibri"/>
                <w:color w:val="000000"/>
                <w:sz w:val="20"/>
                <w:szCs w:val="20"/>
                <w:lang w:eastAsia="en-AU"/>
              </w:rPr>
            </w:pPr>
          </w:p>
        </w:tc>
        <w:tc>
          <w:tcPr>
            <w:tcW w:w="2188" w:type="dxa"/>
            <w:tcBorders>
              <w:top w:val="nil"/>
              <w:left w:val="nil"/>
              <w:bottom w:val="nil"/>
              <w:right w:val="nil"/>
            </w:tcBorders>
            <w:shd w:val="clear" w:color="auto" w:fill="auto"/>
            <w:noWrap/>
            <w:hideMark/>
          </w:tcPr>
          <w:p w14:paraId="0621521A"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HYDROMORPHONE JUNO-HP</w:t>
            </w:r>
          </w:p>
        </w:tc>
        <w:tc>
          <w:tcPr>
            <w:tcW w:w="1934" w:type="dxa"/>
            <w:tcBorders>
              <w:top w:val="nil"/>
              <w:left w:val="nil"/>
              <w:bottom w:val="nil"/>
              <w:right w:val="nil"/>
            </w:tcBorders>
            <w:shd w:val="clear" w:color="auto" w:fill="auto"/>
            <w:noWrap/>
            <w:hideMark/>
          </w:tcPr>
          <w:p w14:paraId="47576ED6"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Juno Pharmaceuticals Pty Ltd</w:t>
            </w:r>
          </w:p>
        </w:tc>
      </w:tr>
      <w:tr w:rsidR="00F33674" w:rsidRPr="00F33674" w14:paraId="75DFEF89" w14:textId="77777777" w:rsidTr="00F33674">
        <w:trPr>
          <w:trHeight w:val="300"/>
        </w:trPr>
        <w:tc>
          <w:tcPr>
            <w:tcW w:w="1774" w:type="dxa"/>
            <w:tcBorders>
              <w:top w:val="nil"/>
              <w:left w:val="nil"/>
              <w:bottom w:val="nil"/>
              <w:right w:val="nil"/>
            </w:tcBorders>
            <w:shd w:val="clear" w:color="auto" w:fill="auto"/>
            <w:noWrap/>
          </w:tcPr>
          <w:p w14:paraId="454938C9" w14:textId="77777777" w:rsidR="00F33674" w:rsidRPr="00F33674" w:rsidRDefault="00F33674" w:rsidP="00F33674">
            <w:pPr>
              <w:jc w:val="left"/>
              <w:rPr>
                <w:rFonts w:ascii="Arial Narrow" w:hAnsi="Arial Narrow" w:cs="Calibri"/>
                <w:color w:val="000000"/>
                <w:sz w:val="20"/>
                <w:szCs w:val="20"/>
                <w:lang w:eastAsia="en-AU"/>
              </w:rPr>
            </w:pPr>
          </w:p>
        </w:tc>
        <w:tc>
          <w:tcPr>
            <w:tcW w:w="809" w:type="dxa"/>
            <w:tcBorders>
              <w:top w:val="nil"/>
              <w:left w:val="nil"/>
              <w:bottom w:val="nil"/>
              <w:right w:val="nil"/>
            </w:tcBorders>
          </w:tcPr>
          <w:p w14:paraId="25145A74" w14:textId="77777777" w:rsidR="00F33674" w:rsidRPr="00F33674" w:rsidRDefault="00F33674" w:rsidP="00F33674">
            <w:pPr>
              <w:ind w:left="-58" w:hanging="37"/>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8420E</w:t>
            </w:r>
          </w:p>
        </w:tc>
        <w:tc>
          <w:tcPr>
            <w:tcW w:w="1670" w:type="dxa"/>
            <w:vMerge w:val="restart"/>
            <w:tcBorders>
              <w:top w:val="nil"/>
              <w:left w:val="nil"/>
              <w:right w:val="nil"/>
            </w:tcBorders>
            <w:shd w:val="clear" w:color="auto" w:fill="auto"/>
            <w:noWrap/>
            <w:hideMark/>
          </w:tcPr>
          <w:p w14:paraId="18DED76E"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Injection containing hydromorphone hydrochloride 2 mg in 1 mL</w:t>
            </w:r>
          </w:p>
        </w:tc>
        <w:tc>
          <w:tcPr>
            <w:tcW w:w="708" w:type="dxa"/>
            <w:tcBorders>
              <w:top w:val="nil"/>
              <w:left w:val="nil"/>
              <w:bottom w:val="nil"/>
              <w:right w:val="nil"/>
            </w:tcBorders>
            <w:shd w:val="clear" w:color="auto" w:fill="auto"/>
            <w:noWrap/>
            <w:hideMark/>
          </w:tcPr>
          <w:p w14:paraId="37FB4EC9"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5</w:t>
            </w:r>
          </w:p>
        </w:tc>
        <w:tc>
          <w:tcPr>
            <w:tcW w:w="364" w:type="dxa"/>
            <w:tcBorders>
              <w:top w:val="nil"/>
              <w:left w:val="nil"/>
              <w:bottom w:val="nil"/>
              <w:right w:val="nil"/>
            </w:tcBorders>
            <w:shd w:val="clear" w:color="auto" w:fill="auto"/>
            <w:noWrap/>
            <w:hideMark/>
          </w:tcPr>
          <w:p w14:paraId="3F0A34DC"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0</w:t>
            </w:r>
          </w:p>
        </w:tc>
        <w:tc>
          <w:tcPr>
            <w:tcW w:w="2188" w:type="dxa"/>
            <w:tcBorders>
              <w:top w:val="nil"/>
              <w:left w:val="nil"/>
              <w:bottom w:val="nil"/>
              <w:right w:val="nil"/>
            </w:tcBorders>
            <w:shd w:val="clear" w:color="auto" w:fill="auto"/>
            <w:noWrap/>
            <w:hideMark/>
          </w:tcPr>
          <w:p w14:paraId="059AAC79"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Dilaudid</w:t>
            </w:r>
          </w:p>
        </w:tc>
        <w:tc>
          <w:tcPr>
            <w:tcW w:w="1934" w:type="dxa"/>
            <w:tcBorders>
              <w:top w:val="nil"/>
              <w:left w:val="nil"/>
              <w:bottom w:val="nil"/>
              <w:right w:val="nil"/>
            </w:tcBorders>
            <w:shd w:val="clear" w:color="auto" w:fill="auto"/>
            <w:noWrap/>
            <w:hideMark/>
          </w:tcPr>
          <w:p w14:paraId="19D75B8D"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Mundipharma Pty Limited</w:t>
            </w:r>
          </w:p>
        </w:tc>
      </w:tr>
      <w:tr w:rsidR="00F33674" w:rsidRPr="00F33674" w14:paraId="5788D434" w14:textId="77777777" w:rsidTr="00F33674">
        <w:trPr>
          <w:trHeight w:val="300"/>
        </w:trPr>
        <w:tc>
          <w:tcPr>
            <w:tcW w:w="1774" w:type="dxa"/>
            <w:tcBorders>
              <w:top w:val="nil"/>
              <w:left w:val="nil"/>
              <w:bottom w:val="nil"/>
              <w:right w:val="nil"/>
            </w:tcBorders>
            <w:shd w:val="clear" w:color="auto" w:fill="auto"/>
            <w:noWrap/>
          </w:tcPr>
          <w:p w14:paraId="2AF54744" w14:textId="77777777" w:rsidR="00F33674" w:rsidRPr="00F33674" w:rsidRDefault="00F33674" w:rsidP="00F33674">
            <w:pPr>
              <w:jc w:val="left"/>
              <w:rPr>
                <w:rFonts w:ascii="Arial Narrow" w:hAnsi="Arial Narrow" w:cs="Calibri"/>
                <w:color w:val="000000"/>
                <w:sz w:val="20"/>
                <w:szCs w:val="20"/>
                <w:lang w:eastAsia="en-AU"/>
              </w:rPr>
            </w:pPr>
          </w:p>
        </w:tc>
        <w:tc>
          <w:tcPr>
            <w:tcW w:w="809" w:type="dxa"/>
            <w:tcBorders>
              <w:top w:val="nil"/>
              <w:left w:val="nil"/>
              <w:bottom w:val="nil"/>
              <w:right w:val="nil"/>
            </w:tcBorders>
          </w:tcPr>
          <w:p w14:paraId="1EBBD625" w14:textId="77777777" w:rsidR="00F33674" w:rsidRPr="00F33674" w:rsidRDefault="00F33674" w:rsidP="00F33674">
            <w:pPr>
              <w:ind w:left="-58" w:hanging="37"/>
              <w:jc w:val="left"/>
              <w:rPr>
                <w:rFonts w:ascii="Arial Narrow" w:hAnsi="Arial Narrow" w:cs="Calibri"/>
                <w:color w:val="000000"/>
                <w:sz w:val="20"/>
                <w:szCs w:val="20"/>
                <w:lang w:eastAsia="en-AU"/>
              </w:rPr>
            </w:pPr>
          </w:p>
        </w:tc>
        <w:tc>
          <w:tcPr>
            <w:tcW w:w="1670" w:type="dxa"/>
            <w:vMerge/>
            <w:tcBorders>
              <w:left w:val="nil"/>
              <w:bottom w:val="nil"/>
              <w:right w:val="nil"/>
            </w:tcBorders>
            <w:shd w:val="clear" w:color="auto" w:fill="auto"/>
            <w:noWrap/>
          </w:tcPr>
          <w:p w14:paraId="27130623" w14:textId="77777777" w:rsidR="00F33674" w:rsidRPr="00F33674" w:rsidRDefault="00F33674" w:rsidP="00F33674">
            <w:pPr>
              <w:jc w:val="left"/>
              <w:rPr>
                <w:rFonts w:ascii="Arial Narrow" w:hAnsi="Arial Narrow" w:cs="Calibri"/>
                <w:color w:val="000000"/>
                <w:sz w:val="20"/>
                <w:szCs w:val="20"/>
                <w:lang w:eastAsia="en-AU"/>
              </w:rPr>
            </w:pPr>
          </w:p>
        </w:tc>
        <w:tc>
          <w:tcPr>
            <w:tcW w:w="708" w:type="dxa"/>
            <w:tcBorders>
              <w:top w:val="nil"/>
              <w:left w:val="nil"/>
              <w:bottom w:val="nil"/>
              <w:right w:val="nil"/>
            </w:tcBorders>
            <w:shd w:val="clear" w:color="auto" w:fill="auto"/>
            <w:noWrap/>
          </w:tcPr>
          <w:p w14:paraId="1FDF2523" w14:textId="77777777" w:rsidR="00F33674" w:rsidRPr="00F33674" w:rsidRDefault="00F33674" w:rsidP="00F33674">
            <w:pPr>
              <w:jc w:val="left"/>
              <w:rPr>
                <w:rFonts w:ascii="Arial Narrow" w:hAnsi="Arial Narrow" w:cs="Calibri"/>
                <w:color w:val="000000"/>
                <w:sz w:val="20"/>
                <w:szCs w:val="20"/>
                <w:lang w:eastAsia="en-AU"/>
              </w:rPr>
            </w:pPr>
          </w:p>
        </w:tc>
        <w:tc>
          <w:tcPr>
            <w:tcW w:w="364" w:type="dxa"/>
            <w:tcBorders>
              <w:top w:val="nil"/>
              <w:left w:val="nil"/>
              <w:bottom w:val="nil"/>
              <w:right w:val="nil"/>
            </w:tcBorders>
            <w:shd w:val="clear" w:color="auto" w:fill="auto"/>
            <w:noWrap/>
          </w:tcPr>
          <w:p w14:paraId="4EA080F0" w14:textId="77777777" w:rsidR="00F33674" w:rsidRPr="00F33674" w:rsidRDefault="00F33674" w:rsidP="00F33674">
            <w:pPr>
              <w:jc w:val="left"/>
              <w:rPr>
                <w:rFonts w:ascii="Arial Narrow" w:hAnsi="Arial Narrow" w:cs="Calibri"/>
                <w:color w:val="000000"/>
                <w:sz w:val="20"/>
                <w:szCs w:val="20"/>
                <w:lang w:eastAsia="en-AU"/>
              </w:rPr>
            </w:pPr>
          </w:p>
        </w:tc>
        <w:tc>
          <w:tcPr>
            <w:tcW w:w="2188" w:type="dxa"/>
            <w:tcBorders>
              <w:top w:val="nil"/>
              <w:left w:val="nil"/>
              <w:bottom w:val="nil"/>
              <w:right w:val="nil"/>
            </w:tcBorders>
            <w:shd w:val="clear" w:color="auto" w:fill="auto"/>
            <w:noWrap/>
            <w:hideMark/>
          </w:tcPr>
          <w:p w14:paraId="7E7F4D20"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HYDROMORPHONE JUNO</w:t>
            </w:r>
          </w:p>
        </w:tc>
        <w:tc>
          <w:tcPr>
            <w:tcW w:w="1934" w:type="dxa"/>
            <w:tcBorders>
              <w:top w:val="nil"/>
              <w:left w:val="nil"/>
              <w:bottom w:val="nil"/>
              <w:right w:val="nil"/>
            </w:tcBorders>
            <w:shd w:val="clear" w:color="auto" w:fill="auto"/>
            <w:noWrap/>
            <w:hideMark/>
          </w:tcPr>
          <w:p w14:paraId="74BED1F0"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Juno Pharmaceuticals Pty Ltd</w:t>
            </w:r>
          </w:p>
        </w:tc>
      </w:tr>
      <w:tr w:rsidR="00F33674" w:rsidRPr="00F33674" w14:paraId="41EC4726" w14:textId="77777777" w:rsidTr="00F33674">
        <w:trPr>
          <w:trHeight w:val="300"/>
        </w:trPr>
        <w:tc>
          <w:tcPr>
            <w:tcW w:w="1774" w:type="dxa"/>
            <w:tcBorders>
              <w:top w:val="nil"/>
              <w:left w:val="nil"/>
              <w:bottom w:val="nil"/>
              <w:right w:val="nil"/>
            </w:tcBorders>
            <w:shd w:val="clear" w:color="auto" w:fill="auto"/>
            <w:noWrap/>
          </w:tcPr>
          <w:p w14:paraId="3741BE03" w14:textId="77777777" w:rsidR="00F33674" w:rsidRPr="00F33674" w:rsidRDefault="00F33674" w:rsidP="00F33674">
            <w:pPr>
              <w:jc w:val="left"/>
              <w:rPr>
                <w:rFonts w:ascii="Arial Narrow" w:hAnsi="Arial Narrow" w:cs="Calibri"/>
                <w:color w:val="000000"/>
                <w:sz w:val="20"/>
                <w:szCs w:val="20"/>
                <w:lang w:eastAsia="en-AU"/>
              </w:rPr>
            </w:pPr>
          </w:p>
        </w:tc>
        <w:tc>
          <w:tcPr>
            <w:tcW w:w="809" w:type="dxa"/>
            <w:tcBorders>
              <w:top w:val="nil"/>
              <w:left w:val="nil"/>
              <w:bottom w:val="nil"/>
              <w:right w:val="nil"/>
            </w:tcBorders>
          </w:tcPr>
          <w:p w14:paraId="70233AE0" w14:textId="77777777" w:rsidR="00F33674" w:rsidRPr="00F33674" w:rsidRDefault="00F33674" w:rsidP="00F33674">
            <w:pPr>
              <w:ind w:left="-58" w:hanging="37"/>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11467M</w:t>
            </w:r>
          </w:p>
        </w:tc>
        <w:tc>
          <w:tcPr>
            <w:tcW w:w="1670" w:type="dxa"/>
            <w:tcBorders>
              <w:top w:val="nil"/>
              <w:left w:val="nil"/>
              <w:bottom w:val="nil"/>
              <w:right w:val="nil"/>
            </w:tcBorders>
            <w:shd w:val="clear" w:color="auto" w:fill="auto"/>
            <w:noWrap/>
            <w:hideMark/>
          </w:tcPr>
          <w:p w14:paraId="12968FA6"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Oral liquid containing hydromorphone hydrochloride 1 mg per mL, 200 mL</w:t>
            </w:r>
          </w:p>
        </w:tc>
        <w:tc>
          <w:tcPr>
            <w:tcW w:w="708" w:type="dxa"/>
            <w:tcBorders>
              <w:top w:val="nil"/>
              <w:left w:val="nil"/>
              <w:bottom w:val="nil"/>
              <w:right w:val="nil"/>
            </w:tcBorders>
            <w:shd w:val="clear" w:color="auto" w:fill="auto"/>
            <w:noWrap/>
            <w:hideMark/>
          </w:tcPr>
          <w:p w14:paraId="351198EA"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1</w:t>
            </w:r>
          </w:p>
        </w:tc>
        <w:tc>
          <w:tcPr>
            <w:tcW w:w="364" w:type="dxa"/>
            <w:tcBorders>
              <w:top w:val="nil"/>
              <w:left w:val="nil"/>
              <w:bottom w:val="nil"/>
              <w:right w:val="nil"/>
            </w:tcBorders>
            <w:shd w:val="clear" w:color="auto" w:fill="auto"/>
            <w:noWrap/>
            <w:hideMark/>
          </w:tcPr>
          <w:p w14:paraId="7F241907"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0</w:t>
            </w:r>
          </w:p>
        </w:tc>
        <w:tc>
          <w:tcPr>
            <w:tcW w:w="2188" w:type="dxa"/>
            <w:tcBorders>
              <w:top w:val="nil"/>
              <w:left w:val="nil"/>
              <w:bottom w:val="nil"/>
              <w:right w:val="nil"/>
            </w:tcBorders>
            <w:shd w:val="clear" w:color="auto" w:fill="auto"/>
            <w:noWrap/>
            <w:hideMark/>
          </w:tcPr>
          <w:p w14:paraId="26E12173"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Dilaudid</w:t>
            </w:r>
          </w:p>
        </w:tc>
        <w:tc>
          <w:tcPr>
            <w:tcW w:w="1934" w:type="dxa"/>
            <w:tcBorders>
              <w:top w:val="nil"/>
              <w:left w:val="nil"/>
              <w:bottom w:val="nil"/>
              <w:right w:val="nil"/>
            </w:tcBorders>
            <w:shd w:val="clear" w:color="auto" w:fill="auto"/>
            <w:noWrap/>
            <w:hideMark/>
          </w:tcPr>
          <w:p w14:paraId="25CCEEA7"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Mundipharma Pty Limited</w:t>
            </w:r>
          </w:p>
        </w:tc>
      </w:tr>
      <w:tr w:rsidR="00F33674" w:rsidRPr="00F33674" w14:paraId="09BF4186" w14:textId="77777777" w:rsidTr="00F33674">
        <w:trPr>
          <w:trHeight w:val="300"/>
        </w:trPr>
        <w:tc>
          <w:tcPr>
            <w:tcW w:w="1774" w:type="dxa"/>
            <w:tcBorders>
              <w:top w:val="nil"/>
              <w:left w:val="nil"/>
              <w:bottom w:val="nil"/>
              <w:right w:val="nil"/>
            </w:tcBorders>
            <w:shd w:val="clear" w:color="auto" w:fill="auto"/>
            <w:noWrap/>
          </w:tcPr>
          <w:p w14:paraId="2072456A" w14:textId="77777777" w:rsidR="00F33674" w:rsidRPr="00F33674" w:rsidRDefault="00F33674" w:rsidP="00F33674">
            <w:pPr>
              <w:jc w:val="left"/>
              <w:rPr>
                <w:rFonts w:ascii="Arial Narrow" w:hAnsi="Arial Narrow" w:cs="Calibri"/>
                <w:color w:val="000000"/>
                <w:sz w:val="20"/>
                <w:szCs w:val="20"/>
                <w:lang w:eastAsia="en-AU"/>
              </w:rPr>
            </w:pPr>
          </w:p>
        </w:tc>
        <w:tc>
          <w:tcPr>
            <w:tcW w:w="809" w:type="dxa"/>
            <w:tcBorders>
              <w:top w:val="nil"/>
              <w:left w:val="nil"/>
              <w:bottom w:val="nil"/>
              <w:right w:val="nil"/>
            </w:tcBorders>
          </w:tcPr>
          <w:p w14:paraId="5ADDA75B" w14:textId="77777777" w:rsidR="00F33674" w:rsidRPr="00F33674" w:rsidRDefault="00F33674" w:rsidP="00F33674">
            <w:pPr>
              <w:ind w:left="-58" w:hanging="37"/>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8541M</w:t>
            </w:r>
          </w:p>
        </w:tc>
        <w:tc>
          <w:tcPr>
            <w:tcW w:w="1670" w:type="dxa"/>
            <w:tcBorders>
              <w:top w:val="nil"/>
              <w:left w:val="nil"/>
              <w:bottom w:val="nil"/>
              <w:right w:val="nil"/>
            </w:tcBorders>
            <w:shd w:val="clear" w:color="auto" w:fill="auto"/>
            <w:noWrap/>
            <w:hideMark/>
          </w:tcPr>
          <w:p w14:paraId="046A4293"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Tablet containing hydromorphone hydrochloride 2 mg</w:t>
            </w:r>
          </w:p>
        </w:tc>
        <w:tc>
          <w:tcPr>
            <w:tcW w:w="708" w:type="dxa"/>
            <w:tcBorders>
              <w:top w:val="nil"/>
              <w:left w:val="nil"/>
              <w:bottom w:val="nil"/>
              <w:right w:val="nil"/>
            </w:tcBorders>
            <w:shd w:val="clear" w:color="auto" w:fill="auto"/>
            <w:noWrap/>
            <w:hideMark/>
          </w:tcPr>
          <w:p w14:paraId="7B88C62F"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20</w:t>
            </w:r>
          </w:p>
        </w:tc>
        <w:tc>
          <w:tcPr>
            <w:tcW w:w="364" w:type="dxa"/>
            <w:tcBorders>
              <w:top w:val="nil"/>
              <w:left w:val="nil"/>
              <w:bottom w:val="nil"/>
              <w:right w:val="nil"/>
            </w:tcBorders>
            <w:shd w:val="clear" w:color="auto" w:fill="auto"/>
            <w:noWrap/>
            <w:hideMark/>
          </w:tcPr>
          <w:p w14:paraId="4927EF89"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0</w:t>
            </w:r>
          </w:p>
        </w:tc>
        <w:tc>
          <w:tcPr>
            <w:tcW w:w="2188" w:type="dxa"/>
            <w:tcBorders>
              <w:top w:val="nil"/>
              <w:left w:val="nil"/>
              <w:bottom w:val="nil"/>
              <w:right w:val="nil"/>
            </w:tcBorders>
            <w:shd w:val="clear" w:color="auto" w:fill="auto"/>
            <w:noWrap/>
            <w:hideMark/>
          </w:tcPr>
          <w:p w14:paraId="1C1D3B5B"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Dilaudid</w:t>
            </w:r>
          </w:p>
        </w:tc>
        <w:tc>
          <w:tcPr>
            <w:tcW w:w="1934" w:type="dxa"/>
            <w:tcBorders>
              <w:top w:val="nil"/>
              <w:left w:val="nil"/>
              <w:bottom w:val="nil"/>
              <w:right w:val="nil"/>
            </w:tcBorders>
            <w:shd w:val="clear" w:color="auto" w:fill="auto"/>
            <w:noWrap/>
            <w:hideMark/>
          </w:tcPr>
          <w:p w14:paraId="287ACAB5"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Mundipharma Pty Limited</w:t>
            </w:r>
          </w:p>
        </w:tc>
      </w:tr>
      <w:tr w:rsidR="00F33674" w:rsidRPr="00F33674" w14:paraId="263B3D60" w14:textId="77777777" w:rsidTr="00F33674">
        <w:trPr>
          <w:trHeight w:val="300"/>
        </w:trPr>
        <w:tc>
          <w:tcPr>
            <w:tcW w:w="1774" w:type="dxa"/>
            <w:tcBorders>
              <w:top w:val="nil"/>
              <w:left w:val="nil"/>
              <w:bottom w:val="nil"/>
              <w:right w:val="nil"/>
            </w:tcBorders>
            <w:shd w:val="clear" w:color="auto" w:fill="auto"/>
            <w:noWrap/>
          </w:tcPr>
          <w:p w14:paraId="094154E6" w14:textId="77777777" w:rsidR="00F33674" w:rsidRPr="00F33674" w:rsidRDefault="00F33674" w:rsidP="00F33674">
            <w:pPr>
              <w:jc w:val="left"/>
              <w:rPr>
                <w:rFonts w:ascii="Arial Narrow" w:hAnsi="Arial Narrow" w:cs="Calibri"/>
                <w:color w:val="000000"/>
                <w:sz w:val="20"/>
                <w:szCs w:val="20"/>
                <w:lang w:eastAsia="en-AU"/>
              </w:rPr>
            </w:pPr>
          </w:p>
        </w:tc>
        <w:tc>
          <w:tcPr>
            <w:tcW w:w="809" w:type="dxa"/>
            <w:tcBorders>
              <w:top w:val="nil"/>
              <w:left w:val="nil"/>
              <w:bottom w:val="nil"/>
              <w:right w:val="nil"/>
            </w:tcBorders>
          </w:tcPr>
          <w:p w14:paraId="2A62BD45" w14:textId="77777777" w:rsidR="00F33674" w:rsidRPr="00F33674" w:rsidRDefault="00F33674" w:rsidP="00F33674">
            <w:pPr>
              <w:ind w:left="-58" w:hanging="37"/>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8542N</w:t>
            </w:r>
          </w:p>
        </w:tc>
        <w:tc>
          <w:tcPr>
            <w:tcW w:w="1670" w:type="dxa"/>
            <w:tcBorders>
              <w:top w:val="nil"/>
              <w:left w:val="nil"/>
              <w:bottom w:val="nil"/>
              <w:right w:val="nil"/>
            </w:tcBorders>
            <w:shd w:val="clear" w:color="auto" w:fill="auto"/>
            <w:noWrap/>
            <w:hideMark/>
          </w:tcPr>
          <w:p w14:paraId="2903BF02"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Tablet containing hydromorphone hydrochloride 4 mg</w:t>
            </w:r>
          </w:p>
        </w:tc>
        <w:tc>
          <w:tcPr>
            <w:tcW w:w="708" w:type="dxa"/>
            <w:tcBorders>
              <w:top w:val="nil"/>
              <w:left w:val="nil"/>
              <w:bottom w:val="nil"/>
              <w:right w:val="nil"/>
            </w:tcBorders>
            <w:shd w:val="clear" w:color="auto" w:fill="auto"/>
            <w:noWrap/>
            <w:hideMark/>
          </w:tcPr>
          <w:p w14:paraId="0FC37962"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20</w:t>
            </w:r>
          </w:p>
        </w:tc>
        <w:tc>
          <w:tcPr>
            <w:tcW w:w="364" w:type="dxa"/>
            <w:tcBorders>
              <w:top w:val="nil"/>
              <w:left w:val="nil"/>
              <w:bottom w:val="nil"/>
              <w:right w:val="nil"/>
            </w:tcBorders>
            <w:shd w:val="clear" w:color="auto" w:fill="auto"/>
            <w:noWrap/>
            <w:hideMark/>
          </w:tcPr>
          <w:p w14:paraId="59146D48"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0</w:t>
            </w:r>
          </w:p>
        </w:tc>
        <w:tc>
          <w:tcPr>
            <w:tcW w:w="2188" w:type="dxa"/>
            <w:tcBorders>
              <w:top w:val="nil"/>
              <w:left w:val="nil"/>
              <w:bottom w:val="nil"/>
              <w:right w:val="nil"/>
            </w:tcBorders>
            <w:shd w:val="clear" w:color="auto" w:fill="auto"/>
            <w:noWrap/>
            <w:hideMark/>
          </w:tcPr>
          <w:p w14:paraId="7FB14456"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Dilaudid</w:t>
            </w:r>
          </w:p>
        </w:tc>
        <w:tc>
          <w:tcPr>
            <w:tcW w:w="1934" w:type="dxa"/>
            <w:tcBorders>
              <w:top w:val="nil"/>
              <w:left w:val="nil"/>
              <w:bottom w:val="nil"/>
              <w:right w:val="nil"/>
            </w:tcBorders>
            <w:shd w:val="clear" w:color="auto" w:fill="auto"/>
            <w:noWrap/>
            <w:hideMark/>
          </w:tcPr>
          <w:p w14:paraId="4E9787A2"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Mundipharma Pty Limited</w:t>
            </w:r>
          </w:p>
        </w:tc>
      </w:tr>
      <w:tr w:rsidR="00F33674" w:rsidRPr="00F33674" w14:paraId="7B4B6F06" w14:textId="77777777" w:rsidTr="00F33674">
        <w:trPr>
          <w:trHeight w:val="300"/>
        </w:trPr>
        <w:tc>
          <w:tcPr>
            <w:tcW w:w="1774" w:type="dxa"/>
            <w:tcBorders>
              <w:top w:val="nil"/>
              <w:left w:val="nil"/>
              <w:bottom w:val="nil"/>
              <w:right w:val="nil"/>
            </w:tcBorders>
            <w:shd w:val="clear" w:color="auto" w:fill="auto"/>
            <w:noWrap/>
          </w:tcPr>
          <w:p w14:paraId="49AE5874" w14:textId="77777777" w:rsidR="00F33674" w:rsidRPr="00F33674" w:rsidRDefault="00F33674" w:rsidP="00F33674">
            <w:pPr>
              <w:jc w:val="left"/>
              <w:rPr>
                <w:rFonts w:ascii="Arial Narrow" w:hAnsi="Arial Narrow" w:cs="Calibri"/>
                <w:color w:val="000000"/>
                <w:sz w:val="20"/>
                <w:szCs w:val="20"/>
                <w:lang w:eastAsia="en-AU"/>
              </w:rPr>
            </w:pPr>
          </w:p>
        </w:tc>
        <w:tc>
          <w:tcPr>
            <w:tcW w:w="809" w:type="dxa"/>
            <w:tcBorders>
              <w:top w:val="nil"/>
              <w:left w:val="nil"/>
              <w:bottom w:val="nil"/>
              <w:right w:val="nil"/>
            </w:tcBorders>
          </w:tcPr>
          <w:p w14:paraId="4084260B" w14:textId="77777777" w:rsidR="00F33674" w:rsidRPr="00F33674" w:rsidRDefault="00F33674" w:rsidP="00F33674">
            <w:pPr>
              <w:ind w:left="-58" w:hanging="37"/>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8543P</w:t>
            </w:r>
          </w:p>
        </w:tc>
        <w:tc>
          <w:tcPr>
            <w:tcW w:w="1670" w:type="dxa"/>
            <w:tcBorders>
              <w:top w:val="nil"/>
              <w:left w:val="nil"/>
              <w:bottom w:val="nil"/>
              <w:right w:val="nil"/>
            </w:tcBorders>
            <w:shd w:val="clear" w:color="auto" w:fill="auto"/>
            <w:noWrap/>
            <w:hideMark/>
          </w:tcPr>
          <w:p w14:paraId="28B44DE9"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Tablet containing hydromorphone hydrochloride 8 mg</w:t>
            </w:r>
          </w:p>
        </w:tc>
        <w:tc>
          <w:tcPr>
            <w:tcW w:w="708" w:type="dxa"/>
            <w:tcBorders>
              <w:top w:val="nil"/>
              <w:left w:val="nil"/>
              <w:bottom w:val="nil"/>
              <w:right w:val="nil"/>
            </w:tcBorders>
            <w:shd w:val="clear" w:color="auto" w:fill="auto"/>
            <w:noWrap/>
            <w:hideMark/>
          </w:tcPr>
          <w:p w14:paraId="281DBC49"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20</w:t>
            </w:r>
          </w:p>
        </w:tc>
        <w:tc>
          <w:tcPr>
            <w:tcW w:w="364" w:type="dxa"/>
            <w:tcBorders>
              <w:top w:val="nil"/>
              <w:left w:val="nil"/>
              <w:bottom w:val="nil"/>
              <w:right w:val="nil"/>
            </w:tcBorders>
            <w:shd w:val="clear" w:color="auto" w:fill="auto"/>
            <w:noWrap/>
            <w:hideMark/>
          </w:tcPr>
          <w:p w14:paraId="17CD11CA"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0</w:t>
            </w:r>
          </w:p>
        </w:tc>
        <w:tc>
          <w:tcPr>
            <w:tcW w:w="2188" w:type="dxa"/>
            <w:tcBorders>
              <w:top w:val="nil"/>
              <w:left w:val="nil"/>
              <w:bottom w:val="nil"/>
              <w:right w:val="nil"/>
            </w:tcBorders>
            <w:shd w:val="clear" w:color="auto" w:fill="auto"/>
            <w:noWrap/>
            <w:hideMark/>
          </w:tcPr>
          <w:p w14:paraId="313040FC"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Dilaudid</w:t>
            </w:r>
          </w:p>
        </w:tc>
        <w:tc>
          <w:tcPr>
            <w:tcW w:w="1934" w:type="dxa"/>
            <w:tcBorders>
              <w:top w:val="nil"/>
              <w:left w:val="nil"/>
              <w:bottom w:val="nil"/>
              <w:right w:val="nil"/>
            </w:tcBorders>
            <w:shd w:val="clear" w:color="auto" w:fill="auto"/>
            <w:noWrap/>
            <w:hideMark/>
          </w:tcPr>
          <w:p w14:paraId="2339CBC8"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Mundipharma Pty Limited</w:t>
            </w:r>
          </w:p>
        </w:tc>
      </w:tr>
      <w:tr w:rsidR="00F33674" w:rsidRPr="00F33674" w14:paraId="60B8029A" w14:textId="77777777" w:rsidTr="00F33674">
        <w:trPr>
          <w:trHeight w:val="300"/>
        </w:trPr>
        <w:tc>
          <w:tcPr>
            <w:tcW w:w="1774" w:type="dxa"/>
            <w:tcBorders>
              <w:top w:val="nil"/>
              <w:left w:val="nil"/>
              <w:bottom w:val="nil"/>
              <w:right w:val="nil"/>
            </w:tcBorders>
            <w:shd w:val="clear" w:color="auto" w:fill="auto"/>
            <w:noWrap/>
            <w:hideMark/>
          </w:tcPr>
          <w:p w14:paraId="17EF424D"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MORPHINE</w:t>
            </w:r>
          </w:p>
        </w:tc>
        <w:tc>
          <w:tcPr>
            <w:tcW w:w="809" w:type="dxa"/>
            <w:tcBorders>
              <w:top w:val="nil"/>
              <w:left w:val="nil"/>
              <w:bottom w:val="nil"/>
              <w:right w:val="nil"/>
            </w:tcBorders>
          </w:tcPr>
          <w:p w14:paraId="50CF4708" w14:textId="77777777" w:rsidR="00F33674" w:rsidRPr="00F33674" w:rsidRDefault="00F33674" w:rsidP="00F33674">
            <w:pPr>
              <w:ind w:left="-58" w:hanging="37"/>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2124T</w:t>
            </w:r>
          </w:p>
        </w:tc>
        <w:tc>
          <w:tcPr>
            <w:tcW w:w="1670" w:type="dxa"/>
            <w:tcBorders>
              <w:top w:val="nil"/>
              <w:left w:val="nil"/>
              <w:bottom w:val="nil"/>
              <w:right w:val="nil"/>
            </w:tcBorders>
            <w:shd w:val="clear" w:color="auto" w:fill="auto"/>
            <w:noWrap/>
            <w:hideMark/>
          </w:tcPr>
          <w:p w14:paraId="3AE4ED8D"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Oral solution containing morphine hydrochloride trihydrate 10 mg per mL, 200 mL</w:t>
            </w:r>
          </w:p>
        </w:tc>
        <w:tc>
          <w:tcPr>
            <w:tcW w:w="708" w:type="dxa"/>
            <w:tcBorders>
              <w:top w:val="nil"/>
              <w:left w:val="nil"/>
              <w:bottom w:val="nil"/>
              <w:right w:val="nil"/>
            </w:tcBorders>
            <w:shd w:val="clear" w:color="auto" w:fill="auto"/>
            <w:noWrap/>
            <w:hideMark/>
          </w:tcPr>
          <w:p w14:paraId="7B7A066C"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1</w:t>
            </w:r>
          </w:p>
        </w:tc>
        <w:tc>
          <w:tcPr>
            <w:tcW w:w="364" w:type="dxa"/>
            <w:tcBorders>
              <w:top w:val="nil"/>
              <w:left w:val="nil"/>
              <w:bottom w:val="nil"/>
              <w:right w:val="nil"/>
            </w:tcBorders>
            <w:shd w:val="clear" w:color="auto" w:fill="auto"/>
            <w:noWrap/>
            <w:hideMark/>
          </w:tcPr>
          <w:p w14:paraId="13555306"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0</w:t>
            </w:r>
          </w:p>
        </w:tc>
        <w:tc>
          <w:tcPr>
            <w:tcW w:w="2188" w:type="dxa"/>
            <w:tcBorders>
              <w:top w:val="nil"/>
              <w:left w:val="nil"/>
              <w:bottom w:val="nil"/>
              <w:right w:val="nil"/>
            </w:tcBorders>
            <w:shd w:val="clear" w:color="auto" w:fill="auto"/>
            <w:noWrap/>
            <w:hideMark/>
          </w:tcPr>
          <w:p w14:paraId="4B5ED556"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Ordine 10</w:t>
            </w:r>
          </w:p>
        </w:tc>
        <w:tc>
          <w:tcPr>
            <w:tcW w:w="1934" w:type="dxa"/>
            <w:tcBorders>
              <w:top w:val="nil"/>
              <w:left w:val="nil"/>
              <w:bottom w:val="nil"/>
              <w:right w:val="nil"/>
            </w:tcBorders>
            <w:shd w:val="clear" w:color="auto" w:fill="auto"/>
            <w:noWrap/>
            <w:hideMark/>
          </w:tcPr>
          <w:p w14:paraId="102B1B03"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Mundipharma Pty Limited</w:t>
            </w:r>
          </w:p>
        </w:tc>
      </w:tr>
      <w:tr w:rsidR="00F33674" w:rsidRPr="00F33674" w14:paraId="767E9D4E" w14:textId="77777777" w:rsidTr="00F33674">
        <w:trPr>
          <w:trHeight w:val="300"/>
        </w:trPr>
        <w:tc>
          <w:tcPr>
            <w:tcW w:w="1774" w:type="dxa"/>
            <w:tcBorders>
              <w:top w:val="nil"/>
              <w:left w:val="nil"/>
              <w:bottom w:val="nil"/>
              <w:right w:val="nil"/>
            </w:tcBorders>
            <w:shd w:val="clear" w:color="auto" w:fill="auto"/>
            <w:noWrap/>
          </w:tcPr>
          <w:p w14:paraId="0E48B6D9" w14:textId="77777777" w:rsidR="00F33674" w:rsidRPr="00F33674" w:rsidRDefault="00F33674" w:rsidP="00F33674">
            <w:pPr>
              <w:jc w:val="left"/>
              <w:rPr>
                <w:rFonts w:ascii="Arial Narrow" w:hAnsi="Arial Narrow" w:cs="Calibri"/>
                <w:color w:val="000000"/>
                <w:sz w:val="20"/>
                <w:szCs w:val="20"/>
                <w:lang w:eastAsia="en-AU"/>
              </w:rPr>
            </w:pPr>
          </w:p>
        </w:tc>
        <w:tc>
          <w:tcPr>
            <w:tcW w:w="809" w:type="dxa"/>
            <w:tcBorders>
              <w:top w:val="nil"/>
              <w:left w:val="nil"/>
              <w:bottom w:val="nil"/>
              <w:right w:val="nil"/>
            </w:tcBorders>
          </w:tcPr>
          <w:p w14:paraId="169B61B3" w14:textId="77777777" w:rsidR="00F33674" w:rsidRPr="00F33674" w:rsidRDefault="00F33674" w:rsidP="00F33674">
            <w:pPr>
              <w:ind w:left="-58" w:hanging="37"/>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2122Q</w:t>
            </w:r>
          </w:p>
        </w:tc>
        <w:tc>
          <w:tcPr>
            <w:tcW w:w="1670" w:type="dxa"/>
            <w:tcBorders>
              <w:top w:val="nil"/>
              <w:left w:val="nil"/>
              <w:bottom w:val="nil"/>
              <w:right w:val="nil"/>
            </w:tcBorders>
            <w:shd w:val="clear" w:color="auto" w:fill="auto"/>
            <w:noWrap/>
            <w:hideMark/>
          </w:tcPr>
          <w:p w14:paraId="61FFD2B6"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Oral solution containing morphine hydrochloride trihydrate 2 mg per mL, 200 mL</w:t>
            </w:r>
          </w:p>
        </w:tc>
        <w:tc>
          <w:tcPr>
            <w:tcW w:w="708" w:type="dxa"/>
            <w:tcBorders>
              <w:top w:val="nil"/>
              <w:left w:val="nil"/>
              <w:bottom w:val="nil"/>
              <w:right w:val="nil"/>
            </w:tcBorders>
            <w:shd w:val="clear" w:color="auto" w:fill="auto"/>
            <w:noWrap/>
            <w:hideMark/>
          </w:tcPr>
          <w:p w14:paraId="2E438349"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1</w:t>
            </w:r>
          </w:p>
        </w:tc>
        <w:tc>
          <w:tcPr>
            <w:tcW w:w="364" w:type="dxa"/>
            <w:tcBorders>
              <w:top w:val="nil"/>
              <w:left w:val="nil"/>
              <w:bottom w:val="nil"/>
              <w:right w:val="nil"/>
            </w:tcBorders>
            <w:shd w:val="clear" w:color="auto" w:fill="auto"/>
            <w:noWrap/>
            <w:hideMark/>
          </w:tcPr>
          <w:p w14:paraId="6F1041F6"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0</w:t>
            </w:r>
          </w:p>
        </w:tc>
        <w:tc>
          <w:tcPr>
            <w:tcW w:w="2188" w:type="dxa"/>
            <w:tcBorders>
              <w:top w:val="nil"/>
              <w:left w:val="nil"/>
              <w:bottom w:val="nil"/>
              <w:right w:val="nil"/>
            </w:tcBorders>
            <w:shd w:val="clear" w:color="auto" w:fill="auto"/>
            <w:noWrap/>
            <w:hideMark/>
          </w:tcPr>
          <w:p w14:paraId="5DBF6E48"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Ordine 2</w:t>
            </w:r>
          </w:p>
        </w:tc>
        <w:tc>
          <w:tcPr>
            <w:tcW w:w="1934" w:type="dxa"/>
            <w:tcBorders>
              <w:top w:val="nil"/>
              <w:left w:val="nil"/>
              <w:bottom w:val="nil"/>
              <w:right w:val="nil"/>
            </w:tcBorders>
            <w:shd w:val="clear" w:color="auto" w:fill="auto"/>
            <w:noWrap/>
            <w:hideMark/>
          </w:tcPr>
          <w:p w14:paraId="13F69A00"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Mundipharma Pty Limited</w:t>
            </w:r>
          </w:p>
        </w:tc>
      </w:tr>
      <w:tr w:rsidR="00F33674" w:rsidRPr="00F33674" w14:paraId="00A6F154" w14:textId="77777777" w:rsidTr="00F33674">
        <w:trPr>
          <w:trHeight w:val="300"/>
        </w:trPr>
        <w:tc>
          <w:tcPr>
            <w:tcW w:w="1774" w:type="dxa"/>
            <w:tcBorders>
              <w:top w:val="nil"/>
              <w:left w:val="nil"/>
              <w:bottom w:val="nil"/>
              <w:right w:val="nil"/>
            </w:tcBorders>
            <w:shd w:val="clear" w:color="auto" w:fill="auto"/>
            <w:noWrap/>
          </w:tcPr>
          <w:p w14:paraId="7265B916" w14:textId="77777777" w:rsidR="00F33674" w:rsidRPr="00F33674" w:rsidRDefault="00F33674" w:rsidP="00F33674">
            <w:pPr>
              <w:jc w:val="left"/>
              <w:rPr>
                <w:rFonts w:ascii="Arial Narrow" w:hAnsi="Arial Narrow" w:cs="Calibri"/>
                <w:color w:val="000000"/>
                <w:sz w:val="20"/>
                <w:szCs w:val="20"/>
                <w:lang w:eastAsia="en-AU"/>
              </w:rPr>
            </w:pPr>
          </w:p>
        </w:tc>
        <w:tc>
          <w:tcPr>
            <w:tcW w:w="809" w:type="dxa"/>
            <w:tcBorders>
              <w:top w:val="nil"/>
              <w:left w:val="nil"/>
              <w:bottom w:val="nil"/>
              <w:right w:val="nil"/>
            </w:tcBorders>
          </w:tcPr>
          <w:p w14:paraId="437A75A8" w14:textId="77777777" w:rsidR="00F33674" w:rsidRPr="00F33674" w:rsidRDefault="00F33674" w:rsidP="00F33674">
            <w:pPr>
              <w:ind w:left="-58" w:hanging="37"/>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2123R</w:t>
            </w:r>
          </w:p>
        </w:tc>
        <w:tc>
          <w:tcPr>
            <w:tcW w:w="1670" w:type="dxa"/>
            <w:tcBorders>
              <w:top w:val="nil"/>
              <w:left w:val="nil"/>
              <w:bottom w:val="nil"/>
              <w:right w:val="nil"/>
            </w:tcBorders>
            <w:shd w:val="clear" w:color="auto" w:fill="auto"/>
            <w:noWrap/>
            <w:hideMark/>
          </w:tcPr>
          <w:p w14:paraId="4C0080D4"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Oral solution containing morphine hydrochloride trihydrate 5 mg per mL, 200 mL</w:t>
            </w:r>
          </w:p>
        </w:tc>
        <w:tc>
          <w:tcPr>
            <w:tcW w:w="708" w:type="dxa"/>
            <w:tcBorders>
              <w:top w:val="nil"/>
              <w:left w:val="nil"/>
              <w:bottom w:val="nil"/>
              <w:right w:val="nil"/>
            </w:tcBorders>
            <w:shd w:val="clear" w:color="auto" w:fill="auto"/>
            <w:noWrap/>
            <w:hideMark/>
          </w:tcPr>
          <w:p w14:paraId="4A5B13D7"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1</w:t>
            </w:r>
          </w:p>
        </w:tc>
        <w:tc>
          <w:tcPr>
            <w:tcW w:w="364" w:type="dxa"/>
            <w:tcBorders>
              <w:top w:val="nil"/>
              <w:left w:val="nil"/>
              <w:bottom w:val="nil"/>
              <w:right w:val="nil"/>
            </w:tcBorders>
            <w:shd w:val="clear" w:color="auto" w:fill="auto"/>
            <w:noWrap/>
            <w:hideMark/>
          </w:tcPr>
          <w:p w14:paraId="2314FC3E"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0</w:t>
            </w:r>
          </w:p>
        </w:tc>
        <w:tc>
          <w:tcPr>
            <w:tcW w:w="2188" w:type="dxa"/>
            <w:tcBorders>
              <w:top w:val="nil"/>
              <w:left w:val="nil"/>
              <w:bottom w:val="nil"/>
              <w:right w:val="nil"/>
            </w:tcBorders>
            <w:shd w:val="clear" w:color="auto" w:fill="auto"/>
            <w:noWrap/>
            <w:hideMark/>
          </w:tcPr>
          <w:p w14:paraId="771DA7E4"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Ordine 5</w:t>
            </w:r>
          </w:p>
        </w:tc>
        <w:tc>
          <w:tcPr>
            <w:tcW w:w="1934" w:type="dxa"/>
            <w:tcBorders>
              <w:top w:val="nil"/>
              <w:left w:val="nil"/>
              <w:bottom w:val="nil"/>
              <w:right w:val="nil"/>
            </w:tcBorders>
            <w:shd w:val="clear" w:color="auto" w:fill="auto"/>
            <w:noWrap/>
            <w:hideMark/>
          </w:tcPr>
          <w:p w14:paraId="47BEE012"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Mundipharma Pty Limited</w:t>
            </w:r>
          </w:p>
        </w:tc>
      </w:tr>
      <w:tr w:rsidR="00F33674" w:rsidRPr="00F33674" w14:paraId="4924368A" w14:textId="77777777" w:rsidTr="00F33674">
        <w:trPr>
          <w:trHeight w:val="300"/>
        </w:trPr>
        <w:tc>
          <w:tcPr>
            <w:tcW w:w="1774" w:type="dxa"/>
            <w:tcBorders>
              <w:top w:val="nil"/>
              <w:left w:val="nil"/>
              <w:bottom w:val="nil"/>
              <w:right w:val="nil"/>
            </w:tcBorders>
            <w:shd w:val="clear" w:color="auto" w:fill="auto"/>
            <w:noWrap/>
          </w:tcPr>
          <w:p w14:paraId="1F84CE60" w14:textId="77777777" w:rsidR="00F33674" w:rsidRPr="00F33674" w:rsidRDefault="00F33674" w:rsidP="00F33674">
            <w:pPr>
              <w:jc w:val="left"/>
              <w:rPr>
                <w:rFonts w:ascii="Arial Narrow" w:hAnsi="Arial Narrow" w:cs="Calibri"/>
                <w:color w:val="000000"/>
                <w:sz w:val="20"/>
                <w:szCs w:val="20"/>
                <w:lang w:eastAsia="en-AU"/>
              </w:rPr>
            </w:pPr>
          </w:p>
        </w:tc>
        <w:tc>
          <w:tcPr>
            <w:tcW w:w="809" w:type="dxa"/>
            <w:tcBorders>
              <w:top w:val="nil"/>
              <w:left w:val="nil"/>
              <w:bottom w:val="nil"/>
              <w:right w:val="nil"/>
            </w:tcBorders>
          </w:tcPr>
          <w:p w14:paraId="44EE0ED2" w14:textId="77777777" w:rsidR="00F33674" w:rsidRPr="00F33674" w:rsidRDefault="00F33674" w:rsidP="00F33674">
            <w:pPr>
              <w:ind w:left="-58" w:hanging="37"/>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1646P</w:t>
            </w:r>
          </w:p>
        </w:tc>
        <w:tc>
          <w:tcPr>
            <w:tcW w:w="1670" w:type="dxa"/>
            <w:tcBorders>
              <w:top w:val="nil"/>
              <w:left w:val="nil"/>
              <w:bottom w:val="nil"/>
              <w:right w:val="nil"/>
            </w:tcBorders>
            <w:shd w:val="clear" w:color="auto" w:fill="auto"/>
            <w:noWrap/>
            <w:hideMark/>
          </w:tcPr>
          <w:p w14:paraId="7BBB5A60"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Tablet containing morphine sulfate pentahydrate 30 mg</w:t>
            </w:r>
          </w:p>
        </w:tc>
        <w:tc>
          <w:tcPr>
            <w:tcW w:w="708" w:type="dxa"/>
            <w:tcBorders>
              <w:top w:val="nil"/>
              <w:left w:val="nil"/>
              <w:bottom w:val="nil"/>
              <w:right w:val="nil"/>
            </w:tcBorders>
            <w:shd w:val="clear" w:color="auto" w:fill="auto"/>
            <w:noWrap/>
            <w:hideMark/>
          </w:tcPr>
          <w:p w14:paraId="5D87135A"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20</w:t>
            </w:r>
          </w:p>
        </w:tc>
        <w:tc>
          <w:tcPr>
            <w:tcW w:w="364" w:type="dxa"/>
            <w:tcBorders>
              <w:top w:val="nil"/>
              <w:left w:val="nil"/>
              <w:bottom w:val="nil"/>
              <w:right w:val="nil"/>
            </w:tcBorders>
            <w:shd w:val="clear" w:color="auto" w:fill="auto"/>
            <w:noWrap/>
            <w:hideMark/>
          </w:tcPr>
          <w:p w14:paraId="21FE54EA"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0</w:t>
            </w:r>
          </w:p>
        </w:tc>
        <w:tc>
          <w:tcPr>
            <w:tcW w:w="2188" w:type="dxa"/>
            <w:tcBorders>
              <w:top w:val="nil"/>
              <w:left w:val="nil"/>
              <w:bottom w:val="nil"/>
              <w:right w:val="nil"/>
            </w:tcBorders>
            <w:shd w:val="clear" w:color="auto" w:fill="auto"/>
            <w:noWrap/>
            <w:hideMark/>
          </w:tcPr>
          <w:p w14:paraId="350C5A18"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Anamorph</w:t>
            </w:r>
          </w:p>
        </w:tc>
        <w:tc>
          <w:tcPr>
            <w:tcW w:w="1934" w:type="dxa"/>
            <w:tcBorders>
              <w:top w:val="nil"/>
              <w:left w:val="nil"/>
              <w:bottom w:val="nil"/>
              <w:right w:val="nil"/>
            </w:tcBorders>
            <w:shd w:val="clear" w:color="auto" w:fill="auto"/>
            <w:noWrap/>
            <w:hideMark/>
          </w:tcPr>
          <w:p w14:paraId="35E91054"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Arrow Pharma Pty Ltd</w:t>
            </w:r>
          </w:p>
        </w:tc>
      </w:tr>
    </w:tbl>
    <w:p w14:paraId="0D4D25AD" w14:textId="77777777" w:rsidR="00F33674" w:rsidRPr="00F33674" w:rsidRDefault="00F33674" w:rsidP="00F33674">
      <w:pPr>
        <w:ind w:left="360" w:hanging="360"/>
        <w:contextualSpacing/>
        <w:jc w:val="left"/>
      </w:pPr>
    </w:p>
    <w:tbl>
      <w:tblPr>
        <w:tblW w:w="9214" w:type="dxa"/>
        <w:tblInd w:w="-5" w:type="dxa"/>
        <w:tblLayout w:type="fixed"/>
        <w:tblLook w:val="0000" w:firstRow="0" w:lastRow="0" w:firstColumn="0" w:lastColumn="0" w:noHBand="0" w:noVBand="0"/>
      </w:tblPr>
      <w:tblGrid>
        <w:gridCol w:w="2835"/>
        <w:gridCol w:w="6379"/>
      </w:tblGrid>
      <w:tr w:rsidR="00F33674" w:rsidRPr="00F33674" w14:paraId="496340A7" w14:textId="77777777" w:rsidTr="00F33674">
        <w:trPr>
          <w:cantSplit/>
          <w:trHeight w:val="360"/>
        </w:trPr>
        <w:tc>
          <w:tcPr>
            <w:tcW w:w="2835" w:type="dxa"/>
            <w:tcBorders>
              <w:top w:val="single" w:sz="4" w:space="0" w:color="auto"/>
              <w:left w:val="single" w:sz="4" w:space="0" w:color="auto"/>
              <w:bottom w:val="single" w:sz="4" w:space="0" w:color="auto"/>
              <w:right w:val="single" w:sz="4" w:space="0" w:color="auto"/>
            </w:tcBorders>
          </w:tcPr>
          <w:p w14:paraId="63AB13A5" w14:textId="77777777" w:rsidR="00F33674" w:rsidRPr="00F33674" w:rsidRDefault="00F33674" w:rsidP="00F33674">
            <w:pPr>
              <w:rPr>
                <w:rFonts w:ascii="Arial Narrow" w:hAnsi="Arial Narrow" w:cs="Arial"/>
                <w:b/>
                <w:sz w:val="20"/>
                <w:szCs w:val="20"/>
              </w:rPr>
            </w:pPr>
            <w:r w:rsidRPr="00F33674">
              <w:rPr>
                <w:rFonts w:ascii="Arial Narrow" w:hAnsi="Arial Narrow" w:cs="Arial"/>
                <w:b/>
                <w:sz w:val="20"/>
                <w:szCs w:val="20"/>
              </w:rPr>
              <w:t>Category / Program:</w:t>
            </w:r>
          </w:p>
        </w:tc>
        <w:tc>
          <w:tcPr>
            <w:tcW w:w="6379" w:type="dxa"/>
            <w:tcBorders>
              <w:top w:val="single" w:sz="4" w:space="0" w:color="auto"/>
              <w:left w:val="single" w:sz="4" w:space="0" w:color="auto"/>
              <w:bottom w:val="single" w:sz="4" w:space="0" w:color="auto"/>
              <w:right w:val="single" w:sz="4" w:space="0" w:color="auto"/>
            </w:tcBorders>
          </w:tcPr>
          <w:p w14:paraId="351D8AD1" w14:textId="77777777" w:rsidR="00F33674" w:rsidRPr="00F33674" w:rsidRDefault="00F33674" w:rsidP="00F33674">
            <w:pPr>
              <w:rPr>
                <w:rFonts w:ascii="Arial Narrow" w:hAnsi="Arial Narrow" w:cs="Arial"/>
                <w:sz w:val="20"/>
                <w:szCs w:val="20"/>
              </w:rPr>
            </w:pPr>
            <w:r w:rsidRPr="00F33674">
              <w:rPr>
                <w:rFonts w:ascii="Arial Narrow" w:hAnsi="Arial Narrow" w:cs="Arial"/>
                <w:sz w:val="20"/>
                <w:szCs w:val="20"/>
              </w:rPr>
              <w:t>GENERAL – General Schedule (Code GE)</w:t>
            </w:r>
          </w:p>
        </w:tc>
      </w:tr>
      <w:tr w:rsidR="00F33674" w:rsidRPr="00F33674" w14:paraId="3943FA9D" w14:textId="77777777" w:rsidTr="00F33674">
        <w:trPr>
          <w:cantSplit/>
          <w:trHeight w:val="360"/>
        </w:trPr>
        <w:tc>
          <w:tcPr>
            <w:tcW w:w="2835" w:type="dxa"/>
            <w:tcBorders>
              <w:top w:val="single" w:sz="4" w:space="0" w:color="auto"/>
              <w:left w:val="single" w:sz="4" w:space="0" w:color="auto"/>
              <w:bottom w:val="single" w:sz="4" w:space="0" w:color="auto"/>
              <w:right w:val="single" w:sz="4" w:space="0" w:color="auto"/>
            </w:tcBorders>
          </w:tcPr>
          <w:p w14:paraId="7FB42081" w14:textId="77777777" w:rsidR="00F33674" w:rsidRPr="00F33674" w:rsidRDefault="00F33674" w:rsidP="00F33674">
            <w:pPr>
              <w:rPr>
                <w:rFonts w:ascii="Arial Narrow" w:hAnsi="Arial Narrow" w:cs="Arial"/>
                <w:b/>
                <w:sz w:val="20"/>
                <w:szCs w:val="20"/>
              </w:rPr>
            </w:pPr>
            <w:r w:rsidRPr="00F33674">
              <w:rPr>
                <w:rFonts w:ascii="Arial Narrow" w:hAnsi="Arial Narrow" w:cs="Arial"/>
                <w:b/>
                <w:sz w:val="20"/>
                <w:szCs w:val="20"/>
              </w:rPr>
              <w:t>Prescriber type:</w:t>
            </w:r>
          </w:p>
          <w:p w14:paraId="3C4FECE6" w14:textId="77777777" w:rsidR="00F33674" w:rsidRPr="00F33674" w:rsidRDefault="00F33674" w:rsidP="00F33674">
            <w:pPr>
              <w:rPr>
                <w:rFonts w:ascii="Arial Narrow" w:hAnsi="Arial Narrow" w:cs="Arial"/>
                <w:b/>
                <w:sz w:val="20"/>
                <w:szCs w:val="20"/>
              </w:rPr>
            </w:pPr>
          </w:p>
        </w:tc>
        <w:tc>
          <w:tcPr>
            <w:tcW w:w="6379" w:type="dxa"/>
            <w:tcBorders>
              <w:top w:val="single" w:sz="4" w:space="0" w:color="auto"/>
              <w:left w:val="single" w:sz="4" w:space="0" w:color="auto"/>
              <w:bottom w:val="single" w:sz="4" w:space="0" w:color="auto"/>
              <w:right w:val="single" w:sz="4" w:space="0" w:color="auto"/>
            </w:tcBorders>
          </w:tcPr>
          <w:p w14:paraId="61400D18" w14:textId="17264844" w:rsidR="00F33674" w:rsidRPr="00F33674" w:rsidRDefault="00F33674" w:rsidP="00F33674">
            <w:pPr>
              <w:rPr>
                <w:rFonts w:ascii="Arial Narrow" w:hAnsi="Arial Narrow" w:cs="Arial"/>
                <w:sz w:val="20"/>
                <w:szCs w:val="20"/>
              </w:rPr>
            </w:pPr>
            <w:r w:rsidRPr="00F33674">
              <w:rPr>
                <w:rFonts w:ascii="Arial Narrow" w:hAnsi="Arial Narrow" w:cs="Arial"/>
                <w:sz w:val="20"/>
                <w:szCs w:val="20"/>
              </w:rPr>
              <w:fldChar w:fldCharType="begin">
                <w:ffData>
                  <w:name w:val="Check1"/>
                  <w:enabled/>
                  <w:calcOnExit w:val="0"/>
                  <w:checkBox>
                    <w:sizeAuto/>
                    <w:default w:val="0"/>
                  </w:checkBox>
                </w:ffData>
              </w:fldChar>
            </w:r>
            <w:r w:rsidRPr="00F33674">
              <w:rPr>
                <w:rFonts w:ascii="Arial Narrow" w:hAnsi="Arial Narrow" w:cs="Arial"/>
                <w:sz w:val="20"/>
                <w:szCs w:val="20"/>
              </w:rPr>
              <w:instrText xml:space="preserve"> FORMCHECKBOX </w:instrText>
            </w:r>
            <w:r w:rsidR="00233D13">
              <w:rPr>
                <w:rFonts w:ascii="Arial Narrow" w:hAnsi="Arial Narrow" w:cs="Arial"/>
                <w:sz w:val="20"/>
                <w:szCs w:val="20"/>
              </w:rPr>
            </w:r>
            <w:r w:rsidR="00233D13">
              <w:rPr>
                <w:rFonts w:ascii="Arial Narrow" w:hAnsi="Arial Narrow" w:cs="Arial"/>
                <w:sz w:val="20"/>
                <w:szCs w:val="20"/>
              </w:rPr>
              <w:fldChar w:fldCharType="separate"/>
            </w:r>
            <w:r w:rsidRPr="00F33674">
              <w:rPr>
                <w:rFonts w:ascii="Arial Narrow" w:hAnsi="Arial Narrow" w:cs="Arial"/>
                <w:sz w:val="20"/>
                <w:szCs w:val="20"/>
              </w:rPr>
              <w:fldChar w:fldCharType="end"/>
            </w:r>
            <w:r w:rsidRPr="00F33674">
              <w:rPr>
                <w:rFonts w:ascii="Arial Narrow" w:hAnsi="Arial Narrow" w:cs="Arial"/>
                <w:sz w:val="20"/>
                <w:szCs w:val="20"/>
              </w:rPr>
              <w:t>Dental</w:t>
            </w:r>
            <w:r w:rsidR="002C1329">
              <w:rPr>
                <w:rFonts w:ascii="Arial Narrow" w:hAnsi="Arial Narrow" w:cs="Arial"/>
                <w:sz w:val="20"/>
                <w:szCs w:val="20"/>
              </w:rPr>
              <w:t xml:space="preserve"> </w:t>
            </w:r>
            <w:r w:rsidRPr="00F33674">
              <w:rPr>
                <w:rFonts w:ascii="Arial Narrow" w:hAnsi="Arial Narrow" w:cs="Arial"/>
                <w:sz w:val="20"/>
                <w:szCs w:val="20"/>
              </w:rPr>
              <w:fldChar w:fldCharType="begin">
                <w:ffData>
                  <w:name w:val=""/>
                  <w:enabled/>
                  <w:calcOnExit w:val="0"/>
                  <w:checkBox>
                    <w:sizeAuto/>
                    <w:default w:val="1"/>
                  </w:checkBox>
                </w:ffData>
              </w:fldChar>
            </w:r>
            <w:r w:rsidRPr="00F33674">
              <w:rPr>
                <w:rFonts w:ascii="Arial Narrow" w:hAnsi="Arial Narrow" w:cs="Arial"/>
                <w:sz w:val="20"/>
                <w:szCs w:val="20"/>
              </w:rPr>
              <w:instrText xml:space="preserve"> FORMCHECKBOX </w:instrText>
            </w:r>
            <w:r w:rsidR="00233D13">
              <w:rPr>
                <w:rFonts w:ascii="Arial Narrow" w:hAnsi="Arial Narrow" w:cs="Arial"/>
                <w:sz w:val="20"/>
                <w:szCs w:val="20"/>
              </w:rPr>
            </w:r>
            <w:r w:rsidR="00233D13">
              <w:rPr>
                <w:rFonts w:ascii="Arial Narrow" w:hAnsi="Arial Narrow" w:cs="Arial"/>
                <w:sz w:val="20"/>
                <w:szCs w:val="20"/>
              </w:rPr>
              <w:fldChar w:fldCharType="separate"/>
            </w:r>
            <w:r w:rsidRPr="00F33674">
              <w:rPr>
                <w:rFonts w:ascii="Arial Narrow" w:hAnsi="Arial Narrow" w:cs="Arial"/>
                <w:sz w:val="20"/>
                <w:szCs w:val="20"/>
              </w:rPr>
              <w:fldChar w:fldCharType="end"/>
            </w:r>
            <w:r w:rsidRPr="00F33674">
              <w:rPr>
                <w:rFonts w:ascii="Arial Narrow" w:hAnsi="Arial Narrow" w:cs="Arial"/>
                <w:sz w:val="20"/>
                <w:szCs w:val="20"/>
              </w:rPr>
              <w:t>Medical Practitioners</w:t>
            </w:r>
            <w:r w:rsidR="002C1329">
              <w:rPr>
                <w:rFonts w:ascii="Arial Narrow" w:hAnsi="Arial Narrow" w:cs="Arial"/>
                <w:sz w:val="20"/>
                <w:szCs w:val="20"/>
              </w:rPr>
              <w:t xml:space="preserve"> </w:t>
            </w:r>
            <w:r w:rsidRPr="00F33674">
              <w:rPr>
                <w:rFonts w:ascii="Arial Narrow" w:hAnsi="Arial Narrow" w:cs="Arial"/>
                <w:sz w:val="20"/>
                <w:szCs w:val="20"/>
              </w:rPr>
              <w:fldChar w:fldCharType="begin">
                <w:ffData>
                  <w:name w:val="Check3"/>
                  <w:enabled/>
                  <w:calcOnExit w:val="0"/>
                  <w:checkBox>
                    <w:sizeAuto/>
                    <w:default w:val="1"/>
                  </w:checkBox>
                </w:ffData>
              </w:fldChar>
            </w:r>
            <w:r w:rsidRPr="00F33674">
              <w:rPr>
                <w:rFonts w:ascii="Arial Narrow" w:hAnsi="Arial Narrow" w:cs="Arial"/>
                <w:sz w:val="20"/>
                <w:szCs w:val="20"/>
              </w:rPr>
              <w:instrText xml:space="preserve"> FORMCHECKBOX </w:instrText>
            </w:r>
            <w:r w:rsidR="00233D13">
              <w:rPr>
                <w:rFonts w:ascii="Arial Narrow" w:hAnsi="Arial Narrow" w:cs="Arial"/>
                <w:sz w:val="20"/>
                <w:szCs w:val="20"/>
              </w:rPr>
            </w:r>
            <w:r w:rsidR="00233D13">
              <w:rPr>
                <w:rFonts w:ascii="Arial Narrow" w:hAnsi="Arial Narrow" w:cs="Arial"/>
                <w:sz w:val="20"/>
                <w:szCs w:val="20"/>
              </w:rPr>
              <w:fldChar w:fldCharType="separate"/>
            </w:r>
            <w:r w:rsidRPr="00F33674">
              <w:rPr>
                <w:rFonts w:ascii="Arial Narrow" w:hAnsi="Arial Narrow" w:cs="Arial"/>
                <w:sz w:val="20"/>
                <w:szCs w:val="20"/>
              </w:rPr>
              <w:fldChar w:fldCharType="end"/>
            </w:r>
            <w:r w:rsidRPr="00F33674">
              <w:rPr>
                <w:rFonts w:ascii="Arial Narrow" w:hAnsi="Arial Narrow" w:cs="Arial"/>
                <w:sz w:val="20"/>
                <w:szCs w:val="20"/>
              </w:rPr>
              <w:t>Nurse practitioners</w:t>
            </w:r>
            <w:r w:rsidR="002C1329">
              <w:rPr>
                <w:rFonts w:ascii="Arial Narrow" w:hAnsi="Arial Narrow" w:cs="Arial"/>
                <w:sz w:val="20"/>
                <w:szCs w:val="20"/>
              </w:rPr>
              <w:t xml:space="preserve"> </w:t>
            </w:r>
            <w:r w:rsidRPr="00F33674">
              <w:rPr>
                <w:rFonts w:ascii="Arial Narrow" w:hAnsi="Arial Narrow" w:cs="Arial"/>
                <w:sz w:val="20"/>
                <w:szCs w:val="20"/>
              </w:rPr>
              <w:fldChar w:fldCharType="begin">
                <w:ffData>
                  <w:name w:val=""/>
                  <w:enabled/>
                  <w:calcOnExit w:val="0"/>
                  <w:checkBox>
                    <w:sizeAuto/>
                    <w:default w:val="0"/>
                  </w:checkBox>
                </w:ffData>
              </w:fldChar>
            </w:r>
            <w:r w:rsidRPr="00F33674">
              <w:rPr>
                <w:rFonts w:ascii="Arial Narrow" w:hAnsi="Arial Narrow" w:cs="Arial"/>
                <w:sz w:val="20"/>
                <w:szCs w:val="20"/>
              </w:rPr>
              <w:instrText xml:space="preserve"> FORMCHECKBOX </w:instrText>
            </w:r>
            <w:r w:rsidR="00233D13">
              <w:rPr>
                <w:rFonts w:ascii="Arial Narrow" w:hAnsi="Arial Narrow" w:cs="Arial"/>
                <w:sz w:val="20"/>
                <w:szCs w:val="20"/>
              </w:rPr>
            </w:r>
            <w:r w:rsidR="00233D13">
              <w:rPr>
                <w:rFonts w:ascii="Arial Narrow" w:hAnsi="Arial Narrow" w:cs="Arial"/>
                <w:sz w:val="20"/>
                <w:szCs w:val="20"/>
              </w:rPr>
              <w:fldChar w:fldCharType="separate"/>
            </w:r>
            <w:r w:rsidRPr="00F33674">
              <w:rPr>
                <w:rFonts w:ascii="Arial Narrow" w:hAnsi="Arial Narrow" w:cs="Arial"/>
                <w:sz w:val="20"/>
                <w:szCs w:val="20"/>
              </w:rPr>
              <w:fldChar w:fldCharType="end"/>
            </w:r>
            <w:r w:rsidRPr="00F33674">
              <w:rPr>
                <w:rFonts w:ascii="Arial Narrow" w:hAnsi="Arial Narrow" w:cs="Arial"/>
                <w:sz w:val="20"/>
                <w:szCs w:val="20"/>
              </w:rPr>
              <w:t>Optometrists</w:t>
            </w:r>
          </w:p>
          <w:p w14:paraId="71432DE1" w14:textId="77777777" w:rsidR="00F33674" w:rsidRPr="00F33674" w:rsidRDefault="00F33674" w:rsidP="00F33674">
            <w:pPr>
              <w:rPr>
                <w:rFonts w:ascii="Arial Narrow" w:hAnsi="Arial Narrow" w:cs="Arial"/>
                <w:sz w:val="20"/>
                <w:szCs w:val="20"/>
              </w:rPr>
            </w:pPr>
            <w:r w:rsidRPr="00F33674">
              <w:rPr>
                <w:rFonts w:ascii="Arial Narrow" w:hAnsi="Arial Narrow" w:cs="Arial"/>
                <w:sz w:val="20"/>
                <w:szCs w:val="20"/>
              </w:rPr>
              <w:fldChar w:fldCharType="begin">
                <w:ffData>
                  <w:name w:val="Check5"/>
                  <w:enabled/>
                  <w:calcOnExit w:val="0"/>
                  <w:checkBox>
                    <w:sizeAuto/>
                    <w:default w:val="0"/>
                  </w:checkBox>
                </w:ffData>
              </w:fldChar>
            </w:r>
            <w:r w:rsidRPr="00F33674">
              <w:rPr>
                <w:rFonts w:ascii="Arial Narrow" w:hAnsi="Arial Narrow" w:cs="Arial"/>
                <w:sz w:val="20"/>
                <w:szCs w:val="20"/>
              </w:rPr>
              <w:instrText xml:space="preserve"> FORMCHECKBOX </w:instrText>
            </w:r>
            <w:r w:rsidR="00233D13">
              <w:rPr>
                <w:rFonts w:ascii="Arial Narrow" w:hAnsi="Arial Narrow" w:cs="Arial"/>
                <w:sz w:val="20"/>
                <w:szCs w:val="20"/>
              </w:rPr>
            </w:r>
            <w:r w:rsidR="00233D13">
              <w:rPr>
                <w:rFonts w:ascii="Arial Narrow" w:hAnsi="Arial Narrow" w:cs="Arial"/>
                <w:sz w:val="20"/>
                <w:szCs w:val="20"/>
              </w:rPr>
              <w:fldChar w:fldCharType="separate"/>
            </w:r>
            <w:r w:rsidRPr="00F33674">
              <w:rPr>
                <w:rFonts w:ascii="Arial Narrow" w:hAnsi="Arial Narrow" w:cs="Arial"/>
                <w:sz w:val="20"/>
                <w:szCs w:val="20"/>
              </w:rPr>
              <w:fldChar w:fldCharType="end"/>
            </w:r>
            <w:r w:rsidRPr="00F33674">
              <w:rPr>
                <w:rFonts w:ascii="Arial Narrow" w:hAnsi="Arial Narrow" w:cs="Arial"/>
                <w:sz w:val="20"/>
                <w:szCs w:val="20"/>
              </w:rPr>
              <w:t>Midwives</w:t>
            </w:r>
          </w:p>
        </w:tc>
      </w:tr>
      <w:tr w:rsidR="00F33674" w:rsidRPr="00F33674" w14:paraId="7BD1E5C5" w14:textId="77777777" w:rsidTr="00F33674">
        <w:trPr>
          <w:cantSplit/>
          <w:trHeight w:val="369"/>
        </w:trPr>
        <w:tc>
          <w:tcPr>
            <w:tcW w:w="2835" w:type="dxa"/>
            <w:tcBorders>
              <w:top w:val="single" w:sz="4" w:space="0" w:color="auto"/>
              <w:left w:val="single" w:sz="4" w:space="0" w:color="auto"/>
              <w:bottom w:val="single" w:sz="4" w:space="0" w:color="auto"/>
              <w:right w:val="single" w:sz="4" w:space="0" w:color="auto"/>
            </w:tcBorders>
          </w:tcPr>
          <w:p w14:paraId="7FF225D5" w14:textId="77777777" w:rsidR="00F33674" w:rsidRPr="00F33674" w:rsidRDefault="00F33674" w:rsidP="00F33674">
            <w:pPr>
              <w:rPr>
                <w:rFonts w:ascii="Arial Narrow" w:hAnsi="Arial Narrow" w:cs="Arial"/>
                <w:b/>
                <w:sz w:val="20"/>
                <w:szCs w:val="20"/>
              </w:rPr>
            </w:pPr>
            <w:r w:rsidRPr="00F33674">
              <w:rPr>
                <w:rFonts w:ascii="Arial Narrow" w:hAnsi="Arial Narrow" w:cs="Arial"/>
                <w:b/>
                <w:sz w:val="20"/>
                <w:szCs w:val="20"/>
              </w:rPr>
              <w:t>PBS indication:</w:t>
            </w:r>
          </w:p>
        </w:tc>
        <w:tc>
          <w:tcPr>
            <w:tcW w:w="6379" w:type="dxa"/>
            <w:tcBorders>
              <w:top w:val="single" w:sz="4" w:space="0" w:color="auto"/>
              <w:left w:val="single" w:sz="4" w:space="0" w:color="auto"/>
              <w:bottom w:val="single" w:sz="4" w:space="0" w:color="auto"/>
              <w:right w:val="single" w:sz="4" w:space="0" w:color="auto"/>
            </w:tcBorders>
          </w:tcPr>
          <w:p w14:paraId="07A2638E" w14:textId="77777777" w:rsidR="00F33674" w:rsidRPr="00F33674" w:rsidRDefault="00F33674" w:rsidP="00F33674">
            <w:pPr>
              <w:rPr>
                <w:rFonts w:ascii="Arial Narrow" w:hAnsi="Arial Narrow" w:cs="Arial"/>
                <w:sz w:val="20"/>
                <w:szCs w:val="20"/>
              </w:rPr>
            </w:pPr>
            <w:r w:rsidRPr="00F33674">
              <w:rPr>
                <w:rFonts w:ascii="Arial Narrow" w:hAnsi="Arial Narrow" w:cs="Arial"/>
                <w:sz w:val="20"/>
                <w:szCs w:val="20"/>
              </w:rPr>
              <w:t>[7861] Severe pain</w:t>
            </w:r>
          </w:p>
        </w:tc>
      </w:tr>
      <w:tr w:rsidR="00F33674" w:rsidRPr="00F33674" w14:paraId="743FCCE4" w14:textId="77777777" w:rsidTr="00F33674">
        <w:trPr>
          <w:cantSplit/>
          <w:trHeight w:val="360"/>
        </w:trPr>
        <w:tc>
          <w:tcPr>
            <w:tcW w:w="2835" w:type="dxa"/>
            <w:tcBorders>
              <w:top w:val="single" w:sz="4" w:space="0" w:color="auto"/>
              <w:left w:val="single" w:sz="4" w:space="0" w:color="auto"/>
              <w:bottom w:val="single" w:sz="4" w:space="0" w:color="auto"/>
              <w:right w:val="single" w:sz="4" w:space="0" w:color="auto"/>
            </w:tcBorders>
          </w:tcPr>
          <w:p w14:paraId="3E68B6B2" w14:textId="77777777" w:rsidR="00F33674" w:rsidRPr="00F33674" w:rsidRDefault="00F33674" w:rsidP="00F33674">
            <w:pPr>
              <w:rPr>
                <w:rFonts w:ascii="Arial Narrow" w:hAnsi="Arial Narrow" w:cs="Arial"/>
                <w:b/>
                <w:sz w:val="20"/>
                <w:szCs w:val="20"/>
              </w:rPr>
            </w:pPr>
            <w:r w:rsidRPr="00F33674">
              <w:rPr>
                <w:rFonts w:ascii="Arial Narrow" w:hAnsi="Arial Narrow" w:cs="Arial"/>
                <w:b/>
                <w:sz w:val="20"/>
                <w:szCs w:val="20"/>
              </w:rPr>
              <w:lastRenderedPageBreak/>
              <w:t>Restriction Level / Method:</w:t>
            </w:r>
          </w:p>
          <w:p w14:paraId="52359584" w14:textId="77777777" w:rsidR="00F33674" w:rsidRPr="00F33674" w:rsidRDefault="00F33674" w:rsidP="00F33674">
            <w:pPr>
              <w:rPr>
                <w:rFonts w:ascii="Arial Narrow" w:hAnsi="Arial Narrow" w:cs="Arial"/>
                <w:i/>
                <w:sz w:val="20"/>
                <w:szCs w:val="20"/>
              </w:rPr>
            </w:pPr>
          </w:p>
          <w:p w14:paraId="6CB5D466" w14:textId="77777777" w:rsidR="00F33674" w:rsidRPr="00F33674" w:rsidRDefault="00F33674" w:rsidP="00F33674">
            <w:pPr>
              <w:rPr>
                <w:rFonts w:ascii="Arial Narrow" w:hAnsi="Arial Narrow" w:cs="Arial"/>
                <w:i/>
                <w:sz w:val="20"/>
                <w:szCs w:val="20"/>
              </w:rPr>
            </w:pPr>
          </w:p>
          <w:p w14:paraId="16A23907" w14:textId="77777777" w:rsidR="00F33674" w:rsidRPr="00F33674" w:rsidRDefault="00F33674" w:rsidP="00F33674">
            <w:pPr>
              <w:rPr>
                <w:rFonts w:ascii="Arial Narrow" w:hAnsi="Arial Narrow" w:cs="Arial"/>
                <w:i/>
                <w:sz w:val="20"/>
                <w:szCs w:val="20"/>
              </w:rPr>
            </w:pPr>
          </w:p>
        </w:tc>
        <w:tc>
          <w:tcPr>
            <w:tcW w:w="6379" w:type="dxa"/>
            <w:tcBorders>
              <w:top w:val="single" w:sz="4" w:space="0" w:color="auto"/>
              <w:left w:val="single" w:sz="4" w:space="0" w:color="auto"/>
              <w:bottom w:val="single" w:sz="4" w:space="0" w:color="auto"/>
              <w:right w:val="single" w:sz="4" w:space="0" w:color="auto"/>
            </w:tcBorders>
          </w:tcPr>
          <w:p w14:paraId="687291A4" w14:textId="77777777" w:rsidR="00F33674" w:rsidRPr="00F33674" w:rsidRDefault="00F33674" w:rsidP="00F33674">
            <w:pPr>
              <w:rPr>
                <w:rFonts w:ascii="Arial Narrow" w:hAnsi="Arial Narrow" w:cs="Arial"/>
                <w:sz w:val="20"/>
                <w:szCs w:val="20"/>
              </w:rPr>
            </w:pPr>
            <w:r w:rsidRPr="00F33674">
              <w:rPr>
                <w:rFonts w:ascii="Arial Narrow" w:hAnsi="Arial Narrow" w:cs="Arial"/>
                <w:sz w:val="20"/>
                <w:szCs w:val="20"/>
              </w:rPr>
              <w:fldChar w:fldCharType="begin">
                <w:ffData>
                  <w:name w:val=""/>
                  <w:enabled/>
                  <w:calcOnExit w:val="0"/>
                  <w:checkBox>
                    <w:sizeAuto/>
                    <w:default w:val="0"/>
                  </w:checkBox>
                </w:ffData>
              </w:fldChar>
            </w:r>
            <w:r w:rsidRPr="00F33674">
              <w:rPr>
                <w:rFonts w:ascii="Arial Narrow" w:hAnsi="Arial Narrow" w:cs="Arial"/>
                <w:sz w:val="20"/>
                <w:szCs w:val="20"/>
              </w:rPr>
              <w:instrText xml:space="preserve"> FORMCHECKBOX </w:instrText>
            </w:r>
            <w:r w:rsidR="00233D13">
              <w:rPr>
                <w:rFonts w:ascii="Arial Narrow" w:hAnsi="Arial Narrow" w:cs="Arial"/>
                <w:sz w:val="20"/>
                <w:szCs w:val="20"/>
              </w:rPr>
            </w:r>
            <w:r w:rsidR="00233D13">
              <w:rPr>
                <w:rFonts w:ascii="Arial Narrow" w:hAnsi="Arial Narrow" w:cs="Arial"/>
                <w:sz w:val="20"/>
                <w:szCs w:val="20"/>
              </w:rPr>
              <w:fldChar w:fldCharType="separate"/>
            </w:r>
            <w:r w:rsidRPr="00F33674">
              <w:rPr>
                <w:rFonts w:ascii="Arial Narrow" w:hAnsi="Arial Narrow" w:cs="Arial"/>
                <w:sz w:val="20"/>
                <w:szCs w:val="20"/>
              </w:rPr>
              <w:fldChar w:fldCharType="end"/>
            </w:r>
            <w:r w:rsidRPr="00F33674">
              <w:rPr>
                <w:rFonts w:ascii="Arial Narrow" w:hAnsi="Arial Narrow" w:cs="Arial"/>
                <w:sz w:val="20"/>
                <w:szCs w:val="20"/>
              </w:rPr>
              <w:t>Unrestricted benefit</w:t>
            </w:r>
          </w:p>
          <w:p w14:paraId="0E4A2117" w14:textId="77777777" w:rsidR="00F33674" w:rsidRPr="00F33674" w:rsidRDefault="00F33674" w:rsidP="00F33674">
            <w:pPr>
              <w:rPr>
                <w:rFonts w:ascii="Arial Narrow" w:hAnsi="Arial Narrow" w:cs="Arial"/>
                <w:i/>
                <w:sz w:val="20"/>
                <w:szCs w:val="20"/>
              </w:rPr>
            </w:pPr>
            <w:r w:rsidRPr="00F33674">
              <w:rPr>
                <w:rFonts w:ascii="Arial Narrow" w:hAnsi="Arial Narrow" w:cs="Arial"/>
                <w:i/>
                <w:sz w:val="20"/>
                <w:szCs w:val="20"/>
              </w:rPr>
              <w:fldChar w:fldCharType="begin">
                <w:ffData>
                  <w:name w:val="Check1"/>
                  <w:enabled/>
                  <w:calcOnExit w:val="0"/>
                  <w:checkBox>
                    <w:sizeAuto/>
                    <w:default w:val="1"/>
                  </w:checkBox>
                </w:ffData>
              </w:fldChar>
            </w:r>
            <w:r w:rsidRPr="00F33674">
              <w:rPr>
                <w:rFonts w:ascii="Arial Narrow" w:hAnsi="Arial Narrow" w:cs="Arial"/>
                <w:i/>
                <w:sz w:val="20"/>
                <w:szCs w:val="20"/>
              </w:rPr>
              <w:instrText xml:space="preserve"> FORMCHECKBOX </w:instrText>
            </w:r>
            <w:r w:rsidR="00233D13">
              <w:rPr>
                <w:rFonts w:ascii="Arial Narrow" w:hAnsi="Arial Narrow" w:cs="Arial"/>
                <w:i/>
                <w:sz w:val="20"/>
                <w:szCs w:val="20"/>
              </w:rPr>
            </w:r>
            <w:r w:rsidR="00233D13">
              <w:rPr>
                <w:rFonts w:ascii="Arial Narrow" w:hAnsi="Arial Narrow" w:cs="Arial"/>
                <w:i/>
                <w:sz w:val="20"/>
                <w:szCs w:val="20"/>
              </w:rPr>
              <w:fldChar w:fldCharType="separate"/>
            </w:r>
            <w:r w:rsidRPr="00F33674">
              <w:rPr>
                <w:rFonts w:ascii="Arial Narrow" w:hAnsi="Arial Narrow" w:cs="Arial"/>
                <w:i/>
                <w:sz w:val="20"/>
                <w:szCs w:val="20"/>
              </w:rPr>
              <w:fldChar w:fldCharType="end"/>
            </w:r>
            <w:r w:rsidRPr="00F33674">
              <w:rPr>
                <w:rFonts w:ascii="Arial Narrow" w:hAnsi="Arial Narrow" w:cs="Arial"/>
                <w:sz w:val="20"/>
                <w:szCs w:val="20"/>
              </w:rPr>
              <w:t>Restricted benefit</w:t>
            </w:r>
          </w:p>
          <w:p w14:paraId="4CE42108" w14:textId="77777777" w:rsidR="00F33674" w:rsidRPr="00F33674" w:rsidRDefault="00F33674" w:rsidP="00F33674">
            <w:pPr>
              <w:rPr>
                <w:rFonts w:ascii="Arial Narrow" w:hAnsi="Arial Narrow" w:cs="Arial"/>
                <w:sz w:val="20"/>
                <w:szCs w:val="20"/>
              </w:rPr>
            </w:pPr>
            <w:r w:rsidRPr="00F33674">
              <w:rPr>
                <w:rFonts w:ascii="Arial Narrow" w:hAnsi="Arial Narrow" w:cs="Arial"/>
                <w:sz w:val="20"/>
                <w:szCs w:val="20"/>
              </w:rPr>
              <w:fldChar w:fldCharType="begin">
                <w:ffData>
                  <w:name w:val=""/>
                  <w:enabled/>
                  <w:calcOnExit w:val="0"/>
                  <w:checkBox>
                    <w:sizeAuto/>
                    <w:default w:val="0"/>
                  </w:checkBox>
                </w:ffData>
              </w:fldChar>
            </w:r>
            <w:r w:rsidRPr="00F33674">
              <w:rPr>
                <w:rFonts w:ascii="Arial Narrow" w:hAnsi="Arial Narrow" w:cs="Arial"/>
                <w:sz w:val="20"/>
                <w:szCs w:val="20"/>
              </w:rPr>
              <w:instrText xml:space="preserve"> FORMCHECKBOX </w:instrText>
            </w:r>
            <w:r w:rsidR="00233D13">
              <w:rPr>
                <w:rFonts w:ascii="Arial Narrow" w:hAnsi="Arial Narrow" w:cs="Arial"/>
                <w:sz w:val="20"/>
                <w:szCs w:val="20"/>
              </w:rPr>
            </w:r>
            <w:r w:rsidR="00233D13">
              <w:rPr>
                <w:rFonts w:ascii="Arial Narrow" w:hAnsi="Arial Narrow" w:cs="Arial"/>
                <w:sz w:val="20"/>
                <w:szCs w:val="20"/>
              </w:rPr>
              <w:fldChar w:fldCharType="separate"/>
            </w:r>
            <w:r w:rsidRPr="00F33674">
              <w:rPr>
                <w:rFonts w:ascii="Arial Narrow" w:hAnsi="Arial Narrow" w:cs="Arial"/>
                <w:sz w:val="20"/>
                <w:szCs w:val="20"/>
              </w:rPr>
              <w:fldChar w:fldCharType="end"/>
            </w:r>
            <w:r w:rsidRPr="00F33674">
              <w:rPr>
                <w:rFonts w:ascii="Arial Narrow" w:hAnsi="Arial Narrow" w:cs="Arial"/>
                <w:sz w:val="20"/>
                <w:szCs w:val="20"/>
              </w:rPr>
              <w:t>Authority Required – In Writing</w:t>
            </w:r>
          </w:p>
          <w:p w14:paraId="66D41A27" w14:textId="77777777" w:rsidR="00F33674" w:rsidRPr="00F33674" w:rsidRDefault="00F33674" w:rsidP="00F33674">
            <w:pPr>
              <w:rPr>
                <w:rFonts w:ascii="Arial Narrow" w:hAnsi="Arial Narrow" w:cs="Arial"/>
                <w:sz w:val="20"/>
                <w:szCs w:val="20"/>
              </w:rPr>
            </w:pPr>
            <w:r w:rsidRPr="00F33674">
              <w:rPr>
                <w:rFonts w:ascii="Arial Narrow" w:hAnsi="Arial Narrow" w:cs="Arial"/>
                <w:sz w:val="20"/>
                <w:szCs w:val="20"/>
              </w:rPr>
              <w:fldChar w:fldCharType="begin">
                <w:ffData>
                  <w:name w:val="Check3"/>
                  <w:enabled/>
                  <w:calcOnExit w:val="0"/>
                  <w:checkBox>
                    <w:sizeAuto/>
                    <w:default w:val="0"/>
                  </w:checkBox>
                </w:ffData>
              </w:fldChar>
            </w:r>
            <w:r w:rsidRPr="00F33674">
              <w:rPr>
                <w:rFonts w:ascii="Arial Narrow" w:hAnsi="Arial Narrow" w:cs="Arial"/>
                <w:sz w:val="20"/>
                <w:szCs w:val="20"/>
              </w:rPr>
              <w:instrText xml:space="preserve"> FORMCHECKBOX </w:instrText>
            </w:r>
            <w:r w:rsidR="00233D13">
              <w:rPr>
                <w:rFonts w:ascii="Arial Narrow" w:hAnsi="Arial Narrow" w:cs="Arial"/>
                <w:sz w:val="20"/>
                <w:szCs w:val="20"/>
              </w:rPr>
            </w:r>
            <w:r w:rsidR="00233D13">
              <w:rPr>
                <w:rFonts w:ascii="Arial Narrow" w:hAnsi="Arial Narrow" w:cs="Arial"/>
                <w:sz w:val="20"/>
                <w:szCs w:val="20"/>
              </w:rPr>
              <w:fldChar w:fldCharType="separate"/>
            </w:r>
            <w:r w:rsidRPr="00F33674">
              <w:rPr>
                <w:rFonts w:ascii="Arial Narrow" w:hAnsi="Arial Narrow" w:cs="Arial"/>
                <w:sz w:val="20"/>
                <w:szCs w:val="20"/>
              </w:rPr>
              <w:fldChar w:fldCharType="end"/>
            </w:r>
            <w:r w:rsidRPr="00F33674">
              <w:rPr>
                <w:rFonts w:ascii="Arial Narrow" w:hAnsi="Arial Narrow" w:cs="Arial"/>
                <w:sz w:val="20"/>
                <w:szCs w:val="20"/>
              </w:rPr>
              <w:t>Authority Required – Telephone/Electronic/Emergency</w:t>
            </w:r>
          </w:p>
          <w:p w14:paraId="71FC39BC" w14:textId="77777777" w:rsidR="00F33674" w:rsidRPr="00F33674" w:rsidRDefault="00F33674" w:rsidP="00F33674">
            <w:pPr>
              <w:rPr>
                <w:rFonts w:ascii="Arial Narrow" w:hAnsi="Arial Narrow" w:cs="Arial"/>
                <w:sz w:val="20"/>
                <w:szCs w:val="20"/>
              </w:rPr>
            </w:pPr>
            <w:r w:rsidRPr="00F33674">
              <w:rPr>
                <w:rFonts w:ascii="Arial Narrow" w:hAnsi="Arial Narrow" w:cs="Arial"/>
                <w:sz w:val="20"/>
                <w:szCs w:val="20"/>
              </w:rPr>
              <w:fldChar w:fldCharType="begin">
                <w:ffData>
                  <w:name w:val="Check5"/>
                  <w:enabled/>
                  <w:calcOnExit w:val="0"/>
                  <w:checkBox>
                    <w:sizeAuto/>
                    <w:default w:val="0"/>
                  </w:checkBox>
                </w:ffData>
              </w:fldChar>
            </w:r>
            <w:r w:rsidRPr="00F33674">
              <w:rPr>
                <w:rFonts w:ascii="Arial Narrow" w:hAnsi="Arial Narrow" w:cs="Arial"/>
                <w:sz w:val="20"/>
                <w:szCs w:val="20"/>
              </w:rPr>
              <w:instrText xml:space="preserve"> FORMCHECKBOX </w:instrText>
            </w:r>
            <w:r w:rsidR="00233D13">
              <w:rPr>
                <w:rFonts w:ascii="Arial Narrow" w:hAnsi="Arial Narrow" w:cs="Arial"/>
                <w:sz w:val="20"/>
                <w:szCs w:val="20"/>
              </w:rPr>
            </w:r>
            <w:r w:rsidR="00233D13">
              <w:rPr>
                <w:rFonts w:ascii="Arial Narrow" w:hAnsi="Arial Narrow" w:cs="Arial"/>
                <w:sz w:val="20"/>
                <w:szCs w:val="20"/>
              </w:rPr>
              <w:fldChar w:fldCharType="separate"/>
            </w:r>
            <w:r w:rsidRPr="00F33674">
              <w:rPr>
                <w:rFonts w:ascii="Arial Narrow" w:hAnsi="Arial Narrow" w:cs="Arial"/>
                <w:sz w:val="20"/>
                <w:szCs w:val="20"/>
              </w:rPr>
              <w:fldChar w:fldCharType="end"/>
            </w:r>
            <w:r w:rsidRPr="00F33674">
              <w:rPr>
                <w:rFonts w:ascii="Arial Narrow" w:hAnsi="Arial Narrow" w:cs="Arial"/>
                <w:sz w:val="20"/>
                <w:szCs w:val="20"/>
              </w:rPr>
              <w:t>Streamlined</w:t>
            </w:r>
          </w:p>
        </w:tc>
      </w:tr>
      <w:tr w:rsidR="00A35FB2" w:rsidRPr="00F33674" w14:paraId="236C8845" w14:textId="77777777" w:rsidTr="00F33674">
        <w:trPr>
          <w:cantSplit/>
          <w:trHeight w:val="360"/>
        </w:trPr>
        <w:tc>
          <w:tcPr>
            <w:tcW w:w="2835" w:type="dxa"/>
            <w:tcBorders>
              <w:top w:val="single" w:sz="4" w:space="0" w:color="auto"/>
              <w:left w:val="single" w:sz="4" w:space="0" w:color="auto"/>
              <w:bottom w:val="single" w:sz="4" w:space="0" w:color="auto"/>
              <w:right w:val="single" w:sz="4" w:space="0" w:color="auto"/>
            </w:tcBorders>
          </w:tcPr>
          <w:p w14:paraId="1AD9BC0A" w14:textId="33D7BC90" w:rsidR="00A35FB2" w:rsidRPr="00F33674" w:rsidRDefault="00A35FB2" w:rsidP="00F33674">
            <w:pPr>
              <w:rPr>
                <w:rFonts w:ascii="Arial Narrow" w:hAnsi="Arial Narrow" w:cs="Arial"/>
                <w:b/>
                <w:sz w:val="20"/>
                <w:szCs w:val="20"/>
              </w:rPr>
            </w:pPr>
            <w:r>
              <w:rPr>
                <w:rFonts w:ascii="Arial Narrow" w:hAnsi="Arial Narrow" w:cs="Arial"/>
                <w:b/>
                <w:sz w:val="20"/>
                <w:szCs w:val="20"/>
              </w:rPr>
              <w:t>Treatment phase:</w:t>
            </w:r>
          </w:p>
        </w:tc>
        <w:tc>
          <w:tcPr>
            <w:tcW w:w="6379" w:type="dxa"/>
            <w:tcBorders>
              <w:top w:val="single" w:sz="4" w:space="0" w:color="auto"/>
              <w:left w:val="single" w:sz="4" w:space="0" w:color="auto"/>
              <w:bottom w:val="single" w:sz="4" w:space="0" w:color="auto"/>
              <w:right w:val="single" w:sz="4" w:space="0" w:color="auto"/>
            </w:tcBorders>
          </w:tcPr>
          <w:p w14:paraId="2E0F7E49" w14:textId="32AF2462" w:rsidR="00A35FB2" w:rsidRPr="00F33674" w:rsidRDefault="00265869" w:rsidP="00F33674">
            <w:pPr>
              <w:jc w:val="left"/>
              <w:rPr>
                <w:rFonts w:ascii="Arial Narrow" w:hAnsi="Arial Narrow" w:cs="Arial"/>
                <w:sz w:val="20"/>
                <w:szCs w:val="20"/>
              </w:rPr>
            </w:pPr>
            <w:r>
              <w:rPr>
                <w:rFonts w:ascii="Arial Narrow" w:hAnsi="Arial Narrow" w:cs="Arial"/>
                <w:sz w:val="20"/>
                <w:szCs w:val="20"/>
              </w:rPr>
              <w:t xml:space="preserve">Initial PBS treatment after 1 June 2020 where patient </w:t>
            </w:r>
            <w:proofErr w:type="gramStart"/>
            <w:r>
              <w:rPr>
                <w:rFonts w:ascii="Arial Narrow" w:hAnsi="Arial Narrow" w:cs="Arial"/>
                <w:sz w:val="20"/>
                <w:szCs w:val="20"/>
              </w:rPr>
              <w:t>has been treated</w:t>
            </w:r>
            <w:proofErr w:type="gramEnd"/>
            <w:r>
              <w:rPr>
                <w:rFonts w:ascii="Arial Narrow" w:hAnsi="Arial Narrow" w:cs="Arial"/>
                <w:sz w:val="20"/>
                <w:szCs w:val="20"/>
              </w:rPr>
              <w:t xml:space="preserve"> with opioids for less than 12 months.</w:t>
            </w:r>
          </w:p>
        </w:tc>
      </w:tr>
      <w:tr w:rsidR="00F33674" w:rsidRPr="00F33674" w14:paraId="3B5B8453" w14:textId="77777777" w:rsidTr="00F33674">
        <w:trPr>
          <w:cantSplit/>
          <w:trHeight w:val="360"/>
        </w:trPr>
        <w:tc>
          <w:tcPr>
            <w:tcW w:w="2835" w:type="dxa"/>
            <w:tcBorders>
              <w:top w:val="single" w:sz="4" w:space="0" w:color="auto"/>
              <w:left w:val="single" w:sz="4" w:space="0" w:color="auto"/>
              <w:bottom w:val="single" w:sz="4" w:space="0" w:color="auto"/>
              <w:right w:val="single" w:sz="4" w:space="0" w:color="auto"/>
            </w:tcBorders>
          </w:tcPr>
          <w:p w14:paraId="4EA440BC" w14:textId="77777777" w:rsidR="00F33674" w:rsidRPr="00F33674" w:rsidRDefault="00F33674" w:rsidP="00F33674">
            <w:pPr>
              <w:rPr>
                <w:rFonts w:ascii="Arial Narrow" w:hAnsi="Arial Narrow" w:cs="Arial"/>
                <w:b/>
                <w:sz w:val="20"/>
                <w:szCs w:val="20"/>
              </w:rPr>
            </w:pPr>
            <w:r w:rsidRPr="00F33674">
              <w:rPr>
                <w:rFonts w:ascii="Arial Narrow" w:hAnsi="Arial Narrow" w:cs="Arial"/>
                <w:b/>
                <w:sz w:val="20"/>
                <w:szCs w:val="20"/>
              </w:rPr>
              <w:t>Clinical criteria:</w:t>
            </w:r>
          </w:p>
        </w:tc>
        <w:tc>
          <w:tcPr>
            <w:tcW w:w="6379" w:type="dxa"/>
            <w:tcBorders>
              <w:top w:val="single" w:sz="4" w:space="0" w:color="auto"/>
              <w:left w:val="single" w:sz="4" w:space="0" w:color="auto"/>
              <w:bottom w:val="single" w:sz="4" w:space="0" w:color="auto"/>
              <w:right w:val="single" w:sz="4" w:space="0" w:color="auto"/>
            </w:tcBorders>
          </w:tcPr>
          <w:p w14:paraId="0E545A85" w14:textId="7C6CADAC" w:rsidR="00F33674" w:rsidRPr="00F33674" w:rsidRDefault="00F33674" w:rsidP="00F33674">
            <w:pPr>
              <w:jc w:val="left"/>
              <w:rPr>
                <w:rFonts w:ascii="Arial Narrow" w:hAnsi="Arial Narrow" w:cs="Arial"/>
                <w:sz w:val="20"/>
                <w:szCs w:val="20"/>
              </w:rPr>
            </w:pPr>
            <w:r w:rsidRPr="00F33674">
              <w:rPr>
                <w:rFonts w:ascii="Arial Narrow" w:hAnsi="Arial Narrow" w:cs="Arial"/>
                <w:sz w:val="20"/>
                <w:szCs w:val="20"/>
              </w:rPr>
              <w:t>[new] Patient must have</w:t>
            </w:r>
            <w:r w:rsidR="00A35FB2">
              <w:rPr>
                <w:rFonts w:ascii="Arial Narrow" w:hAnsi="Arial Narrow" w:cs="Arial"/>
                <w:sz w:val="20"/>
                <w:szCs w:val="20"/>
              </w:rPr>
              <w:t xml:space="preserve"> had or would have</w:t>
            </w:r>
            <w:r w:rsidRPr="00F33674">
              <w:rPr>
                <w:rFonts w:ascii="Arial Narrow" w:hAnsi="Arial Narrow" w:cs="Arial"/>
                <w:sz w:val="20"/>
                <w:szCs w:val="20"/>
              </w:rPr>
              <w:t xml:space="preserve"> inadequate</w:t>
            </w:r>
            <w:r w:rsidR="00A35FB2">
              <w:rPr>
                <w:rFonts w:ascii="Arial Narrow" w:hAnsi="Arial Narrow" w:cs="Arial"/>
                <w:sz w:val="20"/>
                <w:szCs w:val="20"/>
              </w:rPr>
              <w:t xml:space="preserve"> pain</w:t>
            </w:r>
            <w:r w:rsidRPr="00F33674">
              <w:rPr>
                <w:rFonts w:ascii="Arial Narrow" w:hAnsi="Arial Narrow" w:cs="Arial"/>
                <w:sz w:val="20"/>
                <w:szCs w:val="20"/>
              </w:rPr>
              <w:t xml:space="preserve"> management</w:t>
            </w:r>
            <w:r w:rsidR="00A42F3E">
              <w:rPr>
                <w:rFonts w:ascii="Arial Narrow" w:hAnsi="Arial Narrow" w:cs="Arial"/>
                <w:sz w:val="20"/>
                <w:szCs w:val="20"/>
              </w:rPr>
              <w:t xml:space="preserve"> </w:t>
            </w:r>
            <w:r w:rsidR="00A35FB2">
              <w:rPr>
                <w:rFonts w:ascii="Arial Narrow" w:hAnsi="Arial Narrow" w:cs="Arial"/>
                <w:sz w:val="20"/>
                <w:szCs w:val="20"/>
              </w:rPr>
              <w:t>with</w:t>
            </w:r>
            <w:r w:rsidRPr="00F33674">
              <w:rPr>
                <w:rFonts w:ascii="Arial Narrow" w:hAnsi="Arial Narrow" w:cs="Arial"/>
                <w:sz w:val="20"/>
                <w:szCs w:val="20"/>
              </w:rPr>
              <w:t xml:space="preserve"> maximum tolerated doses of non-opioid and other opioid analgesics</w:t>
            </w:r>
          </w:p>
          <w:p w14:paraId="55215B36" w14:textId="77777777" w:rsidR="00F33674" w:rsidRPr="00F33674" w:rsidRDefault="00F33674" w:rsidP="00F33674">
            <w:pPr>
              <w:jc w:val="left"/>
              <w:rPr>
                <w:rFonts w:ascii="Arial Narrow" w:hAnsi="Arial Narrow" w:cs="Arial"/>
                <w:sz w:val="20"/>
                <w:szCs w:val="20"/>
              </w:rPr>
            </w:pPr>
          </w:p>
          <w:p w14:paraId="7BB4F79D" w14:textId="77777777" w:rsidR="00F33674" w:rsidRPr="00F33674" w:rsidRDefault="00F33674" w:rsidP="00F33674">
            <w:pPr>
              <w:jc w:val="left"/>
              <w:rPr>
                <w:rFonts w:ascii="Arial Narrow" w:hAnsi="Arial Narrow" w:cs="Arial"/>
                <w:sz w:val="20"/>
                <w:szCs w:val="20"/>
              </w:rPr>
            </w:pPr>
            <w:r w:rsidRPr="00F33674">
              <w:rPr>
                <w:rFonts w:ascii="Arial Narrow" w:hAnsi="Arial Narrow" w:cs="Arial"/>
                <w:sz w:val="20"/>
                <w:szCs w:val="20"/>
              </w:rPr>
              <w:t>OR</w:t>
            </w:r>
          </w:p>
          <w:p w14:paraId="75A6765C" w14:textId="77777777" w:rsidR="00F33674" w:rsidRPr="00F33674" w:rsidRDefault="00F33674" w:rsidP="00F33674">
            <w:pPr>
              <w:jc w:val="left"/>
              <w:rPr>
                <w:rFonts w:ascii="Arial Narrow" w:hAnsi="Arial Narrow" w:cs="Arial"/>
                <w:sz w:val="20"/>
                <w:szCs w:val="20"/>
              </w:rPr>
            </w:pPr>
          </w:p>
          <w:p w14:paraId="0E179FD6" w14:textId="24A94E52" w:rsidR="00F33674" w:rsidRPr="00F33674" w:rsidRDefault="00F33674">
            <w:pPr>
              <w:jc w:val="left"/>
              <w:rPr>
                <w:rFonts w:ascii="Arial Narrow" w:hAnsi="Arial Narrow" w:cs="Arial"/>
                <w:color w:val="FF0000"/>
                <w:sz w:val="20"/>
                <w:szCs w:val="20"/>
              </w:rPr>
            </w:pPr>
            <w:r w:rsidRPr="00F33674">
              <w:rPr>
                <w:rFonts w:ascii="Arial Narrow" w:hAnsi="Arial Narrow" w:cs="Arial"/>
                <w:sz w:val="20"/>
                <w:szCs w:val="20"/>
              </w:rPr>
              <w:t>[new] Patient must be unable to use non-opioid and other opioid analgesics due to contraindications or intolerance.</w:t>
            </w:r>
          </w:p>
        </w:tc>
      </w:tr>
      <w:tr w:rsidR="00F33674" w:rsidRPr="00F33674" w14:paraId="61092CC2" w14:textId="77777777" w:rsidTr="00F33674">
        <w:trPr>
          <w:cantSplit/>
          <w:trHeight w:val="360"/>
        </w:trPr>
        <w:tc>
          <w:tcPr>
            <w:tcW w:w="2835" w:type="dxa"/>
            <w:tcBorders>
              <w:top w:val="single" w:sz="4" w:space="0" w:color="auto"/>
              <w:left w:val="single" w:sz="4" w:space="0" w:color="auto"/>
              <w:bottom w:val="single" w:sz="4" w:space="0" w:color="auto"/>
              <w:right w:val="single" w:sz="4" w:space="0" w:color="auto"/>
            </w:tcBorders>
          </w:tcPr>
          <w:p w14:paraId="40F024BE" w14:textId="77777777" w:rsidR="00F33674" w:rsidRPr="00F33674" w:rsidRDefault="00F33674" w:rsidP="00F33674">
            <w:pPr>
              <w:rPr>
                <w:rFonts w:ascii="Arial Narrow" w:hAnsi="Arial Narrow" w:cs="Arial"/>
                <w:b/>
                <w:sz w:val="20"/>
                <w:szCs w:val="20"/>
              </w:rPr>
            </w:pPr>
            <w:r w:rsidRPr="00F33674">
              <w:rPr>
                <w:rFonts w:ascii="Arial Narrow" w:hAnsi="Arial Narrow" w:cs="Arial"/>
                <w:b/>
                <w:sz w:val="20"/>
                <w:szCs w:val="20"/>
              </w:rPr>
              <w:t>Prescriber instructions:</w:t>
            </w:r>
          </w:p>
        </w:tc>
        <w:tc>
          <w:tcPr>
            <w:tcW w:w="6379" w:type="dxa"/>
            <w:tcBorders>
              <w:top w:val="single" w:sz="4" w:space="0" w:color="auto"/>
              <w:left w:val="single" w:sz="4" w:space="0" w:color="auto"/>
              <w:bottom w:val="single" w:sz="4" w:space="0" w:color="auto"/>
              <w:right w:val="single" w:sz="4" w:space="0" w:color="auto"/>
            </w:tcBorders>
          </w:tcPr>
          <w:p w14:paraId="3B51CDD5" w14:textId="1C2E7986" w:rsidR="00F33674" w:rsidRPr="00F33674" w:rsidRDefault="00F33674" w:rsidP="00193259">
            <w:pPr>
              <w:jc w:val="left"/>
              <w:rPr>
                <w:rFonts w:ascii="Arial Narrow" w:hAnsi="Arial Narrow" w:cs="Arial"/>
                <w:sz w:val="20"/>
                <w:szCs w:val="20"/>
              </w:rPr>
            </w:pPr>
            <w:r w:rsidRPr="00F33674">
              <w:rPr>
                <w:rFonts w:ascii="Arial Narrow" w:hAnsi="Arial Narrow" w:cs="Arial"/>
                <w:sz w:val="20"/>
                <w:szCs w:val="20"/>
              </w:rPr>
              <w:t xml:space="preserve">[new] Authorities for increased maximum quantities and/or repeats </w:t>
            </w:r>
            <w:r w:rsidR="00A42F3E">
              <w:rPr>
                <w:rFonts w:ascii="Arial Narrow" w:hAnsi="Arial Narrow" w:cs="Arial"/>
                <w:sz w:val="20"/>
                <w:szCs w:val="20"/>
              </w:rPr>
              <w:t xml:space="preserve">under this restriction </w:t>
            </w:r>
            <w:proofErr w:type="gramStart"/>
            <w:r w:rsidRPr="00F33674">
              <w:rPr>
                <w:rFonts w:ascii="Arial Narrow" w:hAnsi="Arial Narrow" w:cs="Arial"/>
                <w:sz w:val="20"/>
                <w:szCs w:val="20"/>
              </w:rPr>
              <w:t>must only be considered</w:t>
            </w:r>
            <w:proofErr w:type="gramEnd"/>
            <w:r w:rsidRPr="00F33674">
              <w:rPr>
                <w:rFonts w:ascii="Arial Narrow" w:hAnsi="Arial Narrow" w:cs="Arial"/>
                <w:sz w:val="20"/>
                <w:szCs w:val="20"/>
              </w:rPr>
              <w:t xml:space="preserve"> for</w:t>
            </w:r>
            <w:r w:rsidR="00A42F3E">
              <w:rPr>
                <w:rFonts w:ascii="Arial Narrow" w:hAnsi="Arial Narrow" w:cs="Arial"/>
                <w:sz w:val="20"/>
                <w:szCs w:val="20"/>
              </w:rPr>
              <w:t xml:space="preserve"> </w:t>
            </w:r>
            <w:r w:rsidRPr="00F33674">
              <w:rPr>
                <w:rFonts w:ascii="Arial Narrow" w:hAnsi="Arial Narrow" w:cs="Arial"/>
                <w:sz w:val="20"/>
                <w:szCs w:val="20"/>
              </w:rPr>
              <w:t>severe disabling pain associated with proven malignant neoplasia or</w:t>
            </w:r>
            <w:r w:rsidR="00A42F3E">
              <w:rPr>
                <w:rFonts w:ascii="Arial Narrow" w:hAnsi="Arial Narrow" w:cs="Arial"/>
                <w:sz w:val="20"/>
                <w:szCs w:val="20"/>
              </w:rPr>
              <w:t xml:space="preserve"> c</w:t>
            </w:r>
            <w:r w:rsidRPr="00F33674">
              <w:rPr>
                <w:rFonts w:ascii="Arial Narrow" w:hAnsi="Arial Narrow" w:cs="Arial"/>
                <w:sz w:val="20"/>
                <w:szCs w:val="20"/>
              </w:rPr>
              <w:t>hronic severe disabling pain where the total duration of non-PBS and PBS subsidised opioid analgesic treatment is less than 12 months</w:t>
            </w:r>
            <w:r w:rsidR="00A42F3E">
              <w:rPr>
                <w:rFonts w:ascii="Arial Narrow" w:hAnsi="Arial Narrow" w:cs="Arial"/>
                <w:sz w:val="20"/>
                <w:szCs w:val="20"/>
              </w:rPr>
              <w:t>.</w:t>
            </w:r>
          </w:p>
          <w:p w14:paraId="4C5241BD" w14:textId="77777777" w:rsidR="00F33674" w:rsidRPr="00F33674" w:rsidRDefault="00F33674" w:rsidP="00F33674">
            <w:pPr>
              <w:jc w:val="left"/>
              <w:rPr>
                <w:rFonts w:ascii="Arial Narrow" w:hAnsi="Arial Narrow" w:cs="Arial"/>
                <w:sz w:val="20"/>
                <w:szCs w:val="20"/>
              </w:rPr>
            </w:pPr>
          </w:p>
          <w:p w14:paraId="0AB0D5F1" w14:textId="77777777" w:rsidR="00F33674" w:rsidRPr="00F33674" w:rsidRDefault="00F33674" w:rsidP="00F33674">
            <w:pPr>
              <w:jc w:val="left"/>
              <w:rPr>
                <w:rFonts w:ascii="Arial Narrow" w:hAnsi="Arial Narrow" w:cs="Arial"/>
                <w:sz w:val="20"/>
                <w:szCs w:val="20"/>
              </w:rPr>
            </w:pPr>
            <w:r w:rsidRPr="00F33674">
              <w:rPr>
                <w:rFonts w:ascii="Arial Narrow" w:hAnsi="Arial Narrow" w:cs="Arial"/>
                <w:sz w:val="20"/>
                <w:szCs w:val="20"/>
              </w:rPr>
              <w:t>[new] Authority requests extending treatment duration up to 1 month may be requested though the Online PBS Authorities system or by calling Services Australia.</w:t>
            </w:r>
          </w:p>
          <w:p w14:paraId="3D0C2FB4" w14:textId="77777777" w:rsidR="00F33674" w:rsidRPr="00F33674" w:rsidRDefault="00F33674" w:rsidP="00F33674">
            <w:pPr>
              <w:jc w:val="left"/>
              <w:rPr>
                <w:rFonts w:ascii="Arial Narrow" w:hAnsi="Arial Narrow" w:cs="Arial"/>
                <w:sz w:val="20"/>
                <w:szCs w:val="20"/>
              </w:rPr>
            </w:pPr>
          </w:p>
          <w:p w14:paraId="178EEC3A" w14:textId="3DF8B942" w:rsidR="00F33674" w:rsidRPr="00F33674" w:rsidRDefault="00F33674" w:rsidP="00F33674">
            <w:pPr>
              <w:jc w:val="left"/>
              <w:rPr>
                <w:rFonts w:ascii="Arial Narrow" w:hAnsi="Arial Narrow" w:cs="Arial"/>
                <w:sz w:val="20"/>
                <w:szCs w:val="20"/>
              </w:rPr>
            </w:pPr>
            <w:r w:rsidRPr="00F33674">
              <w:rPr>
                <w:rFonts w:ascii="Arial Narrow" w:hAnsi="Arial Narrow" w:cs="Arial"/>
                <w:sz w:val="20"/>
                <w:szCs w:val="20"/>
              </w:rPr>
              <w:t xml:space="preserve">Authority requests extending treatment duration beyond 1 month </w:t>
            </w:r>
            <w:r w:rsidR="00710D93" w:rsidRPr="00710D93">
              <w:rPr>
                <w:rFonts w:ascii="Arial Narrow" w:hAnsi="Arial Narrow" w:cs="Arial"/>
                <w:sz w:val="20"/>
                <w:szCs w:val="20"/>
              </w:rPr>
              <w:t>may be requested through the Online PBS Authorities system</w:t>
            </w:r>
            <w:r w:rsidRPr="00F33674">
              <w:rPr>
                <w:rFonts w:ascii="Arial Narrow" w:hAnsi="Arial Narrow" w:cs="Arial"/>
                <w:sz w:val="20"/>
                <w:szCs w:val="20"/>
              </w:rPr>
              <w:t xml:space="preserve"> or in writing only and must not provide a treatment duration exceeding 3 months</w:t>
            </w:r>
            <w:r w:rsidR="00710D93">
              <w:rPr>
                <w:rFonts w:ascii="Arial Narrow" w:hAnsi="Arial Narrow" w:cs="Arial"/>
                <w:sz w:val="20"/>
                <w:szCs w:val="20"/>
              </w:rPr>
              <w:t xml:space="preserve"> </w:t>
            </w:r>
            <w:r w:rsidR="00710D93" w:rsidRPr="00710D93">
              <w:rPr>
                <w:rFonts w:ascii="Arial Narrow" w:hAnsi="Arial Narrow" w:cs="Arial"/>
                <w:sz w:val="20"/>
                <w:szCs w:val="20"/>
              </w:rPr>
              <w:t xml:space="preserve">(quantity sufficient for up to </w:t>
            </w:r>
            <w:proofErr w:type="gramStart"/>
            <w:r w:rsidR="00710D93" w:rsidRPr="00710D93">
              <w:rPr>
                <w:rFonts w:ascii="Arial Narrow" w:hAnsi="Arial Narrow" w:cs="Arial"/>
                <w:sz w:val="20"/>
                <w:szCs w:val="20"/>
              </w:rPr>
              <w:t>1 month</w:t>
            </w:r>
            <w:proofErr w:type="gramEnd"/>
            <w:r w:rsidR="00710D93" w:rsidRPr="00710D93">
              <w:rPr>
                <w:rFonts w:ascii="Arial Narrow" w:hAnsi="Arial Narrow" w:cs="Arial"/>
                <w:sz w:val="20"/>
                <w:szCs w:val="20"/>
              </w:rPr>
              <w:t xml:space="preserve"> treatment and sufficient repeats)</w:t>
            </w:r>
            <w:r w:rsidRPr="00F33674">
              <w:rPr>
                <w:rFonts w:ascii="Arial Narrow" w:hAnsi="Arial Narrow" w:cs="Arial"/>
                <w:sz w:val="20"/>
                <w:szCs w:val="20"/>
              </w:rPr>
              <w:t>.</w:t>
            </w:r>
          </w:p>
        </w:tc>
      </w:tr>
      <w:tr w:rsidR="00F33674" w:rsidRPr="00F33674" w14:paraId="3743BDBA" w14:textId="77777777" w:rsidTr="00F33674">
        <w:trPr>
          <w:cantSplit/>
          <w:trHeight w:val="360"/>
        </w:trPr>
        <w:tc>
          <w:tcPr>
            <w:tcW w:w="2835" w:type="dxa"/>
            <w:tcBorders>
              <w:top w:val="single" w:sz="4" w:space="0" w:color="auto"/>
              <w:left w:val="single" w:sz="4" w:space="0" w:color="auto"/>
              <w:bottom w:val="single" w:sz="4" w:space="0" w:color="auto"/>
              <w:right w:val="single" w:sz="4" w:space="0" w:color="auto"/>
            </w:tcBorders>
          </w:tcPr>
          <w:p w14:paraId="3806F774" w14:textId="77777777" w:rsidR="00F33674" w:rsidRPr="00F33674" w:rsidRDefault="00F33674" w:rsidP="00F33674">
            <w:pPr>
              <w:rPr>
                <w:rFonts w:ascii="Arial Narrow" w:hAnsi="Arial Narrow" w:cs="Arial"/>
                <w:b/>
                <w:sz w:val="20"/>
                <w:szCs w:val="20"/>
              </w:rPr>
            </w:pPr>
            <w:r w:rsidRPr="00F33674">
              <w:rPr>
                <w:rFonts w:ascii="Arial Narrow" w:hAnsi="Arial Narrow" w:cs="Arial"/>
                <w:b/>
                <w:sz w:val="20"/>
                <w:szCs w:val="20"/>
              </w:rPr>
              <w:t>Administrative advice:</w:t>
            </w:r>
          </w:p>
        </w:tc>
        <w:tc>
          <w:tcPr>
            <w:tcW w:w="6379" w:type="dxa"/>
            <w:tcBorders>
              <w:top w:val="single" w:sz="4" w:space="0" w:color="auto"/>
              <w:left w:val="single" w:sz="4" w:space="0" w:color="auto"/>
              <w:bottom w:val="single" w:sz="4" w:space="0" w:color="auto"/>
              <w:right w:val="single" w:sz="4" w:space="0" w:color="auto"/>
            </w:tcBorders>
          </w:tcPr>
          <w:p w14:paraId="7E4FE2F8" w14:textId="77777777" w:rsidR="00F33674" w:rsidRPr="00F33674" w:rsidRDefault="00F33674" w:rsidP="00F33674">
            <w:pPr>
              <w:jc w:val="left"/>
              <w:rPr>
                <w:rFonts w:ascii="Arial Narrow" w:hAnsi="Arial Narrow"/>
                <w:sz w:val="20"/>
                <w:szCs w:val="20"/>
              </w:rPr>
            </w:pPr>
            <w:r w:rsidRPr="00F33674">
              <w:rPr>
                <w:rFonts w:ascii="Arial Narrow" w:hAnsi="Arial Narrow"/>
                <w:sz w:val="20"/>
                <w:szCs w:val="20"/>
              </w:rPr>
              <w:t>[new] Consider consultation with a multidisciplinary pain service prior to, or after commencement of this medication.</w:t>
            </w:r>
          </w:p>
          <w:p w14:paraId="59C34F62" w14:textId="77777777" w:rsidR="00F33674" w:rsidRPr="00F33674" w:rsidRDefault="00F33674" w:rsidP="00F33674">
            <w:pPr>
              <w:jc w:val="left"/>
              <w:rPr>
                <w:rFonts w:ascii="Arial Narrow" w:hAnsi="Arial Narrow" w:cs="Arial"/>
                <w:sz w:val="20"/>
                <w:szCs w:val="20"/>
              </w:rPr>
            </w:pPr>
          </w:p>
          <w:p w14:paraId="34C95638" w14:textId="77777777" w:rsidR="00F33674" w:rsidRPr="00F33674" w:rsidRDefault="00F33674" w:rsidP="00F33674">
            <w:pPr>
              <w:jc w:val="left"/>
              <w:rPr>
                <w:rFonts w:ascii="Arial Narrow" w:hAnsi="Arial Narrow" w:cs="Arial"/>
                <w:sz w:val="20"/>
                <w:szCs w:val="20"/>
              </w:rPr>
            </w:pPr>
            <w:r w:rsidRPr="00F33674">
              <w:rPr>
                <w:rFonts w:ascii="Arial Narrow" w:hAnsi="Arial Narrow" w:cs="Arial"/>
                <w:sz w:val="20"/>
                <w:szCs w:val="20"/>
              </w:rPr>
              <w:t>[new] Real time online applications for increased maximum quantities/repeats may be made using the Online PBS Authorities system (see www.servicesaustralia.gov.au/organisations/health-professionals/services/medicare/hpos/services/request-authority-using-online-pbs-authorities-hpos)</w:t>
            </w:r>
          </w:p>
          <w:p w14:paraId="2AFD603C" w14:textId="77777777" w:rsidR="00F33674" w:rsidRPr="00F33674" w:rsidRDefault="00F33674" w:rsidP="00F33674">
            <w:pPr>
              <w:jc w:val="left"/>
              <w:rPr>
                <w:rFonts w:ascii="Arial Narrow" w:hAnsi="Arial Narrow" w:cs="Arial"/>
                <w:sz w:val="20"/>
                <w:szCs w:val="20"/>
              </w:rPr>
            </w:pPr>
          </w:p>
          <w:p w14:paraId="5561B8FC" w14:textId="09E7FFEF" w:rsidR="00F33674" w:rsidRPr="00F33674" w:rsidRDefault="00F33674" w:rsidP="00F33674">
            <w:pPr>
              <w:jc w:val="left"/>
              <w:rPr>
                <w:rFonts w:ascii="Arial Narrow" w:hAnsi="Arial Narrow" w:cs="Arial"/>
                <w:sz w:val="20"/>
                <w:szCs w:val="20"/>
              </w:rPr>
            </w:pPr>
            <w:r w:rsidRPr="00F33674">
              <w:rPr>
                <w:rFonts w:ascii="Arial Narrow" w:hAnsi="Arial Narrow" w:cs="Arial"/>
                <w:sz w:val="20"/>
                <w:szCs w:val="20"/>
              </w:rPr>
              <w:t>Phone applications for increased maximum quantities/repeats may be made by calling 1800 888 333.</w:t>
            </w:r>
          </w:p>
          <w:p w14:paraId="21027790" w14:textId="77777777" w:rsidR="00F33674" w:rsidRPr="00F33674" w:rsidRDefault="00F33674" w:rsidP="00F33674">
            <w:pPr>
              <w:jc w:val="left"/>
              <w:rPr>
                <w:rFonts w:ascii="Arial Narrow" w:hAnsi="Arial Narrow" w:cs="Arial"/>
                <w:sz w:val="20"/>
                <w:szCs w:val="20"/>
              </w:rPr>
            </w:pPr>
          </w:p>
          <w:p w14:paraId="76B184E2" w14:textId="77777777" w:rsidR="00F33674" w:rsidRPr="00F33674" w:rsidRDefault="00F33674" w:rsidP="00F33674">
            <w:pPr>
              <w:jc w:val="left"/>
              <w:rPr>
                <w:rFonts w:ascii="Arial Narrow" w:hAnsi="Arial Narrow" w:cs="Arial"/>
                <w:sz w:val="20"/>
                <w:szCs w:val="20"/>
              </w:rPr>
            </w:pPr>
            <w:r w:rsidRPr="00F33674">
              <w:rPr>
                <w:rFonts w:ascii="Arial Narrow" w:hAnsi="Arial Narrow" w:cs="Arial"/>
                <w:sz w:val="20"/>
                <w:szCs w:val="20"/>
              </w:rPr>
              <w:t>Written authority applications for increased maximum quantities/repeats can be uploaded online through HPOS form upload or mailed to:</w:t>
            </w:r>
          </w:p>
          <w:p w14:paraId="1343CD70" w14:textId="77777777" w:rsidR="00F33674" w:rsidRPr="00F33674" w:rsidRDefault="00F33674" w:rsidP="00F33674">
            <w:pPr>
              <w:jc w:val="left"/>
              <w:rPr>
                <w:rFonts w:ascii="Arial Narrow" w:hAnsi="Arial Narrow" w:cs="Arial"/>
                <w:sz w:val="20"/>
                <w:szCs w:val="20"/>
              </w:rPr>
            </w:pPr>
            <w:r w:rsidRPr="00F33674">
              <w:rPr>
                <w:rFonts w:ascii="Arial Narrow" w:hAnsi="Arial Narrow" w:cs="Arial"/>
                <w:sz w:val="20"/>
                <w:szCs w:val="20"/>
              </w:rPr>
              <w:t>Pharmaceutical Benefits Scheme</w:t>
            </w:r>
          </w:p>
          <w:p w14:paraId="2B2CF491" w14:textId="77777777" w:rsidR="00F33674" w:rsidRPr="00F33674" w:rsidRDefault="00F33674" w:rsidP="00F33674">
            <w:pPr>
              <w:jc w:val="left"/>
              <w:rPr>
                <w:rFonts w:ascii="Arial Narrow" w:hAnsi="Arial Narrow" w:cs="Arial"/>
                <w:sz w:val="20"/>
                <w:szCs w:val="20"/>
              </w:rPr>
            </w:pPr>
            <w:r w:rsidRPr="00F33674">
              <w:rPr>
                <w:rFonts w:ascii="Arial Narrow" w:hAnsi="Arial Narrow" w:cs="Arial"/>
                <w:sz w:val="20"/>
                <w:szCs w:val="20"/>
              </w:rPr>
              <w:t>Reply Paid 9857</w:t>
            </w:r>
          </w:p>
          <w:p w14:paraId="76AF1EF6" w14:textId="77777777" w:rsidR="00F33674" w:rsidRPr="00F33674" w:rsidRDefault="00F33674" w:rsidP="00F33674">
            <w:pPr>
              <w:jc w:val="left"/>
              <w:rPr>
                <w:rFonts w:ascii="Arial Narrow" w:hAnsi="Arial Narrow" w:cs="Arial"/>
                <w:sz w:val="20"/>
                <w:szCs w:val="20"/>
              </w:rPr>
            </w:pPr>
            <w:r w:rsidRPr="00F33674">
              <w:rPr>
                <w:rFonts w:ascii="Arial Narrow" w:hAnsi="Arial Narrow" w:cs="Arial"/>
                <w:sz w:val="20"/>
                <w:szCs w:val="20"/>
              </w:rPr>
              <w:t>[Your capital city]</w:t>
            </w:r>
          </w:p>
        </w:tc>
      </w:tr>
      <w:tr w:rsidR="00F33674" w:rsidRPr="00F33674" w14:paraId="51A61787" w14:textId="77777777" w:rsidTr="00F33674">
        <w:trPr>
          <w:cantSplit/>
          <w:trHeight w:val="360"/>
        </w:trPr>
        <w:tc>
          <w:tcPr>
            <w:tcW w:w="2835" w:type="dxa"/>
            <w:tcBorders>
              <w:top w:val="single" w:sz="4" w:space="0" w:color="auto"/>
              <w:left w:val="single" w:sz="4" w:space="0" w:color="auto"/>
              <w:bottom w:val="single" w:sz="4" w:space="0" w:color="auto"/>
              <w:right w:val="single" w:sz="4" w:space="0" w:color="auto"/>
            </w:tcBorders>
          </w:tcPr>
          <w:p w14:paraId="3CD253E0" w14:textId="77777777" w:rsidR="00F33674" w:rsidRPr="00F33674" w:rsidRDefault="00F33674" w:rsidP="00F33674">
            <w:pPr>
              <w:rPr>
                <w:rFonts w:ascii="Arial Narrow" w:hAnsi="Arial Narrow" w:cs="Arial"/>
                <w:b/>
                <w:sz w:val="20"/>
                <w:szCs w:val="20"/>
              </w:rPr>
            </w:pPr>
            <w:r w:rsidRPr="00F33674">
              <w:rPr>
                <w:rFonts w:ascii="Arial Narrow" w:hAnsi="Arial Narrow" w:cs="Arial"/>
                <w:b/>
                <w:sz w:val="20"/>
                <w:szCs w:val="20"/>
              </w:rPr>
              <w:t>Cautions:</w:t>
            </w:r>
          </w:p>
        </w:tc>
        <w:tc>
          <w:tcPr>
            <w:tcW w:w="6379" w:type="dxa"/>
            <w:tcBorders>
              <w:top w:val="single" w:sz="4" w:space="0" w:color="auto"/>
              <w:left w:val="single" w:sz="4" w:space="0" w:color="auto"/>
              <w:bottom w:val="single" w:sz="4" w:space="0" w:color="auto"/>
              <w:right w:val="single" w:sz="4" w:space="0" w:color="auto"/>
            </w:tcBorders>
          </w:tcPr>
          <w:p w14:paraId="6BE880E7" w14:textId="77777777" w:rsidR="00F33674" w:rsidRPr="00F33674" w:rsidRDefault="00F33674" w:rsidP="00F33674">
            <w:pPr>
              <w:jc w:val="left"/>
              <w:rPr>
                <w:rFonts w:ascii="Arial Narrow" w:hAnsi="Arial Narrow" w:cs="Arial"/>
                <w:sz w:val="20"/>
                <w:szCs w:val="20"/>
              </w:rPr>
            </w:pPr>
            <w:r w:rsidRPr="00F33674">
              <w:rPr>
                <w:rFonts w:ascii="Arial Narrow" w:hAnsi="Arial Narrow" w:cs="Arial"/>
                <w:sz w:val="20"/>
                <w:szCs w:val="20"/>
              </w:rPr>
              <w:t>[6986] The risk of drug dependence is high.</w:t>
            </w:r>
          </w:p>
        </w:tc>
      </w:tr>
    </w:tbl>
    <w:p w14:paraId="3176AF29" w14:textId="77777777" w:rsidR="00CB71CC" w:rsidRDefault="00CB71CC" w:rsidP="00CB71CC">
      <w:pPr>
        <w:pStyle w:val="3-BodyText"/>
        <w:numPr>
          <w:ilvl w:val="0"/>
          <w:numId w:val="0"/>
        </w:numPr>
        <w:ind w:left="720"/>
      </w:pPr>
    </w:p>
    <w:tbl>
      <w:tblPr>
        <w:tblW w:w="9214" w:type="dxa"/>
        <w:tblInd w:w="-5" w:type="dxa"/>
        <w:tblLayout w:type="fixed"/>
        <w:tblLook w:val="0000" w:firstRow="0" w:lastRow="0" w:firstColumn="0" w:lastColumn="0" w:noHBand="0" w:noVBand="0"/>
      </w:tblPr>
      <w:tblGrid>
        <w:gridCol w:w="2835"/>
        <w:gridCol w:w="6379"/>
      </w:tblGrid>
      <w:tr w:rsidR="009F3089" w:rsidRPr="00F33674" w14:paraId="07D87622" w14:textId="77777777" w:rsidTr="00A74C03">
        <w:trPr>
          <w:cantSplit/>
          <w:trHeight w:val="360"/>
        </w:trPr>
        <w:tc>
          <w:tcPr>
            <w:tcW w:w="2835" w:type="dxa"/>
            <w:tcBorders>
              <w:top w:val="single" w:sz="4" w:space="0" w:color="auto"/>
              <w:left w:val="single" w:sz="4" w:space="0" w:color="auto"/>
              <w:bottom w:val="single" w:sz="4" w:space="0" w:color="auto"/>
              <w:right w:val="single" w:sz="4" w:space="0" w:color="auto"/>
            </w:tcBorders>
          </w:tcPr>
          <w:p w14:paraId="47DDEBE3" w14:textId="77777777" w:rsidR="009F3089" w:rsidRPr="00F33674" w:rsidRDefault="009F3089" w:rsidP="00A74C03">
            <w:pPr>
              <w:rPr>
                <w:rFonts w:ascii="Arial Narrow" w:hAnsi="Arial Narrow" w:cs="Arial"/>
                <w:b/>
                <w:sz w:val="20"/>
                <w:szCs w:val="20"/>
              </w:rPr>
            </w:pPr>
            <w:r w:rsidRPr="00F33674">
              <w:rPr>
                <w:rFonts w:ascii="Arial Narrow" w:hAnsi="Arial Narrow" w:cs="Arial"/>
                <w:b/>
                <w:sz w:val="20"/>
                <w:szCs w:val="20"/>
              </w:rPr>
              <w:t>Category / Program:</w:t>
            </w:r>
          </w:p>
        </w:tc>
        <w:tc>
          <w:tcPr>
            <w:tcW w:w="6379" w:type="dxa"/>
            <w:tcBorders>
              <w:top w:val="single" w:sz="4" w:space="0" w:color="auto"/>
              <w:left w:val="single" w:sz="4" w:space="0" w:color="auto"/>
              <w:bottom w:val="single" w:sz="4" w:space="0" w:color="auto"/>
              <w:right w:val="single" w:sz="4" w:space="0" w:color="auto"/>
            </w:tcBorders>
          </w:tcPr>
          <w:p w14:paraId="27AF36DD" w14:textId="77777777" w:rsidR="009F3089" w:rsidRPr="00F33674" w:rsidRDefault="009F3089" w:rsidP="00A74C03">
            <w:pPr>
              <w:rPr>
                <w:rFonts w:ascii="Arial Narrow" w:hAnsi="Arial Narrow" w:cs="Arial"/>
                <w:sz w:val="20"/>
                <w:szCs w:val="20"/>
              </w:rPr>
            </w:pPr>
            <w:r w:rsidRPr="00F33674">
              <w:rPr>
                <w:rFonts w:ascii="Arial Narrow" w:hAnsi="Arial Narrow" w:cs="Arial"/>
                <w:sz w:val="20"/>
                <w:szCs w:val="20"/>
              </w:rPr>
              <w:t>GENERAL – General Schedule (Code GE)</w:t>
            </w:r>
          </w:p>
        </w:tc>
      </w:tr>
      <w:tr w:rsidR="009F3089" w:rsidRPr="00F33674" w14:paraId="164CD795" w14:textId="77777777" w:rsidTr="00A74C03">
        <w:trPr>
          <w:cantSplit/>
          <w:trHeight w:val="360"/>
        </w:trPr>
        <w:tc>
          <w:tcPr>
            <w:tcW w:w="2835" w:type="dxa"/>
            <w:tcBorders>
              <w:top w:val="single" w:sz="4" w:space="0" w:color="auto"/>
              <w:left w:val="single" w:sz="4" w:space="0" w:color="auto"/>
              <w:bottom w:val="single" w:sz="4" w:space="0" w:color="auto"/>
              <w:right w:val="single" w:sz="4" w:space="0" w:color="auto"/>
            </w:tcBorders>
          </w:tcPr>
          <w:p w14:paraId="1638B286" w14:textId="77777777" w:rsidR="009F3089" w:rsidRPr="00F33674" w:rsidRDefault="009F3089" w:rsidP="00A74C03">
            <w:pPr>
              <w:rPr>
                <w:rFonts w:ascii="Arial Narrow" w:hAnsi="Arial Narrow" w:cs="Arial"/>
                <w:b/>
                <w:sz w:val="20"/>
                <w:szCs w:val="20"/>
              </w:rPr>
            </w:pPr>
            <w:r w:rsidRPr="00F33674">
              <w:rPr>
                <w:rFonts w:ascii="Arial Narrow" w:hAnsi="Arial Narrow" w:cs="Arial"/>
                <w:b/>
                <w:sz w:val="20"/>
                <w:szCs w:val="20"/>
              </w:rPr>
              <w:t>Prescriber type:</w:t>
            </w:r>
          </w:p>
          <w:p w14:paraId="18256CB0" w14:textId="77777777" w:rsidR="009F3089" w:rsidRPr="00F33674" w:rsidRDefault="009F3089" w:rsidP="00A74C03">
            <w:pPr>
              <w:rPr>
                <w:rFonts w:ascii="Arial Narrow" w:hAnsi="Arial Narrow" w:cs="Arial"/>
                <w:b/>
                <w:sz w:val="20"/>
                <w:szCs w:val="20"/>
              </w:rPr>
            </w:pPr>
          </w:p>
        </w:tc>
        <w:tc>
          <w:tcPr>
            <w:tcW w:w="6379" w:type="dxa"/>
            <w:tcBorders>
              <w:top w:val="single" w:sz="4" w:space="0" w:color="auto"/>
              <w:left w:val="single" w:sz="4" w:space="0" w:color="auto"/>
              <w:bottom w:val="single" w:sz="4" w:space="0" w:color="auto"/>
              <w:right w:val="single" w:sz="4" w:space="0" w:color="auto"/>
            </w:tcBorders>
          </w:tcPr>
          <w:p w14:paraId="6EC763A4" w14:textId="6CD6152A" w:rsidR="009F3089" w:rsidRPr="00F33674" w:rsidRDefault="009F3089" w:rsidP="00A74C03">
            <w:pPr>
              <w:rPr>
                <w:rFonts w:ascii="Arial Narrow" w:hAnsi="Arial Narrow" w:cs="Arial"/>
                <w:sz w:val="20"/>
                <w:szCs w:val="20"/>
              </w:rPr>
            </w:pPr>
            <w:r w:rsidRPr="00F33674">
              <w:rPr>
                <w:rFonts w:ascii="Arial Narrow" w:hAnsi="Arial Narrow" w:cs="Arial"/>
                <w:sz w:val="20"/>
                <w:szCs w:val="20"/>
              </w:rPr>
              <w:fldChar w:fldCharType="begin">
                <w:ffData>
                  <w:name w:val="Check1"/>
                  <w:enabled/>
                  <w:calcOnExit w:val="0"/>
                  <w:checkBox>
                    <w:sizeAuto/>
                    <w:default w:val="0"/>
                  </w:checkBox>
                </w:ffData>
              </w:fldChar>
            </w:r>
            <w:r w:rsidRPr="00F33674">
              <w:rPr>
                <w:rFonts w:ascii="Arial Narrow" w:hAnsi="Arial Narrow" w:cs="Arial"/>
                <w:sz w:val="20"/>
                <w:szCs w:val="20"/>
              </w:rPr>
              <w:instrText xml:space="preserve"> FORMCHECKBOX </w:instrText>
            </w:r>
            <w:r w:rsidR="00233D13">
              <w:rPr>
                <w:rFonts w:ascii="Arial Narrow" w:hAnsi="Arial Narrow" w:cs="Arial"/>
                <w:sz w:val="20"/>
                <w:szCs w:val="20"/>
              </w:rPr>
            </w:r>
            <w:r w:rsidR="00233D13">
              <w:rPr>
                <w:rFonts w:ascii="Arial Narrow" w:hAnsi="Arial Narrow" w:cs="Arial"/>
                <w:sz w:val="20"/>
                <w:szCs w:val="20"/>
              </w:rPr>
              <w:fldChar w:fldCharType="separate"/>
            </w:r>
            <w:r w:rsidRPr="00F33674">
              <w:rPr>
                <w:rFonts w:ascii="Arial Narrow" w:hAnsi="Arial Narrow" w:cs="Arial"/>
                <w:sz w:val="20"/>
                <w:szCs w:val="20"/>
              </w:rPr>
              <w:fldChar w:fldCharType="end"/>
            </w:r>
            <w:r w:rsidRPr="00F33674">
              <w:rPr>
                <w:rFonts w:ascii="Arial Narrow" w:hAnsi="Arial Narrow" w:cs="Arial"/>
                <w:sz w:val="20"/>
                <w:szCs w:val="20"/>
              </w:rPr>
              <w:t>Dental</w:t>
            </w:r>
            <w:r w:rsidR="002C1329">
              <w:rPr>
                <w:rFonts w:ascii="Arial Narrow" w:hAnsi="Arial Narrow" w:cs="Arial"/>
                <w:sz w:val="20"/>
                <w:szCs w:val="20"/>
              </w:rPr>
              <w:t xml:space="preserve"> </w:t>
            </w:r>
            <w:r w:rsidRPr="00F33674">
              <w:rPr>
                <w:rFonts w:ascii="Arial Narrow" w:hAnsi="Arial Narrow" w:cs="Arial"/>
                <w:sz w:val="20"/>
                <w:szCs w:val="20"/>
              </w:rPr>
              <w:fldChar w:fldCharType="begin">
                <w:ffData>
                  <w:name w:val=""/>
                  <w:enabled/>
                  <w:calcOnExit w:val="0"/>
                  <w:checkBox>
                    <w:sizeAuto/>
                    <w:default w:val="1"/>
                  </w:checkBox>
                </w:ffData>
              </w:fldChar>
            </w:r>
            <w:r w:rsidRPr="00F33674">
              <w:rPr>
                <w:rFonts w:ascii="Arial Narrow" w:hAnsi="Arial Narrow" w:cs="Arial"/>
                <w:sz w:val="20"/>
                <w:szCs w:val="20"/>
              </w:rPr>
              <w:instrText xml:space="preserve"> FORMCHECKBOX </w:instrText>
            </w:r>
            <w:r w:rsidR="00233D13">
              <w:rPr>
                <w:rFonts w:ascii="Arial Narrow" w:hAnsi="Arial Narrow" w:cs="Arial"/>
                <w:sz w:val="20"/>
                <w:szCs w:val="20"/>
              </w:rPr>
            </w:r>
            <w:r w:rsidR="00233D13">
              <w:rPr>
                <w:rFonts w:ascii="Arial Narrow" w:hAnsi="Arial Narrow" w:cs="Arial"/>
                <w:sz w:val="20"/>
                <w:szCs w:val="20"/>
              </w:rPr>
              <w:fldChar w:fldCharType="separate"/>
            </w:r>
            <w:r w:rsidRPr="00F33674">
              <w:rPr>
                <w:rFonts w:ascii="Arial Narrow" w:hAnsi="Arial Narrow" w:cs="Arial"/>
                <w:sz w:val="20"/>
                <w:szCs w:val="20"/>
              </w:rPr>
              <w:fldChar w:fldCharType="end"/>
            </w:r>
            <w:r w:rsidRPr="00F33674">
              <w:rPr>
                <w:rFonts w:ascii="Arial Narrow" w:hAnsi="Arial Narrow" w:cs="Arial"/>
                <w:sz w:val="20"/>
                <w:szCs w:val="20"/>
              </w:rPr>
              <w:t>Medical Practitioners</w:t>
            </w:r>
            <w:r w:rsidR="002C1329">
              <w:rPr>
                <w:rFonts w:ascii="Arial Narrow" w:hAnsi="Arial Narrow" w:cs="Arial"/>
                <w:sz w:val="20"/>
                <w:szCs w:val="20"/>
              </w:rPr>
              <w:t xml:space="preserve"> </w:t>
            </w:r>
            <w:r w:rsidRPr="00F33674">
              <w:rPr>
                <w:rFonts w:ascii="Arial Narrow" w:hAnsi="Arial Narrow" w:cs="Arial"/>
                <w:sz w:val="20"/>
                <w:szCs w:val="20"/>
              </w:rPr>
              <w:fldChar w:fldCharType="begin">
                <w:ffData>
                  <w:name w:val="Check3"/>
                  <w:enabled/>
                  <w:calcOnExit w:val="0"/>
                  <w:checkBox>
                    <w:sizeAuto/>
                    <w:default w:val="1"/>
                  </w:checkBox>
                </w:ffData>
              </w:fldChar>
            </w:r>
            <w:r w:rsidRPr="00F33674">
              <w:rPr>
                <w:rFonts w:ascii="Arial Narrow" w:hAnsi="Arial Narrow" w:cs="Arial"/>
                <w:sz w:val="20"/>
                <w:szCs w:val="20"/>
              </w:rPr>
              <w:instrText xml:space="preserve"> FORMCHECKBOX </w:instrText>
            </w:r>
            <w:r w:rsidR="00233D13">
              <w:rPr>
                <w:rFonts w:ascii="Arial Narrow" w:hAnsi="Arial Narrow" w:cs="Arial"/>
                <w:sz w:val="20"/>
                <w:szCs w:val="20"/>
              </w:rPr>
            </w:r>
            <w:r w:rsidR="00233D13">
              <w:rPr>
                <w:rFonts w:ascii="Arial Narrow" w:hAnsi="Arial Narrow" w:cs="Arial"/>
                <w:sz w:val="20"/>
                <w:szCs w:val="20"/>
              </w:rPr>
              <w:fldChar w:fldCharType="separate"/>
            </w:r>
            <w:r w:rsidRPr="00F33674">
              <w:rPr>
                <w:rFonts w:ascii="Arial Narrow" w:hAnsi="Arial Narrow" w:cs="Arial"/>
                <w:sz w:val="20"/>
                <w:szCs w:val="20"/>
              </w:rPr>
              <w:fldChar w:fldCharType="end"/>
            </w:r>
            <w:r w:rsidRPr="00F33674">
              <w:rPr>
                <w:rFonts w:ascii="Arial Narrow" w:hAnsi="Arial Narrow" w:cs="Arial"/>
                <w:sz w:val="20"/>
                <w:szCs w:val="20"/>
              </w:rPr>
              <w:t>Nurse practitioners</w:t>
            </w:r>
            <w:r w:rsidR="002C1329">
              <w:rPr>
                <w:rFonts w:ascii="Arial Narrow" w:hAnsi="Arial Narrow" w:cs="Arial"/>
                <w:sz w:val="20"/>
                <w:szCs w:val="20"/>
              </w:rPr>
              <w:t xml:space="preserve"> </w:t>
            </w:r>
            <w:r w:rsidRPr="00F33674">
              <w:rPr>
                <w:rFonts w:ascii="Arial Narrow" w:hAnsi="Arial Narrow" w:cs="Arial"/>
                <w:sz w:val="20"/>
                <w:szCs w:val="20"/>
              </w:rPr>
              <w:fldChar w:fldCharType="begin">
                <w:ffData>
                  <w:name w:val=""/>
                  <w:enabled/>
                  <w:calcOnExit w:val="0"/>
                  <w:checkBox>
                    <w:sizeAuto/>
                    <w:default w:val="0"/>
                  </w:checkBox>
                </w:ffData>
              </w:fldChar>
            </w:r>
            <w:r w:rsidRPr="00F33674">
              <w:rPr>
                <w:rFonts w:ascii="Arial Narrow" w:hAnsi="Arial Narrow" w:cs="Arial"/>
                <w:sz w:val="20"/>
                <w:szCs w:val="20"/>
              </w:rPr>
              <w:instrText xml:space="preserve"> FORMCHECKBOX </w:instrText>
            </w:r>
            <w:r w:rsidR="00233D13">
              <w:rPr>
                <w:rFonts w:ascii="Arial Narrow" w:hAnsi="Arial Narrow" w:cs="Arial"/>
                <w:sz w:val="20"/>
                <w:szCs w:val="20"/>
              </w:rPr>
            </w:r>
            <w:r w:rsidR="00233D13">
              <w:rPr>
                <w:rFonts w:ascii="Arial Narrow" w:hAnsi="Arial Narrow" w:cs="Arial"/>
                <w:sz w:val="20"/>
                <w:szCs w:val="20"/>
              </w:rPr>
              <w:fldChar w:fldCharType="separate"/>
            </w:r>
            <w:r w:rsidRPr="00F33674">
              <w:rPr>
                <w:rFonts w:ascii="Arial Narrow" w:hAnsi="Arial Narrow" w:cs="Arial"/>
                <w:sz w:val="20"/>
                <w:szCs w:val="20"/>
              </w:rPr>
              <w:fldChar w:fldCharType="end"/>
            </w:r>
            <w:r w:rsidRPr="00F33674">
              <w:rPr>
                <w:rFonts w:ascii="Arial Narrow" w:hAnsi="Arial Narrow" w:cs="Arial"/>
                <w:sz w:val="20"/>
                <w:szCs w:val="20"/>
              </w:rPr>
              <w:t>Optometrists</w:t>
            </w:r>
          </w:p>
          <w:p w14:paraId="72468442" w14:textId="77777777" w:rsidR="009F3089" w:rsidRPr="00F33674" w:rsidRDefault="009F3089" w:rsidP="00A74C03">
            <w:pPr>
              <w:rPr>
                <w:rFonts w:ascii="Arial Narrow" w:hAnsi="Arial Narrow" w:cs="Arial"/>
                <w:sz w:val="20"/>
                <w:szCs w:val="20"/>
              </w:rPr>
            </w:pPr>
            <w:r w:rsidRPr="00F33674">
              <w:rPr>
                <w:rFonts w:ascii="Arial Narrow" w:hAnsi="Arial Narrow" w:cs="Arial"/>
                <w:sz w:val="20"/>
                <w:szCs w:val="20"/>
              </w:rPr>
              <w:fldChar w:fldCharType="begin">
                <w:ffData>
                  <w:name w:val="Check5"/>
                  <w:enabled/>
                  <w:calcOnExit w:val="0"/>
                  <w:checkBox>
                    <w:sizeAuto/>
                    <w:default w:val="0"/>
                  </w:checkBox>
                </w:ffData>
              </w:fldChar>
            </w:r>
            <w:r w:rsidRPr="00F33674">
              <w:rPr>
                <w:rFonts w:ascii="Arial Narrow" w:hAnsi="Arial Narrow" w:cs="Arial"/>
                <w:sz w:val="20"/>
                <w:szCs w:val="20"/>
              </w:rPr>
              <w:instrText xml:space="preserve"> FORMCHECKBOX </w:instrText>
            </w:r>
            <w:r w:rsidR="00233D13">
              <w:rPr>
                <w:rFonts w:ascii="Arial Narrow" w:hAnsi="Arial Narrow" w:cs="Arial"/>
                <w:sz w:val="20"/>
                <w:szCs w:val="20"/>
              </w:rPr>
            </w:r>
            <w:r w:rsidR="00233D13">
              <w:rPr>
                <w:rFonts w:ascii="Arial Narrow" w:hAnsi="Arial Narrow" w:cs="Arial"/>
                <w:sz w:val="20"/>
                <w:szCs w:val="20"/>
              </w:rPr>
              <w:fldChar w:fldCharType="separate"/>
            </w:r>
            <w:r w:rsidRPr="00F33674">
              <w:rPr>
                <w:rFonts w:ascii="Arial Narrow" w:hAnsi="Arial Narrow" w:cs="Arial"/>
                <w:sz w:val="20"/>
                <w:szCs w:val="20"/>
              </w:rPr>
              <w:fldChar w:fldCharType="end"/>
            </w:r>
            <w:r w:rsidRPr="00F33674">
              <w:rPr>
                <w:rFonts w:ascii="Arial Narrow" w:hAnsi="Arial Narrow" w:cs="Arial"/>
                <w:sz w:val="20"/>
                <w:szCs w:val="20"/>
              </w:rPr>
              <w:t>Midwives</w:t>
            </w:r>
          </w:p>
        </w:tc>
      </w:tr>
      <w:tr w:rsidR="009F3089" w:rsidRPr="00F33674" w14:paraId="785F4CC4" w14:textId="77777777" w:rsidTr="00A74C03">
        <w:trPr>
          <w:cantSplit/>
          <w:trHeight w:val="369"/>
        </w:trPr>
        <w:tc>
          <w:tcPr>
            <w:tcW w:w="2835" w:type="dxa"/>
            <w:tcBorders>
              <w:top w:val="single" w:sz="4" w:space="0" w:color="auto"/>
              <w:left w:val="single" w:sz="4" w:space="0" w:color="auto"/>
              <w:bottom w:val="single" w:sz="4" w:space="0" w:color="auto"/>
              <w:right w:val="single" w:sz="4" w:space="0" w:color="auto"/>
            </w:tcBorders>
          </w:tcPr>
          <w:p w14:paraId="1CF72F7F" w14:textId="77777777" w:rsidR="009F3089" w:rsidRPr="00F33674" w:rsidRDefault="009F3089" w:rsidP="00A74C03">
            <w:pPr>
              <w:rPr>
                <w:rFonts w:ascii="Arial Narrow" w:hAnsi="Arial Narrow" w:cs="Arial"/>
                <w:b/>
                <w:sz w:val="20"/>
                <w:szCs w:val="20"/>
              </w:rPr>
            </w:pPr>
            <w:r w:rsidRPr="00F33674">
              <w:rPr>
                <w:rFonts w:ascii="Arial Narrow" w:hAnsi="Arial Narrow" w:cs="Arial"/>
                <w:b/>
                <w:sz w:val="20"/>
                <w:szCs w:val="20"/>
              </w:rPr>
              <w:t>PBS indication:</w:t>
            </w:r>
          </w:p>
        </w:tc>
        <w:tc>
          <w:tcPr>
            <w:tcW w:w="6379" w:type="dxa"/>
            <w:tcBorders>
              <w:top w:val="single" w:sz="4" w:space="0" w:color="auto"/>
              <w:left w:val="single" w:sz="4" w:space="0" w:color="auto"/>
              <w:bottom w:val="single" w:sz="4" w:space="0" w:color="auto"/>
              <w:right w:val="single" w:sz="4" w:space="0" w:color="auto"/>
            </w:tcBorders>
          </w:tcPr>
          <w:p w14:paraId="51E5CFBC" w14:textId="77777777" w:rsidR="009F3089" w:rsidRPr="00F33674" w:rsidRDefault="009F3089" w:rsidP="00A74C03">
            <w:pPr>
              <w:rPr>
                <w:rFonts w:ascii="Arial Narrow" w:hAnsi="Arial Narrow" w:cs="Arial"/>
                <w:sz w:val="20"/>
                <w:szCs w:val="20"/>
              </w:rPr>
            </w:pPr>
            <w:r w:rsidRPr="00F33674">
              <w:rPr>
                <w:rFonts w:ascii="Arial Narrow" w:hAnsi="Arial Narrow" w:cs="Arial"/>
                <w:sz w:val="20"/>
                <w:szCs w:val="20"/>
              </w:rPr>
              <w:t>[7861] Severe pain</w:t>
            </w:r>
          </w:p>
        </w:tc>
      </w:tr>
      <w:tr w:rsidR="009F3089" w:rsidRPr="00F33674" w14:paraId="043FDF4D" w14:textId="77777777" w:rsidTr="00A74C03">
        <w:trPr>
          <w:cantSplit/>
          <w:trHeight w:val="360"/>
        </w:trPr>
        <w:tc>
          <w:tcPr>
            <w:tcW w:w="2835" w:type="dxa"/>
            <w:tcBorders>
              <w:top w:val="single" w:sz="4" w:space="0" w:color="auto"/>
              <w:left w:val="single" w:sz="4" w:space="0" w:color="auto"/>
              <w:bottom w:val="single" w:sz="4" w:space="0" w:color="auto"/>
              <w:right w:val="single" w:sz="4" w:space="0" w:color="auto"/>
            </w:tcBorders>
          </w:tcPr>
          <w:p w14:paraId="7B10E380" w14:textId="77777777" w:rsidR="009F3089" w:rsidRPr="00F33674" w:rsidRDefault="009F3089" w:rsidP="00A74C03">
            <w:pPr>
              <w:rPr>
                <w:rFonts w:ascii="Arial Narrow" w:hAnsi="Arial Narrow" w:cs="Arial"/>
                <w:b/>
                <w:sz w:val="20"/>
                <w:szCs w:val="20"/>
              </w:rPr>
            </w:pPr>
            <w:r w:rsidRPr="00F33674">
              <w:rPr>
                <w:rFonts w:ascii="Arial Narrow" w:hAnsi="Arial Narrow" w:cs="Arial"/>
                <w:b/>
                <w:sz w:val="20"/>
                <w:szCs w:val="20"/>
              </w:rPr>
              <w:t>Restriction Level / Method:</w:t>
            </w:r>
          </w:p>
          <w:p w14:paraId="51F49FB5" w14:textId="77777777" w:rsidR="009F3089" w:rsidRPr="00F33674" w:rsidRDefault="009F3089" w:rsidP="00A74C03">
            <w:pPr>
              <w:rPr>
                <w:rFonts w:ascii="Arial Narrow" w:hAnsi="Arial Narrow" w:cs="Arial"/>
                <w:i/>
                <w:sz w:val="20"/>
                <w:szCs w:val="20"/>
              </w:rPr>
            </w:pPr>
          </w:p>
          <w:p w14:paraId="309FC67C" w14:textId="77777777" w:rsidR="009F3089" w:rsidRPr="00F33674" w:rsidRDefault="009F3089" w:rsidP="00A74C03">
            <w:pPr>
              <w:rPr>
                <w:rFonts w:ascii="Arial Narrow" w:hAnsi="Arial Narrow" w:cs="Arial"/>
                <w:i/>
                <w:sz w:val="20"/>
                <w:szCs w:val="20"/>
              </w:rPr>
            </w:pPr>
          </w:p>
          <w:p w14:paraId="7C8E53D1" w14:textId="77777777" w:rsidR="009F3089" w:rsidRPr="00F33674" w:rsidRDefault="009F3089" w:rsidP="00A74C03">
            <w:pPr>
              <w:rPr>
                <w:rFonts w:ascii="Arial Narrow" w:hAnsi="Arial Narrow" w:cs="Arial"/>
                <w:i/>
                <w:sz w:val="20"/>
                <w:szCs w:val="20"/>
              </w:rPr>
            </w:pPr>
          </w:p>
        </w:tc>
        <w:tc>
          <w:tcPr>
            <w:tcW w:w="6379" w:type="dxa"/>
            <w:tcBorders>
              <w:top w:val="single" w:sz="4" w:space="0" w:color="auto"/>
              <w:left w:val="single" w:sz="4" w:space="0" w:color="auto"/>
              <w:bottom w:val="single" w:sz="4" w:space="0" w:color="auto"/>
              <w:right w:val="single" w:sz="4" w:space="0" w:color="auto"/>
            </w:tcBorders>
          </w:tcPr>
          <w:p w14:paraId="7B3271C8" w14:textId="77777777" w:rsidR="009F3089" w:rsidRPr="00F33674" w:rsidRDefault="009F3089" w:rsidP="00A74C03">
            <w:pPr>
              <w:rPr>
                <w:rFonts w:ascii="Arial Narrow" w:hAnsi="Arial Narrow" w:cs="Arial"/>
                <w:sz w:val="20"/>
                <w:szCs w:val="20"/>
              </w:rPr>
            </w:pPr>
            <w:r w:rsidRPr="00F33674">
              <w:rPr>
                <w:rFonts w:ascii="Arial Narrow" w:hAnsi="Arial Narrow" w:cs="Arial"/>
                <w:sz w:val="20"/>
                <w:szCs w:val="20"/>
              </w:rPr>
              <w:fldChar w:fldCharType="begin">
                <w:ffData>
                  <w:name w:val=""/>
                  <w:enabled/>
                  <w:calcOnExit w:val="0"/>
                  <w:checkBox>
                    <w:sizeAuto/>
                    <w:default w:val="0"/>
                  </w:checkBox>
                </w:ffData>
              </w:fldChar>
            </w:r>
            <w:r w:rsidRPr="00F33674">
              <w:rPr>
                <w:rFonts w:ascii="Arial Narrow" w:hAnsi="Arial Narrow" w:cs="Arial"/>
                <w:sz w:val="20"/>
                <w:szCs w:val="20"/>
              </w:rPr>
              <w:instrText xml:space="preserve"> FORMCHECKBOX </w:instrText>
            </w:r>
            <w:r w:rsidR="00233D13">
              <w:rPr>
                <w:rFonts w:ascii="Arial Narrow" w:hAnsi="Arial Narrow" w:cs="Arial"/>
                <w:sz w:val="20"/>
                <w:szCs w:val="20"/>
              </w:rPr>
            </w:r>
            <w:r w:rsidR="00233D13">
              <w:rPr>
                <w:rFonts w:ascii="Arial Narrow" w:hAnsi="Arial Narrow" w:cs="Arial"/>
                <w:sz w:val="20"/>
                <w:szCs w:val="20"/>
              </w:rPr>
              <w:fldChar w:fldCharType="separate"/>
            </w:r>
            <w:r w:rsidRPr="00F33674">
              <w:rPr>
                <w:rFonts w:ascii="Arial Narrow" w:hAnsi="Arial Narrow" w:cs="Arial"/>
                <w:sz w:val="20"/>
                <w:szCs w:val="20"/>
              </w:rPr>
              <w:fldChar w:fldCharType="end"/>
            </w:r>
            <w:r w:rsidRPr="00F33674">
              <w:rPr>
                <w:rFonts w:ascii="Arial Narrow" w:hAnsi="Arial Narrow" w:cs="Arial"/>
                <w:sz w:val="20"/>
                <w:szCs w:val="20"/>
              </w:rPr>
              <w:t>Unrestricted benefit</w:t>
            </w:r>
          </w:p>
          <w:p w14:paraId="59440568" w14:textId="77777777" w:rsidR="009F3089" w:rsidRPr="00F33674" w:rsidRDefault="009F3089" w:rsidP="00A74C03">
            <w:pPr>
              <w:rPr>
                <w:rFonts w:ascii="Arial Narrow" w:hAnsi="Arial Narrow" w:cs="Arial"/>
                <w:i/>
                <w:sz w:val="20"/>
                <w:szCs w:val="20"/>
              </w:rPr>
            </w:pPr>
            <w:r w:rsidRPr="00F33674">
              <w:rPr>
                <w:rFonts w:ascii="Arial Narrow" w:hAnsi="Arial Narrow" w:cs="Arial"/>
                <w:i/>
                <w:sz w:val="20"/>
                <w:szCs w:val="20"/>
              </w:rPr>
              <w:fldChar w:fldCharType="begin">
                <w:ffData>
                  <w:name w:val="Check1"/>
                  <w:enabled/>
                  <w:calcOnExit w:val="0"/>
                  <w:checkBox>
                    <w:sizeAuto/>
                    <w:default w:val="1"/>
                  </w:checkBox>
                </w:ffData>
              </w:fldChar>
            </w:r>
            <w:r w:rsidRPr="00F33674">
              <w:rPr>
                <w:rFonts w:ascii="Arial Narrow" w:hAnsi="Arial Narrow" w:cs="Arial"/>
                <w:i/>
                <w:sz w:val="20"/>
                <w:szCs w:val="20"/>
              </w:rPr>
              <w:instrText xml:space="preserve"> FORMCHECKBOX </w:instrText>
            </w:r>
            <w:r w:rsidR="00233D13">
              <w:rPr>
                <w:rFonts w:ascii="Arial Narrow" w:hAnsi="Arial Narrow" w:cs="Arial"/>
                <w:i/>
                <w:sz w:val="20"/>
                <w:szCs w:val="20"/>
              </w:rPr>
            </w:r>
            <w:r w:rsidR="00233D13">
              <w:rPr>
                <w:rFonts w:ascii="Arial Narrow" w:hAnsi="Arial Narrow" w:cs="Arial"/>
                <w:i/>
                <w:sz w:val="20"/>
                <w:szCs w:val="20"/>
              </w:rPr>
              <w:fldChar w:fldCharType="separate"/>
            </w:r>
            <w:r w:rsidRPr="00F33674">
              <w:rPr>
                <w:rFonts w:ascii="Arial Narrow" w:hAnsi="Arial Narrow" w:cs="Arial"/>
                <w:i/>
                <w:sz w:val="20"/>
                <w:szCs w:val="20"/>
              </w:rPr>
              <w:fldChar w:fldCharType="end"/>
            </w:r>
            <w:r w:rsidRPr="00F33674">
              <w:rPr>
                <w:rFonts w:ascii="Arial Narrow" w:hAnsi="Arial Narrow" w:cs="Arial"/>
                <w:sz w:val="20"/>
                <w:szCs w:val="20"/>
              </w:rPr>
              <w:t>Restricted benefit</w:t>
            </w:r>
          </w:p>
          <w:p w14:paraId="21905B72" w14:textId="77777777" w:rsidR="009F3089" w:rsidRPr="00F33674" w:rsidRDefault="009F3089" w:rsidP="00A74C03">
            <w:pPr>
              <w:rPr>
                <w:rFonts w:ascii="Arial Narrow" w:hAnsi="Arial Narrow" w:cs="Arial"/>
                <w:sz w:val="20"/>
                <w:szCs w:val="20"/>
              </w:rPr>
            </w:pPr>
            <w:r w:rsidRPr="00F33674">
              <w:rPr>
                <w:rFonts w:ascii="Arial Narrow" w:hAnsi="Arial Narrow" w:cs="Arial"/>
                <w:sz w:val="20"/>
                <w:szCs w:val="20"/>
              </w:rPr>
              <w:fldChar w:fldCharType="begin">
                <w:ffData>
                  <w:name w:val=""/>
                  <w:enabled/>
                  <w:calcOnExit w:val="0"/>
                  <w:checkBox>
                    <w:sizeAuto/>
                    <w:default w:val="0"/>
                  </w:checkBox>
                </w:ffData>
              </w:fldChar>
            </w:r>
            <w:r w:rsidRPr="00F33674">
              <w:rPr>
                <w:rFonts w:ascii="Arial Narrow" w:hAnsi="Arial Narrow" w:cs="Arial"/>
                <w:sz w:val="20"/>
                <w:szCs w:val="20"/>
              </w:rPr>
              <w:instrText xml:space="preserve"> FORMCHECKBOX </w:instrText>
            </w:r>
            <w:r w:rsidR="00233D13">
              <w:rPr>
                <w:rFonts w:ascii="Arial Narrow" w:hAnsi="Arial Narrow" w:cs="Arial"/>
                <w:sz w:val="20"/>
                <w:szCs w:val="20"/>
              </w:rPr>
            </w:r>
            <w:r w:rsidR="00233D13">
              <w:rPr>
                <w:rFonts w:ascii="Arial Narrow" w:hAnsi="Arial Narrow" w:cs="Arial"/>
                <w:sz w:val="20"/>
                <w:szCs w:val="20"/>
              </w:rPr>
              <w:fldChar w:fldCharType="separate"/>
            </w:r>
            <w:r w:rsidRPr="00F33674">
              <w:rPr>
                <w:rFonts w:ascii="Arial Narrow" w:hAnsi="Arial Narrow" w:cs="Arial"/>
                <w:sz w:val="20"/>
                <w:szCs w:val="20"/>
              </w:rPr>
              <w:fldChar w:fldCharType="end"/>
            </w:r>
            <w:r w:rsidRPr="00F33674">
              <w:rPr>
                <w:rFonts w:ascii="Arial Narrow" w:hAnsi="Arial Narrow" w:cs="Arial"/>
                <w:sz w:val="20"/>
                <w:szCs w:val="20"/>
              </w:rPr>
              <w:t>Authority Required – In Writing</w:t>
            </w:r>
          </w:p>
          <w:p w14:paraId="3A10F723" w14:textId="77777777" w:rsidR="009F3089" w:rsidRPr="00F33674" w:rsidRDefault="009F3089" w:rsidP="00A74C03">
            <w:pPr>
              <w:rPr>
                <w:rFonts w:ascii="Arial Narrow" w:hAnsi="Arial Narrow" w:cs="Arial"/>
                <w:sz w:val="20"/>
                <w:szCs w:val="20"/>
              </w:rPr>
            </w:pPr>
            <w:r w:rsidRPr="00F33674">
              <w:rPr>
                <w:rFonts w:ascii="Arial Narrow" w:hAnsi="Arial Narrow" w:cs="Arial"/>
                <w:sz w:val="20"/>
                <w:szCs w:val="20"/>
              </w:rPr>
              <w:fldChar w:fldCharType="begin">
                <w:ffData>
                  <w:name w:val="Check3"/>
                  <w:enabled/>
                  <w:calcOnExit w:val="0"/>
                  <w:checkBox>
                    <w:sizeAuto/>
                    <w:default w:val="0"/>
                  </w:checkBox>
                </w:ffData>
              </w:fldChar>
            </w:r>
            <w:r w:rsidRPr="00F33674">
              <w:rPr>
                <w:rFonts w:ascii="Arial Narrow" w:hAnsi="Arial Narrow" w:cs="Arial"/>
                <w:sz w:val="20"/>
                <w:szCs w:val="20"/>
              </w:rPr>
              <w:instrText xml:space="preserve"> FORMCHECKBOX </w:instrText>
            </w:r>
            <w:r w:rsidR="00233D13">
              <w:rPr>
                <w:rFonts w:ascii="Arial Narrow" w:hAnsi="Arial Narrow" w:cs="Arial"/>
                <w:sz w:val="20"/>
                <w:szCs w:val="20"/>
              </w:rPr>
            </w:r>
            <w:r w:rsidR="00233D13">
              <w:rPr>
                <w:rFonts w:ascii="Arial Narrow" w:hAnsi="Arial Narrow" w:cs="Arial"/>
                <w:sz w:val="20"/>
                <w:szCs w:val="20"/>
              </w:rPr>
              <w:fldChar w:fldCharType="separate"/>
            </w:r>
            <w:r w:rsidRPr="00F33674">
              <w:rPr>
                <w:rFonts w:ascii="Arial Narrow" w:hAnsi="Arial Narrow" w:cs="Arial"/>
                <w:sz w:val="20"/>
                <w:szCs w:val="20"/>
              </w:rPr>
              <w:fldChar w:fldCharType="end"/>
            </w:r>
            <w:r w:rsidRPr="00F33674">
              <w:rPr>
                <w:rFonts w:ascii="Arial Narrow" w:hAnsi="Arial Narrow" w:cs="Arial"/>
                <w:sz w:val="20"/>
                <w:szCs w:val="20"/>
              </w:rPr>
              <w:t>Authority Required – Telephone/Electronic/Emergency</w:t>
            </w:r>
          </w:p>
          <w:p w14:paraId="37E5C192" w14:textId="77777777" w:rsidR="009F3089" w:rsidRPr="00F33674" w:rsidRDefault="009F3089" w:rsidP="00A74C03">
            <w:pPr>
              <w:rPr>
                <w:rFonts w:ascii="Arial Narrow" w:hAnsi="Arial Narrow" w:cs="Arial"/>
                <w:sz w:val="20"/>
                <w:szCs w:val="20"/>
              </w:rPr>
            </w:pPr>
            <w:r w:rsidRPr="00F33674">
              <w:rPr>
                <w:rFonts w:ascii="Arial Narrow" w:hAnsi="Arial Narrow" w:cs="Arial"/>
                <w:sz w:val="20"/>
                <w:szCs w:val="20"/>
              </w:rPr>
              <w:fldChar w:fldCharType="begin">
                <w:ffData>
                  <w:name w:val="Check5"/>
                  <w:enabled/>
                  <w:calcOnExit w:val="0"/>
                  <w:checkBox>
                    <w:sizeAuto/>
                    <w:default w:val="0"/>
                  </w:checkBox>
                </w:ffData>
              </w:fldChar>
            </w:r>
            <w:r w:rsidRPr="00F33674">
              <w:rPr>
                <w:rFonts w:ascii="Arial Narrow" w:hAnsi="Arial Narrow" w:cs="Arial"/>
                <w:sz w:val="20"/>
                <w:szCs w:val="20"/>
              </w:rPr>
              <w:instrText xml:space="preserve"> FORMCHECKBOX </w:instrText>
            </w:r>
            <w:r w:rsidR="00233D13">
              <w:rPr>
                <w:rFonts w:ascii="Arial Narrow" w:hAnsi="Arial Narrow" w:cs="Arial"/>
                <w:sz w:val="20"/>
                <w:szCs w:val="20"/>
              </w:rPr>
            </w:r>
            <w:r w:rsidR="00233D13">
              <w:rPr>
                <w:rFonts w:ascii="Arial Narrow" w:hAnsi="Arial Narrow" w:cs="Arial"/>
                <w:sz w:val="20"/>
                <w:szCs w:val="20"/>
              </w:rPr>
              <w:fldChar w:fldCharType="separate"/>
            </w:r>
            <w:r w:rsidRPr="00F33674">
              <w:rPr>
                <w:rFonts w:ascii="Arial Narrow" w:hAnsi="Arial Narrow" w:cs="Arial"/>
                <w:sz w:val="20"/>
                <w:szCs w:val="20"/>
              </w:rPr>
              <w:fldChar w:fldCharType="end"/>
            </w:r>
            <w:r w:rsidRPr="00F33674">
              <w:rPr>
                <w:rFonts w:ascii="Arial Narrow" w:hAnsi="Arial Narrow" w:cs="Arial"/>
                <w:sz w:val="20"/>
                <w:szCs w:val="20"/>
              </w:rPr>
              <w:t>Streamlined</w:t>
            </w:r>
          </w:p>
        </w:tc>
      </w:tr>
      <w:tr w:rsidR="009F3089" w:rsidRPr="00F33674" w14:paraId="0D0A3F12" w14:textId="77777777" w:rsidTr="00A74C03">
        <w:trPr>
          <w:cantSplit/>
          <w:trHeight w:val="360"/>
        </w:trPr>
        <w:tc>
          <w:tcPr>
            <w:tcW w:w="2835" w:type="dxa"/>
            <w:tcBorders>
              <w:top w:val="single" w:sz="4" w:space="0" w:color="auto"/>
              <w:left w:val="single" w:sz="4" w:space="0" w:color="auto"/>
              <w:bottom w:val="single" w:sz="4" w:space="0" w:color="auto"/>
              <w:right w:val="single" w:sz="4" w:space="0" w:color="auto"/>
            </w:tcBorders>
          </w:tcPr>
          <w:p w14:paraId="2166379C" w14:textId="77777777" w:rsidR="009F3089" w:rsidRPr="00F33674" w:rsidRDefault="009F3089" w:rsidP="00A74C03">
            <w:pPr>
              <w:rPr>
                <w:rFonts w:ascii="Arial Narrow" w:hAnsi="Arial Narrow" w:cs="Arial"/>
                <w:b/>
                <w:sz w:val="20"/>
                <w:szCs w:val="20"/>
              </w:rPr>
            </w:pPr>
            <w:r>
              <w:rPr>
                <w:rFonts w:ascii="Arial Narrow" w:hAnsi="Arial Narrow" w:cs="Arial"/>
                <w:b/>
                <w:sz w:val="20"/>
                <w:szCs w:val="20"/>
              </w:rPr>
              <w:t>Treatment phase:</w:t>
            </w:r>
          </w:p>
        </w:tc>
        <w:tc>
          <w:tcPr>
            <w:tcW w:w="6379" w:type="dxa"/>
            <w:tcBorders>
              <w:top w:val="single" w:sz="4" w:space="0" w:color="auto"/>
              <w:left w:val="single" w:sz="4" w:space="0" w:color="auto"/>
              <w:bottom w:val="single" w:sz="4" w:space="0" w:color="auto"/>
              <w:right w:val="single" w:sz="4" w:space="0" w:color="auto"/>
            </w:tcBorders>
          </w:tcPr>
          <w:p w14:paraId="69701CB5" w14:textId="7DD48013" w:rsidR="009F3089" w:rsidRPr="00F33674" w:rsidRDefault="009F3089">
            <w:pPr>
              <w:jc w:val="left"/>
              <w:rPr>
                <w:rFonts w:ascii="Arial Narrow" w:hAnsi="Arial Narrow" w:cs="Arial"/>
                <w:sz w:val="20"/>
                <w:szCs w:val="20"/>
              </w:rPr>
            </w:pPr>
            <w:r w:rsidRPr="00A35FB2">
              <w:rPr>
                <w:rFonts w:ascii="Arial Narrow" w:hAnsi="Arial Narrow" w:cs="Arial"/>
                <w:sz w:val="20"/>
                <w:szCs w:val="20"/>
              </w:rPr>
              <w:t xml:space="preserve">Initial PBS treatment after 1 June 2020 where patient has been treated with opioids for </w:t>
            </w:r>
            <w:r>
              <w:rPr>
                <w:rFonts w:ascii="Arial Narrow" w:hAnsi="Arial Narrow" w:cs="Arial"/>
                <w:sz w:val="20"/>
                <w:szCs w:val="20"/>
              </w:rPr>
              <w:t>more</w:t>
            </w:r>
            <w:r w:rsidRPr="00A35FB2">
              <w:rPr>
                <w:rFonts w:ascii="Arial Narrow" w:hAnsi="Arial Narrow" w:cs="Arial"/>
                <w:sz w:val="20"/>
                <w:szCs w:val="20"/>
              </w:rPr>
              <w:t xml:space="preserve"> than 12 months</w:t>
            </w:r>
          </w:p>
        </w:tc>
      </w:tr>
      <w:tr w:rsidR="009F3089" w:rsidRPr="00F33674" w14:paraId="65A34D06" w14:textId="77777777" w:rsidTr="00A74C03">
        <w:trPr>
          <w:cantSplit/>
          <w:trHeight w:val="360"/>
        </w:trPr>
        <w:tc>
          <w:tcPr>
            <w:tcW w:w="2835" w:type="dxa"/>
            <w:tcBorders>
              <w:top w:val="single" w:sz="4" w:space="0" w:color="auto"/>
              <w:left w:val="single" w:sz="4" w:space="0" w:color="auto"/>
              <w:bottom w:val="single" w:sz="4" w:space="0" w:color="auto"/>
              <w:right w:val="single" w:sz="4" w:space="0" w:color="auto"/>
            </w:tcBorders>
          </w:tcPr>
          <w:p w14:paraId="5D225DEB" w14:textId="77777777" w:rsidR="009F3089" w:rsidRPr="00F33674" w:rsidRDefault="009F3089" w:rsidP="00A74C03">
            <w:pPr>
              <w:rPr>
                <w:rFonts w:ascii="Arial Narrow" w:hAnsi="Arial Narrow" w:cs="Arial"/>
                <w:b/>
                <w:sz w:val="20"/>
                <w:szCs w:val="20"/>
              </w:rPr>
            </w:pPr>
            <w:r w:rsidRPr="00F33674">
              <w:rPr>
                <w:rFonts w:ascii="Arial Narrow" w:hAnsi="Arial Narrow" w:cs="Arial"/>
                <w:b/>
                <w:sz w:val="20"/>
                <w:szCs w:val="20"/>
              </w:rPr>
              <w:lastRenderedPageBreak/>
              <w:t>Clinical criteria:</w:t>
            </w:r>
          </w:p>
        </w:tc>
        <w:tc>
          <w:tcPr>
            <w:tcW w:w="6379" w:type="dxa"/>
            <w:tcBorders>
              <w:top w:val="single" w:sz="4" w:space="0" w:color="auto"/>
              <w:left w:val="single" w:sz="4" w:space="0" w:color="auto"/>
              <w:bottom w:val="single" w:sz="4" w:space="0" w:color="auto"/>
              <w:right w:val="single" w:sz="4" w:space="0" w:color="auto"/>
            </w:tcBorders>
          </w:tcPr>
          <w:p w14:paraId="0A79EC0C" w14:textId="77777777" w:rsidR="009F3089" w:rsidRPr="00F33674" w:rsidRDefault="009F3089" w:rsidP="00A74C03">
            <w:pPr>
              <w:jc w:val="left"/>
              <w:rPr>
                <w:rFonts w:ascii="Arial Narrow" w:hAnsi="Arial Narrow" w:cs="Arial"/>
                <w:sz w:val="20"/>
                <w:szCs w:val="20"/>
              </w:rPr>
            </w:pPr>
            <w:r w:rsidRPr="00F33674">
              <w:rPr>
                <w:rFonts w:ascii="Arial Narrow" w:hAnsi="Arial Narrow" w:cs="Arial"/>
                <w:sz w:val="20"/>
                <w:szCs w:val="20"/>
              </w:rPr>
              <w:t>[new] Patient must have</w:t>
            </w:r>
            <w:r>
              <w:rPr>
                <w:rFonts w:ascii="Arial Narrow" w:hAnsi="Arial Narrow" w:cs="Arial"/>
                <w:sz w:val="20"/>
                <w:szCs w:val="20"/>
              </w:rPr>
              <w:t xml:space="preserve"> had or would have</w:t>
            </w:r>
            <w:r w:rsidRPr="00F33674">
              <w:rPr>
                <w:rFonts w:ascii="Arial Narrow" w:hAnsi="Arial Narrow" w:cs="Arial"/>
                <w:sz w:val="20"/>
                <w:szCs w:val="20"/>
              </w:rPr>
              <w:t xml:space="preserve"> inadequate</w:t>
            </w:r>
            <w:r>
              <w:rPr>
                <w:rFonts w:ascii="Arial Narrow" w:hAnsi="Arial Narrow" w:cs="Arial"/>
                <w:sz w:val="20"/>
                <w:szCs w:val="20"/>
              </w:rPr>
              <w:t xml:space="preserve"> pain</w:t>
            </w:r>
            <w:r w:rsidRPr="00F33674">
              <w:rPr>
                <w:rFonts w:ascii="Arial Narrow" w:hAnsi="Arial Narrow" w:cs="Arial"/>
                <w:sz w:val="20"/>
                <w:szCs w:val="20"/>
              </w:rPr>
              <w:t xml:space="preserve"> management</w:t>
            </w:r>
            <w:r>
              <w:rPr>
                <w:rFonts w:ascii="Arial Narrow" w:hAnsi="Arial Narrow" w:cs="Arial"/>
                <w:sz w:val="20"/>
                <w:szCs w:val="20"/>
              </w:rPr>
              <w:t xml:space="preserve"> with</w:t>
            </w:r>
            <w:r w:rsidRPr="00F33674">
              <w:rPr>
                <w:rFonts w:ascii="Arial Narrow" w:hAnsi="Arial Narrow" w:cs="Arial"/>
                <w:sz w:val="20"/>
                <w:szCs w:val="20"/>
              </w:rPr>
              <w:t xml:space="preserve"> maximum tolerated doses of non-opioid and other opioid analgesics</w:t>
            </w:r>
          </w:p>
          <w:p w14:paraId="02613C83" w14:textId="77777777" w:rsidR="009F3089" w:rsidRPr="00F33674" w:rsidRDefault="009F3089" w:rsidP="00A74C03">
            <w:pPr>
              <w:jc w:val="left"/>
              <w:rPr>
                <w:rFonts w:ascii="Arial Narrow" w:hAnsi="Arial Narrow" w:cs="Arial"/>
                <w:sz w:val="20"/>
                <w:szCs w:val="20"/>
              </w:rPr>
            </w:pPr>
          </w:p>
          <w:p w14:paraId="675B313F" w14:textId="77777777" w:rsidR="009F3089" w:rsidRPr="00F33674" w:rsidRDefault="009F3089" w:rsidP="00A74C03">
            <w:pPr>
              <w:jc w:val="left"/>
              <w:rPr>
                <w:rFonts w:ascii="Arial Narrow" w:hAnsi="Arial Narrow" w:cs="Arial"/>
                <w:sz w:val="20"/>
                <w:szCs w:val="20"/>
              </w:rPr>
            </w:pPr>
            <w:r w:rsidRPr="00F33674">
              <w:rPr>
                <w:rFonts w:ascii="Arial Narrow" w:hAnsi="Arial Narrow" w:cs="Arial"/>
                <w:sz w:val="20"/>
                <w:szCs w:val="20"/>
              </w:rPr>
              <w:t>OR</w:t>
            </w:r>
          </w:p>
          <w:p w14:paraId="307D3EEB" w14:textId="77777777" w:rsidR="009F3089" w:rsidRPr="00F33674" w:rsidRDefault="009F3089" w:rsidP="00A74C03">
            <w:pPr>
              <w:jc w:val="left"/>
              <w:rPr>
                <w:rFonts w:ascii="Arial Narrow" w:hAnsi="Arial Narrow" w:cs="Arial"/>
                <w:sz w:val="20"/>
                <w:szCs w:val="20"/>
              </w:rPr>
            </w:pPr>
          </w:p>
          <w:p w14:paraId="4FE37F9B" w14:textId="77777777" w:rsidR="009F3089" w:rsidRPr="00F33674" w:rsidRDefault="009F3089" w:rsidP="00A74C03">
            <w:pPr>
              <w:jc w:val="left"/>
              <w:rPr>
                <w:rFonts w:ascii="Arial Narrow" w:hAnsi="Arial Narrow" w:cs="Arial"/>
                <w:color w:val="FF0000"/>
                <w:sz w:val="20"/>
                <w:szCs w:val="20"/>
              </w:rPr>
            </w:pPr>
            <w:r w:rsidRPr="00F33674">
              <w:rPr>
                <w:rFonts w:ascii="Arial Narrow" w:hAnsi="Arial Narrow" w:cs="Arial"/>
                <w:sz w:val="20"/>
                <w:szCs w:val="20"/>
              </w:rPr>
              <w:t>[new] Patient must be unable to use non-opioid and other opioid analgesics due to contraindications or intolerance.</w:t>
            </w:r>
          </w:p>
        </w:tc>
      </w:tr>
      <w:tr w:rsidR="009F3089" w:rsidRPr="00F33674" w14:paraId="5539AB11" w14:textId="77777777" w:rsidTr="00A74C03">
        <w:trPr>
          <w:cantSplit/>
          <w:trHeight w:val="360"/>
        </w:trPr>
        <w:tc>
          <w:tcPr>
            <w:tcW w:w="2835" w:type="dxa"/>
            <w:tcBorders>
              <w:top w:val="single" w:sz="4" w:space="0" w:color="auto"/>
              <w:left w:val="single" w:sz="4" w:space="0" w:color="auto"/>
              <w:bottom w:val="single" w:sz="4" w:space="0" w:color="auto"/>
              <w:right w:val="single" w:sz="4" w:space="0" w:color="auto"/>
            </w:tcBorders>
          </w:tcPr>
          <w:p w14:paraId="44CED8B7" w14:textId="77777777" w:rsidR="009F3089" w:rsidRPr="00F33674" w:rsidRDefault="009F3089" w:rsidP="00A74C03">
            <w:pPr>
              <w:rPr>
                <w:rFonts w:ascii="Arial Narrow" w:hAnsi="Arial Narrow" w:cs="Arial"/>
                <w:b/>
                <w:sz w:val="20"/>
                <w:szCs w:val="20"/>
              </w:rPr>
            </w:pPr>
            <w:r w:rsidRPr="00F33674">
              <w:rPr>
                <w:rFonts w:ascii="Arial Narrow" w:hAnsi="Arial Narrow" w:cs="Arial"/>
                <w:b/>
                <w:sz w:val="20"/>
                <w:szCs w:val="20"/>
              </w:rPr>
              <w:t>Prescriber instructions:</w:t>
            </w:r>
          </w:p>
        </w:tc>
        <w:tc>
          <w:tcPr>
            <w:tcW w:w="6379" w:type="dxa"/>
            <w:tcBorders>
              <w:top w:val="single" w:sz="4" w:space="0" w:color="auto"/>
              <w:left w:val="single" w:sz="4" w:space="0" w:color="auto"/>
              <w:bottom w:val="single" w:sz="4" w:space="0" w:color="auto"/>
              <w:right w:val="single" w:sz="4" w:space="0" w:color="auto"/>
            </w:tcBorders>
          </w:tcPr>
          <w:p w14:paraId="755FD561" w14:textId="77777777" w:rsidR="009F3089" w:rsidRPr="009F3089" w:rsidRDefault="009F3089" w:rsidP="009F3089">
            <w:pPr>
              <w:jc w:val="left"/>
              <w:rPr>
                <w:rFonts w:ascii="Arial Narrow" w:hAnsi="Arial Narrow" w:cs="Arial"/>
                <w:sz w:val="20"/>
                <w:szCs w:val="20"/>
              </w:rPr>
            </w:pPr>
            <w:r w:rsidRPr="00F33674">
              <w:rPr>
                <w:rFonts w:ascii="Arial Narrow" w:hAnsi="Arial Narrow" w:cs="Arial"/>
                <w:sz w:val="20"/>
                <w:szCs w:val="20"/>
              </w:rPr>
              <w:t xml:space="preserve">[new] </w:t>
            </w:r>
            <w:r w:rsidRPr="009F3089">
              <w:rPr>
                <w:rFonts w:ascii="Arial Narrow" w:hAnsi="Arial Narrow" w:cs="Arial"/>
                <w:sz w:val="20"/>
                <w:szCs w:val="20"/>
              </w:rPr>
              <w:t>Authorities for increased maximum quantities and/or repeats must only be considered for:</w:t>
            </w:r>
          </w:p>
          <w:p w14:paraId="7889DA8D" w14:textId="77777777" w:rsidR="009F3089" w:rsidRPr="009F3089" w:rsidRDefault="009F3089" w:rsidP="009F3089">
            <w:pPr>
              <w:jc w:val="left"/>
              <w:rPr>
                <w:rFonts w:ascii="Arial Narrow" w:hAnsi="Arial Narrow" w:cs="Arial"/>
                <w:sz w:val="20"/>
                <w:szCs w:val="20"/>
              </w:rPr>
            </w:pPr>
            <w:r w:rsidRPr="009F3089">
              <w:rPr>
                <w:rFonts w:ascii="Arial Narrow" w:hAnsi="Arial Narrow" w:cs="Arial"/>
                <w:sz w:val="20"/>
                <w:szCs w:val="20"/>
              </w:rPr>
              <w:t>(i) severe disabling pain associated with proven malignant neoplasia; or</w:t>
            </w:r>
          </w:p>
          <w:p w14:paraId="5B925E37" w14:textId="77777777" w:rsidR="009F3089" w:rsidRPr="009F3089" w:rsidRDefault="009F3089" w:rsidP="009F3089">
            <w:pPr>
              <w:jc w:val="left"/>
              <w:rPr>
                <w:rFonts w:ascii="Arial Narrow" w:hAnsi="Arial Narrow" w:cs="Arial"/>
                <w:sz w:val="20"/>
                <w:szCs w:val="20"/>
              </w:rPr>
            </w:pPr>
            <w:r w:rsidRPr="009F3089">
              <w:rPr>
                <w:rFonts w:ascii="Arial Narrow" w:hAnsi="Arial Narrow" w:cs="Arial"/>
                <w:sz w:val="20"/>
                <w:szCs w:val="20"/>
              </w:rPr>
              <w:t>(ii) palliative care patients with chronic severe disabling pain where the total duration of non-PBS and PBS opioid analgesic treatment exceeds 12 months and the patient is unable to have annual pain management review due to their clinical condition; or</w:t>
            </w:r>
          </w:p>
          <w:p w14:paraId="19353BB9" w14:textId="77777777" w:rsidR="009F3089" w:rsidRPr="009F3089" w:rsidRDefault="009F3089" w:rsidP="009F3089">
            <w:pPr>
              <w:jc w:val="left"/>
              <w:rPr>
                <w:rFonts w:ascii="Arial Narrow" w:hAnsi="Arial Narrow" w:cs="Arial"/>
                <w:sz w:val="20"/>
                <w:szCs w:val="20"/>
              </w:rPr>
            </w:pPr>
            <w:r w:rsidRPr="009F3089">
              <w:rPr>
                <w:rFonts w:ascii="Arial Narrow" w:hAnsi="Arial Narrow" w:cs="Arial"/>
                <w:sz w:val="20"/>
                <w:szCs w:val="20"/>
              </w:rPr>
              <w:t>(iii) chronic severe disabling pain where the total duration of non-PBS and PBS opioid analgesic treatment exceeds 12 months and the patient's clinical need for continuing opioid treatment has been confirmed through consultation with the patient by another medical practitioner or a palliative care nurse practitioner in the past 12 months; or</w:t>
            </w:r>
          </w:p>
          <w:p w14:paraId="4E5CAFC8" w14:textId="19408BD2" w:rsidR="009F3089" w:rsidRDefault="009F3089" w:rsidP="009F3089">
            <w:pPr>
              <w:jc w:val="left"/>
              <w:rPr>
                <w:rFonts w:ascii="Arial Narrow" w:hAnsi="Arial Narrow" w:cs="Arial"/>
                <w:sz w:val="20"/>
                <w:szCs w:val="20"/>
              </w:rPr>
            </w:pPr>
            <w:proofErr w:type="gramStart"/>
            <w:r w:rsidRPr="009F3089">
              <w:rPr>
                <w:rFonts w:ascii="Arial Narrow" w:hAnsi="Arial Narrow" w:cs="Arial"/>
                <w:sz w:val="20"/>
                <w:szCs w:val="20"/>
              </w:rPr>
              <w:t>(iv) chronic severe disabling pain where the total duration of non-PBS and PBS opioid analgesic treatment has exceeded 12 months prior to 1 June 2020 and the patient's clinical need for continuing opioid treatment has not been confirmed through consultation with the patient by another medical practitioner or a palliative care nurse practitioner in the past 12 months, but is planned in the next 3 months</w:t>
            </w:r>
            <w:r>
              <w:rPr>
                <w:rFonts w:ascii="Arial Narrow" w:hAnsi="Arial Narrow" w:cs="Arial"/>
                <w:sz w:val="20"/>
                <w:szCs w:val="20"/>
              </w:rPr>
              <w:t>.</w:t>
            </w:r>
            <w:proofErr w:type="gramEnd"/>
          </w:p>
          <w:p w14:paraId="5C40BB06" w14:textId="3A53B6D0" w:rsidR="009F3089" w:rsidRDefault="009F3089" w:rsidP="009F3089">
            <w:pPr>
              <w:jc w:val="left"/>
              <w:rPr>
                <w:rFonts w:ascii="Arial Narrow" w:hAnsi="Arial Narrow" w:cs="Arial"/>
                <w:sz w:val="20"/>
                <w:szCs w:val="20"/>
              </w:rPr>
            </w:pPr>
          </w:p>
          <w:p w14:paraId="3899170A" w14:textId="63240951" w:rsidR="009F3089" w:rsidRPr="00F33674" w:rsidRDefault="009F3089" w:rsidP="009F3089">
            <w:pPr>
              <w:jc w:val="left"/>
              <w:rPr>
                <w:rFonts w:ascii="Arial Narrow" w:hAnsi="Arial Narrow" w:cs="Arial"/>
                <w:sz w:val="20"/>
                <w:szCs w:val="20"/>
              </w:rPr>
            </w:pPr>
            <w:r>
              <w:rPr>
                <w:rFonts w:ascii="Arial Narrow" w:hAnsi="Arial Narrow" w:cs="Arial"/>
                <w:sz w:val="20"/>
                <w:szCs w:val="20"/>
              </w:rPr>
              <w:t xml:space="preserve">[new] </w:t>
            </w:r>
            <w:r w:rsidRPr="009F3089">
              <w:rPr>
                <w:rFonts w:ascii="Arial Narrow" w:hAnsi="Arial Narrow" w:cs="Arial"/>
                <w:sz w:val="20"/>
                <w:szCs w:val="20"/>
              </w:rPr>
              <w:t>Palliative care nurses may conduct annual review under this item for the treatment of palliative care patients only.</w:t>
            </w:r>
          </w:p>
          <w:p w14:paraId="54D07A8D" w14:textId="77777777" w:rsidR="009F3089" w:rsidRPr="00F33674" w:rsidRDefault="009F3089" w:rsidP="00A74C03">
            <w:pPr>
              <w:jc w:val="left"/>
              <w:rPr>
                <w:rFonts w:ascii="Arial Narrow" w:hAnsi="Arial Narrow" w:cs="Arial"/>
                <w:sz w:val="20"/>
                <w:szCs w:val="20"/>
              </w:rPr>
            </w:pPr>
          </w:p>
          <w:p w14:paraId="5CFA4677" w14:textId="77777777" w:rsidR="009F3089" w:rsidRPr="00F33674" w:rsidRDefault="009F3089" w:rsidP="00A74C03">
            <w:pPr>
              <w:jc w:val="left"/>
              <w:rPr>
                <w:rFonts w:ascii="Arial Narrow" w:hAnsi="Arial Narrow" w:cs="Arial"/>
                <w:sz w:val="20"/>
                <w:szCs w:val="20"/>
              </w:rPr>
            </w:pPr>
            <w:r w:rsidRPr="00F33674">
              <w:rPr>
                <w:rFonts w:ascii="Arial Narrow" w:hAnsi="Arial Narrow" w:cs="Arial"/>
                <w:sz w:val="20"/>
                <w:szCs w:val="20"/>
              </w:rPr>
              <w:t>[new] Authority requests extending treatment duration up to 1 month may be requested though the Online PBS Authorities system or by calling Services Australia.</w:t>
            </w:r>
          </w:p>
          <w:p w14:paraId="086E3BDE" w14:textId="77777777" w:rsidR="009F3089" w:rsidRPr="00F33674" w:rsidRDefault="009F3089" w:rsidP="00A74C03">
            <w:pPr>
              <w:jc w:val="left"/>
              <w:rPr>
                <w:rFonts w:ascii="Arial Narrow" w:hAnsi="Arial Narrow" w:cs="Arial"/>
                <w:sz w:val="20"/>
                <w:szCs w:val="20"/>
              </w:rPr>
            </w:pPr>
          </w:p>
          <w:p w14:paraId="07FB7810" w14:textId="77777777" w:rsidR="009F3089" w:rsidRPr="00F33674" w:rsidRDefault="009F3089" w:rsidP="00A74C03">
            <w:pPr>
              <w:jc w:val="left"/>
              <w:rPr>
                <w:rFonts w:ascii="Arial Narrow" w:hAnsi="Arial Narrow" w:cs="Arial"/>
                <w:sz w:val="20"/>
                <w:szCs w:val="20"/>
              </w:rPr>
            </w:pPr>
            <w:r w:rsidRPr="00F33674">
              <w:rPr>
                <w:rFonts w:ascii="Arial Narrow" w:hAnsi="Arial Narrow" w:cs="Arial"/>
                <w:sz w:val="20"/>
                <w:szCs w:val="20"/>
              </w:rPr>
              <w:t xml:space="preserve">Authority requests extending treatment duration beyond 1 month </w:t>
            </w:r>
            <w:r w:rsidRPr="00710D93">
              <w:rPr>
                <w:rFonts w:ascii="Arial Narrow" w:hAnsi="Arial Narrow" w:cs="Arial"/>
                <w:sz w:val="20"/>
                <w:szCs w:val="20"/>
              </w:rPr>
              <w:t>may be requested through the Online PBS Authorities system</w:t>
            </w:r>
            <w:r w:rsidRPr="00F33674">
              <w:rPr>
                <w:rFonts w:ascii="Arial Narrow" w:hAnsi="Arial Narrow" w:cs="Arial"/>
                <w:sz w:val="20"/>
                <w:szCs w:val="20"/>
              </w:rPr>
              <w:t xml:space="preserve"> or in writing only and must not provide a treatment duration exceeding 3 months</w:t>
            </w:r>
            <w:r>
              <w:rPr>
                <w:rFonts w:ascii="Arial Narrow" w:hAnsi="Arial Narrow" w:cs="Arial"/>
                <w:sz w:val="20"/>
                <w:szCs w:val="20"/>
              </w:rPr>
              <w:t xml:space="preserve"> </w:t>
            </w:r>
            <w:r w:rsidRPr="00710D93">
              <w:rPr>
                <w:rFonts w:ascii="Arial Narrow" w:hAnsi="Arial Narrow" w:cs="Arial"/>
                <w:sz w:val="20"/>
                <w:szCs w:val="20"/>
              </w:rPr>
              <w:t xml:space="preserve">(quantity sufficient for up to </w:t>
            </w:r>
            <w:proofErr w:type="gramStart"/>
            <w:r w:rsidRPr="00710D93">
              <w:rPr>
                <w:rFonts w:ascii="Arial Narrow" w:hAnsi="Arial Narrow" w:cs="Arial"/>
                <w:sz w:val="20"/>
                <w:szCs w:val="20"/>
              </w:rPr>
              <w:t>1 month</w:t>
            </w:r>
            <w:proofErr w:type="gramEnd"/>
            <w:r w:rsidRPr="00710D93">
              <w:rPr>
                <w:rFonts w:ascii="Arial Narrow" w:hAnsi="Arial Narrow" w:cs="Arial"/>
                <w:sz w:val="20"/>
                <w:szCs w:val="20"/>
              </w:rPr>
              <w:t xml:space="preserve"> treatment and sufficient repeats)</w:t>
            </w:r>
            <w:r w:rsidRPr="00F33674">
              <w:rPr>
                <w:rFonts w:ascii="Arial Narrow" w:hAnsi="Arial Narrow" w:cs="Arial"/>
                <w:sz w:val="20"/>
                <w:szCs w:val="20"/>
              </w:rPr>
              <w:t>.</w:t>
            </w:r>
          </w:p>
        </w:tc>
      </w:tr>
      <w:tr w:rsidR="009F3089" w:rsidRPr="00F33674" w14:paraId="04B2A17E" w14:textId="77777777" w:rsidTr="00A74C03">
        <w:trPr>
          <w:cantSplit/>
          <w:trHeight w:val="360"/>
        </w:trPr>
        <w:tc>
          <w:tcPr>
            <w:tcW w:w="2835" w:type="dxa"/>
            <w:tcBorders>
              <w:top w:val="single" w:sz="4" w:space="0" w:color="auto"/>
              <w:left w:val="single" w:sz="4" w:space="0" w:color="auto"/>
              <w:bottom w:val="single" w:sz="4" w:space="0" w:color="auto"/>
              <w:right w:val="single" w:sz="4" w:space="0" w:color="auto"/>
            </w:tcBorders>
          </w:tcPr>
          <w:p w14:paraId="2064A04A" w14:textId="77777777" w:rsidR="009F3089" w:rsidRPr="00F33674" w:rsidRDefault="009F3089" w:rsidP="00A74C03">
            <w:pPr>
              <w:rPr>
                <w:rFonts w:ascii="Arial Narrow" w:hAnsi="Arial Narrow" w:cs="Arial"/>
                <w:b/>
                <w:sz w:val="20"/>
                <w:szCs w:val="20"/>
              </w:rPr>
            </w:pPr>
            <w:r w:rsidRPr="00F33674">
              <w:rPr>
                <w:rFonts w:ascii="Arial Narrow" w:hAnsi="Arial Narrow" w:cs="Arial"/>
                <w:b/>
                <w:sz w:val="20"/>
                <w:szCs w:val="20"/>
              </w:rPr>
              <w:t>Administrative advice:</w:t>
            </w:r>
          </w:p>
        </w:tc>
        <w:tc>
          <w:tcPr>
            <w:tcW w:w="6379" w:type="dxa"/>
            <w:tcBorders>
              <w:top w:val="single" w:sz="4" w:space="0" w:color="auto"/>
              <w:left w:val="single" w:sz="4" w:space="0" w:color="auto"/>
              <w:bottom w:val="single" w:sz="4" w:space="0" w:color="auto"/>
              <w:right w:val="single" w:sz="4" w:space="0" w:color="auto"/>
            </w:tcBorders>
          </w:tcPr>
          <w:p w14:paraId="4F660D0D" w14:textId="77777777" w:rsidR="009F3089" w:rsidRPr="00F33674" w:rsidRDefault="009F3089" w:rsidP="00A74C03">
            <w:pPr>
              <w:jc w:val="left"/>
              <w:rPr>
                <w:rFonts w:ascii="Arial Narrow" w:hAnsi="Arial Narrow"/>
                <w:sz w:val="20"/>
                <w:szCs w:val="20"/>
              </w:rPr>
            </w:pPr>
            <w:r w:rsidRPr="00F33674">
              <w:rPr>
                <w:rFonts w:ascii="Arial Narrow" w:hAnsi="Arial Narrow"/>
                <w:sz w:val="20"/>
                <w:szCs w:val="20"/>
              </w:rPr>
              <w:t>[new] Consider consultation with a multidisciplinary pain service prior to, or after commencement of this medication.</w:t>
            </w:r>
          </w:p>
          <w:p w14:paraId="190F8138" w14:textId="77777777" w:rsidR="009F3089" w:rsidRPr="00F33674" w:rsidRDefault="009F3089" w:rsidP="00A74C03">
            <w:pPr>
              <w:jc w:val="left"/>
              <w:rPr>
                <w:rFonts w:ascii="Arial Narrow" w:hAnsi="Arial Narrow" w:cs="Arial"/>
                <w:sz w:val="20"/>
                <w:szCs w:val="20"/>
              </w:rPr>
            </w:pPr>
          </w:p>
          <w:p w14:paraId="02DCFE7D" w14:textId="77777777" w:rsidR="009F3089" w:rsidRPr="00F33674" w:rsidRDefault="009F3089" w:rsidP="00A74C03">
            <w:pPr>
              <w:jc w:val="left"/>
              <w:rPr>
                <w:rFonts w:ascii="Arial Narrow" w:hAnsi="Arial Narrow" w:cs="Arial"/>
                <w:sz w:val="20"/>
                <w:szCs w:val="20"/>
              </w:rPr>
            </w:pPr>
            <w:r w:rsidRPr="00F33674">
              <w:rPr>
                <w:rFonts w:ascii="Arial Narrow" w:hAnsi="Arial Narrow" w:cs="Arial"/>
                <w:sz w:val="20"/>
                <w:szCs w:val="20"/>
              </w:rPr>
              <w:t>[new] Real time online applications for increased maximum quantities/repeats may be made using the Online PBS Authorities system (see www.servicesaustralia.gov.au/organisations/health-professionals/services/medicare/hpos/services/request-authority-using-online-pbs-authorities-hpos)</w:t>
            </w:r>
          </w:p>
          <w:p w14:paraId="731BBD46" w14:textId="77777777" w:rsidR="009F3089" w:rsidRPr="00F33674" w:rsidRDefault="009F3089" w:rsidP="00A74C03">
            <w:pPr>
              <w:jc w:val="left"/>
              <w:rPr>
                <w:rFonts w:ascii="Arial Narrow" w:hAnsi="Arial Narrow" w:cs="Arial"/>
                <w:sz w:val="20"/>
                <w:szCs w:val="20"/>
              </w:rPr>
            </w:pPr>
          </w:p>
          <w:p w14:paraId="0A392BA8" w14:textId="77777777" w:rsidR="009F3089" w:rsidRPr="00F33674" w:rsidRDefault="009F3089" w:rsidP="00A74C03">
            <w:pPr>
              <w:jc w:val="left"/>
              <w:rPr>
                <w:rFonts w:ascii="Arial Narrow" w:hAnsi="Arial Narrow" w:cs="Arial"/>
                <w:sz w:val="20"/>
                <w:szCs w:val="20"/>
              </w:rPr>
            </w:pPr>
            <w:r w:rsidRPr="00F33674">
              <w:rPr>
                <w:rFonts w:ascii="Arial Narrow" w:hAnsi="Arial Narrow" w:cs="Arial"/>
                <w:sz w:val="20"/>
                <w:szCs w:val="20"/>
              </w:rPr>
              <w:t>Phone applications for increased maximum quantities/repeats may be made by calling 1800 888 333.</w:t>
            </w:r>
          </w:p>
          <w:p w14:paraId="4E4C94F0" w14:textId="77777777" w:rsidR="009F3089" w:rsidRPr="00F33674" w:rsidRDefault="009F3089" w:rsidP="00A74C03">
            <w:pPr>
              <w:jc w:val="left"/>
              <w:rPr>
                <w:rFonts w:ascii="Arial Narrow" w:hAnsi="Arial Narrow" w:cs="Arial"/>
                <w:sz w:val="20"/>
                <w:szCs w:val="20"/>
              </w:rPr>
            </w:pPr>
          </w:p>
          <w:p w14:paraId="6AFA8AE9" w14:textId="77777777" w:rsidR="009F3089" w:rsidRPr="00F33674" w:rsidRDefault="009F3089" w:rsidP="00A74C03">
            <w:pPr>
              <w:jc w:val="left"/>
              <w:rPr>
                <w:rFonts w:ascii="Arial Narrow" w:hAnsi="Arial Narrow" w:cs="Arial"/>
                <w:sz w:val="20"/>
                <w:szCs w:val="20"/>
              </w:rPr>
            </w:pPr>
            <w:r w:rsidRPr="00F33674">
              <w:rPr>
                <w:rFonts w:ascii="Arial Narrow" w:hAnsi="Arial Narrow" w:cs="Arial"/>
                <w:sz w:val="20"/>
                <w:szCs w:val="20"/>
              </w:rPr>
              <w:t>Written authority applications for increased maximum quantities/repeats can be uploaded online through HPOS form upload or mailed to:</w:t>
            </w:r>
          </w:p>
          <w:p w14:paraId="28AFF0AD" w14:textId="77777777" w:rsidR="009F3089" w:rsidRPr="00F33674" w:rsidRDefault="009F3089" w:rsidP="00A74C03">
            <w:pPr>
              <w:jc w:val="left"/>
              <w:rPr>
                <w:rFonts w:ascii="Arial Narrow" w:hAnsi="Arial Narrow" w:cs="Arial"/>
                <w:sz w:val="20"/>
                <w:szCs w:val="20"/>
              </w:rPr>
            </w:pPr>
            <w:r w:rsidRPr="00F33674">
              <w:rPr>
                <w:rFonts w:ascii="Arial Narrow" w:hAnsi="Arial Narrow" w:cs="Arial"/>
                <w:sz w:val="20"/>
                <w:szCs w:val="20"/>
              </w:rPr>
              <w:t>Pharmaceutical Benefits Scheme</w:t>
            </w:r>
          </w:p>
          <w:p w14:paraId="00B0E336" w14:textId="77777777" w:rsidR="009F3089" w:rsidRPr="00F33674" w:rsidRDefault="009F3089" w:rsidP="00A74C03">
            <w:pPr>
              <w:jc w:val="left"/>
              <w:rPr>
                <w:rFonts w:ascii="Arial Narrow" w:hAnsi="Arial Narrow" w:cs="Arial"/>
                <w:sz w:val="20"/>
                <w:szCs w:val="20"/>
              </w:rPr>
            </w:pPr>
            <w:r w:rsidRPr="00F33674">
              <w:rPr>
                <w:rFonts w:ascii="Arial Narrow" w:hAnsi="Arial Narrow" w:cs="Arial"/>
                <w:sz w:val="20"/>
                <w:szCs w:val="20"/>
              </w:rPr>
              <w:t>Reply Paid 9857</w:t>
            </w:r>
          </w:p>
          <w:p w14:paraId="1D09313D" w14:textId="77777777" w:rsidR="009F3089" w:rsidRPr="00F33674" w:rsidRDefault="009F3089" w:rsidP="00A74C03">
            <w:pPr>
              <w:jc w:val="left"/>
              <w:rPr>
                <w:rFonts w:ascii="Arial Narrow" w:hAnsi="Arial Narrow" w:cs="Arial"/>
                <w:sz w:val="20"/>
                <w:szCs w:val="20"/>
              </w:rPr>
            </w:pPr>
            <w:r w:rsidRPr="00F33674">
              <w:rPr>
                <w:rFonts w:ascii="Arial Narrow" w:hAnsi="Arial Narrow" w:cs="Arial"/>
                <w:sz w:val="20"/>
                <w:szCs w:val="20"/>
              </w:rPr>
              <w:t>[Your capital city]</w:t>
            </w:r>
          </w:p>
        </w:tc>
      </w:tr>
      <w:tr w:rsidR="009F3089" w:rsidRPr="00F33674" w14:paraId="69562085" w14:textId="77777777" w:rsidTr="00A74C03">
        <w:trPr>
          <w:cantSplit/>
          <w:trHeight w:val="360"/>
        </w:trPr>
        <w:tc>
          <w:tcPr>
            <w:tcW w:w="2835" w:type="dxa"/>
            <w:tcBorders>
              <w:top w:val="single" w:sz="4" w:space="0" w:color="auto"/>
              <w:left w:val="single" w:sz="4" w:space="0" w:color="auto"/>
              <w:bottom w:val="single" w:sz="4" w:space="0" w:color="auto"/>
              <w:right w:val="single" w:sz="4" w:space="0" w:color="auto"/>
            </w:tcBorders>
          </w:tcPr>
          <w:p w14:paraId="53EA23D2" w14:textId="77777777" w:rsidR="009F3089" w:rsidRPr="00F33674" w:rsidRDefault="009F3089" w:rsidP="00A74C03">
            <w:pPr>
              <w:rPr>
                <w:rFonts w:ascii="Arial Narrow" w:hAnsi="Arial Narrow" w:cs="Arial"/>
                <w:b/>
                <w:sz w:val="20"/>
                <w:szCs w:val="20"/>
              </w:rPr>
            </w:pPr>
            <w:r w:rsidRPr="00F33674">
              <w:rPr>
                <w:rFonts w:ascii="Arial Narrow" w:hAnsi="Arial Narrow" w:cs="Arial"/>
                <w:b/>
                <w:sz w:val="20"/>
                <w:szCs w:val="20"/>
              </w:rPr>
              <w:t>Cautions:</w:t>
            </w:r>
          </w:p>
        </w:tc>
        <w:tc>
          <w:tcPr>
            <w:tcW w:w="6379" w:type="dxa"/>
            <w:tcBorders>
              <w:top w:val="single" w:sz="4" w:space="0" w:color="auto"/>
              <w:left w:val="single" w:sz="4" w:space="0" w:color="auto"/>
              <w:bottom w:val="single" w:sz="4" w:space="0" w:color="auto"/>
              <w:right w:val="single" w:sz="4" w:space="0" w:color="auto"/>
            </w:tcBorders>
          </w:tcPr>
          <w:p w14:paraId="586D0498" w14:textId="77777777" w:rsidR="009F3089" w:rsidRPr="00F33674" w:rsidRDefault="009F3089" w:rsidP="00A74C03">
            <w:pPr>
              <w:jc w:val="left"/>
              <w:rPr>
                <w:rFonts w:ascii="Arial Narrow" w:hAnsi="Arial Narrow" w:cs="Arial"/>
                <w:sz w:val="20"/>
                <w:szCs w:val="20"/>
              </w:rPr>
            </w:pPr>
            <w:r w:rsidRPr="00F33674">
              <w:rPr>
                <w:rFonts w:ascii="Arial Narrow" w:hAnsi="Arial Narrow" w:cs="Arial"/>
                <w:sz w:val="20"/>
                <w:szCs w:val="20"/>
              </w:rPr>
              <w:t>[6986] The risk of drug dependence is high.</w:t>
            </w:r>
          </w:p>
        </w:tc>
      </w:tr>
    </w:tbl>
    <w:p w14:paraId="599D2220" w14:textId="77777777" w:rsidR="009F3089" w:rsidRDefault="009F3089">
      <w:pPr>
        <w:jc w:val="left"/>
      </w:pPr>
    </w:p>
    <w:p w14:paraId="4B9928BD" w14:textId="77777777" w:rsidR="009F3089" w:rsidRDefault="009F3089">
      <w:pPr>
        <w:jc w:val="left"/>
      </w:pPr>
    </w:p>
    <w:tbl>
      <w:tblPr>
        <w:tblW w:w="9214" w:type="dxa"/>
        <w:tblInd w:w="-5" w:type="dxa"/>
        <w:tblLayout w:type="fixed"/>
        <w:tblLook w:val="0000" w:firstRow="0" w:lastRow="0" w:firstColumn="0" w:lastColumn="0" w:noHBand="0" w:noVBand="0"/>
      </w:tblPr>
      <w:tblGrid>
        <w:gridCol w:w="2835"/>
        <w:gridCol w:w="6379"/>
      </w:tblGrid>
      <w:tr w:rsidR="009F3089" w:rsidRPr="00F33674" w14:paraId="070DBC11" w14:textId="77777777" w:rsidTr="00A74C03">
        <w:trPr>
          <w:cantSplit/>
          <w:trHeight w:val="360"/>
        </w:trPr>
        <w:tc>
          <w:tcPr>
            <w:tcW w:w="2835" w:type="dxa"/>
            <w:tcBorders>
              <w:top w:val="single" w:sz="4" w:space="0" w:color="auto"/>
              <w:left w:val="single" w:sz="4" w:space="0" w:color="auto"/>
              <w:bottom w:val="single" w:sz="4" w:space="0" w:color="auto"/>
              <w:right w:val="single" w:sz="4" w:space="0" w:color="auto"/>
            </w:tcBorders>
          </w:tcPr>
          <w:p w14:paraId="4DBCB566" w14:textId="77777777" w:rsidR="009F3089" w:rsidRPr="00F33674" w:rsidRDefault="009F3089" w:rsidP="00A74C03">
            <w:pPr>
              <w:rPr>
                <w:rFonts w:ascii="Arial Narrow" w:hAnsi="Arial Narrow" w:cs="Arial"/>
                <w:b/>
                <w:sz w:val="20"/>
                <w:szCs w:val="20"/>
              </w:rPr>
            </w:pPr>
            <w:r w:rsidRPr="00F33674">
              <w:rPr>
                <w:rFonts w:ascii="Arial Narrow" w:hAnsi="Arial Narrow" w:cs="Arial"/>
                <w:b/>
                <w:sz w:val="20"/>
                <w:szCs w:val="20"/>
              </w:rPr>
              <w:t>Category / Program:</w:t>
            </w:r>
          </w:p>
        </w:tc>
        <w:tc>
          <w:tcPr>
            <w:tcW w:w="6379" w:type="dxa"/>
            <w:tcBorders>
              <w:top w:val="single" w:sz="4" w:space="0" w:color="auto"/>
              <w:left w:val="single" w:sz="4" w:space="0" w:color="auto"/>
              <w:bottom w:val="single" w:sz="4" w:space="0" w:color="auto"/>
              <w:right w:val="single" w:sz="4" w:space="0" w:color="auto"/>
            </w:tcBorders>
          </w:tcPr>
          <w:p w14:paraId="5B87E29E" w14:textId="77777777" w:rsidR="009F3089" w:rsidRPr="00F33674" w:rsidRDefault="009F3089" w:rsidP="00A74C03">
            <w:pPr>
              <w:rPr>
                <w:rFonts w:ascii="Arial Narrow" w:hAnsi="Arial Narrow" w:cs="Arial"/>
                <w:sz w:val="20"/>
                <w:szCs w:val="20"/>
              </w:rPr>
            </w:pPr>
            <w:r w:rsidRPr="00F33674">
              <w:rPr>
                <w:rFonts w:ascii="Arial Narrow" w:hAnsi="Arial Narrow" w:cs="Arial"/>
                <w:sz w:val="20"/>
                <w:szCs w:val="20"/>
              </w:rPr>
              <w:t>GENERAL – General Schedule (Code GE)</w:t>
            </w:r>
          </w:p>
        </w:tc>
      </w:tr>
      <w:tr w:rsidR="009F3089" w:rsidRPr="00F33674" w14:paraId="3ADA970F" w14:textId="77777777" w:rsidTr="00A74C03">
        <w:trPr>
          <w:cantSplit/>
          <w:trHeight w:val="360"/>
        </w:trPr>
        <w:tc>
          <w:tcPr>
            <w:tcW w:w="2835" w:type="dxa"/>
            <w:tcBorders>
              <w:top w:val="single" w:sz="4" w:space="0" w:color="auto"/>
              <w:left w:val="single" w:sz="4" w:space="0" w:color="auto"/>
              <w:bottom w:val="single" w:sz="4" w:space="0" w:color="auto"/>
              <w:right w:val="single" w:sz="4" w:space="0" w:color="auto"/>
            </w:tcBorders>
          </w:tcPr>
          <w:p w14:paraId="34F48489" w14:textId="77777777" w:rsidR="009F3089" w:rsidRPr="00F33674" w:rsidRDefault="009F3089" w:rsidP="00A74C03">
            <w:pPr>
              <w:rPr>
                <w:rFonts w:ascii="Arial Narrow" w:hAnsi="Arial Narrow" w:cs="Arial"/>
                <w:b/>
                <w:sz w:val="20"/>
                <w:szCs w:val="20"/>
              </w:rPr>
            </w:pPr>
            <w:r w:rsidRPr="00F33674">
              <w:rPr>
                <w:rFonts w:ascii="Arial Narrow" w:hAnsi="Arial Narrow" w:cs="Arial"/>
                <w:b/>
                <w:sz w:val="20"/>
                <w:szCs w:val="20"/>
              </w:rPr>
              <w:t>Prescriber type:</w:t>
            </w:r>
          </w:p>
          <w:p w14:paraId="238D43A1" w14:textId="77777777" w:rsidR="009F3089" w:rsidRPr="00F33674" w:rsidRDefault="009F3089" w:rsidP="00A74C03">
            <w:pPr>
              <w:rPr>
                <w:rFonts w:ascii="Arial Narrow" w:hAnsi="Arial Narrow" w:cs="Arial"/>
                <w:b/>
                <w:sz w:val="20"/>
                <w:szCs w:val="20"/>
              </w:rPr>
            </w:pPr>
          </w:p>
        </w:tc>
        <w:tc>
          <w:tcPr>
            <w:tcW w:w="6379" w:type="dxa"/>
            <w:tcBorders>
              <w:top w:val="single" w:sz="4" w:space="0" w:color="auto"/>
              <w:left w:val="single" w:sz="4" w:space="0" w:color="auto"/>
              <w:bottom w:val="single" w:sz="4" w:space="0" w:color="auto"/>
              <w:right w:val="single" w:sz="4" w:space="0" w:color="auto"/>
            </w:tcBorders>
          </w:tcPr>
          <w:p w14:paraId="7D683261" w14:textId="5CD13385" w:rsidR="009F3089" w:rsidRPr="00F33674" w:rsidRDefault="009F3089" w:rsidP="00A74C03">
            <w:pPr>
              <w:rPr>
                <w:rFonts w:ascii="Arial Narrow" w:hAnsi="Arial Narrow" w:cs="Arial"/>
                <w:sz w:val="20"/>
                <w:szCs w:val="20"/>
              </w:rPr>
            </w:pPr>
            <w:r w:rsidRPr="00F33674">
              <w:rPr>
                <w:rFonts w:ascii="Arial Narrow" w:hAnsi="Arial Narrow" w:cs="Arial"/>
                <w:sz w:val="20"/>
                <w:szCs w:val="20"/>
              </w:rPr>
              <w:fldChar w:fldCharType="begin">
                <w:ffData>
                  <w:name w:val="Check1"/>
                  <w:enabled/>
                  <w:calcOnExit w:val="0"/>
                  <w:checkBox>
                    <w:sizeAuto/>
                    <w:default w:val="0"/>
                  </w:checkBox>
                </w:ffData>
              </w:fldChar>
            </w:r>
            <w:r w:rsidRPr="00F33674">
              <w:rPr>
                <w:rFonts w:ascii="Arial Narrow" w:hAnsi="Arial Narrow" w:cs="Arial"/>
                <w:sz w:val="20"/>
                <w:szCs w:val="20"/>
              </w:rPr>
              <w:instrText xml:space="preserve"> FORMCHECKBOX </w:instrText>
            </w:r>
            <w:r w:rsidR="00233D13">
              <w:rPr>
                <w:rFonts w:ascii="Arial Narrow" w:hAnsi="Arial Narrow" w:cs="Arial"/>
                <w:sz w:val="20"/>
                <w:szCs w:val="20"/>
              </w:rPr>
            </w:r>
            <w:r w:rsidR="00233D13">
              <w:rPr>
                <w:rFonts w:ascii="Arial Narrow" w:hAnsi="Arial Narrow" w:cs="Arial"/>
                <w:sz w:val="20"/>
                <w:szCs w:val="20"/>
              </w:rPr>
              <w:fldChar w:fldCharType="separate"/>
            </w:r>
            <w:r w:rsidRPr="00F33674">
              <w:rPr>
                <w:rFonts w:ascii="Arial Narrow" w:hAnsi="Arial Narrow" w:cs="Arial"/>
                <w:sz w:val="20"/>
                <w:szCs w:val="20"/>
              </w:rPr>
              <w:fldChar w:fldCharType="end"/>
            </w:r>
            <w:r w:rsidRPr="00F33674">
              <w:rPr>
                <w:rFonts w:ascii="Arial Narrow" w:hAnsi="Arial Narrow" w:cs="Arial"/>
                <w:sz w:val="20"/>
                <w:szCs w:val="20"/>
              </w:rPr>
              <w:t>Dental</w:t>
            </w:r>
            <w:r w:rsidR="002C1329">
              <w:rPr>
                <w:rFonts w:ascii="Arial Narrow" w:hAnsi="Arial Narrow" w:cs="Arial"/>
                <w:sz w:val="20"/>
                <w:szCs w:val="20"/>
              </w:rPr>
              <w:t xml:space="preserve"> </w:t>
            </w:r>
            <w:r w:rsidRPr="00F33674">
              <w:rPr>
                <w:rFonts w:ascii="Arial Narrow" w:hAnsi="Arial Narrow" w:cs="Arial"/>
                <w:sz w:val="20"/>
                <w:szCs w:val="20"/>
              </w:rPr>
              <w:fldChar w:fldCharType="begin">
                <w:ffData>
                  <w:name w:val=""/>
                  <w:enabled/>
                  <w:calcOnExit w:val="0"/>
                  <w:checkBox>
                    <w:sizeAuto/>
                    <w:default w:val="1"/>
                  </w:checkBox>
                </w:ffData>
              </w:fldChar>
            </w:r>
            <w:r w:rsidRPr="00F33674">
              <w:rPr>
                <w:rFonts w:ascii="Arial Narrow" w:hAnsi="Arial Narrow" w:cs="Arial"/>
                <w:sz w:val="20"/>
                <w:szCs w:val="20"/>
              </w:rPr>
              <w:instrText xml:space="preserve"> FORMCHECKBOX </w:instrText>
            </w:r>
            <w:r w:rsidR="00233D13">
              <w:rPr>
                <w:rFonts w:ascii="Arial Narrow" w:hAnsi="Arial Narrow" w:cs="Arial"/>
                <w:sz w:val="20"/>
                <w:szCs w:val="20"/>
              </w:rPr>
            </w:r>
            <w:r w:rsidR="00233D13">
              <w:rPr>
                <w:rFonts w:ascii="Arial Narrow" w:hAnsi="Arial Narrow" w:cs="Arial"/>
                <w:sz w:val="20"/>
                <w:szCs w:val="20"/>
              </w:rPr>
              <w:fldChar w:fldCharType="separate"/>
            </w:r>
            <w:r w:rsidRPr="00F33674">
              <w:rPr>
                <w:rFonts w:ascii="Arial Narrow" w:hAnsi="Arial Narrow" w:cs="Arial"/>
                <w:sz w:val="20"/>
                <w:szCs w:val="20"/>
              </w:rPr>
              <w:fldChar w:fldCharType="end"/>
            </w:r>
            <w:r w:rsidRPr="00F33674">
              <w:rPr>
                <w:rFonts w:ascii="Arial Narrow" w:hAnsi="Arial Narrow" w:cs="Arial"/>
                <w:sz w:val="20"/>
                <w:szCs w:val="20"/>
              </w:rPr>
              <w:t>Medical Practitioners</w:t>
            </w:r>
            <w:r w:rsidR="002C1329">
              <w:rPr>
                <w:rFonts w:ascii="Arial Narrow" w:hAnsi="Arial Narrow" w:cs="Arial"/>
                <w:sz w:val="20"/>
                <w:szCs w:val="20"/>
              </w:rPr>
              <w:t xml:space="preserve"> </w:t>
            </w:r>
            <w:r w:rsidRPr="00F33674">
              <w:rPr>
                <w:rFonts w:ascii="Arial Narrow" w:hAnsi="Arial Narrow" w:cs="Arial"/>
                <w:sz w:val="20"/>
                <w:szCs w:val="20"/>
              </w:rPr>
              <w:fldChar w:fldCharType="begin">
                <w:ffData>
                  <w:name w:val="Check3"/>
                  <w:enabled/>
                  <w:calcOnExit w:val="0"/>
                  <w:checkBox>
                    <w:sizeAuto/>
                    <w:default w:val="1"/>
                  </w:checkBox>
                </w:ffData>
              </w:fldChar>
            </w:r>
            <w:r w:rsidRPr="00F33674">
              <w:rPr>
                <w:rFonts w:ascii="Arial Narrow" w:hAnsi="Arial Narrow" w:cs="Arial"/>
                <w:sz w:val="20"/>
                <w:szCs w:val="20"/>
              </w:rPr>
              <w:instrText xml:space="preserve"> FORMCHECKBOX </w:instrText>
            </w:r>
            <w:r w:rsidR="00233D13">
              <w:rPr>
                <w:rFonts w:ascii="Arial Narrow" w:hAnsi="Arial Narrow" w:cs="Arial"/>
                <w:sz w:val="20"/>
                <w:szCs w:val="20"/>
              </w:rPr>
            </w:r>
            <w:r w:rsidR="00233D13">
              <w:rPr>
                <w:rFonts w:ascii="Arial Narrow" w:hAnsi="Arial Narrow" w:cs="Arial"/>
                <w:sz w:val="20"/>
                <w:szCs w:val="20"/>
              </w:rPr>
              <w:fldChar w:fldCharType="separate"/>
            </w:r>
            <w:r w:rsidRPr="00F33674">
              <w:rPr>
                <w:rFonts w:ascii="Arial Narrow" w:hAnsi="Arial Narrow" w:cs="Arial"/>
                <w:sz w:val="20"/>
                <w:szCs w:val="20"/>
              </w:rPr>
              <w:fldChar w:fldCharType="end"/>
            </w:r>
            <w:r w:rsidRPr="00F33674">
              <w:rPr>
                <w:rFonts w:ascii="Arial Narrow" w:hAnsi="Arial Narrow" w:cs="Arial"/>
                <w:sz w:val="20"/>
                <w:szCs w:val="20"/>
              </w:rPr>
              <w:t>Nurse practitioners</w:t>
            </w:r>
            <w:r w:rsidR="002C1329">
              <w:rPr>
                <w:rFonts w:ascii="Arial Narrow" w:hAnsi="Arial Narrow" w:cs="Arial"/>
                <w:sz w:val="20"/>
                <w:szCs w:val="20"/>
              </w:rPr>
              <w:t xml:space="preserve"> </w:t>
            </w:r>
            <w:r w:rsidRPr="00F33674">
              <w:rPr>
                <w:rFonts w:ascii="Arial Narrow" w:hAnsi="Arial Narrow" w:cs="Arial"/>
                <w:sz w:val="20"/>
                <w:szCs w:val="20"/>
              </w:rPr>
              <w:fldChar w:fldCharType="begin">
                <w:ffData>
                  <w:name w:val=""/>
                  <w:enabled/>
                  <w:calcOnExit w:val="0"/>
                  <w:checkBox>
                    <w:sizeAuto/>
                    <w:default w:val="0"/>
                  </w:checkBox>
                </w:ffData>
              </w:fldChar>
            </w:r>
            <w:r w:rsidRPr="00F33674">
              <w:rPr>
                <w:rFonts w:ascii="Arial Narrow" w:hAnsi="Arial Narrow" w:cs="Arial"/>
                <w:sz w:val="20"/>
                <w:szCs w:val="20"/>
              </w:rPr>
              <w:instrText xml:space="preserve"> FORMCHECKBOX </w:instrText>
            </w:r>
            <w:r w:rsidR="00233D13">
              <w:rPr>
                <w:rFonts w:ascii="Arial Narrow" w:hAnsi="Arial Narrow" w:cs="Arial"/>
                <w:sz w:val="20"/>
                <w:szCs w:val="20"/>
              </w:rPr>
            </w:r>
            <w:r w:rsidR="00233D13">
              <w:rPr>
                <w:rFonts w:ascii="Arial Narrow" w:hAnsi="Arial Narrow" w:cs="Arial"/>
                <w:sz w:val="20"/>
                <w:szCs w:val="20"/>
              </w:rPr>
              <w:fldChar w:fldCharType="separate"/>
            </w:r>
            <w:r w:rsidRPr="00F33674">
              <w:rPr>
                <w:rFonts w:ascii="Arial Narrow" w:hAnsi="Arial Narrow" w:cs="Arial"/>
                <w:sz w:val="20"/>
                <w:szCs w:val="20"/>
              </w:rPr>
              <w:fldChar w:fldCharType="end"/>
            </w:r>
            <w:r w:rsidRPr="00F33674">
              <w:rPr>
                <w:rFonts w:ascii="Arial Narrow" w:hAnsi="Arial Narrow" w:cs="Arial"/>
                <w:sz w:val="20"/>
                <w:szCs w:val="20"/>
              </w:rPr>
              <w:t>Optometrists</w:t>
            </w:r>
          </w:p>
          <w:p w14:paraId="2161AA9A" w14:textId="77777777" w:rsidR="009F3089" w:rsidRPr="00F33674" w:rsidRDefault="009F3089" w:rsidP="00A74C03">
            <w:pPr>
              <w:rPr>
                <w:rFonts w:ascii="Arial Narrow" w:hAnsi="Arial Narrow" w:cs="Arial"/>
                <w:sz w:val="20"/>
                <w:szCs w:val="20"/>
              </w:rPr>
            </w:pPr>
            <w:r w:rsidRPr="00F33674">
              <w:rPr>
                <w:rFonts w:ascii="Arial Narrow" w:hAnsi="Arial Narrow" w:cs="Arial"/>
                <w:sz w:val="20"/>
                <w:szCs w:val="20"/>
              </w:rPr>
              <w:fldChar w:fldCharType="begin">
                <w:ffData>
                  <w:name w:val="Check5"/>
                  <w:enabled/>
                  <w:calcOnExit w:val="0"/>
                  <w:checkBox>
                    <w:sizeAuto/>
                    <w:default w:val="0"/>
                  </w:checkBox>
                </w:ffData>
              </w:fldChar>
            </w:r>
            <w:r w:rsidRPr="00F33674">
              <w:rPr>
                <w:rFonts w:ascii="Arial Narrow" w:hAnsi="Arial Narrow" w:cs="Arial"/>
                <w:sz w:val="20"/>
                <w:szCs w:val="20"/>
              </w:rPr>
              <w:instrText xml:space="preserve"> FORMCHECKBOX </w:instrText>
            </w:r>
            <w:r w:rsidR="00233D13">
              <w:rPr>
                <w:rFonts w:ascii="Arial Narrow" w:hAnsi="Arial Narrow" w:cs="Arial"/>
                <w:sz w:val="20"/>
                <w:szCs w:val="20"/>
              </w:rPr>
            </w:r>
            <w:r w:rsidR="00233D13">
              <w:rPr>
                <w:rFonts w:ascii="Arial Narrow" w:hAnsi="Arial Narrow" w:cs="Arial"/>
                <w:sz w:val="20"/>
                <w:szCs w:val="20"/>
              </w:rPr>
              <w:fldChar w:fldCharType="separate"/>
            </w:r>
            <w:r w:rsidRPr="00F33674">
              <w:rPr>
                <w:rFonts w:ascii="Arial Narrow" w:hAnsi="Arial Narrow" w:cs="Arial"/>
                <w:sz w:val="20"/>
                <w:szCs w:val="20"/>
              </w:rPr>
              <w:fldChar w:fldCharType="end"/>
            </w:r>
            <w:r w:rsidRPr="00F33674">
              <w:rPr>
                <w:rFonts w:ascii="Arial Narrow" w:hAnsi="Arial Narrow" w:cs="Arial"/>
                <w:sz w:val="20"/>
                <w:szCs w:val="20"/>
              </w:rPr>
              <w:t>Midwives</w:t>
            </w:r>
          </w:p>
        </w:tc>
      </w:tr>
      <w:tr w:rsidR="009F3089" w:rsidRPr="00F33674" w14:paraId="64134FB0" w14:textId="77777777" w:rsidTr="00A74C03">
        <w:trPr>
          <w:cantSplit/>
          <w:trHeight w:val="369"/>
        </w:trPr>
        <w:tc>
          <w:tcPr>
            <w:tcW w:w="2835" w:type="dxa"/>
            <w:tcBorders>
              <w:top w:val="single" w:sz="4" w:space="0" w:color="auto"/>
              <w:left w:val="single" w:sz="4" w:space="0" w:color="auto"/>
              <w:bottom w:val="single" w:sz="4" w:space="0" w:color="auto"/>
              <w:right w:val="single" w:sz="4" w:space="0" w:color="auto"/>
            </w:tcBorders>
          </w:tcPr>
          <w:p w14:paraId="6EE1EE5E" w14:textId="77777777" w:rsidR="009F3089" w:rsidRPr="00F33674" w:rsidRDefault="009F3089" w:rsidP="00A74C03">
            <w:pPr>
              <w:rPr>
                <w:rFonts w:ascii="Arial Narrow" w:hAnsi="Arial Narrow" w:cs="Arial"/>
                <w:b/>
                <w:sz w:val="20"/>
                <w:szCs w:val="20"/>
              </w:rPr>
            </w:pPr>
            <w:r w:rsidRPr="00F33674">
              <w:rPr>
                <w:rFonts w:ascii="Arial Narrow" w:hAnsi="Arial Narrow" w:cs="Arial"/>
                <w:b/>
                <w:sz w:val="20"/>
                <w:szCs w:val="20"/>
              </w:rPr>
              <w:t>PBS indication:</w:t>
            </w:r>
          </w:p>
        </w:tc>
        <w:tc>
          <w:tcPr>
            <w:tcW w:w="6379" w:type="dxa"/>
            <w:tcBorders>
              <w:top w:val="single" w:sz="4" w:space="0" w:color="auto"/>
              <w:left w:val="single" w:sz="4" w:space="0" w:color="auto"/>
              <w:bottom w:val="single" w:sz="4" w:space="0" w:color="auto"/>
              <w:right w:val="single" w:sz="4" w:space="0" w:color="auto"/>
            </w:tcBorders>
          </w:tcPr>
          <w:p w14:paraId="6C8276C5" w14:textId="77777777" w:rsidR="009F3089" w:rsidRPr="00F33674" w:rsidRDefault="009F3089" w:rsidP="00A74C03">
            <w:pPr>
              <w:rPr>
                <w:rFonts w:ascii="Arial Narrow" w:hAnsi="Arial Narrow" w:cs="Arial"/>
                <w:sz w:val="20"/>
                <w:szCs w:val="20"/>
              </w:rPr>
            </w:pPr>
            <w:r w:rsidRPr="00F33674">
              <w:rPr>
                <w:rFonts w:ascii="Arial Narrow" w:hAnsi="Arial Narrow" w:cs="Arial"/>
                <w:sz w:val="20"/>
                <w:szCs w:val="20"/>
              </w:rPr>
              <w:t>[7861] Severe pain</w:t>
            </w:r>
          </w:p>
        </w:tc>
      </w:tr>
      <w:tr w:rsidR="009F3089" w:rsidRPr="00F33674" w14:paraId="68A43E5B" w14:textId="77777777" w:rsidTr="00A74C03">
        <w:trPr>
          <w:cantSplit/>
          <w:trHeight w:val="360"/>
        </w:trPr>
        <w:tc>
          <w:tcPr>
            <w:tcW w:w="2835" w:type="dxa"/>
            <w:tcBorders>
              <w:top w:val="single" w:sz="4" w:space="0" w:color="auto"/>
              <w:left w:val="single" w:sz="4" w:space="0" w:color="auto"/>
              <w:bottom w:val="single" w:sz="4" w:space="0" w:color="auto"/>
              <w:right w:val="single" w:sz="4" w:space="0" w:color="auto"/>
            </w:tcBorders>
          </w:tcPr>
          <w:p w14:paraId="53E4F0F9" w14:textId="77777777" w:rsidR="009F3089" w:rsidRPr="00F33674" w:rsidRDefault="009F3089" w:rsidP="00A74C03">
            <w:pPr>
              <w:rPr>
                <w:rFonts w:ascii="Arial Narrow" w:hAnsi="Arial Narrow" w:cs="Arial"/>
                <w:b/>
                <w:sz w:val="20"/>
                <w:szCs w:val="20"/>
              </w:rPr>
            </w:pPr>
            <w:r w:rsidRPr="00F33674">
              <w:rPr>
                <w:rFonts w:ascii="Arial Narrow" w:hAnsi="Arial Narrow" w:cs="Arial"/>
                <w:b/>
                <w:sz w:val="20"/>
                <w:szCs w:val="20"/>
              </w:rPr>
              <w:lastRenderedPageBreak/>
              <w:t>Restriction Level / Method:</w:t>
            </w:r>
          </w:p>
          <w:p w14:paraId="10FD58BA" w14:textId="77777777" w:rsidR="009F3089" w:rsidRPr="00F33674" w:rsidRDefault="009F3089" w:rsidP="00A74C03">
            <w:pPr>
              <w:rPr>
                <w:rFonts w:ascii="Arial Narrow" w:hAnsi="Arial Narrow" w:cs="Arial"/>
                <w:i/>
                <w:sz w:val="20"/>
                <w:szCs w:val="20"/>
              </w:rPr>
            </w:pPr>
          </w:p>
          <w:p w14:paraId="624189FF" w14:textId="77777777" w:rsidR="009F3089" w:rsidRPr="00F33674" w:rsidRDefault="009F3089" w:rsidP="00A74C03">
            <w:pPr>
              <w:rPr>
                <w:rFonts w:ascii="Arial Narrow" w:hAnsi="Arial Narrow" w:cs="Arial"/>
                <w:i/>
                <w:sz w:val="20"/>
                <w:szCs w:val="20"/>
              </w:rPr>
            </w:pPr>
          </w:p>
          <w:p w14:paraId="0757DED8" w14:textId="77777777" w:rsidR="009F3089" w:rsidRPr="00F33674" w:rsidRDefault="009F3089" w:rsidP="00A74C03">
            <w:pPr>
              <w:rPr>
                <w:rFonts w:ascii="Arial Narrow" w:hAnsi="Arial Narrow" w:cs="Arial"/>
                <w:i/>
                <w:sz w:val="20"/>
                <w:szCs w:val="20"/>
              </w:rPr>
            </w:pPr>
          </w:p>
        </w:tc>
        <w:tc>
          <w:tcPr>
            <w:tcW w:w="6379" w:type="dxa"/>
            <w:tcBorders>
              <w:top w:val="single" w:sz="4" w:space="0" w:color="auto"/>
              <w:left w:val="single" w:sz="4" w:space="0" w:color="auto"/>
              <w:bottom w:val="single" w:sz="4" w:space="0" w:color="auto"/>
              <w:right w:val="single" w:sz="4" w:space="0" w:color="auto"/>
            </w:tcBorders>
          </w:tcPr>
          <w:p w14:paraId="510CCAD3" w14:textId="77777777" w:rsidR="009F3089" w:rsidRPr="00F33674" w:rsidRDefault="009F3089" w:rsidP="00A74C03">
            <w:pPr>
              <w:rPr>
                <w:rFonts w:ascii="Arial Narrow" w:hAnsi="Arial Narrow" w:cs="Arial"/>
                <w:sz w:val="20"/>
                <w:szCs w:val="20"/>
              </w:rPr>
            </w:pPr>
            <w:r w:rsidRPr="00F33674">
              <w:rPr>
                <w:rFonts w:ascii="Arial Narrow" w:hAnsi="Arial Narrow" w:cs="Arial"/>
                <w:sz w:val="20"/>
                <w:szCs w:val="20"/>
              </w:rPr>
              <w:fldChar w:fldCharType="begin">
                <w:ffData>
                  <w:name w:val=""/>
                  <w:enabled/>
                  <w:calcOnExit w:val="0"/>
                  <w:checkBox>
                    <w:sizeAuto/>
                    <w:default w:val="0"/>
                  </w:checkBox>
                </w:ffData>
              </w:fldChar>
            </w:r>
            <w:r w:rsidRPr="00F33674">
              <w:rPr>
                <w:rFonts w:ascii="Arial Narrow" w:hAnsi="Arial Narrow" w:cs="Arial"/>
                <w:sz w:val="20"/>
                <w:szCs w:val="20"/>
              </w:rPr>
              <w:instrText xml:space="preserve"> FORMCHECKBOX </w:instrText>
            </w:r>
            <w:r w:rsidR="00233D13">
              <w:rPr>
                <w:rFonts w:ascii="Arial Narrow" w:hAnsi="Arial Narrow" w:cs="Arial"/>
                <w:sz w:val="20"/>
                <w:szCs w:val="20"/>
              </w:rPr>
            </w:r>
            <w:r w:rsidR="00233D13">
              <w:rPr>
                <w:rFonts w:ascii="Arial Narrow" w:hAnsi="Arial Narrow" w:cs="Arial"/>
                <w:sz w:val="20"/>
                <w:szCs w:val="20"/>
              </w:rPr>
              <w:fldChar w:fldCharType="separate"/>
            </w:r>
            <w:r w:rsidRPr="00F33674">
              <w:rPr>
                <w:rFonts w:ascii="Arial Narrow" w:hAnsi="Arial Narrow" w:cs="Arial"/>
                <w:sz w:val="20"/>
                <w:szCs w:val="20"/>
              </w:rPr>
              <w:fldChar w:fldCharType="end"/>
            </w:r>
            <w:r w:rsidRPr="00F33674">
              <w:rPr>
                <w:rFonts w:ascii="Arial Narrow" w:hAnsi="Arial Narrow" w:cs="Arial"/>
                <w:sz w:val="20"/>
                <w:szCs w:val="20"/>
              </w:rPr>
              <w:t>Unrestricted benefit</w:t>
            </w:r>
          </w:p>
          <w:p w14:paraId="72CDEFFE" w14:textId="77777777" w:rsidR="009F3089" w:rsidRPr="00F33674" w:rsidRDefault="009F3089" w:rsidP="00A74C03">
            <w:pPr>
              <w:rPr>
                <w:rFonts w:ascii="Arial Narrow" w:hAnsi="Arial Narrow" w:cs="Arial"/>
                <w:i/>
                <w:sz w:val="20"/>
                <w:szCs w:val="20"/>
              </w:rPr>
            </w:pPr>
            <w:r w:rsidRPr="00F33674">
              <w:rPr>
                <w:rFonts w:ascii="Arial Narrow" w:hAnsi="Arial Narrow" w:cs="Arial"/>
                <w:i/>
                <w:sz w:val="20"/>
                <w:szCs w:val="20"/>
              </w:rPr>
              <w:fldChar w:fldCharType="begin">
                <w:ffData>
                  <w:name w:val="Check1"/>
                  <w:enabled/>
                  <w:calcOnExit w:val="0"/>
                  <w:checkBox>
                    <w:sizeAuto/>
                    <w:default w:val="1"/>
                  </w:checkBox>
                </w:ffData>
              </w:fldChar>
            </w:r>
            <w:r w:rsidRPr="00F33674">
              <w:rPr>
                <w:rFonts w:ascii="Arial Narrow" w:hAnsi="Arial Narrow" w:cs="Arial"/>
                <w:i/>
                <w:sz w:val="20"/>
                <w:szCs w:val="20"/>
              </w:rPr>
              <w:instrText xml:space="preserve"> FORMCHECKBOX </w:instrText>
            </w:r>
            <w:r w:rsidR="00233D13">
              <w:rPr>
                <w:rFonts w:ascii="Arial Narrow" w:hAnsi="Arial Narrow" w:cs="Arial"/>
                <w:i/>
                <w:sz w:val="20"/>
                <w:szCs w:val="20"/>
              </w:rPr>
            </w:r>
            <w:r w:rsidR="00233D13">
              <w:rPr>
                <w:rFonts w:ascii="Arial Narrow" w:hAnsi="Arial Narrow" w:cs="Arial"/>
                <w:i/>
                <w:sz w:val="20"/>
                <w:szCs w:val="20"/>
              </w:rPr>
              <w:fldChar w:fldCharType="separate"/>
            </w:r>
            <w:r w:rsidRPr="00F33674">
              <w:rPr>
                <w:rFonts w:ascii="Arial Narrow" w:hAnsi="Arial Narrow" w:cs="Arial"/>
                <w:i/>
                <w:sz w:val="20"/>
                <w:szCs w:val="20"/>
              </w:rPr>
              <w:fldChar w:fldCharType="end"/>
            </w:r>
            <w:r w:rsidRPr="00F33674">
              <w:rPr>
                <w:rFonts w:ascii="Arial Narrow" w:hAnsi="Arial Narrow" w:cs="Arial"/>
                <w:sz w:val="20"/>
                <w:szCs w:val="20"/>
              </w:rPr>
              <w:t>Restricted benefit</w:t>
            </w:r>
          </w:p>
          <w:p w14:paraId="617CE054" w14:textId="77777777" w:rsidR="009F3089" w:rsidRPr="00F33674" w:rsidRDefault="009F3089" w:rsidP="00A74C03">
            <w:pPr>
              <w:rPr>
                <w:rFonts w:ascii="Arial Narrow" w:hAnsi="Arial Narrow" w:cs="Arial"/>
                <w:sz w:val="20"/>
                <w:szCs w:val="20"/>
              </w:rPr>
            </w:pPr>
            <w:r w:rsidRPr="00F33674">
              <w:rPr>
                <w:rFonts w:ascii="Arial Narrow" w:hAnsi="Arial Narrow" w:cs="Arial"/>
                <w:sz w:val="20"/>
                <w:szCs w:val="20"/>
              </w:rPr>
              <w:fldChar w:fldCharType="begin">
                <w:ffData>
                  <w:name w:val=""/>
                  <w:enabled/>
                  <w:calcOnExit w:val="0"/>
                  <w:checkBox>
                    <w:sizeAuto/>
                    <w:default w:val="0"/>
                  </w:checkBox>
                </w:ffData>
              </w:fldChar>
            </w:r>
            <w:r w:rsidRPr="00F33674">
              <w:rPr>
                <w:rFonts w:ascii="Arial Narrow" w:hAnsi="Arial Narrow" w:cs="Arial"/>
                <w:sz w:val="20"/>
                <w:szCs w:val="20"/>
              </w:rPr>
              <w:instrText xml:space="preserve"> FORMCHECKBOX </w:instrText>
            </w:r>
            <w:r w:rsidR="00233D13">
              <w:rPr>
                <w:rFonts w:ascii="Arial Narrow" w:hAnsi="Arial Narrow" w:cs="Arial"/>
                <w:sz w:val="20"/>
                <w:szCs w:val="20"/>
              </w:rPr>
            </w:r>
            <w:r w:rsidR="00233D13">
              <w:rPr>
                <w:rFonts w:ascii="Arial Narrow" w:hAnsi="Arial Narrow" w:cs="Arial"/>
                <w:sz w:val="20"/>
                <w:szCs w:val="20"/>
              </w:rPr>
              <w:fldChar w:fldCharType="separate"/>
            </w:r>
            <w:r w:rsidRPr="00F33674">
              <w:rPr>
                <w:rFonts w:ascii="Arial Narrow" w:hAnsi="Arial Narrow" w:cs="Arial"/>
                <w:sz w:val="20"/>
                <w:szCs w:val="20"/>
              </w:rPr>
              <w:fldChar w:fldCharType="end"/>
            </w:r>
            <w:r w:rsidRPr="00F33674">
              <w:rPr>
                <w:rFonts w:ascii="Arial Narrow" w:hAnsi="Arial Narrow" w:cs="Arial"/>
                <w:sz w:val="20"/>
                <w:szCs w:val="20"/>
              </w:rPr>
              <w:t>Authority Required – In Writing</w:t>
            </w:r>
          </w:p>
          <w:p w14:paraId="0EB6D681" w14:textId="77777777" w:rsidR="009F3089" w:rsidRPr="00F33674" w:rsidRDefault="009F3089" w:rsidP="00A74C03">
            <w:pPr>
              <w:rPr>
                <w:rFonts w:ascii="Arial Narrow" w:hAnsi="Arial Narrow" w:cs="Arial"/>
                <w:sz w:val="20"/>
                <w:szCs w:val="20"/>
              </w:rPr>
            </w:pPr>
            <w:r w:rsidRPr="00F33674">
              <w:rPr>
                <w:rFonts w:ascii="Arial Narrow" w:hAnsi="Arial Narrow" w:cs="Arial"/>
                <w:sz w:val="20"/>
                <w:szCs w:val="20"/>
              </w:rPr>
              <w:fldChar w:fldCharType="begin">
                <w:ffData>
                  <w:name w:val="Check3"/>
                  <w:enabled/>
                  <w:calcOnExit w:val="0"/>
                  <w:checkBox>
                    <w:sizeAuto/>
                    <w:default w:val="0"/>
                  </w:checkBox>
                </w:ffData>
              </w:fldChar>
            </w:r>
            <w:r w:rsidRPr="00F33674">
              <w:rPr>
                <w:rFonts w:ascii="Arial Narrow" w:hAnsi="Arial Narrow" w:cs="Arial"/>
                <w:sz w:val="20"/>
                <w:szCs w:val="20"/>
              </w:rPr>
              <w:instrText xml:space="preserve"> FORMCHECKBOX </w:instrText>
            </w:r>
            <w:r w:rsidR="00233D13">
              <w:rPr>
                <w:rFonts w:ascii="Arial Narrow" w:hAnsi="Arial Narrow" w:cs="Arial"/>
                <w:sz w:val="20"/>
                <w:szCs w:val="20"/>
              </w:rPr>
            </w:r>
            <w:r w:rsidR="00233D13">
              <w:rPr>
                <w:rFonts w:ascii="Arial Narrow" w:hAnsi="Arial Narrow" w:cs="Arial"/>
                <w:sz w:val="20"/>
                <w:szCs w:val="20"/>
              </w:rPr>
              <w:fldChar w:fldCharType="separate"/>
            </w:r>
            <w:r w:rsidRPr="00F33674">
              <w:rPr>
                <w:rFonts w:ascii="Arial Narrow" w:hAnsi="Arial Narrow" w:cs="Arial"/>
                <w:sz w:val="20"/>
                <w:szCs w:val="20"/>
              </w:rPr>
              <w:fldChar w:fldCharType="end"/>
            </w:r>
            <w:r w:rsidRPr="00F33674">
              <w:rPr>
                <w:rFonts w:ascii="Arial Narrow" w:hAnsi="Arial Narrow" w:cs="Arial"/>
                <w:sz w:val="20"/>
                <w:szCs w:val="20"/>
              </w:rPr>
              <w:t>Authority Required – Telephone/Electronic/Emergency</w:t>
            </w:r>
          </w:p>
          <w:p w14:paraId="174FBA21" w14:textId="77777777" w:rsidR="009F3089" w:rsidRPr="00F33674" w:rsidRDefault="009F3089" w:rsidP="00A74C03">
            <w:pPr>
              <w:rPr>
                <w:rFonts w:ascii="Arial Narrow" w:hAnsi="Arial Narrow" w:cs="Arial"/>
                <w:sz w:val="20"/>
                <w:szCs w:val="20"/>
              </w:rPr>
            </w:pPr>
            <w:r w:rsidRPr="00F33674">
              <w:rPr>
                <w:rFonts w:ascii="Arial Narrow" w:hAnsi="Arial Narrow" w:cs="Arial"/>
                <w:sz w:val="20"/>
                <w:szCs w:val="20"/>
              </w:rPr>
              <w:fldChar w:fldCharType="begin">
                <w:ffData>
                  <w:name w:val="Check5"/>
                  <w:enabled/>
                  <w:calcOnExit w:val="0"/>
                  <w:checkBox>
                    <w:sizeAuto/>
                    <w:default w:val="0"/>
                  </w:checkBox>
                </w:ffData>
              </w:fldChar>
            </w:r>
            <w:r w:rsidRPr="00F33674">
              <w:rPr>
                <w:rFonts w:ascii="Arial Narrow" w:hAnsi="Arial Narrow" w:cs="Arial"/>
                <w:sz w:val="20"/>
                <w:szCs w:val="20"/>
              </w:rPr>
              <w:instrText xml:space="preserve"> FORMCHECKBOX </w:instrText>
            </w:r>
            <w:r w:rsidR="00233D13">
              <w:rPr>
                <w:rFonts w:ascii="Arial Narrow" w:hAnsi="Arial Narrow" w:cs="Arial"/>
                <w:sz w:val="20"/>
                <w:szCs w:val="20"/>
              </w:rPr>
            </w:r>
            <w:r w:rsidR="00233D13">
              <w:rPr>
                <w:rFonts w:ascii="Arial Narrow" w:hAnsi="Arial Narrow" w:cs="Arial"/>
                <w:sz w:val="20"/>
                <w:szCs w:val="20"/>
              </w:rPr>
              <w:fldChar w:fldCharType="separate"/>
            </w:r>
            <w:r w:rsidRPr="00F33674">
              <w:rPr>
                <w:rFonts w:ascii="Arial Narrow" w:hAnsi="Arial Narrow" w:cs="Arial"/>
                <w:sz w:val="20"/>
                <w:szCs w:val="20"/>
              </w:rPr>
              <w:fldChar w:fldCharType="end"/>
            </w:r>
            <w:r w:rsidRPr="00F33674">
              <w:rPr>
                <w:rFonts w:ascii="Arial Narrow" w:hAnsi="Arial Narrow" w:cs="Arial"/>
                <w:sz w:val="20"/>
                <w:szCs w:val="20"/>
              </w:rPr>
              <w:t>Streamlined</w:t>
            </w:r>
          </w:p>
        </w:tc>
      </w:tr>
      <w:tr w:rsidR="009F3089" w:rsidRPr="00F33674" w14:paraId="27391BA8" w14:textId="77777777" w:rsidTr="00A74C03">
        <w:trPr>
          <w:cantSplit/>
          <w:trHeight w:val="360"/>
        </w:trPr>
        <w:tc>
          <w:tcPr>
            <w:tcW w:w="2835" w:type="dxa"/>
            <w:tcBorders>
              <w:top w:val="single" w:sz="4" w:space="0" w:color="auto"/>
              <w:left w:val="single" w:sz="4" w:space="0" w:color="auto"/>
              <w:bottom w:val="single" w:sz="4" w:space="0" w:color="auto"/>
              <w:right w:val="single" w:sz="4" w:space="0" w:color="auto"/>
            </w:tcBorders>
          </w:tcPr>
          <w:p w14:paraId="7FF91600" w14:textId="77777777" w:rsidR="009F3089" w:rsidRPr="00F33674" w:rsidRDefault="009F3089" w:rsidP="00A74C03">
            <w:pPr>
              <w:rPr>
                <w:rFonts w:ascii="Arial Narrow" w:hAnsi="Arial Narrow" w:cs="Arial"/>
                <w:b/>
                <w:sz w:val="20"/>
                <w:szCs w:val="20"/>
              </w:rPr>
            </w:pPr>
            <w:r>
              <w:rPr>
                <w:rFonts w:ascii="Arial Narrow" w:hAnsi="Arial Narrow" w:cs="Arial"/>
                <w:b/>
                <w:sz w:val="20"/>
                <w:szCs w:val="20"/>
              </w:rPr>
              <w:t>Treatment phase:</w:t>
            </w:r>
          </w:p>
        </w:tc>
        <w:tc>
          <w:tcPr>
            <w:tcW w:w="6379" w:type="dxa"/>
            <w:tcBorders>
              <w:top w:val="single" w:sz="4" w:space="0" w:color="auto"/>
              <w:left w:val="single" w:sz="4" w:space="0" w:color="auto"/>
              <w:bottom w:val="single" w:sz="4" w:space="0" w:color="auto"/>
              <w:right w:val="single" w:sz="4" w:space="0" w:color="auto"/>
            </w:tcBorders>
          </w:tcPr>
          <w:p w14:paraId="11CE0240" w14:textId="519500AB" w:rsidR="009F3089" w:rsidRPr="00F33674" w:rsidRDefault="009F3089" w:rsidP="00A74C03">
            <w:pPr>
              <w:jc w:val="left"/>
              <w:rPr>
                <w:rFonts w:ascii="Arial Narrow" w:hAnsi="Arial Narrow" w:cs="Arial"/>
                <w:sz w:val="20"/>
                <w:szCs w:val="20"/>
              </w:rPr>
            </w:pPr>
            <w:r>
              <w:rPr>
                <w:rFonts w:ascii="Arial Narrow" w:hAnsi="Arial Narrow" w:cs="Arial"/>
                <w:sz w:val="20"/>
                <w:szCs w:val="20"/>
              </w:rPr>
              <w:t>Continuing PBS treatment after 1 June 2020</w:t>
            </w:r>
          </w:p>
        </w:tc>
      </w:tr>
      <w:tr w:rsidR="009F3089" w:rsidRPr="00F33674" w14:paraId="09CFA923" w14:textId="77777777" w:rsidTr="00A74C03">
        <w:trPr>
          <w:cantSplit/>
          <w:trHeight w:val="360"/>
        </w:trPr>
        <w:tc>
          <w:tcPr>
            <w:tcW w:w="2835" w:type="dxa"/>
            <w:tcBorders>
              <w:top w:val="single" w:sz="4" w:space="0" w:color="auto"/>
              <w:left w:val="single" w:sz="4" w:space="0" w:color="auto"/>
              <w:bottom w:val="single" w:sz="4" w:space="0" w:color="auto"/>
              <w:right w:val="single" w:sz="4" w:space="0" w:color="auto"/>
            </w:tcBorders>
          </w:tcPr>
          <w:p w14:paraId="54E6BDAB" w14:textId="77777777" w:rsidR="009F3089" w:rsidRPr="00F33674" w:rsidRDefault="009F3089" w:rsidP="00A74C03">
            <w:pPr>
              <w:rPr>
                <w:rFonts w:ascii="Arial Narrow" w:hAnsi="Arial Narrow" w:cs="Arial"/>
                <w:b/>
                <w:sz w:val="20"/>
                <w:szCs w:val="20"/>
              </w:rPr>
            </w:pPr>
            <w:r w:rsidRPr="00F33674">
              <w:rPr>
                <w:rFonts w:ascii="Arial Narrow" w:hAnsi="Arial Narrow" w:cs="Arial"/>
                <w:b/>
                <w:sz w:val="20"/>
                <w:szCs w:val="20"/>
              </w:rPr>
              <w:t>Clinical criteria:</w:t>
            </w:r>
          </w:p>
        </w:tc>
        <w:tc>
          <w:tcPr>
            <w:tcW w:w="6379" w:type="dxa"/>
            <w:tcBorders>
              <w:top w:val="single" w:sz="4" w:space="0" w:color="auto"/>
              <w:left w:val="single" w:sz="4" w:space="0" w:color="auto"/>
              <w:bottom w:val="single" w:sz="4" w:space="0" w:color="auto"/>
              <w:right w:val="single" w:sz="4" w:space="0" w:color="auto"/>
            </w:tcBorders>
          </w:tcPr>
          <w:p w14:paraId="1FAB4DAD" w14:textId="2306A523" w:rsidR="009F3089" w:rsidRPr="00F33674" w:rsidRDefault="009F3089">
            <w:pPr>
              <w:jc w:val="left"/>
              <w:rPr>
                <w:rFonts w:ascii="Arial Narrow" w:hAnsi="Arial Narrow" w:cs="Arial"/>
                <w:color w:val="FF0000"/>
                <w:sz w:val="20"/>
                <w:szCs w:val="20"/>
              </w:rPr>
            </w:pPr>
            <w:r>
              <w:rPr>
                <w:rFonts w:ascii="Arial Narrow" w:hAnsi="Arial Narrow" w:cs="Arial"/>
                <w:sz w:val="20"/>
                <w:szCs w:val="20"/>
              </w:rPr>
              <w:t xml:space="preserve">[new] </w:t>
            </w:r>
            <w:r w:rsidRPr="009F3089">
              <w:rPr>
                <w:rFonts w:ascii="Arial Narrow" w:hAnsi="Arial Narrow" w:cs="Arial"/>
                <w:sz w:val="20"/>
                <w:szCs w:val="20"/>
              </w:rPr>
              <w:t>Patient must have previously received PBS-subsidised treatment with this form of this drug for this condition after 1 June 2020</w:t>
            </w:r>
            <w:r>
              <w:rPr>
                <w:rFonts w:ascii="Arial Narrow" w:hAnsi="Arial Narrow" w:cs="Arial"/>
                <w:sz w:val="20"/>
                <w:szCs w:val="20"/>
              </w:rPr>
              <w:t>.</w:t>
            </w:r>
          </w:p>
        </w:tc>
      </w:tr>
      <w:tr w:rsidR="009F3089" w:rsidRPr="00F33674" w14:paraId="118F9740" w14:textId="77777777" w:rsidTr="00A74C03">
        <w:trPr>
          <w:cantSplit/>
          <w:trHeight w:val="360"/>
        </w:trPr>
        <w:tc>
          <w:tcPr>
            <w:tcW w:w="2835" w:type="dxa"/>
            <w:tcBorders>
              <w:top w:val="single" w:sz="4" w:space="0" w:color="auto"/>
              <w:left w:val="single" w:sz="4" w:space="0" w:color="auto"/>
              <w:bottom w:val="single" w:sz="4" w:space="0" w:color="auto"/>
              <w:right w:val="single" w:sz="4" w:space="0" w:color="auto"/>
            </w:tcBorders>
          </w:tcPr>
          <w:p w14:paraId="7E985B88" w14:textId="77777777" w:rsidR="009F3089" w:rsidRPr="00F33674" w:rsidRDefault="009F3089" w:rsidP="00A74C03">
            <w:pPr>
              <w:rPr>
                <w:rFonts w:ascii="Arial Narrow" w:hAnsi="Arial Narrow" w:cs="Arial"/>
                <w:b/>
                <w:sz w:val="20"/>
                <w:szCs w:val="20"/>
              </w:rPr>
            </w:pPr>
            <w:r w:rsidRPr="00F33674">
              <w:rPr>
                <w:rFonts w:ascii="Arial Narrow" w:hAnsi="Arial Narrow" w:cs="Arial"/>
                <w:b/>
                <w:sz w:val="20"/>
                <w:szCs w:val="20"/>
              </w:rPr>
              <w:t>Prescriber instructions:</w:t>
            </w:r>
          </w:p>
        </w:tc>
        <w:tc>
          <w:tcPr>
            <w:tcW w:w="6379" w:type="dxa"/>
            <w:tcBorders>
              <w:top w:val="single" w:sz="4" w:space="0" w:color="auto"/>
              <w:left w:val="single" w:sz="4" w:space="0" w:color="auto"/>
              <w:bottom w:val="single" w:sz="4" w:space="0" w:color="auto"/>
              <w:right w:val="single" w:sz="4" w:space="0" w:color="auto"/>
            </w:tcBorders>
          </w:tcPr>
          <w:p w14:paraId="6F4F672E" w14:textId="77777777" w:rsidR="009F3089" w:rsidRPr="009F3089" w:rsidRDefault="009F3089" w:rsidP="009F3089">
            <w:pPr>
              <w:jc w:val="left"/>
              <w:rPr>
                <w:rFonts w:ascii="Arial Narrow" w:hAnsi="Arial Narrow" w:cs="Arial"/>
                <w:sz w:val="20"/>
                <w:szCs w:val="20"/>
              </w:rPr>
            </w:pPr>
            <w:r w:rsidRPr="00F33674">
              <w:rPr>
                <w:rFonts w:ascii="Arial Narrow" w:hAnsi="Arial Narrow" w:cs="Arial"/>
                <w:sz w:val="20"/>
                <w:szCs w:val="20"/>
              </w:rPr>
              <w:t xml:space="preserve">[new] </w:t>
            </w:r>
            <w:r w:rsidRPr="009F3089">
              <w:rPr>
                <w:rFonts w:ascii="Arial Narrow" w:hAnsi="Arial Narrow" w:cs="Arial"/>
                <w:sz w:val="20"/>
                <w:szCs w:val="20"/>
              </w:rPr>
              <w:t>Authorities for increased maximum quantities and/or repeats must only be considered where the patient has received initial authority approval for:</w:t>
            </w:r>
          </w:p>
          <w:p w14:paraId="543635EA" w14:textId="77777777" w:rsidR="009F3089" w:rsidRPr="009F3089" w:rsidRDefault="009F3089" w:rsidP="009F3089">
            <w:pPr>
              <w:jc w:val="left"/>
              <w:rPr>
                <w:rFonts w:ascii="Arial Narrow" w:hAnsi="Arial Narrow" w:cs="Arial"/>
                <w:sz w:val="20"/>
                <w:szCs w:val="20"/>
              </w:rPr>
            </w:pPr>
            <w:r w:rsidRPr="009F3089">
              <w:rPr>
                <w:rFonts w:ascii="Arial Narrow" w:hAnsi="Arial Narrow" w:cs="Arial"/>
                <w:sz w:val="20"/>
                <w:szCs w:val="20"/>
              </w:rPr>
              <w:t>(i) severe disabling pain associated with malignant neoplasia; or</w:t>
            </w:r>
          </w:p>
          <w:p w14:paraId="3EBF228E" w14:textId="77777777" w:rsidR="009F3089" w:rsidRPr="009F3089" w:rsidRDefault="009F3089" w:rsidP="009F3089">
            <w:pPr>
              <w:jc w:val="left"/>
              <w:rPr>
                <w:rFonts w:ascii="Arial Narrow" w:hAnsi="Arial Narrow" w:cs="Arial"/>
                <w:sz w:val="20"/>
                <w:szCs w:val="20"/>
              </w:rPr>
            </w:pPr>
            <w:r w:rsidRPr="009F3089">
              <w:rPr>
                <w:rFonts w:ascii="Arial Narrow" w:hAnsi="Arial Narrow" w:cs="Arial"/>
                <w:sz w:val="20"/>
                <w:szCs w:val="20"/>
              </w:rPr>
              <w:t>(ii) chronic severe disabling pain where the total duration of non-PBS and PBS opioid analgesic treatment is less than 12 months; or</w:t>
            </w:r>
          </w:p>
          <w:p w14:paraId="459D858A" w14:textId="77777777" w:rsidR="009F3089" w:rsidRPr="009F3089" w:rsidRDefault="009F3089" w:rsidP="009F3089">
            <w:pPr>
              <w:jc w:val="left"/>
              <w:rPr>
                <w:rFonts w:ascii="Arial Narrow" w:hAnsi="Arial Narrow" w:cs="Arial"/>
                <w:sz w:val="20"/>
                <w:szCs w:val="20"/>
              </w:rPr>
            </w:pPr>
            <w:r w:rsidRPr="009F3089">
              <w:rPr>
                <w:rFonts w:ascii="Arial Narrow" w:hAnsi="Arial Narrow" w:cs="Arial"/>
                <w:sz w:val="20"/>
                <w:szCs w:val="20"/>
              </w:rPr>
              <w:t>(iii) palliative care patients with chronic severe disabling pain where the total duration of non-PBS and PBS opioid analgesic treatment exceeds 12 months and the patient is unable to have annual pain management review due to their clinical condition; or</w:t>
            </w:r>
          </w:p>
          <w:p w14:paraId="4718E4CF" w14:textId="77777777" w:rsidR="009F3089" w:rsidRPr="009F3089" w:rsidRDefault="009F3089" w:rsidP="009F3089">
            <w:pPr>
              <w:jc w:val="left"/>
              <w:rPr>
                <w:rFonts w:ascii="Arial Narrow" w:hAnsi="Arial Narrow" w:cs="Arial"/>
                <w:sz w:val="20"/>
                <w:szCs w:val="20"/>
              </w:rPr>
            </w:pPr>
            <w:r w:rsidRPr="009F3089">
              <w:rPr>
                <w:rFonts w:ascii="Arial Narrow" w:hAnsi="Arial Narrow" w:cs="Arial"/>
                <w:sz w:val="20"/>
                <w:szCs w:val="20"/>
              </w:rPr>
              <w:t>(iv) chronic severe disabling pain where the total duration of non-PBS and PBS opioid analgesic treatment exceeds 12 months and the patient's clinical need for continuing opioid treatment has been confirmed through consultation with the patient by another medical practitioner or a palliative care nurse practitioner in the past 12 months; or</w:t>
            </w:r>
          </w:p>
          <w:p w14:paraId="0BE5D1F2" w14:textId="210EC5B3" w:rsidR="009F3089" w:rsidRDefault="009F3089" w:rsidP="009F3089">
            <w:pPr>
              <w:jc w:val="left"/>
              <w:rPr>
                <w:rFonts w:ascii="Arial Narrow" w:hAnsi="Arial Narrow" w:cs="Arial"/>
                <w:sz w:val="20"/>
                <w:szCs w:val="20"/>
              </w:rPr>
            </w:pPr>
            <w:proofErr w:type="gramStart"/>
            <w:r w:rsidRPr="009F3089">
              <w:rPr>
                <w:rFonts w:ascii="Arial Narrow" w:hAnsi="Arial Narrow" w:cs="Arial"/>
                <w:sz w:val="20"/>
                <w:szCs w:val="20"/>
              </w:rPr>
              <w:t>(v) chronic severe disabling pain where the total duration of non-PBS and PBS opioid analgesic treatment has exceeded 12 months prior to 1 June 2020 and the patient's clinical need for continuing opioid treatment has not been confirmed through consultation with the patient by another medical practitioner or a palliative care nurse practitioner in the past 12 months, but is planned in the next 3 months.</w:t>
            </w:r>
            <w:proofErr w:type="gramEnd"/>
          </w:p>
          <w:p w14:paraId="0AB3E4FE" w14:textId="77777777" w:rsidR="009F3089" w:rsidRDefault="009F3089" w:rsidP="00A74C03">
            <w:pPr>
              <w:jc w:val="left"/>
              <w:rPr>
                <w:rFonts w:ascii="Arial Narrow" w:hAnsi="Arial Narrow" w:cs="Arial"/>
                <w:sz w:val="20"/>
                <w:szCs w:val="20"/>
              </w:rPr>
            </w:pPr>
          </w:p>
          <w:p w14:paraId="3264A0F7" w14:textId="77777777" w:rsidR="009F3089" w:rsidRPr="00F33674" w:rsidRDefault="009F3089" w:rsidP="00A74C03">
            <w:pPr>
              <w:jc w:val="left"/>
              <w:rPr>
                <w:rFonts w:ascii="Arial Narrow" w:hAnsi="Arial Narrow" w:cs="Arial"/>
                <w:sz w:val="20"/>
                <w:szCs w:val="20"/>
              </w:rPr>
            </w:pPr>
            <w:r>
              <w:rPr>
                <w:rFonts w:ascii="Arial Narrow" w:hAnsi="Arial Narrow" w:cs="Arial"/>
                <w:sz w:val="20"/>
                <w:szCs w:val="20"/>
              </w:rPr>
              <w:t xml:space="preserve">[new] </w:t>
            </w:r>
            <w:r w:rsidRPr="009F3089">
              <w:rPr>
                <w:rFonts w:ascii="Arial Narrow" w:hAnsi="Arial Narrow" w:cs="Arial"/>
                <w:sz w:val="20"/>
                <w:szCs w:val="20"/>
              </w:rPr>
              <w:t>Palliative care nurses may conduct annual review under this item for the treatment of palliative care patients only.</w:t>
            </w:r>
          </w:p>
          <w:p w14:paraId="59800283" w14:textId="77777777" w:rsidR="009F3089" w:rsidRPr="00F33674" w:rsidRDefault="009F3089" w:rsidP="00A74C03">
            <w:pPr>
              <w:jc w:val="left"/>
              <w:rPr>
                <w:rFonts w:ascii="Arial Narrow" w:hAnsi="Arial Narrow" w:cs="Arial"/>
                <w:sz w:val="20"/>
                <w:szCs w:val="20"/>
              </w:rPr>
            </w:pPr>
          </w:p>
          <w:p w14:paraId="1EED532E" w14:textId="77777777" w:rsidR="009F3089" w:rsidRPr="00F33674" w:rsidRDefault="009F3089" w:rsidP="00A74C03">
            <w:pPr>
              <w:jc w:val="left"/>
              <w:rPr>
                <w:rFonts w:ascii="Arial Narrow" w:hAnsi="Arial Narrow" w:cs="Arial"/>
                <w:sz w:val="20"/>
                <w:szCs w:val="20"/>
              </w:rPr>
            </w:pPr>
            <w:r w:rsidRPr="00F33674">
              <w:rPr>
                <w:rFonts w:ascii="Arial Narrow" w:hAnsi="Arial Narrow" w:cs="Arial"/>
                <w:sz w:val="20"/>
                <w:szCs w:val="20"/>
              </w:rPr>
              <w:t>[new] Authority requests extending treatment duration up to 1 month may be requested though the Online PBS Authorities system or by calling Services Australia.</w:t>
            </w:r>
          </w:p>
          <w:p w14:paraId="119CBB4B" w14:textId="77777777" w:rsidR="009F3089" w:rsidRPr="00F33674" w:rsidRDefault="009F3089" w:rsidP="00A74C03">
            <w:pPr>
              <w:jc w:val="left"/>
              <w:rPr>
                <w:rFonts w:ascii="Arial Narrow" w:hAnsi="Arial Narrow" w:cs="Arial"/>
                <w:sz w:val="20"/>
                <w:szCs w:val="20"/>
              </w:rPr>
            </w:pPr>
          </w:p>
          <w:p w14:paraId="44C9ECD6" w14:textId="77777777" w:rsidR="009F3089" w:rsidRPr="00F33674" w:rsidRDefault="009F3089" w:rsidP="00A74C03">
            <w:pPr>
              <w:jc w:val="left"/>
              <w:rPr>
                <w:rFonts w:ascii="Arial Narrow" w:hAnsi="Arial Narrow" w:cs="Arial"/>
                <w:sz w:val="20"/>
                <w:szCs w:val="20"/>
              </w:rPr>
            </w:pPr>
            <w:r w:rsidRPr="00F33674">
              <w:rPr>
                <w:rFonts w:ascii="Arial Narrow" w:hAnsi="Arial Narrow" w:cs="Arial"/>
                <w:sz w:val="20"/>
                <w:szCs w:val="20"/>
              </w:rPr>
              <w:t xml:space="preserve">Authority requests extending treatment duration beyond 1 month </w:t>
            </w:r>
            <w:r w:rsidRPr="00710D93">
              <w:rPr>
                <w:rFonts w:ascii="Arial Narrow" w:hAnsi="Arial Narrow" w:cs="Arial"/>
                <w:sz w:val="20"/>
                <w:szCs w:val="20"/>
              </w:rPr>
              <w:t>may be requested through the Online PBS Authorities system</w:t>
            </w:r>
            <w:r w:rsidRPr="00F33674">
              <w:rPr>
                <w:rFonts w:ascii="Arial Narrow" w:hAnsi="Arial Narrow" w:cs="Arial"/>
                <w:sz w:val="20"/>
                <w:szCs w:val="20"/>
              </w:rPr>
              <w:t xml:space="preserve"> or in writing only and must not provide a treatment duration exceeding 3 months</w:t>
            </w:r>
            <w:r>
              <w:rPr>
                <w:rFonts w:ascii="Arial Narrow" w:hAnsi="Arial Narrow" w:cs="Arial"/>
                <w:sz w:val="20"/>
                <w:szCs w:val="20"/>
              </w:rPr>
              <w:t xml:space="preserve"> </w:t>
            </w:r>
            <w:r w:rsidRPr="00710D93">
              <w:rPr>
                <w:rFonts w:ascii="Arial Narrow" w:hAnsi="Arial Narrow" w:cs="Arial"/>
                <w:sz w:val="20"/>
                <w:szCs w:val="20"/>
              </w:rPr>
              <w:t xml:space="preserve">(quantity sufficient for up to </w:t>
            </w:r>
            <w:proofErr w:type="gramStart"/>
            <w:r w:rsidRPr="00710D93">
              <w:rPr>
                <w:rFonts w:ascii="Arial Narrow" w:hAnsi="Arial Narrow" w:cs="Arial"/>
                <w:sz w:val="20"/>
                <w:szCs w:val="20"/>
              </w:rPr>
              <w:t>1 month</w:t>
            </w:r>
            <w:proofErr w:type="gramEnd"/>
            <w:r w:rsidRPr="00710D93">
              <w:rPr>
                <w:rFonts w:ascii="Arial Narrow" w:hAnsi="Arial Narrow" w:cs="Arial"/>
                <w:sz w:val="20"/>
                <w:szCs w:val="20"/>
              </w:rPr>
              <w:t xml:space="preserve"> treatment and sufficient repeats)</w:t>
            </w:r>
            <w:r w:rsidRPr="00F33674">
              <w:rPr>
                <w:rFonts w:ascii="Arial Narrow" w:hAnsi="Arial Narrow" w:cs="Arial"/>
                <w:sz w:val="20"/>
                <w:szCs w:val="20"/>
              </w:rPr>
              <w:t>.</w:t>
            </w:r>
          </w:p>
        </w:tc>
      </w:tr>
      <w:tr w:rsidR="009F3089" w:rsidRPr="00F33674" w14:paraId="19CB8503" w14:textId="77777777" w:rsidTr="00A74C03">
        <w:trPr>
          <w:cantSplit/>
          <w:trHeight w:val="360"/>
        </w:trPr>
        <w:tc>
          <w:tcPr>
            <w:tcW w:w="2835" w:type="dxa"/>
            <w:tcBorders>
              <w:top w:val="single" w:sz="4" w:space="0" w:color="auto"/>
              <w:left w:val="single" w:sz="4" w:space="0" w:color="auto"/>
              <w:bottom w:val="single" w:sz="4" w:space="0" w:color="auto"/>
              <w:right w:val="single" w:sz="4" w:space="0" w:color="auto"/>
            </w:tcBorders>
          </w:tcPr>
          <w:p w14:paraId="4CAA2CFE" w14:textId="77777777" w:rsidR="009F3089" w:rsidRPr="00F33674" w:rsidRDefault="009F3089" w:rsidP="00A74C03">
            <w:pPr>
              <w:rPr>
                <w:rFonts w:ascii="Arial Narrow" w:hAnsi="Arial Narrow" w:cs="Arial"/>
                <w:b/>
                <w:sz w:val="20"/>
                <w:szCs w:val="20"/>
              </w:rPr>
            </w:pPr>
            <w:r w:rsidRPr="00F33674">
              <w:rPr>
                <w:rFonts w:ascii="Arial Narrow" w:hAnsi="Arial Narrow" w:cs="Arial"/>
                <w:b/>
                <w:sz w:val="20"/>
                <w:szCs w:val="20"/>
              </w:rPr>
              <w:t>Administrative advice:</w:t>
            </w:r>
          </w:p>
        </w:tc>
        <w:tc>
          <w:tcPr>
            <w:tcW w:w="6379" w:type="dxa"/>
            <w:tcBorders>
              <w:top w:val="single" w:sz="4" w:space="0" w:color="auto"/>
              <w:left w:val="single" w:sz="4" w:space="0" w:color="auto"/>
              <w:bottom w:val="single" w:sz="4" w:space="0" w:color="auto"/>
              <w:right w:val="single" w:sz="4" w:space="0" w:color="auto"/>
            </w:tcBorders>
          </w:tcPr>
          <w:p w14:paraId="378CF5B3" w14:textId="77777777" w:rsidR="009F3089" w:rsidRPr="00F33674" w:rsidRDefault="009F3089" w:rsidP="00A74C03">
            <w:pPr>
              <w:jc w:val="left"/>
              <w:rPr>
                <w:rFonts w:ascii="Arial Narrow" w:hAnsi="Arial Narrow"/>
                <w:sz w:val="20"/>
                <w:szCs w:val="20"/>
              </w:rPr>
            </w:pPr>
            <w:r w:rsidRPr="00F33674">
              <w:rPr>
                <w:rFonts w:ascii="Arial Narrow" w:hAnsi="Arial Narrow"/>
                <w:sz w:val="20"/>
                <w:szCs w:val="20"/>
              </w:rPr>
              <w:t>[new] Consider consultation with a multidisciplinary pain service prior to, or after commencement of this medication.</w:t>
            </w:r>
          </w:p>
          <w:p w14:paraId="35BA9D4F" w14:textId="77777777" w:rsidR="009F3089" w:rsidRPr="00F33674" w:rsidRDefault="009F3089" w:rsidP="00A74C03">
            <w:pPr>
              <w:jc w:val="left"/>
              <w:rPr>
                <w:rFonts w:ascii="Arial Narrow" w:hAnsi="Arial Narrow" w:cs="Arial"/>
                <w:sz w:val="20"/>
                <w:szCs w:val="20"/>
              </w:rPr>
            </w:pPr>
          </w:p>
          <w:p w14:paraId="5331ABE7" w14:textId="77777777" w:rsidR="009F3089" w:rsidRPr="00F33674" w:rsidRDefault="009F3089" w:rsidP="00A74C03">
            <w:pPr>
              <w:jc w:val="left"/>
              <w:rPr>
                <w:rFonts w:ascii="Arial Narrow" w:hAnsi="Arial Narrow" w:cs="Arial"/>
                <w:sz w:val="20"/>
                <w:szCs w:val="20"/>
              </w:rPr>
            </w:pPr>
            <w:r w:rsidRPr="00F33674">
              <w:rPr>
                <w:rFonts w:ascii="Arial Narrow" w:hAnsi="Arial Narrow" w:cs="Arial"/>
                <w:sz w:val="20"/>
                <w:szCs w:val="20"/>
              </w:rPr>
              <w:t>[new] Real time online applications for increased maximum quantities/repeats may be made using the Online PBS Authorities system (see www.servicesaustralia.gov.au/organisations/health-professionals/services/medicare/hpos/services/request-authority-using-online-pbs-authorities-hpos)</w:t>
            </w:r>
          </w:p>
          <w:p w14:paraId="339C8C58" w14:textId="77777777" w:rsidR="009F3089" w:rsidRPr="00F33674" w:rsidRDefault="009F3089" w:rsidP="00A74C03">
            <w:pPr>
              <w:jc w:val="left"/>
              <w:rPr>
                <w:rFonts w:ascii="Arial Narrow" w:hAnsi="Arial Narrow" w:cs="Arial"/>
                <w:sz w:val="20"/>
                <w:szCs w:val="20"/>
              </w:rPr>
            </w:pPr>
          </w:p>
          <w:p w14:paraId="17C0D421" w14:textId="77777777" w:rsidR="009F3089" w:rsidRPr="00F33674" w:rsidRDefault="009F3089" w:rsidP="00A74C03">
            <w:pPr>
              <w:jc w:val="left"/>
              <w:rPr>
                <w:rFonts w:ascii="Arial Narrow" w:hAnsi="Arial Narrow" w:cs="Arial"/>
                <w:sz w:val="20"/>
                <w:szCs w:val="20"/>
              </w:rPr>
            </w:pPr>
            <w:r w:rsidRPr="00F33674">
              <w:rPr>
                <w:rFonts w:ascii="Arial Narrow" w:hAnsi="Arial Narrow" w:cs="Arial"/>
                <w:sz w:val="20"/>
                <w:szCs w:val="20"/>
              </w:rPr>
              <w:t>Phone applications for increased maximum quantities/repeats may be made by calling 1800 888 333.</w:t>
            </w:r>
          </w:p>
          <w:p w14:paraId="5B96A664" w14:textId="77777777" w:rsidR="009F3089" w:rsidRPr="00F33674" w:rsidRDefault="009F3089" w:rsidP="00A74C03">
            <w:pPr>
              <w:jc w:val="left"/>
              <w:rPr>
                <w:rFonts w:ascii="Arial Narrow" w:hAnsi="Arial Narrow" w:cs="Arial"/>
                <w:sz w:val="20"/>
                <w:szCs w:val="20"/>
              </w:rPr>
            </w:pPr>
          </w:p>
          <w:p w14:paraId="3D7A3135" w14:textId="77777777" w:rsidR="009F3089" w:rsidRPr="00F33674" w:rsidRDefault="009F3089" w:rsidP="00A74C03">
            <w:pPr>
              <w:jc w:val="left"/>
              <w:rPr>
                <w:rFonts w:ascii="Arial Narrow" w:hAnsi="Arial Narrow" w:cs="Arial"/>
                <w:sz w:val="20"/>
                <w:szCs w:val="20"/>
              </w:rPr>
            </w:pPr>
            <w:r w:rsidRPr="00F33674">
              <w:rPr>
                <w:rFonts w:ascii="Arial Narrow" w:hAnsi="Arial Narrow" w:cs="Arial"/>
                <w:sz w:val="20"/>
                <w:szCs w:val="20"/>
              </w:rPr>
              <w:t>Written authority applications for increased maximum quantities/repeats can be uploaded online through HPOS form upload or mailed to:</w:t>
            </w:r>
          </w:p>
          <w:p w14:paraId="13BE80CB" w14:textId="77777777" w:rsidR="009F3089" w:rsidRPr="00F33674" w:rsidRDefault="009F3089" w:rsidP="00A74C03">
            <w:pPr>
              <w:jc w:val="left"/>
              <w:rPr>
                <w:rFonts w:ascii="Arial Narrow" w:hAnsi="Arial Narrow" w:cs="Arial"/>
                <w:sz w:val="20"/>
                <w:szCs w:val="20"/>
              </w:rPr>
            </w:pPr>
            <w:r w:rsidRPr="00F33674">
              <w:rPr>
                <w:rFonts w:ascii="Arial Narrow" w:hAnsi="Arial Narrow" w:cs="Arial"/>
                <w:sz w:val="20"/>
                <w:szCs w:val="20"/>
              </w:rPr>
              <w:t>Pharmaceutical Benefits Scheme</w:t>
            </w:r>
          </w:p>
          <w:p w14:paraId="0E5FAA9D" w14:textId="77777777" w:rsidR="009F3089" w:rsidRPr="00F33674" w:rsidRDefault="009F3089" w:rsidP="00A74C03">
            <w:pPr>
              <w:jc w:val="left"/>
              <w:rPr>
                <w:rFonts w:ascii="Arial Narrow" w:hAnsi="Arial Narrow" w:cs="Arial"/>
                <w:sz w:val="20"/>
                <w:szCs w:val="20"/>
              </w:rPr>
            </w:pPr>
            <w:r w:rsidRPr="00F33674">
              <w:rPr>
                <w:rFonts w:ascii="Arial Narrow" w:hAnsi="Arial Narrow" w:cs="Arial"/>
                <w:sz w:val="20"/>
                <w:szCs w:val="20"/>
              </w:rPr>
              <w:t>Reply Paid 9857</w:t>
            </w:r>
          </w:p>
          <w:p w14:paraId="07210BBA" w14:textId="77777777" w:rsidR="009F3089" w:rsidRPr="00F33674" w:rsidRDefault="009F3089" w:rsidP="00A74C03">
            <w:pPr>
              <w:jc w:val="left"/>
              <w:rPr>
                <w:rFonts w:ascii="Arial Narrow" w:hAnsi="Arial Narrow" w:cs="Arial"/>
                <w:sz w:val="20"/>
                <w:szCs w:val="20"/>
              </w:rPr>
            </w:pPr>
            <w:r w:rsidRPr="00F33674">
              <w:rPr>
                <w:rFonts w:ascii="Arial Narrow" w:hAnsi="Arial Narrow" w:cs="Arial"/>
                <w:sz w:val="20"/>
                <w:szCs w:val="20"/>
              </w:rPr>
              <w:t>[Your capital city]</w:t>
            </w:r>
          </w:p>
        </w:tc>
      </w:tr>
      <w:tr w:rsidR="009F3089" w:rsidRPr="00F33674" w14:paraId="1345F28E" w14:textId="77777777" w:rsidTr="00A74C03">
        <w:trPr>
          <w:cantSplit/>
          <w:trHeight w:val="360"/>
        </w:trPr>
        <w:tc>
          <w:tcPr>
            <w:tcW w:w="2835" w:type="dxa"/>
            <w:tcBorders>
              <w:top w:val="single" w:sz="4" w:space="0" w:color="auto"/>
              <w:left w:val="single" w:sz="4" w:space="0" w:color="auto"/>
              <w:bottom w:val="single" w:sz="4" w:space="0" w:color="auto"/>
              <w:right w:val="single" w:sz="4" w:space="0" w:color="auto"/>
            </w:tcBorders>
          </w:tcPr>
          <w:p w14:paraId="2FBA7E89" w14:textId="77777777" w:rsidR="009F3089" w:rsidRPr="00F33674" w:rsidRDefault="009F3089" w:rsidP="00A74C03">
            <w:pPr>
              <w:rPr>
                <w:rFonts w:ascii="Arial Narrow" w:hAnsi="Arial Narrow" w:cs="Arial"/>
                <w:b/>
                <w:sz w:val="20"/>
                <w:szCs w:val="20"/>
              </w:rPr>
            </w:pPr>
            <w:r w:rsidRPr="00F33674">
              <w:rPr>
                <w:rFonts w:ascii="Arial Narrow" w:hAnsi="Arial Narrow" w:cs="Arial"/>
                <w:b/>
                <w:sz w:val="20"/>
                <w:szCs w:val="20"/>
              </w:rPr>
              <w:t>Cautions:</w:t>
            </w:r>
          </w:p>
        </w:tc>
        <w:tc>
          <w:tcPr>
            <w:tcW w:w="6379" w:type="dxa"/>
            <w:tcBorders>
              <w:top w:val="single" w:sz="4" w:space="0" w:color="auto"/>
              <w:left w:val="single" w:sz="4" w:space="0" w:color="auto"/>
              <w:bottom w:val="single" w:sz="4" w:space="0" w:color="auto"/>
              <w:right w:val="single" w:sz="4" w:space="0" w:color="auto"/>
            </w:tcBorders>
          </w:tcPr>
          <w:p w14:paraId="20951B53" w14:textId="77777777" w:rsidR="009F3089" w:rsidRPr="00F33674" w:rsidRDefault="009F3089" w:rsidP="00A74C03">
            <w:pPr>
              <w:jc w:val="left"/>
              <w:rPr>
                <w:rFonts w:ascii="Arial Narrow" w:hAnsi="Arial Narrow" w:cs="Arial"/>
                <w:sz w:val="20"/>
                <w:szCs w:val="20"/>
              </w:rPr>
            </w:pPr>
            <w:r w:rsidRPr="00F33674">
              <w:rPr>
                <w:rFonts w:ascii="Arial Narrow" w:hAnsi="Arial Narrow" w:cs="Arial"/>
                <w:sz w:val="20"/>
                <w:szCs w:val="20"/>
              </w:rPr>
              <w:t>[6986] The risk of drug dependence is high.</w:t>
            </w:r>
          </w:p>
        </w:tc>
      </w:tr>
    </w:tbl>
    <w:p w14:paraId="463783BA" w14:textId="7C330023" w:rsidR="00CB71CC" w:rsidRDefault="00CB71CC">
      <w:pPr>
        <w:jc w:val="left"/>
        <w:rPr>
          <w:rFonts w:asciiTheme="minorHAnsi" w:eastAsiaTheme="minorHAnsi" w:hAnsiTheme="minorHAnsi" w:cstheme="minorBidi"/>
          <w:szCs w:val="22"/>
        </w:rPr>
      </w:pPr>
      <w:r>
        <w:br w:type="page"/>
      </w:r>
    </w:p>
    <w:p w14:paraId="6BE16863" w14:textId="312A7E2E" w:rsidR="00F33674" w:rsidRPr="00F33674" w:rsidRDefault="00F33674" w:rsidP="00F33674">
      <w:pPr>
        <w:pStyle w:val="3-BodyText"/>
      </w:pPr>
      <w:r w:rsidRPr="00F33674">
        <w:lastRenderedPageBreak/>
        <w:t>Amend item:</w:t>
      </w:r>
    </w:p>
    <w:p w14:paraId="416E8FB5" w14:textId="77777777" w:rsidR="00F33674" w:rsidRPr="00F33674" w:rsidRDefault="00F33674" w:rsidP="00F33674">
      <w:pPr>
        <w:keepNext/>
        <w:keepLines/>
        <w:spacing w:before="40"/>
        <w:jc w:val="left"/>
        <w:outlineLvl w:val="2"/>
        <w:rPr>
          <w:rFonts w:asciiTheme="minorHAnsi" w:eastAsiaTheme="majorEastAsia" w:hAnsiTheme="minorHAnsi" w:cstheme="majorBidi"/>
          <w:b/>
          <w:color w:val="000000" w:themeColor="text1"/>
        </w:rPr>
      </w:pPr>
      <w:bookmarkStart w:id="20" w:name="_Toc32300586"/>
      <w:r w:rsidRPr="00F33674">
        <w:rPr>
          <w:rFonts w:asciiTheme="minorHAnsi" w:eastAsiaTheme="majorEastAsia" w:hAnsiTheme="minorHAnsi" w:cstheme="majorBidi"/>
          <w:b/>
          <w:color w:val="000000" w:themeColor="text1"/>
        </w:rPr>
        <w:t xml:space="preserve">Listing 7: Restriction for short-term cancer pain TGA indication in </w:t>
      </w:r>
      <w:proofErr w:type="gramStart"/>
      <w:r w:rsidRPr="00F33674">
        <w:rPr>
          <w:rFonts w:asciiTheme="minorHAnsi" w:eastAsiaTheme="majorEastAsia" w:hAnsiTheme="minorHAnsi" w:cstheme="majorBidi"/>
          <w:b/>
          <w:color w:val="000000" w:themeColor="text1"/>
        </w:rPr>
        <w:t>2</w:t>
      </w:r>
      <w:r w:rsidRPr="00F33674">
        <w:rPr>
          <w:rFonts w:asciiTheme="minorHAnsi" w:eastAsiaTheme="majorEastAsia" w:hAnsiTheme="minorHAnsi" w:cstheme="majorBidi"/>
          <w:b/>
          <w:color w:val="000000" w:themeColor="text1"/>
          <w:vertAlign w:val="superscript"/>
        </w:rPr>
        <w:t>nd</w:t>
      </w:r>
      <w:proofErr w:type="gramEnd"/>
      <w:r w:rsidRPr="00F33674">
        <w:rPr>
          <w:rFonts w:asciiTheme="minorHAnsi" w:eastAsiaTheme="majorEastAsia" w:hAnsiTheme="minorHAnsi" w:cstheme="majorBidi"/>
          <w:b/>
          <w:color w:val="000000" w:themeColor="text1"/>
        </w:rPr>
        <w:t xml:space="preserve"> line opioid setting (Sevredol):</w:t>
      </w:r>
      <w:bookmarkEnd w:id="20"/>
    </w:p>
    <w:p w14:paraId="498BE267" w14:textId="77777777" w:rsidR="00F33674" w:rsidRPr="00F33674" w:rsidRDefault="00F33674" w:rsidP="00F33674">
      <w:pPr>
        <w:ind w:left="360" w:hanging="360"/>
        <w:contextualSpacing/>
        <w:jc w:val="left"/>
      </w:pPr>
    </w:p>
    <w:tbl>
      <w:tblPr>
        <w:tblW w:w="9529" w:type="dxa"/>
        <w:tblLook w:val="04A0" w:firstRow="1" w:lastRow="0" w:firstColumn="1" w:lastColumn="0" w:noHBand="0" w:noVBand="1"/>
      </w:tblPr>
      <w:tblGrid>
        <w:gridCol w:w="1774"/>
        <w:gridCol w:w="915"/>
        <w:gridCol w:w="2693"/>
        <w:gridCol w:w="836"/>
        <w:gridCol w:w="656"/>
        <w:gridCol w:w="1238"/>
        <w:gridCol w:w="1417"/>
      </w:tblGrid>
      <w:tr w:rsidR="00F33674" w:rsidRPr="00F33674" w14:paraId="79750BB7" w14:textId="77777777" w:rsidTr="00F33674">
        <w:trPr>
          <w:trHeight w:val="300"/>
        </w:trPr>
        <w:tc>
          <w:tcPr>
            <w:tcW w:w="1774" w:type="dxa"/>
            <w:tcBorders>
              <w:bottom w:val="single" w:sz="4" w:space="0" w:color="auto"/>
            </w:tcBorders>
            <w:shd w:val="clear" w:color="auto" w:fill="auto"/>
            <w:noWrap/>
            <w:hideMark/>
          </w:tcPr>
          <w:p w14:paraId="1679667B"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LI Drug</w:t>
            </w:r>
          </w:p>
        </w:tc>
        <w:tc>
          <w:tcPr>
            <w:tcW w:w="915" w:type="dxa"/>
            <w:tcBorders>
              <w:bottom w:val="single" w:sz="4" w:space="0" w:color="auto"/>
            </w:tcBorders>
            <w:shd w:val="clear" w:color="auto" w:fill="auto"/>
          </w:tcPr>
          <w:p w14:paraId="4A5D4716"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Item Code</w:t>
            </w:r>
          </w:p>
        </w:tc>
        <w:tc>
          <w:tcPr>
            <w:tcW w:w="2693" w:type="dxa"/>
            <w:tcBorders>
              <w:bottom w:val="single" w:sz="4" w:space="0" w:color="auto"/>
            </w:tcBorders>
            <w:shd w:val="clear" w:color="auto" w:fill="auto"/>
            <w:noWrap/>
            <w:hideMark/>
          </w:tcPr>
          <w:p w14:paraId="777CFEFD"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Legal Instrument Form</w:t>
            </w:r>
          </w:p>
        </w:tc>
        <w:tc>
          <w:tcPr>
            <w:tcW w:w="836" w:type="dxa"/>
            <w:tcBorders>
              <w:bottom w:val="single" w:sz="4" w:space="0" w:color="auto"/>
            </w:tcBorders>
            <w:shd w:val="clear" w:color="auto" w:fill="auto"/>
            <w:noWrap/>
            <w:hideMark/>
          </w:tcPr>
          <w:p w14:paraId="114F349D"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Max. Qty</w:t>
            </w:r>
          </w:p>
        </w:tc>
        <w:tc>
          <w:tcPr>
            <w:tcW w:w="656" w:type="dxa"/>
            <w:tcBorders>
              <w:bottom w:val="single" w:sz="4" w:space="0" w:color="auto"/>
            </w:tcBorders>
            <w:shd w:val="clear" w:color="auto" w:fill="auto"/>
            <w:noWrap/>
            <w:hideMark/>
          </w:tcPr>
          <w:p w14:paraId="26A21286"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No. Rpt</w:t>
            </w:r>
          </w:p>
        </w:tc>
        <w:tc>
          <w:tcPr>
            <w:tcW w:w="1238" w:type="dxa"/>
            <w:tcBorders>
              <w:bottom w:val="single" w:sz="4" w:space="0" w:color="auto"/>
            </w:tcBorders>
            <w:shd w:val="clear" w:color="auto" w:fill="auto"/>
            <w:noWrap/>
            <w:hideMark/>
          </w:tcPr>
          <w:p w14:paraId="32AD6DF4"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Brand Name</w:t>
            </w:r>
          </w:p>
        </w:tc>
        <w:tc>
          <w:tcPr>
            <w:tcW w:w="1417" w:type="dxa"/>
            <w:tcBorders>
              <w:bottom w:val="single" w:sz="4" w:space="0" w:color="auto"/>
            </w:tcBorders>
            <w:shd w:val="clear" w:color="auto" w:fill="auto"/>
            <w:noWrap/>
            <w:hideMark/>
          </w:tcPr>
          <w:p w14:paraId="42600A39"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Responsible Person</w:t>
            </w:r>
          </w:p>
        </w:tc>
      </w:tr>
      <w:tr w:rsidR="00F33674" w:rsidRPr="00F33674" w14:paraId="6582B19D" w14:textId="77777777" w:rsidTr="00F33674">
        <w:trPr>
          <w:trHeight w:val="300"/>
        </w:trPr>
        <w:tc>
          <w:tcPr>
            <w:tcW w:w="1774" w:type="dxa"/>
            <w:tcBorders>
              <w:top w:val="single" w:sz="4" w:space="0" w:color="auto"/>
            </w:tcBorders>
            <w:shd w:val="clear" w:color="auto" w:fill="auto"/>
            <w:noWrap/>
            <w:hideMark/>
          </w:tcPr>
          <w:p w14:paraId="1A4F519C"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MORPHINE</w:t>
            </w:r>
          </w:p>
        </w:tc>
        <w:tc>
          <w:tcPr>
            <w:tcW w:w="915" w:type="dxa"/>
            <w:tcBorders>
              <w:top w:val="single" w:sz="4" w:space="0" w:color="auto"/>
            </w:tcBorders>
            <w:shd w:val="clear" w:color="auto" w:fill="auto"/>
          </w:tcPr>
          <w:p w14:paraId="6FFA9753"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8669G</w:t>
            </w:r>
          </w:p>
        </w:tc>
        <w:tc>
          <w:tcPr>
            <w:tcW w:w="2693" w:type="dxa"/>
            <w:tcBorders>
              <w:top w:val="single" w:sz="4" w:space="0" w:color="auto"/>
            </w:tcBorders>
            <w:shd w:val="clear" w:color="auto" w:fill="auto"/>
            <w:noWrap/>
            <w:hideMark/>
          </w:tcPr>
          <w:p w14:paraId="7B8C3A31"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Tablet containing morphine sulfate pentahydrate 10 mg</w:t>
            </w:r>
          </w:p>
        </w:tc>
        <w:tc>
          <w:tcPr>
            <w:tcW w:w="836" w:type="dxa"/>
            <w:tcBorders>
              <w:top w:val="single" w:sz="4" w:space="0" w:color="auto"/>
            </w:tcBorders>
            <w:shd w:val="clear" w:color="auto" w:fill="auto"/>
            <w:noWrap/>
            <w:hideMark/>
          </w:tcPr>
          <w:p w14:paraId="4DA1717F"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20</w:t>
            </w:r>
          </w:p>
        </w:tc>
        <w:tc>
          <w:tcPr>
            <w:tcW w:w="656" w:type="dxa"/>
            <w:tcBorders>
              <w:top w:val="single" w:sz="4" w:space="0" w:color="auto"/>
            </w:tcBorders>
            <w:shd w:val="clear" w:color="auto" w:fill="auto"/>
            <w:noWrap/>
            <w:hideMark/>
          </w:tcPr>
          <w:p w14:paraId="458BED2D"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0</w:t>
            </w:r>
          </w:p>
        </w:tc>
        <w:tc>
          <w:tcPr>
            <w:tcW w:w="1238" w:type="dxa"/>
            <w:tcBorders>
              <w:top w:val="single" w:sz="4" w:space="0" w:color="auto"/>
            </w:tcBorders>
            <w:shd w:val="clear" w:color="auto" w:fill="auto"/>
            <w:noWrap/>
            <w:hideMark/>
          </w:tcPr>
          <w:p w14:paraId="2416C199"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Sevredol</w:t>
            </w:r>
          </w:p>
        </w:tc>
        <w:tc>
          <w:tcPr>
            <w:tcW w:w="1417" w:type="dxa"/>
            <w:tcBorders>
              <w:top w:val="single" w:sz="4" w:space="0" w:color="auto"/>
            </w:tcBorders>
            <w:shd w:val="clear" w:color="auto" w:fill="auto"/>
            <w:noWrap/>
            <w:hideMark/>
          </w:tcPr>
          <w:p w14:paraId="180DD3CA"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Mundipharma Pty Limited</w:t>
            </w:r>
          </w:p>
        </w:tc>
      </w:tr>
      <w:tr w:rsidR="00F33674" w:rsidRPr="00F33674" w14:paraId="418FABDF" w14:textId="77777777" w:rsidTr="00F33674">
        <w:trPr>
          <w:trHeight w:val="300"/>
        </w:trPr>
        <w:tc>
          <w:tcPr>
            <w:tcW w:w="1774" w:type="dxa"/>
            <w:shd w:val="clear" w:color="auto" w:fill="auto"/>
            <w:noWrap/>
          </w:tcPr>
          <w:p w14:paraId="61E4CDF1" w14:textId="77777777" w:rsidR="00F33674" w:rsidRPr="00F33674" w:rsidRDefault="00F33674" w:rsidP="00F33674">
            <w:pPr>
              <w:jc w:val="left"/>
              <w:rPr>
                <w:rFonts w:ascii="Arial Narrow" w:hAnsi="Arial Narrow" w:cs="Calibri"/>
                <w:color w:val="000000"/>
                <w:sz w:val="20"/>
                <w:szCs w:val="20"/>
                <w:lang w:eastAsia="en-AU"/>
              </w:rPr>
            </w:pPr>
          </w:p>
        </w:tc>
        <w:tc>
          <w:tcPr>
            <w:tcW w:w="915" w:type="dxa"/>
            <w:shd w:val="clear" w:color="auto" w:fill="auto"/>
          </w:tcPr>
          <w:p w14:paraId="21BD84B3"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8670H</w:t>
            </w:r>
          </w:p>
        </w:tc>
        <w:tc>
          <w:tcPr>
            <w:tcW w:w="2693" w:type="dxa"/>
            <w:shd w:val="clear" w:color="auto" w:fill="auto"/>
            <w:noWrap/>
            <w:hideMark/>
          </w:tcPr>
          <w:p w14:paraId="7E987AF3"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Tablet containing morphine sulfate pentahydrate 20 mg</w:t>
            </w:r>
          </w:p>
        </w:tc>
        <w:tc>
          <w:tcPr>
            <w:tcW w:w="836" w:type="dxa"/>
            <w:shd w:val="clear" w:color="auto" w:fill="auto"/>
            <w:noWrap/>
            <w:hideMark/>
          </w:tcPr>
          <w:p w14:paraId="3AB1B7C3"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20</w:t>
            </w:r>
          </w:p>
        </w:tc>
        <w:tc>
          <w:tcPr>
            <w:tcW w:w="656" w:type="dxa"/>
            <w:shd w:val="clear" w:color="auto" w:fill="auto"/>
            <w:noWrap/>
            <w:hideMark/>
          </w:tcPr>
          <w:p w14:paraId="4EE37481"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0</w:t>
            </w:r>
          </w:p>
        </w:tc>
        <w:tc>
          <w:tcPr>
            <w:tcW w:w="1238" w:type="dxa"/>
            <w:shd w:val="clear" w:color="auto" w:fill="auto"/>
            <w:noWrap/>
            <w:hideMark/>
          </w:tcPr>
          <w:p w14:paraId="06F94957"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Sevredol</w:t>
            </w:r>
          </w:p>
        </w:tc>
        <w:tc>
          <w:tcPr>
            <w:tcW w:w="1417" w:type="dxa"/>
            <w:shd w:val="clear" w:color="auto" w:fill="auto"/>
            <w:noWrap/>
            <w:hideMark/>
          </w:tcPr>
          <w:p w14:paraId="247F453B"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Mundipharma Pty Limited</w:t>
            </w:r>
          </w:p>
        </w:tc>
      </w:tr>
    </w:tbl>
    <w:p w14:paraId="3FC14FC5" w14:textId="77777777" w:rsidR="00F33674" w:rsidRPr="00F33674" w:rsidRDefault="00F33674" w:rsidP="00F33674">
      <w:pPr>
        <w:jc w:val="left"/>
        <w:rPr>
          <w:sz w:val="22"/>
          <w:szCs w:val="22"/>
        </w:rPr>
      </w:pPr>
    </w:p>
    <w:tbl>
      <w:tblPr>
        <w:tblW w:w="9026"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781"/>
        <w:gridCol w:w="6245"/>
      </w:tblGrid>
      <w:tr w:rsidR="00F33674" w:rsidRPr="00F33674" w14:paraId="3BC08898" w14:textId="77777777" w:rsidTr="00F33674">
        <w:trPr>
          <w:cantSplit/>
          <w:trHeight w:val="360"/>
        </w:trPr>
        <w:tc>
          <w:tcPr>
            <w:tcW w:w="2781" w:type="dxa"/>
            <w:tcMar>
              <w:top w:w="0" w:type="dxa"/>
              <w:left w:w="108" w:type="dxa"/>
              <w:bottom w:w="0" w:type="dxa"/>
              <w:right w:w="108" w:type="dxa"/>
            </w:tcMar>
            <w:hideMark/>
          </w:tcPr>
          <w:p w14:paraId="761E1686" w14:textId="77777777" w:rsidR="00F33674" w:rsidRPr="00F33674" w:rsidRDefault="00F33674" w:rsidP="00F33674">
            <w:pPr>
              <w:rPr>
                <w:rFonts w:ascii="Arial Narrow" w:hAnsi="Arial Narrow"/>
                <w:b/>
                <w:bCs/>
                <w:sz w:val="20"/>
                <w:szCs w:val="20"/>
              </w:rPr>
            </w:pPr>
            <w:r w:rsidRPr="00F33674">
              <w:rPr>
                <w:rFonts w:ascii="Arial Narrow" w:hAnsi="Arial Narrow" w:cs="Arial"/>
                <w:b/>
                <w:sz w:val="20"/>
                <w:szCs w:val="20"/>
              </w:rPr>
              <w:t>Category / Program:</w:t>
            </w:r>
          </w:p>
        </w:tc>
        <w:tc>
          <w:tcPr>
            <w:tcW w:w="6245" w:type="dxa"/>
            <w:tcMar>
              <w:top w:w="0" w:type="dxa"/>
              <w:left w:w="108" w:type="dxa"/>
              <w:bottom w:w="0" w:type="dxa"/>
              <w:right w:w="108" w:type="dxa"/>
            </w:tcMar>
            <w:hideMark/>
          </w:tcPr>
          <w:p w14:paraId="7B530A56" w14:textId="77777777" w:rsidR="00F33674" w:rsidRPr="00F33674" w:rsidRDefault="00F33674" w:rsidP="00F33674">
            <w:pPr>
              <w:rPr>
                <w:rFonts w:ascii="Arial Narrow" w:hAnsi="Arial Narrow"/>
                <w:sz w:val="20"/>
                <w:szCs w:val="20"/>
              </w:rPr>
            </w:pPr>
            <w:r w:rsidRPr="00F33674">
              <w:rPr>
                <w:rFonts w:ascii="Arial Narrow" w:hAnsi="Arial Narrow" w:cs="Arial"/>
                <w:sz w:val="20"/>
                <w:szCs w:val="20"/>
              </w:rPr>
              <w:t>GENERAL – General Schedule (Code GE)</w:t>
            </w:r>
          </w:p>
        </w:tc>
      </w:tr>
      <w:tr w:rsidR="00F33674" w:rsidRPr="00F33674" w14:paraId="1D7B08FC" w14:textId="77777777" w:rsidTr="00F33674">
        <w:trPr>
          <w:cantSplit/>
          <w:trHeight w:val="360"/>
        </w:trPr>
        <w:tc>
          <w:tcPr>
            <w:tcW w:w="2781" w:type="dxa"/>
            <w:tcMar>
              <w:top w:w="0" w:type="dxa"/>
              <w:left w:w="108" w:type="dxa"/>
              <w:bottom w:w="0" w:type="dxa"/>
              <w:right w:w="108" w:type="dxa"/>
            </w:tcMar>
          </w:tcPr>
          <w:p w14:paraId="6444F2BA" w14:textId="77777777" w:rsidR="00F33674" w:rsidRPr="00F33674" w:rsidRDefault="00F33674" w:rsidP="00F33674">
            <w:pPr>
              <w:rPr>
                <w:rFonts w:ascii="Arial Narrow" w:hAnsi="Arial Narrow" w:cs="Arial"/>
                <w:b/>
                <w:sz w:val="20"/>
                <w:szCs w:val="20"/>
              </w:rPr>
            </w:pPr>
            <w:r w:rsidRPr="00F33674">
              <w:rPr>
                <w:rFonts w:ascii="Arial Narrow" w:hAnsi="Arial Narrow" w:cs="Arial"/>
                <w:b/>
                <w:sz w:val="20"/>
                <w:szCs w:val="20"/>
              </w:rPr>
              <w:t>Prescriber type:</w:t>
            </w:r>
          </w:p>
          <w:p w14:paraId="4420BCA9" w14:textId="77777777" w:rsidR="00F33674" w:rsidRPr="00F33674" w:rsidRDefault="00F33674" w:rsidP="00F33674">
            <w:pPr>
              <w:rPr>
                <w:rFonts w:ascii="Arial Narrow" w:hAnsi="Arial Narrow"/>
                <w:b/>
                <w:bCs/>
                <w:sz w:val="20"/>
                <w:szCs w:val="20"/>
              </w:rPr>
            </w:pPr>
          </w:p>
        </w:tc>
        <w:tc>
          <w:tcPr>
            <w:tcW w:w="6245" w:type="dxa"/>
            <w:tcMar>
              <w:top w:w="0" w:type="dxa"/>
              <w:left w:w="108" w:type="dxa"/>
              <w:bottom w:w="0" w:type="dxa"/>
              <w:right w:w="108" w:type="dxa"/>
            </w:tcMar>
            <w:hideMark/>
          </w:tcPr>
          <w:p w14:paraId="36F2793C" w14:textId="1521984C" w:rsidR="00F33674" w:rsidRPr="00F33674" w:rsidRDefault="00F33674" w:rsidP="00F33674">
            <w:pPr>
              <w:rPr>
                <w:rFonts w:ascii="Arial Narrow" w:hAnsi="Arial Narrow" w:cs="Arial"/>
                <w:sz w:val="20"/>
                <w:szCs w:val="20"/>
              </w:rPr>
            </w:pPr>
            <w:r w:rsidRPr="00F33674">
              <w:rPr>
                <w:rFonts w:ascii="Arial Narrow" w:hAnsi="Arial Narrow" w:cs="Arial"/>
                <w:sz w:val="20"/>
                <w:szCs w:val="20"/>
              </w:rPr>
              <w:fldChar w:fldCharType="begin">
                <w:ffData>
                  <w:name w:val="Check1"/>
                  <w:enabled/>
                  <w:calcOnExit w:val="0"/>
                  <w:checkBox>
                    <w:sizeAuto/>
                    <w:default w:val="0"/>
                  </w:checkBox>
                </w:ffData>
              </w:fldChar>
            </w:r>
            <w:r w:rsidRPr="00F33674">
              <w:rPr>
                <w:rFonts w:ascii="Arial Narrow" w:hAnsi="Arial Narrow" w:cs="Arial"/>
                <w:sz w:val="20"/>
                <w:szCs w:val="20"/>
              </w:rPr>
              <w:instrText xml:space="preserve"> FORMCHECKBOX </w:instrText>
            </w:r>
            <w:r w:rsidR="00233D13">
              <w:rPr>
                <w:rFonts w:ascii="Arial Narrow" w:hAnsi="Arial Narrow" w:cs="Arial"/>
                <w:sz w:val="20"/>
                <w:szCs w:val="20"/>
              </w:rPr>
            </w:r>
            <w:r w:rsidR="00233D13">
              <w:rPr>
                <w:rFonts w:ascii="Arial Narrow" w:hAnsi="Arial Narrow" w:cs="Arial"/>
                <w:sz w:val="20"/>
                <w:szCs w:val="20"/>
              </w:rPr>
              <w:fldChar w:fldCharType="separate"/>
            </w:r>
            <w:r w:rsidRPr="00F33674">
              <w:rPr>
                <w:rFonts w:ascii="Arial Narrow" w:hAnsi="Arial Narrow" w:cs="Arial"/>
                <w:sz w:val="20"/>
                <w:szCs w:val="20"/>
              </w:rPr>
              <w:fldChar w:fldCharType="end"/>
            </w:r>
            <w:r w:rsidRPr="00F33674">
              <w:rPr>
                <w:rFonts w:ascii="Arial Narrow" w:hAnsi="Arial Narrow" w:cs="Arial"/>
                <w:sz w:val="20"/>
                <w:szCs w:val="20"/>
              </w:rPr>
              <w:t>Dental</w:t>
            </w:r>
            <w:r w:rsidR="002C1329">
              <w:rPr>
                <w:rFonts w:ascii="Arial Narrow" w:hAnsi="Arial Narrow" w:cs="Arial"/>
                <w:sz w:val="20"/>
                <w:szCs w:val="20"/>
              </w:rPr>
              <w:t xml:space="preserve"> </w:t>
            </w:r>
            <w:r w:rsidRPr="00F33674">
              <w:rPr>
                <w:rFonts w:ascii="Arial Narrow" w:hAnsi="Arial Narrow" w:cs="Arial"/>
                <w:sz w:val="20"/>
                <w:szCs w:val="20"/>
              </w:rPr>
              <w:fldChar w:fldCharType="begin">
                <w:ffData>
                  <w:name w:val=""/>
                  <w:enabled/>
                  <w:calcOnExit w:val="0"/>
                  <w:checkBox>
                    <w:sizeAuto/>
                    <w:default w:val="1"/>
                  </w:checkBox>
                </w:ffData>
              </w:fldChar>
            </w:r>
            <w:r w:rsidRPr="00F33674">
              <w:rPr>
                <w:rFonts w:ascii="Arial Narrow" w:hAnsi="Arial Narrow" w:cs="Arial"/>
                <w:sz w:val="20"/>
                <w:szCs w:val="20"/>
              </w:rPr>
              <w:instrText xml:space="preserve"> FORMCHECKBOX </w:instrText>
            </w:r>
            <w:r w:rsidR="00233D13">
              <w:rPr>
                <w:rFonts w:ascii="Arial Narrow" w:hAnsi="Arial Narrow" w:cs="Arial"/>
                <w:sz w:val="20"/>
                <w:szCs w:val="20"/>
              </w:rPr>
            </w:r>
            <w:r w:rsidR="00233D13">
              <w:rPr>
                <w:rFonts w:ascii="Arial Narrow" w:hAnsi="Arial Narrow" w:cs="Arial"/>
                <w:sz w:val="20"/>
                <w:szCs w:val="20"/>
              </w:rPr>
              <w:fldChar w:fldCharType="separate"/>
            </w:r>
            <w:r w:rsidRPr="00F33674">
              <w:rPr>
                <w:rFonts w:ascii="Arial Narrow" w:hAnsi="Arial Narrow" w:cs="Arial"/>
                <w:sz w:val="20"/>
                <w:szCs w:val="20"/>
              </w:rPr>
              <w:fldChar w:fldCharType="end"/>
            </w:r>
            <w:r w:rsidRPr="00F33674">
              <w:rPr>
                <w:rFonts w:ascii="Arial Narrow" w:hAnsi="Arial Narrow" w:cs="Arial"/>
                <w:sz w:val="20"/>
                <w:szCs w:val="20"/>
              </w:rPr>
              <w:t>Medical Practitioners</w:t>
            </w:r>
            <w:r w:rsidR="002C1329">
              <w:rPr>
                <w:rFonts w:ascii="Arial Narrow" w:hAnsi="Arial Narrow" w:cs="Arial"/>
                <w:sz w:val="20"/>
                <w:szCs w:val="20"/>
              </w:rPr>
              <w:t xml:space="preserve"> </w:t>
            </w:r>
            <w:r w:rsidRPr="00F33674">
              <w:rPr>
                <w:rFonts w:ascii="Arial Narrow" w:hAnsi="Arial Narrow" w:cs="Arial"/>
                <w:sz w:val="20"/>
                <w:szCs w:val="20"/>
              </w:rPr>
              <w:fldChar w:fldCharType="begin">
                <w:ffData>
                  <w:name w:val="Check3"/>
                  <w:enabled/>
                  <w:calcOnExit w:val="0"/>
                  <w:checkBox>
                    <w:sizeAuto/>
                    <w:default w:val="1"/>
                  </w:checkBox>
                </w:ffData>
              </w:fldChar>
            </w:r>
            <w:r w:rsidRPr="00F33674">
              <w:rPr>
                <w:rFonts w:ascii="Arial Narrow" w:hAnsi="Arial Narrow" w:cs="Arial"/>
                <w:sz w:val="20"/>
                <w:szCs w:val="20"/>
              </w:rPr>
              <w:instrText xml:space="preserve"> FORMCHECKBOX </w:instrText>
            </w:r>
            <w:r w:rsidR="00233D13">
              <w:rPr>
                <w:rFonts w:ascii="Arial Narrow" w:hAnsi="Arial Narrow" w:cs="Arial"/>
                <w:sz w:val="20"/>
                <w:szCs w:val="20"/>
              </w:rPr>
            </w:r>
            <w:r w:rsidR="00233D13">
              <w:rPr>
                <w:rFonts w:ascii="Arial Narrow" w:hAnsi="Arial Narrow" w:cs="Arial"/>
                <w:sz w:val="20"/>
                <w:szCs w:val="20"/>
              </w:rPr>
              <w:fldChar w:fldCharType="separate"/>
            </w:r>
            <w:r w:rsidRPr="00F33674">
              <w:rPr>
                <w:rFonts w:ascii="Arial Narrow" w:hAnsi="Arial Narrow" w:cs="Arial"/>
                <w:sz w:val="20"/>
                <w:szCs w:val="20"/>
              </w:rPr>
              <w:fldChar w:fldCharType="end"/>
            </w:r>
            <w:r w:rsidRPr="00F33674">
              <w:rPr>
                <w:rFonts w:ascii="Arial Narrow" w:hAnsi="Arial Narrow" w:cs="Arial"/>
                <w:sz w:val="20"/>
                <w:szCs w:val="20"/>
              </w:rPr>
              <w:t>Nurse practitioners</w:t>
            </w:r>
            <w:r w:rsidR="002C1329">
              <w:rPr>
                <w:rFonts w:ascii="Arial Narrow" w:hAnsi="Arial Narrow" w:cs="Arial"/>
                <w:sz w:val="20"/>
                <w:szCs w:val="20"/>
              </w:rPr>
              <w:t xml:space="preserve"> </w:t>
            </w:r>
            <w:r w:rsidRPr="00F33674">
              <w:rPr>
                <w:rFonts w:ascii="Arial Narrow" w:hAnsi="Arial Narrow" w:cs="Arial"/>
                <w:sz w:val="20"/>
                <w:szCs w:val="20"/>
              </w:rPr>
              <w:fldChar w:fldCharType="begin">
                <w:ffData>
                  <w:name w:val=""/>
                  <w:enabled/>
                  <w:calcOnExit w:val="0"/>
                  <w:checkBox>
                    <w:sizeAuto/>
                    <w:default w:val="0"/>
                  </w:checkBox>
                </w:ffData>
              </w:fldChar>
            </w:r>
            <w:r w:rsidRPr="00F33674">
              <w:rPr>
                <w:rFonts w:ascii="Arial Narrow" w:hAnsi="Arial Narrow" w:cs="Arial"/>
                <w:sz w:val="20"/>
                <w:szCs w:val="20"/>
              </w:rPr>
              <w:instrText xml:space="preserve"> FORMCHECKBOX </w:instrText>
            </w:r>
            <w:r w:rsidR="00233D13">
              <w:rPr>
                <w:rFonts w:ascii="Arial Narrow" w:hAnsi="Arial Narrow" w:cs="Arial"/>
                <w:sz w:val="20"/>
                <w:szCs w:val="20"/>
              </w:rPr>
            </w:r>
            <w:r w:rsidR="00233D13">
              <w:rPr>
                <w:rFonts w:ascii="Arial Narrow" w:hAnsi="Arial Narrow" w:cs="Arial"/>
                <w:sz w:val="20"/>
                <w:szCs w:val="20"/>
              </w:rPr>
              <w:fldChar w:fldCharType="separate"/>
            </w:r>
            <w:r w:rsidRPr="00F33674">
              <w:rPr>
                <w:rFonts w:ascii="Arial Narrow" w:hAnsi="Arial Narrow" w:cs="Arial"/>
                <w:sz w:val="20"/>
                <w:szCs w:val="20"/>
              </w:rPr>
              <w:fldChar w:fldCharType="end"/>
            </w:r>
            <w:r w:rsidRPr="00F33674">
              <w:rPr>
                <w:rFonts w:ascii="Arial Narrow" w:hAnsi="Arial Narrow" w:cs="Arial"/>
                <w:sz w:val="20"/>
                <w:szCs w:val="20"/>
              </w:rPr>
              <w:t>Optometrists</w:t>
            </w:r>
          </w:p>
          <w:p w14:paraId="0F21C479" w14:textId="77777777" w:rsidR="00F33674" w:rsidRPr="00F33674" w:rsidRDefault="00F33674" w:rsidP="00F33674">
            <w:pPr>
              <w:rPr>
                <w:rFonts w:ascii="Arial Narrow" w:hAnsi="Arial Narrow"/>
                <w:sz w:val="20"/>
                <w:szCs w:val="20"/>
              </w:rPr>
            </w:pPr>
            <w:r w:rsidRPr="00F33674">
              <w:rPr>
                <w:rFonts w:ascii="Arial Narrow" w:hAnsi="Arial Narrow" w:cs="Arial"/>
                <w:sz w:val="20"/>
                <w:szCs w:val="20"/>
              </w:rPr>
              <w:fldChar w:fldCharType="begin">
                <w:ffData>
                  <w:name w:val="Check5"/>
                  <w:enabled/>
                  <w:calcOnExit w:val="0"/>
                  <w:checkBox>
                    <w:sizeAuto/>
                    <w:default w:val="0"/>
                  </w:checkBox>
                </w:ffData>
              </w:fldChar>
            </w:r>
            <w:r w:rsidRPr="00F33674">
              <w:rPr>
                <w:rFonts w:ascii="Arial Narrow" w:hAnsi="Arial Narrow" w:cs="Arial"/>
                <w:sz w:val="20"/>
                <w:szCs w:val="20"/>
              </w:rPr>
              <w:instrText xml:space="preserve"> FORMCHECKBOX </w:instrText>
            </w:r>
            <w:r w:rsidR="00233D13">
              <w:rPr>
                <w:rFonts w:ascii="Arial Narrow" w:hAnsi="Arial Narrow" w:cs="Arial"/>
                <w:sz w:val="20"/>
                <w:szCs w:val="20"/>
              </w:rPr>
            </w:r>
            <w:r w:rsidR="00233D13">
              <w:rPr>
                <w:rFonts w:ascii="Arial Narrow" w:hAnsi="Arial Narrow" w:cs="Arial"/>
                <w:sz w:val="20"/>
                <w:szCs w:val="20"/>
              </w:rPr>
              <w:fldChar w:fldCharType="separate"/>
            </w:r>
            <w:r w:rsidRPr="00F33674">
              <w:rPr>
                <w:rFonts w:ascii="Arial Narrow" w:hAnsi="Arial Narrow" w:cs="Arial"/>
                <w:sz w:val="20"/>
                <w:szCs w:val="20"/>
              </w:rPr>
              <w:fldChar w:fldCharType="end"/>
            </w:r>
            <w:r w:rsidRPr="00F33674">
              <w:rPr>
                <w:rFonts w:ascii="Arial Narrow" w:hAnsi="Arial Narrow" w:cs="Arial"/>
                <w:sz w:val="20"/>
                <w:szCs w:val="20"/>
              </w:rPr>
              <w:t>Midwives</w:t>
            </w:r>
          </w:p>
        </w:tc>
      </w:tr>
      <w:tr w:rsidR="00F33674" w:rsidRPr="00F33674" w14:paraId="6FA6418D" w14:textId="77777777" w:rsidTr="00F33674">
        <w:trPr>
          <w:cantSplit/>
          <w:trHeight w:val="369"/>
        </w:trPr>
        <w:tc>
          <w:tcPr>
            <w:tcW w:w="2781" w:type="dxa"/>
            <w:tcMar>
              <w:top w:w="0" w:type="dxa"/>
              <w:left w:w="108" w:type="dxa"/>
              <w:bottom w:w="0" w:type="dxa"/>
              <w:right w:w="108" w:type="dxa"/>
            </w:tcMar>
            <w:hideMark/>
          </w:tcPr>
          <w:p w14:paraId="141479C6" w14:textId="77777777" w:rsidR="00F33674" w:rsidRPr="00F33674" w:rsidRDefault="00F33674" w:rsidP="00F33674">
            <w:pPr>
              <w:rPr>
                <w:rFonts w:ascii="Arial Narrow" w:hAnsi="Arial Narrow"/>
                <w:b/>
                <w:bCs/>
                <w:sz w:val="20"/>
                <w:szCs w:val="20"/>
              </w:rPr>
            </w:pPr>
            <w:r w:rsidRPr="00F33674">
              <w:rPr>
                <w:rFonts w:ascii="Arial Narrow" w:hAnsi="Arial Narrow" w:cs="Arial"/>
                <w:b/>
                <w:sz w:val="20"/>
                <w:szCs w:val="20"/>
              </w:rPr>
              <w:t>PBS indication:</w:t>
            </w:r>
          </w:p>
        </w:tc>
        <w:tc>
          <w:tcPr>
            <w:tcW w:w="6245" w:type="dxa"/>
            <w:tcMar>
              <w:top w:w="0" w:type="dxa"/>
              <w:left w:w="108" w:type="dxa"/>
              <w:bottom w:w="0" w:type="dxa"/>
              <w:right w:w="108" w:type="dxa"/>
            </w:tcMar>
            <w:hideMark/>
          </w:tcPr>
          <w:p w14:paraId="70906CAE" w14:textId="77777777" w:rsidR="00F33674" w:rsidRPr="00F33674" w:rsidRDefault="00F33674" w:rsidP="00F33674">
            <w:pPr>
              <w:rPr>
                <w:rFonts w:ascii="Arial Narrow" w:hAnsi="Arial Narrow"/>
                <w:sz w:val="20"/>
                <w:szCs w:val="20"/>
              </w:rPr>
            </w:pPr>
            <w:r w:rsidRPr="00F33674">
              <w:rPr>
                <w:rFonts w:ascii="Arial Narrow" w:hAnsi="Arial Narrow" w:cs="Arial"/>
                <w:sz w:val="20"/>
                <w:szCs w:val="20"/>
              </w:rPr>
              <w:t>[New] Cancer pain</w:t>
            </w:r>
          </w:p>
        </w:tc>
      </w:tr>
      <w:tr w:rsidR="00F33674" w:rsidRPr="00F33674" w14:paraId="0170F822" w14:textId="77777777" w:rsidTr="00F33674">
        <w:trPr>
          <w:cantSplit/>
          <w:trHeight w:val="360"/>
        </w:trPr>
        <w:tc>
          <w:tcPr>
            <w:tcW w:w="2781" w:type="dxa"/>
            <w:tcMar>
              <w:top w:w="0" w:type="dxa"/>
              <w:left w:w="108" w:type="dxa"/>
              <w:bottom w:w="0" w:type="dxa"/>
              <w:right w:w="108" w:type="dxa"/>
            </w:tcMar>
          </w:tcPr>
          <w:p w14:paraId="582D9F41" w14:textId="77777777" w:rsidR="00F33674" w:rsidRPr="00F33674" w:rsidRDefault="00F33674" w:rsidP="00F33674">
            <w:pPr>
              <w:rPr>
                <w:rFonts w:ascii="Arial Narrow" w:hAnsi="Arial Narrow" w:cs="Arial"/>
                <w:b/>
                <w:sz w:val="20"/>
                <w:szCs w:val="20"/>
              </w:rPr>
            </w:pPr>
            <w:r w:rsidRPr="00F33674">
              <w:rPr>
                <w:rFonts w:ascii="Arial Narrow" w:hAnsi="Arial Narrow" w:cs="Arial"/>
                <w:b/>
                <w:sz w:val="20"/>
                <w:szCs w:val="20"/>
              </w:rPr>
              <w:t>Restriction Level / Method:</w:t>
            </w:r>
          </w:p>
          <w:p w14:paraId="69436324" w14:textId="77777777" w:rsidR="00F33674" w:rsidRPr="00F33674" w:rsidRDefault="00F33674" w:rsidP="00F33674">
            <w:pPr>
              <w:rPr>
                <w:rFonts w:ascii="Arial Narrow" w:hAnsi="Arial Narrow" w:cs="Arial"/>
                <w:i/>
                <w:sz w:val="20"/>
                <w:szCs w:val="20"/>
              </w:rPr>
            </w:pPr>
          </w:p>
          <w:p w14:paraId="593F56CF" w14:textId="77777777" w:rsidR="00F33674" w:rsidRPr="00F33674" w:rsidRDefault="00F33674" w:rsidP="00F33674">
            <w:pPr>
              <w:rPr>
                <w:rFonts w:ascii="Arial Narrow" w:hAnsi="Arial Narrow" w:cs="Arial"/>
                <w:i/>
                <w:sz w:val="20"/>
                <w:szCs w:val="20"/>
              </w:rPr>
            </w:pPr>
          </w:p>
          <w:p w14:paraId="6DF23144" w14:textId="77777777" w:rsidR="00F33674" w:rsidRPr="00F33674" w:rsidRDefault="00F33674" w:rsidP="00F33674">
            <w:pPr>
              <w:rPr>
                <w:rFonts w:ascii="Arial Narrow" w:hAnsi="Arial Narrow"/>
                <w:i/>
                <w:iCs/>
                <w:sz w:val="20"/>
                <w:szCs w:val="20"/>
              </w:rPr>
            </w:pPr>
          </w:p>
        </w:tc>
        <w:tc>
          <w:tcPr>
            <w:tcW w:w="6245" w:type="dxa"/>
            <w:tcMar>
              <w:top w:w="0" w:type="dxa"/>
              <w:left w:w="108" w:type="dxa"/>
              <w:bottom w:w="0" w:type="dxa"/>
              <w:right w:w="108" w:type="dxa"/>
            </w:tcMar>
            <w:hideMark/>
          </w:tcPr>
          <w:p w14:paraId="7F58F762" w14:textId="77777777" w:rsidR="00F33674" w:rsidRPr="00F33674" w:rsidRDefault="00F33674" w:rsidP="00F33674">
            <w:pPr>
              <w:rPr>
                <w:rFonts w:ascii="Arial Narrow" w:hAnsi="Arial Narrow" w:cs="Arial"/>
                <w:sz w:val="20"/>
                <w:szCs w:val="20"/>
              </w:rPr>
            </w:pPr>
            <w:r w:rsidRPr="00F33674">
              <w:rPr>
                <w:rFonts w:ascii="Arial Narrow" w:hAnsi="Arial Narrow" w:cs="Arial"/>
                <w:sz w:val="20"/>
                <w:szCs w:val="20"/>
              </w:rPr>
              <w:fldChar w:fldCharType="begin">
                <w:ffData>
                  <w:name w:val=""/>
                  <w:enabled/>
                  <w:calcOnExit w:val="0"/>
                  <w:checkBox>
                    <w:sizeAuto/>
                    <w:default w:val="0"/>
                  </w:checkBox>
                </w:ffData>
              </w:fldChar>
            </w:r>
            <w:r w:rsidRPr="00F33674">
              <w:rPr>
                <w:rFonts w:ascii="Arial Narrow" w:hAnsi="Arial Narrow" w:cs="Arial"/>
                <w:sz w:val="20"/>
                <w:szCs w:val="20"/>
              </w:rPr>
              <w:instrText xml:space="preserve"> FORMCHECKBOX </w:instrText>
            </w:r>
            <w:r w:rsidR="00233D13">
              <w:rPr>
                <w:rFonts w:ascii="Arial Narrow" w:hAnsi="Arial Narrow" w:cs="Arial"/>
                <w:sz w:val="20"/>
                <w:szCs w:val="20"/>
              </w:rPr>
            </w:r>
            <w:r w:rsidR="00233D13">
              <w:rPr>
                <w:rFonts w:ascii="Arial Narrow" w:hAnsi="Arial Narrow" w:cs="Arial"/>
                <w:sz w:val="20"/>
                <w:szCs w:val="20"/>
              </w:rPr>
              <w:fldChar w:fldCharType="separate"/>
            </w:r>
            <w:r w:rsidRPr="00F33674">
              <w:rPr>
                <w:rFonts w:ascii="Arial Narrow" w:hAnsi="Arial Narrow" w:cs="Arial"/>
                <w:sz w:val="20"/>
                <w:szCs w:val="20"/>
              </w:rPr>
              <w:fldChar w:fldCharType="end"/>
            </w:r>
            <w:r w:rsidRPr="00F33674">
              <w:rPr>
                <w:rFonts w:ascii="Arial Narrow" w:hAnsi="Arial Narrow" w:cs="Arial"/>
                <w:sz w:val="20"/>
                <w:szCs w:val="20"/>
              </w:rPr>
              <w:t>Unrestricted benefit</w:t>
            </w:r>
          </w:p>
          <w:p w14:paraId="13176A35" w14:textId="77777777" w:rsidR="00F33674" w:rsidRPr="00F33674" w:rsidRDefault="00F33674" w:rsidP="00F33674">
            <w:pPr>
              <w:rPr>
                <w:rFonts w:ascii="Arial Narrow" w:hAnsi="Arial Narrow" w:cs="Arial"/>
                <w:i/>
                <w:sz w:val="20"/>
                <w:szCs w:val="20"/>
              </w:rPr>
            </w:pPr>
            <w:r w:rsidRPr="00F33674">
              <w:rPr>
                <w:rFonts w:ascii="Arial Narrow" w:hAnsi="Arial Narrow" w:cs="Arial"/>
                <w:i/>
                <w:sz w:val="20"/>
                <w:szCs w:val="20"/>
              </w:rPr>
              <w:fldChar w:fldCharType="begin">
                <w:ffData>
                  <w:name w:val="Check1"/>
                  <w:enabled/>
                  <w:calcOnExit w:val="0"/>
                  <w:checkBox>
                    <w:sizeAuto/>
                    <w:default w:val="1"/>
                  </w:checkBox>
                </w:ffData>
              </w:fldChar>
            </w:r>
            <w:r w:rsidRPr="00F33674">
              <w:rPr>
                <w:rFonts w:ascii="Arial Narrow" w:hAnsi="Arial Narrow" w:cs="Arial"/>
                <w:i/>
                <w:sz w:val="20"/>
                <w:szCs w:val="20"/>
              </w:rPr>
              <w:instrText xml:space="preserve"> FORMCHECKBOX </w:instrText>
            </w:r>
            <w:r w:rsidR="00233D13">
              <w:rPr>
                <w:rFonts w:ascii="Arial Narrow" w:hAnsi="Arial Narrow" w:cs="Arial"/>
                <w:i/>
                <w:sz w:val="20"/>
                <w:szCs w:val="20"/>
              </w:rPr>
            </w:r>
            <w:r w:rsidR="00233D13">
              <w:rPr>
                <w:rFonts w:ascii="Arial Narrow" w:hAnsi="Arial Narrow" w:cs="Arial"/>
                <w:i/>
                <w:sz w:val="20"/>
                <w:szCs w:val="20"/>
              </w:rPr>
              <w:fldChar w:fldCharType="separate"/>
            </w:r>
            <w:r w:rsidRPr="00F33674">
              <w:rPr>
                <w:rFonts w:ascii="Arial Narrow" w:hAnsi="Arial Narrow" w:cs="Arial"/>
                <w:i/>
                <w:sz w:val="20"/>
                <w:szCs w:val="20"/>
              </w:rPr>
              <w:fldChar w:fldCharType="end"/>
            </w:r>
            <w:r w:rsidRPr="00F33674">
              <w:rPr>
                <w:rFonts w:ascii="Arial Narrow" w:hAnsi="Arial Narrow" w:cs="Arial"/>
                <w:sz w:val="20"/>
                <w:szCs w:val="20"/>
              </w:rPr>
              <w:t>Restricted benefit</w:t>
            </w:r>
          </w:p>
          <w:p w14:paraId="0452339F" w14:textId="77777777" w:rsidR="00F33674" w:rsidRPr="00F33674" w:rsidRDefault="00F33674" w:rsidP="00F33674">
            <w:pPr>
              <w:rPr>
                <w:rFonts w:ascii="Arial Narrow" w:hAnsi="Arial Narrow" w:cs="Arial"/>
                <w:sz w:val="20"/>
                <w:szCs w:val="20"/>
              </w:rPr>
            </w:pPr>
            <w:r w:rsidRPr="00F33674">
              <w:rPr>
                <w:rFonts w:ascii="Arial Narrow" w:hAnsi="Arial Narrow" w:cs="Arial"/>
                <w:sz w:val="20"/>
                <w:szCs w:val="20"/>
              </w:rPr>
              <w:fldChar w:fldCharType="begin">
                <w:ffData>
                  <w:name w:val=""/>
                  <w:enabled/>
                  <w:calcOnExit w:val="0"/>
                  <w:checkBox>
                    <w:sizeAuto/>
                    <w:default w:val="0"/>
                  </w:checkBox>
                </w:ffData>
              </w:fldChar>
            </w:r>
            <w:r w:rsidRPr="00F33674">
              <w:rPr>
                <w:rFonts w:ascii="Arial Narrow" w:hAnsi="Arial Narrow" w:cs="Arial"/>
                <w:sz w:val="20"/>
                <w:szCs w:val="20"/>
              </w:rPr>
              <w:instrText xml:space="preserve"> FORMCHECKBOX </w:instrText>
            </w:r>
            <w:r w:rsidR="00233D13">
              <w:rPr>
                <w:rFonts w:ascii="Arial Narrow" w:hAnsi="Arial Narrow" w:cs="Arial"/>
                <w:sz w:val="20"/>
                <w:szCs w:val="20"/>
              </w:rPr>
            </w:r>
            <w:r w:rsidR="00233D13">
              <w:rPr>
                <w:rFonts w:ascii="Arial Narrow" w:hAnsi="Arial Narrow" w:cs="Arial"/>
                <w:sz w:val="20"/>
                <w:szCs w:val="20"/>
              </w:rPr>
              <w:fldChar w:fldCharType="separate"/>
            </w:r>
            <w:r w:rsidRPr="00F33674">
              <w:rPr>
                <w:rFonts w:ascii="Arial Narrow" w:hAnsi="Arial Narrow" w:cs="Arial"/>
                <w:sz w:val="20"/>
                <w:szCs w:val="20"/>
              </w:rPr>
              <w:fldChar w:fldCharType="end"/>
            </w:r>
            <w:r w:rsidRPr="00F33674">
              <w:rPr>
                <w:rFonts w:ascii="Arial Narrow" w:hAnsi="Arial Narrow" w:cs="Arial"/>
                <w:sz w:val="20"/>
                <w:szCs w:val="20"/>
              </w:rPr>
              <w:t>Authority Required – In Writing</w:t>
            </w:r>
          </w:p>
          <w:p w14:paraId="60930F5C" w14:textId="77777777" w:rsidR="00F33674" w:rsidRPr="00F33674" w:rsidRDefault="00F33674" w:rsidP="00F33674">
            <w:pPr>
              <w:rPr>
                <w:rFonts w:ascii="Arial Narrow" w:hAnsi="Arial Narrow" w:cs="Arial"/>
                <w:sz w:val="20"/>
                <w:szCs w:val="20"/>
              </w:rPr>
            </w:pPr>
            <w:r w:rsidRPr="00F33674">
              <w:rPr>
                <w:rFonts w:ascii="Arial Narrow" w:hAnsi="Arial Narrow" w:cs="Arial"/>
                <w:sz w:val="20"/>
                <w:szCs w:val="20"/>
              </w:rPr>
              <w:fldChar w:fldCharType="begin">
                <w:ffData>
                  <w:name w:val="Check3"/>
                  <w:enabled/>
                  <w:calcOnExit w:val="0"/>
                  <w:checkBox>
                    <w:sizeAuto/>
                    <w:default w:val="0"/>
                  </w:checkBox>
                </w:ffData>
              </w:fldChar>
            </w:r>
            <w:r w:rsidRPr="00F33674">
              <w:rPr>
                <w:rFonts w:ascii="Arial Narrow" w:hAnsi="Arial Narrow" w:cs="Arial"/>
                <w:sz w:val="20"/>
                <w:szCs w:val="20"/>
              </w:rPr>
              <w:instrText xml:space="preserve"> FORMCHECKBOX </w:instrText>
            </w:r>
            <w:r w:rsidR="00233D13">
              <w:rPr>
                <w:rFonts w:ascii="Arial Narrow" w:hAnsi="Arial Narrow" w:cs="Arial"/>
                <w:sz w:val="20"/>
                <w:szCs w:val="20"/>
              </w:rPr>
            </w:r>
            <w:r w:rsidR="00233D13">
              <w:rPr>
                <w:rFonts w:ascii="Arial Narrow" w:hAnsi="Arial Narrow" w:cs="Arial"/>
                <w:sz w:val="20"/>
                <w:szCs w:val="20"/>
              </w:rPr>
              <w:fldChar w:fldCharType="separate"/>
            </w:r>
            <w:r w:rsidRPr="00F33674">
              <w:rPr>
                <w:rFonts w:ascii="Arial Narrow" w:hAnsi="Arial Narrow" w:cs="Arial"/>
                <w:sz w:val="20"/>
                <w:szCs w:val="20"/>
              </w:rPr>
              <w:fldChar w:fldCharType="end"/>
            </w:r>
            <w:r w:rsidRPr="00F33674">
              <w:rPr>
                <w:rFonts w:ascii="Arial Narrow" w:hAnsi="Arial Narrow" w:cs="Arial"/>
                <w:sz w:val="20"/>
                <w:szCs w:val="20"/>
              </w:rPr>
              <w:t>Authority Required – Telephone/Electronic/Emergency</w:t>
            </w:r>
          </w:p>
          <w:p w14:paraId="04C129E5" w14:textId="77777777" w:rsidR="00F33674" w:rsidRPr="00F33674" w:rsidRDefault="00F33674" w:rsidP="00F33674">
            <w:pPr>
              <w:rPr>
                <w:rFonts w:ascii="Arial Narrow" w:hAnsi="Arial Narrow"/>
                <w:sz w:val="20"/>
                <w:szCs w:val="20"/>
              </w:rPr>
            </w:pPr>
            <w:r w:rsidRPr="00F33674">
              <w:rPr>
                <w:rFonts w:ascii="Arial Narrow" w:hAnsi="Arial Narrow" w:cs="Arial"/>
                <w:sz w:val="20"/>
                <w:szCs w:val="20"/>
              </w:rPr>
              <w:fldChar w:fldCharType="begin">
                <w:ffData>
                  <w:name w:val="Check5"/>
                  <w:enabled/>
                  <w:calcOnExit w:val="0"/>
                  <w:checkBox>
                    <w:sizeAuto/>
                    <w:default w:val="0"/>
                  </w:checkBox>
                </w:ffData>
              </w:fldChar>
            </w:r>
            <w:r w:rsidRPr="00F33674">
              <w:rPr>
                <w:rFonts w:ascii="Arial Narrow" w:hAnsi="Arial Narrow" w:cs="Arial"/>
                <w:sz w:val="20"/>
                <w:szCs w:val="20"/>
              </w:rPr>
              <w:instrText xml:space="preserve"> FORMCHECKBOX </w:instrText>
            </w:r>
            <w:r w:rsidR="00233D13">
              <w:rPr>
                <w:rFonts w:ascii="Arial Narrow" w:hAnsi="Arial Narrow" w:cs="Arial"/>
                <w:sz w:val="20"/>
                <w:szCs w:val="20"/>
              </w:rPr>
            </w:r>
            <w:r w:rsidR="00233D13">
              <w:rPr>
                <w:rFonts w:ascii="Arial Narrow" w:hAnsi="Arial Narrow" w:cs="Arial"/>
                <w:sz w:val="20"/>
                <w:szCs w:val="20"/>
              </w:rPr>
              <w:fldChar w:fldCharType="separate"/>
            </w:r>
            <w:r w:rsidRPr="00F33674">
              <w:rPr>
                <w:rFonts w:ascii="Arial Narrow" w:hAnsi="Arial Narrow" w:cs="Arial"/>
                <w:sz w:val="20"/>
                <w:szCs w:val="20"/>
              </w:rPr>
              <w:fldChar w:fldCharType="end"/>
            </w:r>
            <w:r w:rsidRPr="00F33674">
              <w:rPr>
                <w:rFonts w:ascii="Arial Narrow" w:hAnsi="Arial Narrow" w:cs="Arial"/>
                <w:sz w:val="20"/>
                <w:szCs w:val="20"/>
              </w:rPr>
              <w:t>Streamlined</w:t>
            </w:r>
          </w:p>
        </w:tc>
      </w:tr>
      <w:tr w:rsidR="00830656" w:rsidRPr="00F33674" w14:paraId="467A2562" w14:textId="77777777" w:rsidTr="00F33674">
        <w:trPr>
          <w:cantSplit/>
          <w:trHeight w:val="360"/>
        </w:trPr>
        <w:tc>
          <w:tcPr>
            <w:tcW w:w="2781" w:type="dxa"/>
            <w:tcMar>
              <w:top w:w="0" w:type="dxa"/>
              <w:left w:w="108" w:type="dxa"/>
              <w:bottom w:w="0" w:type="dxa"/>
              <w:right w:w="108" w:type="dxa"/>
            </w:tcMar>
          </w:tcPr>
          <w:p w14:paraId="0565DE6A" w14:textId="0665AD6E" w:rsidR="00830656" w:rsidRPr="00F33674" w:rsidRDefault="00830656" w:rsidP="00F33674">
            <w:pPr>
              <w:rPr>
                <w:rFonts w:ascii="Arial Narrow" w:hAnsi="Arial Narrow" w:cs="Arial"/>
                <w:b/>
                <w:sz w:val="20"/>
                <w:szCs w:val="20"/>
              </w:rPr>
            </w:pPr>
            <w:r>
              <w:rPr>
                <w:rFonts w:ascii="Arial Narrow" w:hAnsi="Arial Narrow" w:cs="Arial"/>
                <w:b/>
                <w:sz w:val="20"/>
                <w:szCs w:val="20"/>
              </w:rPr>
              <w:t>Treatment phase:</w:t>
            </w:r>
          </w:p>
        </w:tc>
        <w:tc>
          <w:tcPr>
            <w:tcW w:w="6245" w:type="dxa"/>
            <w:tcMar>
              <w:top w:w="0" w:type="dxa"/>
              <w:left w:w="108" w:type="dxa"/>
              <w:bottom w:w="0" w:type="dxa"/>
              <w:right w:w="108" w:type="dxa"/>
            </w:tcMar>
          </w:tcPr>
          <w:p w14:paraId="30123B4F" w14:textId="51CD3C6F" w:rsidR="00830656" w:rsidRPr="00F33674" w:rsidRDefault="00265869" w:rsidP="00F33674">
            <w:pPr>
              <w:jc w:val="left"/>
              <w:rPr>
                <w:rFonts w:ascii="Arial Narrow" w:hAnsi="Arial Narrow" w:cs="Arial"/>
                <w:sz w:val="20"/>
                <w:szCs w:val="20"/>
              </w:rPr>
            </w:pPr>
            <w:r>
              <w:rPr>
                <w:rFonts w:ascii="Arial Narrow" w:hAnsi="Arial Narrow" w:cs="Arial"/>
                <w:sz w:val="20"/>
                <w:szCs w:val="20"/>
              </w:rPr>
              <w:t xml:space="preserve">Initial PBS treatment after 1 June 2020 where patient </w:t>
            </w:r>
            <w:proofErr w:type="gramStart"/>
            <w:r>
              <w:rPr>
                <w:rFonts w:ascii="Arial Narrow" w:hAnsi="Arial Narrow" w:cs="Arial"/>
                <w:sz w:val="20"/>
                <w:szCs w:val="20"/>
              </w:rPr>
              <w:t>has been treated</w:t>
            </w:r>
            <w:proofErr w:type="gramEnd"/>
            <w:r>
              <w:rPr>
                <w:rFonts w:ascii="Arial Narrow" w:hAnsi="Arial Narrow" w:cs="Arial"/>
                <w:sz w:val="20"/>
                <w:szCs w:val="20"/>
              </w:rPr>
              <w:t xml:space="preserve"> with opioids for less than 12 months.</w:t>
            </w:r>
          </w:p>
        </w:tc>
      </w:tr>
      <w:tr w:rsidR="00F33674" w:rsidRPr="00F33674" w14:paraId="3B981FC6" w14:textId="77777777" w:rsidTr="00F33674">
        <w:trPr>
          <w:cantSplit/>
          <w:trHeight w:val="360"/>
        </w:trPr>
        <w:tc>
          <w:tcPr>
            <w:tcW w:w="2781" w:type="dxa"/>
            <w:tcMar>
              <w:top w:w="0" w:type="dxa"/>
              <w:left w:w="108" w:type="dxa"/>
              <w:bottom w:w="0" w:type="dxa"/>
              <w:right w:w="108" w:type="dxa"/>
            </w:tcMar>
            <w:hideMark/>
          </w:tcPr>
          <w:p w14:paraId="65EBDDD5" w14:textId="77777777" w:rsidR="00F33674" w:rsidRPr="00F33674" w:rsidRDefault="00F33674" w:rsidP="00F33674">
            <w:pPr>
              <w:rPr>
                <w:rFonts w:ascii="Arial Narrow" w:hAnsi="Arial Narrow"/>
                <w:b/>
                <w:bCs/>
                <w:sz w:val="20"/>
                <w:szCs w:val="20"/>
              </w:rPr>
            </w:pPr>
            <w:r w:rsidRPr="00F33674">
              <w:rPr>
                <w:rFonts w:ascii="Arial Narrow" w:hAnsi="Arial Narrow" w:cs="Arial"/>
                <w:b/>
                <w:sz w:val="20"/>
                <w:szCs w:val="20"/>
              </w:rPr>
              <w:t>Clinical criteria:</w:t>
            </w:r>
          </w:p>
        </w:tc>
        <w:tc>
          <w:tcPr>
            <w:tcW w:w="6245" w:type="dxa"/>
            <w:tcMar>
              <w:top w:w="0" w:type="dxa"/>
              <w:left w:w="108" w:type="dxa"/>
              <w:bottom w:w="0" w:type="dxa"/>
              <w:right w:w="108" w:type="dxa"/>
            </w:tcMar>
          </w:tcPr>
          <w:p w14:paraId="24AA1809" w14:textId="49943F19" w:rsidR="00F33674" w:rsidRPr="00F33674" w:rsidRDefault="00F33674" w:rsidP="00F33674">
            <w:pPr>
              <w:jc w:val="left"/>
              <w:rPr>
                <w:rFonts w:ascii="Arial Narrow" w:hAnsi="Arial Narrow" w:cs="Arial"/>
                <w:sz w:val="20"/>
                <w:szCs w:val="20"/>
              </w:rPr>
            </w:pPr>
            <w:r w:rsidRPr="00F33674">
              <w:rPr>
                <w:rFonts w:ascii="Arial Narrow" w:hAnsi="Arial Narrow" w:cs="Arial"/>
                <w:sz w:val="20"/>
                <w:szCs w:val="20"/>
              </w:rPr>
              <w:t xml:space="preserve">[18096] Patient must have </w:t>
            </w:r>
            <w:r w:rsidR="00830656">
              <w:rPr>
                <w:rFonts w:ascii="Arial Narrow" w:hAnsi="Arial Narrow" w:cs="Arial"/>
                <w:sz w:val="20"/>
                <w:szCs w:val="20"/>
              </w:rPr>
              <w:t>cancer pain</w:t>
            </w:r>
          </w:p>
          <w:p w14:paraId="2C68E68A" w14:textId="77777777" w:rsidR="00F33674" w:rsidRPr="00F33674" w:rsidRDefault="00F33674" w:rsidP="00F33674">
            <w:pPr>
              <w:jc w:val="left"/>
              <w:rPr>
                <w:rFonts w:ascii="Arial Narrow" w:hAnsi="Arial Narrow" w:cs="Arial"/>
                <w:sz w:val="20"/>
                <w:szCs w:val="20"/>
              </w:rPr>
            </w:pPr>
          </w:p>
          <w:p w14:paraId="4F610ABB" w14:textId="77777777" w:rsidR="00F33674" w:rsidRPr="00F33674" w:rsidRDefault="00F33674" w:rsidP="00F33674">
            <w:pPr>
              <w:jc w:val="left"/>
              <w:rPr>
                <w:rFonts w:ascii="Arial Narrow" w:hAnsi="Arial Narrow" w:cs="Arial"/>
                <w:sz w:val="20"/>
                <w:szCs w:val="20"/>
              </w:rPr>
            </w:pPr>
            <w:r w:rsidRPr="00F33674">
              <w:rPr>
                <w:rFonts w:ascii="Arial Narrow" w:hAnsi="Arial Narrow" w:cs="Arial"/>
                <w:sz w:val="20"/>
                <w:szCs w:val="20"/>
              </w:rPr>
              <w:t>AND</w:t>
            </w:r>
          </w:p>
          <w:p w14:paraId="58E59687" w14:textId="77777777" w:rsidR="00F33674" w:rsidRPr="00F33674" w:rsidRDefault="00F33674" w:rsidP="00F33674">
            <w:pPr>
              <w:jc w:val="left"/>
              <w:rPr>
                <w:rFonts w:ascii="Arial Narrow" w:hAnsi="Arial Narrow" w:cs="Arial"/>
                <w:sz w:val="20"/>
                <w:szCs w:val="20"/>
              </w:rPr>
            </w:pPr>
          </w:p>
          <w:p w14:paraId="7ACC96C6" w14:textId="1E962B15" w:rsidR="00F33674" w:rsidRPr="00F33674" w:rsidRDefault="00F33674" w:rsidP="00F33674">
            <w:pPr>
              <w:jc w:val="left"/>
              <w:rPr>
                <w:rFonts w:ascii="Arial Narrow" w:hAnsi="Arial Narrow" w:cs="Arial"/>
                <w:sz w:val="20"/>
                <w:szCs w:val="20"/>
              </w:rPr>
            </w:pPr>
            <w:r w:rsidRPr="00F33674">
              <w:rPr>
                <w:rFonts w:ascii="Arial Narrow" w:hAnsi="Arial Narrow" w:cs="Arial"/>
                <w:sz w:val="20"/>
                <w:szCs w:val="20"/>
              </w:rPr>
              <w:t>[new] Patient must have</w:t>
            </w:r>
            <w:r w:rsidR="00830656">
              <w:rPr>
                <w:rFonts w:ascii="Arial Narrow" w:hAnsi="Arial Narrow" w:cs="Arial"/>
                <w:sz w:val="20"/>
                <w:szCs w:val="20"/>
              </w:rPr>
              <w:t xml:space="preserve"> had or would have</w:t>
            </w:r>
            <w:r w:rsidRPr="00F33674">
              <w:rPr>
                <w:rFonts w:ascii="Arial Narrow" w:hAnsi="Arial Narrow" w:cs="Arial"/>
                <w:sz w:val="20"/>
                <w:szCs w:val="20"/>
              </w:rPr>
              <w:t xml:space="preserve"> inadequate </w:t>
            </w:r>
            <w:r w:rsidR="00830656">
              <w:rPr>
                <w:rFonts w:ascii="Arial Narrow" w:hAnsi="Arial Narrow" w:cs="Arial"/>
                <w:sz w:val="20"/>
                <w:szCs w:val="20"/>
              </w:rPr>
              <w:t xml:space="preserve">pain </w:t>
            </w:r>
            <w:r w:rsidRPr="00F33674">
              <w:rPr>
                <w:rFonts w:ascii="Arial Narrow" w:hAnsi="Arial Narrow" w:cs="Arial"/>
                <w:sz w:val="20"/>
                <w:szCs w:val="20"/>
              </w:rPr>
              <w:t xml:space="preserve">management </w:t>
            </w:r>
            <w:r w:rsidR="00830656">
              <w:rPr>
                <w:rFonts w:ascii="Arial Narrow" w:hAnsi="Arial Narrow" w:cs="Arial"/>
                <w:sz w:val="20"/>
                <w:szCs w:val="20"/>
              </w:rPr>
              <w:t>with</w:t>
            </w:r>
            <w:r w:rsidRPr="00F33674">
              <w:rPr>
                <w:rFonts w:ascii="Arial Narrow" w:hAnsi="Arial Narrow" w:cs="Arial"/>
                <w:sz w:val="20"/>
                <w:szCs w:val="20"/>
              </w:rPr>
              <w:t xml:space="preserve"> maximum tolerated doses of non-opioid and other opioid analgesics</w:t>
            </w:r>
          </w:p>
          <w:p w14:paraId="15C1330D" w14:textId="77777777" w:rsidR="00F33674" w:rsidRPr="00F33674" w:rsidRDefault="00F33674" w:rsidP="00F33674">
            <w:pPr>
              <w:jc w:val="left"/>
              <w:rPr>
                <w:rFonts w:ascii="Arial Narrow" w:hAnsi="Arial Narrow" w:cs="Arial"/>
                <w:sz w:val="20"/>
                <w:szCs w:val="20"/>
              </w:rPr>
            </w:pPr>
            <w:r w:rsidRPr="00F33674">
              <w:rPr>
                <w:rFonts w:ascii="Arial Narrow" w:hAnsi="Arial Narrow" w:cs="Arial"/>
                <w:sz w:val="20"/>
                <w:szCs w:val="20"/>
              </w:rPr>
              <w:t>OR</w:t>
            </w:r>
          </w:p>
          <w:p w14:paraId="62E9BA2C" w14:textId="5ED7FC35" w:rsidR="00F33674" w:rsidRPr="00F33674" w:rsidRDefault="00F33674">
            <w:pPr>
              <w:jc w:val="left"/>
              <w:rPr>
                <w:rFonts w:ascii="Arial Narrow" w:hAnsi="Arial Narrow"/>
                <w:sz w:val="20"/>
                <w:szCs w:val="20"/>
              </w:rPr>
            </w:pPr>
            <w:r w:rsidRPr="00F33674">
              <w:rPr>
                <w:rFonts w:ascii="Arial Narrow" w:hAnsi="Arial Narrow" w:cs="Arial"/>
                <w:sz w:val="20"/>
                <w:szCs w:val="20"/>
              </w:rPr>
              <w:t>[new] Patient must be unable to use non-opioid and other opioid analgesics due to contraindications or intolerance.</w:t>
            </w:r>
          </w:p>
        </w:tc>
      </w:tr>
      <w:tr w:rsidR="00F33674" w:rsidRPr="00F33674" w14:paraId="2C9EC863" w14:textId="77777777" w:rsidTr="00F33674">
        <w:trPr>
          <w:cantSplit/>
          <w:trHeight w:val="360"/>
        </w:trPr>
        <w:tc>
          <w:tcPr>
            <w:tcW w:w="2781" w:type="dxa"/>
            <w:tcMar>
              <w:top w:w="0" w:type="dxa"/>
              <w:left w:w="108" w:type="dxa"/>
              <w:bottom w:w="0" w:type="dxa"/>
              <w:right w:w="108" w:type="dxa"/>
            </w:tcMar>
          </w:tcPr>
          <w:p w14:paraId="5607B716" w14:textId="77777777" w:rsidR="00F33674" w:rsidRPr="00F33674" w:rsidRDefault="00F33674" w:rsidP="00F33674">
            <w:pPr>
              <w:rPr>
                <w:rFonts w:ascii="Arial Narrow" w:hAnsi="Arial Narrow" w:cs="Arial"/>
                <w:b/>
                <w:sz w:val="20"/>
                <w:szCs w:val="20"/>
              </w:rPr>
            </w:pPr>
            <w:r w:rsidRPr="00F33674">
              <w:rPr>
                <w:rFonts w:ascii="Arial Narrow" w:hAnsi="Arial Narrow" w:cs="Arial"/>
                <w:b/>
                <w:sz w:val="20"/>
                <w:szCs w:val="20"/>
              </w:rPr>
              <w:t>Prescriber instructions:</w:t>
            </w:r>
          </w:p>
        </w:tc>
        <w:tc>
          <w:tcPr>
            <w:tcW w:w="6245" w:type="dxa"/>
            <w:tcMar>
              <w:top w:w="0" w:type="dxa"/>
              <w:left w:w="108" w:type="dxa"/>
              <w:bottom w:w="0" w:type="dxa"/>
              <w:right w:w="108" w:type="dxa"/>
            </w:tcMar>
          </w:tcPr>
          <w:p w14:paraId="554FFAF3" w14:textId="6068A76C" w:rsidR="00F33674" w:rsidRPr="00F33674" w:rsidRDefault="00F33674" w:rsidP="00193259">
            <w:pPr>
              <w:jc w:val="left"/>
              <w:rPr>
                <w:rFonts w:ascii="Arial Narrow" w:hAnsi="Arial Narrow" w:cs="Arial"/>
                <w:sz w:val="20"/>
                <w:szCs w:val="20"/>
              </w:rPr>
            </w:pPr>
            <w:r w:rsidRPr="00F33674">
              <w:rPr>
                <w:rFonts w:ascii="Arial Narrow" w:hAnsi="Arial Narrow" w:cs="Arial"/>
                <w:sz w:val="20"/>
                <w:szCs w:val="20"/>
              </w:rPr>
              <w:t xml:space="preserve">[new] Authorities for increased maximum quantities and/or repeats </w:t>
            </w:r>
            <w:r w:rsidR="00830656">
              <w:rPr>
                <w:rFonts w:ascii="Arial Narrow" w:hAnsi="Arial Narrow" w:cs="Arial"/>
                <w:sz w:val="20"/>
                <w:szCs w:val="20"/>
              </w:rPr>
              <w:t xml:space="preserve">under this restriction </w:t>
            </w:r>
            <w:proofErr w:type="gramStart"/>
            <w:r w:rsidRPr="00F33674">
              <w:rPr>
                <w:rFonts w:ascii="Arial Narrow" w:hAnsi="Arial Narrow" w:cs="Arial"/>
                <w:sz w:val="20"/>
                <w:szCs w:val="20"/>
              </w:rPr>
              <w:t>must only be considered</w:t>
            </w:r>
            <w:proofErr w:type="gramEnd"/>
            <w:r w:rsidRPr="00F33674">
              <w:rPr>
                <w:rFonts w:ascii="Arial Narrow" w:hAnsi="Arial Narrow" w:cs="Arial"/>
                <w:sz w:val="20"/>
                <w:szCs w:val="20"/>
              </w:rPr>
              <w:t xml:space="preserve"> for</w:t>
            </w:r>
            <w:r w:rsidR="00830656">
              <w:rPr>
                <w:rFonts w:ascii="Arial Narrow" w:hAnsi="Arial Narrow" w:cs="Arial"/>
                <w:sz w:val="20"/>
                <w:szCs w:val="20"/>
              </w:rPr>
              <w:t xml:space="preserve"> </w:t>
            </w:r>
            <w:r w:rsidRPr="00F33674">
              <w:rPr>
                <w:rFonts w:ascii="Arial Narrow" w:hAnsi="Arial Narrow" w:cs="Arial"/>
                <w:sz w:val="20"/>
                <w:szCs w:val="20"/>
              </w:rPr>
              <w:t>chronic severe disabling pain where the total duration of non-PBS and PBS subsidised opioid analgesic treatment is less than 12 months.</w:t>
            </w:r>
          </w:p>
          <w:p w14:paraId="785B0DA5" w14:textId="77777777" w:rsidR="00F33674" w:rsidRPr="00F33674" w:rsidRDefault="00F33674" w:rsidP="00F33674">
            <w:pPr>
              <w:jc w:val="left"/>
              <w:rPr>
                <w:rFonts w:ascii="Arial Narrow" w:hAnsi="Arial Narrow" w:cs="Arial"/>
                <w:sz w:val="20"/>
                <w:szCs w:val="20"/>
              </w:rPr>
            </w:pPr>
          </w:p>
          <w:p w14:paraId="58277D2F" w14:textId="77777777" w:rsidR="00F33674" w:rsidRPr="00F33674" w:rsidRDefault="00F33674" w:rsidP="00F33674">
            <w:pPr>
              <w:jc w:val="left"/>
              <w:rPr>
                <w:rFonts w:ascii="Arial Narrow" w:hAnsi="Arial Narrow" w:cs="Arial"/>
                <w:sz w:val="20"/>
                <w:szCs w:val="20"/>
              </w:rPr>
            </w:pPr>
            <w:r w:rsidRPr="00F33674">
              <w:rPr>
                <w:rFonts w:ascii="Arial Narrow" w:hAnsi="Arial Narrow" w:cs="Arial"/>
                <w:sz w:val="20"/>
                <w:szCs w:val="20"/>
              </w:rPr>
              <w:t>[new] Authority requests extending treatment duration up to 1 month may be requested though the Online PBS Authorities system or by calling Services Australia.</w:t>
            </w:r>
          </w:p>
          <w:p w14:paraId="7DFA52DB" w14:textId="77777777" w:rsidR="00F33674" w:rsidRPr="00F33674" w:rsidRDefault="00F33674" w:rsidP="00F33674">
            <w:pPr>
              <w:jc w:val="left"/>
              <w:rPr>
                <w:rFonts w:ascii="Arial Narrow" w:hAnsi="Arial Narrow" w:cs="Arial"/>
                <w:sz w:val="20"/>
                <w:szCs w:val="20"/>
              </w:rPr>
            </w:pPr>
          </w:p>
          <w:p w14:paraId="07499326" w14:textId="29EBD678" w:rsidR="00F33674" w:rsidRPr="00F33674" w:rsidRDefault="00F33674">
            <w:pPr>
              <w:jc w:val="left"/>
              <w:rPr>
                <w:rFonts w:ascii="Arial Narrow" w:hAnsi="Arial Narrow" w:cs="Arial"/>
                <w:sz w:val="20"/>
                <w:szCs w:val="20"/>
              </w:rPr>
            </w:pPr>
            <w:r w:rsidRPr="00F33674">
              <w:rPr>
                <w:rFonts w:ascii="Arial Narrow" w:hAnsi="Arial Narrow" w:cs="Arial"/>
                <w:sz w:val="20"/>
                <w:szCs w:val="20"/>
              </w:rPr>
              <w:t xml:space="preserve">Authority requests extending treatment duration beyond 1 month </w:t>
            </w:r>
            <w:r w:rsidR="00830656" w:rsidRPr="00830656">
              <w:rPr>
                <w:rFonts w:ascii="Arial Narrow" w:hAnsi="Arial Narrow" w:cs="Arial"/>
                <w:sz w:val="20"/>
                <w:szCs w:val="20"/>
              </w:rPr>
              <w:t>may be requested through the Online PBS Authorities system</w:t>
            </w:r>
            <w:r w:rsidRPr="00F33674">
              <w:rPr>
                <w:rFonts w:ascii="Arial Narrow" w:hAnsi="Arial Narrow" w:cs="Arial"/>
                <w:sz w:val="20"/>
                <w:szCs w:val="20"/>
              </w:rPr>
              <w:t xml:space="preserve"> or in writing only and must not provide a treatment duration exceeding 3 months</w:t>
            </w:r>
            <w:r w:rsidR="00830656" w:rsidRPr="00830656">
              <w:rPr>
                <w:rFonts w:ascii="Arial Narrow" w:hAnsi="Arial Narrow" w:cs="Arial"/>
                <w:sz w:val="20"/>
                <w:szCs w:val="20"/>
              </w:rPr>
              <w:t xml:space="preserve"> (quantity sufficient for up to </w:t>
            </w:r>
            <w:proofErr w:type="gramStart"/>
            <w:r w:rsidR="00830656" w:rsidRPr="00830656">
              <w:rPr>
                <w:rFonts w:ascii="Arial Narrow" w:hAnsi="Arial Narrow" w:cs="Arial"/>
                <w:sz w:val="20"/>
                <w:szCs w:val="20"/>
              </w:rPr>
              <w:t>1 month</w:t>
            </w:r>
            <w:proofErr w:type="gramEnd"/>
            <w:r w:rsidR="00830656" w:rsidRPr="00830656">
              <w:rPr>
                <w:rFonts w:ascii="Arial Narrow" w:hAnsi="Arial Narrow" w:cs="Arial"/>
                <w:sz w:val="20"/>
                <w:szCs w:val="20"/>
              </w:rPr>
              <w:t xml:space="preserve"> treatment and sufficient repeats)</w:t>
            </w:r>
            <w:r w:rsidRPr="00F33674">
              <w:rPr>
                <w:rFonts w:ascii="Arial Narrow" w:hAnsi="Arial Narrow" w:cs="Arial"/>
                <w:sz w:val="20"/>
                <w:szCs w:val="20"/>
              </w:rPr>
              <w:t>.</w:t>
            </w:r>
          </w:p>
        </w:tc>
      </w:tr>
      <w:tr w:rsidR="00F33674" w:rsidRPr="00F33674" w14:paraId="0F12B227" w14:textId="77777777" w:rsidTr="00F33674">
        <w:trPr>
          <w:cantSplit/>
          <w:trHeight w:val="360"/>
        </w:trPr>
        <w:tc>
          <w:tcPr>
            <w:tcW w:w="2781" w:type="dxa"/>
            <w:tcMar>
              <w:top w:w="0" w:type="dxa"/>
              <w:left w:w="108" w:type="dxa"/>
              <w:bottom w:w="0" w:type="dxa"/>
              <w:right w:w="108" w:type="dxa"/>
            </w:tcMar>
          </w:tcPr>
          <w:p w14:paraId="627A3E8D" w14:textId="77777777" w:rsidR="00F33674" w:rsidRPr="00F33674" w:rsidRDefault="00F33674" w:rsidP="00F33674">
            <w:pPr>
              <w:rPr>
                <w:rFonts w:ascii="Arial Narrow" w:hAnsi="Arial Narrow" w:cs="Arial"/>
                <w:b/>
                <w:sz w:val="20"/>
                <w:szCs w:val="20"/>
              </w:rPr>
            </w:pPr>
            <w:r w:rsidRPr="00F33674">
              <w:rPr>
                <w:rFonts w:ascii="Arial Narrow" w:hAnsi="Arial Narrow" w:cs="Arial"/>
                <w:b/>
                <w:sz w:val="20"/>
                <w:szCs w:val="20"/>
              </w:rPr>
              <w:lastRenderedPageBreak/>
              <w:t>Administrative advice:</w:t>
            </w:r>
          </w:p>
        </w:tc>
        <w:tc>
          <w:tcPr>
            <w:tcW w:w="6245" w:type="dxa"/>
            <w:tcMar>
              <w:top w:w="0" w:type="dxa"/>
              <w:left w:w="108" w:type="dxa"/>
              <w:bottom w:w="0" w:type="dxa"/>
              <w:right w:w="108" w:type="dxa"/>
            </w:tcMar>
          </w:tcPr>
          <w:p w14:paraId="06BE9718" w14:textId="77777777" w:rsidR="00F33674" w:rsidRPr="00F33674" w:rsidRDefault="00F33674" w:rsidP="00F33674">
            <w:pPr>
              <w:jc w:val="left"/>
              <w:rPr>
                <w:rFonts w:ascii="Arial Narrow" w:hAnsi="Arial Narrow"/>
                <w:sz w:val="20"/>
                <w:szCs w:val="20"/>
              </w:rPr>
            </w:pPr>
            <w:r w:rsidRPr="00F33674">
              <w:rPr>
                <w:rFonts w:ascii="Arial Narrow" w:hAnsi="Arial Narrow"/>
                <w:sz w:val="20"/>
                <w:szCs w:val="20"/>
              </w:rPr>
              <w:t>[new] Consider consultation with a multidisciplinary pain service prior to, or after commencement of this medication.</w:t>
            </w:r>
          </w:p>
          <w:p w14:paraId="58B72E76" w14:textId="77777777" w:rsidR="00F33674" w:rsidRPr="00F33674" w:rsidRDefault="00F33674" w:rsidP="00F33674">
            <w:pPr>
              <w:jc w:val="left"/>
              <w:rPr>
                <w:rFonts w:ascii="Arial Narrow" w:hAnsi="Arial Narrow" w:cs="Arial"/>
                <w:sz w:val="20"/>
                <w:szCs w:val="20"/>
              </w:rPr>
            </w:pPr>
          </w:p>
          <w:p w14:paraId="067E4E4C" w14:textId="77777777" w:rsidR="00F33674" w:rsidRPr="00F33674" w:rsidRDefault="00F33674" w:rsidP="00F33674">
            <w:pPr>
              <w:jc w:val="left"/>
              <w:rPr>
                <w:rFonts w:ascii="Arial Narrow" w:hAnsi="Arial Narrow" w:cs="Arial"/>
                <w:sz w:val="20"/>
                <w:szCs w:val="20"/>
              </w:rPr>
            </w:pPr>
            <w:r w:rsidRPr="00F33674">
              <w:rPr>
                <w:rFonts w:ascii="Arial Narrow" w:hAnsi="Arial Narrow" w:cs="Arial"/>
                <w:sz w:val="20"/>
                <w:szCs w:val="20"/>
              </w:rPr>
              <w:t>[new] Real time online applications for increased maximum quantities/repeats may be made using the Online PBS Authorities system (see www.servicesaustralia.gov.au/organisations/health-professionals/services/medicare/hpos/services/request-authority-using-online-pbs-authorities-hpos)</w:t>
            </w:r>
          </w:p>
          <w:p w14:paraId="368E5C87" w14:textId="77777777" w:rsidR="00F33674" w:rsidRPr="00F33674" w:rsidRDefault="00F33674" w:rsidP="00F33674">
            <w:pPr>
              <w:jc w:val="left"/>
              <w:rPr>
                <w:rFonts w:ascii="Arial Narrow" w:hAnsi="Arial Narrow" w:cs="Arial"/>
                <w:sz w:val="20"/>
                <w:szCs w:val="20"/>
              </w:rPr>
            </w:pPr>
          </w:p>
          <w:p w14:paraId="0E807340" w14:textId="578F7336" w:rsidR="00F33674" w:rsidRPr="00F33674" w:rsidRDefault="00F33674" w:rsidP="00F33674">
            <w:pPr>
              <w:jc w:val="left"/>
              <w:rPr>
                <w:rFonts w:ascii="Arial Narrow" w:hAnsi="Arial Narrow" w:cs="Arial"/>
                <w:sz w:val="20"/>
                <w:szCs w:val="20"/>
              </w:rPr>
            </w:pPr>
            <w:r w:rsidRPr="00F33674">
              <w:rPr>
                <w:rFonts w:ascii="Arial Narrow" w:hAnsi="Arial Narrow" w:cs="Arial"/>
                <w:sz w:val="20"/>
                <w:szCs w:val="20"/>
              </w:rPr>
              <w:t>Phone applications for increased maximum quantities/repeats may be made by calling 1800 888 333.</w:t>
            </w:r>
          </w:p>
          <w:p w14:paraId="70D2074F" w14:textId="77777777" w:rsidR="00F33674" w:rsidRPr="00F33674" w:rsidRDefault="00F33674" w:rsidP="00F33674">
            <w:pPr>
              <w:jc w:val="left"/>
              <w:rPr>
                <w:rFonts w:ascii="Arial Narrow" w:hAnsi="Arial Narrow" w:cs="Arial"/>
                <w:sz w:val="20"/>
                <w:szCs w:val="20"/>
              </w:rPr>
            </w:pPr>
          </w:p>
          <w:p w14:paraId="446F5038" w14:textId="77777777" w:rsidR="00F33674" w:rsidRPr="00F33674" w:rsidRDefault="00F33674" w:rsidP="00F33674">
            <w:pPr>
              <w:jc w:val="left"/>
              <w:rPr>
                <w:rFonts w:ascii="Arial Narrow" w:hAnsi="Arial Narrow" w:cs="Arial"/>
                <w:sz w:val="20"/>
                <w:szCs w:val="20"/>
              </w:rPr>
            </w:pPr>
            <w:r w:rsidRPr="00F33674">
              <w:rPr>
                <w:rFonts w:ascii="Arial Narrow" w:hAnsi="Arial Narrow" w:cs="Arial"/>
                <w:sz w:val="20"/>
                <w:szCs w:val="20"/>
              </w:rPr>
              <w:t>Written authority applications for increased maximum quantities/repeats can be uploaded online through HPOS form upload or mailed to:</w:t>
            </w:r>
          </w:p>
          <w:p w14:paraId="7D654B2F" w14:textId="77777777" w:rsidR="00F33674" w:rsidRPr="00F33674" w:rsidRDefault="00F33674" w:rsidP="00F33674">
            <w:pPr>
              <w:jc w:val="left"/>
              <w:rPr>
                <w:rFonts w:ascii="Arial Narrow" w:hAnsi="Arial Narrow" w:cs="Arial"/>
                <w:sz w:val="20"/>
                <w:szCs w:val="20"/>
              </w:rPr>
            </w:pPr>
            <w:r w:rsidRPr="00F33674">
              <w:rPr>
                <w:rFonts w:ascii="Arial Narrow" w:hAnsi="Arial Narrow" w:cs="Arial"/>
                <w:sz w:val="20"/>
                <w:szCs w:val="20"/>
              </w:rPr>
              <w:t>Pharmaceutical Benefits Scheme</w:t>
            </w:r>
          </w:p>
          <w:p w14:paraId="320237EC" w14:textId="77777777" w:rsidR="00F33674" w:rsidRPr="00F33674" w:rsidRDefault="00F33674" w:rsidP="00F33674">
            <w:pPr>
              <w:jc w:val="left"/>
              <w:rPr>
                <w:rFonts w:ascii="Arial Narrow" w:hAnsi="Arial Narrow" w:cs="Arial"/>
                <w:sz w:val="20"/>
                <w:szCs w:val="20"/>
              </w:rPr>
            </w:pPr>
            <w:r w:rsidRPr="00F33674">
              <w:rPr>
                <w:rFonts w:ascii="Arial Narrow" w:hAnsi="Arial Narrow" w:cs="Arial"/>
                <w:sz w:val="20"/>
                <w:szCs w:val="20"/>
              </w:rPr>
              <w:t>Reply Paid 9857</w:t>
            </w:r>
          </w:p>
          <w:p w14:paraId="1A28174D" w14:textId="77777777" w:rsidR="00F33674" w:rsidRPr="00F33674" w:rsidRDefault="00F33674" w:rsidP="00F33674">
            <w:pPr>
              <w:jc w:val="left"/>
              <w:rPr>
                <w:rFonts w:ascii="Arial Narrow" w:hAnsi="Arial Narrow" w:cs="Arial"/>
                <w:sz w:val="20"/>
                <w:szCs w:val="20"/>
              </w:rPr>
            </w:pPr>
            <w:r w:rsidRPr="00F33674">
              <w:rPr>
                <w:rFonts w:ascii="Arial Narrow" w:hAnsi="Arial Narrow" w:cs="Arial"/>
                <w:sz w:val="20"/>
                <w:szCs w:val="20"/>
              </w:rPr>
              <w:t>[Your capital city]</w:t>
            </w:r>
          </w:p>
        </w:tc>
      </w:tr>
      <w:tr w:rsidR="00F33674" w:rsidRPr="00F33674" w14:paraId="1EAC8366" w14:textId="77777777" w:rsidTr="00F33674">
        <w:trPr>
          <w:cantSplit/>
          <w:trHeight w:val="360"/>
        </w:trPr>
        <w:tc>
          <w:tcPr>
            <w:tcW w:w="2781" w:type="dxa"/>
            <w:tcMar>
              <w:top w:w="0" w:type="dxa"/>
              <w:left w:w="108" w:type="dxa"/>
              <w:bottom w:w="0" w:type="dxa"/>
              <w:right w:w="108" w:type="dxa"/>
            </w:tcMar>
            <w:hideMark/>
          </w:tcPr>
          <w:p w14:paraId="5B493917" w14:textId="77777777" w:rsidR="00F33674" w:rsidRPr="00F33674" w:rsidRDefault="00F33674" w:rsidP="00F33674">
            <w:pPr>
              <w:rPr>
                <w:rFonts w:ascii="Arial Narrow" w:hAnsi="Arial Narrow"/>
                <w:b/>
                <w:bCs/>
                <w:sz w:val="20"/>
                <w:szCs w:val="20"/>
              </w:rPr>
            </w:pPr>
            <w:r w:rsidRPr="00F33674">
              <w:rPr>
                <w:rFonts w:ascii="Arial Narrow" w:hAnsi="Arial Narrow" w:cs="Arial"/>
                <w:b/>
                <w:sz w:val="20"/>
                <w:szCs w:val="20"/>
              </w:rPr>
              <w:t>Cautions:</w:t>
            </w:r>
          </w:p>
        </w:tc>
        <w:tc>
          <w:tcPr>
            <w:tcW w:w="6245" w:type="dxa"/>
            <w:tcMar>
              <w:top w:w="0" w:type="dxa"/>
              <w:left w:w="108" w:type="dxa"/>
              <w:bottom w:w="0" w:type="dxa"/>
              <w:right w:w="108" w:type="dxa"/>
            </w:tcMar>
            <w:hideMark/>
          </w:tcPr>
          <w:p w14:paraId="232006AB" w14:textId="77777777" w:rsidR="00F33674" w:rsidRPr="00F33674" w:rsidRDefault="00F33674" w:rsidP="00F33674">
            <w:pPr>
              <w:jc w:val="left"/>
              <w:rPr>
                <w:rFonts w:ascii="Arial Narrow" w:hAnsi="Arial Narrow"/>
                <w:sz w:val="20"/>
                <w:szCs w:val="20"/>
              </w:rPr>
            </w:pPr>
            <w:r w:rsidRPr="00F33674">
              <w:rPr>
                <w:rFonts w:ascii="Arial Narrow" w:hAnsi="Arial Narrow" w:cs="Arial"/>
                <w:sz w:val="20"/>
                <w:szCs w:val="20"/>
              </w:rPr>
              <w:t>[6986] The risk of drug dependence is high.</w:t>
            </w:r>
          </w:p>
        </w:tc>
      </w:tr>
    </w:tbl>
    <w:p w14:paraId="2DE59134" w14:textId="77777777" w:rsidR="00CB71CC" w:rsidRDefault="00CB71CC" w:rsidP="00CB71CC">
      <w:pPr>
        <w:pStyle w:val="3-BodyText"/>
        <w:numPr>
          <w:ilvl w:val="0"/>
          <w:numId w:val="0"/>
        </w:numPr>
        <w:ind w:left="720"/>
      </w:pPr>
    </w:p>
    <w:tbl>
      <w:tblPr>
        <w:tblW w:w="9026"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781"/>
        <w:gridCol w:w="6245"/>
      </w:tblGrid>
      <w:tr w:rsidR="00A74C03" w:rsidRPr="00F33674" w14:paraId="07F993A3" w14:textId="77777777" w:rsidTr="00A74C03">
        <w:trPr>
          <w:cantSplit/>
          <w:trHeight w:val="360"/>
        </w:trPr>
        <w:tc>
          <w:tcPr>
            <w:tcW w:w="2781" w:type="dxa"/>
            <w:tcMar>
              <w:top w:w="0" w:type="dxa"/>
              <w:left w:w="108" w:type="dxa"/>
              <w:bottom w:w="0" w:type="dxa"/>
              <w:right w:w="108" w:type="dxa"/>
            </w:tcMar>
            <w:hideMark/>
          </w:tcPr>
          <w:p w14:paraId="566DEA47" w14:textId="77777777" w:rsidR="00A74C03" w:rsidRPr="00F33674" w:rsidRDefault="00A74C03" w:rsidP="00A74C03">
            <w:pPr>
              <w:rPr>
                <w:rFonts w:ascii="Arial Narrow" w:hAnsi="Arial Narrow"/>
                <w:b/>
                <w:bCs/>
                <w:sz w:val="20"/>
                <w:szCs w:val="20"/>
              </w:rPr>
            </w:pPr>
            <w:r w:rsidRPr="00F33674">
              <w:rPr>
                <w:rFonts w:ascii="Arial Narrow" w:hAnsi="Arial Narrow" w:cs="Arial"/>
                <w:b/>
                <w:sz w:val="20"/>
                <w:szCs w:val="20"/>
              </w:rPr>
              <w:t>Category / Program:</w:t>
            </w:r>
          </w:p>
        </w:tc>
        <w:tc>
          <w:tcPr>
            <w:tcW w:w="6245" w:type="dxa"/>
            <w:tcMar>
              <w:top w:w="0" w:type="dxa"/>
              <w:left w:w="108" w:type="dxa"/>
              <w:bottom w:w="0" w:type="dxa"/>
              <w:right w:w="108" w:type="dxa"/>
            </w:tcMar>
            <w:hideMark/>
          </w:tcPr>
          <w:p w14:paraId="51C18434" w14:textId="77777777" w:rsidR="00A74C03" w:rsidRPr="00F33674" w:rsidRDefault="00A74C03" w:rsidP="00A74C03">
            <w:pPr>
              <w:rPr>
                <w:rFonts w:ascii="Arial Narrow" w:hAnsi="Arial Narrow"/>
                <w:sz w:val="20"/>
                <w:szCs w:val="20"/>
              </w:rPr>
            </w:pPr>
            <w:r w:rsidRPr="00F33674">
              <w:rPr>
                <w:rFonts w:ascii="Arial Narrow" w:hAnsi="Arial Narrow" w:cs="Arial"/>
                <w:sz w:val="20"/>
                <w:szCs w:val="20"/>
              </w:rPr>
              <w:t>GENERAL – General Schedule (Code GE)</w:t>
            </w:r>
          </w:p>
        </w:tc>
      </w:tr>
      <w:tr w:rsidR="00A74C03" w:rsidRPr="00F33674" w14:paraId="1A87E87E" w14:textId="77777777" w:rsidTr="00A74C03">
        <w:trPr>
          <w:cantSplit/>
          <w:trHeight w:val="360"/>
        </w:trPr>
        <w:tc>
          <w:tcPr>
            <w:tcW w:w="2781" w:type="dxa"/>
            <w:tcMar>
              <w:top w:w="0" w:type="dxa"/>
              <w:left w:w="108" w:type="dxa"/>
              <w:bottom w:w="0" w:type="dxa"/>
              <w:right w:w="108" w:type="dxa"/>
            </w:tcMar>
          </w:tcPr>
          <w:p w14:paraId="0CA19867" w14:textId="77777777" w:rsidR="00A74C03" w:rsidRPr="00F33674" w:rsidRDefault="00A74C03" w:rsidP="00A74C03">
            <w:pPr>
              <w:rPr>
                <w:rFonts w:ascii="Arial Narrow" w:hAnsi="Arial Narrow" w:cs="Arial"/>
                <w:b/>
                <w:sz w:val="20"/>
                <w:szCs w:val="20"/>
              </w:rPr>
            </w:pPr>
            <w:r w:rsidRPr="00F33674">
              <w:rPr>
                <w:rFonts w:ascii="Arial Narrow" w:hAnsi="Arial Narrow" w:cs="Arial"/>
                <w:b/>
                <w:sz w:val="20"/>
                <w:szCs w:val="20"/>
              </w:rPr>
              <w:t>Prescriber type:</w:t>
            </w:r>
          </w:p>
          <w:p w14:paraId="2E606622" w14:textId="77777777" w:rsidR="00A74C03" w:rsidRPr="00F33674" w:rsidRDefault="00A74C03" w:rsidP="00A74C03">
            <w:pPr>
              <w:rPr>
                <w:rFonts w:ascii="Arial Narrow" w:hAnsi="Arial Narrow"/>
                <w:b/>
                <w:bCs/>
                <w:sz w:val="20"/>
                <w:szCs w:val="20"/>
              </w:rPr>
            </w:pPr>
          </w:p>
        </w:tc>
        <w:tc>
          <w:tcPr>
            <w:tcW w:w="6245" w:type="dxa"/>
            <w:tcMar>
              <w:top w:w="0" w:type="dxa"/>
              <w:left w:w="108" w:type="dxa"/>
              <w:bottom w:w="0" w:type="dxa"/>
              <w:right w:w="108" w:type="dxa"/>
            </w:tcMar>
            <w:hideMark/>
          </w:tcPr>
          <w:p w14:paraId="433B0177" w14:textId="65781D94" w:rsidR="00A74C03" w:rsidRPr="00F33674" w:rsidRDefault="00A74C03" w:rsidP="00A74C03">
            <w:pPr>
              <w:rPr>
                <w:rFonts w:ascii="Arial Narrow" w:hAnsi="Arial Narrow" w:cs="Arial"/>
                <w:sz w:val="20"/>
                <w:szCs w:val="20"/>
              </w:rPr>
            </w:pPr>
            <w:r w:rsidRPr="00F33674">
              <w:rPr>
                <w:rFonts w:ascii="Arial Narrow" w:hAnsi="Arial Narrow" w:cs="Arial"/>
                <w:sz w:val="20"/>
                <w:szCs w:val="20"/>
              </w:rPr>
              <w:fldChar w:fldCharType="begin">
                <w:ffData>
                  <w:name w:val="Check1"/>
                  <w:enabled/>
                  <w:calcOnExit w:val="0"/>
                  <w:checkBox>
                    <w:sizeAuto/>
                    <w:default w:val="0"/>
                  </w:checkBox>
                </w:ffData>
              </w:fldChar>
            </w:r>
            <w:r w:rsidRPr="00F33674">
              <w:rPr>
                <w:rFonts w:ascii="Arial Narrow" w:hAnsi="Arial Narrow" w:cs="Arial"/>
                <w:sz w:val="20"/>
                <w:szCs w:val="20"/>
              </w:rPr>
              <w:instrText xml:space="preserve"> FORMCHECKBOX </w:instrText>
            </w:r>
            <w:r w:rsidR="00233D13">
              <w:rPr>
                <w:rFonts w:ascii="Arial Narrow" w:hAnsi="Arial Narrow" w:cs="Arial"/>
                <w:sz w:val="20"/>
                <w:szCs w:val="20"/>
              </w:rPr>
            </w:r>
            <w:r w:rsidR="00233D13">
              <w:rPr>
                <w:rFonts w:ascii="Arial Narrow" w:hAnsi="Arial Narrow" w:cs="Arial"/>
                <w:sz w:val="20"/>
                <w:szCs w:val="20"/>
              </w:rPr>
              <w:fldChar w:fldCharType="separate"/>
            </w:r>
            <w:r w:rsidRPr="00F33674">
              <w:rPr>
                <w:rFonts w:ascii="Arial Narrow" w:hAnsi="Arial Narrow" w:cs="Arial"/>
                <w:sz w:val="20"/>
                <w:szCs w:val="20"/>
              </w:rPr>
              <w:fldChar w:fldCharType="end"/>
            </w:r>
            <w:r w:rsidRPr="00F33674">
              <w:rPr>
                <w:rFonts w:ascii="Arial Narrow" w:hAnsi="Arial Narrow" w:cs="Arial"/>
                <w:sz w:val="20"/>
                <w:szCs w:val="20"/>
              </w:rPr>
              <w:t>Dental</w:t>
            </w:r>
            <w:r w:rsidR="002C1329">
              <w:rPr>
                <w:rFonts w:ascii="Arial Narrow" w:hAnsi="Arial Narrow" w:cs="Arial"/>
                <w:sz w:val="20"/>
                <w:szCs w:val="20"/>
              </w:rPr>
              <w:t xml:space="preserve"> </w:t>
            </w:r>
            <w:r w:rsidRPr="00F33674">
              <w:rPr>
                <w:rFonts w:ascii="Arial Narrow" w:hAnsi="Arial Narrow" w:cs="Arial"/>
                <w:sz w:val="20"/>
                <w:szCs w:val="20"/>
              </w:rPr>
              <w:fldChar w:fldCharType="begin">
                <w:ffData>
                  <w:name w:val=""/>
                  <w:enabled/>
                  <w:calcOnExit w:val="0"/>
                  <w:checkBox>
                    <w:sizeAuto/>
                    <w:default w:val="1"/>
                  </w:checkBox>
                </w:ffData>
              </w:fldChar>
            </w:r>
            <w:r w:rsidRPr="00F33674">
              <w:rPr>
                <w:rFonts w:ascii="Arial Narrow" w:hAnsi="Arial Narrow" w:cs="Arial"/>
                <w:sz w:val="20"/>
                <w:szCs w:val="20"/>
              </w:rPr>
              <w:instrText xml:space="preserve"> FORMCHECKBOX </w:instrText>
            </w:r>
            <w:r w:rsidR="00233D13">
              <w:rPr>
                <w:rFonts w:ascii="Arial Narrow" w:hAnsi="Arial Narrow" w:cs="Arial"/>
                <w:sz w:val="20"/>
                <w:szCs w:val="20"/>
              </w:rPr>
            </w:r>
            <w:r w:rsidR="00233D13">
              <w:rPr>
                <w:rFonts w:ascii="Arial Narrow" w:hAnsi="Arial Narrow" w:cs="Arial"/>
                <w:sz w:val="20"/>
                <w:szCs w:val="20"/>
              </w:rPr>
              <w:fldChar w:fldCharType="separate"/>
            </w:r>
            <w:r w:rsidRPr="00F33674">
              <w:rPr>
                <w:rFonts w:ascii="Arial Narrow" w:hAnsi="Arial Narrow" w:cs="Arial"/>
                <w:sz w:val="20"/>
                <w:szCs w:val="20"/>
              </w:rPr>
              <w:fldChar w:fldCharType="end"/>
            </w:r>
            <w:r w:rsidRPr="00F33674">
              <w:rPr>
                <w:rFonts w:ascii="Arial Narrow" w:hAnsi="Arial Narrow" w:cs="Arial"/>
                <w:sz w:val="20"/>
                <w:szCs w:val="20"/>
              </w:rPr>
              <w:t>Medical Practitioners</w:t>
            </w:r>
            <w:r w:rsidR="002C1329">
              <w:rPr>
                <w:rFonts w:ascii="Arial Narrow" w:hAnsi="Arial Narrow" w:cs="Arial"/>
                <w:sz w:val="20"/>
                <w:szCs w:val="20"/>
              </w:rPr>
              <w:t xml:space="preserve"> </w:t>
            </w:r>
            <w:r w:rsidRPr="00F33674">
              <w:rPr>
                <w:rFonts w:ascii="Arial Narrow" w:hAnsi="Arial Narrow" w:cs="Arial"/>
                <w:sz w:val="20"/>
                <w:szCs w:val="20"/>
              </w:rPr>
              <w:fldChar w:fldCharType="begin">
                <w:ffData>
                  <w:name w:val="Check3"/>
                  <w:enabled/>
                  <w:calcOnExit w:val="0"/>
                  <w:checkBox>
                    <w:sizeAuto/>
                    <w:default w:val="1"/>
                  </w:checkBox>
                </w:ffData>
              </w:fldChar>
            </w:r>
            <w:r w:rsidRPr="00F33674">
              <w:rPr>
                <w:rFonts w:ascii="Arial Narrow" w:hAnsi="Arial Narrow" w:cs="Arial"/>
                <w:sz w:val="20"/>
                <w:szCs w:val="20"/>
              </w:rPr>
              <w:instrText xml:space="preserve"> FORMCHECKBOX </w:instrText>
            </w:r>
            <w:r w:rsidR="00233D13">
              <w:rPr>
                <w:rFonts w:ascii="Arial Narrow" w:hAnsi="Arial Narrow" w:cs="Arial"/>
                <w:sz w:val="20"/>
                <w:szCs w:val="20"/>
              </w:rPr>
            </w:r>
            <w:r w:rsidR="00233D13">
              <w:rPr>
                <w:rFonts w:ascii="Arial Narrow" w:hAnsi="Arial Narrow" w:cs="Arial"/>
                <w:sz w:val="20"/>
                <w:szCs w:val="20"/>
              </w:rPr>
              <w:fldChar w:fldCharType="separate"/>
            </w:r>
            <w:r w:rsidRPr="00F33674">
              <w:rPr>
                <w:rFonts w:ascii="Arial Narrow" w:hAnsi="Arial Narrow" w:cs="Arial"/>
                <w:sz w:val="20"/>
                <w:szCs w:val="20"/>
              </w:rPr>
              <w:fldChar w:fldCharType="end"/>
            </w:r>
            <w:r w:rsidRPr="00F33674">
              <w:rPr>
                <w:rFonts w:ascii="Arial Narrow" w:hAnsi="Arial Narrow" w:cs="Arial"/>
                <w:sz w:val="20"/>
                <w:szCs w:val="20"/>
              </w:rPr>
              <w:t>Nurse practitioners</w:t>
            </w:r>
            <w:r w:rsidR="002C1329">
              <w:rPr>
                <w:rFonts w:ascii="Arial Narrow" w:hAnsi="Arial Narrow" w:cs="Arial"/>
                <w:sz w:val="20"/>
                <w:szCs w:val="20"/>
              </w:rPr>
              <w:t xml:space="preserve"> </w:t>
            </w:r>
            <w:r w:rsidRPr="00F33674">
              <w:rPr>
                <w:rFonts w:ascii="Arial Narrow" w:hAnsi="Arial Narrow" w:cs="Arial"/>
                <w:sz w:val="20"/>
                <w:szCs w:val="20"/>
              </w:rPr>
              <w:fldChar w:fldCharType="begin">
                <w:ffData>
                  <w:name w:val=""/>
                  <w:enabled/>
                  <w:calcOnExit w:val="0"/>
                  <w:checkBox>
                    <w:sizeAuto/>
                    <w:default w:val="0"/>
                  </w:checkBox>
                </w:ffData>
              </w:fldChar>
            </w:r>
            <w:r w:rsidRPr="00F33674">
              <w:rPr>
                <w:rFonts w:ascii="Arial Narrow" w:hAnsi="Arial Narrow" w:cs="Arial"/>
                <w:sz w:val="20"/>
                <w:szCs w:val="20"/>
              </w:rPr>
              <w:instrText xml:space="preserve"> FORMCHECKBOX </w:instrText>
            </w:r>
            <w:r w:rsidR="00233D13">
              <w:rPr>
                <w:rFonts w:ascii="Arial Narrow" w:hAnsi="Arial Narrow" w:cs="Arial"/>
                <w:sz w:val="20"/>
                <w:szCs w:val="20"/>
              </w:rPr>
            </w:r>
            <w:r w:rsidR="00233D13">
              <w:rPr>
                <w:rFonts w:ascii="Arial Narrow" w:hAnsi="Arial Narrow" w:cs="Arial"/>
                <w:sz w:val="20"/>
                <w:szCs w:val="20"/>
              </w:rPr>
              <w:fldChar w:fldCharType="separate"/>
            </w:r>
            <w:r w:rsidRPr="00F33674">
              <w:rPr>
                <w:rFonts w:ascii="Arial Narrow" w:hAnsi="Arial Narrow" w:cs="Arial"/>
                <w:sz w:val="20"/>
                <w:szCs w:val="20"/>
              </w:rPr>
              <w:fldChar w:fldCharType="end"/>
            </w:r>
            <w:r w:rsidRPr="00F33674">
              <w:rPr>
                <w:rFonts w:ascii="Arial Narrow" w:hAnsi="Arial Narrow" w:cs="Arial"/>
                <w:sz w:val="20"/>
                <w:szCs w:val="20"/>
              </w:rPr>
              <w:t>Optometrists</w:t>
            </w:r>
          </w:p>
          <w:p w14:paraId="49B40746" w14:textId="77777777" w:rsidR="00A74C03" w:rsidRPr="00F33674" w:rsidRDefault="00A74C03" w:rsidP="00A74C03">
            <w:pPr>
              <w:rPr>
                <w:rFonts w:ascii="Arial Narrow" w:hAnsi="Arial Narrow"/>
                <w:sz w:val="20"/>
                <w:szCs w:val="20"/>
              </w:rPr>
            </w:pPr>
            <w:r w:rsidRPr="00F33674">
              <w:rPr>
                <w:rFonts w:ascii="Arial Narrow" w:hAnsi="Arial Narrow" w:cs="Arial"/>
                <w:sz w:val="20"/>
                <w:szCs w:val="20"/>
              </w:rPr>
              <w:fldChar w:fldCharType="begin">
                <w:ffData>
                  <w:name w:val="Check5"/>
                  <w:enabled/>
                  <w:calcOnExit w:val="0"/>
                  <w:checkBox>
                    <w:sizeAuto/>
                    <w:default w:val="0"/>
                  </w:checkBox>
                </w:ffData>
              </w:fldChar>
            </w:r>
            <w:r w:rsidRPr="00F33674">
              <w:rPr>
                <w:rFonts w:ascii="Arial Narrow" w:hAnsi="Arial Narrow" w:cs="Arial"/>
                <w:sz w:val="20"/>
                <w:szCs w:val="20"/>
              </w:rPr>
              <w:instrText xml:space="preserve"> FORMCHECKBOX </w:instrText>
            </w:r>
            <w:r w:rsidR="00233D13">
              <w:rPr>
                <w:rFonts w:ascii="Arial Narrow" w:hAnsi="Arial Narrow" w:cs="Arial"/>
                <w:sz w:val="20"/>
                <w:szCs w:val="20"/>
              </w:rPr>
            </w:r>
            <w:r w:rsidR="00233D13">
              <w:rPr>
                <w:rFonts w:ascii="Arial Narrow" w:hAnsi="Arial Narrow" w:cs="Arial"/>
                <w:sz w:val="20"/>
                <w:szCs w:val="20"/>
              </w:rPr>
              <w:fldChar w:fldCharType="separate"/>
            </w:r>
            <w:r w:rsidRPr="00F33674">
              <w:rPr>
                <w:rFonts w:ascii="Arial Narrow" w:hAnsi="Arial Narrow" w:cs="Arial"/>
                <w:sz w:val="20"/>
                <w:szCs w:val="20"/>
              </w:rPr>
              <w:fldChar w:fldCharType="end"/>
            </w:r>
            <w:r w:rsidRPr="00F33674">
              <w:rPr>
                <w:rFonts w:ascii="Arial Narrow" w:hAnsi="Arial Narrow" w:cs="Arial"/>
                <w:sz w:val="20"/>
                <w:szCs w:val="20"/>
              </w:rPr>
              <w:t>Midwives</w:t>
            </w:r>
          </w:p>
        </w:tc>
      </w:tr>
      <w:tr w:rsidR="00A74C03" w:rsidRPr="00F33674" w14:paraId="50378FC7" w14:textId="77777777" w:rsidTr="00A74C03">
        <w:trPr>
          <w:cantSplit/>
          <w:trHeight w:val="369"/>
        </w:trPr>
        <w:tc>
          <w:tcPr>
            <w:tcW w:w="2781" w:type="dxa"/>
            <w:tcMar>
              <w:top w:w="0" w:type="dxa"/>
              <w:left w:w="108" w:type="dxa"/>
              <w:bottom w:w="0" w:type="dxa"/>
              <w:right w:w="108" w:type="dxa"/>
            </w:tcMar>
            <w:hideMark/>
          </w:tcPr>
          <w:p w14:paraId="6AEED800" w14:textId="77777777" w:rsidR="00A74C03" w:rsidRPr="00F33674" w:rsidRDefault="00A74C03" w:rsidP="00A74C03">
            <w:pPr>
              <w:rPr>
                <w:rFonts w:ascii="Arial Narrow" w:hAnsi="Arial Narrow"/>
                <w:b/>
                <w:bCs/>
                <w:sz w:val="20"/>
                <w:szCs w:val="20"/>
              </w:rPr>
            </w:pPr>
            <w:r w:rsidRPr="00F33674">
              <w:rPr>
                <w:rFonts w:ascii="Arial Narrow" w:hAnsi="Arial Narrow" w:cs="Arial"/>
                <w:b/>
                <w:sz w:val="20"/>
                <w:szCs w:val="20"/>
              </w:rPr>
              <w:t>PBS indication:</w:t>
            </w:r>
          </w:p>
        </w:tc>
        <w:tc>
          <w:tcPr>
            <w:tcW w:w="6245" w:type="dxa"/>
            <w:tcMar>
              <w:top w:w="0" w:type="dxa"/>
              <w:left w:w="108" w:type="dxa"/>
              <w:bottom w:w="0" w:type="dxa"/>
              <w:right w:w="108" w:type="dxa"/>
            </w:tcMar>
            <w:hideMark/>
          </w:tcPr>
          <w:p w14:paraId="67E17AF9" w14:textId="77777777" w:rsidR="00A74C03" w:rsidRPr="00F33674" w:rsidRDefault="00A74C03" w:rsidP="00A74C03">
            <w:pPr>
              <w:rPr>
                <w:rFonts w:ascii="Arial Narrow" w:hAnsi="Arial Narrow"/>
                <w:sz w:val="20"/>
                <w:szCs w:val="20"/>
              </w:rPr>
            </w:pPr>
            <w:r w:rsidRPr="00F33674">
              <w:rPr>
                <w:rFonts w:ascii="Arial Narrow" w:hAnsi="Arial Narrow" w:cs="Arial"/>
                <w:sz w:val="20"/>
                <w:szCs w:val="20"/>
              </w:rPr>
              <w:t>[New] Cancer pain</w:t>
            </w:r>
          </w:p>
        </w:tc>
      </w:tr>
      <w:tr w:rsidR="00A74C03" w:rsidRPr="00F33674" w14:paraId="7E0A81EE" w14:textId="77777777" w:rsidTr="00A74C03">
        <w:trPr>
          <w:cantSplit/>
          <w:trHeight w:val="360"/>
        </w:trPr>
        <w:tc>
          <w:tcPr>
            <w:tcW w:w="2781" w:type="dxa"/>
            <w:tcMar>
              <w:top w:w="0" w:type="dxa"/>
              <w:left w:w="108" w:type="dxa"/>
              <w:bottom w:w="0" w:type="dxa"/>
              <w:right w:w="108" w:type="dxa"/>
            </w:tcMar>
          </w:tcPr>
          <w:p w14:paraId="7E939FA7" w14:textId="77777777" w:rsidR="00A74C03" w:rsidRPr="00F33674" w:rsidRDefault="00A74C03" w:rsidP="00A74C03">
            <w:pPr>
              <w:rPr>
                <w:rFonts w:ascii="Arial Narrow" w:hAnsi="Arial Narrow" w:cs="Arial"/>
                <w:b/>
                <w:sz w:val="20"/>
                <w:szCs w:val="20"/>
              </w:rPr>
            </w:pPr>
            <w:r w:rsidRPr="00F33674">
              <w:rPr>
                <w:rFonts w:ascii="Arial Narrow" w:hAnsi="Arial Narrow" w:cs="Arial"/>
                <w:b/>
                <w:sz w:val="20"/>
                <w:szCs w:val="20"/>
              </w:rPr>
              <w:t>Restriction Level / Method:</w:t>
            </w:r>
          </w:p>
          <w:p w14:paraId="0060CC1F" w14:textId="77777777" w:rsidR="00A74C03" w:rsidRPr="00F33674" w:rsidRDefault="00A74C03" w:rsidP="00A74C03">
            <w:pPr>
              <w:rPr>
                <w:rFonts w:ascii="Arial Narrow" w:hAnsi="Arial Narrow" w:cs="Arial"/>
                <w:i/>
                <w:sz w:val="20"/>
                <w:szCs w:val="20"/>
              </w:rPr>
            </w:pPr>
          </w:p>
          <w:p w14:paraId="1C837DE2" w14:textId="77777777" w:rsidR="00A74C03" w:rsidRPr="00F33674" w:rsidRDefault="00A74C03" w:rsidP="00A74C03">
            <w:pPr>
              <w:rPr>
                <w:rFonts w:ascii="Arial Narrow" w:hAnsi="Arial Narrow" w:cs="Arial"/>
                <w:i/>
                <w:sz w:val="20"/>
                <w:szCs w:val="20"/>
              </w:rPr>
            </w:pPr>
          </w:p>
          <w:p w14:paraId="7B80F88D" w14:textId="77777777" w:rsidR="00A74C03" w:rsidRPr="00F33674" w:rsidRDefault="00A74C03" w:rsidP="00A74C03">
            <w:pPr>
              <w:rPr>
                <w:rFonts w:ascii="Arial Narrow" w:hAnsi="Arial Narrow"/>
                <w:i/>
                <w:iCs/>
                <w:sz w:val="20"/>
                <w:szCs w:val="20"/>
              </w:rPr>
            </w:pPr>
          </w:p>
        </w:tc>
        <w:tc>
          <w:tcPr>
            <w:tcW w:w="6245" w:type="dxa"/>
            <w:tcMar>
              <w:top w:w="0" w:type="dxa"/>
              <w:left w:w="108" w:type="dxa"/>
              <w:bottom w:w="0" w:type="dxa"/>
              <w:right w:w="108" w:type="dxa"/>
            </w:tcMar>
            <w:hideMark/>
          </w:tcPr>
          <w:p w14:paraId="1DCC4351" w14:textId="77777777" w:rsidR="00A74C03" w:rsidRPr="00F33674" w:rsidRDefault="00A74C03" w:rsidP="00A74C03">
            <w:pPr>
              <w:rPr>
                <w:rFonts w:ascii="Arial Narrow" w:hAnsi="Arial Narrow" w:cs="Arial"/>
                <w:sz w:val="20"/>
                <w:szCs w:val="20"/>
              </w:rPr>
            </w:pPr>
            <w:r w:rsidRPr="00F33674">
              <w:rPr>
                <w:rFonts w:ascii="Arial Narrow" w:hAnsi="Arial Narrow" w:cs="Arial"/>
                <w:sz w:val="20"/>
                <w:szCs w:val="20"/>
              </w:rPr>
              <w:fldChar w:fldCharType="begin">
                <w:ffData>
                  <w:name w:val=""/>
                  <w:enabled/>
                  <w:calcOnExit w:val="0"/>
                  <w:checkBox>
                    <w:sizeAuto/>
                    <w:default w:val="0"/>
                  </w:checkBox>
                </w:ffData>
              </w:fldChar>
            </w:r>
            <w:r w:rsidRPr="00F33674">
              <w:rPr>
                <w:rFonts w:ascii="Arial Narrow" w:hAnsi="Arial Narrow" w:cs="Arial"/>
                <w:sz w:val="20"/>
                <w:szCs w:val="20"/>
              </w:rPr>
              <w:instrText xml:space="preserve"> FORMCHECKBOX </w:instrText>
            </w:r>
            <w:r w:rsidR="00233D13">
              <w:rPr>
                <w:rFonts w:ascii="Arial Narrow" w:hAnsi="Arial Narrow" w:cs="Arial"/>
                <w:sz w:val="20"/>
                <w:szCs w:val="20"/>
              </w:rPr>
            </w:r>
            <w:r w:rsidR="00233D13">
              <w:rPr>
                <w:rFonts w:ascii="Arial Narrow" w:hAnsi="Arial Narrow" w:cs="Arial"/>
                <w:sz w:val="20"/>
                <w:szCs w:val="20"/>
              </w:rPr>
              <w:fldChar w:fldCharType="separate"/>
            </w:r>
            <w:r w:rsidRPr="00F33674">
              <w:rPr>
                <w:rFonts w:ascii="Arial Narrow" w:hAnsi="Arial Narrow" w:cs="Arial"/>
                <w:sz w:val="20"/>
                <w:szCs w:val="20"/>
              </w:rPr>
              <w:fldChar w:fldCharType="end"/>
            </w:r>
            <w:r w:rsidRPr="00F33674">
              <w:rPr>
                <w:rFonts w:ascii="Arial Narrow" w:hAnsi="Arial Narrow" w:cs="Arial"/>
                <w:sz w:val="20"/>
                <w:szCs w:val="20"/>
              </w:rPr>
              <w:t>Unrestricted benefit</w:t>
            </w:r>
          </w:p>
          <w:p w14:paraId="403F4B46" w14:textId="77777777" w:rsidR="00A74C03" w:rsidRPr="00F33674" w:rsidRDefault="00A74C03" w:rsidP="00A74C03">
            <w:pPr>
              <w:rPr>
                <w:rFonts w:ascii="Arial Narrow" w:hAnsi="Arial Narrow" w:cs="Arial"/>
                <w:i/>
                <w:sz w:val="20"/>
                <w:szCs w:val="20"/>
              </w:rPr>
            </w:pPr>
            <w:r w:rsidRPr="00F33674">
              <w:rPr>
                <w:rFonts w:ascii="Arial Narrow" w:hAnsi="Arial Narrow" w:cs="Arial"/>
                <w:i/>
                <w:sz w:val="20"/>
                <w:szCs w:val="20"/>
              </w:rPr>
              <w:fldChar w:fldCharType="begin">
                <w:ffData>
                  <w:name w:val="Check1"/>
                  <w:enabled/>
                  <w:calcOnExit w:val="0"/>
                  <w:checkBox>
                    <w:sizeAuto/>
                    <w:default w:val="1"/>
                  </w:checkBox>
                </w:ffData>
              </w:fldChar>
            </w:r>
            <w:r w:rsidRPr="00F33674">
              <w:rPr>
                <w:rFonts w:ascii="Arial Narrow" w:hAnsi="Arial Narrow" w:cs="Arial"/>
                <w:i/>
                <w:sz w:val="20"/>
                <w:szCs w:val="20"/>
              </w:rPr>
              <w:instrText xml:space="preserve"> FORMCHECKBOX </w:instrText>
            </w:r>
            <w:r w:rsidR="00233D13">
              <w:rPr>
                <w:rFonts w:ascii="Arial Narrow" w:hAnsi="Arial Narrow" w:cs="Arial"/>
                <w:i/>
                <w:sz w:val="20"/>
                <w:szCs w:val="20"/>
              </w:rPr>
            </w:r>
            <w:r w:rsidR="00233D13">
              <w:rPr>
                <w:rFonts w:ascii="Arial Narrow" w:hAnsi="Arial Narrow" w:cs="Arial"/>
                <w:i/>
                <w:sz w:val="20"/>
                <w:szCs w:val="20"/>
              </w:rPr>
              <w:fldChar w:fldCharType="separate"/>
            </w:r>
            <w:r w:rsidRPr="00F33674">
              <w:rPr>
                <w:rFonts w:ascii="Arial Narrow" w:hAnsi="Arial Narrow" w:cs="Arial"/>
                <w:i/>
                <w:sz w:val="20"/>
                <w:szCs w:val="20"/>
              </w:rPr>
              <w:fldChar w:fldCharType="end"/>
            </w:r>
            <w:r w:rsidRPr="00F33674">
              <w:rPr>
                <w:rFonts w:ascii="Arial Narrow" w:hAnsi="Arial Narrow" w:cs="Arial"/>
                <w:sz w:val="20"/>
                <w:szCs w:val="20"/>
              </w:rPr>
              <w:t>Restricted benefit</w:t>
            </w:r>
          </w:p>
          <w:p w14:paraId="573795E5" w14:textId="77777777" w:rsidR="00A74C03" w:rsidRPr="00F33674" w:rsidRDefault="00A74C03" w:rsidP="00A74C03">
            <w:pPr>
              <w:rPr>
                <w:rFonts w:ascii="Arial Narrow" w:hAnsi="Arial Narrow" w:cs="Arial"/>
                <w:sz w:val="20"/>
                <w:szCs w:val="20"/>
              </w:rPr>
            </w:pPr>
            <w:r w:rsidRPr="00F33674">
              <w:rPr>
                <w:rFonts w:ascii="Arial Narrow" w:hAnsi="Arial Narrow" w:cs="Arial"/>
                <w:sz w:val="20"/>
                <w:szCs w:val="20"/>
              </w:rPr>
              <w:fldChar w:fldCharType="begin">
                <w:ffData>
                  <w:name w:val=""/>
                  <w:enabled/>
                  <w:calcOnExit w:val="0"/>
                  <w:checkBox>
                    <w:sizeAuto/>
                    <w:default w:val="0"/>
                  </w:checkBox>
                </w:ffData>
              </w:fldChar>
            </w:r>
            <w:r w:rsidRPr="00F33674">
              <w:rPr>
                <w:rFonts w:ascii="Arial Narrow" w:hAnsi="Arial Narrow" w:cs="Arial"/>
                <w:sz w:val="20"/>
                <w:szCs w:val="20"/>
              </w:rPr>
              <w:instrText xml:space="preserve"> FORMCHECKBOX </w:instrText>
            </w:r>
            <w:r w:rsidR="00233D13">
              <w:rPr>
                <w:rFonts w:ascii="Arial Narrow" w:hAnsi="Arial Narrow" w:cs="Arial"/>
                <w:sz w:val="20"/>
                <w:szCs w:val="20"/>
              </w:rPr>
            </w:r>
            <w:r w:rsidR="00233D13">
              <w:rPr>
                <w:rFonts w:ascii="Arial Narrow" w:hAnsi="Arial Narrow" w:cs="Arial"/>
                <w:sz w:val="20"/>
                <w:szCs w:val="20"/>
              </w:rPr>
              <w:fldChar w:fldCharType="separate"/>
            </w:r>
            <w:r w:rsidRPr="00F33674">
              <w:rPr>
                <w:rFonts w:ascii="Arial Narrow" w:hAnsi="Arial Narrow" w:cs="Arial"/>
                <w:sz w:val="20"/>
                <w:szCs w:val="20"/>
              </w:rPr>
              <w:fldChar w:fldCharType="end"/>
            </w:r>
            <w:r w:rsidRPr="00F33674">
              <w:rPr>
                <w:rFonts w:ascii="Arial Narrow" w:hAnsi="Arial Narrow" w:cs="Arial"/>
                <w:sz w:val="20"/>
                <w:szCs w:val="20"/>
              </w:rPr>
              <w:t>Authority Required – In Writing</w:t>
            </w:r>
          </w:p>
          <w:p w14:paraId="0A7E4763" w14:textId="77777777" w:rsidR="00A74C03" w:rsidRPr="00F33674" w:rsidRDefault="00A74C03" w:rsidP="00A74C03">
            <w:pPr>
              <w:rPr>
                <w:rFonts w:ascii="Arial Narrow" w:hAnsi="Arial Narrow" w:cs="Arial"/>
                <w:sz w:val="20"/>
                <w:szCs w:val="20"/>
              </w:rPr>
            </w:pPr>
            <w:r w:rsidRPr="00F33674">
              <w:rPr>
                <w:rFonts w:ascii="Arial Narrow" w:hAnsi="Arial Narrow" w:cs="Arial"/>
                <w:sz w:val="20"/>
                <w:szCs w:val="20"/>
              </w:rPr>
              <w:fldChar w:fldCharType="begin">
                <w:ffData>
                  <w:name w:val="Check3"/>
                  <w:enabled/>
                  <w:calcOnExit w:val="0"/>
                  <w:checkBox>
                    <w:sizeAuto/>
                    <w:default w:val="0"/>
                  </w:checkBox>
                </w:ffData>
              </w:fldChar>
            </w:r>
            <w:r w:rsidRPr="00F33674">
              <w:rPr>
                <w:rFonts w:ascii="Arial Narrow" w:hAnsi="Arial Narrow" w:cs="Arial"/>
                <w:sz w:val="20"/>
                <w:szCs w:val="20"/>
              </w:rPr>
              <w:instrText xml:space="preserve"> FORMCHECKBOX </w:instrText>
            </w:r>
            <w:r w:rsidR="00233D13">
              <w:rPr>
                <w:rFonts w:ascii="Arial Narrow" w:hAnsi="Arial Narrow" w:cs="Arial"/>
                <w:sz w:val="20"/>
                <w:szCs w:val="20"/>
              </w:rPr>
            </w:r>
            <w:r w:rsidR="00233D13">
              <w:rPr>
                <w:rFonts w:ascii="Arial Narrow" w:hAnsi="Arial Narrow" w:cs="Arial"/>
                <w:sz w:val="20"/>
                <w:szCs w:val="20"/>
              </w:rPr>
              <w:fldChar w:fldCharType="separate"/>
            </w:r>
            <w:r w:rsidRPr="00F33674">
              <w:rPr>
                <w:rFonts w:ascii="Arial Narrow" w:hAnsi="Arial Narrow" w:cs="Arial"/>
                <w:sz w:val="20"/>
                <w:szCs w:val="20"/>
              </w:rPr>
              <w:fldChar w:fldCharType="end"/>
            </w:r>
            <w:r w:rsidRPr="00F33674">
              <w:rPr>
                <w:rFonts w:ascii="Arial Narrow" w:hAnsi="Arial Narrow" w:cs="Arial"/>
                <w:sz w:val="20"/>
                <w:szCs w:val="20"/>
              </w:rPr>
              <w:t>Authority Required – Telephone/Electronic/Emergency</w:t>
            </w:r>
          </w:p>
          <w:p w14:paraId="29856899" w14:textId="77777777" w:rsidR="00A74C03" w:rsidRPr="00F33674" w:rsidRDefault="00A74C03" w:rsidP="00A74C03">
            <w:pPr>
              <w:rPr>
                <w:rFonts w:ascii="Arial Narrow" w:hAnsi="Arial Narrow"/>
                <w:sz w:val="20"/>
                <w:szCs w:val="20"/>
              </w:rPr>
            </w:pPr>
            <w:r w:rsidRPr="00F33674">
              <w:rPr>
                <w:rFonts w:ascii="Arial Narrow" w:hAnsi="Arial Narrow" w:cs="Arial"/>
                <w:sz w:val="20"/>
                <w:szCs w:val="20"/>
              </w:rPr>
              <w:fldChar w:fldCharType="begin">
                <w:ffData>
                  <w:name w:val="Check5"/>
                  <w:enabled/>
                  <w:calcOnExit w:val="0"/>
                  <w:checkBox>
                    <w:sizeAuto/>
                    <w:default w:val="0"/>
                  </w:checkBox>
                </w:ffData>
              </w:fldChar>
            </w:r>
            <w:r w:rsidRPr="00F33674">
              <w:rPr>
                <w:rFonts w:ascii="Arial Narrow" w:hAnsi="Arial Narrow" w:cs="Arial"/>
                <w:sz w:val="20"/>
                <w:szCs w:val="20"/>
              </w:rPr>
              <w:instrText xml:space="preserve"> FORMCHECKBOX </w:instrText>
            </w:r>
            <w:r w:rsidR="00233D13">
              <w:rPr>
                <w:rFonts w:ascii="Arial Narrow" w:hAnsi="Arial Narrow" w:cs="Arial"/>
                <w:sz w:val="20"/>
                <w:szCs w:val="20"/>
              </w:rPr>
            </w:r>
            <w:r w:rsidR="00233D13">
              <w:rPr>
                <w:rFonts w:ascii="Arial Narrow" w:hAnsi="Arial Narrow" w:cs="Arial"/>
                <w:sz w:val="20"/>
                <w:szCs w:val="20"/>
              </w:rPr>
              <w:fldChar w:fldCharType="separate"/>
            </w:r>
            <w:r w:rsidRPr="00F33674">
              <w:rPr>
                <w:rFonts w:ascii="Arial Narrow" w:hAnsi="Arial Narrow" w:cs="Arial"/>
                <w:sz w:val="20"/>
                <w:szCs w:val="20"/>
              </w:rPr>
              <w:fldChar w:fldCharType="end"/>
            </w:r>
            <w:r w:rsidRPr="00F33674">
              <w:rPr>
                <w:rFonts w:ascii="Arial Narrow" w:hAnsi="Arial Narrow" w:cs="Arial"/>
                <w:sz w:val="20"/>
                <w:szCs w:val="20"/>
              </w:rPr>
              <w:t>Streamlined</w:t>
            </w:r>
          </w:p>
        </w:tc>
      </w:tr>
      <w:tr w:rsidR="00A74C03" w:rsidRPr="00F33674" w14:paraId="00CFC408" w14:textId="77777777" w:rsidTr="00A74C03">
        <w:trPr>
          <w:cantSplit/>
          <w:trHeight w:val="360"/>
        </w:trPr>
        <w:tc>
          <w:tcPr>
            <w:tcW w:w="2781" w:type="dxa"/>
            <w:tcMar>
              <w:top w:w="0" w:type="dxa"/>
              <w:left w:w="108" w:type="dxa"/>
              <w:bottom w:w="0" w:type="dxa"/>
              <w:right w:w="108" w:type="dxa"/>
            </w:tcMar>
          </w:tcPr>
          <w:p w14:paraId="74278B2F" w14:textId="77777777" w:rsidR="00A74C03" w:rsidRPr="00F33674" w:rsidRDefault="00A74C03" w:rsidP="00A74C03">
            <w:pPr>
              <w:rPr>
                <w:rFonts w:ascii="Arial Narrow" w:hAnsi="Arial Narrow" w:cs="Arial"/>
                <w:b/>
                <w:sz w:val="20"/>
                <w:szCs w:val="20"/>
              </w:rPr>
            </w:pPr>
            <w:r>
              <w:rPr>
                <w:rFonts w:ascii="Arial Narrow" w:hAnsi="Arial Narrow" w:cs="Arial"/>
                <w:b/>
                <w:sz w:val="20"/>
                <w:szCs w:val="20"/>
              </w:rPr>
              <w:t>Treatment phase:</w:t>
            </w:r>
          </w:p>
        </w:tc>
        <w:tc>
          <w:tcPr>
            <w:tcW w:w="6245" w:type="dxa"/>
            <w:tcMar>
              <w:top w:w="0" w:type="dxa"/>
              <w:left w:w="108" w:type="dxa"/>
              <w:bottom w:w="0" w:type="dxa"/>
              <w:right w:w="108" w:type="dxa"/>
            </w:tcMar>
          </w:tcPr>
          <w:p w14:paraId="2C137081" w14:textId="2CA43C34" w:rsidR="00A74C03" w:rsidRPr="00F33674" w:rsidRDefault="00A74C03">
            <w:pPr>
              <w:jc w:val="left"/>
              <w:rPr>
                <w:rFonts w:ascii="Arial Narrow" w:hAnsi="Arial Narrow" w:cs="Arial"/>
                <w:sz w:val="20"/>
                <w:szCs w:val="20"/>
              </w:rPr>
            </w:pPr>
            <w:r w:rsidRPr="00830656">
              <w:rPr>
                <w:rFonts w:ascii="Arial Narrow" w:hAnsi="Arial Narrow" w:cs="Arial"/>
                <w:sz w:val="20"/>
                <w:szCs w:val="20"/>
              </w:rPr>
              <w:t xml:space="preserve">Initial PBS treatment after 1 June 2020 where patient </w:t>
            </w:r>
            <w:proofErr w:type="gramStart"/>
            <w:r w:rsidRPr="00830656">
              <w:rPr>
                <w:rFonts w:ascii="Arial Narrow" w:hAnsi="Arial Narrow" w:cs="Arial"/>
                <w:sz w:val="20"/>
                <w:szCs w:val="20"/>
              </w:rPr>
              <w:t>has been treated</w:t>
            </w:r>
            <w:proofErr w:type="gramEnd"/>
            <w:r w:rsidRPr="00830656">
              <w:rPr>
                <w:rFonts w:ascii="Arial Narrow" w:hAnsi="Arial Narrow" w:cs="Arial"/>
                <w:sz w:val="20"/>
                <w:szCs w:val="20"/>
              </w:rPr>
              <w:t xml:space="preserve"> with opioids for </w:t>
            </w:r>
            <w:r>
              <w:rPr>
                <w:rFonts w:ascii="Arial Narrow" w:hAnsi="Arial Narrow" w:cs="Arial"/>
                <w:sz w:val="20"/>
                <w:szCs w:val="20"/>
              </w:rPr>
              <w:t>more</w:t>
            </w:r>
            <w:r w:rsidRPr="00830656">
              <w:rPr>
                <w:rFonts w:ascii="Arial Narrow" w:hAnsi="Arial Narrow" w:cs="Arial"/>
                <w:sz w:val="20"/>
                <w:szCs w:val="20"/>
              </w:rPr>
              <w:t xml:space="preserve"> than 12 months</w:t>
            </w:r>
            <w:r>
              <w:rPr>
                <w:rFonts w:ascii="Arial Narrow" w:hAnsi="Arial Narrow" w:cs="Arial"/>
                <w:sz w:val="20"/>
                <w:szCs w:val="20"/>
              </w:rPr>
              <w:t>.</w:t>
            </w:r>
          </w:p>
        </w:tc>
      </w:tr>
      <w:tr w:rsidR="00A74C03" w:rsidRPr="00F33674" w14:paraId="5E5370F3" w14:textId="77777777" w:rsidTr="00A74C03">
        <w:trPr>
          <w:cantSplit/>
          <w:trHeight w:val="360"/>
        </w:trPr>
        <w:tc>
          <w:tcPr>
            <w:tcW w:w="2781" w:type="dxa"/>
            <w:tcMar>
              <w:top w:w="0" w:type="dxa"/>
              <w:left w:w="108" w:type="dxa"/>
              <w:bottom w:w="0" w:type="dxa"/>
              <w:right w:w="108" w:type="dxa"/>
            </w:tcMar>
            <w:hideMark/>
          </w:tcPr>
          <w:p w14:paraId="3DA01F1A" w14:textId="77777777" w:rsidR="00A74C03" w:rsidRPr="00F33674" w:rsidRDefault="00A74C03" w:rsidP="00A74C03">
            <w:pPr>
              <w:rPr>
                <w:rFonts w:ascii="Arial Narrow" w:hAnsi="Arial Narrow"/>
                <w:b/>
                <w:bCs/>
                <w:sz w:val="20"/>
                <w:szCs w:val="20"/>
              </w:rPr>
            </w:pPr>
            <w:r w:rsidRPr="00F33674">
              <w:rPr>
                <w:rFonts w:ascii="Arial Narrow" w:hAnsi="Arial Narrow" w:cs="Arial"/>
                <w:b/>
                <w:sz w:val="20"/>
                <w:szCs w:val="20"/>
              </w:rPr>
              <w:t>Clinical criteria:</w:t>
            </w:r>
          </w:p>
        </w:tc>
        <w:tc>
          <w:tcPr>
            <w:tcW w:w="6245" w:type="dxa"/>
            <w:tcMar>
              <w:top w:w="0" w:type="dxa"/>
              <w:left w:w="108" w:type="dxa"/>
              <w:bottom w:w="0" w:type="dxa"/>
              <w:right w:w="108" w:type="dxa"/>
            </w:tcMar>
          </w:tcPr>
          <w:p w14:paraId="42D60B21" w14:textId="77777777" w:rsidR="00A74C03" w:rsidRPr="00F33674" w:rsidRDefault="00A74C03" w:rsidP="00A74C03">
            <w:pPr>
              <w:jc w:val="left"/>
              <w:rPr>
                <w:rFonts w:ascii="Arial Narrow" w:hAnsi="Arial Narrow" w:cs="Arial"/>
                <w:sz w:val="20"/>
                <w:szCs w:val="20"/>
              </w:rPr>
            </w:pPr>
            <w:r w:rsidRPr="00F33674">
              <w:rPr>
                <w:rFonts w:ascii="Arial Narrow" w:hAnsi="Arial Narrow" w:cs="Arial"/>
                <w:sz w:val="20"/>
                <w:szCs w:val="20"/>
              </w:rPr>
              <w:t xml:space="preserve">[18096] Patient must have </w:t>
            </w:r>
            <w:r>
              <w:rPr>
                <w:rFonts w:ascii="Arial Narrow" w:hAnsi="Arial Narrow" w:cs="Arial"/>
                <w:sz w:val="20"/>
                <w:szCs w:val="20"/>
              </w:rPr>
              <w:t>cancer pain</w:t>
            </w:r>
          </w:p>
          <w:p w14:paraId="2875B866" w14:textId="77777777" w:rsidR="00A74C03" w:rsidRPr="00F33674" w:rsidRDefault="00A74C03" w:rsidP="00A74C03">
            <w:pPr>
              <w:jc w:val="left"/>
              <w:rPr>
                <w:rFonts w:ascii="Arial Narrow" w:hAnsi="Arial Narrow" w:cs="Arial"/>
                <w:sz w:val="20"/>
                <w:szCs w:val="20"/>
              </w:rPr>
            </w:pPr>
          </w:p>
          <w:p w14:paraId="472FD880" w14:textId="77777777" w:rsidR="00A74C03" w:rsidRPr="00F33674" w:rsidRDefault="00A74C03" w:rsidP="00A74C03">
            <w:pPr>
              <w:jc w:val="left"/>
              <w:rPr>
                <w:rFonts w:ascii="Arial Narrow" w:hAnsi="Arial Narrow" w:cs="Arial"/>
                <w:sz w:val="20"/>
                <w:szCs w:val="20"/>
              </w:rPr>
            </w:pPr>
            <w:r w:rsidRPr="00F33674">
              <w:rPr>
                <w:rFonts w:ascii="Arial Narrow" w:hAnsi="Arial Narrow" w:cs="Arial"/>
                <w:sz w:val="20"/>
                <w:szCs w:val="20"/>
              </w:rPr>
              <w:t>AND</w:t>
            </w:r>
          </w:p>
          <w:p w14:paraId="1191903A" w14:textId="77777777" w:rsidR="00A74C03" w:rsidRPr="00F33674" w:rsidRDefault="00A74C03" w:rsidP="00A74C03">
            <w:pPr>
              <w:jc w:val="left"/>
              <w:rPr>
                <w:rFonts w:ascii="Arial Narrow" w:hAnsi="Arial Narrow" w:cs="Arial"/>
                <w:sz w:val="20"/>
                <w:szCs w:val="20"/>
              </w:rPr>
            </w:pPr>
          </w:p>
          <w:p w14:paraId="1856BFDD" w14:textId="77777777" w:rsidR="00A74C03" w:rsidRPr="00F33674" w:rsidRDefault="00A74C03" w:rsidP="00A74C03">
            <w:pPr>
              <w:jc w:val="left"/>
              <w:rPr>
                <w:rFonts w:ascii="Arial Narrow" w:hAnsi="Arial Narrow" w:cs="Arial"/>
                <w:sz w:val="20"/>
                <w:szCs w:val="20"/>
              </w:rPr>
            </w:pPr>
            <w:r w:rsidRPr="00F33674">
              <w:rPr>
                <w:rFonts w:ascii="Arial Narrow" w:hAnsi="Arial Narrow" w:cs="Arial"/>
                <w:sz w:val="20"/>
                <w:szCs w:val="20"/>
              </w:rPr>
              <w:t>[new] Patient must have</w:t>
            </w:r>
            <w:r>
              <w:rPr>
                <w:rFonts w:ascii="Arial Narrow" w:hAnsi="Arial Narrow" w:cs="Arial"/>
                <w:sz w:val="20"/>
                <w:szCs w:val="20"/>
              </w:rPr>
              <w:t xml:space="preserve"> had or would have</w:t>
            </w:r>
            <w:r w:rsidRPr="00F33674">
              <w:rPr>
                <w:rFonts w:ascii="Arial Narrow" w:hAnsi="Arial Narrow" w:cs="Arial"/>
                <w:sz w:val="20"/>
                <w:szCs w:val="20"/>
              </w:rPr>
              <w:t xml:space="preserve"> inadequate </w:t>
            </w:r>
            <w:r>
              <w:rPr>
                <w:rFonts w:ascii="Arial Narrow" w:hAnsi="Arial Narrow" w:cs="Arial"/>
                <w:sz w:val="20"/>
                <w:szCs w:val="20"/>
              </w:rPr>
              <w:t xml:space="preserve">pain </w:t>
            </w:r>
            <w:r w:rsidRPr="00F33674">
              <w:rPr>
                <w:rFonts w:ascii="Arial Narrow" w:hAnsi="Arial Narrow" w:cs="Arial"/>
                <w:sz w:val="20"/>
                <w:szCs w:val="20"/>
              </w:rPr>
              <w:t xml:space="preserve">management </w:t>
            </w:r>
            <w:r>
              <w:rPr>
                <w:rFonts w:ascii="Arial Narrow" w:hAnsi="Arial Narrow" w:cs="Arial"/>
                <w:sz w:val="20"/>
                <w:szCs w:val="20"/>
              </w:rPr>
              <w:t>with</w:t>
            </w:r>
            <w:r w:rsidRPr="00F33674">
              <w:rPr>
                <w:rFonts w:ascii="Arial Narrow" w:hAnsi="Arial Narrow" w:cs="Arial"/>
                <w:sz w:val="20"/>
                <w:szCs w:val="20"/>
              </w:rPr>
              <w:t xml:space="preserve"> maximum tolerated doses of non-opioid and other opioid analgesics</w:t>
            </w:r>
          </w:p>
          <w:p w14:paraId="530B3D01" w14:textId="77777777" w:rsidR="00A74C03" w:rsidRPr="00F33674" w:rsidRDefault="00A74C03" w:rsidP="00A74C03">
            <w:pPr>
              <w:jc w:val="left"/>
              <w:rPr>
                <w:rFonts w:ascii="Arial Narrow" w:hAnsi="Arial Narrow" w:cs="Arial"/>
                <w:sz w:val="20"/>
                <w:szCs w:val="20"/>
              </w:rPr>
            </w:pPr>
            <w:r w:rsidRPr="00F33674">
              <w:rPr>
                <w:rFonts w:ascii="Arial Narrow" w:hAnsi="Arial Narrow" w:cs="Arial"/>
                <w:sz w:val="20"/>
                <w:szCs w:val="20"/>
              </w:rPr>
              <w:t>OR</w:t>
            </w:r>
          </w:p>
          <w:p w14:paraId="71302048" w14:textId="77777777" w:rsidR="00A74C03" w:rsidRPr="00F33674" w:rsidRDefault="00A74C03" w:rsidP="00A74C03">
            <w:pPr>
              <w:jc w:val="left"/>
              <w:rPr>
                <w:rFonts w:ascii="Arial Narrow" w:hAnsi="Arial Narrow"/>
                <w:sz w:val="20"/>
                <w:szCs w:val="20"/>
              </w:rPr>
            </w:pPr>
            <w:r w:rsidRPr="00F33674">
              <w:rPr>
                <w:rFonts w:ascii="Arial Narrow" w:hAnsi="Arial Narrow" w:cs="Arial"/>
                <w:sz w:val="20"/>
                <w:szCs w:val="20"/>
              </w:rPr>
              <w:t>[new] Patient must be unable to use non-opioid and other opioid analgesics due to contraindications or intolerance.</w:t>
            </w:r>
          </w:p>
        </w:tc>
      </w:tr>
      <w:tr w:rsidR="00A74C03" w:rsidRPr="00F33674" w14:paraId="07127C59" w14:textId="77777777" w:rsidTr="00A74C03">
        <w:trPr>
          <w:cantSplit/>
          <w:trHeight w:val="360"/>
        </w:trPr>
        <w:tc>
          <w:tcPr>
            <w:tcW w:w="2781" w:type="dxa"/>
            <w:tcMar>
              <w:top w:w="0" w:type="dxa"/>
              <w:left w:w="108" w:type="dxa"/>
              <w:bottom w:w="0" w:type="dxa"/>
              <w:right w:w="108" w:type="dxa"/>
            </w:tcMar>
          </w:tcPr>
          <w:p w14:paraId="422111CA" w14:textId="77777777" w:rsidR="00A74C03" w:rsidRPr="00F33674" w:rsidRDefault="00A74C03" w:rsidP="00A74C03">
            <w:pPr>
              <w:rPr>
                <w:rFonts w:ascii="Arial Narrow" w:hAnsi="Arial Narrow" w:cs="Arial"/>
                <w:b/>
                <w:sz w:val="20"/>
                <w:szCs w:val="20"/>
              </w:rPr>
            </w:pPr>
            <w:r w:rsidRPr="00F33674">
              <w:rPr>
                <w:rFonts w:ascii="Arial Narrow" w:hAnsi="Arial Narrow" w:cs="Arial"/>
                <w:b/>
                <w:sz w:val="20"/>
                <w:szCs w:val="20"/>
              </w:rPr>
              <w:lastRenderedPageBreak/>
              <w:t>Prescriber instructions:</w:t>
            </w:r>
          </w:p>
        </w:tc>
        <w:tc>
          <w:tcPr>
            <w:tcW w:w="6245" w:type="dxa"/>
            <w:tcMar>
              <w:top w:w="0" w:type="dxa"/>
              <w:left w:w="108" w:type="dxa"/>
              <w:bottom w:w="0" w:type="dxa"/>
              <w:right w:w="108" w:type="dxa"/>
            </w:tcMar>
          </w:tcPr>
          <w:p w14:paraId="22D60C2D" w14:textId="77777777" w:rsidR="00E2755C" w:rsidRPr="00E2755C" w:rsidRDefault="00A74C03" w:rsidP="00E2755C">
            <w:pPr>
              <w:jc w:val="left"/>
              <w:rPr>
                <w:rFonts w:ascii="Arial Narrow" w:hAnsi="Arial Narrow" w:cs="Arial"/>
                <w:sz w:val="20"/>
                <w:szCs w:val="20"/>
              </w:rPr>
            </w:pPr>
            <w:r w:rsidRPr="00F33674">
              <w:rPr>
                <w:rFonts w:ascii="Arial Narrow" w:hAnsi="Arial Narrow" w:cs="Arial"/>
                <w:sz w:val="20"/>
                <w:szCs w:val="20"/>
              </w:rPr>
              <w:t xml:space="preserve">[new] </w:t>
            </w:r>
            <w:r w:rsidR="00E2755C" w:rsidRPr="00E2755C">
              <w:rPr>
                <w:rFonts w:ascii="Arial Narrow" w:hAnsi="Arial Narrow" w:cs="Arial"/>
                <w:sz w:val="20"/>
                <w:szCs w:val="20"/>
              </w:rPr>
              <w:t>Authorities for increased maximum quantities and/or repeats must only be considered for:</w:t>
            </w:r>
          </w:p>
          <w:p w14:paraId="089DDFA9" w14:textId="77777777" w:rsidR="00E2755C" w:rsidRPr="00E2755C" w:rsidRDefault="00E2755C" w:rsidP="00E2755C">
            <w:pPr>
              <w:jc w:val="left"/>
              <w:rPr>
                <w:rFonts w:ascii="Arial Narrow" w:hAnsi="Arial Narrow" w:cs="Arial"/>
                <w:sz w:val="20"/>
                <w:szCs w:val="20"/>
              </w:rPr>
            </w:pPr>
            <w:r w:rsidRPr="00E2755C">
              <w:rPr>
                <w:rFonts w:ascii="Arial Narrow" w:hAnsi="Arial Narrow" w:cs="Arial"/>
                <w:sz w:val="20"/>
                <w:szCs w:val="20"/>
              </w:rPr>
              <w:t>(i) palliative care patients with chronic severe disabling pain where the total duration of non-PBS and PBS opioid analgesic treatment exceeds 12 months and the patient is unable to have annual pain management review due to their clinical condition; or</w:t>
            </w:r>
          </w:p>
          <w:p w14:paraId="2B9A0A8C" w14:textId="77777777" w:rsidR="00E2755C" w:rsidRPr="00E2755C" w:rsidRDefault="00E2755C" w:rsidP="00E2755C">
            <w:pPr>
              <w:jc w:val="left"/>
              <w:rPr>
                <w:rFonts w:ascii="Arial Narrow" w:hAnsi="Arial Narrow" w:cs="Arial"/>
                <w:sz w:val="20"/>
                <w:szCs w:val="20"/>
              </w:rPr>
            </w:pPr>
            <w:r w:rsidRPr="00E2755C">
              <w:rPr>
                <w:rFonts w:ascii="Arial Narrow" w:hAnsi="Arial Narrow" w:cs="Arial"/>
                <w:sz w:val="20"/>
                <w:szCs w:val="20"/>
              </w:rPr>
              <w:t>(ii) chronic severe disabling pain where the total duration of non-PBS and PBS opioid analgesic treatment exceeds 12 months and the patient's clinical need for continuing opioid treatment has been confirmed through consultation with the patient by another medical practitioner or a palliative care nurse practitioner in the past 12 months; or</w:t>
            </w:r>
          </w:p>
          <w:p w14:paraId="09B4415C" w14:textId="4F936085" w:rsidR="00A74C03" w:rsidRPr="00F33674" w:rsidRDefault="00E2755C" w:rsidP="00E2755C">
            <w:pPr>
              <w:jc w:val="left"/>
              <w:rPr>
                <w:rFonts w:ascii="Arial Narrow" w:hAnsi="Arial Narrow" w:cs="Arial"/>
                <w:sz w:val="20"/>
                <w:szCs w:val="20"/>
              </w:rPr>
            </w:pPr>
            <w:proofErr w:type="gramStart"/>
            <w:r w:rsidRPr="00E2755C">
              <w:rPr>
                <w:rFonts w:ascii="Arial Narrow" w:hAnsi="Arial Narrow" w:cs="Arial"/>
                <w:sz w:val="20"/>
                <w:szCs w:val="20"/>
              </w:rPr>
              <w:t>(iii) chronic severe disabling pain where the total duration of non-PBS and PBS opioid analgesic treatment has exceeded 12 months prior to 1 June 2020 and the patient's clinical need for continuing opioid treatment has not been confirmed through consultation with the patient by another medical practitioner or a palliative care nurse practitioner in the past 12 months, but is planned in the next 3 months.</w:t>
            </w:r>
            <w:proofErr w:type="gramEnd"/>
          </w:p>
          <w:p w14:paraId="633C2B21" w14:textId="77777777" w:rsidR="00A74C03" w:rsidRPr="00F33674" w:rsidRDefault="00A74C03" w:rsidP="00A74C03">
            <w:pPr>
              <w:jc w:val="left"/>
              <w:rPr>
                <w:rFonts w:ascii="Arial Narrow" w:hAnsi="Arial Narrow" w:cs="Arial"/>
                <w:sz w:val="20"/>
                <w:szCs w:val="20"/>
              </w:rPr>
            </w:pPr>
          </w:p>
          <w:p w14:paraId="30D32FB6" w14:textId="77777777" w:rsidR="00E2755C" w:rsidRPr="00F33674" w:rsidRDefault="00E2755C" w:rsidP="00E2755C">
            <w:pPr>
              <w:jc w:val="left"/>
              <w:rPr>
                <w:rFonts w:ascii="Arial Narrow" w:hAnsi="Arial Narrow" w:cs="Arial"/>
                <w:sz w:val="20"/>
                <w:szCs w:val="20"/>
              </w:rPr>
            </w:pPr>
            <w:r>
              <w:rPr>
                <w:rFonts w:ascii="Arial Narrow" w:hAnsi="Arial Narrow" w:cs="Arial"/>
                <w:sz w:val="20"/>
                <w:szCs w:val="20"/>
              </w:rPr>
              <w:t xml:space="preserve">[new] </w:t>
            </w:r>
            <w:r w:rsidRPr="009F3089">
              <w:rPr>
                <w:rFonts w:ascii="Arial Narrow" w:hAnsi="Arial Narrow" w:cs="Arial"/>
                <w:sz w:val="20"/>
                <w:szCs w:val="20"/>
              </w:rPr>
              <w:t>Palliative care nurses may conduct annual review under this item for the treatment of palliative care patients only.</w:t>
            </w:r>
          </w:p>
          <w:p w14:paraId="30DA343B" w14:textId="77777777" w:rsidR="00E2755C" w:rsidRPr="00F33674" w:rsidRDefault="00E2755C" w:rsidP="00E2755C">
            <w:pPr>
              <w:jc w:val="left"/>
              <w:rPr>
                <w:rFonts w:ascii="Arial Narrow" w:hAnsi="Arial Narrow" w:cs="Arial"/>
                <w:sz w:val="20"/>
                <w:szCs w:val="20"/>
              </w:rPr>
            </w:pPr>
          </w:p>
          <w:p w14:paraId="3E12907A" w14:textId="77777777" w:rsidR="00E2755C" w:rsidRPr="00F33674" w:rsidRDefault="00E2755C" w:rsidP="00E2755C">
            <w:pPr>
              <w:jc w:val="left"/>
              <w:rPr>
                <w:rFonts w:ascii="Arial Narrow" w:hAnsi="Arial Narrow" w:cs="Arial"/>
                <w:sz w:val="20"/>
                <w:szCs w:val="20"/>
              </w:rPr>
            </w:pPr>
            <w:r w:rsidRPr="00F33674">
              <w:rPr>
                <w:rFonts w:ascii="Arial Narrow" w:hAnsi="Arial Narrow" w:cs="Arial"/>
                <w:sz w:val="20"/>
                <w:szCs w:val="20"/>
              </w:rPr>
              <w:t>[new] Authority requests extending treatment duration up to 1 month may be requested though the Online PBS Authorities system or by calling Services Australia.</w:t>
            </w:r>
          </w:p>
          <w:p w14:paraId="693D7860" w14:textId="77777777" w:rsidR="00E2755C" w:rsidRPr="00F33674" w:rsidRDefault="00E2755C" w:rsidP="00E2755C">
            <w:pPr>
              <w:jc w:val="left"/>
              <w:rPr>
                <w:rFonts w:ascii="Arial Narrow" w:hAnsi="Arial Narrow" w:cs="Arial"/>
                <w:sz w:val="20"/>
                <w:szCs w:val="20"/>
              </w:rPr>
            </w:pPr>
          </w:p>
          <w:p w14:paraId="51B77BBA" w14:textId="763FF5D4" w:rsidR="00A74C03" w:rsidRPr="00F33674" w:rsidRDefault="00E2755C" w:rsidP="00E2755C">
            <w:pPr>
              <w:jc w:val="left"/>
              <w:rPr>
                <w:rFonts w:ascii="Arial Narrow" w:hAnsi="Arial Narrow" w:cs="Arial"/>
                <w:sz w:val="20"/>
                <w:szCs w:val="20"/>
              </w:rPr>
            </w:pPr>
            <w:r w:rsidRPr="00F33674">
              <w:rPr>
                <w:rFonts w:ascii="Arial Narrow" w:hAnsi="Arial Narrow" w:cs="Arial"/>
                <w:sz w:val="20"/>
                <w:szCs w:val="20"/>
              </w:rPr>
              <w:t xml:space="preserve">Authority requests extending treatment duration beyond 1 month </w:t>
            </w:r>
            <w:r w:rsidRPr="00710D93">
              <w:rPr>
                <w:rFonts w:ascii="Arial Narrow" w:hAnsi="Arial Narrow" w:cs="Arial"/>
                <w:sz w:val="20"/>
                <w:szCs w:val="20"/>
              </w:rPr>
              <w:t>may be requested through the Online PBS Authorities system</w:t>
            </w:r>
            <w:r w:rsidRPr="00F33674">
              <w:rPr>
                <w:rFonts w:ascii="Arial Narrow" w:hAnsi="Arial Narrow" w:cs="Arial"/>
                <w:sz w:val="20"/>
                <w:szCs w:val="20"/>
              </w:rPr>
              <w:t xml:space="preserve"> or in writing only and must not provide a treatment duration exceeding 3 months</w:t>
            </w:r>
            <w:r>
              <w:rPr>
                <w:rFonts w:ascii="Arial Narrow" w:hAnsi="Arial Narrow" w:cs="Arial"/>
                <w:sz w:val="20"/>
                <w:szCs w:val="20"/>
              </w:rPr>
              <w:t xml:space="preserve"> </w:t>
            </w:r>
            <w:r w:rsidRPr="00710D93">
              <w:rPr>
                <w:rFonts w:ascii="Arial Narrow" w:hAnsi="Arial Narrow" w:cs="Arial"/>
                <w:sz w:val="20"/>
                <w:szCs w:val="20"/>
              </w:rPr>
              <w:t xml:space="preserve">(quantity sufficient for up to </w:t>
            </w:r>
            <w:proofErr w:type="gramStart"/>
            <w:r w:rsidRPr="00710D93">
              <w:rPr>
                <w:rFonts w:ascii="Arial Narrow" w:hAnsi="Arial Narrow" w:cs="Arial"/>
                <w:sz w:val="20"/>
                <w:szCs w:val="20"/>
              </w:rPr>
              <w:t>1 month</w:t>
            </w:r>
            <w:proofErr w:type="gramEnd"/>
            <w:r w:rsidRPr="00710D93">
              <w:rPr>
                <w:rFonts w:ascii="Arial Narrow" w:hAnsi="Arial Narrow" w:cs="Arial"/>
                <w:sz w:val="20"/>
                <w:szCs w:val="20"/>
              </w:rPr>
              <w:t xml:space="preserve"> treatment and sufficient repeats)</w:t>
            </w:r>
            <w:r w:rsidRPr="00F33674">
              <w:rPr>
                <w:rFonts w:ascii="Arial Narrow" w:hAnsi="Arial Narrow" w:cs="Arial"/>
                <w:sz w:val="20"/>
                <w:szCs w:val="20"/>
              </w:rPr>
              <w:t>.</w:t>
            </w:r>
          </w:p>
        </w:tc>
      </w:tr>
      <w:tr w:rsidR="00A74C03" w:rsidRPr="00F33674" w14:paraId="017A8FA1" w14:textId="77777777" w:rsidTr="00A74C03">
        <w:trPr>
          <w:cantSplit/>
          <w:trHeight w:val="360"/>
        </w:trPr>
        <w:tc>
          <w:tcPr>
            <w:tcW w:w="2781" w:type="dxa"/>
            <w:tcMar>
              <w:top w:w="0" w:type="dxa"/>
              <w:left w:w="108" w:type="dxa"/>
              <w:bottom w:w="0" w:type="dxa"/>
              <w:right w:w="108" w:type="dxa"/>
            </w:tcMar>
          </w:tcPr>
          <w:p w14:paraId="6B390A6B" w14:textId="77777777" w:rsidR="00A74C03" w:rsidRPr="00F33674" w:rsidRDefault="00A74C03" w:rsidP="00A74C03">
            <w:pPr>
              <w:rPr>
                <w:rFonts w:ascii="Arial Narrow" w:hAnsi="Arial Narrow" w:cs="Arial"/>
                <w:b/>
                <w:sz w:val="20"/>
                <w:szCs w:val="20"/>
              </w:rPr>
            </w:pPr>
            <w:r w:rsidRPr="00F33674">
              <w:rPr>
                <w:rFonts w:ascii="Arial Narrow" w:hAnsi="Arial Narrow" w:cs="Arial"/>
                <w:b/>
                <w:sz w:val="20"/>
                <w:szCs w:val="20"/>
              </w:rPr>
              <w:t>Administrative advice:</w:t>
            </w:r>
          </w:p>
        </w:tc>
        <w:tc>
          <w:tcPr>
            <w:tcW w:w="6245" w:type="dxa"/>
            <w:tcMar>
              <w:top w:w="0" w:type="dxa"/>
              <w:left w:w="108" w:type="dxa"/>
              <w:bottom w:w="0" w:type="dxa"/>
              <w:right w:w="108" w:type="dxa"/>
            </w:tcMar>
          </w:tcPr>
          <w:p w14:paraId="06518B88" w14:textId="77777777" w:rsidR="00A74C03" w:rsidRPr="00F33674" w:rsidRDefault="00A74C03" w:rsidP="00A74C03">
            <w:pPr>
              <w:jc w:val="left"/>
              <w:rPr>
                <w:rFonts w:ascii="Arial Narrow" w:hAnsi="Arial Narrow"/>
                <w:sz w:val="20"/>
                <w:szCs w:val="20"/>
              </w:rPr>
            </w:pPr>
            <w:r w:rsidRPr="00F33674">
              <w:rPr>
                <w:rFonts w:ascii="Arial Narrow" w:hAnsi="Arial Narrow"/>
                <w:sz w:val="20"/>
                <w:szCs w:val="20"/>
              </w:rPr>
              <w:t>[new] Consider consultation with a multidisciplinary pain service prior to, or after commencement of this medication.</w:t>
            </w:r>
          </w:p>
          <w:p w14:paraId="0162A02D" w14:textId="77777777" w:rsidR="00A74C03" w:rsidRPr="00F33674" w:rsidRDefault="00A74C03" w:rsidP="00A74C03">
            <w:pPr>
              <w:jc w:val="left"/>
              <w:rPr>
                <w:rFonts w:ascii="Arial Narrow" w:hAnsi="Arial Narrow" w:cs="Arial"/>
                <w:sz w:val="20"/>
                <w:szCs w:val="20"/>
              </w:rPr>
            </w:pPr>
          </w:p>
          <w:p w14:paraId="3FA78190" w14:textId="77777777" w:rsidR="00A74C03" w:rsidRPr="00F33674" w:rsidRDefault="00A74C03" w:rsidP="00A74C03">
            <w:pPr>
              <w:jc w:val="left"/>
              <w:rPr>
                <w:rFonts w:ascii="Arial Narrow" w:hAnsi="Arial Narrow" w:cs="Arial"/>
                <w:sz w:val="20"/>
                <w:szCs w:val="20"/>
              </w:rPr>
            </w:pPr>
            <w:r w:rsidRPr="00F33674">
              <w:rPr>
                <w:rFonts w:ascii="Arial Narrow" w:hAnsi="Arial Narrow" w:cs="Arial"/>
                <w:sz w:val="20"/>
                <w:szCs w:val="20"/>
              </w:rPr>
              <w:t>[new] Real time online applications for increased maximum quantities/repeats may be made using the Online PBS Authorities system (see www.servicesaustralia.gov.au/organisations/health-professionals/services/medicare/hpos/services/request-authority-using-online-pbs-authorities-hpos)</w:t>
            </w:r>
          </w:p>
          <w:p w14:paraId="18225964" w14:textId="77777777" w:rsidR="00A74C03" w:rsidRPr="00F33674" w:rsidRDefault="00A74C03" w:rsidP="00A74C03">
            <w:pPr>
              <w:jc w:val="left"/>
              <w:rPr>
                <w:rFonts w:ascii="Arial Narrow" w:hAnsi="Arial Narrow" w:cs="Arial"/>
                <w:sz w:val="20"/>
                <w:szCs w:val="20"/>
              </w:rPr>
            </w:pPr>
          </w:p>
          <w:p w14:paraId="78CC1BBB" w14:textId="77777777" w:rsidR="00A74C03" w:rsidRPr="00F33674" w:rsidRDefault="00A74C03" w:rsidP="00A74C03">
            <w:pPr>
              <w:jc w:val="left"/>
              <w:rPr>
                <w:rFonts w:ascii="Arial Narrow" w:hAnsi="Arial Narrow" w:cs="Arial"/>
                <w:sz w:val="20"/>
                <w:szCs w:val="20"/>
              </w:rPr>
            </w:pPr>
            <w:r w:rsidRPr="00F33674">
              <w:rPr>
                <w:rFonts w:ascii="Arial Narrow" w:hAnsi="Arial Narrow" w:cs="Arial"/>
                <w:sz w:val="20"/>
                <w:szCs w:val="20"/>
              </w:rPr>
              <w:t>Phone applications for increased maximum quantities/repeats may be made by calling 1800 888 333.</w:t>
            </w:r>
          </w:p>
          <w:p w14:paraId="4950BCEF" w14:textId="77777777" w:rsidR="00A74C03" w:rsidRPr="00F33674" w:rsidRDefault="00A74C03" w:rsidP="00A74C03">
            <w:pPr>
              <w:jc w:val="left"/>
              <w:rPr>
                <w:rFonts w:ascii="Arial Narrow" w:hAnsi="Arial Narrow" w:cs="Arial"/>
                <w:sz w:val="20"/>
                <w:szCs w:val="20"/>
              </w:rPr>
            </w:pPr>
          </w:p>
          <w:p w14:paraId="396CFB29" w14:textId="77777777" w:rsidR="00A74C03" w:rsidRPr="00F33674" w:rsidRDefault="00A74C03" w:rsidP="00A74C03">
            <w:pPr>
              <w:jc w:val="left"/>
              <w:rPr>
                <w:rFonts w:ascii="Arial Narrow" w:hAnsi="Arial Narrow" w:cs="Arial"/>
                <w:sz w:val="20"/>
                <w:szCs w:val="20"/>
              </w:rPr>
            </w:pPr>
            <w:r w:rsidRPr="00F33674">
              <w:rPr>
                <w:rFonts w:ascii="Arial Narrow" w:hAnsi="Arial Narrow" w:cs="Arial"/>
                <w:sz w:val="20"/>
                <w:szCs w:val="20"/>
              </w:rPr>
              <w:t>Written authority applications for increased maximum quantities/repeats can be uploaded online through HPOS form upload or mailed to:</w:t>
            </w:r>
          </w:p>
          <w:p w14:paraId="24EC21AC" w14:textId="77777777" w:rsidR="00A74C03" w:rsidRPr="00F33674" w:rsidRDefault="00A74C03" w:rsidP="00A74C03">
            <w:pPr>
              <w:jc w:val="left"/>
              <w:rPr>
                <w:rFonts w:ascii="Arial Narrow" w:hAnsi="Arial Narrow" w:cs="Arial"/>
                <w:sz w:val="20"/>
                <w:szCs w:val="20"/>
              </w:rPr>
            </w:pPr>
            <w:r w:rsidRPr="00F33674">
              <w:rPr>
                <w:rFonts w:ascii="Arial Narrow" w:hAnsi="Arial Narrow" w:cs="Arial"/>
                <w:sz w:val="20"/>
                <w:szCs w:val="20"/>
              </w:rPr>
              <w:t>Pharmaceutical Benefits Scheme</w:t>
            </w:r>
          </w:p>
          <w:p w14:paraId="11D48BCB" w14:textId="77777777" w:rsidR="00A74C03" w:rsidRPr="00F33674" w:rsidRDefault="00A74C03" w:rsidP="00A74C03">
            <w:pPr>
              <w:jc w:val="left"/>
              <w:rPr>
                <w:rFonts w:ascii="Arial Narrow" w:hAnsi="Arial Narrow" w:cs="Arial"/>
                <w:sz w:val="20"/>
                <w:szCs w:val="20"/>
              </w:rPr>
            </w:pPr>
            <w:r w:rsidRPr="00F33674">
              <w:rPr>
                <w:rFonts w:ascii="Arial Narrow" w:hAnsi="Arial Narrow" w:cs="Arial"/>
                <w:sz w:val="20"/>
                <w:szCs w:val="20"/>
              </w:rPr>
              <w:t>Reply Paid 9857</w:t>
            </w:r>
          </w:p>
          <w:p w14:paraId="2203A917" w14:textId="77777777" w:rsidR="00A74C03" w:rsidRPr="00F33674" w:rsidRDefault="00A74C03" w:rsidP="00A74C03">
            <w:pPr>
              <w:jc w:val="left"/>
              <w:rPr>
                <w:rFonts w:ascii="Arial Narrow" w:hAnsi="Arial Narrow" w:cs="Arial"/>
                <w:sz w:val="20"/>
                <w:szCs w:val="20"/>
              </w:rPr>
            </w:pPr>
            <w:r w:rsidRPr="00F33674">
              <w:rPr>
                <w:rFonts w:ascii="Arial Narrow" w:hAnsi="Arial Narrow" w:cs="Arial"/>
                <w:sz w:val="20"/>
                <w:szCs w:val="20"/>
              </w:rPr>
              <w:t>[Your capital city]</w:t>
            </w:r>
          </w:p>
        </w:tc>
      </w:tr>
      <w:tr w:rsidR="00A74C03" w:rsidRPr="00F33674" w14:paraId="56AB7233" w14:textId="77777777" w:rsidTr="00A74C03">
        <w:trPr>
          <w:cantSplit/>
          <w:trHeight w:val="360"/>
        </w:trPr>
        <w:tc>
          <w:tcPr>
            <w:tcW w:w="2781" w:type="dxa"/>
            <w:tcMar>
              <w:top w:w="0" w:type="dxa"/>
              <w:left w:w="108" w:type="dxa"/>
              <w:bottom w:w="0" w:type="dxa"/>
              <w:right w:w="108" w:type="dxa"/>
            </w:tcMar>
            <w:hideMark/>
          </w:tcPr>
          <w:p w14:paraId="55E4D6C6" w14:textId="77777777" w:rsidR="00A74C03" w:rsidRPr="00F33674" w:rsidRDefault="00A74C03" w:rsidP="00A74C03">
            <w:pPr>
              <w:rPr>
                <w:rFonts w:ascii="Arial Narrow" w:hAnsi="Arial Narrow"/>
                <w:b/>
                <w:bCs/>
                <w:sz w:val="20"/>
                <w:szCs w:val="20"/>
              </w:rPr>
            </w:pPr>
            <w:r w:rsidRPr="00F33674">
              <w:rPr>
                <w:rFonts w:ascii="Arial Narrow" w:hAnsi="Arial Narrow" w:cs="Arial"/>
                <w:b/>
                <w:sz w:val="20"/>
                <w:szCs w:val="20"/>
              </w:rPr>
              <w:t>Cautions:</w:t>
            </w:r>
          </w:p>
        </w:tc>
        <w:tc>
          <w:tcPr>
            <w:tcW w:w="6245" w:type="dxa"/>
            <w:tcMar>
              <w:top w:w="0" w:type="dxa"/>
              <w:left w:w="108" w:type="dxa"/>
              <w:bottom w:w="0" w:type="dxa"/>
              <w:right w:w="108" w:type="dxa"/>
            </w:tcMar>
            <w:hideMark/>
          </w:tcPr>
          <w:p w14:paraId="4710481E" w14:textId="77777777" w:rsidR="00A74C03" w:rsidRPr="00F33674" w:rsidRDefault="00A74C03" w:rsidP="00A74C03">
            <w:pPr>
              <w:jc w:val="left"/>
              <w:rPr>
                <w:rFonts w:ascii="Arial Narrow" w:hAnsi="Arial Narrow"/>
                <w:sz w:val="20"/>
                <w:szCs w:val="20"/>
              </w:rPr>
            </w:pPr>
            <w:r w:rsidRPr="00F33674">
              <w:rPr>
                <w:rFonts w:ascii="Arial Narrow" w:hAnsi="Arial Narrow" w:cs="Arial"/>
                <w:sz w:val="20"/>
                <w:szCs w:val="20"/>
              </w:rPr>
              <w:t>[6986] The risk of drug dependence is high.</w:t>
            </w:r>
          </w:p>
        </w:tc>
      </w:tr>
    </w:tbl>
    <w:p w14:paraId="6C55B910" w14:textId="77777777" w:rsidR="00E2755C" w:rsidRDefault="00E2755C">
      <w:pPr>
        <w:jc w:val="left"/>
      </w:pPr>
    </w:p>
    <w:tbl>
      <w:tblPr>
        <w:tblW w:w="9026"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781"/>
        <w:gridCol w:w="6245"/>
      </w:tblGrid>
      <w:tr w:rsidR="00E2755C" w:rsidRPr="00F33674" w14:paraId="72D3FB00" w14:textId="77777777" w:rsidTr="00E41546">
        <w:trPr>
          <w:cantSplit/>
          <w:trHeight w:val="360"/>
        </w:trPr>
        <w:tc>
          <w:tcPr>
            <w:tcW w:w="2781" w:type="dxa"/>
            <w:tcMar>
              <w:top w:w="0" w:type="dxa"/>
              <w:left w:w="108" w:type="dxa"/>
              <w:bottom w:w="0" w:type="dxa"/>
              <w:right w:w="108" w:type="dxa"/>
            </w:tcMar>
            <w:hideMark/>
          </w:tcPr>
          <w:p w14:paraId="2FA98D3B" w14:textId="77777777" w:rsidR="00E2755C" w:rsidRPr="00F33674" w:rsidRDefault="00E2755C" w:rsidP="00E41546">
            <w:pPr>
              <w:rPr>
                <w:rFonts w:ascii="Arial Narrow" w:hAnsi="Arial Narrow"/>
                <w:b/>
                <w:bCs/>
                <w:sz w:val="20"/>
                <w:szCs w:val="20"/>
              </w:rPr>
            </w:pPr>
            <w:r w:rsidRPr="00F33674">
              <w:rPr>
                <w:rFonts w:ascii="Arial Narrow" w:hAnsi="Arial Narrow" w:cs="Arial"/>
                <w:b/>
                <w:sz w:val="20"/>
                <w:szCs w:val="20"/>
              </w:rPr>
              <w:t>Category / Program:</w:t>
            </w:r>
          </w:p>
        </w:tc>
        <w:tc>
          <w:tcPr>
            <w:tcW w:w="6245" w:type="dxa"/>
            <w:tcMar>
              <w:top w:w="0" w:type="dxa"/>
              <w:left w:w="108" w:type="dxa"/>
              <w:bottom w:w="0" w:type="dxa"/>
              <w:right w:w="108" w:type="dxa"/>
            </w:tcMar>
            <w:hideMark/>
          </w:tcPr>
          <w:p w14:paraId="169BD200" w14:textId="77777777" w:rsidR="00E2755C" w:rsidRPr="00F33674" w:rsidRDefault="00E2755C" w:rsidP="00E41546">
            <w:pPr>
              <w:rPr>
                <w:rFonts w:ascii="Arial Narrow" w:hAnsi="Arial Narrow"/>
                <w:sz w:val="20"/>
                <w:szCs w:val="20"/>
              </w:rPr>
            </w:pPr>
            <w:r w:rsidRPr="00F33674">
              <w:rPr>
                <w:rFonts w:ascii="Arial Narrow" w:hAnsi="Arial Narrow" w:cs="Arial"/>
                <w:sz w:val="20"/>
                <w:szCs w:val="20"/>
              </w:rPr>
              <w:t>GENERAL – General Schedule (Code GE)</w:t>
            </w:r>
          </w:p>
        </w:tc>
      </w:tr>
      <w:tr w:rsidR="00E2755C" w:rsidRPr="00F33674" w14:paraId="4ACCE73D" w14:textId="77777777" w:rsidTr="00E41546">
        <w:trPr>
          <w:cantSplit/>
          <w:trHeight w:val="360"/>
        </w:trPr>
        <w:tc>
          <w:tcPr>
            <w:tcW w:w="2781" w:type="dxa"/>
            <w:tcMar>
              <w:top w:w="0" w:type="dxa"/>
              <w:left w:w="108" w:type="dxa"/>
              <w:bottom w:w="0" w:type="dxa"/>
              <w:right w:w="108" w:type="dxa"/>
            </w:tcMar>
          </w:tcPr>
          <w:p w14:paraId="49512742" w14:textId="77777777" w:rsidR="00E2755C" w:rsidRPr="00F33674" w:rsidRDefault="00E2755C" w:rsidP="00E41546">
            <w:pPr>
              <w:rPr>
                <w:rFonts w:ascii="Arial Narrow" w:hAnsi="Arial Narrow" w:cs="Arial"/>
                <w:b/>
                <w:sz w:val="20"/>
                <w:szCs w:val="20"/>
              </w:rPr>
            </w:pPr>
            <w:r w:rsidRPr="00F33674">
              <w:rPr>
                <w:rFonts w:ascii="Arial Narrow" w:hAnsi="Arial Narrow" w:cs="Arial"/>
                <w:b/>
                <w:sz w:val="20"/>
                <w:szCs w:val="20"/>
              </w:rPr>
              <w:t>Prescriber type:</w:t>
            </w:r>
          </w:p>
          <w:p w14:paraId="495BFD58" w14:textId="77777777" w:rsidR="00E2755C" w:rsidRPr="00F33674" w:rsidRDefault="00E2755C" w:rsidP="00E41546">
            <w:pPr>
              <w:rPr>
                <w:rFonts w:ascii="Arial Narrow" w:hAnsi="Arial Narrow"/>
                <w:b/>
                <w:bCs/>
                <w:sz w:val="20"/>
                <w:szCs w:val="20"/>
              </w:rPr>
            </w:pPr>
          </w:p>
        </w:tc>
        <w:tc>
          <w:tcPr>
            <w:tcW w:w="6245" w:type="dxa"/>
            <w:tcMar>
              <w:top w:w="0" w:type="dxa"/>
              <w:left w:w="108" w:type="dxa"/>
              <w:bottom w:w="0" w:type="dxa"/>
              <w:right w:w="108" w:type="dxa"/>
            </w:tcMar>
            <w:hideMark/>
          </w:tcPr>
          <w:p w14:paraId="69130829" w14:textId="3072DBAC" w:rsidR="00E2755C" w:rsidRPr="00F33674" w:rsidRDefault="00E2755C" w:rsidP="00E41546">
            <w:pPr>
              <w:rPr>
                <w:rFonts w:ascii="Arial Narrow" w:hAnsi="Arial Narrow" w:cs="Arial"/>
                <w:sz w:val="20"/>
                <w:szCs w:val="20"/>
              </w:rPr>
            </w:pPr>
            <w:r w:rsidRPr="00F33674">
              <w:rPr>
                <w:rFonts w:ascii="Arial Narrow" w:hAnsi="Arial Narrow" w:cs="Arial"/>
                <w:sz w:val="20"/>
                <w:szCs w:val="20"/>
              </w:rPr>
              <w:fldChar w:fldCharType="begin">
                <w:ffData>
                  <w:name w:val="Check1"/>
                  <w:enabled/>
                  <w:calcOnExit w:val="0"/>
                  <w:checkBox>
                    <w:sizeAuto/>
                    <w:default w:val="0"/>
                  </w:checkBox>
                </w:ffData>
              </w:fldChar>
            </w:r>
            <w:r w:rsidRPr="00F33674">
              <w:rPr>
                <w:rFonts w:ascii="Arial Narrow" w:hAnsi="Arial Narrow" w:cs="Arial"/>
                <w:sz w:val="20"/>
                <w:szCs w:val="20"/>
              </w:rPr>
              <w:instrText xml:space="preserve"> FORMCHECKBOX </w:instrText>
            </w:r>
            <w:r w:rsidR="00233D13">
              <w:rPr>
                <w:rFonts w:ascii="Arial Narrow" w:hAnsi="Arial Narrow" w:cs="Arial"/>
                <w:sz w:val="20"/>
                <w:szCs w:val="20"/>
              </w:rPr>
            </w:r>
            <w:r w:rsidR="00233D13">
              <w:rPr>
                <w:rFonts w:ascii="Arial Narrow" w:hAnsi="Arial Narrow" w:cs="Arial"/>
                <w:sz w:val="20"/>
                <w:szCs w:val="20"/>
              </w:rPr>
              <w:fldChar w:fldCharType="separate"/>
            </w:r>
            <w:r w:rsidRPr="00F33674">
              <w:rPr>
                <w:rFonts w:ascii="Arial Narrow" w:hAnsi="Arial Narrow" w:cs="Arial"/>
                <w:sz w:val="20"/>
                <w:szCs w:val="20"/>
              </w:rPr>
              <w:fldChar w:fldCharType="end"/>
            </w:r>
            <w:r w:rsidRPr="00F33674">
              <w:rPr>
                <w:rFonts w:ascii="Arial Narrow" w:hAnsi="Arial Narrow" w:cs="Arial"/>
                <w:sz w:val="20"/>
                <w:szCs w:val="20"/>
              </w:rPr>
              <w:t>Dental</w:t>
            </w:r>
            <w:r w:rsidR="002C1329">
              <w:rPr>
                <w:rFonts w:ascii="Arial Narrow" w:hAnsi="Arial Narrow" w:cs="Arial"/>
                <w:sz w:val="20"/>
                <w:szCs w:val="20"/>
              </w:rPr>
              <w:t xml:space="preserve"> </w:t>
            </w:r>
            <w:r w:rsidRPr="00F33674">
              <w:rPr>
                <w:rFonts w:ascii="Arial Narrow" w:hAnsi="Arial Narrow" w:cs="Arial"/>
                <w:sz w:val="20"/>
                <w:szCs w:val="20"/>
              </w:rPr>
              <w:fldChar w:fldCharType="begin">
                <w:ffData>
                  <w:name w:val=""/>
                  <w:enabled/>
                  <w:calcOnExit w:val="0"/>
                  <w:checkBox>
                    <w:sizeAuto/>
                    <w:default w:val="1"/>
                  </w:checkBox>
                </w:ffData>
              </w:fldChar>
            </w:r>
            <w:r w:rsidRPr="00F33674">
              <w:rPr>
                <w:rFonts w:ascii="Arial Narrow" w:hAnsi="Arial Narrow" w:cs="Arial"/>
                <w:sz w:val="20"/>
                <w:szCs w:val="20"/>
              </w:rPr>
              <w:instrText xml:space="preserve"> FORMCHECKBOX </w:instrText>
            </w:r>
            <w:r w:rsidR="00233D13">
              <w:rPr>
                <w:rFonts w:ascii="Arial Narrow" w:hAnsi="Arial Narrow" w:cs="Arial"/>
                <w:sz w:val="20"/>
                <w:szCs w:val="20"/>
              </w:rPr>
            </w:r>
            <w:r w:rsidR="00233D13">
              <w:rPr>
                <w:rFonts w:ascii="Arial Narrow" w:hAnsi="Arial Narrow" w:cs="Arial"/>
                <w:sz w:val="20"/>
                <w:szCs w:val="20"/>
              </w:rPr>
              <w:fldChar w:fldCharType="separate"/>
            </w:r>
            <w:r w:rsidRPr="00F33674">
              <w:rPr>
                <w:rFonts w:ascii="Arial Narrow" w:hAnsi="Arial Narrow" w:cs="Arial"/>
                <w:sz w:val="20"/>
                <w:szCs w:val="20"/>
              </w:rPr>
              <w:fldChar w:fldCharType="end"/>
            </w:r>
            <w:r w:rsidRPr="00F33674">
              <w:rPr>
                <w:rFonts w:ascii="Arial Narrow" w:hAnsi="Arial Narrow" w:cs="Arial"/>
                <w:sz w:val="20"/>
                <w:szCs w:val="20"/>
              </w:rPr>
              <w:t>Medical Practitioners</w:t>
            </w:r>
            <w:r w:rsidR="002C1329">
              <w:rPr>
                <w:rFonts w:ascii="Arial Narrow" w:hAnsi="Arial Narrow" w:cs="Arial"/>
                <w:sz w:val="20"/>
                <w:szCs w:val="20"/>
              </w:rPr>
              <w:t xml:space="preserve"> </w:t>
            </w:r>
            <w:r w:rsidRPr="00F33674">
              <w:rPr>
                <w:rFonts w:ascii="Arial Narrow" w:hAnsi="Arial Narrow" w:cs="Arial"/>
                <w:sz w:val="20"/>
                <w:szCs w:val="20"/>
              </w:rPr>
              <w:fldChar w:fldCharType="begin">
                <w:ffData>
                  <w:name w:val="Check3"/>
                  <w:enabled/>
                  <w:calcOnExit w:val="0"/>
                  <w:checkBox>
                    <w:sizeAuto/>
                    <w:default w:val="1"/>
                  </w:checkBox>
                </w:ffData>
              </w:fldChar>
            </w:r>
            <w:r w:rsidRPr="00F33674">
              <w:rPr>
                <w:rFonts w:ascii="Arial Narrow" w:hAnsi="Arial Narrow" w:cs="Arial"/>
                <w:sz w:val="20"/>
                <w:szCs w:val="20"/>
              </w:rPr>
              <w:instrText xml:space="preserve"> FORMCHECKBOX </w:instrText>
            </w:r>
            <w:r w:rsidR="00233D13">
              <w:rPr>
                <w:rFonts w:ascii="Arial Narrow" w:hAnsi="Arial Narrow" w:cs="Arial"/>
                <w:sz w:val="20"/>
                <w:szCs w:val="20"/>
              </w:rPr>
            </w:r>
            <w:r w:rsidR="00233D13">
              <w:rPr>
                <w:rFonts w:ascii="Arial Narrow" w:hAnsi="Arial Narrow" w:cs="Arial"/>
                <w:sz w:val="20"/>
                <w:szCs w:val="20"/>
              </w:rPr>
              <w:fldChar w:fldCharType="separate"/>
            </w:r>
            <w:r w:rsidRPr="00F33674">
              <w:rPr>
                <w:rFonts w:ascii="Arial Narrow" w:hAnsi="Arial Narrow" w:cs="Arial"/>
                <w:sz w:val="20"/>
                <w:szCs w:val="20"/>
              </w:rPr>
              <w:fldChar w:fldCharType="end"/>
            </w:r>
            <w:r w:rsidRPr="00F33674">
              <w:rPr>
                <w:rFonts w:ascii="Arial Narrow" w:hAnsi="Arial Narrow" w:cs="Arial"/>
                <w:sz w:val="20"/>
                <w:szCs w:val="20"/>
              </w:rPr>
              <w:t>Nurse practitioners</w:t>
            </w:r>
            <w:r w:rsidR="002C1329">
              <w:rPr>
                <w:rFonts w:ascii="Arial Narrow" w:hAnsi="Arial Narrow" w:cs="Arial"/>
                <w:sz w:val="20"/>
                <w:szCs w:val="20"/>
              </w:rPr>
              <w:t xml:space="preserve"> </w:t>
            </w:r>
            <w:r w:rsidRPr="00F33674">
              <w:rPr>
                <w:rFonts w:ascii="Arial Narrow" w:hAnsi="Arial Narrow" w:cs="Arial"/>
                <w:sz w:val="20"/>
                <w:szCs w:val="20"/>
              </w:rPr>
              <w:fldChar w:fldCharType="begin">
                <w:ffData>
                  <w:name w:val=""/>
                  <w:enabled/>
                  <w:calcOnExit w:val="0"/>
                  <w:checkBox>
                    <w:sizeAuto/>
                    <w:default w:val="0"/>
                  </w:checkBox>
                </w:ffData>
              </w:fldChar>
            </w:r>
            <w:r w:rsidRPr="00F33674">
              <w:rPr>
                <w:rFonts w:ascii="Arial Narrow" w:hAnsi="Arial Narrow" w:cs="Arial"/>
                <w:sz w:val="20"/>
                <w:szCs w:val="20"/>
              </w:rPr>
              <w:instrText xml:space="preserve"> FORMCHECKBOX </w:instrText>
            </w:r>
            <w:r w:rsidR="00233D13">
              <w:rPr>
                <w:rFonts w:ascii="Arial Narrow" w:hAnsi="Arial Narrow" w:cs="Arial"/>
                <w:sz w:val="20"/>
                <w:szCs w:val="20"/>
              </w:rPr>
            </w:r>
            <w:r w:rsidR="00233D13">
              <w:rPr>
                <w:rFonts w:ascii="Arial Narrow" w:hAnsi="Arial Narrow" w:cs="Arial"/>
                <w:sz w:val="20"/>
                <w:szCs w:val="20"/>
              </w:rPr>
              <w:fldChar w:fldCharType="separate"/>
            </w:r>
            <w:r w:rsidRPr="00F33674">
              <w:rPr>
                <w:rFonts w:ascii="Arial Narrow" w:hAnsi="Arial Narrow" w:cs="Arial"/>
                <w:sz w:val="20"/>
                <w:szCs w:val="20"/>
              </w:rPr>
              <w:fldChar w:fldCharType="end"/>
            </w:r>
            <w:r w:rsidRPr="00F33674">
              <w:rPr>
                <w:rFonts w:ascii="Arial Narrow" w:hAnsi="Arial Narrow" w:cs="Arial"/>
                <w:sz w:val="20"/>
                <w:szCs w:val="20"/>
              </w:rPr>
              <w:t>Optometrists</w:t>
            </w:r>
          </w:p>
          <w:p w14:paraId="1A2CFC04" w14:textId="77777777" w:rsidR="00E2755C" w:rsidRPr="00F33674" w:rsidRDefault="00E2755C" w:rsidP="00E41546">
            <w:pPr>
              <w:rPr>
                <w:rFonts w:ascii="Arial Narrow" w:hAnsi="Arial Narrow"/>
                <w:sz w:val="20"/>
                <w:szCs w:val="20"/>
              </w:rPr>
            </w:pPr>
            <w:r w:rsidRPr="00F33674">
              <w:rPr>
                <w:rFonts w:ascii="Arial Narrow" w:hAnsi="Arial Narrow" w:cs="Arial"/>
                <w:sz w:val="20"/>
                <w:szCs w:val="20"/>
              </w:rPr>
              <w:fldChar w:fldCharType="begin">
                <w:ffData>
                  <w:name w:val="Check5"/>
                  <w:enabled/>
                  <w:calcOnExit w:val="0"/>
                  <w:checkBox>
                    <w:sizeAuto/>
                    <w:default w:val="0"/>
                  </w:checkBox>
                </w:ffData>
              </w:fldChar>
            </w:r>
            <w:r w:rsidRPr="00F33674">
              <w:rPr>
                <w:rFonts w:ascii="Arial Narrow" w:hAnsi="Arial Narrow" w:cs="Arial"/>
                <w:sz w:val="20"/>
                <w:szCs w:val="20"/>
              </w:rPr>
              <w:instrText xml:space="preserve"> FORMCHECKBOX </w:instrText>
            </w:r>
            <w:r w:rsidR="00233D13">
              <w:rPr>
                <w:rFonts w:ascii="Arial Narrow" w:hAnsi="Arial Narrow" w:cs="Arial"/>
                <w:sz w:val="20"/>
                <w:szCs w:val="20"/>
              </w:rPr>
            </w:r>
            <w:r w:rsidR="00233D13">
              <w:rPr>
                <w:rFonts w:ascii="Arial Narrow" w:hAnsi="Arial Narrow" w:cs="Arial"/>
                <w:sz w:val="20"/>
                <w:szCs w:val="20"/>
              </w:rPr>
              <w:fldChar w:fldCharType="separate"/>
            </w:r>
            <w:r w:rsidRPr="00F33674">
              <w:rPr>
                <w:rFonts w:ascii="Arial Narrow" w:hAnsi="Arial Narrow" w:cs="Arial"/>
                <w:sz w:val="20"/>
                <w:szCs w:val="20"/>
              </w:rPr>
              <w:fldChar w:fldCharType="end"/>
            </w:r>
            <w:r w:rsidRPr="00F33674">
              <w:rPr>
                <w:rFonts w:ascii="Arial Narrow" w:hAnsi="Arial Narrow" w:cs="Arial"/>
                <w:sz w:val="20"/>
                <w:szCs w:val="20"/>
              </w:rPr>
              <w:t>Midwives</w:t>
            </w:r>
          </w:p>
        </w:tc>
      </w:tr>
      <w:tr w:rsidR="00E2755C" w:rsidRPr="00F33674" w14:paraId="3FC13EFA" w14:textId="77777777" w:rsidTr="00E41546">
        <w:trPr>
          <w:cantSplit/>
          <w:trHeight w:val="369"/>
        </w:trPr>
        <w:tc>
          <w:tcPr>
            <w:tcW w:w="2781" w:type="dxa"/>
            <w:tcMar>
              <w:top w:w="0" w:type="dxa"/>
              <w:left w:w="108" w:type="dxa"/>
              <w:bottom w:w="0" w:type="dxa"/>
              <w:right w:w="108" w:type="dxa"/>
            </w:tcMar>
            <w:hideMark/>
          </w:tcPr>
          <w:p w14:paraId="31CFFB6F" w14:textId="77777777" w:rsidR="00E2755C" w:rsidRPr="00F33674" w:rsidRDefault="00E2755C" w:rsidP="00E41546">
            <w:pPr>
              <w:rPr>
                <w:rFonts w:ascii="Arial Narrow" w:hAnsi="Arial Narrow"/>
                <w:b/>
                <w:bCs/>
                <w:sz w:val="20"/>
                <w:szCs w:val="20"/>
              </w:rPr>
            </w:pPr>
            <w:r w:rsidRPr="00F33674">
              <w:rPr>
                <w:rFonts w:ascii="Arial Narrow" w:hAnsi="Arial Narrow" w:cs="Arial"/>
                <w:b/>
                <w:sz w:val="20"/>
                <w:szCs w:val="20"/>
              </w:rPr>
              <w:t>PBS indication:</w:t>
            </w:r>
          </w:p>
        </w:tc>
        <w:tc>
          <w:tcPr>
            <w:tcW w:w="6245" w:type="dxa"/>
            <w:tcMar>
              <w:top w:w="0" w:type="dxa"/>
              <w:left w:w="108" w:type="dxa"/>
              <w:bottom w:w="0" w:type="dxa"/>
              <w:right w:w="108" w:type="dxa"/>
            </w:tcMar>
            <w:hideMark/>
          </w:tcPr>
          <w:p w14:paraId="12ED96DC" w14:textId="77777777" w:rsidR="00E2755C" w:rsidRPr="00F33674" w:rsidRDefault="00E2755C" w:rsidP="00E41546">
            <w:pPr>
              <w:rPr>
                <w:rFonts w:ascii="Arial Narrow" w:hAnsi="Arial Narrow"/>
                <w:sz w:val="20"/>
                <w:szCs w:val="20"/>
              </w:rPr>
            </w:pPr>
            <w:r w:rsidRPr="00F33674">
              <w:rPr>
                <w:rFonts w:ascii="Arial Narrow" w:hAnsi="Arial Narrow" w:cs="Arial"/>
                <w:sz w:val="20"/>
                <w:szCs w:val="20"/>
              </w:rPr>
              <w:t>[New] Cancer pain</w:t>
            </w:r>
          </w:p>
        </w:tc>
      </w:tr>
      <w:tr w:rsidR="00E2755C" w:rsidRPr="00F33674" w14:paraId="3BA1A685" w14:textId="77777777" w:rsidTr="00E41546">
        <w:trPr>
          <w:cantSplit/>
          <w:trHeight w:val="360"/>
        </w:trPr>
        <w:tc>
          <w:tcPr>
            <w:tcW w:w="2781" w:type="dxa"/>
            <w:tcMar>
              <w:top w:w="0" w:type="dxa"/>
              <w:left w:w="108" w:type="dxa"/>
              <w:bottom w:w="0" w:type="dxa"/>
              <w:right w:w="108" w:type="dxa"/>
            </w:tcMar>
          </w:tcPr>
          <w:p w14:paraId="7399DA7A" w14:textId="77777777" w:rsidR="00E2755C" w:rsidRPr="00F33674" w:rsidRDefault="00E2755C" w:rsidP="00E41546">
            <w:pPr>
              <w:rPr>
                <w:rFonts w:ascii="Arial Narrow" w:hAnsi="Arial Narrow" w:cs="Arial"/>
                <w:b/>
                <w:sz w:val="20"/>
                <w:szCs w:val="20"/>
              </w:rPr>
            </w:pPr>
            <w:r w:rsidRPr="00F33674">
              <w:rPr>
                <w:rFonts w:ascii="Arial Narrow" w:hAnsi="Arial Narrow" w:cs="Arial"/>
                <w:b/>
                <w:sz w:val="20"/>
                <w:szCs w:val="20"/>
              </w:rPr>
              <w:t>Restriction Level / Method:</w:t>
            </w:r>
          </w:p>
          <w:p w14:paraId="705F7C78" w14:textId="77777777" w:rsidR="00E2755C" w:rsidRPr="00F33674" w:rsidRDefault="00E2755C" w:rsidP="00E41546">
            <w:pPr>
              <w:rPr>
                <w:rFonts w:ascii="Arial Narrow" w:hAnsi="Arial Narrow" w:cs="Arial"/>
                <w:i/>
                <w:sz w:val="20"/>
                <w:szCs w:val="20"/>
              </w:rPr>
            </w:pPr>
          </w:p>
          <w:p w14:paraId="1A36F511" w14:textId="77777777" w:rsidR="00E2755C" w:rsidRPr="00F33674" w:rsidRDefault="00E2755C" w:rsidP="00E41546">
            <w:pPr>
              <w:rPr>
                <w:rFonts w:ascii="Arial Narrow" w:hAnsi="Arial Narrow" w:cs="Arial"/>
                <w:i/>
                <w:sz w:val="20"/>
                <w:szCs w:val="20"/>
              </w:rPr>
            </w:pPr>
          </w:p>
          <w:p w14:paraId="49644F30" w14:textId="77777777" w:rsidR="00E2755C" w:rsidRPr="00F33674" w:rsidRDefault="00E2755C" w:rsidP="00E41546">
            <w:pPr>
              <w:rPr>
                <w:rFonts w:ascii="Arial Narrow" w:hAnsi="Arial Narrow"/>
                <w:i/>
                <w:iCs/>
                <w:sz w:val="20"/>
                <w:szCs w:val="20"/>
              </w:rPr>
            </w:pPr>
          </w:p>
        </w:tc>
        <w:tc>
          <w:tcPr>
            <w:tcW w:w="6245" w:type="dxa"/>
            <w:tcMar>
              <w:top w:w="0" w:type="dxa"/>
              <w:left w:w="108" w:type="dxa"/>
              <w:bottom w:w="0" w:type="dxa"/>
              <w:right w:w="108" w:type="dxa"/>
            </w:tcMar>
            <w:hideMark/>
          </w:tcPr>
          <w:p w14:paraId="283EBF41" w14:textId="77777777" w:rsidR="00E2755C" w:rsidRPr="00F33674" w:rsidRDefault="00E2755C" w:rsidP="00E41546">
            <w:pPr>
              <w:rPr>
                <w:rFonts w:ascii="Arial Narrow" w:hAnsi="Arial Narrow" w:cs="Arial"/>
                <w:sz w:val="20"/>
                <w:szCs w:val="20"/>
              </w:rPr>
            </w:pPr>
            <w:r w:rsidRPr="00F33674">
              <w:rPr>
                <w:rFonts w:ascii="Arial Narrow" w:hAnsi="Arial Narrow" w:cs="Arial"/>
                <w:sz w:val="20"/>
                <w:szCs w:val="20"/>
              </w:rPr>
              <w:fldChar w:fldCharType="begin">
                <w:ffData>
                  <w:name w:val=""/>
                  <w:enabled/>
                  <w:calcOnExit w:val="0"/>
                  <w:checkBox>
                    <w:sizeAuto/>
                    <w:default w:val="0"/>
                  </w:checkBox>
                </w:ffData>
              </w:fldChar>
            </w:r>
            <w:r w:rsidRPr="00F33674">
              <w:rPr>
                <w:rFonts w:ascii="Arial Narrow" w:hAnsi="Arial Narrow" w:cs="Arial"/>
                <w:sz w:val="20"/>
                <w:szCs w:val="20"/>
              </w:rPr>
              <w:instrText xml:space="preserve"> FORMCHECKBOX </w:instrText>
            </w:r>
            <w:r w:rsidR="00233D13">
              <w:rPr>
                <w:rFonts w:ascii="Arial Narrow" w:hAnsi="Arial Narrow" w:cs="Arial"/>
                <w:sz w:val="20"/>
                <w:szCs w:val="20"/>
              </w:rPr>
            </w:r>
            <w:r w:rsidR="00233D13">
              <w:rPr>
                <w:rFonts w:ascii="Arial Narrow" w:hAnsi="Arial Narrow" w:cs="Arial"/>
                <w:sz w:val="20"/>
                <w:szCs w:val="20"/>
              </w:rPr>
              <w:fldChar w:fldCharType="separate"/>
            </w:r>
            <w:r w:rsidRPr="00F33674">
              <w:rPr>
                <w:rFonts w:ascii="Arial Narrow" w:hAnsi="Arial Narrow" w:cs="Arial"/>
                <w:sz w:val="20"/>
                <w:szCs w:val="20"/>
              </w:rPr>
              <w:fldChar w:fldCharType="end"/>
            </w:r>
            <w:r w:rsidRPr="00F33674">
              <w:rPr>
                <w:rFonts w:ascii="Arial Narrow" w:hAnsi="Arial Narrow" w:cs="Arial"/>
                <w:sz w:val="20"/>
                <w:szCs w:val="20"/>
              </w:rPr>
              <w:t>Unrestricted benefit</w:t>
            </w:r>
          </w:p>
          <w:p w14:paraId="0A3BD9CA" w14:textId="77777777" w:rsidR="00E2755C" w:rsidRPr="00F33674" w:rsidRDefault="00E2755C" w:rsidP="00E41546">
            <w:pPr>
              <w:rPr>
                <w:rFonts w:ascii="Arial Narrow" w:hAnsi="Arial Narrow" w:cs="Arial"/>
                <w:i/>
                <w:sz w:val="20"/>
                <w:szCs w:val="20"/>
              </w:rPr>
            </w:pPr>
            <w:r w:rsidRPr="00F33674">
              <w:rPr>
                <w:rFonts w:ascii="Arial Narrow" w:hAnsi="Arial Narrow" w:cs="Arial"/>
                <w:i/>
                <w:sz w:val="20"/>
                <w:szCs w:val="20"/>
              </w:rPr>
              <w:fldChar w:fldCharType="begin">
                <w:ffData>
                  <w:name w:val="Check1"/>
                  <w:enabled/>
                  <w:calcOnExit w:val="0"/>
                  <w:checkBox>
                    <w:sizeAuto/>
                    <w:default w:val="1"/>
                  </w:checkBox>
                </w:ffData>
              </w:fldChar>
            </w:r>
            <w:r w:rsidRPr="00F33674">
              <w:rPr>
                <w:rFonts w:ascii="Arial Narrow" w:hAnsi="Arial Narrow" w:cs="Arial"/>
                <w:i/>
                <w:sz w:val="20"/>
                <w:szCs w:val="20"/>
              </w:rPr>
              <w:instrText xml:space="preserve"> FORMCHECKBOX </w:instrText>
            </w:r>
            <w:r w:rsidR="00233D13">
              <w:rPr>
                <w:rFonts w:ascii="Arial Narrow" w:hAnsi="Arial Narrow" w:cs="Arial"/>
                <w:i/>
                <w:sz w:val="20"/>
                <w:szCs w:val="20"/>
              </w:rPr>
            </w:r>
            <w:r w:rsidR="00233D13">
              <w:rPr>
                <w:rFonts w:ascii="Arial Narrow" w:hAnsi="Arial Narrow" w:cs="Arial"/>
                <w:i/>
                <w:sz w:val="20"/>
                <w:szCs w:val="20"/>
              </w:rPr>
              <w:fldChar w:fldCharType="separate"/>
            </w:r>
            <w:r w:rsidRPr="00F33674">
              <w:rPr>
                <w:rFonts w:ascii="Arial Narrow" w:hAnsi="Arial Narrow" w:cs="Arial"/>
                <w:i/>
                <w:sz w:val="20"/>
                <w:szCs w:val="20"/>
              </w:rPr>
              <w:fldChar w:fldCharType="end"/>
            </w:r>
            <w:r w:rsidRPr="00F33674">
              <w:rPr>
                <w:rFonts w:ascii="Arial Narrow" w:hAnsi="Arial Narrow" w:cs="Arial"/>
                <w:sz w:val="20"/>
                <w:szCs w:val="20"/>
              </w:rPr>
              <w:t>Restricted benefit</w:t>
            </w:r>
          </w:p>
          <w:p w14:paraId="351EBE33" w14:textId="77777777" w:rsidR="00E2755C" w:rsidRPr="00F33674" w:rsidRDefault="00E2755C" w:rsidP="00E41546">
            <w:pPr>
              <w:rPr>
                <w:rFonts w:ascii="Arial Narrow" w:hAnsi="Arial Narrow" w:cs="Arial"/>
                <w:sz w:val="20"/>
                <w:szCs w:val="20"/>
              </w:rPr>
            </w:pPr>
            <w:r w:rsidRPr="00F33674">
              <w:rPr>
                <w:rFonts w:ascii="Arial Narrow" w:hAnsi="Arial Narrow" w:cs="Arial"/>
                <w:sz w:val="20"/>
                <w:szCs w:val="20"/>
              </w:rPr>
              <w:fldChar w:fldCharType="begin">
                <w:ffData>
                  <w:name w:val=""/>
                  <w:enabled/>
                  <w:calcOnExit w:val="0"/>
                  <w:checkBox>
                    <w:sizeAuto/>
                    <w:default w:val="0"/>
                  </w:checkBox>
                </w:ffData>
              </w:fldChar>
            </w:r>
            <w:r w:rsidRPr="00F33674">
              <w:rPr>
                <w:rFonts w:ascii="Arial Narrow" w:hAnsi="Arial Narrow" w:cs="Arial"/>
                <w:sz w:val="20"/>
                <w:szCs w:val="20"/>
              </w:rPr>
              <w:instrText xml:space="preserve"> FORMCHECKBOX </w:instrText>
            </w:r>
            <w:r w:rsidR="00233D13">
              <w:rPr>
                <w:rFonts w:ascii="Arial Narrow" w:hAnsi="Arial Narrow" w:cs="Arial"/>
                <w:sz w:val="20"/>
                <w:szCs w:val="20"/>
              </w:rPr>
            </w:r>
            <w:r w:rsidR="00233D13">
              <w:rPr>
                <w:rFonts w:ascii="Arial Narrow" w:hAnsi="Arial Narrow" w:cs="Arial"/>
                <w:sz w:val="20"/>
                <w:szCs w:val="20"/>
              </w:rPr>
              <w:fldChar w:fldCharType="separate"/>
            </w:r>
            <w:r w:rsidRPr="00F33674">
              <w:rPr>
                <w:rFonts w:ascii="Arial Narrow" w:hAnsi="Arial Narrow" w:cs="Arial"/>
                <w:sz w:val="20"/>
                <w:szCs w:val="20"/>
              </w:rPr>
              <w:fldChar w:fldCharType="end"/>
            </w:r>
            <w:r w:rsidRPr="00F33674">
              <w:rPr>
                <w:rFonts w:ascii="Arial Narrow" w:hAnsi="Arial Narrow" w:cs="Arial"/>
                <w:sz w:val="20"/>
                <w:szCs w:val="20"/>
              </w:rPr>
              <w:t>Authority Required – In Writing</w:t>
            </w:r>
          </w:p>
          <w:p w14:paraId="77737D9F" w14:textId="77777777" w:rsidR="00E2755C" w:rsidRPr="00F33674" w:rsidRDefault="00E2755C" w:rsidP="00E41546">
            <w:pPr>
              <w:rPr>
                <w:rFonts w:ascii="Arial Narrow" w:hAnsi="Arial Narrow" w:cs="Arial"/>
                <w:sz w:val="20"/>
                <w:szCs w:val="20"/>
              </w:rPr>
            </w:pPr>
            <w:r w:rsidRPr="00F33674">
              <w:rPr>
                <w:rFonts w:ascii="Arial Narrow" w:hAnsi="Arial Narrow" w:cs="Arial"/>
                <w:sz w:val="20"/>
                <w:szCs w:val="20"/>
              </w:rPr>
              <w:fldChar w:fldCharType="begin">
                <w:ffData>
                  <w:name w:val="Check3"/>
                  <w:enabled/>
                  <w:calcOnExit w:val="0"/>
                  <w:checkBox>
                    <w:sizeAuto/>
                    <w:default w:val="0"/>
                  </w:checkBox>
                </w:ffData>
              </w:fldChar>
            </w:r>
            <w:r w:rsidRPr="00F33674">
              <w:rPr>
                <w:rFonts w:ascii="Arial Narrow" w:hAnsi="Arial Narrow" w:cs="Arial"/>
                <w:sz w:val="20"/>
                <w:szCs w:val="20"/>
              </w:rPr>
              <w:instrText xml:space="preserve"> FORMCHECKBOX </w:instrText>
            </w:r>
            <w:r w:rsidR="00233D13">
              <w:rPr>
                <w:rFonts w:ascii="Arial Narrow" w:hAnsi="Arial Narrow" w:cs="Arial"/>
                <w:sz w:val="20"/>
                <w:szCs w:val="20"/>
              </w:rPr>
            </w:r>
            <w:r w:rsidR="00233D13">
              <w:rPr>
                <w:rFonts w:ascii="Arial Narrow" w:hAnsi="Arial Narrow" w:cs="Arial"/>
                <w:sz w:val="20"/>
                <w:szCs w:val="20"/>
              </w:rPr>
              <w:fldChar w:fldCharType="separate"/>
            </w:r>
            <w:r w:rsidRPr="00F33674">
              <w:rPr>
                <w:rFonts w:ascii="Arial Narrow" w:hAnsi="Arial Narrow" w:cs="Arial"/>
                <w:sz w:val="20"/>
                <w:szCs w:val="20"/>
              </w:rPr>
              <w:fldChar w:fldCharType="end"/>
            </w:r>
            <w:r w:rsidRPr="00F33674">
              <w:rPr>
                <w:rFonts w:ascii="Arial Narrow" w:hAnsi="Arial Narrow" w:cs="Arial"/>
                <w:sz w:val="20"/>
                <w:szCs w:val="20"/>
              </w:rPr>
              <w:t>Authority Required – Telephone/Electronic/Emergency</w:t>
            </w:r>
          </w:p>
          <w:p w14:paraId="24A72776" w14:textId="77777777" w:rsidR="00E2755C" w:rsidRPr="00F33674" w:rsidRDefault="00E2755C" w:rsidP="00E41546">
            <w:pPr>
              <w:rPr>
                <w:rFonts w:ascii="Arial Narrow" w:hAnsi="Arial Narrow"/>
                <w:sz w:val="20"/>
                <w:szCs w:val="20"/>
              </w:rPr>
            </w:pPr>
            <w:r w:rsidRPr="00F33674">
              <w:rPr>
                <w:rFonts w:ascii="Arial Narrow" w:hAnsi="Arial Narrow" w:cs="Arial"/>
                <w:sz w:val="20"/>
                <w:szCs w:val="20"/>
              </w:rPr>
              <w:fldChar w:fldCharType="begin">
                <w:ffData>
                  <w:name w:val="Check5"/>
                  <w:enabled/>
                  <w:calcOnExit w:val="0"/>
                  <w:checkBox>
                    <w:sizeAuto/>
                    <w:default w:val="0"/>
                  </w:checkBox>
                </w:ffData>
              </w:fldChar>
            </w:r>
            <w:r w:rsidRPr="00F33674">
              <w:rPr>
                <w:rFonts w:ascii="Arial Narrow" w:hAnsi="Arial Narrow" w:cs="Arial"/>
                <w:sz w:val="20"/>
                <w:szCs w:val="20"/>
              </w:rPr>
              <w:instrText xml:space="preserve"> FORMCHECKBOX </w:instrText>
            </w:r>
            <w:r w:rsidR="00233D13">
              <w:rPr>
                <w:rFonts w:ascii="Arial Narrow" w:hAnsi="Arial Narrow" w:cs="Arial"/>
                <w:sz w:val="20"/>
                <w:szCs w:val="20"/>
              </w:rPr>
            </w:r>
            <w:r w:rsidR="00233D13">
              <w:rPr>
                <w:rFonts w:ascii="Arial Narrow" w:hAnsi="Arial Narrow" w:cs="Arial"/>
                <w:sz w:val="20"/>
                <w:szCs w:val="20"/>
              </w:rPr>
              <w:fldChar w:fldCharType="separate"/>
            </w:r>
            <w:r w:rsidRPr="00F33674">
              <w:rPr>
                <w:rFonts w:ascii="Arial Narrow" w:hAnsi="Arial Narrow" w:cs="Arial"/>
                <w:sz w:val="20"/>
                <w:szCs w:val="20"/>
              </w:rPr>
              <w:fldChar w:fldCharType="end"/>
            </w:r>
            <w:r w:rsidRPr="00F33674">
              <w:rPr>
                <w:rFonts w:ascii="Arial Narrow" w:hAnsi="Arial Narrow" w:cs="Arial"/>
                <w:sz w:val="20"/>
                <w:szCs w:val="20"/>
              </w:rPr>
              <w:t>Streamlined</w:t>
            </w:r>
          </w:p>
        </w:tc>
      </w:tr>
      <w:tr w:rsidR="00E2755C" w:rsidRPr="00F33674" w14:paraId="2A730273" w14:textId="77777777" w:rsidTr="00E41546">
        <w:trPr>
          <w:cantSplit/>
          <w:trHeight w:val="360"/>
        </w:trPr>
        <w:tc>
          <w:tcPr>
            <w:tcW w:w="2781" w:type="dxa"/>
            <w:tcMar>
              <w:top w:w="0" w:type="dxa"/>
              <w:left w:w="108" w:type="dxa"/>
              <w:bottom w:w="0" w:type="dxa"/>
              <w:right w:w="108" w:type="dxa"/>
            </w:tcMar>
          </w:tcPr>
          <w:p w14:paraId="437E0F30" w14:textId="77777777" w:rsidR="00E2755C" w:rsidRPr="00F33674" w:rsidRDefault="00E2755C" w:rsidP="00E41546">
            <w:pPr>
              <w:rPr>
                <w:rFonts w:ascii="Arial Narrow" w:hAnsi="Arial Narrow" w:cs="Arial"/>
                <w:b/>
                <w:sz w:val="20"/>
                <w:szCs w:val="20"/>
              </w:rPr>
            </w:pPr>
            <w:r>
              <w:rPr>
                <w:rFonts w:ascii="Arial Narrow" w:hAnsi="Arial Narrow" w:cs="Arial"/>
                <w:b/>
                <w:sz w:val="20"/>
                <w:szCs w:val="20"/>
              </w:rPr>
              <w:t>Treatment phase:</w:t>
            </w:r>
          </w:p>
        </w:tc>
        <w:tc>
          <w:tcPr>
            <w:tcW w:w="6245" w:type="dxa"/>
            <w:tcMar>
              <w:top w:w="0" w:type="dxa"/>
              <w:left w:w="108" w:type="dxa"/>
              <w:bottom w:w="0" w:type="dxa"/>
              <w:right w:w="108" w:type="dxa"/>
            </w:tcMar>
          </w:tcPr>
          <w:p w14:paraId="56197A3B" w14:textId="51784868" w:rsidR="00E2755C" w:rsidRPr="00F33674" w:rsidRDefault="00E2755C">
            <w:pPr>
              <w:jc w:val="left"/>
              <w:rPr>
                <w:rFonts w:ascii="Arial Narrow" w:hAnsi="Arial Narrow" w:cs="Arial"/>
                <w:sz w:val="20"/>
                <w:szCs w:val="20"/>
              </w:rPr>
            </w:pPr>
            <w:r>
              <w:rPr>
                <w:rFonts w:ascii="Arial Narrow" w:hAnsi="Arial Narrow" w:cs="Arial"/>
                <w:sz w:val="20"/>
                <w:szCs w:val="20"/>
              </w:rPr>
              <w:t>Continuing</w:t>
            </w:r>
            <w:r w:rsidRPr="00830656">
              <w:rPr>
                <w:rFonts w:ascii="Arial Narrow" w:hAnsi="Arial Narrow" w:cs="Arial"/>
                <w:sz w:val="20"/>
                <w:szCs w:val="20"/>
              </w:rPr>
              <w:t xml:space="preserve"> </w:t>
            </w:r>
            <w:r>
              <w:rPr>
                <w:rFonts w:ascii="Arial Narrow" w:hAnsi="Arial Narrow" w:cs="Arial"/>
                <w:sz w:val="20"/>
                <w:szCs w:val="20"/>
              </w:rPr>
              <w:t>PBS treatment after 1 June 2020.</w:t>
            </w:r>
          </w:p>
        </w:tc>
      </w:tr>
      <w:tr w:rsidR="00E2755C" w:rsidRPr="00F33674" w14:paraId="564B9492" w14:textId="77777777" w:rsidTr="00E41546">
        <w:trPr>
          <w:cantSplit/>
          <w:trHeight w:val="360"/>
        </w:trPr>
        <w:tc>
          <w:tcPr>
            <w:tcW w:w="2781" w:type="dxa"/>
            <w:tcMar>
              <w:top w:w="0" w:type="dxa"/>
              <w:left w:w="108" w:type="dxa"/>
              <w:bottom w:w="0" w:type="dxa"/>
              <w:right w:w="108" w:type="dxa"/>
            </w:tcMar>
            <w:hideMark/>
          </w:tcPr>
          <w:p w14:paraId="1931C787" w14:textId="77777777" w:rsidR="00E2755C" w:rsidRPr="00F33674" w:rsidRDefault="00E2755C" w:rsidP="00E41546">
            <w:pPr>
              <w:rPr>
                <w:rFonts w:ascii="Arial Narrow" w:hAnsi="Arial Narrow"/>
                <w:b/>
                <w:bCs/>
                <w:sz w:val="20"/>
                <w:szCs w:val="20"/>
              </w:rPr>
            </w:pPr>
            <w:r w:rsidRPr="00F33674">
              <w:rPr>
                <w:rFonts w:ascii="Arial Narrow" w:hAnsi="Arial Narrow" w:cs="Arial"/>
                <w:b/>
                <w:sz w:val="20"/>
                <w:szCs w:val="20"/>
              </w:rPr>
              <w:lastRenderedPageBreak/>
              <w:t>Clinical criteria:</w:t>
            </w:r>
          </w:p>
        </w:tc>
        <w:tc>
          <w:tcPr>
            <w:tcW w:w="6245" w:type="dxa"/>
            <w:tcMar>
              <w:top w:w="0" w:type="dxa"/>
              <w:left w:w="108" w:type="dxa"/>
              <w:bottom w:w="0" w:type="dxa"/>
              <w:right w:w="108" w:type="dxa"/>
            </w:tcMar>
          </w:tcPr>
          <w:p w14:paraId="3C7B03BF" w14:textId="3D57319B" w:rsidR="00E2755C" w:rsidRPr="00F33674" w:rsidRDefault="00E2755C">
            <w:pPr>
              <w:jc w:val="left"/>
              <w:rPr>
                <w:rFonts w:ascii="Arial Narrow" w:hAnsi="Arial Narrow"/>
                <w:sz w:val="20"/>
                <w:szCs w:val="20"/>
              </w:rPr>
            </w:pPr>
            <w:r w:rsidRPr="00F33674">
              <w:rPr>
                <w:rFonts w:ascii="Arial Narrow" w:hAnsi="Arial Narrow" w:cs="Arial"/>
                <w:sz w:val="20"/>
                <w:szCs w:val="20"/>
              </w:rPr>
              <w:t>[</w:t>
            </w:r>
            <w:r>
              <w:rPr>
                <w:rFonts w:ascii="Arial Narrow" w:hAnsi="Arial Narrow" w:cs="Arial"/>
                <w:sz w:val="20"/>
                <w:szCs w:val="20"/>
              </w:rPr>
              <w:t>new</w:t>
            </w:r>
            <w:r w:rsidRPr="00F33674">
              <w:rPr>
                <w:rFonts w:ascii="Arial Narrow" w:hAnsi="Arial Narrow" w:cs="Arial"/>
                <w:sz w:val="20"/>
                <w:szCs w:val="20"/>
              </w:rPr>
              <w:t xml:space="preserve">] </w:t>
            </w:r>
            <w:r w:rsidRPr="00E2755C">
              <w:rPr>
                <w:rFonts w:ascii="Arial Narrow" w:hAnsi="Arial Narrow" w:cs="Arial"/>
                <w:sz w:val="20"/>
                <w:szCs w:val="20"/>
              </w:rPr>
              <w:t>Patient must have previously received PBS-subsidised treatment with this form of this drug for this condition after 1 June 2020</w:t>
            </w:r>
            <w:r>
              <w:rPr>
                <w:rFonts w:ascii="Arial Narrow" w:hAnsi="Arial Narrow" w:cs="Arial"/>
                <w:sz w:val="20"/>
                <w:szCs w:val="20"/>
              </w:rPr>
              <w:t>.</w:t>
            </w:r>
          </w:p>
        </w:tc>
      </w:tr>
      <w:tr w:rsidR="00E2755C" w:rsidRPr="00F33674" w14:paraId="57F5765E" w14:textId="77777777" w:rsidTr="00E41546">
        <w:trPr>
          <w:cantSplit/>
          <w:trHeight w:val="360"/>
        </w:trPr>
        <w:tc>
          <w:tcPr>
            <w:tcW w:w="2781" w:type="dxa"/>
            <w:tcMar>
              <w:top w:w="0" w:type="dxa"/>
              <w:left w:w="108" w:type="dxa"/>
              <w:bottom w:w="0" w:type="dxa"/>
              <w:right w:w="108" w:type="dxa"/>
            </w:tcMar>
          </w:tcPr>
          <w:p w14:paraId="2C8F8B3E" w14:textId="77777777" w:rsidR="00E2755C" w:rsidRPr="00F33674" w:rsidRDefault="00E2755C" w:rsidP="00E41546">
            <w:pPr>
              <w:rPr>
                <w:rFonts w:ascii="Arial Narrow" w:hAnsi="Arial Narrow" w:cs="Arial"/>
                <w:b/>
                <w:sz w:val="20"/>
                <w:szCs w:val="20"/>
              </w:rPr>
            </w:pPr>
            <w:r w:rsidRPr="00F33674">
              <w:rPr>
                <w:rFonts w:ascii="Arial Narrow" w:hAnsi="Arial Narrow" w:cs="Arial"/>
                <w:b/>
                <w:sz w:val="20"/>
                <w:szCs w:val="20"/>
              </w:rPr>
              <w:t>Prescriber instructions:</w:t>
            </w:r>
          </w:p>
        </w:tc>
        <w:tc>
          <w:tcPr>
            <w:tcW w:w="6245" w:type="dxa"/>
            <w:tcMar>
              <w:top w:w="0" w:type="dxa"/>
              <w:left w:w="108" w:type="dxa"/>
              <w:bottom w:w="0" w:type="dxa"/>
              <w:right w:w="108" w:type="dxa"/>
            </w:tcMar>
          </w:tcPr>
          <w:p w14:paraId="438608B7" w14:textId="77777777" w:rsidR="00E2755C" w:rsidRPr="00E2755C" w:rsidRDefault="00E2755C" w:rsidP="00E2755C">
            <w:pPr>
              <w:jc w:val="left"/>
              <w:rPr>
                <w:rFonts w:ascii="Arial Narrow" w:hAnsi="Arial Narrow" w:cs="Arial"/>
                <w:sz w:val="20"/>
                <w:szCs w:val="20"/>
              </w:rPr>
            </w:pPr>
            <w:r w:rsidRPr="00F33674">
              <w:rPr>
                <w:rFonts w:ascii="Arial Narrow" w:hAnsi="Arial Narrow" w:cs="Arial"/>
                <w:sz w:val="20"/>
                <w:szCs w:val="20"/>
              </w:rPr>
              <w:t xml:space="preserve">[new] </w:t>
            </w:r>
            <w:r w:rsidRPr="00E2755C">
              <w:rPr>
                <w:rFonts w:ascii="Arial Narrow" w:hAnsi="Arial Narrow" w:cs="Arial"/>
                <w:sz w:val="20"/>
                <w:szCs w:val="20"/>
              </w:rPr>
              <w:t>Authorities for increased maximum quantities and/or repeats must only be considered for chronic severe disabling pain where the patient has received initial authority approval and the total duration of non-PBS and PBS opioid analgesic treatment:</w:t>
            </w:r>
          </w:p>
          <w:p w14:paraId="08092E06" w14:textId="77777777" w:rsidR="00E2755C" w:rsidRPr="00E2755C" w:rsidRDefault="00E2755C" w:rsidP="00E2755C">
            <w:pPr>
              <w:jc w:val="left"/>
              <w:rPr>
                <w:rFonts w:ascii="Arial Narrow" w:hAnsi="Arial Narrow" w:cs="Arial"/>
                <w:sz w:val="20"/>
                <w:szCs w:val="20"/>
              </w:rPr>
            </w:pPr>
            <w:r w:rsidRPr="00E2755C">
              <w:rPr>
                <w:rFonts w:ascii="Arial Narrow" w:hAnsi="Arial Narrow" w:cs="Arial"/>
                <w:sz w:val="20"/>
                <w:szCs w:val="20"/>
              </w:rPr>
              <w:t>(i) is less than 12 months; or</w:t>
            </w:r>
          </w:p>
          <w:p w14:paraId="633751FA" w14:textId="77777777" w:rsidR="00E2755C" w:rsidRPr="00E2755C" w:rsidRDefault="00E2755C" w:rsidP="00E2755C">
            <w:pPr>
              <w:jc w:val="left"/>
              <w:rPr>
                <w:rFonts w:ascii="Arial Narrow" w:hAnsi="Arial Narrow" w:cs="Arial"/>
                <w:sz w:val="20"/>
                <w:szCs w:val="20"/>
              </w:rPr>
            </w:pPr>
            <w:r w:rsidRPr="00E2755C">
              <w:rPr>
                <w:rFonts w:ascii="Arial Narrow" w:hAnsi="Arial Narrow" w:cs="Arial"/>
                <w:sz w:val="20"/>
                <w:szCs w:val="20"/>
              </w:rPr>
              <w:t>(ii) exceeds 12 months and the palliative care patient is unable to have annual pain management review due to their clinical condition; or</w:t>
            </w:r>
          </w:p>
          <w:p w14:paraId="5C50CDB1" w14:textId="77777777" w:rsidR="00E2755C" w:rsidRPr="00E2755C" w:rsidRDefault="00E2755C" w:rsidP="00E2755C">
            <w:pPr>
              <w:jc w:val="left"/>
              <w:rPr>
                <w:rFonts w:ascii="Arial Narrow" w:hAnsi="Arial Narrow" w:cs="Arial"/>
                <w:sz w:val="20"/>
                <w:szCs w:val="20"/>
              </w:rPr>
            </w:pPr>
            <w:r w:rsidRPr="00E2755C">
              <w:rPr>
                <w:rFonts w:ascii="Arial Narrow" w:hAnsi="Arial Narrow" w:cs="Arial"/>
                <w:sz w:val="20"/>
                <w:szCs w:val="20"/>
              </w:rPr>
              <w:t>(iii) exceeds 12 months and the patient's clinical need for continuing opioid treatment has been confirmed through consultation with the patient by another medical practitioner or a palliative care nurse practitioner in the past 12 months; or</w:t>
            </w:r>
          </w:p>
          <w:p w14:paraId="67D23B45" w14:textId="22EFF265" w:rsidR="00E2755C" w:rsidRPr="00F33674" w:rsidRDefault="00E2755C" w:rsidP="00E2755C">
            <w:pPr>
              <w:jc w:val="left"/>
              <w:rPr>
                <w:rFonts w:ascii="Arial Narrow" w:hAnsi="Arial Narrow" w:cs="Arial"/>
                <w:sz w:val="20"/>
                <w:szCs w:val="20"/>
              </w:rPr>
            </w:pPr>
            <w:r w:rsidRPr="00E2755C">
              <w:rPr>
                <w:rFonts w:ascii="Arial Narrow" w:hAnsi="Arial Narrow" w:cs="Arial"/>
                <w:sz w:val="20"/>
                <w:szCs w:val="20"/>
              </w:rPr>
              <w:t xml:space="preserve">(iv) </w:t>
            </w:r>
            <w:proofErr w:type="gramStart"/>
            <w:r w:rsidRPr="00E2755C">
              <w:rPr>
                <w:rFonts w:ascii="Arial Narrow" w:hAnsi="Arial Narrow" w:cs="Arial"/>
                <w:sz w:val="20"/>
                <w:szCs w:val="20"/>
              </w:rPr>
              <w:t>has</w:t>
            </w:r>
            <w:proofErr w:type="gramEnd"/>
            <w:r w:rsidRPr="00E2755C">
              <w:rPr>
                <w:rFonts w:ascii="Arial Narrow" w:hAnsi="Arial Narrow" w:cs="Arial"/>
                <w:sz w:val="20"/>
                <w:szCs w:val="20"/>
              </w:rPr>
              <w:t xml:space="preserve"> exceeded 12 months prior to 1 June 2020 and the patient's pain management and clinical need for continuing opioid treatment has not been confirmed through consultation with the patient by another medical practitioner or a palliative care nurse practitioner in the past 12 months, but is planned in the next 3 months.</w:t>
            </w:r>
          </w:p>
          <w:p w14:paraId="0738C6DF" w14:textId="77777777" w:rsidR="00E2755C" w:rsidRPr="00F33674" w:rsidRDefault="00E2755C" w:rsidP="00E41546">
            <w:pPr>
              <w:jc w:val="left"/>
              <w:rPr>
                <w:rFonts w:ascii="Arial Narrow" w:hAnsi="Arial Narrow" w:cs="Arial"/>
                <w:sz w:val="20"/>
                <w:szCs w:val="20"/>
              </w:rPr>
            </w:pPr>
          </w:p>
          <w:p w14:paraId="283215B5" w14:textId="77777777" w:rsidR="00E2755C" w:rsidRPr="00F33674" w:rsidRDefault="00E2755C" w:rsidP="00E41546">
            <w:pPr>
              <w:jc w:val="left"/>
              <w:rPr>
                <w:rFonts w:ascii="Arial Narrow" w:hAnsi="Arial Narrow" w:cs="Arial"/>
                <w:sz w:val="20"/>
                <w:szCs w:val="20"/>
              </w:rPr>
            </w:pPr>
            <w:r>
              <w:rPr>
                <w:rFonts w:ascii="Arial Narrow" w:hAnsi="Arial Narrow" w:cs="Arial"/>
                <w:sz w:val="20"/>
                <w:szCs w:val="20"/>
              </w:rPr>
              <w:t xml:space="preserve">[new] </w:t>
            </w:r>
            <w:r w:rsidRPr="009F3089">
              <w:rPr>
                <w:rFonts w:ascii="Arial Narrow" w:hAnsi="Arial Narrow" w:cs="Arial"/>
                <w:sz w:val="20"/>
                <w:szCs w:val="20"/>
              </w:rPr>
              <w:t>Palliative care nurses may conduct annual review under this item for the treatment of palliative care patients only.</w:t>
            </w:r>
          </w:p>
          <w:p w14:paraId="2477792D" w14:textId="77777777" w:rsidR="00E2755C" w:rsidRPr="00F33674" w:rsidRDefault="00E2755C" w:rsidP="00E41546">
            <w:pPr>
              <w:jc w:val="left"/>
              <w:rPr>
                <w:rFonts w:ascii="Arial Narrow" w:hAnsi="Arial Narrow" w:cs="Arial"/>
                <w:sz w:val="20"/>
                <w:szCs w:val="20"/>
              </w:rPr>
            </w:pPr>
          </w:p>
          <w:p w14:paraId="16708493" w14:textId="77777777" w:rsidR="00E2755C" w:rsidRPr="00F33674" w:rsidRDefault="00E2755C" w:rsidP="00E41546">
            <w:pPr>
              <w:jc w:val="left"/>
              <w:rPr>
                <w:rFonts w:ascii="Arial Narrow" w:hAnsi="Arial Narrow" w:cs="Arial"/>
                <w:sz w:val="20"/>
                <w:szCs w:val="20"/>
              </w:rPr>
            </w:pPr>
            <w:r w:rsidRPr="00F33674">
              <w:rPr>
                <w:rFonts w:ascii="Arial Narrow" w:hAnsi="Arial Narrow" w:cs="Arial"/>
                <w:sz w:val="20"/>
                <w:szCs w:val="20"/>
              </w:rPr>
              <w:t>[new] Authority requests extending treatment duration up to 1 month may be requested though the Online PBS Authorities system or by calling Services Australia.</w:t>
            </w:r>
          </w:p>
          <w:p w14:paraId="759AAAFB" w14:textId="77777777" w:rsidR="00E2755C" w:rsidRPr="00F33674" w:rsidRDefault="00E2755C" w:rsidP="00E41546">
            <w:pPr>
              <w:jc w:val="left"/>
              <w:rPr>
                <w:rFonts w:ascii="Arial Narrow" w:hAnsi="Arial Narrow" w:cs="Arial"/>
                <w:sz w:val="20"/>
                <w:szCs w:val="20"/>
              </w:rPr>
            </w:pPr>
          </w:p>
          <w:p w14:paraId="499E4623" w14:textId="77777777" w:rsidR="00E2755C" w:rsidRPr="00F33674" w:rsidRDefault="00E2755C" w:rsidP="00E41546">
            <w:pPr>
              <w:jc w:val="left"/>
              <w:rPr>
                <w:rFonts w:ascii="Arial Narrow" w:hAnsi="Arial Narrow" w:cs="Arial"/>
                <w:sz w:val="20"/>
                <w:szCs w:val="20"/>
              </w:rPr>
            </w:pPr>
            <w:r w:rsidRPr="00F33674">
              <w:rPr>
                <w:rFonts w:ascii="Arial Narrow" w:hAnsi="Arial Narrow" w:cs="Arial"/>
                <w:sz w:val="20"/>
                <w:szCs w:val="20"/>
              </w:rPr>
              <w:t xml:space="preserve">Authority requests extending treatment duration beyond 1 month </w:t>
            </w:r>
            <w:r w:rsidRPr="00710D93">
              <w:rPr>
                <w:rFonts w:ascii="Arial Narrow" w:hAnsi="Arial Narrow" w:cs="Arial"/>
                <w:sz w:val="20"/>
                <w:szCs w:val="20"/>
              </w:rPr>
              <w:t>may be requested through the Online PBS Authorities system</w:t>
            </w:r>
            <w:r w:rsidRPr="00F33674">
              <w:rPr>
                <w:rFonts w:ascii="Arial Narrow" w:hAnsi="Arial Narrow" w:cs="Arial"/>
                <w:sz w:val="20"/>
                <w:szCs w:val="20"/>
              </w:rPr>
              <w:t xml:space="preserve"> or in writing only and must not provide a treatment duration exceeding 3 months</w:t>
            </w:r>
            <w:r>
              <w:rPr>
                <w:rFonts w:ascii="Arial Narrow" w:hAnsi="Arial Narrow" w:cs="Arial"/>
                <w:sz w:val="20"/>
                <w:szCs w:val="20"/>
              </w:rPr>
              <w:t xml:space="preserve"> </w:t>
            </w:r>
            <w:r w:rsidRPr="00710D93">
              <w:rPr>
                <w:rFonts w:ascii="Arial Narrow" w:hAnsi="Arial Narrow" w:cs="Arial"/>
                <w:sz w:val="20"/>
                <w:szCs w:val="20"/>
              </w:rPr>
              <w:t xml:space="preserve">(quantity sufficient for up to </w:t>
            </w:r>
            <w:proofErr w:type="gramStart"/>
            <w:r w:rsidRPr="00710D93">
              <w:rPr>
                <w:rFonts w:ascii="Arial Narrow" w:hAnsi="Arial Narrow" w:cs="Arial"/>
                <w:sz w:val="20"/>
                <w:szCs w:val="20"/>
              </w:rPr>
              <w:t>1 month</w:t>
            </w:r>
            <w:proofErr w:type="gramEnd"/>
            <w:r w:rsidRPr="00710D93">
              <w:rPr>
                <w:rFonts w:ascii="Arial Narrow" w:hAnsi="Arial Narrow" w:cs="Arial"/>
                <w:sz w:val="20"/>
                <w:szCs w:val="20"/>
              </w:rPr>
              <w:t xml:space="preserve"> treatment and sufficient repeats)</w:t>
            </w:r>
            <w:r w:rsidRPr="00F33674">
              <w:rPr>
                <w:rFonts w:ascii="Arial Narrow" w:hAnsi="Arial Narrow" w:cs="Arial"/>
                <w:sz w:val="20"/>
                <w:szCs w:val="20"/>
              </w:rPr>
              <w:t>.</w:t>
            </w:r>
          </w:p>
        </w:tc>
      </w:tr>
      <w:tr w:rsidR="00E2755C" w:rsidRPr="00F33674" w14:paraId="1F575E5D" w14:textId="77777777" w:rsidTr="00E41546">
        <w:trPr>
          <w:cantSplit/>
          <w:trHeight w:val="360"/>
        </w:trPr>
        <w:tc>
          <w:tcPr>
            <w:tcW w:w="2781" w:type="dxa"/>
            <w:tcMar>
              <w:top w:w="0" w:type="dxa"/>
              <w:left w:w="108" w:type="dxa"/>
              <w:bottom w:w="0" w:type="dxa"/>
              <w:right w:w="108" w:type="dxa"/>
            </w:tcMar>
          </w:tcPr>
          <w:p w14:paraId="7ECAE330" w14:textId="77777777" w:rsidR="00E2755C" w:rsidRPr="00F33674" w:rsidRDefault="00E2755C" w:rsidP="00E41546">
            <w:pPr>
              <w:rPr>
                <w:rFonts w:ascii="Arial Narrow" w:hAnsi="Arial Narrow" w:cs="Arial"/>
                <w:b/>
                <w:sz w:val="20"/>
                <w:szCs w:val="20"/>
              </w:rPr>
            </w:pPr>
            <w:r w:rsidRPr="00F33674">
              <w:rPr>
                <w:rFonts w:ascii="Arial Narrow" w:hAnsi="Arial Narrow" w:cs="Arial"/>
                <w:b/>
                <w:sz w:val="20"/>
                <w:szCs w:val="20"/>
              </w:rPr>
              <w:t>Administrative advice:</w:t>
            </w:r>
          </w:p>
        </w:tc>
        <w:tc>
          <w:tcPr>
            <w:tcW w:w="6245" w:type="dxa"/>
            <w:tcMar>
              <w:top w:w="0" w:type="dxa"/>
              <w:left w:w="108" w:type="dxa"/>
              <w:bottom w:w="0" w:type="dxa"/>
              <w:right w:w="108" w:type="dxa"/>
            </w:tcMar>
          </w:tcPr>
          <w:p w14:paraId="487AAFFC" w14:textId="77777777" w:rsidR="00E2755C" w:rsidRPr="00F33674" w:rsidRDefault="00E2755C" w:rsidP="00E41546">
            <w:pPr>
              <w:jc w:val="left"/>
              <w:rPr>
                <w:rFonts w:ascii="Arial Narrow" w:hAnsi="Arial Narrow"/>
                <w:sz w:val="20"/>
                <w:szCs w:val="20"/>
              </w:rPr>
            </w:pPr>
            <w:r w:rsidRPr="00F33674">
              <w:rPr>
                <w:rFonts w:ascii="Arial Narrow" w:hAnsi="Arial Narrow"/>
                <w:sz w:val="20"/>
                <w:szCs w:val="20"/>
              </w:rPr>
              <w:t>[new] Consider consultation with a multidisciplinary pain service prior to, or after commencement of this medication.</w:t>
            </w:r>
          </w:p>
          <w:p w14:paraId="25BE20A7" w14:textId="77777777" w:rsidR="00E2755C" w:rsidRPr="00F33674" w:rsidRDefault="00E2755C" w:rsidP="00E41546">
            <w:pPr>
              <w:jc w:val="left"/>
              <w:rPr>
                <w:rFonts w:ascii="Arial Narrow" w:hAnsi="Arial Narrow" w:cs="Arial"/>
                <w:sz w:val="20"/>
                <w:szCs w:val="20"/>
              </w:rPr>
            </w:pPr>
          </w:p>
          <w:p w14:paraId="09F772CC" w14:textId="77777777" w:rsidR="00E2755C" w:rsidRPr="00F33674" w:rsidRDefault="00E2755C" w:rsidP="00E41546">
            <w:pPr>
              <w:jc w:val="left"/>
              <w:rPr>
                <w:rFonts w:ascii="Arial Narrow" w:hAnsi="Arial Narrow" w:cs="Arial"/>
                <w:sz w:val="20"/>
                <w:szCs w:val="20"/>
              </w:rPr>
            </w:pPr>
            <w:r w:rsidRPr="00F33674">
              <w:rPr>
                <w:rFonts w:ascii="Arial Narrow" w:hAnsi="Arial Narrow" w:cs="Arial"/>
                <w:sz w:val="20"/>
                <w:szCs w:val="20"/>
              </w:rPr>
              <w:t>[new] Real time online applications for increased maximum quantities/repeats may be made using the Online PBS Authorities system (see www.servicesaustralia.gov.au/organisations/health-professionals/services/medicare/hpos/services/request-authority-using-online-pbs-authorities-hpos)</w:t>
            </w:r>
          </w:p>
          <w:p w14:paraId="74FBC490" w14:textId="77777777" w:rsidR="00E2755C" w:rsidRPr="00F33674" w:rsidRDefault="00E2755C" w:rsidP="00E41546">
            <w:pPr>
              <w:jc w:val="left"/>
              <w:rPr>
                <w:rFonts w:ascii="Arial Narrow" w:hAnsi="Arial Narrow" w:cs="Arial"/>
                <w:sz w:val="20"/>
                <w:szCs w:val="20"/>
              </w:rPr>
            </w:pPr>
          </w:p>
          <w:p w14:paraId="79B0BAF3" w14:textId="77777777" w:rsidR="00E2755C" w:rsidRPr="00F33674" w:rsidRDefault="00E2755C" w:rsidP="00E41546">
            <w:pPr>
              <w:jc w:val="left"/>
              <w:rPr>
                <w:rFonts w:ascii="Arial Narrow" w:hAnsi="Arial Narrow" w:cs="Arial"/>
                <w:sz w:val="20"/>
                <w:szCs w:val="20"/>
              </w:rPr>
            </w:pPr>
            <w:r w:rsidRPr="00F33674">
              <w:rPr>
                <w:rFonts w:ascii="Arial Narrow" w:hAnsi="Arial Narrow" w:cs="Arial"/>
                <w:sz w:val="20"/>
                <w:szCs w:val="20"/>
              </w:rPr>
              <w:t>Phone applications for increased maximum quantities/repeats may be made by calling 1800 888 333.</w:t>
            </w:r>
          </w:p>
          <w:p w14:paraId="0C00F930" w14:textId="77777777" w:rsidR="00E2755C" w:rsidRPr="00F33674" w:rsidRDefault="00E2755C" w:rsidP="00E41546">
            <w:pPr>
              <w:jc w:val="left"/>
              <w:rPr>
                <w:rFonts w:ascii="Arial Narrow" w:hAnsi="Arial Narrow" w:cs="Arial"/>
                <w:sz w:val="20"/>
                <w:szCs w:val="20"/>
              </w:rPr>
            </w:pPr>
          </w:p>
          <w:p w14:paraId="1C645220" w14:textId="77777777" w:rsidR="00E2755C" w:rsidRPr="00F33674" w:rsidRDefault="00E2755C" w:rsidP="00E41546">
            <w:pPr>
              <w:jc w:val="left"/>
              <w:rPr>
                <w:rFonts w:ascii="Arial Narrow" w:hAnsi="Arial Narrow" w:cs="Arial"/>
                <w:sz w:val="20"/>
                <w:szCs w:val="20"/>
              </w:rPr>
            </w:pPr>
            <w:r w:rsidRPr="00F33674">
              <w:rPr>
                <w:rFonts w:ascii="Arial Narrow" w:hAnsi="Arial Narrow" w:cs="Arial"/>
                <w:sz w:val="20"/>
                <w:szCs w:val="20"/>
              </w:rPr>
              <w:t>Written authority applications for increased maximum quantities/repeats can be uploaded online through HPOS form upload or mailed to:</w:t>
            </w:r>
          </w:p>
          <w:p w14:paraId="4FAF4521" w14:textId="77777777" w:rsidR="00E2755C" w:rsidRPr="00F33674" w:rsidRDefault="00E2755C" w:rsidP="00E41546">
            <w:pPr>
              <w:jc w:val="left"/>
              <w:rPr>
                <w:rFonts w:ascii="Arial Narrow" w:hAnsi="Arial Narrow" w:cs="Arial"/>
                <w:sz w:val="20"/>
                <w:szCs w:val="20"/>
              </w:rPr>
            </w:pPr>
            <w:r w:rsidRPr="00F33674">
              <w:rPr>
                <w:rFonts w:ascii="Arial Narrow" w:hAnsi="Arial Narrow" w:cs="Arial"/>
                <w:sz w:val="20"/>
                <w:szCs w:val="20"/>
              </w:rPr>
              <w:t>Pharmaceutical Benefits Scheme</w:t>
            </w:r>
          </w:p>
          <w:p w14:paraId="11FBE2F9" w14:textId="77777777" w:rsidR="00E2755C" w:rsidRPr="00F33674" w:rsidRDefault="00E2755C" w:rsidP="00E41546">
            <w:pPr>
              <w:jc w:val="left"/>
              <w:rPr>
                <w:rFonts w:ascii="Arial Narrow" w:hAnsi="Arial Narrow" w:cs="Arial"/>
                <w:sz w:val="20"/>
                <w:szCs w:val="20"/>
              </w:rPr>
            </w:pPr>
            <w:r w:rsidRPr="00F33674">
              <w:rPr>
                <w:rFonts w:ascii="Arial Narrow" w:hAnsi="Arial Narrow" w:cs="Arial"/>
                <w:sz w:val="20"/>
                <w:szCs w:val="20"/>
              </w:rPr>
              <w:t>Reply Paid 9857</w:t>
            </w:r>
          </w:p>
          <w:p w14:paraId="073F3816" w14:textId="77777777" w:rsidR="00E2755C" w:rsidRPr="00F33674" w:rsidRDefault="00E2755C" w:rsidP="00E41546">
            <w:pPr>
              <w:jc w:val="left"/>
              <w:rPr>
                <w:rFonts w:ascii="Arial Narrow" w:hAnsi="Arial Narrow" w:cs="Arial"/>
                <w:sz w:val="20"/>
                <w:szCs w:val="20"/>
              </w:rPr>
            </w:pPr>
            <w:r w:rsidRPr="00F33674">
              <w:rPr>
                <w:rFonts w:ascii="Arial Narrow" w:hAnsi="Arial Narrow" w:cs="Arial"/>
                <w:sz w:val="20"/>
                <w:szCs w:val="20"/>
              </w:rPr>
              <w:t>[Your capital city]</w:t>
            </w:r>
          </w:p>
        </w:tc>
      </w:tr>
      <w:tr w:rsidR="00E2755C" w:rsidRPr="00F33674" w14:paraId="168C83AD" w14:textId="77777777" w:rsidTr="00E41546">
        <w:trPr>
          <w:cantSplit/>
          <w:trHeight w:val="360"/>
        </w:trPr>
        <w:tc>
          <w:tcPr>
            <w:tcW w:w="2781" w:type="dxa"/>
            <w:tcMar>
              <w:top w:w="0" w:type="dxa"/>
              <w:left w:w="108" w:type="dxa"/>
              <w:bottom w:w="0" w:type="dxa"/>
              <w:right w:w="108" w:type="dxa"/>
            </w:tcMar>
            <w:hideMark/>
          </w:tcPr>
          <w:p w14:paraId="75CBDC5D" w14:textId="77777777" w:rsidR="00E2755C" w:rsidRPr="00F33674" w:rsidRDefault="00E2755C" w:rsidP="00E41546">
            <w:pPr>
              <w:rPr>
                <w:rFonts w:ascii="Arial Narrow" w:hAnsi="Arial Narrow"/>
                <w:b/>
                <w:bCs/>
                <w:sz w:val="20"/>
                <w:szCs w:val="20"/>
              </w:rPr>
            </w:pPr>
            <w:r w:rsidRPr="00F33674">
              <w:rPr>
                <w:rFonts w:ascii="Arial Narrow" w:hAnsi="Arial Narrow" w:cs="Arial"/>
                <w:b/>
                <w:sz w:val="20"/>
                <w:szCs w:val="20"/>
              </w:rPr>
              <w:t>Cautions:</w:t>
            </w:r>
          </w:p>
        </w:tc>
        <w:tc>
          <w:tcPr>
            <w:tcW w:w="6245" w:type="dxa"/>
            <w:tcMar>
              <w:top w:w="0" w:type="dxa"/>
              <w:left w:w="108" w:type="dxa"/>
              <w:bottom w:w="0" w:type="dxa"/>
              <w:right w:w="108" w:type="dxa"/>
            </w:tcMar>
            <w:hideMark/>
          </w:tcPr>
          <w:p w14:paraId="28D1E009" w14:textId="77777777" w:rsidR="00E2755C" w:rsidRPr="00F33674" w:rsidRDefault="00E2755C" w:rsidP="00E41546">
            <w:pPr>
              <w:jc w:val="left"/>
              <w:rPr>
                <w:rFonts w:ascii="Arial Narrow" w:hAnsi="Arial Narrow"/>
                <w:sz w:val="20"/>
                <w:szCs w:val="20"/>
              </w:rPr>
            </w:pPr>
            <w:r w:rsidRPr="00F33674">
              <w:rPr>
                <w:rFonts w:ascii="Arial Narrow" w:hAnsi="Arial Narrow" w:cs="Arial"/>
                <w:sz w:val="20"/>
                <w:szCs w:val="20"/>
              </w:rPr>
              <w:t>[6986] The risk of drug dependence is high.</w:t>
            </w:r>
          </w:p>
        </w:tc>
      </w:tr>
    </w:tbl>
    <w:p w14:paraId="33F09FC4" w14:textId="66231E7E" w:rsidR="00CB71CC" w:rsidRDefault="00CB71CC">
      <w:pPr>
        <w:jc w:val="left"/>
        <w:rPr>
          <w:rFonts w:asciiTheme="minorHAnsi" w:eastAsiaTheme="minorHAnsi" w:hAnsiTheme="minorHAnsi" w:cstheme="minorBidi"/>
          <w:szCs w:val="22"/>
        </w:rPr>
      </w:pPr>
      <w:r>
        <w:br w:type="page"/>
      </w:r>
    </w:p>
    <w:p w14:paraId="5B399926" w14:textId="5B0041FE" w:rsidR="00F33674" w:rsidRPr="00F33674" w:rsidRDefault="00F33674" w:rsidP="00F33674">
      <w:pPr>
        <w:pStyle w:val="3-BodyText"/>
      </w:pPr>
      <w:r w:rsidRPr="00F33674">
        <w:lastRenderedPageBreak/>
        <w:t>Amend items:</w:t>
      </w:r>
    </w:p>
    <w:p w14:paraId="4BB53061" w14:textId="77777777" w:rsidR="00F33674" w:rsidRPr="00F33674" w:rsidRDefault="00F33674" w:rsidP="00F33674">
      <w:pPr>
        <w:keepNext/>
        <w:keepLines/>
        <w:spacing w:before="40"/>
        <w:jc w:val="left"/>
        <w:outlineLvl w:val="2"/>
        <w:rPr>
          <w:rFonts w:asciiTheme="minorHAnsi" w:eastAsiaTheme="majorEastAsia" w:hAnsiTheme="minorHAnsi" w:cstheme="majorBidi"/>
          <w:b/>
          <w:color w:val="000000" w:themeColor="text1"/>
        </w:rPr>
      </w:pPr>
      <w:bookmarkStart w:id="21" w:name="_Toc32300587"/>
      <w:r w:rsidRPr="00F33674">
        <w:rPr>
          <w:rFonts w:asciiTheme="minorHAnsi" w:eastAsiaTheme="majorEastAsia" w:hAnsiTheme="minorHAnsi" w:cstheme="majorBidi"/>
          <w:b/>
          <w:color w:val="000000" w:themeColor="text1"/>
        </w:rPr>
        <w:t xml:space="preserve">Listing 8: Restriction for short-term pain TGA indication in </w:t>
      </w:r>
      <w:proofErr w:type="gramStart"/>
      <w:r w:rsidRPr="00F33674">
        <w:rPr>
          <w:rFonts w:asciiTheme="minorHAnsi" w:eastAsiaTheme="majorEastAsia" w:hAnsiTheme="minorHAnsi" w:cstheme="majorBidi"/>
          <w:b/>
          <w:color w:val="000000" w:themeColor="text1"/>
        </w:rPr>
        <w:t>2</w:t>
      </w:r>
      <w:r w:rsidRPr="00F33674">
        <w:rPr>
          <w:rFonts w:asciiTheme="minorHAnsi" w:eastAsiaTheme="majorEastAsia" w:hAnsiTheme="minorHAnsi" w:cstheme="majorBidi"/>
          <w:b/>
          <w:color w:val="000000" w:themeColor="text1"/>
          <w:vertAlign w:val="superscript"/>
        </w:rPr>
        <w:t>nd</w:t>
      </w:r>
      <w:proofErr w:type="gramEnd"/>
      <w:r w:rsidRPr="00F33674">
        <w:rPr>
          <w:rFonts w:asciiTheme="minorHAnsi" w:eastAsiaTheme="majorEastAsia" w:hAnsiTheme="minorHAnsi" w:cstheme="majorBidi"/>
          <w:b/>
          <w:color w:val="000000" w:themeColor="text1"/>
        </w:rPr>
        <w:t xml:space="preserve"> line opioid setting (morphine injections):</w:t>
      </w:r>
      <w:bookmarkEnd w:id="21"/>
      <w:r w:rsidRPr="00F33674">
        <w:rPr>
          <w:rFonts w:asciiTheme="minorHAnsi" w:eastAsiaTheme="majorEastAsia" w:hAnsiTheme="minorHAnsi" w:cstheme="majorBidi"/>
          <w:b/>
          <w:color w:val="000000" w:themeColor="text1"/>
        </w:rPr>
        <w:br/>
      </w:r>
    </w:p>
    <w:tbl>
      <w:tblPr>
        <w:tblW w:w="9529" w:type="dxa"/>
        <w:tblLook w:val="04A0" w:firstRow="1" w:lastRow="0" w:firstColumn="1" w:lastColumn="0" w:noHBand="0" w:noVBand="1"/>
      </w:tblPr>
      <w:tblGrid>
        <w:gridCol w:w="1774"/>
        <w:gridCol w:w="903"/>
        <w:gridCol w:w="2693"/>
        <w:gridCol w:w="836"/>
        <w:gridCol w:w="656"/>
        <w:gridCol w:w="1238"/>
        <w:gridCol w:w="1429"/>
      </w:tblGrid>
      <w:tr w:rsidR="00F33674" w:rsidRPr="00F33674" w14:paraId="288678B0" w14:textId="77777777" w:rsidTr="00F33674">
        <w:trPr>
          <w:trHeight w:val="300"/>
        </w:trPr>
        <w:tc>
          <w:tcPr>
            <w:tcW w:w="1774" w:type="dxa"/>
            <w:tcBorders>
              <w:bottom w:val="single" w:sz="4" w:space="0" w:color="auto"/>
            </w:tcBorders>
            <w:shd w:val="clear" w:color="auto" w:fill="auto"/>
            <w:noWrap/>
            <w:hideMark/>
          </w:tcPr>
          <w:p w14:paraId="010DD075"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LI Drug</w:t>
            </w:r>
          </w:p>
        </w:tc>
        <w:tc>
          <w:tcPr>
            <w:tcW w:w="903" w:type="dxa"/>
            <w:tcBorders>
              <w:bottom w:val="single" w:sz="4" w:space="0" w:color="auto"/>
            </w:tcBorders>
            <w:shd w:val="clear" w:color="auto" w:fill="auto"/>
          </w:tcPr>
          <w:p w14:paraId="0A02DC78"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Item Code</w:t>
            </w:r>
          </w:p>
        </w:tc>
        <w:tc>
          <w:tcPr>
            <w:tcW w:w="2693" w:type="dxa"/>
            <w:tcBorders>
              <w:bottom w:val="single" w:sz="4" w:space="0" w:color="auto"/>
            </w:tcBorders>
            <w:shd w:val="clear" w:color="auto" w:fill="auto"/>
            <w:noWrap/>
            <w:hideMark/>
          </w:tcPr>
          <w:p w14:paraId="2AD09168"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Legal Instrument Form</w:t>
            </w:r>
          </w:p>
        </w:tc>
        <w:tc>
          <w:tcPr>
            <w:tcW w:w="836" w:type="dxa"/>
            <w:tcBorders>
              <w:bottom w:val="single" w:sz="4" w:space="0" w:color="auto"/>
            </w:tcBorders>
            <w:shd w:val="clear" w:color="auto" w:fill="auto"/>
            <w:noWrap/>
            <w:hideMark/>
          </w:tcPr>
          <w:p w14:paraId="1E670F66"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Max. Qty</w:t>
            </w:r>
          </w:p>
        </w:tc>
        <w:tc>
          <w:tcPr>
            <w:tcW w:w="656" w:type="dxa"/>
            <w:tcBorders>
              <w:bottom w:val="single" w:sz="4" w:space="0" w:color="auto"/>
            </w:tcBorders>
            <w:shd w:val="clear" w:color="auto" w:fill="auto"/>
            <w:noWrap/>
            <w:hideMark/>
          </w:tcPr>
          <w:p w14:paraId="72C67842"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No. Rpt</w:t>
            </w:r>
          </w:p>
        </w:tc>
        <w:tc>
          <w:tcPr>
            <w:tcW w:w="1238" w:type="dxa"/>
            <w:tcBorders>
              <w:bottom w:val="single" w:sz="4" w:space="0" w:color="auto"/>
            </w:tcBorders>
            <w:shd w:val="clear" w:color="auto" w:fill="auto"/>
            <w:noWrap/>
            <w:hideMark/>
          </w:tcPr>
          <w:p w14:paraId="43006703"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Brand Name</w:t>
            </w:r>
          </w:p>
        </w:tc>
        <w:tc>
          <w:tcPr>
            <w:tcW w:w="1429" w:type="dxa"/>
            <w:tcBorders>
              <w:bottom w:val="single" w:sz="4" w:space="0" w:color="auto"/>
            </w:tcBorders>
            <w:shd w:val="clear" w:color="auto" w:fill="auto"/>
            <w:noWrap/>
            <w:hideMark/>
          </w:tcPr>
          <w:p w14:paraId="017CB709"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Responsible Person</w:t>
            </w:r>
          </w:p>
        </w:tc>
      </w:tr>
      <w:tr w:rsidR="00F33674" w:rsidRPr="00F33674" w14:paraId="4C6980D3" w14:textId="77777777" w:rsidTr="00F33674">
        <w:trPr>
          <w:trHeight w:val="300"/>
        </w:trPr>
        <w:tc>
          <w:tcPr>
            <w:tcW w:w="1774" w:type="dxa"/>
            <w:tcBorders>
              <w:top w:val="single" w:sz="4" w:space="0" w:color="auto"/>
            </w:tcBorders>
            <w:shd w:val="clear" w:color="auto" w:fill="auto"/>
            <w:noWrap/>
            <w:hideMark/>
          </w:tcPr>
          <w:p w14:paraId="49D0B60E"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MORPHINE</w:t>
            </w:r>
          </w:p>
        </w:tc>
        <w:tc>
          <w:tcPr>
            <w:tcW w:w="903" w:type="dxa"/>
            <w:tcBorders>
              <w:top w:val="single" w:sz="4" w:space="0" w:color="auto"/>
            </w:tcBorders>
            <w:shd w:val="clear" w:color="auto" w:fill="auto"/>
          </w:tcPr>
          <w:p w14:paraId="66E50C51"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10878M</w:t>
            </w:r>
          </w:p>
        </w:tc>
        <w:tc>
          <w:tcPr>
            <w:tcW w:w="2693" w:type="dxa"/>
            <w:tcBorders>
              <w:top w:val="single" w:sz="4" w:space="0" w:color="auto"/>
            </w:tcBorders>
            <w:shd w:val="clear" w:color="auto" w:fill="auto"/>
            <w:noWrap/>
            <w:hideMark/>
          </w:tcPr>
          <w:p w14:paraId="7C165DAF"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Injection containing morphine hydrochloride trihydrate 100 mg in 5 mL</w:t>
            </w:r>
          </w:p>
        </w:tc>
        <w:tc>
          <w:tcPr>
            <w:tcW w:w="836" w:type="dxa"/>
            <w:tcBorders>
              <w:top w:val="single" w:sz="4" w:space="0" w:color="auto"/>
            </w:tcBorders>
            <w:shd w:val="clear" w:color="auto" w:fill="auto"/>
            <w:noWrap/>
            <w:hideMark/>
          </w:tcPr>
          <w:p w14:paraId="0114EFC0"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5</w:t>
            </w:r>
          </w:p>
        </w:tc>
        <w:tc>
          <w:tcPr>
            <w:tcW w:w="656" w:type="dxa"/>
            <w:tcBorders>
              <w:top w:val="single" w:sz="4" w:space="0" w:color="auto"/>
            </w:tcBorders>
            <w:shd w:val="clear" w:color="auto" w:fill="auto"/>
            <w:noWrap/>
            <w:hideMark/>
          </w:tcPr>
          <w:p w14:paraId="1B3E3EE4"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0</w:t>
            </w:r>
          </w:p>
        </w:tc>
        <w:tc>
          <w:tcPr>
            <w:tcW w:w="1238" w:type="dxa"/>
            <w:tcBorders>
              <w:top w:val="single" w:sz="4" w:space="0" w:color="auto"/>
            </w:tcBorders>
            <w:shd w:val="clear" w:color="auto" w:fill="auto"/>
            <w:noWrap/>
            <w:hideMark/>
          </w:tcPr>
          <w:p w14:paraId="3DFF75C4"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Morphine Juno</w:t>
            </w:r>
          </w:p>
        </w:tc>
        <w:tc>
          <w:tcPr>
            <w:tcW w:w="1429" w:type="dxa"/>
            <w:tcBorders>
              <w:top w:val="single" w:sz="4" w:space="0" w:color="auto"/>
            </w:tcBorders>
            <w:shd w:val="clear" w:color="auto" w:fill="auto"/>
            <w:noWrap/>
            <w:hideMark/>
          </w:tcPr>
          <w:p w14:paraId="0C55A361"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Juno Pharmaceuticals Pty Ltd</w:t>
            </w:r>
          </w:p>
        </w:tc>
      </w:tr>
      <w:tr w:rsidR="00F33674" w:rsidRPr="00F33674" w14:paraId="79529A98" w14:textId="77777777" w:rsidTr="00F33674">
        <w:trPr>
          <w:trHeight w:val="300"/>
        </w:trPr>
        <w:tc>
          <w:tcPr>
            <w:tcW w:w="1774" w:type="dxa"/>
            <w:shd w:val="clear" w:color="auto" w:fill="auto"/>
            <w:noWrap/>
          </w:tcPr>
          <w:p w14:paraId="06800E86" w14:textId="77777777" w:rsidR="00F33674" w:rsidRPr="00F33674" w:rsidRDefault="00F33674" w:rsidP="00F33674">
            <w:pPr>
              <w:jc w:val="left"/>
              <w:rPr>
                <w:rFonts w:ascii="Arial Narrow" w:hAnsi="Arial Narrow" w:cs="Calibri"/>
                <w:color w:val="000000"/>
                <w:sz w:val="20"/>
                <w:szCs w:val="20"/>
                <w:lang w:eastAsia="en-AU"/>
              </w:rPr>
            </w:pPr>
          </w:p>
        </w:tc>
        <w:tc>
          <w:tcPr>
            <w:tcW w:w="903" w:type="dxa"/>
            <w:shd w:val="clear" w:color="auto" w:fill="auto"/>
          </w:tcPr>
          <w:p w14:paraId="79B9E56C"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10874H</w:t>
            </w:r>
          </w:p>
        </w:tc>
        <w:tc>
          <w:tcPr>
            <w:tcW w:w="2693" w:type="dxa"/>
            <w:shd w:val="clear" w:color="auto" w:fill="auto"/>
            <w:noWrap/>
          </w:tcPr>
          <w:p w14:paraId="6BA349A8"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Injection containing morphine hydrochloride trihydrate 20 mg in 1 mL</w:t>
            </w:r>
          </w:p>
        </w:tc>
        <w:tc>
          <w:tcPr>
            <w:tcW w:w="836" w:type="dxa"/>
            <w:shd w:val="clear" w:color="auto" w:fill="auto"/>
            <w:noWrap/>
          </w:tcPr>
          <w:p w14:paraId="724DA1BF"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5</w:t>
            </w:r>
          </w:p>
        </w:tc>
        <w:tc>
          <w:tcPr>
            <w:tcW w:w="656" w:type="dxa"/>
            <w:shd w:val="clear" w:color="auto" w:fill="auto"/>
            <w:noWrap/>
          </w:tcPr>
          <w:p w14:paraId="274315FF"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0</w:t>
            </w:r>
          </w:p>
        </w:tc>
        <w:tc>
          <w:tcPr>
            <w:tcW w:w="1238" w:type="dxa"/>
            <w:shd w:val="clear" w:color="auto" w:fill="auto"/>
            <w:noWrap/>
          </w:tcPr>
          <w:p w14:paraId="53AFA9FB"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Morphine Juno</w:t>
            </w:r>
          </w:p>
        </w:tc>
        <w:tc>
          <w:tcPr>
            <w:tcW w:w="1429" w:type="dxa"/>
            <w:shd w:val="clear" w:color="auto" w:fill="auto"/>
            <w:noWrap/>
          </w:tcPr>
          <w:p w14:paraId="1518F3ED"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Juno Pharmaceuticals Pty Ltd</w:t>
            </w:r>
          </w:p>
        </w:tc>
      </w:tr>
      <w:tr w:rsidR="00F33674" w:rsidRPr="00F33674" w14:paraId="7237CC0E" w14:textId="77777777" w:rsidTr="00F33674">
        <w:trPr>
          <w:trHeight w:val="300"/>
        </w:trPr>
        <w:tc>
          <w:tcPr>
            <w:tcW w:w="1774" w:type="dxa"/>
            <w:shd w:val="clear" w:color="auto" w:fill="auto"/>
            <w:noWrap/>
          </w:tcPr>
          <w:p w14:paraId="7101AEB4" w14:textId="77777777" w:rsidR="00F33674" w:rsidRPr="00F33674" w:rsidRDefault="00F33674" w:rsidP="00F33674">
            <w:pPr>
              <w:jc w:val="left"/>
              <w:rPr>
                <w:rFonts w:ascii="Arial Narrow" w:hAnsi="Arial Narrow" w:cs="Calibri"/>
                <w:color w:val="000000"/>
                <w:sz w:val="20"/>
                <w:szCs w:val="20"/>
                <w:lang w:eastAsia="en-AU"/>
              </w:rPr>
            </w:pPr>
          </w:p>
        </w:tc>
        <w:tc>
          <w:tcPr>
            <w:tcW w:w="903" w:type="dxa"/>
            <w:shd w:val="clear" w:color="auto" w:fill="auto"/>
          </w:tcPr>
          <w:p w14:paraId="68982866"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10869C</w:t>
            </w:r>
          </w:p>
        </w:tc>
        <w:tc>
          <w:tcPr>
            <w:tcW w:w="2693" w:type="dxa"/>
            <w:shd w:val="clear" w:color="auto" w:fill="auto"/>
            <w:noWrap/>
          </w:tcPr>
          <w:p w14:paraId="3052B862"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Injection containing morphine hydrochloride trihydrate 50 mg in 5 mL</w:t>
            </w:r>
          </w:p>
        </w:tc>
        <w:tc>
          <w:tcPr>
            <w:tcW w:w="836" w:type="dxa"/>
            <w:shd w:val="clear" w:color="auto" w:fill="auto"/>
            <w:noWrap/>
          </w:tcPr>
          <w:p w14:paraId="70784D95"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5</w:t>
            </w:r>
          </w:p>
        </w:tc>
        <w:tc>
          <w:tcPr>
            <w:tcW w:w="656" w:type="dxa"/>
            <w:shd w:val="clear" w:color="auto" w:fill="auto"/>
            <w:noWrap/>
          </w:tcPr>
          <w:p w14:paraId="52453FFE"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0</w:t>
            </w:r>
          </w:p>
        </w:tc>
        <w:tc>
          <w:tcPr>
            <w:tcW w:w="1238" w:type="dxa"/>
            <w:shd w:val="clear" w:color="auto" w:fill="auto"/>
            <w:noWrap/>
          </w:tcPr>
          <w:p w14:paraId="45B4DEA5"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Morphine Juno</w:t>
            </w:r>
          </w:p>
        </w:tc>
        <w:tc>
          <w:tcPr>
            <w:tcW w:w="1429" w:type="dxa"/>
            <w:shd w:val="clear" w:color="auto" w:fill="auto"/>
            <w:noWrap/>
          </w:tcPr>
          <w:p w14:paraId="46CE44F2"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Juno Pharmaceuticals Pty Ltd</w:t>
            </w:r>
          </w:p>
        </w:tc>
      </w:tr>
      <w:tr w:rsidR="00F33674" w:rsidRPr="00F33674" w14:paraId="1D42B8E9" w14:textId="77777777" w:rsidTr="00F33674">
        <w:trPr>
          <w:trHeight w:val="300"/>
        </w:trPr>
        <w:tc>
          <w:tcPr>
            <w:tcW w:w="1774" w:type="dxa"/>
            <w:shd w:val="clear" w:color="auto" w:fill="auto"/>
            <w:noWrap/>
          </w:tcPr>
          <w:p w14:paraId="619C349D" w14:textId="77777777" w:rsidR="00F33674" w:rsidRPr="00F33674" w:rsidRDefault="00F33674" w:rsidP="00F33674">
            <w:pPr>
              <w:jc w:val="left"/>
              <w:rPr>
                <w:rFonts w:ascii="Arial Narrow" w:hAnsi="Arial Narrow" w:cs="Calibri"/>
                <w:color w:val="000000"/>
                <w:sz w:val="20"/>
                <w:szCs w:val="20"/>
                <w:lang w:eastAsia="en-AU"/>
              </w:rPr>
            </w:pPr>
          </w:p>
        </w:tc>
        <w:tc>
          <w:tcPr>
            <w:tcW w:w="903" w:type="dxa"/>
            <w:shd w:val="clear" w:color="auto" w:fill="auto"/>
          </w:tcPr>
          <w:p w14:paraId="409B4ADE"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1647Q</w:t>
            </w:r>
          </w:p>
        </w:tc>
        <w:tc>
          <w:tcPr>
            <w:tcW w:w="2693" w:type="dxa"/>
            <w:shd w:val="clear" w:color="auto" w:fill="auto"/>
            <w:noWrap/>
          </w:tcPr>
          <w:p w14:paraId="20940CB4"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Injection containing morphine sulfate pentahydrate 30 mg in 1 mL</w:t>
            </w:r>
          </w:p>
        </w:tc>
        <w:tc>
          <w:tcPr>
            <w:tcW w:w="836" w:type="dxa"/>
            <w:shd w:val="clear" w:color="auto" w:fill="auto"/>
            <w:noWrap/>
          </w:tcPr>
          <w:p w14:paraId="6AB81800"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5</w:t>
            </w:r>
          </w:p>
        </w:tc>
        <w:tc>
          <w:tcPr>
            <w:tcW w:w="656" w:type="dxa"/>
            <w:shd w:val="clear" w:color="auto" w:fill="auto"/>
            <w:noWrap/>
          </w:tcPr>
          <w:p w14:paraId="337DA433"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0</w:t>
            </w:r>
          </w:p>
        </w:tc>
        <w:tc>
          <w:tcPr>
            <w:tcW w:w="1238" w:type="dxa"/>
            <w:vMerge w:val="restart"/>
            <w:shd w:val="clear" w:color="auto" w:fill="auto"/>
            <w:noWrap/>
          </w:tcPr>
          <w:p w14:paraId="7610F717"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Hospira Pty Limited</w:t>
            </w:r>
          </w:p>
          <w:p w14:paraId="03E420E6"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MORPHINE SULFATE 30 mg/1 mL MEDSURGE</w:t>
            </w:r>
          </w:p>
        </w:tc>
        <w:tc>
          <w:tcPr>
            <w:tcW w:w="1429" w:type="dxa"/>
            <w:vMerge w:val="restart"/>
            <w:shd w:val="clear" w:color="auto" w:fill="auto"/>
            <w:noWrap/>
          </w:tcPr>
          <w:p w14:paraId="61CECEA0"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Pfizer Australia Pty Ltd</w:t>
            </w:r>
          </w:p>
          <w:p w14:paraId="55D9BD5F"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Medsurge Healthcare Pty Ltd</w:t>
            </w:r>
          </w:p>
        </w:tc>
      </w:tr>
      <w:tr w:rsidR="00F33674" w:rsidRPr="00F33674" w14:paraId="638DD969" w14:textId="77777777" w:rsidTr="00F33674">
        <w:trPr>
          <w:trHeight w:val="300"/>
        </w:trPr>
        <w:tc>
          <w:tcPr>
            <w:tcW w:w="1774" w:type="dxa"/>
            <w:shd w:val="clear" w:color="auto" w:fill="auto"/>
            <w:noWrap/>
          </w:tcPr>
          <w:p w14:paraId="23BC7C7E" w14:textId="77777777" w:rsidR="00F33674" w:rsidRPr="00F33674" w:rsidRDefault="00F33674" w:rsidP="00F33674">
            <w:pPr>
              <w:jc w:val="left"/>
              <w:rPr>
                <w:rFonts w:ascii="Arial Narrow" w:hAnsi="Arial Narrow" w:cs="Calibri"/>
                <w:color w:val="000000"/>
                <w:sz w:val="20"/>
                <w:szCs w:val="20"/>
                <w:lang w:eastAsia="en-AU"/>
              </w:rPr>
            </w:pPr>
          </w:p>
        </w:tc>
        <w:tc>
          <w:tcPr>
            <w:tcW w:w="903" w:type="dxa"/>
            <w:shd w:val="clear" w:color="auto" w:fill="auto"/>
          </w:tcPr>
          <w:p w14:paraId="1100A9F2" w14:textId="77777777" w:rsidR="00F33674" w:rsidRPr="00F33674" w:rsidRDefault="00F33674" w:rsidP="00F33674">
            <w:pPr>
              <w:jc w:val="left"/>
              <w:rPr>
                <w:rFonts w:ascii="Arial Narrow" w:hAnsi="Arial Narrow" w:cs="Calibri"/>
                <w:color w:val="000000"/>
                <w:sz w:val="20"/>
                <w:szCs w:val="20"/>
                <w:lang w:eastAsia="en-AU"/>
              </w:rPr>
            </w:pPr>
          </w:p>
        </w:tc>
        <w:tc>
          <w:tcPr>
            <w:tcW w:w="2693" w:type="dxa"/>
            <w:shd w:val="clear" w:color="auto" w:fill="auto"/>
            <w:noWrap/>
          </w:tcPr>
          <w:p w14:paraId="618456EB" w14:textId="77777777" w:rsidR="00F33674" w:rsidRPr="00F33674" w:rsidRDefault="00F33674" w:rsidP="00F33674">
            <w:pPr>
              <w:jc w:val="left"/>
              <w:rPr>
                <w:rFonts w:ascii="Arial Narrow" w:hAnsi="Arial Narrow" w:cs="Calibri"/>
                <w:color w:val="000000"/>
                <w:sz w:val="20"/>
                <w:szCs w:val="20"/>
                <w:lang w:eastAsia="en-AU"/>
              </w:rPr>
            </w:pPr>
          </w:p>
        </w:tc>
        <w:tc>
          <w:tcPr>
            <w:tcW w:w="836" w:type="dxa"/>
            <w:shd w:val="clear" w:color="auto" w:fill="auto"/>
            <w:noWrap/>
          </w:tcPr>
          <w:p w14:paraId="2D076371" w14:textId="77777777" w:rsidR="00F33674" w:rsidRPr="00F33674" w:rsidRDefault="00F33674" w:rsidP="00F33674">
            <w:pPr>
              <w:jc w:val="left"/>
              <w:rPr>
                <w:rFonts w:ascii="Arial Narrow" w:hAnsi="Arial Narrow" w:cs="Calibri"/>
                <w:color w:val="000000"/>
                <w:sz w:val="20"/>
                <w:szCs w:val="20"/>
                <w:lang w:eastAsia="en-AU"/>
              </w:rPr>
            </w:pPr>
          </w:p>
        </w:tc>
        <w:tc>
          <w:tcPr>
            <w:tcW w:w="656" w:type="dxa"/>
            <w:shd w:val="clear" w:color="auto" w:fill="auto"/>
            <w:noWrap/>
          </w:tcPr>
          <w:p w14:paraId="0F7EB960" w14:textId="77777777" w:rsidR="00F33674" w:rsidRPr="00F33674" w:rsidRDefault="00F33674" w:rsidP="00F33674">
            <w:pPr>
              <w:jc w:val="left"/>
              <w:rPr>
                <w:rFonts w:ascii="Arial Narrow" w:hAnsi="Arial Narrow" w:cs="Calibri"/>
                <w:color w:val="000000"/>
                <w:sz w:val="20"/>
                <w:szCs w:val="20"/>
                <w:lang w:eastAsia="en-AU"/>
              </w:rPr>
            </w:pPr>
          </w:p>
        </w:tc>
        <w:tc>
          <w:tcPr>
            <w:tcW w:w="1238" w:type="dxa"/>
            <w:vMerge/>
            <w:shd w:val="clear" w:color="auto" w:fill="auto"/>
            <w:noWrap/>
          </w:tcPr>
          <w:p w14:paraId="0B9A4AC1" w14:textId="77777777" w:rsidR="00F33674" w:rsidRPr="00F33674" w:rsidRDefault="00F33674" w:rsidP="00F33674">
            <w:pPr>
              <w:jc w:val="left"/>
              <w:rPr>
                <w:rFonts w:ascii="Arial Narrow" w:hAnsi="Arial Narrow" w:cs="Calibri"/>
                <w:color w:val="000000"/>
                <w:sz w:val="20"/>
                <w:szCs w:val="20"/>
                <w:lang w:eastAsia="en-AU"/>
              </w:rPr>
            </w:pPr>
          </w:p>
        </w:tc>
        <w:tc>
          <w:tcPr>
            <w:tcW w:w="1429" w:type="dxa"/>
            <w:vMerge/>
            <w:shd w:val="clear" w:color="auto" w:fill="auto"/>
            <w:noWrap/>
          </w:tcPr>
          <w:p w14:paraId="39328E67" w14:textId="77777777" w:rsidR="00F33674" w:rsidRPr="00F33674" w:rsidRDefault="00F33674" w:rsidP="00F33674">
            <w:pPr>
              <w:jc w:val="left"/>
              <w:rPr>
                <w:rFonts w:ascii="Arial Narrow" w:hAnsi="Arial Narrow" w:cs="Calibri"/>
                <w:color w:val="000000"/>
                <w:sz w:val="20"/>
                <w:szCs w:val="20"/>
                <w:lang w:eastAsia="en-AU"/>
              </w:rPr>
            </w:pPr>
          </w:p>
        </w:tc>
      </w:tr>
    </w:tbl>
    <w:p w14:paraId="53DA82BC" w14:textId="77777777" w:rsidR="00F33674" w:rsidRPr="00F33674" w:rsidRDefault="00F33674" w:rsidP="00F33674">
      <w:pPr>
        <w:ind w:left="360" w:hanging="360"/>
        <w:contextualSpacing/>
        <w:jc w:val="left"/>
      </w:pPr>
    </w:p>
    <w:tbl>
      <w:tblPr>
        <w:tblW w:w="9214" w:type="dxa"/>
        <w:tblInd w:w="-5" w:type="dxa"/>
        <w:tblLayout w:type="fixed"/>
        <w:tblLook w:val="0000" w:firstRow="0" w:lastRow="0" w:firstColumn="0" w:lastColumn="0" w:noHBand="0" w:noVBand="0"/>
      </w:tblPr>
      <w:tblGrid>
        <w:gridCol w:w="2835"/>
        <w:gridCol w:w="6379"/>
      </w:tblGrid>
      <w:tr w:rsidR="00F33674" w:rsidRPr="00F33674" w14:paraId="303982CD" w14:textId="77777777" w:rsidTr="00F33674">
        <w:trPr>
          <w:cantSplit/>
          <w:trHeight w:val="360"/>
        </w:trPr>
        <w:tc>
          <w:tcPr>
            <w:tcW w:w="2835" w:type="dxa"/>
            <w:tcBorders>
              <w:top w:val="single" w:sz="4" w:space="0" w:color="auto"/>
              <w:left w:val="single" w:sz="4" w:space="0" w:color="auto"/>
              <w:bottom w:val="single" w:sz="4" w:space="0" w:color="auto"/>
              <w:right w:val="single" w:sz="4" w:space="0" w:color="auto"/>
            </w:tcBorders>
          </w:tcPr>
          <w:p w14:paraId="00D64E3A" w14:textId="77777777" w:rsidR="00F33674" w:rsidRPr="00F33674" w:rsidRDefault="00F33674" w:rsidP="00F33674">
            <w:pPr>
              <w:rPr>
                <w:rFonts w:ascii="Arial Narrow" w:hAnsi="Arial Narrow" w:cs="Arial"/>
                <w:b/>
                <w:sz w:val="20"/>
                <w:szCs w:val="20"/>
              </w:rPr>
            </w:pPr>
            <w:r w:rsidRPr="00F33674">
              <w:rPr>
                <w:rFonts w:ascii="Arial Narrow" w:hAnsi="Arial Narrow" w:cs="Arial"/>
                <w:b/>
                <w:sz w:val="20"/>
                <w:szCs w:val="20"/>
              </w:rPr>
              <w:t>Category / Program:</w:t>
            </w:r>
          </w:p>
        </w:tc>
        <w:tc>
          <w:tcPr>
            <w:tcW w:w="6379" w:type="dxa"/>
            <w:tcBorders>
              <w:top w:val="single" w:sz="4" w:space="0" w:color="auto"/>
              <w:left w:val="single" w:sz="4" w:space="0" w:color="auto"/>
              <w:bottom w:val="single" w:sz="4" w:space="0" w:color="auto"/>
              <w:right w:val="single" w:sz="4" w:space="0" w:color="auto"/>
            </w:tcBorders>
          </w:tcPr>
          <w:p w14:paraId="3883B813" w14:textId="77777777" w:rsidR="00F33674" w:rsidRPr="00F33674" w:rsidRDefault="00F33674" w:rsidP="00F33674">
            <w:pPr>
              <w:rPr>
                <w:rFonts w:ascii="Arial Narrow" w:hAnsi="Arial Narrow" w:cs="Arial"/>
                <w:sz w:val="20"/>
                <w:szCs w:val="20"/>
              </w:rPr>
            </w:pPr>
            <w:r w:rsidRPr="00F33674">
              <w:rPr>
                <w:rFonts w:ascii="Arial Narrow" w:hAnsi="Arial Narrow" w:cs="Arial"/>
                <w:sz w:val="20"/>
                <w:szCs w:val="20"/>
              </w:rPr>
              <w:t>GENERAL – General Schedule (Code GE)</w:t>
            </w:r>
          </w:p>
        </w:tc>
      </w:tr>
      <w:tr w:rsidR="00F33674" w:rsidRPr="00F33674" w14:paraId="4B71F247" w14:textId="77777777" w:rsidTr="00F33674">
        <w:trPr>
          <w:cantSplit/>
          <w:trHeight w:val="360"/>
        </w:trPr>
        <w:tc>
          <w:tcPr>
            <w:tcW w:w="2835" w:type="dxa"/>
            <w:tcBorders>
              <w:top w:val="single" w:sz="4" w:space="0" w:color="auto"/>
              <w:left w:val="single" w:sz="4" w:space="0" w:color="auto"/>
              <w:bottom w:val="single" w:sz="4" w:space="0" w:color="auto"/>
              <w:right w:val="single" w:sz="4" w:space="0" w:color="auto"/>
            </w:tcBorders>
          </w:tcPr>
          <w:p w14:paraId="295BC5DF" w14:textId="77777777" w:rsidR="00F33674" w:rsidRPr="00F33674" w:rsidRDefault="00F33674" w:rsidP="00F33674">
            <w:pPr>
              <w:rPr>
                <w:rFonts w:ascii="Arial Narrow" w:hAnsi="Arial Narrow" w:cs="Arial"/>
                <w:b/>
                <w:sz w:val="20"/>
                <w:szCs w:val="20"/>
              </w:rPr>
            </w:pPr>
            <w:r w:rsidRPr="00F33674">
              <w:rPr>
                <w:rFonts w:ascii="Arial Narrow" w:hAnsi="Arial Narrow" w:cs="Arial"/>
                <w:b/>
                <w:sz w:val="20"/>
                <w:szCs w:val="20"/>
              </w:rPr>
              <w:t>Prescriber type:</w:t>
            </w:r>
          </w:p>
          <w:p w14:paraId="40C2B5DB" w14:textId="77777777" w:rsidR="00F33674" w:rsidRPr="00F33674" w:rsidRDefault="00F33674" w:rsidP="00F33674">
            <w:pPr>
              <w:rPr>
                <w:rFonts w:ascii="Arial Narrow" w:hAnsi="Arial Narrow" w:cs="Arial"/>
                <w:b/>
                <w:sz w:val="20"/>
                <w:szCs w:val="20"/>
              </w:rPr>
            </w:pPr>
          </w:p>
        </w:tc>
        <w:tc>
          <w:tcPr>
            <w:tcW w:w="6379" w:type="dxa"/>
            <w:tcBorders>
              <w:top w:val="single" w:sz="4" w:space="0" w:color="auto"/>
              <w:left w:val="single" w:sz="4" w:space="0" w:color="auto"/>
              <w:bottom w:val="single" w:sz="4" w:space="0" w:color="auto"/>
              <w:right w:val="single" w:sz="4" w:space="0" w:color="auto"/>
            </w:tcBorders>
          </w:tcPr>
          <w:p w14:paraId="08C77518" w14:textId="1396C574" w:rsidR="00F33674" w:rsidRPr="00F33674" w:rsidRDefault="00F33674" w:rsidP="00F33674">
            <w:pPr>
              <w:rPr>
                <w:rFonts w:ascii="Arial Narrow" w:hAnsi="Arial Narrow" w:cs="Arial"/>
                <w:sz w:val="20"/>
                <w:szCs w:val="20"/>
              </w:rPr>
            </w:pPr>
            <w:r w:rsidRPr="00F33674">
              <w:rPr>
                <w:rFonts w:ascii="Arial Narrow" w:hAnsi="Arial Narrow" w:cs="Arial"/>
                <w:sz w:val="20"/>
                <w:szCs w:val="20"/>
              </w:rPr>
              <w:fldChar w:fldCharType="begin">
                <w:ffData>
                  <w:name w:val="Check1"/>
                  <w:enabled/>
                  <w:calcOnExit w:val="0"/>
                  <w:checkBox>
                    <w:sizeAuto/>
                    <w:default w:val="0"/>
                  </w:checkBox>
                </w:ffData>
              </w:fldChar>
            </w:r>
            <w:r w:rsidRPr="00F33674">
              <w:rPr>
                <w:rFonts w:ascii="Arial Narrow" w:hAnsi="Arial Narrow" w:cs="Arial"/>
                <w:sz w:val="20"/>
                <w:szCs w:val="20"/>
              </w:rPr>
              <w:instrText xml:space="preserve"> FORMCHECKBOX </w:instrText>
            </w:r>
            <w:r w:rsidR="00233D13">
              <w:rPr>
                <w:rFonts w:ascii="Arial Narrow" w:hAnsi="Arial Narrow" w:cs="Arial"/>
                <w:sz w:val="20"/>
                <w:szCs w:val="20"/>
              </w:rPr>
            </w:r>
            <w:r w:rsidR="00233D13">
              <w:rPr>
                <w:rFonts w:ascii="Arial Narrow" w:hAnsi="Arial Narrow" w:cs="Arial"/>
                <w:sz w:val="20"/>
                <w:szCs w:val="20"/>
              </w:rPr>
              <w:fldChar w:fldCharType="separate"/>
            </w:r>
            <w:r w:rsidRPr="00F33674">
              <w:rPr>
                <w:rFonts w:ascii="Arial Narrow" w:hAnsi="Arial Narrow" w:cs="Arial"/>
                <w:sz w:val="20"/>
                <w:szCs w:val="20"/>
              </w:rPr>
              <w:fldChar w:fldCharType="end"/>
            </w:r>
            <w:r w:rsidRPr="00F33674">
              <w:rPr>
                <w:rFonts w:ascii="Arial Narrow" w:hAnsi="Arial Narrow" w:cs="Arial"/>
                <w:sz w:val="20"/>
                <w:szCs w:val="20"/>
              </w:rPr>
              <w:t>Dental</w:t>
            </w:r>
            <w:r w:rsidR="002C1329">
              <w:rPr>
                <w:rFonts w:ascii="Arial Narrow" w:hAnsi="Arial Narrow" w:cs="Arial"/>
                <w:sz w:val="20"/>
                <w:szCs w:val="20"/>
              </w:rPr>
              <w:t xml:space="preserve"> </w:t>
            </w:r>
            <w:r w:rsidRPr="00F33674">
              <w:rPr>
                <w:rFonts w:ascii="Arial Narrow" w:hAnsi="Arial Narrow" w:cs="Arial"/>
                <w:sz w:val="20"/>
                <w:szCs w:val="20"/>
              </w:rPr>
              <w:fldChar w:fldCharType="begin">
                <w:ffData>
                  <w:name w:val=""/>
                  <w:enabled/>
                  <w:calcOnExit w:val="0"/>
                  <w:checkBox>
                    <w:sizeAuto/>
                    <w:default w:val="1"/>
                  </w:checkBox>
                </w:ffData>
              </w:fldChar>
            </w:r>
            <w:r w:rsidRPr="00F33674">
              <w:rPr>
                <w:rFonts w:ascii="Arial Narrow" w:hAnsi="Arial Narrow" w:cs="Arial"/>
                <w:sz w:val="20"/>
                <w:szCs w:val="20"/>
              </w:rPr>
              <w:instrText xml:space="preserve"> FORMCHECKBOX </w:instrText>
            </w:r>
            <w:r w:rsidR="00233D13">
              <w:rPr>
                <w:rFonts w:ascii="Arial Narrow" w:hAnsi="Arial Narrow" w:cs="Arial"/>
                <w:sz w:val="20"/>
                <w:szCs w:val="20"/>
              </w:rPr>
            </w:r>
            <w:r w:rsidR="00233D13">
              <w:rPr>
                <w:rFonts w:ascii="Arial Narrow" w:hAnsi="Arial Narrow" w:cs="Arial"/>
                <w:sz w:val="20"/>
                <w:szCs w:val="20"/>
              </w:rPr>
              <w:fldChar w:fldCharType="separate"/>
            </w:r>
            <w:r w:rsidRPr="00F33674">
              <w:rPr>
                <w:rFonts w:ascii="Arial Narrow" w:hAnsi="Arial Narrow" w:cs="Arial"/>
                <w:sz w:val="20"/>
                <w:szCs w:val="20"/>
              </w:rPr>
              <w:fldChar w:fldCharType="end"/>
            </w:r>
            <w:r w:rsidRPr="00F33674">
              <w:rPr>
                <w:rFonts w:ascii="Arial Narrow" w:hAnsi="Arial Narrow" w:cs="Arial"/>
                <w:sz w:val="20"/>
                <w:szCs w:val="20"/>
              </w:rPr>
              <w:t>Medical Practitioners</w:t>
            </w:r>
            <w:r w:rsidR="002C1329">
              <w:rPr>
                <w:rFonts w:ascii="Arial Narrow" w:hAnsi="Arial Narrow" w:cs="Arial"/>
                <w:sz w:val="20"/>
                <w:szCs w:val="20"/>
              </w:rPr>
              <w:t xml:space="preserve"> </w:t>
            </w:r>
            <w:r w:rsidRPr="00F33674">
              <w:rPr>
                <w:rFonts w:ascii="Arial Narrow" w:hAnsi="Arial Narrow" w:cs="Arial"/>
                <w:sz w:val="20"/>
                <w:szCs w:val="20"/>
              </w:rPr>
              <w:fldChar w:fldCharType="begin">
                <w:ffData>
                  <w:name w:val="Check3"/>
                  <w:enabled/>
                  <w:calcOnExit w:val="0"/>
                  <w:checkBox>
                    <w:sizeAuto/>
                    <w:default w:val="1"/>
                  </w:checkBox>
                </w:ffData>
              </w:fldChar>
            </w:r>
            <w:r w:rsidRPr="00F33674">
              <w:rPr>
                <w:rFonts w:ascii="Arial Narrow" w:hAnsi="Arial Narrow" w:cs="Arial"/>
                <w:sz w:val="20"/>
                <w:szCs w:val="20"/>
              </w:rPr>
              <w:instrText xml:space="preserve"> FORMCHECKBOX </w:instrText>
            </w:r>
            <w:r w:rsidR="00233D13">
              <w:rPr>
                <w:rFonts w:ascii="Arial Narrow" w:hAnsi="Arial Narrow" w:cs="Arial"/>
                <w:sz w:val="20"/>
                <w:szCs w:val="20"/>
              </w:rPr>
            </w:r>
            <w:r w:rsidR="00233D13">
              <w:rPr>
                <w:rFonts w:ascii="Arial Narrow" w:hAnsi="Arial Narrow" w:cs="Arial"/>
                <w:sz w:val="20"/>
                <w:szCs w:val="20"/>
              </w:rPr>
              <w:fldChar w:fldCharType="separate"/>
            </w:r>
            <w:r w:rsidRPr="00F33674">
              <w:rPr>
                <w:rFonts w:ascii="Arial Narrow" w:hAnsi="Arial Narrow" w:cs="Arial"/>
                <w:sz w:val="20"/>
                <w:szCs w:val="20"/>
              </w:rPr>
              <w:fldChar w:fldCharType="end"/>
            </w:r>
            <w:r w:rsidRPr="00F33674">
              <w:rPr>
                <w:rFonts w:ascii="Arial Narrow" w:hAnsi="Arial Narrow" w:cs="Arial"/>
                <w:sz w:val="20"/>
                <w:szCs w:val="20"/>
              </w:rPr>
              <w:t>Nurse practitioners</w:t>
            </w:r>
            <w:r w:rsidR="002C1329">
              <w:rPr>
                <w:rFonts w:ascii="Arial Narrow" w:hAnsi="Arial Narrow" w:cs="Arial"/>
                <w:sz w:val="20"/>
                <w:szCs w:val="20"/>
              </w:rPr>
              <w:t xml:space="preserve"> </w:t>
            </w:r>
            <w:r w:rsidRPr="00F33674">
              <w:rPr>
                <w:rFonts w:ascii="Arial Narrow" w:hAnsi="Arial Narrow" w:cs="Arial"/>
                <w:sz w:val="20"/>
                <w:szCs w:val="20"/>
              </w:rPr>
              <w:fldChar w:fldCharType="begin">
                <w:ffData>
                  <w:name w:val=""/>
                  <w:enabled/>
                  <w:calcOnExit w:val="0"/>
                  <w:checkBox>
                    <w:sizeAuto/>
                    <w:default w:val="0"/>
                  </w:checkBox>
                </w:ffData>
              </w:fldChar>
            </w:r>
            <w:r w:rsidRPr="00F33674">
              <w:rPr>
                <w:rFonts w:ascii="Arial Narrow" w:hAnsi="Arial Narrow" w:cs="Arial"/>
                <w:sz w:val="20"/>
                <w:szCs w:val="20"/>
              </w:rPr>
              <w:instrText xml:space="preserve"> FORMCHECKBOX </w:instrText>
            </w:r>
            <w:r w:rsidR="00233D13">
              <w:rPr>
                <w:rFonts w:ascii="Arial Narrow" w:hAnsi="Arial Narrow" w:cs="Arial"/>
                <w:sz w:val="20"/>
                <w:szCs w:val="20"/>
              </w:rPr>
            </w:r>
            <w:r w:rsidR="00233D13">
              <w:rPr>
                <w:rFonts w:ascii="Arial Narrow" w:hAnsi="Arial Narrow" w:cs="Arial"/>
                <w:sz w:val="20"/>
                <w:szCs w:val="20"/>
              </w:rPr>
              <w:fldChar w:fldCharType="separate"/>
            </w:r>
            <w:r w:rsidRPr="00F33674">
              <w:rPr>
                <w:rFonts w:ascii="Arial Narrow" w:hAnsi="Arial Narrow" w:cs="Arial"/>
                <w:sz w:val="20"/>
                <w:szCs w:val="20"/>
              </w:rPr>
              <w:fldChar w:fldCharType="end"/>
            </w:r>
            <w:r w:rsidRPr="00F33674">
              <w:rPr>
                <w:rFonts w:ascii="Arial Narrow" w:hAnsi="Arial Narrow" w:cs="Arial"/>
                <w:sz w:val="20"/>
                <w:szCs w:val="20"/>
              </w:rPr>
              <w:t>Optometrists</w:t>
            </w:r>
          </w:p>
          <w:p w14:paraId="66E3C7B9" w14:textId="77777777" w:rsidR="00F33674" w:rsidRPr="00F33674" w:rsidRDefault="00F33674" w:rsidP="00F33674">
            <w:pPr>
              <w:rPr>
                <w:rFonts w:ascii="Arial Narrow" w:hAnsi="Arial Narrow" w:cs="Arial"/>
                <w:sz w:val="20"/>
                <w:szCs w:val="20"/>
              </w:rPr>
            </w:pPr>
            <w:r w:rsidRPr="00F33674">
              <w:rPr>
                <w:rFonts w:ascii="Arial Narrow" w:hAnsi="Arial Narrow" w:cs="Arial"/>
                <w:sz w:val="20"/>
                <w:szCs w:val="20"/>
              </w:rPr>
              <w:fldChar w:fldCharType="begin">
                <w:ffData>
                  <w:name w:val="Check5"/>
                  <w:enabled/>
                  <w:calcOnExit w:val="0"/>
                  <w:checkBox>
                    <w:sizeAuto/>
                    <w:default w:val="0"/>
                  </w:checkBox>
                </w:ffData>
              </w:fldChar>
            </w:r>
            <w:r w:rsidRPr="00F33674">
              <w:rPr>
                <w:rFonts w:ascii="Arial Narrow" w:hAnsi="Arial Narrow" w:cs="Arial"/>
                <w:sz w:val="20"/>
                <w:szCs w:val="20"/>
              </w:rPr>
              <w:instrText xml:space="preserve"> FORMCHECKBOX </w:instrText>
            </w:r>
            <w:r w:rsidR="00233D13">
              <w:rPr>
                <w:rFonts w:ascii="Arial Narrow" w:hAnsi="Arial Narrow" w:cs="Arial"/>
                <w:sz w:val="20"/>
                <w:szCs w:val="20"/>
              </w:rPr>
            </w:r>
            <w:r w:rsidR="00233D13">
              <w:rPr>
                <w:rFonts w:ascii="Arial Narrow" w:hAnsi="Arial Narrow" w:cs="Arial"/>
                <w:sz w:val="20"/>
                <w:szCs w:val="20"/>
              </w:rPr>
              <w:fldChar w:fldCharType="separate"/>
            </w:r>
            <w:r w:rsidRPr="00F33674">
              <w:rPr>
                <w:rFonts w:ascii="Arial Narrow" w:hAnsi="Arial Narrow" w:cs="Arial"/>
                <w:sz w:val="20"/>
                <w:szCs w:val="20"/>
              </w:rPr>
              <w:fldChar w:fldCharType="end"/>
            </w:r>
            <w:r w:rsidRPr="00F33674">
              <w:rPr>
                <w:rFonts w:ascii="Arial Narrow" w:hAnsi="Arial Narrow" w:cs="Arial"/>
                <w:sz w:val="20"/>
                <w:szCs w:val="20"/>
              </w:rPr>
              <w:t>Midwives</w:t>
            </w:r>
          </w:p>
        </w:tc>
      </w:tr>
      <w:tr w:rsidR="00F33674" w:rsidRPr="00F33674" w14:paraId="534088A8" w14:textId="77777777" w:rsidTr="00F33674">
        <w:trPr>
          <w:cantSplit/>
          <w:trHeight w:val="369"/>
        </w:trPr>
        <w:tc>
          <w:tcPr>
            <w:tcW w:w="2835" w:type="dxa"/>
            <w:tcBorders>
              <w:top w:val="single" w:sz="4" w:space="0" w:color="auto"/>
              <w:left w:val="single" w:sz="4" w:space="0" w:color="auto"/>
              <w:bottom w:val="single" w:sz="4" w:space="0" w:color="auto"/>
              <w:right w:val="single" w:sz="4" w:space="0" w:color="auto"/>
            </w:tcBorders>
          </w:tcPr>
          <w:p w14:paraId="6D68611C" w14:textId="77777777" w:rsidR="00F33674" w:rsidRPr="00F33674" w:rsidRDefault="00F33674" w:rsidP="00F33674">
            <w:pPr>
              <w:rPr>
                <w:rFonts w:ascii="Arial Narrow" w:hAnsi="Arial Narrow" w:cs="Arial"/>
                <w:b/>
                <w:sz w:val="20"/>
                <w:szCs w:val="20"/>
              </w:rPr>
            </w:pPr>
            <w:r w:rsidRPr="00F33674">
              <w:rPr>
                <w:rFonts w:ascii="Arial Narrow" w:hAnsi="Arial Narrow" w:cs="Arial"/>
                <w:b/>
                <w:sz w:val="20"/>
                <w:szCs w:val="20"/>
              </w:rPr>
              <w:t>PBS indication:</w:t>
            </w:r>
          </w:p>
        </w:tc>
        <w:tc>
          <w:tcPr>
            <w:tcW w:w="6379" w:type="dxa"/>
            <w:tcBorders>
              <w:top w:val="single" w:sz="4" w:space="0" w:color="auto"/>
              <w:left w:val="single" w:sz="4" w:space="0" w:color="auto"/>
              <w:bottom w:val="single" w:sz="4" w:space="0" w:color="auto"/>
              <w:right w:val="single" w:sz="4" w:space="0" w:color="auto"/>
            </w:tcBorders>
          </w:tcPr>
          <w:p w14:paraId="58626EC6" w14:textId="77777777" w:rsidR="00F33674" w:rsidRPr="00F33674" w:rsidRDefault="00F33674" w:rsidP="00F33674">
            <w:pPr>
              <w:rPr>
                <w:rFonts w:ascii="Arial Narrow" w:hAnsi="Arial Narrow" w:cs="Arial"/>
                <w:sz w:val="20"/>
                <w:szCs w:val="20"/>
              </w:rPr>
            </w:pPr>
            <w:r w:rsidRPr="00F33674">
              <w:rPr>
                <w:rFonts w:ascii="Arial Narrow" w:hAnsi="Arial Narrow" w:cs="Arial"/>
                <w:sz w:val="20"/>
                <w:szCs w:val="20"/>
              </w:rPr>
              <w:t>[7861] Severe pain</w:t>
            </w:r>
          </w:p>
        </w:tc>
      </w:tr>
      <w:tr w:rsidR="00F33674" w:rsidRPr="00F33674" w14:paraId="678D63EB" w14:textId="77777777" w:rsidTr="00F33674">
        <w:trPr>
          <w:cantSplit/>
          <w:trHeight w:val="360"/>
        </w:trPr>
        <w:tc>
          <w:tcPr>
            <w:tcW w:w="2835" w:type="dxa"/>
            <w:tcBorders>
              <w:top w:val="single" w:sz="4" w:space="0" w:color="auto"/>
              <w:left w:val="single" w:sz="4" w:space="0" w:color="auto"/>
              <w:bottom w:val="single" w:sz="4" w:space="0" w:color="auto"/>
              <w:right w:val="single" w:sz="4" w:space="0" w:color="auto"/>
            </w:tcBorders>
          </w:tcPr>
          <w:p w14:paraId="6DC76FFE" w14:textId="77777777" w:rsidR="00F33674" w:rsidRPr="00F33674" w:rsidRDefault="00F33674" w:rsidP="00F33674">
            <w:pPr>
              <w:rPr>
                <w:rFonts w:ascii="Arial Narrow" w:hAnsi="Arial Narrow" w:cs="Arial"/>
                <w:b/>
                <w:sz w:val="20"/>
                <w:szCs w:val="20"/>
              </w:rPr>
            </w:pPr>
            <w:r w:rsidRPr="00F33674">
              <w:rPr>
                <w:rFonts w:ascii="Arial Narrow" w:hAnsi="Arial Narrow" w:cs="Arial"/>
                <w:b/>
                <w:sz w:val="20"/>
                <w:szCs w:val="20"/>
              </w:rPr>
              <w:t>Restriction Level / Method:</w:t>
            </w:r>
          </w:p>
          <w:p w14:paraId="172050BF" w14:textId="77777777" w:rsidR="00F33674" w:rsidRPr="00F33674" w:rsidRDefault="00F33674" w:rsidP="00F33674">
            <w:pPr>
              <w:rPr>
                <w:rFonts w:ascii="Arial Narrow" w:hAnsi="Arial Narrow" w:cs="Arial"/>
                <w:i/>
                <w:sz w:val="20"/>
                <w:szCs w:val="20"/>
              </w:rPr>
            </w:pPr>
          </w:p>
          <w:p w14:paraId="4DC67166" w14:textId="77777777" w:rsidR="00F33674" w:rsidRPr="00F33674" w:rsidRDefault="00F33674" w:rsidP="00F33674">
            <w:pPr>
              <w:rPr>
                <w:rFonts w:ascii="Arial Narrow" w:hAnsi="Arial Narrow" w:cs="Arial"/>
                <w:i/>
                <w:sz w:val="20"/>
                <w:szCs w:val="20"/>
              </w:rPr>
            </w:pPr>
          </w:p>
          <w:p w14:paraId="50F930DE" w14:textId="77777777" w:rsidR="00F33674" w:rsidRPr="00F33674" w:rsidRDefault="00F33674" w:rsidP="00F33674">
            <w:pPr>
              <w:rPr>
                <w:rFonts w:ascii="Arial Narrow" w:hAnsi="Arial Narrow" w:cs="Arial"/>
                <w:i/>
                <w:sz w:val="20"/>
                <w:szCs w:val="20"/>
              </w:rPr>
            </w:pPr>
          </w:p>
        </w:tc>
        <w:tc>
          <w:tcPr>
            <w:tcW w:w="6379" w:type="dxa"/>
            <w:tcBorders>
              <w:top w:val="single" w:sz="4" w:space="0" w:color="auto"/>
              <w:left w:val="single" w:sz="4" w:space="0" w:color="auto"/>
              <w:bottom w:val="single" w:sz="4" w:space="0" w:color="auto"/>
              <w:right w:val="single" w:sz="4" w:space="0" w:color="auto"/>
            </w:tcBorders>
          </w:tcPr>
          <w:p w14:paraId="02D49430" w14:textId="77777777" w:rsidR="00F33674" w:rsidRPr="00F33674" w:rsidRDefault="00F33674" w:rsidP="00F33674">
            <w:pPr>
              <w:rPr>
                <w:rFonts w:ascii="Arial Narrow" w:hAnsi="Arial Narrow" w:cs="Arial"/>
                <w:sz w:val="20"/>
                <w:szCs w:val="20"/>
              </w:rPr>
            </w:pPr>
            <w:r w:rsidRPr="00F33674">
              <w:rPr>
                <w:rFonts w:ascii="Arial Narrow" w:hAnsi="Arial Narrow" w:cs="Arial"/>
                <w:sz w:val="20"/>
                <w:szCs w:val="20"/>
              </w:rPr>
              <w:fldChar w:fldCharType="begin">
                <w:ffData>
                  <w:name w:val=""/>
                  <w:enabled/>
                  <w:calcOnExit w:val="0"/>
                  <w:checkBox>
                    <w:sizeAuto/>
                    <w:default w:val="0"/>
                  </w:checkBox>
                </w:ffData>
              </w:fldChar>
            </w:r>
            <w:r w:rsidRPr="00F33674">
              <w:rPr>
                <w:rFonts w:ascii="Arial Narrow" w:hAnsi="Arial Narrow" w:cs="Arial"/>
                <w:sz w:val="20"/>
                <w:szCs w:val="20"/>
              </w:rPr>
              <w:instrText xml:space="preserve"> FORMCHECKBOX </w:instrText>
            </w:r>
            <w:r w:rsidR="00233D13">
              <w:rPr>
                <w:rFonts w:ascii="Arial Narrow" w:hAnsi="Arial Narrow" w:cs="Arial"/>
                <w:sz w:val="20"/>
                <w:szCs w:val="20"/>
              </w:rPr>
            </w:r>
            <w:r w:rsidR="00233D13">
              <w:rPr>
                <w:rFonts w:ascii="Arial Narrow" w:hAnsi="Arial Narrow" w:cs="Arial"/>
                <w:sz w:val="20"/>
                <w:szCs w:val="20"/>
              </w:rPr>
              <w:fldChar w:fldCharType="separate"/>
            </w:r>
            <w:r w:rsidRPr="00F33674">
              <w:rPr>
                <w:rFonts w:ascii="Arial Narrow" w:hAnsi="Arial Narrow" w:cs="Arial"/>
                <w:sz w:val="20"/>
                <w:szCs w:val="20"/>
              </w:rPr>
              <w:fldChar w:fldCharType="end"/>
            </w:r>
            <w:r w:rsidRPr="00F33674">
              <w:rPr>
                <w:rFonts w:ascii="Arial Narrow" w:hAnsi="Arial Narrow" w:cs="Arial"/>
                <w:sz w:val="20"/>
                <w:szCs w:val="20"/>
              </w:rPr>
              <w:t>Unrestricted benefit</w:t>
            </w:r>
          </w:p>
          <w:p w14:paraId="30459941" w14:textId="77777777" w:rsidR="00F33674" w:rsidRPr="00F33674" w:rsidRDefault="00F33674" w:rsidP="00F33674">
            <w:pPr>
              <w:rPr>
                <w:rFonts w:ascii="Arial Narrow" w:hAnsi="Arial Narrow" w:cs="Arial"/>
                <w:i/>
                <w:sz w:val="20"/>
                <w:szCs w:val="20"/>
              </w:rPr>
            </w:pPr>
            <w:r w:rsidRPr="00F33674">
              <w:rPr>
                <w:rFonts w:ascii="Arial Narrow" w:hAnsi="Arial Narrow" w:cs="Arial"/>
                <w:i/>
                <w:sz w:val="20"/>
                <w:szCs w:val="20"/>
              </w:rPr>
              <w:fldChar w:fldCharType="begin">
                <w:ffData>
                  <w:name w:val="Check1"/>
                  <w:enabled/>
                  <w:calcOnExit w:val="0"/>
                  <w:checkBox>
                    <w:sizeAuto/>
                    <w:default w:val="1"/>
                  </w:checkBox>
                </w:ffData>
              </w:fldChar>
            </w:r>
            <w:r w:rsidRPr="00F33674">
              <w:rPr>
                <w:rFonts w:ascii="Arial Narrow" w:hAnsi="Arial Narrow" w:cs="Arial"/>
                <w:i/>
                <w:sz w:val="20"/>
                <w:szCs w:val="20"/>
              </w:rPr>
              <w:instrText xml:space="preserve"> FORMCHECKBOX </w:instrText>
            </w:r>
            <w:r w:rsidR="00233D13">
              <w:rPr>
                <w:rFonts w:ascii="Arial Narrow" w:hAnsi="Arial Narrow" w:cs="Arial"/>
                <w:i/>
                <w:sz w:val="20"/>
                <w:szCs w:val="20"/>
              </w:rPr>
            </w:r>
            <w:r w:rsidR="00233D13">
              <w:rPr>
                <w:rFonts w:ascii="Arial Narrow" w:hAnsi="Arial Narrow" w:cs="Arial"/>
                <w:i/>
                <w:sz w:val="20"/>
                <w:szCs w:val="20"/>
              </w:rPr>
              <w:fldChar w:fldCharType="separate"/>
            </w:r>
            <w:r w:rsidRPr="00F33674">
              <w:rPr>
                <w:rFonts w:ascii="Arial Narrow" w:hAnsi="Arial Narrow" w:cs="Arial"/>
                <w:i/>
                <w:sz w:val="20"/>
                <w:szCs w:val="20"/>
              </w:rPr>
              <w:fldChar w:fldCharType="end"/>
            </w:r>
            <w:r w:rsidRPr="00F33674">
              <w:rPr>
                <w:rFonts w:ascii="Arial Narrow" w:hAnsi="Arial Narrow" w:cs="Arial"/>
                <w:sz w:val="20"/>
                <w:szCs w:val="20"/>
              </w:rPr>
              <w:t>Restricted benefit</w:t>
            </w:r>
          </w:p>
          <w:p w14:paraId="791525B5" w14:textId="77777777" w:rsidR="00F33674" w:rsidRPr="00F33674" w:rsidRDefault="00F33674" w:rsidP="00F33674">
            <w:pPr>
              <w:rPr>
                <w:rFonts w:ascii="Arial Narrow" w:hAnsi="Arial Narrow" w:cs="Arial"/>
                <w:sz w:val="20"/>
                <w:szCs w:val="20"/>
              </w:rPr>
            </w:pPr>
            <w:r w:rsidRPr="00F33674">
              <w:rPr>
                <w:rFonts w:ascii="Arial Narrow" w:hAnsi="Arial Narrow" w:cs="Arial"/>
                <w:sz w:val="20"/>
                <w:szCs w:val="20"/>
              </w:rPr>
              <w:fldChar w:fldCharType="begin">
                <w:ffData>
                  <w:name w:val=""/>
                  <w:enabled/>
                  <w:calcOnExit w:val="0"/>
                  <w:checkBox>
                    <w:sizeAuto/>
                    <w:default w:val="0"/>
                  </w:checkBox>
                </w:ffData>
              </w:fldChar>
            </w:r>
            <w:r w:rsidRPr="00F33674">
              <w:rPr>
                <w:rFonts w:ascii="Arial Narrow" w:hAnsi="Arial Narrow" w:cs="Arial"/>
                <w:sz w:val="20"/>
                <w:szCs w:val="20"/>
              </w:rPr>
              <w:instrText xml:space="preserve"> FORMCHECKBOX </w:instrText>
            </w:r>
            <w:r w:rsidR="00233D13">
              <w:rPr>
                <w:rFonts w:ascii="Arial Narrow" w:hAnsi="Arial Narrow" w:cs="Arial"/>
                <w:sz w:val="20"/>
                <w:szCs w:val="20"/>
              </w:rPr>
            </w:r>
            <w:r w:rsidR="00233D13">
              <w:rPr>
                <w:rFonts w:ascii="Arial Narrow" w:hAnsi="Arial Narrow" w:cs="Arial"/>
                <w:sz w:val="20"/>
                <w:szCs w:val="20"/>
              </w:rPr>
              <w:fldChar w:fldCharType="separate"/>
            </w:r>
            <w:r w:rsidRPr="00F33674">
              <w:rPr>
                <w:rFonts w:ascii="Arial Narrow" w:hAnsi="Arial Narrow" w:cs="Arial"/>
                <w:sz w:val="20"/>
                <w:szCs w:val="20"/>
              </w:rPr>
              <w:fldChar w:fldCharType="end"/>
            </w:r>
            <w:r w:rsidRPr="00F33674">
              <w:rPr>
                <w:rFonts w:ascii="Arial Narrow" w:hAnsi="Arial Narrow" w:cs="Arial"/>
                <w:sz w:val="20"/>
                <w:szCs w:val="20"/>
              </w:rPr>
              <w:t>Authority Required – In Writing</w:t>
            </w:r>
          </w:p>
          <w:p w14:paraId="3B549275" w14:textId="77777777" w:rsidR="00F33674" w:rsidRPr="00F33674" w:rsidRDefault="00F33674" w:rsidP="00F33674">
            <w:pPr>
              <w:rPr>
                <w:rFonts w:ascii="Arial Narrow" w:hAnsi="Arial Narrow" w:cs="Arial"/>
                <w:sz w:val="20"/>
                <w:szCs w:val="20"/>
              </w:rPr>
            </w:pPr>
            <w:r w:rsidRPr="00F33674">
              <w:rPr>
                <w:rFonts w:ascii="Arial Narrow" w:hAnsi="Arial Narrow" w:cs="Arial"/>
                <w:sz w:val="20"/>
                <w:szCs w:val="20"/>
              </w:rPr>
              <w:fldChar w:fldCharType="begin">
                <w:ffData>
                  <w:name w:val="Check3"/>
                  <w:enabled/>
                  <w:calcOnExit w:val="0"/>
                  <w:checkBox>
                    <w:sizeAuto/>
                    <w:default w:val="0"/>
                  </w:checkBox>
                </w:ffData>
              </w:fldChar>
            </w:r>
            <w:r w:rsidRPr="00F33674">
              <w:rPr>
                <w:rFonts w:ascii="Arial Narrow" w:hAnsi="Arial Narrow" w:cs="Arial"/>
                <w:sz w:val="20"/>
                <w:szCs w:val="20"/>
              </w:rPr>
              <w:instrText xml:space="preserve"> FORMCHECKBOX </w:instrText>
            </w:r>
            <w:r w:rsidR="00233D13">
              <w:rPr>
                <w:rFonts w:ascii="Arial Narrow" w:hAnsi="Arial Narrow" w:cs="Arial"/>
                <w:sz w:val="20"/>
                <w:szCs w:val="20"/>
              </w:rPr>
            </w:r>
            <w:r w:rsidR="00233D13">
              <w:rPr>
                <w:rFonts w:ascii="Arial Narrow" w:hAnsi="Arial Narrow" w:cs="Arial"/>
                <w:sz w:val="20"/>
                <w:szCs w:val="20"/>
              </w:rPr>
              <w:fldChar w:fldCharType="separate"/>
            </w:r>
            <w:r w:rsidRPr="00F33674">
              <w:rPr>
                <w:rFonts w:ascii="Arial Narrow" w:hAnsi="Arial Narrow" w:cs="Arial"/>
                <w:sz w:val="20"/>
                <w:szCs w:val="20"/>
              </w:rPr>
              <w:fldChar w:fldCharType="end"/>
            </w:r>
            <w:r w:rsidRPr="00F33674">
              <w:rPr>
                <w:rFonts w:ascii="Arial Narrow" w:hAnsi="Arial Narrow" w:cs="Arial"/>
                <w:sz w:val="20"/>
                <w:szCs w:val="20"/>
              </w:rPr>
              <w:t>Authority Required – Telephone/Electronic/Emergency</w:t>
            </w:r>
          </w:p>
          <w:p w14:paraId="3683562A" w14:textId="77777777" w:rsidR="00F33674" w:rsidRPr="00F33674" w:rsidRDefault="00F33674" w:rsidP="00F33674">
            <w:pPr>
              <w:rPr>
                <w:rFonts w:ascii="Arial Narrow" w:hAnsi="Arial Narrow" w:cs="Arial"/>
                <w:sz w:val="20"/>
                <w:szCs w:val="20"/>
              </w:rPr>
            </w:pPr>
            <w:r w:rsidRPr="00F33674">
              <w:rPr>
                <w:rFonts w:ascii="Arial Narrow" w:hAnsi="Arial Narrow" w:cs="Arial"/>
                <w:sz w:val="20"/>
                <w:szCs w:val="20"/>
              </w:rPr>
              <w:fldChar w:fldCharType="begin">
                <w:ffData>
                  <w:name w:val="Check5"/>
                  <w:enabled/>
                  <w:calcOnExit w:val="0"/>
                  <w:checkBox>
                    <w:sizeAuto/>
                    <w:default w:val="0"/>
                  </w:checkBox>
                </w:ffData>
              </w:fldChar>
            </w:r>
            <w:r w:rsidRPr="00F33674">
              <w:rPr>
                <w:rFonts w:ascii="Arial Narrow" w:hAnsi="Arial Narrow" w:cs="Arial"/>
                <w:sz w:val="20"/>
                <w:szCs w:val="20"/>
              </w:rPr>
              <w:instrText xml:space="preserve"> FORMCHECKBOX </w:instrText>
            </w:r>
            <w:r w:rsidR="00233D13">
              <w:rPr>
                <w:rFonts w:ascii="Arial Narrow" w:hAnsi="Arial Narrow" w:cs="Arial"/>
                <w:sz w:val="20"/>
                <w:szCs w:val="20"/>
              </w:rPr>
            </w:r>
            <w:r w:rsidR="00233D13">
              <w:rPr>
                <w:rFonts w:ascii="Arial Narrow" w:hAnsi="Arial Narrow" w:cs="Arial"/>
                <w:sz w:val="20"/>
                <w:szCs w:val="20"/>
              </w:rPr>
              <w:fldChar w:fldCharType="separate"/>
            </w:r>
            <w:r w:rsidRPr="00F33674">
              <w:rPr>
                <w:rFonts w:ascii="Arial Narrow" w:hAnsi="Arial Narrow" w:cs="Arial"/>
                <w:sz w:val="20"/>
                <w:szCs w:val="20"/>
              </w:rPr>
              <w:fldChar w:fldCharType="end"/>
            </w:r>
            <w:r w:rsidRPr="00F33674">
              <w:rPr>
                <w:rFonts w:ascii="Arial Narrow" w:hAnsi="Arial Narrow" w:cs="Arial"/>
                <w:sz w:val="20"/>
                <w:szCs w:val="20"/>
              </w:rPr>
              <w:t>Streamlined</w:t>
            </w:r>
          </w:p>
        </w:tc>
      </w:tr>
      <w:tr w:rsidR="006C4285" w:rsidRPr="00F33674" w14:paraId="3088AE7E" w14:textId="77777777" w:rsidTr="00F33674">
        <w:trPr>
          <w:cantSplit/>
          <w:trHeight w:val="360"/>
        </w:trPr>
        <w:tc>
          <w:tcPr>
            <w:tcW w:w="2835" w:type="dxa"/>
            <w:tcBorders>
              <w:top w:val="single" w:sz="4" w:space="0" w:color="auto"/>
              <w:left w:val="single" w:sz="4" w:space="0" w:color="auto"/>
              <w:bottom w:val="single" w:sz="4" w:space="0" w:color="auto"/>
              <w:right w:val="single" w:sz="4" w:space="0" w:color="auto"/>
            </w:tcBorders>
          </w:tcPr>
          <w:p w14:paraId="6B9FEC61" w14:textId="3BFFCF3F" w:rsidR="006C4285" w:rsidRPr="00F33674" w:rsidRDefault="006C4285" w:rsidP="00F33674">
            <w:pPr>
              <w:rPr>
                <w:rFonts w:ascii="Arial Narrow" w:hAnsi="Arial Narrow" w:cs="Arial"/>
                <w:b/>
                <w:sz w:val="20"/>
                <w:szCs w:val="20"/>
              </w:rPr>
            </w:pPr>
            <w:r>
              <w:rPr>
                <w:rFonts w:ascii="Arial Narrow" w:hAnsi="Arial Narrow" w:cs="Arial"/>
                <w:b/>
                <w:sz w:val="20"/>
                <w:szCs w:val="20"/>
              </w:rPr>
              <w:t>Treatment phase:</w:t>
            </w:r>
          </w:p>
        </w:tc>
        <w:tc>
          <w:tcPr>
            <w:tcW w:w="6379" w:type="dxa"/>
            <w:tcBorders>
              <w:top w:val="single" w:sz="4" w:space="0" w:color="auto"/>
              <w:left w:val="single" w:sz="4" w:space="0" w:color="auto"/>
              <w:bottom w:val="single" w:sz="4" w:space="0" w:color="auto"/>
              <w:right w:val="single" w:sz="4" w:space="0" w:color="auto"/>
            </w:tcBorders>
          </w:tcPr>
          <w:p w14:paraId="713C4750" w14:textId="1A219FBA" w:rsidR="006C4285" w:rsidRPr="00F33674" w:rsidRDefault="00265869" w:rsidP="00F33674">
            <w:pPr>
              <w:jc w:val="left"/>
              <w:rPr>
                <w:rFonts w:ascii="Arial Narrow" w:hAnsi="Arial Narrow" w:cs="Arial"/>
                <w:sz w:val="20"/>
                <w:szCs w:val="20"/>
              </w:rPr>
            </w:pPr>
            <w:r>
              <w:rPr>
                <w:rFonts w:ascii="Arial Narrow" w:hAnsi="Arial Narrow" w:cs="Arial"/>
                <w:sz w:val="20"/>
                <w:szCs w:val="20"/>
              </w:rPr>
              <w:t xml:space="preserve">Initial PBS treatment after 1 June 2020 where patient </w:t>
            </w:r>
            <w:proofErr w:type="gramStart"/>
            <w:r>
              <w:rPr>
                <w:rFonts w:ascii="Arial Narrow" w:hAnsi="Arial Narrow" w:cs="Arial"/>
                <w:sz w:val="20"/>
                <w:szCs w:val="20"/>
              </w:rPr>
              <w:t>has been treated</w:t>
            </w:r>
            <w:proofErr w:type="gramEnd"/>
            <w:r>
              <w:rPr>
                <w:rFonts w:ascii="Arial Narrow" w:hAnsi="Arial Narrow" w:cs="Arial"/>
                <w:sz w:val="20"/>
                <w:szCs w:val="20"/>
              </w:rPr>
              <w:t xml:space="preserve"> with opioids for less than 12 months.</w:t>
            </w:r>
          </w:p>
        </w:tc>
      </w:tr>
      <w:tr w:rsidR="00F33674" w:rsidRPr="00F33674" w14:paraId="23309D28" w14:textId="77777777" w:rsidTr="00F33674">
        <w:trPr>
          <w:cantSplit/>
          <w:trHeight w:val="360"/>
        </w:trPr>
        <w:tc>
          <w:tcPr>
            <w:tcW w:w="2835" w:type="dxa"/>
            <w:tcBorders>
              <w:top w:val="single" w:sz="4" w:space="0" w:color="auto"/>
              <w:left w:val="single" w:sz="4" w:space="0" w:color="auto"/>
              <w:bottom w:val="single" w:sz="4" w:space="0" w:color="auto"/>
              <w:right w:val="single" w:sz="4" w:space="0" w:color="auto"/>
            </w:tcBorders>
          </w:tcPr>
          <w:p w14:paraId="363F2655" w14:textId="77777777" w:rsidR="00F33674" w:rsidRPr="00F33674" w:rsidRDefault="00F33674" w:rsidP="00F33674">
            <w:pPr>
              <w:rPr>
                <w:rFonts w:ascii="Arial Narrow" w:hAnsi="Arial Narrow" w:cs="Arial"/>
                <w:b/>
                <w:sz w:val="20"/>
                <w:szCs w:val="20"/>
              </w:rPr>
            </w:pPr>
            <w:r w:rsidRPr="00F33674">
              <w:rPr>
                <w:rFonts w:ascii="Arial Narrow" w:hAnsi="Arial Narrow" w:cs="Arial"/>
                <w:b/>
                <w:sz w:val="20"/>
                <w:szCs w:val="20"/>
              </w:rPr>
              <w:t>Clinical criteria:</w:t>
            </w:r>
          </w:p>
        </w:tc>
        <w:tc>
          <w:tcPr>
            <w:tcW w:w="6379" w:type="dxa"/>
            <w:tcBorders>
              <w:top w:val="single" w:sz="4" w:space="0" w:color="auto"/>
              <w:left w:val="single" w:sz="4" w:space="0" w:color="auto"/>
              <w:bottom w:val="single" w:sz="4" w:space="0" w:color="auto"/>
              <w:right w:val="single" w:sz="4" w:space="0" w:color="auto"/>
            </w:tcBorders>
          </w:tcPr>
          <w:p w14:paraId="2FAE5D4D" w14:textId="76D6F6FC" w:rsidR="00F33674" w:rsidRPr="00F33674" w:rsidRDefault="00F33674" w:rsidP="00F33674">
            <w:pPr>
              <w:jc w:val="left"/>
              <w:rPr>
                <w:rFonts w:ascii="Arial Narrow" w:hAnsi="Arial Narrow" w:cs="Arial"/>
                <w:sz w:val="20"/>
                <w:szCs w:val="20"/>
              </w:rPr>
            </w:pPr>
            <w:r w:rsidRPr="00F33674">
              <w:rPr>
                <w:rFonts w:ascii="Arial Narrow" w:hAnsi="Arial Narrow" w:cs="Arial"/>
                <w:sz w:val="20"/>
                <w:szCs w:val="20"/>
              </w:rPr>
              <w:t>[new] Patient must have</w:t>
            </w:r>
            <w:r w:rsidR="00E008AF">
              <w:rPr>
                <w:rFonts w:ascii="Arial Narrow" w:hAnsi="Arial Narrow" w:cs="Arial"/>
                <w:sz w:val="20"/>
                <w:szCs w:val="20"/>
              </w:rPr>
              <w:t xml:space="preserve"> had or would have</w:t>
            </w:r>
            <w:r w:rsidRPr="00F33674">
              <w:rPr>
                <w:rFonts w:ascii="Arial Narrow" w:hAnsi="Arial Narrow" w:cs="Arial"/>
                <w:sz w:val="20"/>
                <w:szCs w:val="20"/>
              </w:rPr>
              <w:t xml:space="preserve"> inadequate </w:t>
            </w:r>
            <w:r w:rsidR="00E008AF">
              <w:rPr>
                <w:rFonts w:ascii="Arial Narrow" w:hAnsi="Arial Narrow" w:cs="Arial"/>
                <w:sz w:val="20"/>
                <w:szCs w:val="20"/>
              </w:rPr>
              <w:t xml:space="preserve">pain </w:t>
            </w:r>
            <w:r w:rsidRPr="00F33674">
              <w:rPr>
                <w:rFonts w:ascii="Arial Narrow" w:hAnsi="Arial Narrow" w:cs="Arial"/>
                <w:sz w:val="20"/>
                <w:szCs w:val="20"/>
              </w:rPr>
              <w:t>management</w:t>
            </w:r>
            <w:r w:rsidR="00E008AF">
              <w:rPr>
                <w:rFonts w:ascii="Arial Narrow" w:hAnsi="Arial Narrow" w:cs="Arial"/>
                <w:sz w:val="20"/>
                <w:szCs w:val="20"/>
              </w:rPr>
              <w:t xml:space="preserve"> with</w:t>
            </w:r>
            <w:r w:rsidRPr="00F33674">
              <w:rPr>
                <w:rFonts w:ascii="Arial Narrow" w:hAnsi="Arial Narrow" w:cs="Arial"/>
                <w:sz w:val="20"/>
                <w:szCs w:val="20"/>
              </w:rPr>
              <w:t xml:space="preserve"> maximum tolerated doses of non-opioid and other opioid analgesics</w:t>
            </w:r>
          </w:p>
          <w:p w14:paraId="4F3E2551" w14:textId="77777777" w:rsidR="00F33674" w:rsidRPr="00F33674" w:rsidRDefault="00F33674" w:rsidP="00F33674">
            <w:pPr>
              <w:jc w:val="left"/>
              <w:rPr>
                <w:rFonts w:ascii="Arial Narrow" w:hAnsi="Arial Narrow" w:cs="Arial"/>
                <w:sz w:val="20"/>
                <w:szCs w:val="20"/>
              </w:rPr>
            </w:pPr>
          </w:p>
          <w:p w14:paraId="1E2A862B" w14:textId="77777777" w:rsidR="00F33674" w:rsidRPr="00F33674" w:rsidRDefault="00F33674" w:rsidP="00F33674">
            <w:pPr>
              <w:jc w:val="left"/>
              <w:rPr>
                <w:rFonts w:ascii="Arial Narrow" w:hAnsi="Arial Narrow" w:cs="Arial"/>
                <w:sz w:val="20"/>
                <w:szCs w:val="20"/>
              </w:rPr>
            </w:pPr>
            <w:r w:rsidRPr="00F33674">
              <w:rPr>
                <w:rFonts w:ascii="Arial Narrow" w:hAnsi="Arial Narrow" w:cs="Arial"/>
                <w:sz w:val="20"/>
                <w:szCs w:val="20"/>
              </w:rPr>
              <w:t>OR</w:t>
            </w:r>
          </w:p>
          <w:p w14:paraId="6069EF1E" w14:textId="77777777" w:rsidR="00F33674" w:rsidRPr="00F33674" w:rsidRDefault="00F33674" w:rsidP="00F33674">
            <w:pPr>
              <w:jc w:val="left"/>
              <w:rPr>
                <w:rFonts w:ascii="Arial Narrow" w:hAnsi="Arial Narrow" w:cs="Arial"/>
                <w:sz w:val="20"/>
                <w:szCs w:val="20"/>
              </w:rPr>
            </w:pPr>
          </w:p>
          <w:p w14:paraId="6FBE7E28" w14:textId="1D8331E3" w:rsidR="00F33674" w:rsidRPr="00F33674" w:rsidRDefault="00F33674" w:rsidP="00F33674">
            <w:pPr>
              <w:jc w:val="left"/>
              <w:rPr>
                <w:rFonts w:ascii="Arial Narrow" w:hAnsi="Arial Narrow" w:cs="Arial"/>
                <w:sz w:val="20"/>
                <w:szCs w:val="20"/>
              </w:rPr>
            </w:pPr>
            <w:r w:rsidRPr="00F33674">
              <w:rPr>
                <w:rFonts w:ascii="Arial Narrow" w:hAnsi="Arial Narrow" w:cs="Arial"/>
                <w:sz w:val="20"/>
                <w:szCs w:val="20"/>
              </w:rPr>
              <w:t>[new] Patient must be unable to use non-opioid and other opioid analgesics due to contraindications or intolerance</w:t>
            </w:r>
          </w:p>
          <w:p w14:paraId="79FAAF73" w14:textId="77777777" w:rsidR="00F33674" w:rsidRPr="00F33674" w:rsidRDefault="00F33674" w:rsidP="00F33674">
            <w:pPr>
              <w:jc w:val="left"/>
              <w:rPr>
                <w:rFonts w:ascii="Arial Narrow" w:hAnsi="Arial Narrow" w:cs="Arial"/>
                <w:sz w:val="20"/>
                <w:szCs w:val="20"/>
              </w:rPr>
            </w:pPr>
          </w:p>
          <w:p w14:paraId="2129D6C6" w14:textId="77777777" w:rsidR="00F33674" w:rsidRPr="00F33674" w:rsidRDefault="00F33674" w:rsidP="00F33674">
            <w:pPr>
              <w:jc w:val="left"/>
              <w:rPr>
                <w:rFonts w:ascii="Arial Narrow" w:hAnsi="Arial Narrow" w:cs="Arial"/>
                <w:sz w:val="20"/>
                <w:szCs w:val="20"/>
              </w:rPr>
            </w:pPr>
            <w:r w:rsidRPr="00F33674">
              <w:rPr>
                <w:rFonts w:ascii="Arial Narrow" w:hAnsi="Arial Narrow" w:cs="Arial"/>
                <w:sz w:val="20"/>
                <w:szCs w:val="20"/>
              </w:rPr>
              <w:t>OR</w:t>
            </w:r>
          </w:p>
          <w:p w14:paraId="5D21377B" w14:textId="77777777" w:rsidR="00F33674" w:rsidRPr="00F33674" w:rsidRDefault="00F33674" w:rsidP="00F33674">
            <w:pPr>
              <w:jc w:val="left"/>
              <w:rPr>
                <w:rFonts w:ascii="Arial Narrow" w:hAnsi="Arial Narrow" w:cs="Arial"/>
                <w:sz w:val="20"/>
                <w:szCs w:val="20"/>
              </w:rPr>
            </w:pPr>
          </w:p>
          <w:p w14:paraId="5E5A4372" w14:textId="77777777" w:rsidR="00F33674" w:rsidRPr="00F33674" w:rsidRDefault="00F33674" w:rsidP="00F33674">
            <w:pPr>
              <w:jc w:val="left"/>
              <w:rPr>
                <w:rFonts w:ascii="Arial Narrow" w:hAnsi="Arial Narrow" w:cs="Arial"/>
                <w:sz w:val="20"/>
                <w:szCs w:val="20"/>
              </w:rPr>
            </w:pPr>
            <w:r w:rsidRPr="00F33674">
              <w:rPr>
                <w:rFonts w:ascii="Arial Narrow" w:hAnsi="Arial Narrow" w:cs="Arial"/>
                <w:sz w:val="20"/>
                <w:szCs w:val="20"/>
              </w:rPr>
              <w:t>[new] The treatment must be part of pre-operative care</w:t>
            </w:r>
          </w:p>
          <w:p w14:paraId="47DA5D7B" w14:textId="77777777" w:rsidR="00F33674" w:rsidRPr="00F33674" w:rsidRDefault="00F33674" w:rsidP="00F33674">
            <w:pPr>
              <w:jc w:val="left"/>
              <w:rPr>
                <w:rFonts w:ascii="Arial Narrow" w:hAnsi="Arial Narrow" w:cs="Arial"/>
                <w:sz w:val="20"/>
                <w:szCs w:val="20"/>
              </w:rPr>
            </w:pPr>
          </w:p>
          <w:p w14:paraId="1F411532" w14:textId="77777777" w:rsidR="00F33674" w:rsidRPr="00F33674" w:rsidRDefault="00F33674" w:rsidP="00F33674">
            <w:pPr>
              <w:jc w:val="left"/>
              <w:rPr>
                <w:rFonts w:ascii="Arial Narrow" w:hAnsi="Arial Narrow" w:cs="Arial"/>
                <w:sz w:val="20"/>
                <w:szCs w:val="20"/>
              </w:rPr>
            </w:pPr>
            <w:r w:rsidRPr="00F33674">
              <w:rPr>
                <w:rFonts w:ascii="Arial Narrow" w:hAnsi="Arial Narrow" w:cs="Arial"/>
                <w:sz w:val="20"/>
                <w:szCs w:val="20"/>
              </w:rPr>
              <w:t>OR</w:t>
            </w:r>
          </w:p>
          <w:p w14:paraId="1ED6ED04" w14:textId="77777777" w:rsidR="00F33674" w:rsidRPr="00F33674" w:rsidRDefault="00F33674" w:rsidP="00F33674">
            <w:pPr>
              <w:jc w:val="left"/>
              <w:rPr>
                <w:rFonts w:ascii="Arial Narrow" w:hAnsi="Arial Narrow" w:cs="Arial"/>
                <w:sz w:val="20"/>
                <w:szCs w:val="20"/>
              </w:rPr>
            </w:pPr>
          </w:p>
          <w:p w14:paraId="364F81BA" w14:textId="77777777" w:rsidR="00F33674" w:rsidRPr="00F33674" w:rsidRDefault="00F33674" w:rsidP="00F33674">
            <w:pPr>
              <w:jc w:val="left"/>
              <w:rPr>
                <w:rFonts w:ascii="Arial Narrow" w:hAnsi="Arial Narrow" w:cs="Arial"/>
                <w:color w:val="FF0000"/>
                <w:sz w:val="20"/>
                <w:szCs w:val="20"/>
              </w:rPr>
            </w:pPr>
            <w:r w:rsidRPr="00F33674">
              <w:rPr>
                <w:rFonts w:ascii="Arial Narrow" w:hAnsi="Arial Narrow" w:cs="Arial"/>
                <w:sz w:val="20"/>
                <w:szCs w:val="20"/>
              </w:rPr>
              <w:t xml:space="preserve">[new] The treatment </w:t>
            </w:r>
            <w:proofErr w:type="gramStart"/>
            <w:r w:rsidRPr="00F33674">
              <w:rPr>
                <w:rFonts w:ascii="Arial Narrow" w:hAnsi="Arial Narrow" w:cs="Arial"/>
                <w:sz w:val="20"/>
                <w:szCs w:val="20"/>
              </w:rPr>
              <w:t>must be used</w:t>
            </w:r>
            <w:proofErr w:type="gramEnd"/>
            <w:r w:rsidRPr="00F33674">
              <w:rPr>
                <w:rFonts w:ascii="Arial Narrow" w:hAnsi="Arial Narrow" w:cs="Arial"/>
                <w:sz w:val="20"/>
                <w:szCs w:val="20"/>
              </w:rPr>
              <w:t xml:space="preserve"> as an analgesic adjunct in general anaesthesia.</w:t>
            </w:r>
          </w:p>
        </w:tc>
      </w:tr>
      <w:tr w:rsidR="00A4096A" w:rsidRPr="00F33674" w14:paraId="3ECBB973" w14:textId="77777777" w:rsidTr="00F33674">
        <w:trPr>
          <w:cantSplit/>
          <w:trHeight w:val="360"/>
        </w:trPr>
        <w:tc>
          <w:tcPr>
            <w:tcW w:w="2835" w:type="dxa"/>
            <w:tcBorders>
              <w:top w:val="single" w:sz="4" w:space="0" w:color="auto"/>
              <w:left w:val="single" w:sz="4" w:space="0" w:color="auto"/>
              <w:bottom w:val="single" w:sz="4" w:space="0" w:color="auto"/>
              <w:right w:val="single" w:sz="4" w:space="0" w:color="auto"/>
            </w:tcBorders>
          </w:tcPr>
          <w:p w14:paraId="1B09C02E" w14:textId="4D1D9F77" w:rsidR="00A4096A" w:rsidRPr="00F33674" w:rsidRDefault="00A4096A" w:rsidP="00A4096A">
            <w:pPr>
              <w:rPr>
                <w:rFonts w:ascii="Arial Narrow" w:hAnsi="Arial Narrow" w:cs="Arial"/>
                <w:b/>
                <w:sz w:val="20"/>
                <w:szCs w:val="20"/>
              </w:rPr>
            </w:pPr>
            <w:r w:rsidRPr="00F33674">
              <w:rPr>
                <w:rFonts w:ascii="Arial Narrow" w:hAnsi="Arial Narrow" w:cs="Arial"/>
                <w:b/>
                <w:sz w:val="20"/>
                <w:szCs w:val="20"/>
              </w:rPr>
              <w:lastRenderedPageBreak/>
              <w:t>Prescriber instructions:</w:t>
            </w:r>
          </w:p>
        </w:tc>
        <w:tc>
          <w:tcPr>
            <w:tcW w:w="6379" w:type="dxa"/>
            <w:tcBorders>
              <w:top w:val="single" w:sz="4" w:space="0" w:color="auto"/>
              <w:left w:val="single" w:sz="4" w:space="0" w:color="auto"/>
              <w:bottom w:val="single" w:sz="4" w:space="0" w:color="auto"/>
              <w:right w:val="single" w:sz="4" w:space="0" w:color="auto"/>
            </w:tcBorders>
          </w:tcPr>
          <w:p w14:paraId="62291773" w14:textId="77777777" w:rsidR="00A4096A" w:rsidRPr="00F33674" w:rsidRDefault="00A4096A" w:rsidP="00A4096A">
            <w:pPr>
              <w:jc w:val="left"/>
              <w:rPr>
                <w:rFonts w:ascii="Arial Narrow" w:hAnsi="Arial Narrow" w:cs="Arial"/>
                <w:sz w:val="20"/>
                <w:szCs w:val="20"/>
              </w:rPr>
            </w:pPr>
            <w:r w:rsidRPr="00F33674">
              <w:rPr>
                <w:rFonts w:ascii="Arial Narrow" w:hAnsi="Arial Narrow" w:cs="Arial"/>
                <w:sz w:val="20"/>
                <w:szCs w:val="20"/>
              </w:rPr>
              <w:t xml:space="preserve">[new] Authorities for increased maximum quantities and/or repeats </w:t>
            </w:r>
            <w:r>
              <w:rPr>
                <w:rFonts w:ascii="Arial Narrow" w:hAnsi="Arial Narrow" w:cs="Arial"/>
                <w:sz w:val="20"/>
                <w:szCs w:val="20"/>
              </w:rPr>
              <w:t xml:space="preserve">under this restriction </w:t>
            </w:r>
            <w:proofErr w:type="gramStart"/>
            <w:r w:rsidRPr="00F33674">
              <w:rPr>
                <w:rFonts w:ascii="Arial Narrow" w:hAnsi="Arial Narrow" w:cs="Arial"/>
                <w:sz w:val="20"/>
                <w:szCs w:val="20"/>
              </w:rPr>
              <w:t>must only be considered</w:t>
            </w:r>
            <w:proofErr w:type="gramEnd"/>
            <w:r w:rsidRPr="00F33674">
              <w:rPr>
                <w:rFonts w:ascii="Arial Narrow" w:hAnsi="Arial Narrow" w:cs="Arial"/>
                <w:sz w:val="20"/>
                <w:szCs w:val="20"/>
              </w:rPr>
              <w:t xml:space="preserve"> for</w:t>
            </w:r>
            <w:r>
              <w:rPr>
                <w:rFonts w:ascii="Arial Narrow" w:hAnsi="Arial Narrow" w:cs="Arial"/>
                <w:sz w:val="20"/>
                <w:szCs w:val="20"/>
              </w:rPr>
              <w:t xml:space="preserve"> </w:t>
            </w:r>
            <w:r w:rsidRPr="00F33674">
              <w:rPr>
                <w:rFonts w:ascii="Arial Narrow" w:hAnsi="Arial Narrow" w:cs="Arial"/>
                <w:sz w:val="20"/>
                <w:szCs w:val="20"/>
              </w:rPr>
              <w:t>severe disabling pain associated with proven malignant neoplasia or</w:t>
            </w:r>
            <w:r>
              <w:rPr>
                <w:rFonts w:ascii="Arial Narrow" w:hAnsi="Arial Narrow" w:cs="Arial"/>
                <w:sz w:val="20"/>
                <w:szCs w:val="20"/>
              </w:rPr>
              <w:t xml:space="preserve"> c</w:t>
            </w:r>
            <w:r w:rsidRPr="00F33674">
              <w:rPr>
                <w:rFonts w:ascii="Arial Narrow" w:hAnsi="Arial Narrow" w:cs="Arial"/>
                <w:sz w:val="20"/>
                <w:szCs w:val="20"/>
              </w:rPr>
              <w:t>hronic severe disabling pain where the total duration of non-PBS and PBS subsidised opioid analgesic treatment is less than 12 months</w:t>
            </w:r>
            <w:r>
              <w:rPr>
                <w:rFonts w:ascii="Arial Narrow" w:hAnsi="Arial Narrow" w:cs="Arial"/>
                <w:sz w:val="20"/>
                <w:szCs w:val="20"/>
              </w:rPr>
              <w:t>.</w:t>
            </w:r>
          </w:p>
          <w:p w14:paraId="5D758705" w14:textId="77777777" w:rsidR="00A4096A" w:rsidRPr="00F33674" w:rsidRDefault="00A4096A" w:rsidP="00A4096A">
            <w:pPr>
              <w:jc w:val="left"/>
              <w:rPr>
                <w:rFonts w:ascii="Arial Narrow" w:hAnsi="Arial Narrow" w:cs="Arial"/>
                <w:sz w:val="20"/>
                <w:szCs w:val="20"/>
              </w:rPr>
            </w:pPr>
          </w:p>
          <w:p w14:paraId="00C9A868" w14:textId="77777777" w:rsidR="00A4096A" w:rsidRPr="00F33674" w:rsidRDefault="00A4096A" w:rsidP="00A4096A">
            <w:pPr>
              <w:jc w:val="left"/>
              <w:rPr>
                <w:rFonts w:ascii="Arial Narrow" w:hAnsi="Arial Narrow" w:cs="Arial"/>
                <w:sz w:val="20"/>
                <w:szCs w:val="20"/>
              </w:rPr>
            </w:pPr>
            <w:r w:rsidRPr="00F33674">
              <w:rPr>
                <w:rFonts w:ascii="Arial Narrow" w:hAnsi="Arial Narrow" w:cs="Arial"/>
                <w:sz w:val="20"/>
                <w:szCs w:val="20"/>
              </w:rPr>
              <w:t>[new] Authority requests extending treatment duration up to 1 month may be requested though the Online PBS Authorities system or by calling Services Australia.</w:t>
            </w:r>
          </w:p>
          <w:p w14:paraId="534E4C3C" w14:textId="77777777" w:rsidR="00A4096A" w:rsidRPr="00F33674" w:rsidRDefault="00A4096A" w:rsidP="00A4096A">
            <w:pPr>
              <w:jc w:val="left"/>
              <w:rPr>
                <w:rFonts w:ascii="Arial Narrow" w:hAnsi="Arial Narrow" w:cs="Arial"/>
                <w:sz w:val="20"/>
                <w:szCs w:val="20"/>
              </w:rPr>
            </w:pPr>
          </w:p>
          <w:p w14:paraId="130841A9" w14:textId="2AA928D6" w:rsidR="00A4096A" w:rsidRPr="00F33674" w:rsidRDefault="00A4096A" w:rsidP="00A4096A">
            <w:pPr>
              <w:jc w:val="left"/>
              <w:rPr>
                <w:rFonts w:ascii="Arial Narrow" w:hAnsi="Arial Narrow" w:cs="Arial"/>
                <w:sz w:val="20"/>
                <w:szCs w:val="20"/>
              </w:rPr>
            </w:pPr>
            <w:r w:rsidRPr="00F33674">
              <w:rPr>
                <w:rFonts w:ascii="Arial Narrow" w:hAnsi="Arial Narrow" w:cs="Arial"/>
                <w:sz w:val="20"/>
                <w:szCs w:val="20"/>
              </w:rPr>
              <w:t xml:space="preserve">Authority requests extending treatment duration beyond 1 month </w:t>
            </w:r>
            <w:r w:rsidRPr="00710D93">
              <w:rPr>
                <w:rFonts w:ascii="Arial Narrow" w:hAnsi="Arial Narrow" w:cs="Arial"/>
                <w:sz w:val="20"/>
                <w:szCs w:val="20"/>
              </w:rPr>
              <w:t>may be requested through the Online PBS Authorities system</w:t>
            </w:r>
            <w:r w:rsidRPr="00F33674">
              <w:rPr>
                <w:rFonts w:ascii="Arial Narrow" w:hAnsi="Arial Narrow" w:cs="Arial"/>
                <w:sz w:val="20"/>
                <w:szCs w:val="20"/>
              </w:rPr>
              <w:t xml:space="preserve"> or in writing only and must not provide a treatment duration exceeding 3 months</w:t>
            </w:r>
            <w:r>
              <w:rPr>
                <w:rFonts w:ascii="Arial Narrow" w:hAnsi="Arial Narrow" w:cs="Arial"/>
                <w:sz w:val="20"/>
                <w:szCs w:val="20"/>
              </w:rPr>
              <w:t xml:space="preserve"> </w:t>
            </w:r>
            <w:r w:rsidRPr="00710D93">
              <w:rPr>
                <w:rFonts w:ascii="Arial Narrow" w:hAnsi="Arial Narrow" w:cs="Arial"/>
                <w:sz w:val="20"/>
                <w:szCs w:val="20"/>
              </w:rPr>
              <w:t xml:space="preserve">(quantity sufficient for up to </w:t>
            </w:r>
            <w:proofErr w:type="gramStart"/>
            <w:r w:rsidRPr="00710D93">
              <w:rPr>
                <w:rFonts w:ascii="Arial Narrow" w:hAnsi="Arial Narrow" w:cs="Arial"/>
                <w:sz w:val="20"/>
                <w:szCs w:val="20"/>
              </w:rPr>
              <w:t>1 month</w:t>
            </w:r>
            <w:proofErr w:type="gramEnd"/>
            <w:r w:rsidRPr="00710D93">
              <w:rPr>
                <w:rFonts w:ascii="Arial Narrow" w:hAnsi="Arial Narrow" w:cs="Arial"/>
                <w:sz w:val="20"/>
                <w:szCs w:val="20"/>
              </w:rPr>
              <w:t xml:space="preserve"> treatment and sufficient repeats)</w:t>
            </w:r>
            <w:r w:rsidRPr="00F33674">
              <w:rPr>
                <w:rFonts w:ascii="Arial Narrow" w:hAnsi="Arial Narrow" w:cs="Arial"/>
                <w:sz w:val="20"/>
                <w:szCs w:val="20"/>
              </w:rPr>
              <w:t>.</w:t>
            </w:r>
          </w:p>
        </w:tc>
      </w:tr>
      <w:tr w:rsidR="00F33674" w:rsidRPr="00F33674" w14:paraId="1F72CA91" w14:textId="77777777" w:rsidTr="00F33674">
        <w:trPr>
          <w:cantSplit/>
          <w:trHeight w:val="360"/>
        </w:trPr>
        <w:tc>
          <w:tcPr>
            <w:tcW w:w="2835" w:type="dxa"/>
            <w:tcBorders>
              <w:top w:val="single" w:sz="4" w:space="0" w:color="auto"/>
              <w:left w:val="single" w:sz="4" w:space="0" w:color="auto"/>
              <w:bottom w:val="single" w:sz="4" w:space="0" w:color="auto"/>
              <w:right w:val="single" w:sz="4" w:space="0" w:color="auto"/>
            </w:tcBorders>
          </w:tcPr>
          <w:p w14:paraId="28964E71" w14:textId="77777777" w:rsidR="00F33674" w:rsidRPr="00F33674" w:rsidRDefault="00F33674" w:rsidP="00F33674">
            <w:pPr>
              <w:rPr>
                <w:rFonts w:ascii="Arial Narrow" w:hAnsi="Arial Narrow" w:cs="Arial"/>
                <w:b/>
                <w:sz w:val="20"/>
                <w:szCs w:val="20"/>
              </w:rPr>
            </w:pPr>
            <w:r w:rsidRPr="00F33674">
              <w:rPr>
                <w:rFonts w:ascii="Arial Narrow" w:hAnsi="Arial Narrow" w:cs="Arial"/>
                <w:b/>
                <w:sz w:val="20"/>
                <w:szCs w:val="20"/>
              </w:rPr>
              <w:t>Administrative advice:</w:t>
            </w:r>
          </w:p>
        </w:tc>
        <w:tc>
          <w:tcPr>
            <w:tcW w:w="6379" w:type="dxa"/>
            <w:tcBorders>
              <w:top w:val="single" w:sz="4" w:space="0" w:color="auto"/>
              <w:left w:val="single" w:sz="4" w:space="0" w:color="auto"/>
              <w:bottom w:val="single" w:sz="4" w:space="0" w:color="auto"/>
              <w:right w:val="single" w:sz="4" w:space="0" w:color="auto"/>
            </w:tcBorders>
          </w:tcPr>
          <w:p w14:paraId="294BFA7A" w14:textId="11CF22DF" w:rsidR="00F33674" w:rsidRPr="00F33674" w:rsidRDefault="00F33674" w:rsidP="00F33674">
            <w:pPr>
              <w:jc w:val="left"/>
              <w:rPr>
                <w:rFonts w:ascii="Arial Narrow" w:hAnsi="Arial Narrow" w:cs="Arial"/>
                <w:sz w:val="20"/>
                <w:szCs w:val="20"/>
              </w:rPr>
            </w:pPr>
          </w:p>
          <w:p w14:paraId="62D4E15A" w14:textId="77777777" w:rsidR="00F33674" w:rsidRPr="00F33674" w:rsidRDefault="00F33674" w:rsidP="00F33674">
            <w:pPr>
              <w:jc w:val="left"/>
              <w:rPr>
                <w:rFonts w:ascii="Arial Narrow" w:hAnsi="Arial Narrow" w:cs="Arial"/>
                <w:sz w:val="20"/>
                <w:szCs w:val="20"/>
              </w:rPr>
            </w:pPr>
          </w:p>
          <w:p w14:paraId="1BD61B08" w14:textId="77777777" w:rsidR="00F33674" w:rsidRPr="00F33674" w:rsidRDefault="00F33674" w:rsidP="00F33674">
            <w:pPr>
              <w:jc w:val="left"/>
              <w:rPr>
                <w:rFonts w:ascii="Arial Narrow" w:hAnsi="Arial Narrow"/>
                <w:sz w:val="20"/>
                <w:szCs w:val="20"/>
              </w:rPr>
            </w:pPr>
            <w:r w:rsidRPr="00F33674">
              <w:rPr>
                <w:rFonts w:ascii="Arial Narrow" w:hAnsi="Arial Narrow"/>
                <w:sz w:val="20"/>
                <w:szCs w:val="20"/>
              </w:rPr>
              <w:t>[new] Consider consultation with a multidisciplinary pain service prior to, or after commencement of this medication.</w:t>
            </w:r>
          </w:p>
          <w:p w14:paraId="7FD7B381" w14:textId="77777777" w:rsidR="00F33674" w:rsidRPr="00F33674" w:rsidRDefault="00F33674" w:rsidP="00F33674">
            <w:pPr>
              <w:jc w:val="left"/>
              <w:rPr>
                <w:rFonts w:ascii="Arial Narrow" w:hAnsi="Arial Narrow" w:cs="Arial"/>
                <w:sz w:val="20"/>
                <w:szCs w:val="20"/>
              </w:rPr>
            </w:pPr>
          </w:p>
          <w:p w14:paraId="110E6582" w14:textId="77777777" w:rsidR="00F33674" w:rsidRPr="00F33674" w:rsidRDefault="00F33674" w:rsidP="00F33674">
            <w:pPr>
              <w:jc w:val="left"/>
              <w:rPr>
                <w:rFonts w:ascii="Arial Narrow" w:hAnsi="Arial Narrow" w:cs="Arial"/>
                <w:sz w:val="20"/>
                <w:szCs w:val="20"/>
              </w:rPr>
            </w:pPr>
            <w:r w:rsidRPr="00F33674">
              <w:rPr>
                <w:rFonts w:ascii="Arial Narrow" w:hAnsi="Arial Narrow" w:cs="Arial"/>
                <w:sz w:val="20"/>
                <w:szCs w:val="20"/>
              </w:rPr>
              <w:t>[new] Real time online applications for increased maximum quantities/repeats may be made using the Online PBS Authorities system (see www.servicesaustralia.gov.au/organisations/health-professionals/services/medicare/hpos/services/request-authority-using-online-pbs-authorities-hpos)</w:t>
            </w:r>
          </w:p>
          <w:p w14:paraId="7058F9A0" w14:textId="77777777" w:rsidR="00F33674" w:rsidRPr="00F33674" w:rsidRDefault="00F33674" w:rsidP="00F33674">
            <w:pPr>
              <w:jc w:val="left"/>
              <w:rPr>
                <w:rFonts w:ascii="Arial Narrow" w:hAnsi="Arial Narrow" w:cs="Arial"/>
                <w:sz w:val="20"/>
                <w:szCs w:val="20"/>
              </w:rPr>
            </w:pPr>
          </w:p>
          <w:p w14:paraId="206D6151" w14:textId="5279836D" w:rsidR="00F33674" w:rsidRPr="00F33674" w:rsidRDefault="00F33674" w:rsidP="00F33674">
            <w:pPr>
              <w:jc w:val="left"/>
              <w:rPr>
                <w:rFonts w:ascii="Arial Narrow" w:hAnsi="Arial Narrow" w:cs="Arial"/>
                <w:sz w:val="20"/>
                <w:szCs w:val="20"/>
              </w:rPr>
            </w:pPr>
            <w:r w:rsidRPr="00F33674">
              <w:rPr>
                <w:rFonts w:ascii="Arial Narrow" w:hAnsi="Arial Narrow" w:cs="Arial"/>
                <w:sz w:val="20"/>
                <w:szCs w:val="20"/>
              </w:rPr>
              <w:t>Phone applications for increased maximum quantities/repeats may be made by calling 1800 888 333.</w:t>
            </w:r>
          </w:p>
          <w:p w14:paraId="1F3B3360" w14:textId="77777777" w:rsidR="00F33674" w:rsidRPr="00F33674" w:rsidRDefault="00F33674" w:rsidP="00F33674">
            <w:pPr>
              <w:jc w:val="left"/>
              <w:rPr>
                <w:rFonts w:ascii="Arial Narrow" w:hAnsi="Arial Narrow" w:cs="Arial"/>
                <w:sz w:val="20"/>
                <w:szCs w:val="20"/>
              </w:rPr>
            </w:pPr>
          </w:p>
          <w:p w14:paraId="3D2EA046" w14:textId="77777777" w:rsidR="00F33674" w:rsidRPr="00F33674" w:rsidRDefault="00F33674" w:rsidP="00F33674">
            <w:pPr>
              <w:jc w:val="left"/>
              <w:rPr>
                <w:rFonts w:ascii="Arial Narrow" w:hAnsi="Arial Narrow" w:cs="Arial"/>
                <w:sz w:val="20"/>
                <w:szCs w:val="20"/>
              </w:rPr>
            </w:pPr>
            <w:r w:rsidRPr="00F33674">
              <w:rPr>
                <w:rFonts w:ascii="Arial Narrow" w:hAnsi="Arial Narrow" w:cs="Arial"/>
                <w:sz w:val="20"/>
                <w:szCs w:val="20"/>
              </w:rPr>
              <w:t>Written authority applications for increased maximum quantities/repeats can be uploaded online through HPOS form upload or mailed to:</w:t>
            </w:r>
          </w:p>
          <w:p w14:paraId="40C77253" w14:textId="77777777" w:rsidR="00F33674" w:rsidRPr="00F33674" w:rsidRDefault="00F33674" w:rsidP="00F33674">
            <w:pPr>
              <w:jc w:val="left"/>
              <w:rPr>
                <w:rFonts w:ascii="Arial Narrow" w:hAnsi="Arial Narrow" w:cs="Arial"/>
                <w:sz w:val="20"/>
                <w:szCs w:val="20"/>
              </w:rPr>
            </w:pPr>
            <w:r w:rsidRPr="00F33674">
              <w:rPr>
                <w:rFonts w:ascii="Arial Narrow" w:hAnsi="Arial Narrow" w:cs="Arial"/>
                <w:sz w:val="20"/>
                <w:szCs w:val="20"/>
              </w:rPr>
              <w:t>Pharmaceutical Benefits Scheme</w:t>
            </w:r>
          </w:p>
          <w:p w14:paraId="3E79AC46" w14:textId="77777777" w:rsidR="00F33674" w:rsidRPr="00F33674" w:rsidRDefault="00F33674" w:rsidP="00F33674">
            <w:pPr>
              <w:jc w:val="left"/>
              <w:rPr>
                <w:rFonts w:ascii="Arial Narrow" w:hAnsi="Arial Narrow" w:cs="Arial"/>
                <w:sz w:val="20"/>
                <w:szCs w:val="20"/>
              </w:rPr>
            </w:pPr>
            <w:r w:rsidRPr="00F33674">
              <w:rPr>
                <w:rFonts w:ascii="Arial Narrow" w:hAnsi="Arial Narrow" w:cs="Arial"/>
                <w:sz w:val="20"/>
                <w:szCs w:val="20"/>
              </w:rPr>
              <w:t>Reply Paid 9857</w:t>
            </w:r>
          </w:p>
          <w:p w14:paraId="5CD2D644" w14:textId="77777777" w:rsidR="00F33674" w:rsidRPr="00F33674" w:rsidRDefault="00F33674" w:rsidP="00F33674">
            <w:pPr>
              <w:jc w:val="left"/>
              <w:rPr>
                <w:rFonts w:ascii="Arial Narrow" w:hAnsi="Arial Narrow" w:cs="Arial"/>
                <w:sz w:val="20"/>
                <w:szCs w:val="20"/>
              </w:rPr>
            </w:pPr>
            <w:r w:rsidRPr="00F33674">
              <w:rPr>
                <w:rFonts w:ascii="Arial Narrow" w:hAnsi="Arial Narrow" w:cs="Arial"/>
                <w:sz w:val="20"/>
                <w:szCs w:val="20"/>
              </w:rPr>
              <w:t>[Your capital city]</w:t>
            </w:r>
          </w:p>
        </w:tc>
      </w:tr>
      <w:tr w:rsidR="00F33674" w:rsidRPr="00F33674" w14:paraId="47B533CA" w14:textId="77777777" w:rsidTr="00F33674">
        <w:trPr>
          <w:cantSplit/>
          <w:trHeight w:val="360"/>
        </w:trPr>
        <w:tc>
          <w:tcPr>
            <w:tcW w:w="2835" w:type="dxa"/>
            <w:tcBorders>
              <w:top w:val="single" w:sz="4" w:space="0" w:color="auto"/>
              <w:left w:val="single" w:sz="4" w:space="0" w:color="auto"/>
              <w:bottom w:val="single" w:sz="4" w:space="0" w:color="auto"/>
              <w:right w:val="single" w:sz="4" w:space="0" w:color="auto"/>
            </w:tcBorders>
          </w:tcPr>
          <w:p w14:paraId="11D1EAAE" w14:textId="77777777" w:rsidR="00F33674" w:rsidRPr="00F33674" w:rsidRDefault="00F33674" w:rsidP="00F33674">
            <w:pPr>
              <w:rPr>
                <w:rFonts w:ascii="Arial Narrow" w:hAnsi="Arial Narrow" w:cs="Arial"/>
                <w:b/>
                <w:sz w:val="20"/>
                <w:szCs w:val="20"/>
              </w:rPr>
            </w:pPr>
            <w:r w:rsidRPr="00F33674">
              <w:rPr>
                <w:rFonts w:ascii="Arial Narrow" w:hAnsi="Arial Narrow" w:cs="Arial"/>
                <w:b/>
                <w:sz w:val="20"/>
                <w:szCs w:val="20"/>
              </w:rPr>
              <w:t>Cautions:</w:t>
            </w:r>
          </w:p>
        </w:tc>
        <w:tc>
          <w:tcPr>
            <w:tcW w:w="6379" w:type="dxa"/>
            <w:tcBorders>
              <w:top w:val="single" w:sz="4" w:space="0" w:color="auto"/>
              <w:left w:val="single" w:sz="4" w:space="0" w:color="auto"/>
              <w:bottom w:val="single" w:sz="4" w:space="0" w:color="auto"/>
              <w:right w:val="single" w:sz="4" w:space="0" w:color="auto"/>
            </w:tcBorders>
          </w:tcPr>
          <w:p w14:paraId="3D24CC0F" w14:textId="77777777" w:rsidR="00F33674" w:rsidRPr="00F33674" w:rsidRDefault="00F33674" w:rsidP="00F33674">
            <w:pPr>
              <w:jc w:val="left"/>
              <w:rPr>
                <w:rFonts w:ascii="Arial Narrow" w:hAnsi="Arial Narrow" w:cs="Arial"/>
                <w:sz w:val="20"/>
                <w:szCs w:val="20"/>
              </w:rPr>
            </w:pPr>
            <w:r w:rsidRPr="00F33674">
              <w:rPr>
                <w:rFonts w:ascii="Arial Narrow" w:hAnsi="Arial Narrow" w:cs="Arial"/>
                <w:sz w:val="20"/>
                <w:szCs w:val="20"/>
              </w:rPr>
              <w:t>[6986] The risk of drug dependence is high.</w:t>
            </w:r>
          </w:p>
        </w:tc>
      </w:tr>
    </w:tbl>
    <w:p w14:paraId="397A9BDC" w14:textId="77777777" w:rsidR="00CB71CC" w:rsidRDefault="00CB71CC" w:rsidP="00CB71CC">
      <w:pPr>
        <w:pStyle w:val="3-BodyText"/>
        <w:numPr>
          <w:ilvl w:val="0"/>
          <w:numId w:val="0"/>
        </w:numPr>
        <w:ind w:left="720"/>
      </w:pPr>
    </w:p>
    <w:tbl>
      <w:tblPr>
        <w:tblW w:w="9214" w:type="dxa"/>
        <w:tblInd w:w="-5" w:type="dxa"/>
        <w:tblLayout w:type="fixed"/>
        <w:tblLook w:val="0000" w:firstRow="0" w:lastRow="0" w:firstColumn="0" w:lastColumn="0" w:noHBand="0" w:noVBand="0"/>
      </w:tblPr>
      <w:tblGrid>
        <w:gridCol w:w="2835"/>
        <w:gridCol w:w="6379"/>
      </w:tblGrid>
      <w:tr w:rsidR="00A4096A" w:rsidRPr="00F33674" w14:paraId="4F9FF721" w14:textId="77777777" w:rsidTr="00A74C03">
        <w:trPr>
          <w:cantSplit/>
          <w:trHeight w:val="360"/>
        </w:trPr>
        <w:tc>
          <w:tcPr>
            <w:tcW w:w="2835" w:type="dxa"/>
            <w:tcBorders>
              <w:top w:val="single" w:sz="4" w:space="0" w:color="auto"/>
              <w:left w:val="single" w:sz="4" w:space="0" w:color="auto"/>
              <w:bottom w:val="single" w:sz="4" w:space="0" w:color="auto"/>
              <w:right w:val="single" w:sz="4" w:space="0" w:color="auto"/>
            </w:tcBorders>
          </w:tcPr>
          <w:p w14:paraId="2BA4F5B8" w14:textId="77777777" w:rsidR="00A4096A" w:rsidRPr="00F33674" w:rsidRDefault="00A4096A" w:rsidP="00A74C03">
            <w:pPr>
              <w:rPr>
                <w:rFonts w:ascii="Arial Narrow" w:hAnsi="Arial Narrow" w:cs="Arial"/>
                <w:b/>
                <w:sz w:val="20"/>
                <w:szCs w:val="20"/>
              </w:rPr>
            </w:pPr>
            <w:r w:rsidRPr="00F33674">
              <w:rPr>
                <w:rFonts w:ascii="Arial Narrow" w:hAnsi="Arial Narrow" w:cs="Arial"/>
                <w:b/>
                <w:sz w:val="20"/>
                <w:szCs w:val="20"/>
              </w:rPr>
              <w:t>Category / Program:</w:t>
            </w:r>
          </w:p>
        </w:tc>
        <w:tc>
          <w:tcPr>
            <w:tcW w:w="6379" w:type="dxa"/>
            <w:tcBorders>
              <w:top w:val="single" w:sz="4" w:space="0" w:color="auto"/>
              <w:left w:val="single" w:sz="4" w:space="0" w:color="auto"/>
              <w:bottom w:val="single" w:sz="4" w:space="0" w:color="auto"/>
              <w:right w:val="single" w:sz="4" w:space="0" w:color="auto"/>
            </w:tcBorders>
          </w:tcPr>
          <w:p w14:paraId="727362BE" w14:textId="77777777" w:rsidR="00A4096A" w:rsidRPr="00F33674" w:rsidRDefault="00A4096A" w:rsidP="00A74C03">
            <w:pPr>
              <w:rPr>
                <w:rFonts w:ascii="Arial Narrow" w:hAnsi="Arial Narrow" w:cs="Arial"/>
                <w:sz w:val="20"/>
                <w:szCs w:val="20"/>
              </w:rPr>
            </w:pPr>
            <w:r w:rsidRPr="00F33674">
              <w:rPr>
                <w:rFonts w:ascii="Arial Narrow" w:hAnsi="Arial Narrow" w:cs="Arial"/>
                <w:sz w:val="20"/>
                <w:szCs w:val="20"/>
              </w:rPr>
              <w:t>GENERAL – General Schedule (Code GE)</w:t>
            </w:r>
          </w:p>
        </w:tc>
      </w:tr>
      <w:tr w:rsidR="00A4096A" w:rsidRPr="00F33674" w14:paraId="604F37A7" w14:textId="77777777" w:rsidTr="00A74C03">
        <w:trPr>
          <w:cantSplit/>
          <w:trHeight w:val="360"/>
        </w:trPr>
        <w:tc>
          <w:tcPr>
            <w:tcW w:w="2835" w:type="dxa"/>
            <w:tcBorders>
              <w:top w:val="single" w:sz="4" w:space="0" w:color="auto"/>
              <w:left w:val="single" w:sz="4" w:space="0" w:color="auto"/>
              <w:bottom w:val="single" w:sz="4" w:space="0" w:color="auto"/>
              <w:right w:val="single" w:sz="4" w:space="0" w:color="auto"/>
            </w:tcBorders>
          </w:tcPr>
          <w:p w14:paraId="46D87A3D" w14:textId="77777777" w:rsidR="00A4096A" w:rsidRPr="00F33674" w:rsidRDefault="00A4096A" w:rsidP="00A74C03">
            <w:pPr>
              <w:rPr>
                <w:rFonts w:ascii="Arial Narrow" w:hAnsi="Arial Narrow" w:cs="Arial"/>
                <w:b/>
                <w:sz w:val="20"/>
                <w:szCs w:val="20"/>
              </w:rPr>
            </w:pPr>
            <w:r w:rsidRPr="00F33674">
              <w:rPr>
                <w:rFonts w:ascii="Arial Narrow" w:hAnsi="Arial Narrow" w:cs="Arial"/>
                <w:b/>
                <w:sz w:val="20"/>
                <w:szCs w:val="20"/>
              </w:rPr>
              <w:t>Prescriber type:</w:t>
            </w:r>
          </w:p>
          <w:p w14:paraId="79D65A69" w14:textId="77777777" w:rsidR="00A4096A" w:rsidRPr="00F33674" w:rsidRDefault="00A4096A" w:rsidP="00A74C03">
            <w:pPr>
              <w:rPr>
                <w:rFonts w:ascii="Arial Narrow" w:hAnsi="Arial Narrow" w:cs="Arial"/>
                <w:b/>
                <w:sz w:val="20"/>
                <w:szCs w:val="20"/>
              </w:rPr>
            </w:pPr>
          </w:p>
        </w:tc>
        <w:tc>
          <w:tcPr>
            <w:tcW w:w="6379" w:type="dxa"/>
            <w:tcBorders>
              <w:top w:val="single" w:sz="4" w:space="0" w:color="auto"/>
              <w:left w:val="single" w:sz="4" w:space="0" w:color="auto"/>
              <w:bottom w:val="single" w:sz="4" w:space="0" w:color="auto"/>
              <w:right w:val="single" w:sz="4" w:space="0" w:color="auto"/>
            </w:tcBorders>
          </w:tcPr>
          <w:p w14:paraId="2F576FB2" w14:textId="653AFBA5" w:rsidR="00A4096A" w:rsidRPr="00F33674" w:rsidRDefault="00A4096A" w:rsidP="00A74C03">
            <w:pPr>
              <w:rPr>
                <w:rFonts w:ascii="Arial Narrow" w:hAnsi="Arial Narrow" w:cs="Arial"/>
                <w:sz w:val="20"/>
                <w:szCs w:val="20"/>
              </w:rPr>
            </w:pPr>
            <w:r w:rsidRPr="00F33674">
              <w:rPr>
                <w:rFonts w:ascii="Arial Narrow" w:hAnsi="Arial Narrow" w:cs="Arial"/>
                <w:sz w:val="20"/>
                <w:szCs w:val="20"/>
              </w:rPr>
              <w:fldChar w:fldCharType="begin">
                <w:ffData>
                  <w:name w:val="Check1"/>
                  <w:enabled/>
                  <w:calcOnExit w:val="0"/>
                  <w:checkBox>
                    <w:sizeAuto/>
                    <w:default w:val="0"/>
                  </w:checkBox>
                </w:ffData>
              </w:fldChar>
            </w:r>
            <w:r w:rsidRPr="00F33674">
              <w:rPr>
                <w:rFonts w:ascii="Arial Narrow" w:hAnsi="Arial Narrow" w:cs="Arial"/>
                <w:sz w:val="20"/>
                <w:szCs w:val="20"/>
              </w:rPr>
              <w:instrText xml:space="preserve"> FORMCHECKBOX </w:instrText>
            </w:r>
            <w:r w:rsidR="00233D13">
              <w:rPr>
                <w:rFonts w:ascii="Arial Narrow" w:hAnsi="Arial Narrow" w:cs="Arial"/>
                <w:sz w:val="20"/>
                <w:szCs w:val="20"/>
              </w:rPr>
            </w:r>
            <w:r w:rsidR="00233D13">
              <w:rPr>
                <w:rFonts w:ascii="Arial Narrow" w:hAnsi="Arial Narrow" w:cs="Arial"/>
                <w:sz w:val="20"/>
                <w:szCs w:val="20"/>
              </w:rPr>
              <w:fldChar w:fldCharType="separate"/>
            </w:r>
            <w:r w:rsidRPr="00F33674">
              <w:rPr>
                <w:rFonts w:ascii="Arial Narrow" w:hAnsi="Arial Narrow" w:cs="Arial"/>
                <w:sz w:val="20"/>
                <w:szCs w:val="20"/>
              </w:rPr>
              <w:fldChar w:fldCharType="end"/>
            </w:r>
            <w:r w:rsidRPr="00F33674">
              <w:rPr>
                <w:rFonts w:ascii="Arial Narrow" w:hAnsi="Arial Narrow" w:cs="Arial"/>
                <w:sz w:val="20"/>
                <w:szCs w:val="20"/>
              </w:rPr>
              <w:t>Dental</w:t>
            </w:r>
            <w:r w:rsidR="002C1329">
              <w:rPr>
                <w:rFonts w:ascii="Arial Narrow" w:hAnsi="Arial Narrow" w:cs="Arial"/>
                <w:sz w:val="20"/>
                <w:szCs w:val="20"/>
              </w:rPr>
              <w:t xml:space="preserve"> </w:t>
            </w:r>
            <w:r w:rsidRPr="00F33674">
              <w:rPr>
                <w:rFonts w:ascii="Arial Narrow" w:hAnsi="Arial Narrow" w:cs="Arial"/>
                <w:sz w:val="20"/>
                <w:szCs w:val="20"/>
              </w:rPr>
              <w:fldChar w:fldCharType="begin">
                <w:ffData>
                  <w:name w:val=""/>
                  <w:enabled/>
                  <w:calcOnExit w:val="0"/>
                  <w:checkBox>
                    <w:sizeAuto/>
                    <w:default w:val="1"/>
                  </w:checkBox>
                </w:ffData>
              </w:fldChar>
            </w:r>
            <w:r w:rsidRPr="00F33674">
              <w:rPr>
                <w:rFonts w:ascii="Arial Narrow" w:hAnsi="Arial Narrow" w:cs="Arial"/>
                <w:sz w:val="20"/>
                <w:szCs w:val="20"/>
              </w:rPr>
              <w:instrText xml:space="preserve"> FORMCHECKBOX </w:instrText>
            </w:r>
            <w:r w:rsidR="00233D13">
              <w:rPr>
                <w:rFonts w:ascii="Arial Narrow" w:hAnsi="Arial Narrow" w:cs="Arial"/>
                <w:sz w:val="20"/>
                <w:szCs w:val="20"/>
              </w:rPr>
            </w:r>
            <w:r w:rsidR="00233D13">
              <w:rPr>
                <w:rFonts w:ascii="Arial Narrow" w:hAnsi="Arial Narrow" w:cs="Arial"/>
                <w:sz w:val="20"/>
                <w:szCs w:val="20"/>
              </w:rPr>
              <w:fldChar w:fldCharType="separate"/>
            </w:r>
            <w:r w:rsidRPr="00F33674">
              <w:rPr>
                <w:rFonts w:ascii="Arial Narrow" w:hAnsi="Arial Narrow" w:cs="Arial"/>
                <w:sz w:val="20"/>
                <w:szCs w:val="20"/>
              </w:rPr>
              <w:fldChar w:fldCharType="end"/>
            </w:r>
            <w:r w:rsidRPr="00F33674">
              <w:rPr>
                <w:rFonts w:ascii="Arial Narrow" w:hAnsi="Arial Narrow" w:cs="Arial"/>
                <w:sz w:val="20"/>
                <w:szCs w:val="20"/>
              </w:rPr>
              <w:t>Medical Practitioners</w:t>
            </w:r>
            <w:r w:rsidR="002C1329">
              <w:rPr>
                <w:rFonts w:ascii="Arial Narrow" w:hAnsi="Arial Narrow" w:cs="Arial"/>
                <w:sz w:val="20"/>
                <w:szCs w:val="20"/>
              </w:rPr>
              <w:t xml:space="preserve"> </w:t>
            </w:r>
            <w:r w:rsidRPr="00F33674">
              <w:rPr>
                <w:rFonts w:ascii="Arial Narrow" w:hAnsi="Arial Narrow" w:cs="Arial"/>
                <w:sz w:val="20"/>
                <w:szCs w:val="20"/>
              </w:rPr>
              <w:fldChar w:fldCharType="begin">
                <w:ffData>
                  <w:name w:val="Check3"/>
                  <w:enabled/>
                  <w:calcOnExit w:val="0"/>
                  <w:checkBox>
                    <w:sizeAuto/>
                    <w:default w:val="1"/>
                  </w:checkBox>
                </w:ffData>
              </w:fldChar>
            </w:r>
            <w:r w:rsidRPr="00F33674">
              <w:rPr>
                <w:rFonts w:ascii="Arial Narrow" w:hAnsi="Arial Narrow" w:cs="Arial"/>
                <w:sz w:val="20"/>
                <w:szCs w:val="20"/>
              </w:rPr>
              <w:instrText xml:space="preserve"> FORMCHECKBOX </w:instrText>
            </w:r>
            <w:r w:rsidR="00233D13">
              <w:rPr>
                <w:rFonts w:ascii="Arial Narrow" w:hAnsi="Arial Narrow" w:cs="Arial"/>
                <w:sz w:val="20"/>
                <w:szCs w:val="20"/>
              </w:rPr>
            </w:r>
            <w:r w:rsidR="00233D13">
              <w:rPr>
                <w:rFonts w:ascii="Arial Narrow" w:hAnsi="Arial Narrow" w:cs="Arial"/>
                <w:sz w:val="20"/>
                <w:szCs w:val="20"/>
              </w:rPr>
              <w:fldChar w:fldCharType="separate"/>
            </w:r>
            <w:r w:rsidRPr="00F33674">
              <w:rPr>
                <w:rFonts w:ascii="Arial Narrow" w:hAnsi="Arial Narrow" w:cs="Arial"/>
                <w:sz w:val="20"/>
                <w:szCs w:val="20"/>
              </w:rPr>
              <w:fldChar w:fldCharType="end"/>
            </w:r>
            <w:r w:rsidRPr="00F33674">
              <w:rPr>
                <w:rFonts w:ascii="Arial Narrow" w:hAnsi="Arial Narrow" w:cs="Arial"/>
                <w:sz w:val="20"/>
                <w:szCs w:val="20"/>
              </w:rPr>
              <w:t>Nurse practitioners</w:t>
            </w:r>
            <w:r w:rsidR="002C1329">
              <w:rPr>
                <w:rFonts w:ascii="Arial Narrow" w:hAnsi="Arial Narrow" w:cs="Arial"/>
                <w:sz w:val="20"/>
                <w:szCs w:val="20"/>
              </w:rPr>
              <w:t xml:space="preserve"> </w:t>
            </w:r>
            <w:r w:rsidRPr="00F33674">
              <w:rPr>
                <w:rFonts w:ascii="Arial Narrow" w:hAnsi="Arial Narrow" w:cs="Arial"/>
                <w:sz w:val="20"/>
                <w:szCs w:val="20"/>
              </w:rPr>
              <w:fldChar w:fldCharType="begin">
                <w:ffData>
                  <w:name w:val=""/>
                  <w:enabled/>
                  <w:calcOnExit w:val="0"/>
                  <w:checkBox>
                    <w:sizeAuto/>
                    <w:default w:val="0"/>
                  </w:checkBox>
                </w:ffData>
              </w:fldChar>
            </w:r>
            <w:r w:rsidRPr="00F33674">
              <w:rPr>
                <w:rFonts w:ascii="Arial Narrow" w:hAnsi="Arial Narrow" w:cs="Arial"/>
                <w:sz w:val="20"/>
                <w:szCs w:val="20"/>
              </w:rPr>
              <w:instrText xml:space="preserve"> FORMCHECKBOX </w:instrText>
            </w:r>
            <w:r w:rsidR="00233D13">
              <w:rPr>
                <w:rFonts w:ascii="Arial Narrow" w:hAnsi="Arial Narrow" w:cs="Arial"/>
                <w:sz w:val="20"/>
                <w:szCs w:val="20"/>
              </w:rPr>
            </w:r>
            <w:r w:rsidR="00233D13">
              <w:rPr>
                <w:rFonts w:ascii="Arial Narrow" w:hAnsi="Arial Narrow" w:cs="Arial"/>
                <w:sz w:val="20"/>
                <w:szCs w:val="20"/>
              </w:rPr>
              <w:fldChar w:fldCharType="separate"/>
            </w:r>
            <w:r w:rsidRPr="00F33674">
              <w:rPr>
                <w:rFonts w:ascii="Arial Narrow" w:hAnsi="Arial Narrow" w:cs="Arial"/>
                <w:sz w:val="20"/>
                <w:szCs w:val="20"/>
              </w:rPr>
              <w:fldChar w:fldCharType="end"/>
            </w:r>
            <w:r w:rsidRPr="00F33674">
              <w:rPr>
                <w:rFonts w:ascii="Arial Narrow" w:hAnsi="Arial Narrow" w:cs="Arial"/>
                <w:sz w:val="20"/>
                <w:szCs w:val="20"/>
              </w:rPr>
              <w:t>Optometrists</w:t>
            </w:r>
          </w:p>
          <w:p w14:paraId="4864DBC0" w14:textId="77777777" w:rsidR="00A4096A" w:rsidRPr="00F33674" w:rsidRDefault="00A4096A" w:rsidP="00A74C03">
            <w:pPr>
              <w:rPr>
                <w:rFonts w:ascii="Arial Narrow" w:hAnsi="Arial Narrow" w:cs="Arial"/>
                <w:sz w:val="20"/>
                <w:szCs w:val="20"/>
              </w:rPr>
            </w:pPr>
            <w:r w:rsidRPr="00F33674">
              <w:rPr>
                <w:rFonts w:ascii="Arial Narrow" w:hAnsi="Arial Narrow" w:cs="Arial"/>
                <w:sz w:val="20"/>
                <w:szCs w:val="20"/>
              </w:rPr>
              <w:fldChar w:fldCharType="begin">
                <w:ffData>
                  <w:name w:val="Check5"/>
                  <w:enabled/>
                  <w:calcOnExit w:val="0"/>
                  <w:checkBox>
                    <w:sizeAuto/>
                    <w:default w:val="0"/>
                  </w:checkBox>
                </w:ffData>
              </w:fldChar>
            </w:r>
            <w:r w:rsidRPr="00F33674">
              <w:rPr>
                <w:rFonts w:ascii="Arial Narrow" w:hAnsi="Arial Narrow" w:cs="Arial"/>
                <w:sz w:val="20"/>
                <w:szCs w:val="20"/>
              </w:rPr>
              <w:instrText xml:space="preserve"> FORMCHECKBOX </w:instrText>
            </w:r>
            <w:r w:rsidR="00233D13">
              <w:rPr>
                <w:rFonts w:ascii="Arial Narrow" w:hAnsi="Arial Narrow" w:cs="Arial"/>
                <w:sz w:val="20"/>
                <w:szCs w:val="20"/>
              </w:rPr>
            </w:r>
            <w:r w:rsidR="00233D13">
              <w:rPr>
                <w:rFonts w:ascii="Arial Narrow" w:hAnsi="Arial Narrow" w:cs="Arial"/>
                <w:sz w:val="20"/>
                <w:szCs w:val="20"/>
              </w:rPr>
              <w:fldChar w:fldCharType="separate"/>
            </w:r>
            <w:r w:rsidRPr="00F33674">
              <w:rPr>
                <w:rFonts w:ascii="Arial Narrow" w:hAnsi="Arial Narrow" w:cs="Arial"/>
                <w:sz w:val="20"/>
                <w:szCs w:val="20"/>
              </w:rPr>
              <w:fldChar w:fldCharType="end"/>
            </w:r>
            <w:r w:rsidRPr="00F33674">
              <w:rPr>
                <w:rFonts w:ascii="Arial Narrow" w:hAnsi="Arial Narrow" w:cs="Arial"/>
                <w:sz w:val="20"/>
                <w:szCs w:val="20"/>
              </w:rPr>
              <w:t>Midwives</w:t>
            </w:r>
          </w:p>
        </w:tc>
      </w:tr>
      <w:tr w:rsidR="00A4096A" w:rsidRPr="00F33674" w14:paraId="1DA60516" w14:textId="77777777" w:rsidTr="00A74C03">
        <w:trPr>
          <w:cantSplit/>
          <w:trHeight w:val="369"/>
        </w:trPr>
        <w:tc>
          <w:tcPr>
            <w:tcW w:w="2835" w:type="dxa"/>
            <w:tcBorders>
              <w:top w:val="single" w:sz="4" w:space="0" w:color="auto"/>
              <w:left w:val="single" w:sz="4" w:space="0" w:color="auto"/>
              <w:bottom w:val="single" w:sz="4" w:space="0" w:color="auto"/>
              <w:right w:val="single" w:sz="4" w:space="0" w:color="auto"/>
            </w:tcBorders>
          </w:tcPr>
          <w:p w14:paraId="5A16F8E1" w14:textId="77777777" w:rsidR="00A4096A" w:rsidRPr="00F33674" w:rsidRDefault="00A4096A" w:rsidP="00A74C03">
            <w:pPr>
              <w:rPr>
                <w:rFonts w:ascii="Arial Narrow" w:hAnsi="Arial Narrow" w:cs="Arial"/>
                <w:b/>
                <w:sz w:val="20"/>
                <w:szCs w:val="20"/>
              </w:rPr>
            </w:pPr>
            <w:r w:rsidRPr="00F33674">
              <w:rPr>
                <w:rFonts w:ascii="Arial Narrow" w:hAnsi="Arial Narrow" w:cs="Arial"/>
                <w:b/>
                <w:sz w:val="20"/>
                <w:szCs w:val="20"/>
              </w:rPr>
              <w:t>PBS indication:</w:t>
            </w:r>
          </w:p>
        </w:tc>
        <w:tc>
          <w:tcPr>
            <w:tcW w:w="6379" w:type="dxa"/>
            <w:tcBorders>
              <w:top w:val="single" w:sz="4" w:space="0" w:color="auto"/>
              <w:left w:val="single" w:sz="4" w:space="0" w:color="auto"/>
              <w:bottom w:val="single" w:sz="4" w:space="0" w:color="auto"/>
              <w:right w:val="single" w:sz="4" w:space="0" w:color="auto"/>
            </w:tcBorders>
          </w:tcPr>
          <w:p w14:paraId="3E56A934" w14:textId="77777777" w:rsidR="00A4096A" w:rsidRPr="00F33674" w:rsidRDefault="00A4096A" w:rsidP="00A74C03">
            <w:pPr>
              <w:rPr>
                <w:rFonts w:ascii="Arial Narrow" w:hAnsi="Arial Narrow" w:cs="Arial"/>
                <w:sz w:val="20"/>
                <w:szCs w:val="20"/>
              </w:rPr>
            </w:pPr>
            <w:r w:rsidRPr="00F33674">
              <w:rPr>
                <w:rFonts w:ascii="Arial Narrow" w:hAnsi="Arial Narrow" w:cs="Arial"/>
                <w:sz w:val="20"/>
                <w:szCs w:val="20"/>
              </w:rPr>
              <w:t>[7861] Severe pain</w:t>
            </w:r>
          </w:p>
        </w:tc>
      </w:tr>
      <w:tr w:rsidR="00A4096A" w:rsidRPr="00F33674" w14:paraId="16923B28" w14:textId="77777777" w:rsidTr="00A74C03">
        <w:trPr>
          <w:cantSplit/>
          <w:trHeight w:val="360"/>
        </w:trPr>
        <w:tc>
          <w:tcPr>
            <w:tcW w:w="2835" w:type="dxa"/>
            <w:tcBorders>
              <w:top w:val="single" w:sz="4" w:space="0" w:color="auto"/>
              <w:left w:val="single" w:sz="4" w:space="0" w:color="auto"/>
              <w:bottom w:val="single" w:sz="4" w:space="0" w:color="auto"/>
              <w:right w:val="single" w:sz="4" w:space="0" w:color="auto"/>
            </w:tcBorders>
          </w:tcPr>
          <w:p w14:paraId="051DE4A1" w14:textId="77777777" w:rsidR="00A4096A" w:rsidRPr="00F33674" w:rsidRDefault="00A4096A" w:rsidP="00A74C03">
            <w:pPr>
              <w:rPr>
                <w:rFonts w:ascii="Arial Narrow" w:hAnsi="Arial Narrow" w:cs="Arial"/>
                <w:b/>
                <w:sz w:val="20"/>
                <w:szCs w:val="20"/>
              </w:rPr>
            </w:pPr>
            <w:r w:rsidRPr="00F33674">
              <w:rPr>
                <w:rFonts w:ascii="Arial Narrow" w:hAnsi="Arial Narrow" w:cs="Arial"/>
                <w:b/>
                <w:sz w:val="20"/>
                <w:szCs w:val="20"/>
              </w:rPr>
              <w:t>Restriction Level / Method:</w:t>
            </w:r>
          </w:p>
          <w:p w14:paraId="66D89A7A" w14:textId="77777777" w:rsidR="00A4096A" w:rsidRPr="00F33674" w:rsidRDefault="00A4096A" w:rsidP="00A74C03">
            <w:pPr>
              <w:rPr>
                <w:rFonts w:ascii="Arial Narrow" w:hAnsi="Arial Narrow" w:cs="Arial"/>
                <w:i/>
                <w:sz w:val="20"/>
                <w:szCs w:val="20"/>
              </w:rPr>
            </w:pPr>
          </w:p>
          <w:p w14:paraId="1EAB17AF" w14:textId="77777777" w:rsidR="00A4096A" w:rsidRPr="00F33674" w:rsidRDefault="00A4096A" w:rsidP="00A74C03">
            <w:pPr>
              <w:rPr>
                <w:rFonts w:ascii="Arial Narrow" w:hAnsi="Arial Narrow" w:cs="Arial"/>
                <w:i/>
                <w:sz w:val="20"/>
                <w:szCs w:val="20"/>
              </w:rPr>
            </w:pPr>
          </w:p>
          <w:p w14:paraId="24B8547D" w14:textId="77777777" w:rsidR="00A4096A" w:rsidRPr="00F33674" w:rsidRDefault="00A4096A" w:rsidP="00A74C03">
            <w:pPr>
              <w:rPr>
                <w:rFonts w:ascii="Arial Narrow" w:hAnsi="Arial Narrow" w:cs="Arial"/>
                <w:i/>
                <w:sz w:val="20"/>
                <w:szCs w:val="20"/>
              </w:rPr>
            </w:pPr>
          </w:p>
        </w:tc>
        <w:tc>
          <w:tcPr>
            <w:tcW w:w="6379" w:type="dxa"/>
            <w:tcBorders>
              <w:top w:val="single" w:sz="4" w:space="0" w:color="auto"/>
              <w:left w:val="single" w:sz="4" w:space="0" w:color="auto"/>
              <w:bottom w:val="single" w:sz="4" w:space="0" w:color="auto"/>
              <w:right w:val="single" w:sz="4" w:space="0" w:color="auto"/>
            </w:tcBorders>
          </w:tcPr>
          <w:p w14:paraId="4E8E16ED" w14:textId="77777777" w:rsidR="00A4096A" w:rsidRPr="00F33674" w:rsidRDefault="00A4096A" w:rsidP="00A74C03">
            <w:pPr>
              <w:rPr>
                <w:rFonts w:ascii="Arial Narrow" w:hAnsi="Arial Narrow" w:cs="Arial"/>
                <w:sz w:val="20"/>
                <w:szCs w:val="20"/>
              </w:rPr>
            </w:pPr>
            <w:r w:rsidRPr="00F33674">
              <w:rPr>
                <w:rFonts w:ascii="Arial Narrow" w:hAnsi="Arial Narrow" w:cs="Arial"/>
                <w:sz w:val="20"/>
                <w:szCs w:val="20"/>
              </w:rPr>
              <w:fldChar w:fldCharType="begin">
                <w:ffData>
                  <w:name w:val=""/>
                  <w:enabled/>
                  <w:calcOnExit w:val="0"/>
                  <w:checkBox>
                    <w:sizeAuto/>
                    <w:default w:val="0"/>
                  </w:checkBox>
                </w:ffData>
              </w:fldChar>
            </w:r>
            <w:r w:rsidRPr="00F33674">
              <w:rPr>
                <w:rFonts w:ascii="Arial Narrow" w:hAnsi="Arial Narrow" w:cs="Arial"/>
                <w:sz w:val="20"/>
                <w:szCs w:val="20"/>
              </w:rPr>
              <w:instrText xml:space="preserve"> FORMCHECKBOX </w:instrText>
            </w:r>
            <w:r w:rsidR="00233D13">
              <w:rPr>
                <w:rFonts w:ascii="Arial Narrow" w:hAnsi="Arial Narrow" w:cs="Arial"/>
                <w:sz w:val="20"/>
                <w:szCs w:val="20"/>
              </w:rPr>
            </w:r>
            <w:r w:rsidR="00233D13">
              <w:rPr>
                <w:rFonts w:ascii="Arial Narrow" w:hAnsi="Arial Narrow" w:cs="Arial"/>
                <w:sz w:val="20"/>
                <w:szCs w:val="20"/>
              </w:rPr>
              <w:fldChar w:fldCharType="separate"/>
            </w:r>
            <w:r w:rsidRPr="00F33674">
              <w:rPr>
                <w:rFonts w:ascii="Arial Narrow" w:hAnsi="Arial Narrow" w:cs="Arial"/>
                <w:sz w:val="20"/>
                <w:szCs w:val="20"/>
              </w:rPr>
              <w:fldChar w:fldCharType="end"/>
            </w:r>
            <w:r w:rsidRPr="00F33674">
              <w:rPr>
                <w:rFonts w:ascii="Arial Narrow" w:hAnsi="Arial Narrow" w:cs="Arial"/>
                <w:sz w:val="20"/>
                <w:szCs w:val="20"/>
              </w:rPr>
              <w:t>Unrestricted benefit</w:t>
            </w:r>
          </w:p>
          <w:p w14:paraId="3C1261EE" w14:textId="77777777" w:rsidR="00A4096A" w:rsidRPr="00F33674" w:rsidRDefault="00A4096A" w:rsidP="00A74C03">
            <w:pPr>
              <w:rPr>
                <w:rFonts w:ascii="Arial Narrow" w:hAnsi="Arial Narrow" w:cs="Arial"/>
                <w:i/>
                <w:sz w:val="20"/>
                <w:szCs w:val="20"/>
              </w:rPr>
            </w:pPr>
            <w:r w:rsidRPr="00F33674">
              <w:rPr>
                <w:rFonts w:ascii="Arial Narrow" w:hAnsi="Arial Narrow" w:cs="Arial"/>
                <w:i/>
                <w:sz w:val="20"/>
                <w:szCs w:val="20"/>
              </w:rPr>
              <w:fldChar w:fldCharType="begin">
                <w:ffData>
                  <w:name w:val="Check1"/>
                  <w:enabled/>
                  <w:calcOnExit w:val="0"/>
                  <w:checkBox>
                    <w:sizeAuto/>
                    <w:default w:val="1"/>
                  </w:checkBox>
                </w:ffData>
              </w:fldChar>
            </w:r>
            <w:r w:rsidRPr="00F33674">
              <w:rPr>
                <w:rFonts w:ascii="Arial Narrow" w:hAnsi="Arial Narrow" w:cs="Arial"/>
                <w:i/>
                <w:sz w:val="20"/>
                <w:szCs w:val="20"/>
              </w:rPr>
              <w:instrText xml:space="preserve"> FORMCHECKBOX </w:instrText>
            </w:r>
            <w:r w:rsidR="00233D13">
              <w:rPr>
                <w:rFonts w:ascii="Arial Narrow" w:hAnsi="Arial Narrow" w:cs="Arial"/>
                <w:i/>
                <w:sz w:val="20"/>
                <w:szCs w:val="20"/>
              </w:rPr>
            </w:r>
            <w:r w:rsidR="00233D13">
              <w:rPr>
                <w:rFonts w:ascii="Arial Narrow" w:hAnsi="Arial Narrow" w:cs="Arial"/>
                <w:i/>
                <w:sz w:val="20"/>
                <w:szCs w:val="20"/>
              </w:rPr>
              <w:fldChar w:fldCharType="separate"/>
            </w:r>
            <w:r w:rsidRPr="00F33674">
              <w:rPr>
                <w:rFonts w:ascii="Arial Narrow" w:hAnsi="Arial Narrow" w:cs="Arial"/>
                <w:i/>
                <w:sz w:val="20"/>
                <w:szCs w:val="20"/>
              </w:rPr>
              <w:fldChar w:fldCharType="end"/>
            </w:r>
            <w:r w:rsidRPr="00F33674">
              <w:rPr>
                <w:rFonts w:ascii="Arial Narrow" w:hAnsi="Arial Narrow" w:cs="Arial"/>
                <w:sz w:val="20"/>
                <w:szCs w:val="20"/>
              </w:rPr>
              <w:t>Restricted benefit</w:t>
            </w:r>
          </w:p>
          <w:p w14:paraId="2843CD84" w14:textId="77777777" w:rsidR="00A4096A" w:rsidRPr="00F33674" w:rsidRDefault="00A4096A" w:rsidP="00A74C03">
            <w:pPr>
              <w:rPr>
                <w:rFonts w:ascii="Arial Narrow" w:hAnsi="Arial Narrow" w:cs="Arial"/>
                <w:sz w:val="20"/>
                <w:szCs w:val="20"/>
              </w:rPr>
            </w:pPr>
            <w:r w:rsidRPr="00F33674">
              <w:rPr>
                <w:rFonts w:ascii="Arial Narrow" w:hAnsi="Arial Narrow" w:cs="Arial"/>
                <w:sz w:val="20"/>
                <w:szCs w:val="20"/>
              </w:rPr>
              <w:fldChar w:fldCharType="begin">
                <w:ffData>
                  <w:name w:val=""/>
                  <w:enabled/>
                  <w:calcOnExit w:val="0"/>
                  <w:checkBox>
                    <w:sizeAuto/>
                    <w:default w:val="0"/>
                  </w:checkBox>
                </w:ffData>
              </w:fldChar>
            </w:r>
            <w:r w:rsidRPr="00F33674">
              <w:rPr>
                <w:rFonts w:ascii="Arial Narrow" w:hAnsi="Arial Narrow" w:cs="Arial"/>
                <w:sz w:val="20"/>
                <w:szCs w:val="20"/>
              </w:rPr>
              <w:instrText xml:space="preserve"> FORMCHECKBOX </w:instrText>
            </w:r>
            <w:r w:rsidR="00233D13">
              <w:rPr>
                <w:rFonts w:ascii="Arial Narrow" w:hAnsi="Arial Narrow" w:cs="Arial"/>
                <w:sz w:val="20"/>
                <w:szCs w:val="20"/>
              </w:rPr>
            </w:r>
            <w:r w:rsidR="00233D13">
              <w:rPr>
                <w:rFonts w:ascii="Arial Narrow" w:hAnsi="Arial Narrow" w:cs="Arial"/>
                <w:sz w:val="20"/>
                <w:szCs w:val="20"/>
              </w:rPr>
              <w:fldChar w:fldCharType="separate"/>
            </w:r>
            <w:r w:rsidRPr="00F33674">
              <w:rPr>
                <w:rFonts w:ascii="Arial Narrow" w:hAnsi="Arial Narrow" w:cs="Arial"/>
                <w:sz w:val="20"/>
                <w:szCs w:val="20"/>
              </w:rPr>
              <w:fldChar w:fldCharType="end"/>
            </w:r>
            <w:r w:rsidRPr="00F33674">
              <w:rPr>
                <w:rFonts w:ascii="Arial Narrow" w:hAnsi="Arial Narrow" w:cs="Arial"/>
                <w:sz w:val="20"/>
                <w:szCs w:val="20"/>
              </w:rPr>
              <w:t>Authority Required – In Writing</w:t>
            </w:r>
          </w:p>
          <w:p w14:paraId="4C300390" w14:textId="77777777" w:rsidR="00A4096A" w:rsidRPr="00F33674" w:rsidRDefault="00A4096A" w:rsidP="00A74C03">
            <w:pPr>
              <w:rPr>
                <w:rFonts w:ascii="Arial Narrow" w:hAnsi="Arial Narrow" w:cs="Arial"/>
                <w:sz w:val="20"/>
                <w:szCs w:val="20"/>
              </w:rPr>
            </w:pPr>
            <w:r w:rsidRPr="00F33674">
              <w:rPr>
                <w:rFonts w:ascii="Arial Narrow" w:hAnsi="Arial Narrow" w:cs="Arial"/>
                <w:sz w:val="20"/>
                <w:szCs w:val="20"/>
              </w:rPr>
              <w:fldChar w:fldCharType="begin">
                <w:ffData>
                  <w:name w:val="Check3"/>
                  <w:enabled/>
                  <w:calcOnExit w:val="0"/>
                  <w:checkBox>
                    <w:sizeAuto/>
                    <w:default w:val="0"/>
                  </w:checkBox>
                </w:ffData>
              </w:fldChar>
            </w:r>
            <w:r w:rsidRPr="00F33674">
              <w:rPr>
                <w:rFonts w:ascii="Arial Narrow" w:hAnsi="Arial Narrow" w:cs="Arial"/>
                <w:sz w:val="20"/>
                <w:szCs w:val="20"/>
              </w:rPr>
              <w:instrText xml:space="preserve"> FORMCHECKBOX </w:instrText>
            </w:r>
            <w:r w:rsidR="00233D13">
              <w:rPr>
                <w:rFonts w:ascii="Arial Narrow" w:hAnsi="Arial Narrow" w:cs="Arial"/>
                <w:sz w:val="20"/>
                <w:szCs w:val="20"/>
              </w:rPr>
            </w:r>
            <w:r w:rsidR="00233D13">
              <w:rPr>
                <w:rFonts w:ascii="Arial Narrow" w:hAnsi="Arial Narrow" w:cs="Arial"/>
                <w:sz w:val="20"/>
                <w:szCs w:val="20"/>
              </w:rPr>
              <w:fldChar w:fldCharType="separate"/>
            </w:r>
            <w:r w:rsidRPr="00F33674">
              <w:rPr>
                <w:rFonts w:ascii="Arial Narrow" w:hAnsi="Arial Narrow" w:cs="Arial"/>
                <w:sz w:val="20"/>
                <w:szCs w:val="20"/>
              </w:rPr>
              <w:fldChar w:fldCharType="end"/>
            </w:r>
            <w:r w:rsidRPr="00F33674">
              <w:rPr>
                <w:rFonts w:ascii="Arial Narrow" w:hAnsi="Arial Narrow" w:cs="Arial"/>
                <w:sz w:val="20"/>
                <w:szCs w:val="20"/>
              </w:rPr>
              <w:t>Authority Required – Telephone/Electronic/Emergency</w:t>
            </w:r>
          </w:p>
          <w:p w14:paraId="69059782" w14:textId="77777777" w:rsidR="00A4096A" w:rsidRPr="00F33674" w:rsidRDefault="00A4096A" w:rsidP="00A74C03">
            <w:pPr>
              <w:rPr>
                <w:rFonts w:ascii="Arial Narrow" w:hAnsi="Arial Narrow" w:cs="Arial"/>
                <w:sz w:val="20"/>
                <w:szCs w:val="20"/>
              </w:rPr>
            </w:pPr>
            <w:r w:rsidRPr="00F33674">
              <w:rPr>
                <w:rFonts w:ascii="Arial Narrow" w:hAnsi="Arial Narrow" w:cs="Arial"/>
                <w:sz w:val="20"/>
                <w:szCs w:val="20"/>
              </w:rPr>
              <w:fldChar w:fldCharType="begin">
                <w:ffData>
                  <w:name w:val="Check5"/>
                  <w:enabled/>
                  <w:calcOnExit w:val="0"/>
                  <w:checkBox>
                    <w:sizeAuto/>
                    <w:default w:val="0"/>
                  </w:checkBox>
                </w:ffData>
              </w:fldChar>
            </w:r>
            <w:r w:rsidRPr="00F33674">
              <w:rPr>
                <w:rFonts w:ascii="Arial Narrow" w:hAnsi="Arial Narrow" w:cs="Arial"/>
                <w:sz w:val="20"/>
                <w:szCs w:val="20"/>
              </w:rPr>
              <w:instrText xml:space="preserve"> FORMCHECKBOX </w:instrText>
            </w:r>
            <w:r w:rsidR="00233D13">
              <w:rPr>
                <w:rFonts w:ascii="Arial Narrow" w:hAnsi="Arial Narrow" w:cs="Arial"/>
                <w:sz w:val="20"/>
                <w:szCs w:val="20"/>
              </w:rPr>
            </w:r>
            <w:r w:rsidR="00233D13">
              <w:rPr>
                <w:rFonts w:ascii="Arial Narrow" w:hAnsi="Arial Narrow" w:cs="Arial"/>
                <w:sz w:val="20"/>
                <w:szCs w:val="20"/>
              </w:rPr>
              <w:fldChar w:fldCharType="separate"/>
            </w:r>
            <w:r w:rsidRPr="00F33674">
              <w:rPr>
                <w:rFonts w:ascii="Arial Narrow" w:hAnsi="Arial Narrow" w:cs="Arial"/>
                <w:sz w:val="20"/>
                <w:szCs w:val="20"/>
              </w:rPr>
              <w:fldChar w:fldCharType="end"/>
            </w:r>
            <w:r w:rsidRPr="00F33674">
              <w:rPr>
                <w:rFonts w:ascii="Arial Narrow" w:hAnsi="Arial Narrow" w:cs="Arial"/>
                <w:sz w:val="20"/>
                <w:szCs w:val="20"/>
              </w:rPr>
              <w:t>Streamlined</w:t>
            </w:r>
          </w:p>
        </w:tc>
      </w:tr>
      <w:tr w:rsidR="00A4096A" w:rsidRPr="00F33674" w14:paraId="4EB6D1F2" w14:textId="77777777" w:rsidTr="00A74C03">
        <w:trPr>
          <w:cantSplit/>
          <w:trHeight w:val="360"/>
        </w:trPr>
        <w:tc>
          <w:tcPr>
            <w:tcW w:w="2835" w:type="dxa"/>
            <w:tcBorders>
              <w:top w:val="single" w:sz="4" w:space="0" w:color="auto"/>
              <w:left w:val="single" w:sz="4" w:space="0" w:color="auto"/>
              <w:bottom w:val="single" w:sz="4" w:space="0" w:color="auto"/>
              <w:right w:val="single" w:sz="4" w:space="0" w:color="auto"/>
            </w:tcBorders>
          </w:tcPr>
          <w:p w14:paraId="02F43AB6" w14:textId="77777777" w:rsidR="00A4096A" w:rsidRPr="00F33674" w:rsidRDefault="00A4096A" w:rsidP="00A74C03">
            <w:pPr>
              <w:rPr>
                <w:rFonts w:ascii="Arial Narrow" w:hAnsi="Arial Narrow" w:cs="Arial"/>
                <w:b/>
                <w:sz w:val="20"/>
                <w:szCs w:val="20"/>
              </w:rPr>
            </w:pPr>
            <w:r>
              <w:rPr>
                <w:rFonts w:ascii="Arial Narrow" w:hAnsi="Arial Narrow" w:cs="Arial"/>
                <w:b/>
                <w:sz w:val="20"/>
                <w:szCs w:val="20"/>
              </w:rPr>
              <w:t>Treatment phase:</w:t>
            </w:r>
          </w:p>
        </w:tc>
        <w:tc>
          <w:tcPr>
            <w:tcW w:w="6379" w:type="dxa"/>
            <w:tcBorders>
              <w:top w:val="single" w:sz="4" w:space="0" w:color="auto"/>
              <w:left w:val="single" w:sz="4" w:space="0" w:color="auto"/>
              <w:bottom w:val="single" w:sz="4" w:space="0" w:color="auto"/>
              <w:right w:val="single" w:sz="4" w:space="0" w:color="auto"/>
            </w:tcBorders>
          </w:tcPr>
          <w:p w14:paraId="6E7D0F0A" w14:textId="660AFB3A" w:rsidR="00A4096A" w:rsidRPr="00F33674" w:rsidRDefault="00A4096A">
            <w:pPr>
              <w:jc w:val="left"/>
              <w:rPr>
                <w:rFonts w:ascii="Arial Narrow" w:hAnsi="Arial Narrow" w:cs="Arial"/>
                <w:sz w:val="20"/>
                <w:szCs w:val="20"/>
              </w:rPr>
            </w:pPr>
            <w:r w:rsidRPr="00E008AF">
              <w:rPr>
                <w:rFonts w:ascii="Arial Narrow" w:hAnsi="Arial Narrow" w:cs="Arial"/>
                <w:sz w:val="20"/>
                <w:szCs w:val="20"/>
              </w:rPr>
              <w:t xml:space="preserve">Initial PBS treatment after 1 June 2020 where patient has been treated with opioids for </w:t>
            </w:r>
            <w:r>
              <w:rPr>
                <w:rFonts w:ascii="Arial Narrow" w:hAnsi="Arial Narrow" w:cs="Arial"/>
                <w:sz w:val="20"/>
                <w:szCs w:val="20"/>
              </w:rPr>
              <w:t>more</w:t>
            </w:r>
            <w:r w:rsidRPr="00E008AF">
              <w:rPr>
                <w:rFonts w:ascii="Arial Narrow" w:hAnsi="Arial Narrow" w:cs="Arial"/>
                <w:sz w:val="20"/>
                <w:szCs w:val="20"/>
              </w:rPr>
              <w:t xml:space="preserve"> than 12 months</w:t>
            </w:r>
          </w:p>
        </w:tc>
      </w:tr>
      <w:tr w:rsidR="00A4096A" w:rsidRPr="00F33674" w14:paraId="38347D59" w14:textId="77777777" w:rsidTr="00A74C03">
        <w:trPr>
          <w:cantSplit/>
          <w:trHeight w:val="360"/>
        </w:trPr>
        <w:tc>
          <w:tcPr>
            <w:tcW w:w="2835" w:type="dxa"/>
            <w:tcBorders>
              <w:top w:val="single" w:sz="4" w:space="0" w:color="auto"/>
              <w:left w:val="single" w:sz="4" w:space="0" w:color="auto"/>
              <w:bottom w:val="single" w:sz="4" w:space="0" w:color="auto"/>
              <w:right w:val="single" w:sz="4" w:space="0" w:color="auto"/>
            </w:tcBorders>
          </w:tcPr>
          <w:p w14:paraId="56A0FD44" w14:textId="77777777" w:rsidR="00A4096A" w:rsidRPr="00F33674" w:rsidRDefault="00A4096A" w:rsidP="00A74C03">
            <w:pPr>
              <w:rPr>
                <w:rFonts w:ascii="Arial Narrow" w:hAnsi="Arial Narrow" w:cs="Arial"/>
                <w:b/>
                <w:sz w:val="20"/>
                <w:szCs w:val="20"/>
              </w:rPr>
            </w:pPr>
            <w:r w:rsidRPr="00F33674">
              <w:rPr>
                <w:rFonts w:ascii="Arial Narrow" w:hAnsi="Arial Narrow" w:cs="Arial"/>
                <w:b/>
                <w:sz w:val="20"/>
                <w:szCs w:val="20"/>
              </w:rPr>
              <w:lastRenderedPageBreak/>
              <w:t>Clinical criteria:</w:t>
            </w:r>
          </w:p>
        </w:tc>
        <w:tc>
          <w:tcPr>
            <w:tcW w:w="6379" w:type="dxa"/>
            <w:tcBorders>
              <w:top w:val="single" w:sz="4" w:space="0" w:color="auto"/>
              <w:left w:val="single" w:sz="4" w:space="0" w:color="auto"/>
              <w:bottom w:val="single" w:sz="4" w:space="0" w:color="auto"/>
              <w:right w:val="single" w:sz="4" w:space="0" w:color="auto"/>
            </w:tcBorders>
          </w:tcPr>
          <w:p w14:paraId="7920F710" w14:textId="77777777" w:rsidR="00A4096A" w:rsidRPr="00F33674" w:rsidRDefault="00A4096A" w:rsidP="00A74C03">
            <w:pPr>
              <w:jc w:val="left"/>
              <w:rPr>
                <w:rFonts w:ascii="Arial Narrow" w:hAnsi="Arial Narrow" w:cs="Arial"/>
                <w:sz w:val="20"/>
                <w:szCs w:val="20"/>
              </w:rPr>
            </w:pPr>
            <w:r w:rsidRPr="00F33674">
              <w:rPr>
                <w:rFonts w:ascii="Arial Narrow" w:hAnsi="Arial Narrow" w:cs="Arial"/>
                <w:sz w:val="20"/>
                <w:szCs w:val="20"/>
              </w:rPr>
              <w:t>[new] Patient must have</w:t>
            </w:r>
            <w:r>
              <w:rPr>
                <w:rFonts w:ascii="Arial Narrow" w:hAnsi="Arial Narrow" w:cs="Arial"/>
                <w:sz w:val="20"/>
                <w:szCs w:val="20"/>
              </w:rPr>
              <w:t xml:space="preserve"> had or would have</w:t>
            </w:r>
            <w:r w:rsidRPr="00F33674">
              <w:rPr>
                <w:rFonts w:ascii="Arial Narrow" w:hAnsi="Arial Narrow" w:cs="Arial"/>
                <w:sz w:val="20"/>
                <w:szCs w:val="20"/>
              </w:rPr>
              <w:t xml:space="preserve"> inadequate </w:t>
            </w:r>
            <w:r>
              <w:rPr>
                <w:rFonts w:ascii="Arial Narrow" w:hAnsi="Arial Narrow" w:cs="Arial"/>
                <w:sz w:val="20"/>
                <w:szCs w:val="20"/>
              </w:rPr>
              <w:t xml:space="preserve">pain </w:t>
            </w:r>
            <w:r w:rsidRPr="00F33674">
              <w:rPr>
                <w:rFonts w:ascii="Arial Narrow" w:hAnsi="Arial Narrow" w:cs="Arial"/>
                <w:sz w:val="20"/>
                <w:szCs w:val="20"/>
              </w:rPr>
              <w:t>management</w:t>
            </w:r>
            <w:r>
              <w:rPr>
                <w:rFonts w:ascii="Arial Narrow" w:hAnsi="Arial Narrow" w:cs="Arial"/>
                <w:sz w:val="20"/>
                <w:szCs w:val="20"/>
              </w:rPr>
              <w:t xml:space="preserve"> with</w:t>
            </w:r>
            <w:r w:rsidRPr="00F33674">
              <w:rPr>
                <w:rFonts w:ascii="Arial Narrow" w:hAnsi="Arial Narrow" w:cs="Arial"/>
                <w:sz w:val="20"/>
                <w:szCs w:val="20"/>
              </w:rPr>
              <w:t xml:space="preserve"> maximum tolerated doses of non-opioid and other opioid analgesics</w:t>
            </w:r>
          </w:p>
          <w:p w14:paraId="00B30718" w14:textId="77777777" w:rsidR="00A4096A" w:rsidRPr="00F33674" w:rsidRDefault="00A4096A" w:rsidP="00A74C03">
            <w:pPr>
              <w:jc w:val="left"/>
              <w:rPr>
                <w:rFonts w:ascii="Arial Narrow" w:hAnsi="Arial Narrow" w:cs="Arial"/>
                <w:sz w:val="20"/>
                <w:szCs w:val="20"/>
              </w:rPr>
            </w:pPr>
          </w:p>
          <w:p w14:paraId="6F23D4F2" w14:textId="77777777" w:rsidR="00A4096A" w:rsidRPr="00F33674" w:rsidRDefault="00A4096A" w:rsidP="00A74C03">
            <w:pPr>
              <w:jc w:val="left"/>
              <w:rPr>
                <w:rFonts w:ascii="Arial Narrow" w:hAnsi="Arial Narrow" w:cs="Arial"/>
                <w:sz w:val="20"/>
                <w:szCs w:val="20"/>
              </w:rPr>
            </w:pPr>
            <w:r w:rsidRPr="00F33674">
              <w:rPr>
                <w:rFonts w:ascii="Arial Narrow" w:hAnsi="Arial Narrow" w:cs="Arial"/>
                <w:sz w:val="20"/>
                <w:szCs w:val="20"/>
              </w:rPr>
              <w:t>OR</w:t>
            </w:r>
          </w:p>
          <w:p w14:paraId="4CAD2EB7" w14:textId="77777777" w:rsidR="00A4096A" w:rsidRPr="00F33674" w:rsidRDefault="00A4096A" w:rsidP="00A74C03">
            <w:pPr>
              <w:jc w:val="left"/>
              <w:rPr>
                <w:rFonts w:ascii="Arial Narrow" w:hAnsi="Arial Narrow" w:cs="Arial"/>
                <w:sz w:val="20"/>
                <w:szCs w:val="20"/>
              </w:rPr>
            </w:pPr>
          </w:p>
          <w:p w14:paraId="2AE60FF4" w14:textId="77777777" w:rsidR="00A4096A" w:rsidRPr="00F33674" w:rsidRDefault="00A4096A" w:rsidP="00A74C03">
            <w:pPr>
              <w:jc w:val="left"/>
              <w:rPr>
                <w:rFonts w:ascii="Arial Narrow" w:hAnsi="Arial Narrow" w:cs="Arial"/>
                <w:sz w:val="20"/>
                <w:szCs w:val="20"/>
              </w:rPr>
            </w:pPr>
            <w:r w:rsidRPr="00F33674">
              <w:rPr>
                <w:rFonts w:ascii="Arial Narrow" w:hAnsi="Arial Narrow" w:cs="Arial"/>
                <w:sz w:val="20"/>
                <w:szCs w:val="20"/>
              </w:rPr>
              <w:t>[new] Patient must be unable to use non-opioid and other opioid analgesics due to contraindications or intolerance</w:t>
            </w:r>
          </w:p>
          <w:p w14:paraId="56FEC594" w14:textId="77777777" w:rsidR="00A4096A" w:rsidRPr="00F33674" w:rsidRDefault="00A4096A" w:rsidP="00A74C03">
            <w:pPr>
              <w:jc w:val="left"/>
              <w:rPr>
                <w:rFonts w:ascii="Arial Narrow" w:hAnsi="Arial Narrow" w:cs="Arial"/>
                <w:sz w:val="20"/>
                <w:szCs w:val="20"/>
              </w:rPr>
            </w:pPr>
          </w:p>
          <w:p w14:paraId="06EE929D" w14:textId="77777777" w:rsidR="00A4096A" w:rsidRPr="00F33674" w:rsidRDefault="00A4096A" w:rsidP="00A74C03">
            <w:pPr>
              <w:jc w:val="left"/>
              <w:rPr>
                <w:rFonts w:ascii="Arial Narrow" w:hAnsi="Arial Narrow" w:cs="Arial"/>
                <w:sz w:val="20"/>
                <w:szCs w:val="20"/>
              </w:rPr>
            </w:pPr>
            <w:r w:rsidRPr="00F33674">
              <w:rPr>
                <w:rFonts w:ascii="Arial Narrow" w:hAnsi="Arial Narrow" w:cs="Arial"/>
                <w:sz w:val="20"/>
                <w:szCs w:val="20"/>
              </w:rPr>
              <w:t>OR</w:t>
            </w:r>
          </w:p>
          <w:p w14:paraId="097B4E55" w14:textId="77777777" w:rsidR="00A4096A" w:rsidRPr="00F33674" w:rsidRDefault="00A4096A" w:rsidP="00A74C03">
            <w:pPr>
              <w:jc w:val="left"/>
              <w:rPr>
                <w:rFonts w:ascii="Arial Narrow" w:hAnsi="Arial Narrow" w:cs="Arial"/>
                <w:sz w:val="20"/>
                <w:szCs w:val="20"/>
              </w:rPr>
            </w:pPr>
          </w:p>
          <w:p w14:paraId="5A78B652" w14:textId="77777777" w:rsidR="00A4096A" w:rsidRPr="00F33674" w:rsidRDefault="00A4096A" w:rsidP="00A74C03">
            <w:pPr>
              <w:jc w:val="left"/>
              <w:rPr>
                <w:rFonts w:ascii="Arial Narrow" w:hAnsi="Arial Narrow" w:cs="Arial"/>
                <w:sz w:val="20"/>
                <w:szCs w:val="20"/>
              </w:rPr>
            </w:pPr>
            <w:r w:rsidRPr="00F33674">
              <w:rPr>
                <w:rFonts w:ascii="Arial Narrow" w:hAnsi="Arial Narrow" w:cs="Arial"/>
                <w:sz w:val="20"/>
                <w:szCs w:val="20"/>
              </w:rPr>
              <w:t>[new] The treatment must be part of pre-operative care</w:t>
            </w:r>
          </w:p>
          <w:p w14:paraId="63F73E68" w14:textId="77777777" w:rsidR="00A4096A" w:rsidRPr="00F33674" w:rsidRDefault="00A4096A" w:rsidP="00A74C03">
            <w:pPr>
              <w:jc w:val="left"/>
              <w:rPr>
                <w:rFonts w:ascii="Arial Narrow" w:hAnsi="Arial Narrow" w:cs="Arial"/>
                <w:sz w:val="20"/>
                <w:szCs w:val="20"/>
              </w:rPr>
            </w:pPr>
          </w:p>
          <w:p w14:paraId="1F21F4B9" w14:textId="77777777" w:rsidR="00A4096A" w:rsidRPr="00F33674" w:rsidRDefault="00A4096A" w:rsidP="00A74C03">
            <w:pPr>
              <w:jc w:val="left"/>
              <w:rPr>
                <w:rFonts w:ascii="Arial Narrow" w:hAnsi="Arial Narrow" w:cs="Arial"/>
                <w:sz w:val="20"/>
                <w:szCs w:val="20"/>
              </w:rPr>
            </w:pPr>
            <w:r w:rsidRPr="00F33674">
              <w:rPr>
                <w:rFonts w:ascii="Arial Narrow" w:hAnsi="Arial Narrow" w:cs="Arial"/>
                <w:sz w:val="20"/>
                <w:szCs w:val="20"/>
              </w:rPr>
              <w:t>OR</w:t>
            </w:r>
          </w:p>
          <w:p w14:paraId="74B627FC" w14:textId="77777777" w:rsidR="00A4096A" w:rsidRPr="00F33674" w:rsidRDefault="00A4096A" w:rsidP="00A74C03">
            <w:pPr>
              <w:jc w:val="left"/>
              <w:rPr>
                <w:rFonts w:ascii="Arial Narrow" w:hAnsi="Arial Narrow" w:cs="Arial"/>
                <w:sz w:val="20"/>
                <w:szCs w:val="20"/>
              </w:rPr>
            </w:pPr>
          </w:p>
          <w:p w14:paraId="0B28D307" w14:textId="77777777" w:rsidR="00A4096A" w:rsidRPr="00F33674" w:rsidRDefault="00A4096A" w:rsidP="00A74C03">
            <w:pPr>
              <w:jc w:val="left"/>
              <w:rPr>
                <w:rFonts w:ascii="Arial Narrow" w:hAnsi="Arial Narrow" w:cs="Arial"/>
                <w:color w:val="FF0000"/>
                <w:sz w:val="20"/>
                <w:szCs w:val="20"/>
              </w:rPr>
            </w:pPr>
            <w:r w:rsidRPr="00F33674">
              <w:rPr>
                <w:rFonts w:ascii="Arial Narrow" w:hAnsi="Arial Narrow" w:cs="Arial"/>
                <w:sz w:val="20"/>
                <w:szCs w:val="20"/>
              </w:rPr>
              <w:t xml:space="preserve">[new] The treatment </w:t>
            </w:r>
            <w:proofErr w:type="gramStart"/>
            <w:r w:rsidRPr="00F33674">
              <w:rPr>
                <w:rFonts w:ascii="Arial Narrow" w:hAnsi="Arial Narrow" w:cs="Arial"/>
                <w:sz w:val="20"/>
                <w:szCs w:val="20"/>
              </w:rPr>
              <w:t>must be used</w:t>
            </w:r>
            <w:proofErr w:type="gramEnd"/>
            <w:r w:rsidRPr="00F33674">
              <w:rPr>
                <w:rFonts w:ascii="Arial Narrow" w:hAnsi="Arial Narrow" w:cs="Arial"/>
                <w:sz w:val="20"/>
                <w:szCs w:val="20"/>
              </w:rPr>
              <w:t xml:space="preserve"> as an analgesic adjunct in general anaesthesia.</w:t>
            </w:r>
          </w:p>
        </w:tc>
      </w:tr>
      <w:tr w:rsidR="00A4096A" w:rsidRPr="00F33674" w14:paraId="585F1761" w14:textId="77777777" w:rsidTr="00A74C03">
        <w:trPr>
          <w:cantSplit/>
          <w:trHeight w:val="360"/>
        </w:trPr>
        <w:tc>
          <w:tcPr>
            <w:tcW w:w="2835" w:type="dxa"/>
            <w:tcBorders>
              <w:top w:val="single" w:sz="4" w:space="0" w:color="auto"/>
              <w:left w:val="single" w:sz="4" w:space="0" w:color="auto"/>
              <w:bottom w:val="single" w:sz="4" w:space="0" w:color="auto"/>
              <w:right w:val="single" w:sz="4" w:space="0" w:color="auto"/>
            </w:tcBorders>
          </w:tcPr>
          <w:p w14:paraId="50B995F3" w14:textId="76ECF85E" w:rsidR="00A4096A" w:rsidRPr="00F33674" w:rsidRDefault="00A4096A" w:rsidP="00A4096A">
            <w:pPr>
              <w:rPr>
                <w:rFonts w:ascii="Arial Narrow" w:hAnsi="Arial Narrow" w:cs="Arial"/>
                <w:b/>
                <w:sz w:val="20"/>
                <w:szCs w:val="20"/>
              </w:rPr>
            </w:pPr>
            <w:r w:rsidRPr="00F33674">
              <w:rPr>
                <w:rFonts w:ascii="Arial Narrow" w:hAnsi="Arial Narrow" w:cs="Arial"/>
                <w:b/>
                <w:sz w:val="20"/>
                <w:szCs w:val="20"/>
              </w:rPr>
              <w:t>Prescriber instructions:</w:t>
            </w:r>
          </w:p>
        </w:tc>
        <w:tc>
          <w:tcPr>
            <w:tcW w:w="6379" w:type="dxa"/>
            <w:tcBorders>
              <w:top w:val="single" w:sz="4" w:space="0" w:color="auto"/>
              <w:left w:val="single" w:sz="4" w:space="0" w:color="auto"/>
              <w:bottom w:val="single" w:sz="4" w:space="0" w:color="auto"/>
              <w:right w:val="single" w:sz="4" w:space="0" w:color="auto"/>
            </w:tcBorders>
          </w:tcPr>
          <w:p w14:paraId="5CA2ED89" w14:textId="77777777" w:rsidR="00A4096A" w:rsidRPr="009F3089" w:rsidRDefault="00A4096A" w:rsidP="00A4096A">
            <w:pPr>
              <w:jc w:val="left"/>
              <w:rPr>
                <w:rFonts w:ascii="Arial Narrow" w:hAnsi="Arial Narrow" w:cs="Arial"/>
                <w:sz w:val="20"/>
                <w:szCs w:val="20"/>
              </w:rPr>
            </w:pPr>
            <w:r w:rsidRPr="00F33674">
              <w:rPr>
                <w:rFonts w:ascii="Arial Narrow" w:hAnsi="Arial Narrow" w:cs="Arial"/>
                <w:sz w:val="20"/>
                <w:szCs w:val="20"/>
              </w:rPr>
              <w:t xml:space="preserve">[new] </w:t>
            </w:r>
            <w:r w:rsidRPr="009F3089">
              <w:rPr>
                <w:rFonts w:ascii="Arial Narrow" w:hAnsi="Arial Narrow" w:cs="Arial"/>
                <w:sz w:val="20"/>
                <w:szCs w:val="20"/>
              </w:rPr>
              <w:t>Authorities for increased maximum quantities and/or repeats must only be considered for:</w:t>
            </w:r>
          </w:p>
          <w:p w14:paraId="717F8F96" w14:textId="77777777" w:rsidR="00A4096A" w:rsidRPr="009F3089" w:rsidRDefault="00A4096A" w:rsidP="00A4096A">
            <w:pPr>
              <w:jc w:val="left"/>
              <w:rPr>
                <w:rFonts w:ascii="Arial Narrow" w:hAnsi="Arial Narrow" w:cs="Arial"/>
                <w:sz w:val="20"/>
                <w:szCs w:val="20"/>
              </w:rPr>
            </w:pPr>
            <w:r w:rsidRPr="009F3089">
              <w:rPr>
                <w:rFonts w:ascii="Arial Narrow" w:hAnsi="Arial Narrow" w:cs="Arial"/>
                <w:sz w:val="20"/>
                <w:szCs w:val="20"/>
              </w:rPr>
              <w:t>(i) severe disabling pain associated with proven malignant neoplasia; or</w:t>
            </w:r>
          </w:p>
          <w:p w14:paraId="45B46022" w14:textId="77777777" w:rsidR="00A4096A" w:rsidRPr="009F3089" w:rsidRDefault="00A4096A" w:rsidP="00A4096A">
            <w:pPr>
              <w:jc w:val="left"/>
              <w:rPr>
                <w:rFonts w:ascii="Arial Narrow" w:hAnsi="Arial Narrow" w:cs="Arial"/>
                <w:sz w:val="20"/>
                <w:szCs w:val="20"/>
              </w:rPr>
            </w:pPr>
            <w:r w:rsidRPr="009F3089">
              <w:rPr>
                <w:rFonts w:ascii="Arial Narrow" w:hAnsi="Arial Narrow" w:cs="Arial"/>
                <w:sz w:val="20"/>
                <w:szCs w:val="20"/>
              </w:rPr>
              <w:t>(ii) palliative care patients with chronic severe disabling pain where the total duration of non-PBS and PBS opioid analgesic treatment exceeds 12 months and the patient is unable to have annual pain management review due to their clinical condition; or</w:t>
            </w:r>
          </w:p>
          <w:p w14:paraId="33D8CEE5" w14:textId="77777777" w:rsidR="00A4096A" w:rsidRPr="009F3089" w:rsidRDefault="00A4096A" w:rsidP="00A4096A">
            <w:pPr>
              <w:jc w:val="left"/>
              <w:rPr>
                <w:rFonts w:ascii="Arial Narrow" w:hAnsi="Arial Narrow" w:cs="Arial"/>
                <w:sz w:val="20"/>
                <w:szCs w:val="20"/>
              </w:rPr>
            </w:pPr>
            <w:r w:rsidRPr="009F3089">
              <w:rPr>
                <w:rFonts w:ascii="Arial Narrow" w:hAnsi="Arial Narrow" w:cs="Arial"/>
                <w:sz w:val="20"/>
                <w:szCs w:val="20"/>
              </w:rPr>
              <w:t>(iii) chronic severe disabling pain where the total duration of non-PBS and PBS opioid analgesic treatment exceeds 12 months and the patient's clinical need for continuing opioid treatment has been confirmed through consultation with the patient by another medical practitioner or a palliative care nurse practitioner in the past 12 months; or</w:t>
            </w:r>
          </w:p>
          <w:p w14:paraId="1F85F92A" w14:textId="77777777" w:rsidR="00A4096A" w:rsidRDefault="00A4096A" w:rsidP="00A4096A">
            <w:pPr>
              <w:jc w:val="left"/>
              <w:rPr>
                <w:rFonts w:ascii="Arial Narrow" w:hAnsi="Arial Narrow" w:cs="Arial"/>
                <w:sz w:val="20"/>
                <w:szCs w:val="20"/>
              </w:rPr>
            </w:pPr>
            <w:proofErr w:type="gramStart"/>
            <w:r w:rsidRPr="009F3089">
              <w:rPr>
                <w:rFonts w:ascii="Arial Narrow" w:hAnsi="Arial Narrow" w:cs="Arial"/>
                <w:sz w:val="20"/>
                <w:szCs w:val="20"/>
              </w:rPr>
              <w:t>(iv) chronic severe disabling pain where the total duration of non-PBS and PBS opioid analgesic treatment has exceeded 12 months prior to 1 June 2020 and the patient's clinical need for continuing opioid treatment has not been confirmed through consultation with the patient by another medical practitioner or a palliative care nurse practitioner in the past 12 months, but is planned in the next 3 months</w:t>
            </w:r>
            <w:r>
              <w:rPr>
                <w:rFonts w:ascii="Arial Narrow" w:hAnsi="Arial Narrow" w:cs="Arial"/>
                <w:sz w:val="20"/>
                <w:szCs w:val="20"/>
              </w:rPr>
              <w:t>.</w:t>
            </w:r>
            <w:proofErr w:type="gramEnd"/>
          </w:p>
          <w:p w14:paraId="71B48F28" w14:textId="77777777" w:rsidR="00A4096A" w:rsidRDefault="00A4096A" w:rsidP="00A4096A">
            <w:pPr>
              <w:jc w:val="left"/>
              <w:rPr>
                <w:rFonts w:ascii="Arial Narrow" w:hAnsi="Arial Narrow" w:cs="Arial"/>
                <w:sz w:val="20"/>
                <w:szCs w:val="20"/>
              </w:rPr>
            </w:pPr>
          </w:p>
          <w:p w14:paraId="36E4D5A3" w14:textId="77777777" w:rsidR="00A4096A" w:rsidRPr="00F33674" w:rsidRDefault="00A4096A" w:rsidP="00A4096A">
            <w:pPr>
              <w:jc w:val="left"/>
              <w:rPr>
                <w:rFonts w:ascii="Arial Narrow" w:hAnsi="Arial Narrow" w:cs="Arial"/>
                <w:sz w:val="20"/>
                <w:szCs w:val="20"/>
              </w:rPr>
            </w:pPr>
            <w:r>
              <w:rPr>
                <w:rFonts w:ascii="Arial Narrow" w:hAnsi="Arial Narrow" w:cs="Arial"/>
                <w:sz w:val="20"/>
                <w:szCs w:val="20"/>
              </w:rPr>
              <w:t xml:space="preserve">[new] </w:t>
            </w:r>
            <w:r w:rsidRPr="009F3089">
              <w:rPr>
                <w:rFonts w:ascii="Arial Narrow" w:hAnsi="Arial Narrow" w:cs="Arial"/>
                <w:sz w:val="20"/>
                <w:szCs w:val="20"/>
              </w:rPr>
              <w:t>Palliative care nurses may conduct annual review under this item for the treatment of palliative care patients only.</w:t>
            </w:r>
          </w:p>
          <w:p w14:paraId="03E49B78" w14:textId="77777777" w:rsidR="00A4096A" w:rsidRPr="00F33674" w:rsidRDefault="00A4096A" w:rsidP="00A4096A">
            <w:pPr>
              <w:jc w:val="left"/>
              <w:rPr>
                <w:rFonts w:ascii="Arial Narrow" w:hAnsi="Arial Narrow" w:cs="Arial"/>
                <w:sz w:val="20"/>
                <w:szCs w:val="20"/>
              </w:rPr>
            </w:pPr>
          </w:p>
          <w:p w14:paraId="742D087B" w14:textId="77777777" w:rsidR="00A4096A" w:rsidRPr="00F33674" w:rsidRDefault="00A4096A" w:rsidP="00A4096A">
            <w:pPr>
              <w:jc w:val="left"/>
              <w:rPr>
                <w:rFonts w:ascii="Arial Narrow" w:hAnsi="Arial Narrow" w:cs="Arial"/>
                <w:sz w:val="20"/>
                <w:szCs w:val="20"/>
              </w:rPr>
            </w:pPr>
            <w:r w:rsidRPr="00F33674">
              <w:rPr>
                <w:rFonts w:ascii="Arial Narrow" w:hAnsi="Arial Narrow" w:cs="Arial"/>
                <w:sz w:val="20"/>
                <w:szCs w:val="20"/>
              </w:rPr>
              <w:t>[new] Authority requests extending treatment duration up to 1 month may be requested though the Online PBS Authorities system or by calling Services Australia.</w:t>
            </w:r>
          </w:p>
          <w:p w14:paraId="7EAB583B" w14:textId="77777777" w:rsidR="00A4096A" w:rsidRPr="00F33674" w:rsidRDefault="00A4096A" w:rsidP="00A4096A">
            <w:pPr>
              <w:jc w:val="left"/>
              <w:rPr>
                <w:rFonts w:ascii="Arial Narrow" w:hAnsi="Arial Narrow" w:cs="Arial"/>
                <w:sz w:val="20"/>
                <w:szCs w:val="20"/>
              </w:rPr>
            </w:pPr>
          </w:p>
          <w:p w14:paraId="60F2A98B" w14:textId="0E64D1E3" w:rsidR="00A4096A" w:rsidRPr="00F33674" w:rsidRDefault="00A4096A" w:rsidP="00A4096A">
            <w:pPr>
              <w:jc w:val="left"/>
              <w:rPr>
                <w:rFonts w:ascii="Arial Narrow" w:hAnsi="Arial Narrow" w:cs="Arial"/>
                <w:sz w:val="20"/>
                <w:szCs w:val="20"/>
              </w:rPr>
            </w:pPr>
            <w:r w:rsidRPr="00F33674">
              <w:rPr>
                <w:rFonts w:ascii="Arial Narrow" w:hAnsi="Arial Narrow" w:cs="Arial"/>
                <w:sz w:val="20"/>
                <w:szCs w:val="20"/>
              </w:rPr>
              <w:t xml:space="preserve">Authority requests extending treatment duration beyond 1 month </w:t>
            </w:r>
            <w:r w:rsidRPr="00710D93">
              <w:rPr>
                <w:rFonts w:ascii="Arial Narrow" w:hAnsi="Arial Narrow" w:cs="Arial"/>
                <w:sz w:val="20"/>
                <w:szCs w:val="20"/>
              </w:rPr>
              <w:t>may be requested through the Online PBS Authorities system</w:t>
            </w:r>
            <w:r w:rsidRPr="00F33674">
              <w:rPr>
                <w:rFonts w:ascii="Arial Narrow" w:hAnsi="Arial Narrow" w:cs="Arial"/>
                <w:sz w:val="20"/>
                <w:szCs w:val="20"/>
              </w:rPr>
              <w:t xml:space="preserve"> or in writing only and must not provide a treatment duration exceeding 3 months</w:t>
            </w:r>
            <w:r>
              <w:rPr>
                <w:rFonts w:ascii="Arial Narrow" w:hAnsi="Arial Narrow" w:cs="Arial"/>
                <w:sz w:val="20"/>
                <w:szCs w:val="20"/>
              </w:rPr>
              <w:t xml:space="preserve"> </w:t>
            </w:r>
            <w:r w:rsidRPr="00710D93">
              <w:rPr>
                <w:rFonts w:ascii="Arial Narrow" w:hAnsi="Arial Narrow" w:cs="Arial"/>
                <w:sz w:val="20"/>
                <w:szCs w:val="20"/>
              </w:rPr>
              <w:t xml:space="preserve">(quantity sufficient for up to </w:t>
            </w:r>
            <w:proofErr w:type="gramStart"/>
            <w:r w:rsidRPr="00710D93">
              <w:rPr>
                <w:rFonts w:ascii="Arial Narrow" w:hAnsi="Arial Narrow" w:cs="Arial"/>
                <w:sz w:val="20"/>
                <w:szCs w:val="20"/>
              </w:rPr>
              <w:t>1 month</w:t>
            </w:r>
            <w:proofErr w:type="gramEnd"/>
            <w:r w:rsidRPr="00710D93">
              <w:rPr>
                <w:rFonts w:ascii="Arial Narrow" w:hAnsi="Arial Narrow" w:cs="Arial"/>
                <w:sz w:val="20"/>
                <w:szCs w:val="20"/>
              </w:rPr>
              <w:t xml:space="preserve"> treatment and sufficient repeats)</w:t>
            </w:r>
            <w:r w:rsidRPr="00F33674">
              <w:rPr>
                <w:rFonts w:ascii="Arial Narrow" w:hAnsi="Arial Narrow" w:cs="Arial"/>
                <w:sz w:val="20"/>
                <w:szCs w:val="20"/>
              </w:rPr>
              <w:t>.</w:t>
            </w:r>
          </w:p>
        </w:tc>
      </w:tr>
      <w:tr w:rsidR="00A4096A" w:rsidRPr="00F33674" w14:paraId="34E3CEF5" w14:textId="77777777" w:rsidTr="00A74C03">
        <w:trPr>
          <w:cantSplit/>
          <w:trHeight w:val="360"/>
        </w:trPr>
        <w:tc>
          <w:tcPr>
            <w:tcW w:w="2835" w:type="dxa"/>
            <w:tcBorders>
              <w:top w:val="single" w:sz="4" w:space="0" w:color="auto"/>
              <w:left w:val="single" w:sz="4" w:space="0" w:color="auto"/>
              <w:bottom w:val="single" w:sz="4" w:space="0" w:color="auto"/>
              <w:right w:val="single" w:sz="4" w:space="0" w:color="auto"/>
            </w:tcBorders>
          </w:tcPr>
          <w:p w14:paraId="5310D4EE" w14:textId="77777777" w:rsidR="00A4096A" w:rsidRPr="00F33674" w:rsidRDefault="00A4096A" w:rsidP="00A74C03">
            <w:pPr>
              <w:rPr>
                <w:rFonts w:ascii="Arial Narrow" w:hAnsi="Arial Narrow" w:cs="Arial"/>
                <w:b/>
                <w:sz w:val="20"/>
                <w:szCs w:val="20"/>
              </w:rPr>
            </w:pPr>
            <w:r w:rsidRPr="00F33674">
              <w:rPr>
                <w:rFonts w:ascii="Arial Narrow" w:hAnsi="Arial Narrow" w:cs="Arial"/>
                <w:b/>
                <w:sz w:val="20"/>
                <w:szCs w:val="20"/>
              </w:rPr>
              <w:t>Administrative advice:</w:t>
            </w:r>
          </w:p>
        </w:tc>
        <w:tc>
          <w:tcPr>
            <w:tcW w:w="6379" w:type="dxa"/>
            <w:tcBorders>
              <w:top w:val="single" w:sz="4" w:space="0" w:color="auto"/>
              <w:left w:val="single" w:sz="4" w:space="0" w:color="auto"/>
              <w:bottom w:val="single" w:sz="4" w:space="0" w:color="auto"/>
              <w:right w:val="single" w:sz="4" w:space="0" w:color="auto"/>
            </w:tcBorders>
          </w:tcPr>
          <w:p w14:paraId="011EB73C" w14:textId="589A34CF" w:rsidR="00A4096A" w:rsidRPr="00F33674" w:rsidRDefault="00A4096A" w:rsidP="00A74C03">
            <w:pPr>
              <w:jc w:val="left"/>
              <w:rPr>
                <w:rFonts w:ascii="Arial Narrow" w:hAnsi="Arial Narrow" w:cs="Arial"/>
                <w:sz w:val="20"/>
                <w:szCs w:val="20"/>
              </w:rPr>
            </w:pPr>
          </w:p>
          <w:p w14:paraId="12681FD6" w14:textId="77777777" w:rsidR="00A4096A" w:rsidRPr="00F33674" w:rsidRDefault="00A4096A" w:rsidP="00A74C03">
            <w:pPr>
              <w:jc w:val="left"/>
              <w:rPr>
                <w:rFonts w:ascii="Arial Narrow" w:hAnsi="Arial Narrow"/>
                <w:sz w:val="20"/>
                <w:szCs w:val="20"/>
              </w:rPr>
            </w:pPr>
            <w:r w:rsidRPr="00F33674">
              <w:rPr>
                <w:rFonts w:ascii="Arial Narrow" w:hAnsi="Arial Narrow"/>
                <w:sz w:val="20"/>
                <w:szCs w:val="20"/>
              </w:rPr>
              <w:t>[new] Consider consultation with a multidisciplinary pain service prior to, or after commencement of this medication.</w:t>
            </w:r>
          </w:p>
          <w:p w14:paraId="3F9A2092" w14:textId="77777777" w:rsidR="00A4096A" w:rsidRPr="00F33674" w:rsidRDefault="00A4096A" w:rsidP="00A74C03">
            <w:pPr>
              <w:jc w:val="left"/>
              <w:rPr>
                <w:rFonts w:ascii="Arial Narrow" w:hAnsi="Arial Narrow" w:cs="Arial"/>
                <w:sz w:val="20"/>
                <w:szCs w:val="20"/>
              </w:rPr>
            </w:pPr>
          </w:p>
          <w:p w14:paraId="16E05F7D" w14:textId="77777777" w:rsidR="00A4096A" w:rsidRPr="00F33674" w:rsidRDefault="00A4096A" w:rsidP="00A74C03">
            <w:pPr>
              <w:jc w:val="left"/>
              <w:rPr>
                <w:rFonts w:ascii="Arial Narrow" w:hAnsi="Arial Narrow" w:cs="Arial"/>
                <w:sz w:val="20"/>
                <w:szCs w:val="20"/>
              </w:rPr>
            </w:pPr>
            <w:r w:rsidRPr="00F33674">
              <w:rPr>
                <w:rFonts w:ascii="Arial Narrow" w:hAnsi="Arial Narrow" w:cs="Arial"/>
                <w:sz w:val="20"/>
                <w:szCs w:val="20"/>
              </w:rPr>
              <w:t>[new] Real time online applications for increased maximum quantities/repeats may be made using the Online PBS Authorities system (see www.servicesaustralia.gov.au/organisations/health-professionals/services/medicare/hpos/services/request-authority-using-online-pbs-authorities-hpos)</w:t>
            </w:r>
          </w:p>
          <w:p w14:paraId="38BC037F" w14:textId="77777777" w:rsidR="00A4096A" w:rsidRPr="00F33674" w:rsidRDefault="00A4096A" w:rsidP="00A74C03">
            <w:pPr>
              <w:jc w:val="left"/>
              <w:rPr>
                <w:rFonts w:ascii="Arial Narrow" w:hAnsi="Arial Narrow" w:cs="Arial"/>
                <w:sz w:val="20"/>
                <w:szCs w:val="20"/>
              </w:rPr>
            </w:pPr>
          </w:p>
          <w:p w14:paraId="1FDEE4BF" w14:textId="77777777" w:rsidR="00A4096A" w:rsidRPr="00F33674" w:rsidRDefault="00A4096A" w:rsidP="00A74C03">
            <w:pPr>
              <w:jc w:val="left"/>
              <w:rPr>
                <w:rFonts w:ascii="Arial Narrow" w:hAnsi="Arial Narrow" w:cs="Arial"/>
                <w:sz w:val="20"/>
                <w:szCs w:val="20"/>
              </w:rPr>
            </w:pPr>
            <w:r w:rsidRPr="00F33674">
              <w:rPr>
                <w:rFonts w:ascii="Arial Narrow" w:hAnsi="Arial Narrow" w:cs="Arial"/>
                <w:sz w:val="20"/>
                <w:szCs w:val="20"/>
              </w:rPr>
              <w:t>Phone applications for increased maximum quantities/repeats may be made by calling 1800 888 333.</w:t>
            </w:r>
          </w:p>
          <w:p w14:paraId="44FA4369" w14:textId="77777777" w:rsidR="00A4096A" w:rsidRPr="00F33674" w:rsidRDefault="00A4096A" w:rsidP="00A74C03">
            <w:pPr>
              <w:jc w:val="left"/>
              <w:rPr>
                <w:rFonts w:ascii="Arial Narrow" w:hAnsi="Arial Narrow" w:cs="Arial"/>
                <w:sz w:val="20"/>
                <w:szCs w:val="20"/>
              </w:rPr>
            </w:pPr>
          </w:p>
          <w:p w14:paraId="4FF8ECAF" w14:textId="77777777" w:rsidR="00A4096A" w:rsidRPr="00F33674" w:rsidRDefault="00A4096A" w:rsidP="00A74C03">
            <w:pPr>
              <w:jc w:val="left"/>
              <w:rPr>
                <w:rFonts w:ascii="Arial Narrow" w:hAnsi="Arial Narrow" w:cs="Arial"/>
                <w:sz w:val="20"/>
                <w:szCs w:val="20"/>
              </w:rPr>
            </w:pPr>
            <w:r w:rsidRPr="00F33674">
              <w:rPr>
                <w:rFonts w:ascii="Arial Narrow" w:hAnsi="Arial Narrow" w:cs="Arial"/>
                <w:sz w:val="20"/>
                <w:szCs w:val="20"/>
              </w:rPr>
              <w:t>Written authority applications for increased maximum quantities/repeats can be uploaded online through HPOS form upload or mailed to:</w:t>
            </w:r>
          </w:p>
          <w:p w14:paraId="1B9CD1BD" w14:textId="77777777" w:rsidR="00A4096A" w:rsidRPr="00F33674" w:rsidRDefault="00A4096A" w:rsidP="00A74C03">
            <w:pPr>
              <w:jc w:val="left"/>
              <w:rPr>
                <w:rFonts w:ascii="Arial Narrow" w:hAnsi="Arial Narrow" w:cs="Arial"/>
                <w:sz w:val="20"/>
                <w:szCs w:val="20"/>
              </w:rPr>
            </w:pPr>
            <w:r w:rsidRPr="00F33674">
              <w:rPr>
                <w:rFonts w:ascii="Arial Narrow" w:hAnsi="Arial Narrow" w:cs="Arial"/>
                <w:sz w:val="20"/>
                <w:szCs w:val="20"/>
              </w:rPr>
              <w:t>Pharmaceutical Benefits Scheme</w:t>
            </w:r>
          </w:p>
          <w:p w14:paraId="6A27032B" w14:textId="77777777" w:rsidR="00A4096A" w:rsidRPr="00F33674" w:rsidRDefault="00A4096A" w:rsidP="00A74C03">
            <w:pPr>
              <w:jc w:val="left"/>
              <w:rPr>
                <w:rFonts w:ascii="Arial Narrow" w:hAnsi="Arial Narrow" w:cs="Arial"/>
                <w:sz w:val="20"/>
                <w:szCs w:val="20"/>
              </w:rPr>
            </w:pPr>
            <w:r w:rsidRPr="00F33674">
              <w:rPr>
                <w:rFonts w:ascii="Arial Narrow" w:hAnsi="Arial Narrow" w:cs="Arial"/>
                <w:sz w:val="20"/>
                <w:szCs w:val="20"/>
              </w:rPr>
              <w:t>Reply Paid 9857</w:t>
            </w:r>
          </w:p>
          <w:p w14:paraId="75B17BB5" w14:textId="77777777" w:rsidR="00A4096A" w:rsidRPr="00F33674" w:rsidRDefault="00A4096A" w:rsidP="00A74C03">
            <w:pPr>
              <w:jc w:val="left"/>
              <w:rPr>
                <w:rFonts w:ascii="Arial Narrow" w:hAnsi="Arial Narrow" w:cs="Arial"/>
                <w:sz w:val="20"/>
                <w:szCs w:val="20"/>
              </w:rPr>
            </w:pPr>
            <w:r w:rsidRPr="00F33674">
              <w:rPr>
                <w:rFonts w:ascii="Arial Narrow" w:hAnsi="Arial Narrow" w:cs="Arial"/>
                <w:sz w:val="20"/>
                <w:szCs w:val="20"/>
              </w:rPr>
              <w:t>[Your capital city]</w:t>
            </w:r>
          </w:p>
        </w:tc>
      </w:tr>
      <w:tr w:rsidR="00A4096A" w:rsidRPr="00F33674" w14:paraId="56851846" w14:textId="77777777" w:rsidTr="00A74C03">
        <w:trPr>
          <w:cantSplit/>
          <w:trHeight w:val="360"/>
        </w:trPr>
        <w:tc>
          <w:tcPr>
            <w:tcW w:w="2835" w:type="dxa"/>
            <w:tcBorders>
              <w:top w:val="single" w:sz="4" w:space="0" w:color="auto"/>
              <w:left w:val="single" w:sz="4" w:space="0" w:color="auto"/>
              <w:bottom w:val="single" w:sz="4" w:space="0" w:color="auto"/>
              <w:right w:val="single" w:sz="4" w:space="0" w:color="auto"/>
            </w:tcBorders>
          </w:tcPr>
          <w:p w14:paraId="22875EC1" w14:textId="77777777" w:rsidR="00A4096A" w:rsidRPr="00F33674" w:rsidRDefault="00A4096A" w:rsidP="00A74C03">
            <w:pPr>
              <w:rPr>
                <w:rFonts w:ascii="Arial Narrow" w:hAnsi="Arial Narrow" w:cs="Arial"/>
                <w:b/>
                <w:sz w:val="20"/>
                <w:szCs w:val="20"/>
              </w:rPr>
            </w:pPr>
            <w:r w:rsidRPr="00F33674">
              <w:rPr>
                <w:rFonts w:ascii="Arial Narrow" w:hAnsi="Arial Narrow" w:cs="Arial"/>
                <w:b/>
                <w:sz w:val="20"/>
                <w:szCs w:val="20"/>
              </w:rPr>
              <w:lastRenderedPageBreak/>
              <w:t>Cautions:</w:t>
            </w:r>
          </w:p>
        </w:tc>
        <w:tc>
          <w:tcPr>
            <w:tcW w:w="6379" w:type="dxa"/>
            <w:tcBorders>
              <w:top w:val="single" w:sz="4" w:space="0" w:color="auto"/>
              <w:left w:val="single" w:sz="4" w:space="0" w:color="auto"/>
              <w:bottom w:val="single" w:sz="4" w:space="0" w:color="auto"/>
              <w:right w:val="single" w:sz="4" w:space="0" w:color="auto"/>
            </w:tcBorders>
          </w:tcPr>
          <w:p w14:paraId="3E4ACC1C" w14:textId="77777777" w:rsidR="00A4096A" w:rsidRPr="00F33674" w:rsidRDefault="00A4096A" w:rsidP="00A74C03">
            <w:pPr>
              <w:jc w:val="left"/>
              <w:rPr>
                <w:rFonts w:ascii="Arial Narrow" w:hAnsi="Arial Narrow" w:cs="Arial"/>
                <w:sz w:val="20"/>
                <w:szCs w:val="20"/>
              </w:rPr>
            </w:pPr>
            <w:r w:rsidRPr="00F33674">
              <w:rPr>
                <w:rFonts w:ascii="Arial Narrow" w:hAnsi="Arial Narrow" w:cs="Arial"/>
                <w:sz w:val="20"/>
                <w:szCs w:val="20"/>
              </w:rPr>
              <w:t>[6986] The risk of drug dependence is high.</w:t>
            </w:r>
          </w:p>
        </w:tc>
      </w:tr>
    </w:tbl>
    <w:p w14:paraId="1BA93D42" w14:textId="77777777" w:rsidR="00EC4831" w:rsidRDefault="00EC4831">
      <w:pPr>
        <w:jc w:val="left"/>
      </w:pPr>
    </w:p>
    <w:tbl>
      <w:tblPr>
        <w:tblW w:w="9214" w:type="dxa"/>
        <w:tblInd w:w="-5" w:type="dxa"/>
        <w:tblLayout w:type="fixed"/>
        <w:tblLook w:val="0000" w:firstRow="0" w:lastRow="0" w:firstColumn="0" w:lastColumn="0" w:noHBand="0" w:noVBand="0"/>
      </w:tblPr>
      <w:tblGrid>
        <w:gridCol w:w="2835"/>
        <w:gridCol w:w="6379"/>
      </w:tblGrid>
      <w:tr w:rsidR="00EC4831" w:rsidRPr="00F33674" w14:paraId="0AE56335" w14:textId="77777777" w:rsidTr="00A74C03">
        <w:trPr>
          <w:cantSplit/>
          <w:trHeight w:val="360"/>
        </w:trPr>
        <w:tc>
          <w:tcPr>
            <w:tcW w:w="2835" w:type="dxa"/>
            <w:tcBorders>
              <w:top w:val="single" w:sz="4" w:space="0" w:color="auto"/>
              <w:left w:val="single" w:sz="4" w:space="0" w:color="auto"/>
              <w:bottom w:val="single" w:sz="4" w:space="0" w:color="auto"/>
              <w:right w:val="single" w:sz="4" w:space="0" w:color="auto"/>
            </w:tcBorders>
          </w:tcPr>
          <w:p w14:paraId="469FC672" w14:textId="77777777" w:rsidR="00EC4831" w:rsidRPr="00F33674" w:rsidRDefault="00EC4831" w:rsidP="00A74C03">
            <w:pPr>
              <w:rPr>
                <w:rFonts w:ascii="Arial Narrow" w:hAnsi="Arial Narrow" w:cs="Arial"/>
                <w:b/>
                <w:sz w:val="20"/>
                <w:szCs w:val="20"/>
              </w:rPr>
            </w:pPr>
            <w:r w:rsidRPr="00F33674">
              <w:rPr>
                <w:rFonts w:ascii="Arial Narrow" w:hAnsi="Arial Narrow" w:cs="Arial"/>
                <w:b/>
                <w:sz w:val="20"/>
                <w:szCs w:val="20"/>
              </w:rPr>
              <w:t>Category / Program:</w:t>
            </w:r>
          </w:p>
        </w:tc>
        <w:tc>
          <w:tcPr>
            <w:tcW w:w="6379" w:type="dxa"/>
            <w:tcBorders>
              <w:top w:val="single" w:sz="4" w:space="0" w:color="auto"/>
              <w:left w:val="single" w:sz="4" w:space="0" w:color="auto"/>
              <w:bottom w:val="single" w:sz="4" w:space="0" w:color="auto"/>
              <w:right w:val="single" w:sz="4" w:space="0" w:color="auto"/>
            </w:tcBorders>
          </w:tcPr>
          <w:p w14:paraId="7A8CE977" w14:textId="77777777" w:rsidR="00EC4831" w:rsidRPr="00F33674" w:rsidRDefault="00EC4831" w:rsidP="00A74C03">
            <w:pPr>
              <w:rPr>
                <w:rFonts w:ascii="Arial Narrow" w:hAnsi="Arial Narrow" w:cs="Arial"/>
                <w:sz w:val="20"/>
                <w:szCs w:val="20"/>
              </w:rPr>
            </w:pPr>
            <w:r w:rsidRPr="00F33674">
              <w:rPr>
                <w:rFonts w:ascii="Arial Narrow" w:hAnsi="Arial Narrow" w:cs="Arial"/>
                <w:sz w:val="20"/>
                <w:szCs w:val="20"/>
              </w:rPr>
              <w:t>GENERAL – General Schedule (Code GE)</w:t>
            </w:r>
          </w:p>
        </w:tc>
      </w:tr>
      <w:tr w:rsidR="00EC4831" w:rsidRPr="00F33674" w14:paraId="3AF5A424" w14:textId="77777777" w:rsidTr="00A74C03">
        <w:trPr>
          <w:cantSplit/>
          <w:trHeight w:val="360"/>
        </w:trPr>
        <w:tc>
          <w:tcPr>
            <w:tcW w:w="2835" w:type="dxa"/>
            <w:tcBorders>
              <w:top w:val="single" w:sz="4" w:space="0" w:color="auto"/>
              <w:left w:val="single" w:sz="4" w:space="0" w:color="auto"/>
              <w:bottom w:val="single" w:sz="4" w:space="0" w:color="auto"/>
              <w:right w:val="single" w:sz="4" w:space="0" w:color="auto"/>
            </w:tcBorders>
          </w:tcPr>
          <w:p w14:paraId="1D1BAE2A" w14:textId="77777777" w:rsidR="00EC4831" w:rsidRPr="00F33674" w:rsidRDefault="00EC4831" w:rsidP="00A74C03">
            <w:pPr>
              <w:rPr>
                <w:rFonts w:ascii="Arial Narrow" w:hAnsi="Arial Narrow" w:cs="Arial"/>
                <w:b/>
                <w:sz w:val="20"/>
                <w:szCs w:val="20"/>
              </w:rPr>
            </w:pPr>
            <w:r w:rsidRPr="00F33674">
              <w:rPr>
                <w:rFonts w:ascii="Arial Narrow" w:hAnsi="Arial Narrow" w:cs="Arial"/>
                <w:b/>
                <w:sz w:val="20"/>
                <w:szCs w:val="20"/>
              </w:rPr>
              <w:t>Prescriber type:</w:t>
            </w:r>
          </w:p>
          <w:p w14:paraId="49F546CA" w14:textId="77777777" w:rsidR="00EC4831" w:rsidRPr="00F33674" w:rsidRDefault="00EC4831" w:rsidP="00A74C03">
            <w:pPr>
              <w:rPr>
                <w:rFonts w:ascii="Arial Narrow" w:hAnsi="Arial Narrow" w:cs="Arial"/>
                <w:b/>
                <w:sz w:val="20"/>
                <w:szCs w:val="20"/>
              </w:rPr>
            </w:pPr>
          </w:p>
        </w:tc>
        <w:tc>
          <w:tcPr>
            <w:tcW w:w="6379" w:type="dxa"/>
            <w:tcBorders>
              <w:top w:val="single" w:sz="4" w:space="0" w:color="auto"/>
              <w:left w:val="single" w:sz="4" w:space="0" w:color="auto"/>
              <w:bottom w:val="single" w:sz="4" w:space="0" w:color="auto"/>
              <w:right w:val="single" w:sz="4" w:space="0" w:color="auto"/>
            </w:tcBorders>
          </w:tcPr>
          <w:p w14:paraId="61A9A2CD" w14:textId="42CAC042" w:rsidR="00EC4831" w:rsidRPr="00F33674" w:rsidRDefault="00EC4831" w:rsidP="00A74C03">
            <w:pPr>
              <w:rPr>
                <w:rFonts w:ascii="Arial Narrow" w:hAnsi="Arial Narrow" w:cs="Arial"/>
                <w:sz w:val="20"/>
                <w:szCs w:val="20"/>
              </w:rPr>
            </w:pPr>
            <w:r w:rsidRPr="00F33674">
              <w:rPr>
                <w:rFonts w:ascii="Arial Narrow" w:hAnsi="Arial Narrow" w:cs="Arial"/>
                <w:sz w:val="20"/>
                <w:szCs w:val="20"/>
              </w:rPr>
              <w:fldChar w:fldCharType="begin">
                <w:ffData>
                  <w:name w:val="Check1"/>
                  <w:enabled/>
                  <w:calcOnExit w:val="0"/>
                  <w:checkBox>
                    <w:sizeAuto/>
                    <w:default w:val="0"/>
                  </w:checkBox>
                </w:ffData>
              </w:fldChar>
            </w:r>
            <w:r w:rsidRPr="00F33674">
              <w:rPr>
                <w:rFonts w:ascii="Arial Narrow" w:hAnsi="Arial Narrow" w:cs="Arial"/>
                <w:sz w:val="20"/>
                <w:szCs w:val="20"/>
              </w:rPr>
              <w:instrText xml:space="preserve"> FORMCHECKBOX </w:instrText>
            </w:r>
            <w:r w:rsidR="00233D13">
              <w:rPr>
                <w:rFonts w:ascii="Arial Narrow" w:hAnsi="Arial Narrow" w:cs="Arial"/>
                <w:sz w:val="20"/>
                <w:szCs w:val="20"/>
              </w:rPr>
            </w:r>
            <w:r w:rsidR="00233D13">
              <w:rPr>
                <w:rFonts w:ascii="Arial Narrow" w:hAnsi="Arial Narrow" w:cs="Arial"/>
                <w:sz w:val="20"/>
                <w:szCs w:val="20"/>
              </w:rPr>
              <w:fldChar w:fldCharType="separate"/>
            </w:r>
            <w:r w:rsidRPr="00F33674">
              <w:rPr>
                <w:rFonts w:ascii="Arial Narrow" w:hAnsi="Arial Narrow" w:cs="Arial"/>
                <w:sz w:val="20"/>
                <w:szCs w:val="20"/>
              </w:rPr>
              <w:fldChar w:fldCharType="end"/>
            </w:r>
            <w:r w:rsidRPr="00F33674">
              <w:rPr>
                <w:rFonts w:ascii="Arial Narrow" w:hAnsi="Arial Narrow" w:cs="Arial"/>
                <w:sz w:val="20"/>
                <w:szCs w:val="20"/>
              </w:rPr>
              <w:t>Dental</w:t>
            </w:r>
            <w:r w:rsidR="002C1329">
              <w:rPr>
                <w:rFonts w:ascii="Arial Narrow" w:hAnsi="Arial Narrow" w:cs="Arial"/>
                <w:sz w:val="20"/>
                <w:szCs w:val="20"/>
              </w:rPr>
              <w:t xml:space="preserve"> </w:t>
            </w:r>
            <w:r w:rsidRPr="00F33674">
              <w:rPr>
                <w:rFonts w:ascii="Arial Narrow" w:hAnsi="Arial Narrow" w:cs="Arial"/>
                <w:sz w:val="20"/>
                <w:szCs w:val="20"/>
              </w:rPr>
              <w:fldChar w:fldCharType="begin">
                <w:ffData>
                  <w:name w:val=""/>
                  <w:enabled/>
                  <w:calcOnExit w:val="0"/>
                  <w:checkBox>
                    <w:sizeAuto/>
                    <w:default w:val="1"/>
                  </w:checkBox>
                </w:ffData>
              </w:fldChar>
            </w:r>
            <w:r w:rsidRPr="00F33674">
              <w:rPr>
                <w:rFonts w:ascii="Arial Narrow" w:hAnsi="Arial Narrow" w:cs="Arial"/>
                <w:sz w:val="20"/>
                <w:szCs w:val="20"/>
              </w:rPr>
              <w:instrText xml:space="preserve"> FORMCHECKBOX </w:instrText>
            </w:r>
            <w:r w:rsidR="00233D13">
              <w:rPr>
                <w:rFonts w:ascii="Arial Narrow" w:hAnsi="Arial Narrow" w:cs="Arial"/>
                <w:sz w:val="20"/>
                <w:szCs w:val="20"/>
              </w:rPr>
            </w:r>
            <w:r w:rsidR="00233D13">
              <w:rPr>
                <w:rFonts w:ascii="Arial Narrow" w:hAnsi="Arial Narrow" w:cs="Arial"/>
                <w:sz w:val="20"/>
                <w:szCs w:val="20"/>
              </w:rPr>
              <w:fldChar w:fldCharType="separate"/>
            </w:r>
            <w:r w:rsidRPr="00F33674">
              <w:rPr>
                <w:rFonts w:ascii="Arial Narrow" w:hAnsi="Arial Narrow" w:cs="Arial"/>
                <w:sz w:val="20"/>
                <w:szCs w:val="20"/>
              </w:rPr>
              <w:fldChar w:fldCharType="end"/>
            </w:r>
            <w:r w:rsidRPr="00F33674">
              <w:rPr>
                <w:rFonts w:ascii="Arial Narrow" w:hAnsi="Arial Narrow" w:cs="Arial"/>
                <w:sz w:val="20"/>
                <w:szCs w:val="20"/>
              </w:rPr>
              <w:t>Medical Practitioners</w:t>
            </w:r>
            <w:r w:rsidR="002C1329">
              <w:rPr>
                <w:rFonts w:ascii="Arial Narrow" w:hAnsi="Arial Narrow" w:cs="Arial"/>
                <w:sz w:val="20"/>
                <w:szCs w:val="20"/>
              </w:rPr>
              <w:t xml:space="preserve"> </w:t>
            </w:r>
            <w:r w:rsidRPr="00F33674">
              <w:rPr>
                <w:rFonts w:ascii="Arial Narrow" w:hAnsi="Arial Narrow" w:cs="Arial"/>
                <w:sz w:val="20"/>
                <w:szCs w:val="20"/>
              </w:rPr>
              <w:fldChar w:fldCharType="begin">
                <w:ffData>
                  <w:name w:val="Check3"/>
                  <w:enabled/>
                  <w:calcOnExit w:val="0"/>
                  <w:checkBox>
                    <w:sizeAuto/>
                    <w:default w:val="1"/>
                  </w:checkBox>
                </w:ffData>
              </w:fldChar>
            </w:r>
            <w:r w:rsidRPr="00F33674">
              <w:rPr>
                <w:rFonts w:ascii="Arial Narrow" w:hAnsi="Arial Narrow" w:cs="Arial"/>
                <w:sz w:val="20"/>
                <w:szCs w:val="20"/>
              </w:rPr>
              <w:instrText xml:space="preserve"> FORMCHECKBOX </w:instrText>
            </w:r>
            <w:r w:rsidR="00233D13">
              <w:rPr>
                <w:rFonts w:ascii="Arial Narrow" w:hAnsi="Arial Narrow" w:cs="Arial"/>
                <w:sz w:val="20"/>
                <w:szCs w:val="20"/>
              </w:rPr>
            </w:r>
            <w:r w:rsidR="00233D13">
              <w:rPr>
                <w:rFonts w:ascii="Arial Narrow" w:hAnsi="Arial Narrow" w:cs="Arial"/>
                <w:sz w:val="20"/>
                <w:szCs w:val="20"/>
              </w:rPr>
              <w:fldChar w:fldCharType="separate"/>
            </w:r>
            <w:r w:rsidRPr="00F33674">
              <w:rPr>
                <w:rFonts w:ascii="Arial Narrow" w:hAnsi="Arial Narrow" w:cs="Arial"/>
                <w:sz w:val="20"/>
                <w:szCs w:val="20"/>
              </w:rPr>
              <w:fldChar w:fldCharType="end"/>
            </w:r>
            <w:r w:rsidRPr="00F33674">
              <w:rPr>
                <w:rFonts w:ascii="Arial Narrow" w:hAnsi="Arial Narrow" w:cs="Arial"/>
                <w:sz w:val="20"/>
                <w:szCs w:val="20"/>
              </w:rPr>
              <w:t>Nurse practitioners</w:t>
            </w:r>
            <w:r w:rsidR="002C1329">
              <w:rPr>
                <w:rFonts w:ascii="Arial Narrow" w:hAnsi="Arial Narrow" w:cs="Arial"/>
                <w:sz w:val="20"/>
                <w:szCs w:val="20"/>
              </w:rPr>
              <w:t xml:space="preserve"> </w:t>
            </w:r>
            <w:r w:rsidRPr="00F33674">
              <w:rPr>
                <w:rFonts w:ascii="Arial Narrow" w:hAnsi="Arial Narrow" w:cs="Arial"/>
                <w:sz w:val="20"/>
                <w:szCs w:val="20"/>
              </w:rPr>
              <w:fldChar w:fldCharType="begin">
                <w:ffData>
                  <w:name w:val=""/>
                  <w:enabled/>
                  <w:calcOnExit w:val="0"/>
                  <w:checkBox>
                    <w:sizeAuto/>
                    <w:default w:val="0"/>
                  </w:checkBox>
                </w:ffData>
              </w:fldChar>
            </w:r>
            <w:r w:rsidRPr="00F33674">
              <w:rPr>
                <w:rFonts w:ascii="Arial Narrow" w:hAnsi="Arial Narrow" w:cs="Arial"/>
                <w:sz w:val="20"/>
                <w:szCs w:val="20"/>
              </w:rPr>
              <w:instrText xml:space="preserve"> FORMCHECKBOX </w:instrText>
            </w:r>
            <w:r w:rsidR="00233D13">
              <w:rPr>
                <w:rFonts w:ascii="Arial Narrow" w:hAnsi="Arial Narrow" w:cs="Arial"/>
                <w:sz w:val="20"/>
                <w:szCs w:val="20"/>
              </w:rPr>
            </w:r>
            <w:r w:rsidR="00233D13">
              <w:rPr>
                <w:rFonts w:ascii="Arial Narrow" w:hAnsi="Arial Narrow" w:cs="Arial"/>
                <w:sz w:val="20"/>
                <w:szCs w:val="20"/>
              </w:rPr>
              <w:fldChar w:fldCharType="separate"/>
            </w:r>
            <w:r w:rsidRPr="00F33674">
              <w:rPr>
                <w:rFonts w:ascii="Arial Narrow" w:hAnsi="Arial Narrow" w:cs="Arial"/>
                <w:sz w:val="20"/>
                <w:szCs w:val="20"/>
              </w:rPr>
              <w:fldChar w:fldCharType="end"/>
            </w:r>
            <w:r w:rsidRPr="00F33674">
              <w:rPr>
                <w:rFonts w:ascii="Arial Narrow" w:hAnsi="Arial Narrow" w:cs="Arial"/>
                <w:sz w:val="20"/>
                <w:szCs w:val="20"/>
              </w:rPr>
              <w:t>Optometrists</w:t>
            </w:r>
          </w:p>
          <w:p w14:paraId="43D77022" w14:textId="77777777" w:rsidR="00EC4831" w:rsidRPr="00F33674" w:rsidRDefault="00EC4831" w:rsidP="00A74C03">
            <w:pPr>
              <w:rPr>
                <w:rFonts w:ascii="Arial Narrow" w:hAnsi="Arial Narrow" w:cs="Arial"/>
                <w:sz w:val="20"/>
                <w:szCs w:val="20"/>
              </w:rPr>
            </w:pPr>
            <w:r w:rsidRPr="00F33674">
              <w:rPr>
                <w:rFonts w:ascii="Arial Narrow" w:hAnsi="Arial Narrow" w:cs="Arial"/>
                <w:sz w:val="20"/>
                <w:szCs w:val="20"/>
              </w:rPr>
              <w:fldChar w:fldCharType="begin">
                <w:ffData>
                  <w:name w:val="Check5"/>
                  <w:enabled/>
                  <w:calcOnExit w:val="0"/>
                  <w:checkBox>
                    <w:sizeAuto/>
                    <w:default w:val="0"/>
                  </w:checkBox>
                </w:ffData>
              </w:fldChar>
            </w:r>
            <w:r w:rsidRPr="00F33674">
              <w:rPr>
                <w:rFonts w:ascii="Arial Narrow" w:hAnsi="Arial Narrow" w:cs="Arial"/>
                <w:sz w:val="20"/>
                <w:szCs w:val="20"/>
              </w:rPr>
              <w:instrText xml:space="preserve"> FORMCHECKBOX </w:instrText>
            </w:r>
            <w:r w:rsidR="00233D13">
              <w:rPr>
                <w:rFonts w:ascii="Arial Narrow" w:hAnsi="Arial Narrow" w:cs="Arial"/>
                <w:sz w:val="20"/>
                <w:szCs w:val="20"/>
              </w:rPr>
            </w:r>
            <w:r w:rsidR="00233D13">
              <w:rPr>
                <w:rFonts w:ascii="Arial Narrow" w:hAnsi="Arial Narrow" w:cs="Arial"/>
                <w:sz w:val="20"/>
                <w:szCs w:val="20"/>
              </w:rPr>
              <w:fldChar w:fldCharType="separate"/>
            </w:r>
            <w:r w:rsidRPr="00F33674">
              <w:rPr>
                <w:rFonts w:ascii="Arial Narrow" w:hAnsi="Arial Narrow" w:cs="Arial"/>
                <w:sz w:val="20"/>
                <w:szCs w:val="20"/>
              </w:rPr>
              <w:fldChar w:fldCharType="end"/>
            </w:r>
            <w:r w:rsidRPr="00F33674">
              <w:rPr>
                <w:rFonts w:ascii="Arial Narrow" w:hAnsi="Arial Narrow" w:cs="Arial"/>
                <w:sz w:val="20"/>
                <w:szCs w:val="20"/>
              </w:rPr>
              <w:t>Midwives</w:t>
            </w:r>
          </w:p>
        </w:tc>
      </w:tr>
      <w:tr w:rsidR="00EC4831" w:rsidRPr="00F33674" w14:paraId="33D2D3E8" w14:textId="77777777" w:rsidTr="00A74C03">
        <w:trPr>
          <w:cantSplit/>
          <w:trHeight w:val="369"/>
        </w:trPr>
        <w:tc>
          <w:tcPr>
            <w:tcW w:w="2835" w:type="dxa"/>
            <w:tcBorders>
              <w:top w:val="single" w:sz="4" w:space="0" w:color="auto"/>
              <w:left w:val="single" w:sz="4" w:space="0" w:color="auto"/>
              <w:bottom w:val="single" w:sz="4" w:space="0" w:color="auto"/>
              <w:right w:val="single" w:sz="4" w:space="0" w:color="auto"/>
            </w:tcBorders>
          </w:tcPr>
          <w:p w14:paraId="7CA6C01B" w14:textId="77777777" w:rsidR="00EC4831" w:rsidRPr="00F33674" w:rsidRDefault="00EC4831" w:rsidP="00A74C03">
            <w:pPr>
              <w:rPr>
                <w:rFonts w:ascii="Arial Narrow" w:hAnsi="Arial Narrow" w:cs="Arial"/>
                <w:b/>
                <w:sz w:val="20"/>
                <w:szCs w:val="20"/>
              </w:rPr>
            </w:pPr>
            <w:r w:rsidRPr="00F33674">
              <w:rPr>
                <w:rFonts w:ascii="Arial Narrow" w:hAnsi="Arial Narrow" w:cs="Arial"/>
                <w:b/>
                <w:sz w:val="20"/>
                <w:szCs w:val="20"/>
              </w:rPr>
              <w:t>PBS indication:</w:t>
            </w:r>
          </w:p>
        </w:tc>
        <w:tc>
          <w:tcPr>
            <w:tcW w:w="6379" w:type="dxa"/>
            <w:tcBorders>
              <w:top w:val="single" w:sz="4" w:space="0" w:color="auto"/>
              <w:left w:val="single" w:sz="4" w:space="0" w:color="auto"/>
              <w:bottom w:val="single" w:sz="4" w:space="0" w:color="auto"/>
              <w:right w:val="single" w:sz="4" w:space="0" w:color="auto"/>
            </w:tcBorders>
          </w:tcPr>
          <w:p w14:paraId="2424D381" w14:textId="77777777" w:rsidR="00EC4831" w:rsidRPr="00F33674" w:rsidRDefault="00EC4831" w:rsidP="00A74C03">
            <w:pPr>
              <w:rPr>
                <w:rFonts w:ascii="Arial Narrow" w:hAnsi="Arial Narrow" w:cs="Arial"/>
                <w:sz w:val="20"/>
                <w:szCs w:val="20"/>
              </w:rPr>
            </w:pPr>
            <w:r w:rsidRPr="00F33674">
              <w:rPr>
                <w:rFonts w:ascii="Arial Narrow" w:hAnsi="Arial Narrow" w:cs="Arial"/>
                <w:sz w:val="20"/>
                <w:szCs w:val="20"/>
              </w:rPr>
              <w:t>[7861] Severe pain</w:t>
            </w:r>
          </w:p>
        </w:tc>
      </w:tr>
      <w:tr w:rsidR="00EC4831" w:rsidRPr="00F33674" w14:paraId="21067585" w14:textId="77777777" w:rsidTr="00A74C03">
        <w:trPr>
          <w:cantSplit/>
          <w:trHeight w:val="360"/>
        </w:trPr>
        <w:tc>
          <w:tcPr>
            <w:tcW w:w="2835" w:type="dxa"/>
            <w:tcBorders>
              <w:top w:val="single" w:sz="4" w:space="0" w:color="auto"/>
              <w:left w:val="single" w:sz="4" w:space="0" w:color="auto"/>
              <w:bottom w:val="single" w:sz="4" w:space="0" w:color="auto"/>
              <w:right w:val="single" w:sz="4" w:space="0" w:color="auto"/>
            </w:tcBorders>
          </w:tcPr>
          <w:p w14:paraId="3A182F2B" w14:textId="77777777" w:rsidR="00EC4831" w:rsidRPr="00F33674" w:rsidRDefault="00EC4831" w:rsidP="00A74C03">
            <w:pPr>
              <w:rPr>
                <w:rFonts w:ascii="Arial Narrow" w:hAnsi="Arial Narrow" w:cs="Arial"/>
                <w:b/>
                <w:sz w:val="20"/>
                <w:szCs w:val="20"/>
              </w:rPr>
            </w:pPr>
            <w:r w:rsidRPr="00F33674">
              <w:rPr>
                <w:rFonts w:ascii="Arial Narrow" w:hAnsi="Arial Narrow" w:cs="Arial"/>
                <w:b/>
                <w:sz w:val="20"/>
                <w:szCs w:val="20"/>
              </w:rPr>
              <w:t>Restriction Level / Method:</w:t>
            </w:r>
          </w:p>
          <w:p w14:paraId="4CD64DD3" w14:textId="77777777" w:rsidR="00EC4831" w:rsidRPr="00F33674" w:rsidRDefault="00EC4831" w:rsidP="00A74C03">
            <w:pPr>
              <w:rPr>
                <w:rFonts w:ascii="Arial Narrow" w:hAnsi="Arial Narrow" w:cs="Arial"/>
                <w:i/>
                <w:sz w:val="20"/>
                <w:szCs w:val="20"/>
              </w:rPr>
            </w:pPr>
          </w:p>
          <w:p w14:paraId="54748340" w14:textId="77777777" w:rsidR="00EC4831" w:rsidRPr="00F33674" w:rsidRDefault="00EC4831" w:rsidP="00A74C03">
            <w:pPr>
              <w:rPr>
                <w:rFonts w:ascii="Arial Narrow" w:hAnsi="Arial Narrow" w:cs="Arial"/>
                <w:i/>
                <w:sz w:val="20"/>
                <w:szCs w:val="20"/>
              </w:rPr>
            </w:pPr>
          </w:p>
          <w:p w14:paraId="14DC01CC" w14:textId="77777777" w:rsidR="00EC4831" w:rsidRPr="00F33674" w:rsidRDefault="00EC4831" w:rsidP="00A74C03">
            <w:pPr>
              <w:rPr>
                <w:rFonts w:ascii="Arial Narrow" w:hAnsi="Arial Narrow" w:cs="Arial"/>
                <w:i/>
                <w:sz w:val="20"/>
                <w:szCs w:val="20"/>
              </w:rPr>
            </w:pPr>
          </w:p>
        </w:tc>
        <w:tc>
          <w:tcPr>
            <w:tcW w:w="6379" w:type="dxa"/>
            <w:tcBorders>
              <w:top w:val="single" w:sz="4" w:space="0" w:color="auto"/>
              <w:left w:val="single" w:sz="4" w:space="0" w:color="auto"/>
              <w:bottom w:val="single" w:sz="4" w:space="0" w:color="auto"/>
              <w:right w:val="single" w:sz="4" w:space="0" w:color="auto"/>
            </w:tcBorders>
          </w:tcPr>
          <w:p w14:paraId="573DB6E4" w14:textId="77777777" w:rsidR="00EC4831" w:rsidRPr="00F33674" w:rsidRDefault="00EC4831" w:rsidP="00A74C03">
            <w:pPr>
              <w:rPr>
                <w:rFonts w:ascii="Arial Narrow" w:hAnsi="Arial Narrow" w:cs="Arial"/>
                <w:sz w:val="20"/>
                <w:szCs w:val="20"/>
              </w:rPr>
            </w:pPr>
            <w:r w:rsidRPr="00F33674">
              <w:rPr>
                <w:rFonts w:ascii="Arial Narrow" w:hAnsi="Arial Narrow" w:cs="Arial"/>
                <w:sz w:val="20"/>
                <w:szCs w:val="20"/>
              </w:rPr>
              <w:fldChar w:fldCharType="begin">
                <w:ffData>
                  <w:name w:val=""/>
                  <w:enabled/>
                  <w:calcOnExit w:val="0"/>
                  <w:checkBox>
                    <w:sizeAuto/>
                    <w:default w:val="0"/>
                  </w:checkBox>
                </w:ffData>
              </w:fldChar>
            </w:r>
            <w:r w:rsidRPr="00F33674">
              <w:rPr>
                <w:rFonts w:ascii="Arial Narrow" w:hAnsi="Arial Narrow" w:cs="Arial"/>
                <w:sz w:val="20"/>
                <w:szCs w:val="20"/>
              </w:rPr>
              <w:instrText xml:space="preserve"> FORMCHECKBOX </w:instrText>
            </w:r>
            <w:r w:rsidR="00233D13">
              <w:rPr>
                <w:rFonts w:ascii="Arial Narrow" w:hAnsi="Arial Narrow" w:cs="Arial"/>
                <w:sz w:val="20"/>
                <w:szCs w:val="20"/>
              </w:rPr>
            </w:r>
            <w:r w:rsidR="00233D13">
              <w:rPr>
                <w:rFonts w:ascii="Arial Narrow" w:hAnsi="Arial Narrow" w:cs="Arial"/>
                <w:sz w:val="20"/>
                <w:szCs w:val="20"/>
              </w:rPr>
              <w:fldChar w:fldCharType="separate"/>
            </w:r>
            <w:r w:rsidRPr="00F33674">
              <w:rPr>
                <w:rFonts w:ascii="Arial Narrow" w:hAnsi="Arial Narrow" w:cs="Arial"/>
                <w:sz w:val="20"/>
                <w:szCs w:val="20"/>
              </w:rPr>
              <w:fldChar w:fldCharType="end"/>
            </w:r>
            <w:r w:rsidRPr="00F33674">
              <w:rPr>
                <w:rFonts w:ascii="Arial Narrow" w:hAnsi="Arial Narrow" w:cs="Arial"/>
                <w:sz w:val="20"/>
                <w:szCs w:val="20"/>
              </w:rPr>
              <w:t>Unrestricted benefit</w:t>
            </w:r>
          </w:p>
          <w:p w14:paraId="759E231D" w14:textId="77777777" w:rsidR="00EC4831" w:rsidRPr="00F33674" w:rsidRDefault="00EC4831" w:rsidP="00A74C03">
            <w:pPr>
              <w:rPr>
                <w:rFonts w:ascii="Arial Narrow" w:hAnsi="Arial Narrow" w:cs="Arial"/>
                <w:i/>
                <w:sz w:val="20"/>
                <w:szCs w:val="20"/>
              </w:rPr>
            </w:pPr>
            <w:r w:rsidRPr="00F33674">
              <w:rPr>
                <w:rFonts w:ascii="Arial Narrow" w:hAnsi="Arial Narrow" w:cs="Arial"/>
                <w:i/>
                <w:sz w:val="20"/>
                <w:szCs w:val="20"/>
              </w:rPr>
              <w:fldChar w:fldCharType="begin">
                <w:ffData>
                  <w:name w:val="Check1"/>
                  <w:enabled/>
                  <w:calcOnExit w:val="0"/>
                  <w:checkBox>
                    <w:sizeAuto/>
                    <w:default w:val="1"/>
                  </w:checkBox>
                </w:ffData>
              </w:fldChar>
            </w:r>
            <w:r w:rsidRPr="00F33674">
              <w:rPr>
                <w:rFonts w:ascii="Arial Narrow" w:hAnsi="Arial Narrow" w:cs="Arial"/>
                <w:i/>
                <w:sz w:val="20"/>
                <w:szCs w:val="20"/>
              </w:rPr>
              <w:instrText xml:space="preserve"> FORMCHECKBOX </w:instrText>
            </w:r>
            <w:r w:rsidR="00233D13">
              <w:rPr>
                <w:rFonts w:ascii="Arial Narrow" w:hAnsi="Arial Narrow" w:cs="Arial"/>
                <w:i/>
                <w:sz w:val="20"/>
                <w:szCs w:val="20"/>
              </w:rPr>
            </w:r>
            <w:r w:rsidR="00233D13">
              <w:rPr>
                <w:rFonts w:ascii="Arial Narrow" w:hAnsi="Arial Narrow" w:cs="Arial"/>
                <w:i/>
                <w:sz w:val="20"/>
                <w:szCs w:val="20"/>
              </w:rPr>
              <w:fldChar w:fldCharType="separate"/>
            </w:r>
            <w:r w:rsidRPr="00F33674">
              <w:rPr>
                <w:rFonts w:ascii="Arial Narrow" w:hAnsi="Arial Narrow" w:cs="Arial"/>
                <w:i/>
                <w:sz w:val="20"/>
                <w:szCs w:val="20"/>
              </w:rPr>
              <w:fldChar w:fldCharType="end"/>
            </w:r>
            <w:r w:rsidRPr="00F33674">
              <w:rPr>
                <w:rFonts w:ascii="Arial Narrow" w:hAnsi="Arial Narrow" w:cs="Arial"/>
                <w:sz w:val="20"/>
                <w:szCs w:val="20"/>
              </w:rPr>
              <w:t>Restricted benefit</w:t>
            </w:r>
          </w:p>
          <w:p w14:paraId="4EB60B04" w14:textId="77777777" w:rsidR="00EC4831" w:rsidRPr="00F33674" w:rsidRDefault="00EC4831" w:rsidP="00A74C03">
            <w:pPr>
              <w:rPr>
                <w:rFonts w:ascii="Arial Narrow" w:hAnsi="Arial Narrow" w:cs="Arial"/>
                <w:sz w:val="20"/>
                <w:szCs w:val="20"/>
              </w:rPr>
            </w:pPr>
            <w:r w:rsidRPr="00F33674">
              <w:rPr>
                <w:rFonts w:ascii="Arial Narrow" w:hAnsi="Arial Narrow" w:cs="Arial"/>
                <w:sz w:val="20"/>
                <w:szCs w:val="20"/>
              </w:rPr>
              <w:fldChar w:fldCharType="begin">
                <w:ffData>
                  <w:name w:val=""/>
                  <w:enabled/>
                  <w:calcOnExit w:val="0"/>
                  <w:checkBox>
                    <w:sizeAuto/>
                    <w:default w:val="0"/>
                  </w:checkBox>
                </w:ffData>
              </w:fldChar>
            </w:r>
            <w:r w:rsidRPr="00F33674">
              <w:rPr>
                <w:rFonts w:ascii="Arial Narrow" w:hAnsi="Arial Narrow" w:cs="Arial"/>
                <w:sz w:val="20"/>
                <w:szCs w:val="20"/>
              </w:rPr>
              <w:instrText xml:space="preserve"> FORMCHECKBOX </w:instrText>
            </w:r>
            <w:r w:rsidR="00233D13">
              <w:rPr>
                <w:rFonts w:ascii="Arial Narrow" w:hAnsi="Arial Narrow" w:cs="Arial"/>
                <w:sz w:val="20"/>
                <w:szCs w:val="20"/>
              </w:rPr>
            </w:r>
            <w:r w:rsidR="00233D13">
              <w:rPr>
                <w:rFonts w:ascii="Arial Narrow" w:hAnsi="Arial Narrow" w:cs="Arial"/>
                <w:sz w:val="20"/>
                <w:szCs w:val="20"/>
              </w:rPr>
              <w:fldChar w:fldCharType="separate"/>
            </w:r>
            <w:r w:rsidRPr="00F33674">
              <w:rPr>
                <w:rFonts w:ascii="Arial Narrow" w:hAnsi="Arial Narrow" w:cs="Arial"/>
                <w:sz w:val="20"/>
                <w:szCs w:val="20"/>
              </w:rPr>
              <w:fldChar w:fldCharType="end"/>
            </w:r>
            <w:r w:rsidRPr="00F33674">
              <w:rPr>
                <w:rFonts w:ascii="Arial Narrow" w:hAnsi="Arial Narrow" w:cs="Arial"/>
                <w:sz w:val="20"/>
                <w:szCs w:val="20"/>
              </w:rPr>
              <w:t>Authority Required – In Writing</w:t>
            </w:r>
          </w:p>
          <w:p w14:paraId="38D17F7B" w14:textId="77777777" w:rsidR="00EC4831" w:rsidRPr="00F33674" w:rsidRDefault="00EC4831" w:rsidP="00A74C03">
            <w:pPr>
              <w:rPr>
                <w:rFonts w:ascii="Arial Narrow" w:hAnsi="Arial Narrow" w:cs="Arial"/>
                <w:sz w:val="20"/>
                <w:szCs w:val="20"/>
              </w:rPr>
            </w:pPr>
            <w:r w:rsidRPr="00F33674">
              <w:rPr>
                <w:rFonts w:ascii="Arial Narrow" w:hAnsi="Arial Narrow" w:cs="Arial"/>
                <w:sz w:val="20"/>
                <w:szCs w:val="20"/>
              </w:rPr>
              <w:fldChar w:fldCharType="begin">
                <w:ffData>
                  <w:name w:val="Check3"/>
                  <w:enabled/>
                  <w:calcOnExit w:val="0"/>
                  <w:checkBox>
                    <w:sizeAuto/>
                    <w:default w:val="0"/>
                  </w:checkBox>
                </w:ffData>
              </w:fldChar>
            </w:r>
            <w:r w:rsidRPr="00F33674">
              <w:rPr>
                <w:rFonts w:ascii="Arial Narrow" w:hAnsi="Arial Narrow" w:cs="Arial"/>
                <w:sz w:val="20"/>
                <w:szCs w:val="20"/>
              </w:rPr>
              <w:instrText xml:space="preserve"> FORMCHECKBOX </w:instrText>
            </w:r>
            <w:r w:rsidR="00233D13">
              <w:rPr>
                <w:rFonts w:ascii="Arial Narrow" w:hAnsi="Arial Narrow" w:cs="Arial"/>
                <w:sz w:val="20"/>
                <w:szCs w:val="20"/>
              </w:rPr>
            </w:r>
            <w:r w:rsidR="00233D13">
              <w:rPr>
                <w:rFonts w:ascii="Arial Narrow" w:hAnsi="Arial Narrow" w:cs="Arial"/>
                <w:sz w:val="20"/>
                <w:szCs w:val="20"/>
              </w:rPr>
              <w:fldChar w:fldCharType="separate"/>
            </w:r>
            <w:r w:rsidRPr="00F33674">
              <w:rPr>
                <w:rFonts w:ascii="Arial Narrow" w:hAnsi="Arial Narrow" w:cs="Arial"/>
                <w:sz w:val="20"/>
                <w:szCs w:val="20"/>
              </w:rPr>
              <w:fldChar w:fldCharType="end"/>
            </w:r>
            <w:r w:rsidRPr="00F33674">
              <w:rPr>
                <w:rFonts w:ascii="Arial Narrow" w:hAnsi="Arial Narrow" w:cs="Arial"/>
                <w:sz w:val="20"/>
                <w:szCs w:val="20"/>
              </w:rPr>
              <w:t>Authority Required – Telephone/Electronic/Emergency</w:t>
            </w:r>
          </w:p>
          <w:p w14:paraId="58146228" w14:textId="77777777" w:rsidR="00EC4831" w:rsidRPr="00F33674" w:rsidRDefault="00EC4831" w:rsidP="00A74C03">
            <w:pPr>
              <w:rPr>
                <w:rFonts w:ascii="Arial Narrow" w:hAnsi="Arial Narrow" w:cs="Arial"/>
                <w:sz w:val="20"/>
                <w:szCs w:val="20"/>
              </w:rPr>
            </w:pPr>
            <w:r w:rsidRPr="00F33674">
              <w:rPr>
                <w:rFonts w:ascii="Arial Narrow" w:hAnsi="Arial Narrow" w:cs="Arial"/>
                <w:sz w:val="20"/>
                <w:szCs w:val="20"/>
              </w:rPr>
              <w:fldChar w:fldCharType="begin">
                <w:ffData>
                  <w:name w:val="Check5"/>
                  <w:enabled/>
                  <w:calcOnExit w:val="0"/>
                  <w:checkBox>
                    <w:sizeAuto/>
                    <w:default w:val="0"/>
                  </w:checkBox>
                </w:ffData>
              </w:fldChar>
            </w:r>
            <w:r w:rsidRPr="00F33674">
              <w:rPr>
                <w:rFonts w:ascii="Arial Narrow" w:hAnsi="Arial Narrow" w:cs="Arial"/>
                <w:sz w:val="20"/>
                <w:szCs w:val="20"/>
              </w:rPr>
              <w:instrText xml:space="preserve"> FORMCHECKBOX </w:instrText>
            </w:r>
            <w:r w:rsidR="00233D13">
              <w:rPr>
                <w:rFonts w:ascii="Arial Narrow" w:hAnsi="Arial Narrow" w:cs="Arial"/>
                <w:sz w:val="20"/>
                <w:szCs w:val="20"/>
              </w:rPr>
            </w:r>
            <w:r w:rsidR="00233D13">
              <w:rPr>
                <w:rFonts w:ascii="Arial Narrow" w:hAnsi="Arial Narrow" w:cs="Arial"/>
                <w:sz w:val="20"/>
                <w:szCs w:val="20"/>
              </w:rPr>
              <w:fldChar w:fldCharType="separate"/>
            </w:r>
            <w:r w:rsidRPr="00F33674">
              <w:rPr>
                <w:rFonts w:ascii="Arial Narrow" w:hAnsi="Arial Narrow" w:cs="Arial"/>
                <w:sz w:val="20"/>
                <w:szCs w:val="20"/>
              </w:rPr>
              <w:fldChar w:fldCharType="end"/>
            </w:r>
            <w:r w:rsidRPr="00F33674">
              <w:rPr>
                <w:rFonts w:ascii="Arial Narrow" w:hAnsi="Arial Narrow" w:cs="Arial"/>
                <w:sz w:val="20"/>
                <w:szCs w:val="20"/>
              </w:rPr>
              <w:t>Streamlined</w:t>
            </w:r>
          </w:p>
        </w:tc>
      </w:tr>
      <w:tr w:rsidR="00EC4831" w:rsidRPr="00F33674" w14:paraId="4779D7F9" w14:textId="77777777" w:rsidTr="00A74C03">
        <w:trPr>
          <w:cantSplit/>
          <w:trHeight w:val="360"/>
        </w:trPr>
        <w:tc>
          <w:tcPr>
            <w:tcW w:w="2835" w:type="dxa"/>
            <w:tcBorders>
              <w:top w:val="single" w:sz="4" w:space="0" w:color="auto"/>
              <w:left w:val="single" w:sz="4" w:space="0" w:color="auto"/>
              <w:bottom w:val="single" w:sz="4" w:space="0" w:color="auto"/>
              <w:right w:val="single" w:sz="4" w:space="0" w:color="auto"/>
            </w:tcBorders>
          </w:tcPr>
          <w:p w14:paraId="0FD732C1" w14:textId="77777777" w:rsidR="00EC4831" w:rsidRPr="00F33674" w:rsidRDefault="00EC4831" w:rsidP="00A74C03">
            <w:pPr>
              <w:rPr>
                <w:rFonts w:ascii="Arial Narrow" w:hAnsi="Arial Narrow" w:cs="Arial"/>
                <w:b/>
                <w:sz w:val="20"/>
                <w:szCs w:val="20"/>
              </w:rPr>
            </w:pPr>
            <w:r>
              <w:rPr>
                <w:rFonts w:ascii="Arial Narrow" w:hAnsi="Arial Narrow" w:cs="Arial"/>
                <w:b/>
                <w:sz w:val="20"/>
                <w:szCs w:val="20"/>
              </w:rPr>
              <w:t>Treatment phase:</w:t>
            </w:r>
          </w:p>
        </w:tc>
        <w:tc>
          <w:tcPr>
            <w:tcW w:w="6379" w:type="dxa"/>
            <w:tcBorders>
              <w:top w:val="single" w:sz="4" w:space="0" w:color="auto"/>
              <w:left w:val="single" w:sz="4" w:space="0" w:color="auto"/>
              <w:bottom w:val="single" w:sz="4" w:space="0" w:color="auto"/>
              <w:right w:val="single" w:sz="4" w:space="0" w:color="auto"/>
            </w:tcBorders>
          </w:tcPr>
          <w:p w14:paraId="4DC2DBDF" w14:textId="7BA756D4" w:rsidR="00EC4831" w:rsidRPr="00F33674" w:rsidRDefault="00EC4831" w:rsidP="00A74C03">
            <w:pPr>
              <w:jc w:val="left"/>
              <w:rPr>
                <w:rFonts w:ascii="Arial Narrow" w:hAnsi="Arial Narrow" w:cs="Arial"/>
                <w:sz w:val="20"/>
                <w:szCs w:val="20"/>
              </w:rPr>
            </w:pPr>
            <w:r>
              <w:rPr>
                <w:rFonts w:ascii="Arial Narrow" w:hAnsi="Arial Narrow" w:cs="Arial"/>
                <w:sz w:val="20"/>
                <w:szCs w:val="20"/>
              </w:rPr>
              <w:t>Continuing PBS treatment after 1 June 2020</w:t>
            </w:r>
          </w:p>
        </w:tc>
      </w:tr>
      <w:tr w:rsidR="00EC4831" w:rsidRPr="00F33674" w14:paraId="5BC3B27E" w14:textId="77777777" w:rsidTr="00A74C03">
        <w:trPr>
          <w:cantSplit/>
          <w:trHeight w:val="360"/>
        </w:trPr>
        <w:tc>
          <w:tcPr>
            <w:tcW w:w="2835" w:type="dxa"/>
            <w:tcBorders>
              <w:top w:val="single" w:sz="4" w:space="0" w:color="auto"/>
              <w:left w:val="single" w:sz="4" w:space="0" w:color="auto"/>
              <w:bottom w:val="single" w:sz="4" w:space="0" w:color="auto"/>
              <w:right w:val="single" w:sz="4" w:space="0" w:color="auto"/>
            </w:tcBorders>
          </w:tcPr>
          <w:p w14:paraId="285F3CC2" w14:textId="77777777" w:rsidR="00EC4831" w:rsidRPr="00F33674" w:rsidRDefault="00EC4831" w:rsidP="00A74C03">
            <w:pPr>
              <w:rPr>
                <w:rFonts w:ascii="Arial Narrow" w:hAnsi="Arial Narrow" w:cs="Arial"/>
                <w:b/>
                <w:sz w:val="20"/>
                <w:szCs w:val="20"/>
              </w:rPr>
            </w:pPr>
            <w:r w:rsidRPr="00F33674">
              <w:rPr>
                <w:rFonts w:ascii="Arial Narrow" w:hAnsi="Arial Narrow" w:cs="Arial"/>
                <w:b/>
                <w:sz w:val="20"/>
                <w:szCs w:val="20"/>
              </w:rPr>
              <w:t>Clinical criteria:</w:t>
            </w:r>
          </w:p>
        </w:tc>
        <w:tc>
          <w:tcPr>
            <w:tcW w:w="6379" w:type="dxa"/>
            <w:tcBorders>
              <w:top w:val="single" w:sz="4" w:space="0" w:color="auto"/>
              <w:left w:val="single" w:sz="4" w:space="0" w:color="auto"/>
              <w:bottom w:val="single" w:sz="4" w:space="0" w:color="auto"/>
              <w:right w:val="single" w:sz="4" w:space="0" w:color="auto"/>
            </w:tcBorders>
          </w:tcPr>
          <w:p w14:paraId="3588CA3F" w14:textId="1BE3A3DD" w:rsidR="00EC4831" w:rsidRPr="00F33674" w:rsidRDefault="00A176BC" w:rsidP="00A74C03">
            <w:pPr>
              <w:jc w:val="left"/>
              <w:rPr>
                <w:rFonts w:ascii="Arial Narrow" w:hAnsi="Arial Narrow" w:cs="Arial"/>
                <w:color w:val="FF0000"/>
                <w:sz w:val="20"/>
                <w:szCs w:val="20"/>
              </w:rPr>
            </w:pPr>
            <w:r w:rsidRPr="00A176BC">
              <w:rPr>
                <w:rFonts w:ascii="Arial Narrow" w:hAnsi="Arial Narrow" w:cs="Arial"/>
                <w:sz w:val="20"/>
                <w:szCs w:val="20"/>
              </w:rPr>
              <w:t>Patient must have previously received PBS-subsidised treatment with this form of this drug for this condition after 1 June 2020</w:t>
            </w:r>
            <w:r>
              <w:rPr>
                <w:rFonts w:ascii="Arial Narrow" w:hAnsi="Arial Narrow" w:cs="Arial"/>
                <w:sz w:val="20"/>
                <w:szCs w:val="20"/>
              </w:rPr>
              <w:t>.</w:t>
            </w:r>
          </w:p>
        </w:tc>
      </w:tr>
      <w:tr w:rsidR="00EC4831" w:rsidRPr="00F33674" w14:paraId="163C5CA9" w14:textId="77777777" w:rsidTr="00A74C03">
        <w:trPr>
          <w:cantSplit/>
          <w:trHeight w:val="360"/>
        </w:trPr>
        <w:tc>
          <w:tcPr>
            <w:tcW w:w="2835" w:type="dxa"/>
            <w:tcBorders>
              <w:top w:val="single" w:sz="4" w:space="0" w:color="auto"/>
              <w:left w:val="single" w:sz="4" w:space="0" w:color="auto"/>
              <w:bottom w:val="single" w:sz="4" w:space="0" w:color="auto"/>
              <w:right w:val="single" w:sz="4" w:space="0" w:color="auto"/>
            </w:tcBorders>
          </w:tcPr>
          <w:p w14:paraId="7DA38348" w14:textId="77777777" w:rsidR="00EC4831" w:rsidRPr="00F33674" w:rsidRDefault="00EC4831" w:rsidP="00EC4831">
            <w:pPr>
              <w:rPr>
                <w:rFonts w:ascii="Arial Narrow" w:hAnsi="Arial Narrow" w:cs="Arial"/>
                <w:b/>
                <w:sz w:val="20"/>
                <w:szCs w:val="20"/>
              </w:rPr>
            </w:pPr>
            <w:r w:rsidRPr="00F33674">
              <w:rPr>
                <w:rFonts w:ascii="Arial Narrow" w:hAnsi="Arial Narrow" w:cs="Arial"/>
                <w:b/>
                <w:sz w:val="20"/>
                <w:szCs w:val="20"/>
              </w:rPr>
              <w:t>Prescriber instructions:</w:t>
            </w:r>
          </w:p>
        </w:tc>
        <w:tc>
          <w:tcPr>
            <w:tcW w:w="6379" w:type="dxa"/>
            <w:tcBorders>
              <w:top w:val="single" w:sz="4" w:space="0" w:color="auto"/>
              <w:left w:val="single" w:sz="4" w:space="0" w:color="auto"/>
              <w:bottom w:val="single" w:sz="4" w:space="0" w:color="auto"/>
              <w:right w:val="single" w:sz="4" w:space="0" w:color="auto"/>
            </w:tcBorders>
          </w:tcPr>
          <w:p w14:paraId="3C580865" w14:textId="77777777" w:rsidR="00EC4831" w:rsidRPr="009F3089" w:rsidRDefault="00EC4831" w:rsidP="00EC4831">
            <w:pPr>
              <w:jc w:val="left"/>
              <w:rPr>
                <w:rFonts w:ascii="Arial Narrow" w:hAnsi="Arial Narrow" w:cs="Arial"/>
                <w:sz w:val="20"/>
                <w:szCs w:val="20"/>
              </w:rPr>
            </w:pPr>
            <w:r w:rsidRPr="00F33674">
              <w:rPr>
                <w:rFonts w:ascii="Arial Narrow" w:hAnsi="Arial Narrow" w:cs="Arial"/>
                <w:sz w:val="20"/>
                <w:szCs w:val="20"/>
              </w:rPr>
              <w:t xml:space="preserve">[new] </w:t>
            </w:r>
            <w:r w:rsidRPr="009F3089">
              <w:rPr>
                <w:rFonts w:ascii="Arial Narrow" w:hAnsi="Arial Narrow" w:cs="Arial"/>
                <w:sz w:val="20"/>
                <w:szCs w:val="20"/>
              </w:rPr>
              <w:t>Authorities for increased maximum quantities and/or repeats must only be considered where the patient has received initial authority approval for:</w:t>
            </w:r>
          </w:p>
          <w:p w14:paraId="1846D65F" w14:textId="77777777" w:rsidR="00EC4831" w:rsidRPr="009F3089" w:rsidRDefault="00EC4831" w:rsidP="00EC4831">
            <w:pPr>
              <w:jc w:val="left"/>
              <w:rPr>
                <w:rFonts w:ascii="Arial Narrow" w:hAnsi="Arial Narrow" w:cs="Arial"/>
                <w:sz w:val="20"/>
                <w:szCs w:val="20"/>
              </w:rPr>
            </w:pPr>
            <w:r w:rsidRPr="009F3089">
              <w:rPr>
                <w:rFonts w:ascii="Arial Narrow" w:hAnsi="Arial Narrow" w:cs="Arial"/>
                <w:sz w:val="20"/>
                <w:szCs w:val="20"/>
              </w:rPr>
              <w:t>(i) severe disabling pain associated with malignant neoplasia; or</w:t>
            </w:r>
          </w:p>
          <w:p w14:paraId="709ABF85" w14:textId="77777777" w:rsidR="00EC4831" w:rsidRPr="009F3089" w:rsidRDefault="00EC4831" w:rsidP="00EC4831">
            <w:pPr>
              <w:jc w:val="left"/>
              <w:rPr>
                <w:rFonts w:ascii="Arial Narrow" w:hAnsi="Arial Narrow" w:cs="Arial"/>
                <w:sz w:val="20"/>
                <w:szCs w:val="20"/>
              </w:rPr>
            </w:pPr>
            <w:r w:rsidRPr="009F3089">
              <w:rPr>
                <w:rFonts w:ascii="Arial Narrow" w:hAnsi="Arial Narrow" w:cs="Arial"/>
                <w:sz w:val="20"/>
                <w:szCs w:val="20"/>
              </w:rPr>
              <w:t>(ii) chronic severe disabling pain where the total duration of non-PBS and PBS opioid analgesic treatment is less than 12 months; or</w:t>
            </w:r>
          </w:p>
          <w:p w14:paraId="7BB23651" w14:textId="77777777" w:rsidR="00EC4831" w:rsidRPr="009F3089" w:rsidRDefault="00EC4831" w:rsidP="00EC4831">
            <w:pPr>
              <w:jc w:val="left"/>
              <w:rPr>
                <w:rFonts w:ascii="Arial Narrow" w:hAnsi="Arial Narrow" w:cs="Arial"/>
                <w:sz w:val="20"/>
                <w:szCs w:val="20"/>
              </w:rPr>
            </w:pPr>
            <w:r w:rsidRPr="009F3089">
              <w:rPr>
                <w:rFonts w:ascii="Arial Narrow" w:hAnsi="Arial Narrow" w:cs="Arial"/>
                <w:sz w:val="20"/>
                <w:szCs w:val="20"/>
              </w:rPr>
              <w:t>(iii) palliative care patients with chronic severe disabling pain where the total duration of non-PBS and PBS opioid analgesic treatment exceeds 12 months and the patient is unable to have annual pain management review due to their clinical condition; or</w:t>
            </w:r>
          </w:p>
          <w:p w14:paraId="7EDABBEE" w14:textId="77777777" w:rsidR="00EC4831" w:rsidRPr="009F3089" w:rsidRDefault="00EC4831" w:rsidP="00EC4831">
            <w:pPr>
              <w:jc w:val="left"/>
              <w:rPr>
                <w:rFonts w:ascii="Arial Narrow" w:hAnsi="Arial Narrow" w:cs="Arial"/>
                <w:sz w:val="20"/>
                <w:szCs w:val="20"/>
              </w:rPr>
            </w:pPr>
            <w:r w:rsidRPr="009F3089">
              <w:rPr>
                <w:rFonts w:ascii="Arial Narrow" w:hAnsi="Arial Narrow" w:cs="Arial"/>
                <w:sz w:val="20"/>
                <w:szCs w:val="20"/>
              </w:rPr>
              <w:t>(iv) chronic severe disabling pain where the total duration of non-PBS and PBS opioid analgesic treatment exceeds 12 months and the patient's clinical need for continuing opioid treatment has been confirmed through consultation with the patient by another medical practitioner or a palliative care nurse practitioner in the past 12 months; or</w:t>
            </w:r>
          </w:p>
          <w:p w14:paraId="28689911" w14:textId="77777777" w:rsidR="00EC4831" w:rsidRDefault="00EC4831" w:rsidP="00EC4831">
            <w:pPr>
              <w:jc w:val="left"/>
              <w:rPr>
                <w:rFonts w:ascii="Arial Narrow" w:hAnsi="Arial Narrow" w:cs="Arial"/>
                <w:sz w:val="20"/>
                <w:szCs w:val="20"/>
              </w:rPr>
            </w:pPr>
            <w:proofErr w:type="gramStart"/>
            <w:r w:rsidRPr="009F3089">
              <w:rPr>
                <w:rFonts w:ascii="Arial Narrow" w:hAnsi="Arial Narrow" w:cs="Arial"/>
                <w:sz w:val="20"/>
                <w:szCs w:val="20"/>
              </w:rPr>
              <w:t>(v) chronic severe disabling pain where the total duration of non-PBS and PBS opioid analgesic treatment has exceeded 12 months prior to 1 June 2020 and the patient's clinical need for continuing opioid treatment has not been confirmed through consultation with the patient by another medical practitioner or a palliative care nurse practitioner in the past 12 months, but is planned in the next 3 months.</w:t>
            </w:r>
            <w:proofErr w:type="gramEnd"/>
          </w:p>
          <w:p w14:paraId="4FC4E18A" w14:textId="77777777" w:rsidR="00EC4831" w:rsidRDefault="00EC4831" w:rsidP="00EC4831">
            <w:pPr>
              <w:jc w:val="left"/>
              <w:rPr>
                <w:rFonts w:ascii="Arial Narrow" w:hAnsi="Arial Narrow" w:cs="Arial"/>
                <w:sz w:val="20"/>
                <w:szCs w:val="20"/>
              </w:rPr>
            </w:pPr>
          </w:p>
          <w:p w14:paraId="4F0D4618" w14:textId="77777777" w:rsidR="00EC4831" w:rsidRPr="00F33674" w:rsidRDefault="00EC4831" w:rsidP="00EC4831">
            <w:pPr>
              <w:jc w:val="left"/>
              <w:rPr>
                <w:rFonts w:ascii="Arial Narrow" w:hAnsi="Arial Narrow" w:cs="Arial"/>
                <w:sz w:val="20"/>
                <w:szCs w:val="20"/>
              </w:rPr>
            </w:pPr>
            <w:r>
              <w:rPr>
                <w:rFonts w:ascii="Arial Narrow" w:hAnsi="Arial Narrow" w:cs="Arial"/>
                <w:sz w:val="20"/>
                <w:szCs w:val="20"/>
              </w:rPr>
              <w:t xml:space="preserve">[new] </w:t>
            </w:r>
            <w:r w:rsidRPr="009F3089">
              <w:rPr>
                <w:rFonts w:ascii="Arial Narrow" w:hAnsi="Arial Narrow" w:cs="Arial"/>
                <w:sz w:val="20"/>
                <w:szCs w:val="20"/>
              </w:rPr>
              <w:t>Palliative care nurses may conduct annual review under this item for the treatment of palliative care patients only.</w:t>
            </w:r>
          </w:p>
          <w:p w14:paraId="4B46F430" w14:textId="77777777" w:rsidR="00EC4831" w:rsidRPr="00F33674" w:rsidRDefault="00EC4831" w:rsidP="00EC4831">
            <w:pPr>
              <w:jc w:val="left"/>
              <w:rPr>
                <w:rFonts w:ascii="Arial Narrow" w:hAnsi="Arial Narrow" w:cs="Arial"/>
                <w:sz w:val="20"/>
                <w:szCs w:val="20"/>
              </w:rPr>
            </w:pPr>
          </w:p>
          <w:p w14:paraId="7C12BDBC" w14:textId="77777777" w:rsidR="00EC4831" w:rsidRPr="00F33674" w:rsidRDefault="00EC4831" w:rsidP="00EC4831">
            <w:pPr>
              <w:jc w:val="left"/>
              <w:rPr>
                <w:rFonts w:ascii="Arial Narrow" w:hAnsi="Arial Narrow" w:cs="Arial"/>
                <w:sz w:val="20"/>
                <w:szCs w:val="20"/>
              </w:rPr>
            </w:pPr>
            <w:r w:rsidRPr="00F33674">
              <w:rPr>
                <w:rFonts w:ascii="Arial Narrow" w:hAnsi="Arial Narrow" w:cs="Arial"/>
                <w:sz w:val="20"/>
                <w:szCs w:val="20"/>
              </w:rPr>
              <w:t>[new] Authority requests extending treatment duration up to 1 month may be requested though the Online PBS Authorities system or by calling Services Australia.</w:t>
            </w:r>
          </w:p>
          <w:p w14:paraId="7605CF80" w14:textId="77777777" w:rsidR="00EC4831" w:rsidRPr="00F33674" w:rsidRDefault="00EC4831" w:rsidP="00EC4831">
            <w:pPr>
              <w:jc w:val="left"/>
              <w:rPr>
                <w:rFonts w:ascii="Arial Narrow" w:hAnsi="Arial Narrow" w:cs="Arial"/>
                <w:sz w:val="20"/>
                <w:szCs w:val="20"/>
              </w:rPr>
            </w:pPr>
          </w:p>
          <w:p w14:paraId="35E7BCA2" w14:textId="57F66B97" w:rsidR="00EC4831" w:rsidRPr="00F33674" w:rsidRDefault="00EC4831" w:rsidP="00EC4831">
            <w:pPr>
              <w:jc w:val="left"/>
              <w:rPr>
                <w:rFonts w:ascii="Arial Narrow" w:hAnsi="Arial Narrow" w:cs="Arial"/>
                <w:sz w:val="20"/>
                <w:szCs w:val="20"/>
              </w:rPr>
            </w:pPr>
            <w:r w:rsidRPr="00F33674">
              <w:rPr>
                <w:rFonts w:ascii="Arial Narrow" w:hAnsi="Arial Narrow" w:cs="Arial"/>
                <w:sz w:val="20"/>
                <w:szCs w:val="20"/>
              </w:rPr>
              <w:t xml:space="preserve">Authority requests extending treatment duration beyond 1 month </w:t>
            </w:r>
            <w:r w:rsidRPr="00710D93">
              <w:rPr>
                <w:rFonts w:ascii="Arial Narrow" w:hAnsi="Arial Narrow" w:cs="Arial"/>
                <w:sz w:val="20"/>
                <w:szCs w:val="20"/>
              </w:rPr>
              <w:t>may be requested through the Online PBS Authorities system</w:t>
            </w:r>
            <w:r w:rsidRPr="00F33674">
              <w:rPr>
                <w:rFonts w:ascii="Arial Narrow" w:hAnsi="Arial Narrow" w:cs="Arial"/>
                <w:sz w:val="20"/>
                <w:szCs w:val="20"/>
              </w:rPr>
              <w:t xml:space="preserve"> or in writing only and must not provide a treatment duration exceeding 3 months</w:t>
            </w:r>
            <w:r>
              <w:rPr>
                <w:rFonts w:ascii="Arial Narrow" w:hAnsi="Arial Narrow" w:cs="Arial"/>
                <w:sz w:val="20"/>
                <w:szCs w:val="20"/>
              </w:rPr>
              <w:t xml:space="preserve"> </w:t>
            </w:r>
            <w:r w:rsidRPr="00710D93">
              <w:rPr>
                <w:rFonts w:ascii="Arial Narrow" w:hAnsi="Arial Narrow" w:cs="Arial"/>
                <w:sz w:val="20"/>
                <w:szCs w:val="20"/>
              </w:rPr>
              <w:t xml:space="preserve">(quantity sufficient for up to </w:t>
            </w:r>
            <w:proofErr w:type="gramStart"/>
            <w:r w:rsidRPr="00710D93">
              <w:rPr>
                <w:rFonts w:ascii="Arial Narrow" w:hAnsi="Arial Narrow" w:cs="Arial"/>
                <w:sz w:val="20"/>
                <w:szCs w:val="20"/>
              </w:rPr>
              <w:t>1 month</w:t>
            </w:r>
            <w:proofErr w:type="gramEnd"/>
            <w:r w:rsidRPr="00710D93">
              <w:rPr>
                <w:rFonts w:ascii="Arial Narrow" w:hAnsi="Arial Narrow" w:cs="Arial"/>
                <w:sz w:val="20"/>
                <w:szCs w:val="20"/>
              </w:rPr>
              <w:t xml:space="preserve"> treatment and sufficient repeats)</w:t>
            </w:r>
            <w:r w:rsidRPr="00F33674">
              <w:rPr>
                <w:rFonts w:ascii="Arial Narrow" w:hAnsi="Arial Narrow" w:cs="Arial"/>
                <w:sz w:val="20"/>
                <w:szCs w:val="20"/>
              </w:rPr>
              <w:t>.</w:t>
            </w:r>
          </w:p>
        </w:tc>
      </w:tr>
      <w:tr w:rsidR="00EC4831" w:rsidRPr="00F33674" w14:paraId="07550177" w14:textId="77777777" w:rsidTr="00A74C03">
        <w:trPr>
          <w:cantSplit/>
          <w:trHeight w:val="360"/>
        </w:trPr>
        <w:tc>
          <w:tcPr>
            <w:tcW w:w="2835" w:type="dxa"/>
            <w:tcBorders>
              <w:top w:val="single" w:sz="4" w:space="0" w:color="auto"/>
              <w:left w:val="single" w:sz="4" w:space="0" w:color="auto"/>
              <w:bottom w:val="single" w:sz="4" w:space="0" w:color="auto"/>
              <w:right w:val="single" w:sz="4" w:space="0" w:color="auto"/>
            </w:tcBorders>
          </w:tcPr>
          <w:p w14:paraId="24BB6FA6" w14:textId="77777777" w:rsidR="00EC4831" w:rsidRPr="00F33674" w:rsidRDefault="00EC4831" w:rsidP="00EC4831">
            <w:pPr>
              <w:rPr>
                <w:rFonts w:ascii="Arial Narrow" w:hAnsi="Arial Narrow" w:cs="Arial"/>
                <w:b/>
                <w:sz w:val="20"/>
                <w:szCs w:val="20"/>
              </w:rPr>
            </w:pPr>
            <w:r w:rsidRPr="00F33674">
              <w:rPr>
                <w:rFonts w:ascii="Arial Narrow" w:hAnsi="Arial Narrow" w:cs="Arial"/>
                <w:b/>
                <w:sz w:val="20"/>
                <w:szCs w:val="20"/>
              </w:rPr>
              <w:lastRenderedPageBreak/>
              <w:t>Administrative advice:</w:t>
            </w:r>
          </w:p>
        </w:tc>
        <w:tc>
          <w:tcPr>
            <w:tcW w:w="6379" w:type="dxa"/>
            <w:tcBorders>
              <w:top w:val="single" w:sz="4" w:space="0" w:color="auto"/>
              <w:left w:val="single" w:sz="4" w:space="0" w:color="auto"/>
              <w:bottom w:val="single" w:sz="4" w:space="0" w:color="auto"/>
              <w:right w:val="single" w:sz="4" w:space="0" w:color="auto"/>
            </w:tcBorders>
          </w:tcPr>
          <w:p w14:paraId="1A5D97AB" w14:textId="19522FFC" w:rsidR="00EC4831" w:rsidRPr="00F33674" w:rsidRDefault="00EC4831" w:rsidP="00EC4831">
            <w:pPr>
              <w:jc w:val="left"/>
              <w:rPr>
                <w:rFonts w:ascii="Arial Narrow" w:hAnsi="Arial Narrow" w:cs="Arial"/>
                <w:sz w:val="20"/>
                <w:szCs w:val="20"/>
              </w:rPr>
            </w:pPr>
          </w:p>
          <w:p w14:paraId="1390393D" w14:textId="77777777" w:rsidR="00EC4831" w:rsidRPr="00F33674" w:rsidRDefault="00EC4831" w:rsidP="00EC4831">
            <w:pPr>
              <w:jc w:val="left"/>
              <w:rPr>
                <w:rFonts w:ascii="Arial Narrow" w:hAnsi="Arial Narrow"/>
                <w:sz w:val="20"/>
                <w:szCs w:val="20"/>
              </w:rPr>
            </w:pPr>
            <w:r w:rsidRPr="00F33674">
              <w:rPr>
                <w:rFonts w:ascii="Arial Narrow" w:hAnsi="Arial Narrow"/>
                <w:sz w:val="20"/>
                <w:szCs w:val="20"/>
              </w:rPr>
              <w:t>[new] Consider consultation with a multidisciplinary pain service prior to, or after commencement of this medication.</w:t>
            </w:r>
          </w:p>
          <w:p w14:paraId="1EF0A2E4" w14:textId="77777777" w:rsidR="00EC4831" w:rsidRPr="00F33674" w:rsidRDefault="00EC4831" w:rsidP="00EC4831">
            <w:pPr>
              <w:jc w:val="left"/>
              <w:rPr>
                <w:rFonts w:ascii="Arial Narrow" w:hAnsi="Arial Narrow" w:cs="Arial"/>
                <w:sz w:val="20"/>
                <w:szCs w:val="20"/>
              </w:rPr>
            </w:pPr>
          </w:p>
          <w:p w14:paraId="10A5D47B" w14:textId="77777777" w:rsidR="00EC4831" w:rsidRPr="00F33674" w:rsidRDefault="00EC4831" w:rsidP="00EC4831">
            <w:pPr>
              <w:jc w:val="left"/>
              <w:rPr>
                <w:rFonts w:ascii="Arial Narrow" w:hAnsi="Arial Narrow" w:cs="Arial"/>
                <w:sz w:val="20"/>
                <w:szCs w:val="20"/>
              </w:rPr>
            </w:pPr>
            <w:r w:rsidRPr="00F33674">
              <w:rPr>
                <w:rFonts w:ascii="Arial Narrow" w:hAnsi="Arial Narrow" w:cs="Arial"/>
                <w:sz w:val="20"/>
                <w:szCs w:val="20"/>
              </w:rPr>
              <w:t>[new] Real time online applications for increased maximum quantities/repeats may be made using the Online PBS Authorities system (see www.servicesaustralia.gov.au/organisations/health-professionals/services/medicare/hpos/services/request-authority-using-online-pbs-authorities-hpos)</w:t>
            </w:r>
          </w:p>
          <w:p w14:paraId="44D52962" w14:textId="77777777" w:rsidR="00EC4831" w:rsidRPr="00F33674" w:rsidRDefault="00EC4831" w:rsidP="00EC4831">
            <w:pPr>
              <w:jc w:val="left"/>
              <w:rPr>
                <w:rFonts w:ascii="Arial Narrow" w:hAnsi="Arial Narrow" w:cs="Arial"/>
                <w:sz w:val="20"/>
                <w:szCs w:val="20"/>
              </w:rPr>
            </w:pPr>
          </w:p>
          <w:p w14:paraId="40A15F01" w14:textId="77777777" w:rsidR="00EC4831" w:rsidRPr="00F33674" w:rsidRDefault="00EC4831" w:rsidP="00EC4831">
            <w:pPr>
              <w:jc w:val="left"/>
              <w:rPr>
                <w:rFonts w:ascii="Arial Narrow" w:hAnsi="Arial Narrow" w:cs="Arial"/>
                <w:sz w:val="20"/>
                <w:szCs w:val="20"/>
              </w:rPr>
            </w:pPr>
            <w:r w:rsidRPr="00F33674">
              <w:rPr>
                <w:rFonts w:ascii="Arial Narrow" w:hAnsi="Arial Narrow" w:cs="Arial"/>
                <w:sz w:val="20"/>
                <w:szCs w:val="20"/>
              </w:rPr>
              <w:t>Phone applications for increased maximum quantities/repeats may be made by calling 1800 888 333.</w:t>
            </w:r>
          </w:p>
          <w:p w14:paraId="09C6915E" w14:textId="77777777" w:rsidR="00EC4831" w:rsidRPr="00F33674" w:rsidRDefault="00EC4831" w:rsidP="00EC4831">
            <w:pPr>
              <w:jc w:val="left"/>
              <w:rPr>
                <w:rFonts w:ascii="Arial Narrow" w:hAnsi="Arial Narrow" w:cs="Arial"/>
                <w:sz w:val="20"/>
                <w:szCs w:val="20"/>
              </w:rPr>
            </w:pPr>
          </w:p>
          <w:p w14:paraId="21C37B1F" w14:textId="77777777" w:rsidR="00EC4831" w:rsidRPr="00F33674" w:rsidRDefault="00EC4831" w:rsidP="00EC4831">
            <w:pPr>
              <w:jc w:val="left"/>
              <w:rPr>
                <w:rFonts w:ascii="Arial Narrow" w:hAnsi="Arial Narrow" w:cs="Arial"/>
                <w:sz w:val="20"/>
                <w:szCs w:val="20"/>
              </w:rPr>
            </w:pPr>
            <w:r w:rsidRPr="00F33674">
              <w:rPr>
                <w:rFonts w:ascii="Arial Narrow" w:hAnsi="Arial Narrow" w:cs="Arial"/>
                <w:sz w:val="20"/>
                <w:szCs w:val="20"/>
              </w:rPr>
              <w:t>Written authority applications for increased maximum quantities/repeats can be uploaded online through HPOS form upload or mailed to:</w:t>
            </w:r>
          </w:p>
          <w:p w14:paraId="63572209" w14:textId="77777777" w:rsidR="00EC4831" w:rsidRPr="00F33674" w:rsidRDefault="00EC4831" w:rsidP="00EC4831">
            <w:pPr>
              <w:jc w:val="left"/>
              <w:rPr>
                <w:rFonts w:ascii="Arial Narrow" w:hAnsi="Arial Narrow" w:cs="Arial"/>
                <w:sz w:val="20"/>
                <w:szCs w:val="20"/>
              </w:rPr>
            </w:pPr>
            <w:r w:rsidRPr="00F33674">
              <w:rPr>
                <w:rFonts w:ascii="Arial Narrow" w:hAnsi="Arial Narrow" w:cs="Arial"/>
                <w:sz w:val="20"/>
                <w:szCs w:val="20"/>
              </w:rPr>
              <w:t>Pharmaceutical Benefits Scheme</w:t>
            </w:r>
          </w:p>
          <w:p w14:paraId="20C1A1F1" w14:textId="77777777" w:rsidR="00EC4831" w:rsidRPr="00F33674" w:rsidRDefault="00EC4831" w:rsidP="00EC4831">
            <w:pPr>
              <w:jc w:val="left"/>
              <w:rPr>
                <w:rFonts w:ascii="Arial Narrow" w:hAnsi="Arial Narrow" w:cs="Arial"/>
                <w:sz w:val="20"/>
                <w:szCs w:val="20"/>
              </w:rPr>
            </w:pPr>
            <w:r w:rsidRPr="00F33674">
              <w:rPr>
                <w:rFonts w:ascii="Arial Narrow" w:hAnsi="Arial Narrow" w:cs="Arial"/>
                <w:sz w:val="20"/>
                <w:szCs w:val="20"/>
              </w:rPr>
              <w:t>Reply Paid 9857</w:t>
            </w:r>
          </w:p>
          <w:p w14:paraId="3F6E58E4" w14:textId="77777777" w:rsidR="00EC4831" w:rsidRPr="00F33674" w:rsidRDefault="00EC4831" w:rsidP="00EC4831">
            <w:pPr>
              <w:jc w:val="left"/>
              <w:rPr>
                <w:rFonts w:ascii="Arial Narrow" w:hAnsi="Arial Narrow" w:cs="Arial"/>
                <w:sz w:val="20"/>
                <w:szCs w:val="20"/>
              </w:rPr>
            </w:pPr>
            <w:r w:rsidRPr="00F33674">
              <w:rPr>
                <w:rFonts w:ascii="Arial Narrow" w:hAnsi="Arial Narrow" w:cs="Arial"/>
                <w:sz w:val="20"/>
                <w:szCs w:val="20"/>
              </w:rPr>
              <w:t>[Your capital city]</w:t>
            </w:r>
          </w:p>
        </w:tc>
      </w:tr>
      <w:tr w:rsidR="00EC4831" w:rsidRPr="00F33674" w14:paraId="7840CFEA" w14:textId="77777777" w:rsidTr="00A74C03">
        <w:trPr>
          <w:cantSplit/>
          <w:trHeight w:val="360"/>
        </w:trPr>
        <w:tc>
          <w:tcPr>
            <w:tcW w:w="2835" w:type="dxa"/>
            <w:tcBorders>
              <w:top w:val="single" w:sz="4" w:space="0" w:color="auto"/>
              <w:left w:val="single" w:sz="4" w:space="0" w:color="auto"/>
              <w:bottom w:val="single" w:sz="4" w:space="0" w:color="auto"/>
              <w:right w:val="single" w:sz="4" w:space="0" w:color="auto"/>
            </w:tcBorders>
          </w:tcPr>
          <w:p w14:paraId="6325F584" w14:textId="77777777" w:rsidR="00EC4831" w:rsidRPr="00F33674" w:rsidRDefault="00EC4831" w:rsidP="00EC4831">
            <w:pPr>
              <w:rPr>
                <w:rFonts w:ascii="Arial Narrow" w:hAnsi="Arial Narrow" w:cs="Arial"/>
                <w:b/>
                <w:sz w:val="20"/>
                <w:szCs w:val="20"/>
              </w:rPr>
            </w:pPr>
            <w:r w:rsidRPr="00F33674">
              <w:rPr>
                <w:rFonts w:ascii="Arial Narrow" w:hAnsi="Arial Narrow" w:cs="Arial"/>
                <w:b/>
                <w:sz w:val="20"/>
                <w:szCs w:val="20"/>
              </w:rPr>
              <w:t>Cautions:</w:t>
            </w:r>
          </w:p>
        </w:tc>
        <w:tc>
          <w:tcPr>
            <w:tcW w:w="6379" w:type="dxa"/>
            <w:tcBorders>
              <w:top w:val="single" w:sz="4" w:space="0" w:color="auto"/>
              <w:left w:val="single" w:sz="4" w:space="0" w:color="auto"/>
              <w:bottom w:val="single" w:sz="4" w:space="0" w:color="auto"/>
              <w:right w:val="single" w:sz="4" w:space="0" w:color="auto"/>
            </w:tcBorders>
          </w:tcPr>
          <w:p w14:paraId="4248A723" w14:textId="77777777" w:rsidR="00EC4831" w:rsidRPr="00F33674" w:rsidRDefault="00EC4831" w:rsidP="00EC4831">
            <w:pPr>
              <w:jc w:val="left"/>
              <w:rPr>
                <w:rFonts w:ascii="Arial Narrow" w:hAnsi="Arial Narrow" w:cs="Arial"/>
                <w:sz w:val="20"/>
                <w:szCs w:val="20"/>
              </w:rPr>
            </w:pPr>
            <w:r w:rsidRPr="00F33674">
              <w:rPr>
                <w:rFonts w:ascii="Arial Narrow" w:hAnsi="Arial Narrow" w:cs="Arial"/>
                <w:sz w:val="20"/>
                <w:szCs w:val="20"/>
              </w:rPr>
              <w:t>[6986] The risk of drug dependence is high.</w:t>
            </w:r>
          </w:p>
        </w:tc>
      </w:tr>
    </w:tbl>
    <w:p w14:paraId="1342821C" w14:textId="4B9E86E1" w:rsidR="00CB71CC" w:rsidRDefault="00CB71CC">
      <w:pPr>
        <w:jc w:val="left"/>
        <w:rPr>
          <w:rFonts w:asciiTheme="minorHAnsi" w:eastAsiaTheme="minorHAnsi" w:hAnsiTheme="minorHAnsi" w:cstheme="minorBidi"/>
          <w:szCs w:val="22"/>
        </w:rPr>
      </w:pPr>
      <w:r>
        <w:br w:type="page"/>
      </w:r>
    </w:p>
    <w:p w14:paraId="0D90AC25" w14:textId="2FBA25A2" w:rsidR="00F33674" w:rsidRPr="00F33674" w:rsidRDefault="00F33674" w:rsidP="00CB71CC">
      <w:pPr>
        <w:pStyle w:val="3-BodyText"/>
      </w:pPr>
      <w:r w:rsidRPr="00F33674">
        <w:lastRenderedPageBreak/>
        <w:t>Amend items:</w:t>
      </w:r>
    </w:p>
    <w:p w14:paraId="0228C02B" w14:textId="77777777" w:rsidR="00F33674" w:rsidRPr="00F33674" w:rsidRDefault="00F33674" w:rsidP="00F33674">
      <w:pPr>
        <w:keepNext/>
        <w:keepLines/>
        <w:spacing w:before="40"/>
        <w:jc w:val="left"/>
        <w:outlineLvl w:val="2"/>
        <w:rPr>
          <w:rFonts w:asciiTheme="minorHAnsi" w:eastAsiaTheme="majorEastAsia" w:hAnsiTheme="minorHAnsi" w:cstheme="majorBidi"/>
          <w:b/>
          <w:color w:val="000000" w:themeColor="text1"/>
        </w:rPr>
      </w:pPr>
      <w:bookmarkStart w:id="22" w:name="_Toc32300588"/>
      <w:r w:rsidRPr="00F33674">
        <w:rPr>
          <w:rFonts w:asciiTheme="minorHAnsi" w:eastAsiaTheme="majorEastAsia" w:hAnsiTheme="minorHAnsi" w:cstheme="majorBidi"/>
          <w:b/>
          <w:color w:val="000000" w:themeColor="text1"/>
        </w:rPr>
        <w:t xml:space="preserve">Listing 9: Restriction for short-term pain TGA indication in </w:t>
      </w:r>
      <w:proofErr w:type="gramStart"/>
      <w:r w:rsidRPr="00F33674">
        <w:rPr>
          <w:rFonts w:asciiTheme="minorHAnsi" w:eastAsiaTheme="majorEastAsia" w:hAnsiTheme="minorHAnsi" w:cstheme="majorBidi"/>
          <w:b/>
          <w:color w:val="000000" w:themeColor="text1"/>
        </w:rPr>
        <w:t>2</w:t>
      </w:r>
      <w:r w:rsidRPr="00F33674">
        <w:rPr>
          <w:rFonts w:asciiTheme="minorHAnsi" w:eastAsiaTheme="majorEastAsia" w:hAnsiTheme="minorHAnsi" w:cstheme="majorBidi"/>
          <w:b/>
          <w:color w:val="000000" w:themeColor="text1"/>
          <w:vertAlign w:val="superscript"/>
        </w:rPr>
        <w:t>nd</w:t>
      </w:r>
      <w:proofErr w:type="gramEnd"/>
      <w:r w:rsidRPr="00F33674">
        <w:rPr>
          <w:rFonts w:asciiTheme="minorHAnsi" w:eastAsiaTheme="majorEastAsia" w:hAnsiTheme="minorHAnsi" w:cstheme="majorBidi"/>
          <w:b/>
          <w:color w:val="000000" w:themeColor="text1"/>
        </w:rPr>
        <w:t xml:space="preserve"> line opioid setting (morphine injections available to midwives):</w:t>
      </w:r>
      <w:bookmarkEnd w:id="22"/>
    </w:p>
    <w:p w14:paraId="7060D1FD" w14:textId="77777777" w:rsidR="00F33674" w:rsidRPr="00F33674" w:rsidRDefault="00F33674" w:rsidP="00F33674">
      <w:pPr>
        <w:jc w:val="left"/>
      </w:pPr>
    </w:p>
    <w:tbl>
      <w:tblPr>
        <w:tblpPr w:leftFromText="180" w:rightFromText="180" w:vertAnchor="text" w:tblpY="1"/>
        <w:tblOverlap w:val="never"/>
        <w:tblW w:w="9026" w:type="dxa"/>
        <w:tblLook w:val="04A0" w:firstRow="1" w:lastRow="0" w:firstColumn="1" w:lastColumn="0" w:noHBand="0" w:noVBand="1"/>
      </w:tblPr>
      <w:tblGrid>
        <w:gridCol w:w="1236"/>
        <w:gridCol w:w="1123"/>
        <w:gridCol w:w="2741"/>
        <w:gridCol w:w="572"/>
        <w:gridCol w:w="472"/>
        <w:gridCol w:w="1164"/>
        <w:gridCol w:w="1718"/>
      </w:tblGrid>
      <w:tr w:rsidR="00F33674" w:rsidRPr="00F33674" w14:paraId="61A48A10" w14:textId="77777777" w:rsidTr="00F33674">
        <w:trPr>
          <w:trHeight w:val="300"/>
        </w:trPr>
        <w:tc>
          <w:tcPr>
            <w:tcW w:w="1236" w:type="dxa"/>
            <w:tcBorders>
              <w:bottom w:val="single" w:sz="4" w:space="0" w:color="auto"/>
            </w:tcBorders>
            <w:shd w:val="clear" w:color="auto" w:fill="auto"/>
            <w:noWrap/>
          </w:tcPr>
          <w:p w14:paraId="4D64C2BC" w14:textId="77777777" w:rsidR="00F33674" w:rsidRPr="00F33674" w:rsidRDefault="00F33674" w:rsidP="00F33674">
            <w:pPr>
              <w:ind w:left="-1046" w:firstLine="1046"/>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LI Drug</w:t>
            </w:r>
          </w:p>
        </w:tc>
        <w:tc>
          <w:tcPr>
            <w:tcW w:w="1123" w:type="dxa"/>
            <w:tcBorders>
              <w:bottom w:val="single" w:sz="4" w:space="0" w:color="auto"/>
            </w:tcBorders>
          </w:tcPr>
          <w:p w14:paraId="2D8F7F63"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Item Code</w:t>
            </w:r>
          </w:p>
        </w:tc>
        <w:tc>
          <w:tcPr>
            <w:tcW w:w="2741" w:type="dxa"/>
            <w:tcBorders>
              <w:bottom w:val="single" w:sz="4" w:space="0" w:color="auto"/>
            </w:tcBorders>
            <w:shd w:val="clear" w:color="auto" w:fill="auto"/>
            <w:noWrap/>
          </w:tcPr>
          <w:p w14:paraId="7516D1AD"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LI Form</w:t>
            </w:r>
          </w:p>
        </w:tc>
        <w:tc>
          <w:tcPr>
            <w:tcW w:w="572" w:type="dxa"/>
            <w:tcBorders>
              <w:bottom w:val="single" w:sz="4" w:space="0" w:color="auto"/>
            </w:tcBorders>
            <w:shd w:val="clear" w:color="auto" w:fill="auto"/>
            <w:noWrap/>
          </w:tcPr>
          <w:p w14:paraId="0776DC74" w14:textId="77777777" w:rsidR="00F33674" w:rsidRPr="00F33674" w:rsidRDefault="00F33674" w:rsidP="00F33674">
            <w:pPr>
              <w:ind w:left="-509" w:firstLine="509"/>
              <w:jc w:val="righ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 xml:space="preserve">Max. </w:t>
            </w:r>
            <w:r w:rsidRPr="00F33674">
              <w:rPr>
                <w:rFonts w:ascii="Arial Narrow" w:hAnsi="Arial Narrow" w:cs="Arial"/>
                <w:sz w:val="20"/>
                <w:szCs w:val="20"/>
              </w:rPr>
              <w:t>Qty</w:t>
            </w:r>
          </w:p>
        </w:tc>
        <w:tc>
          <w:tcPr>
            <w:tcW w:w="472" w:type="dxa"/>
            <w:tcBorders>
              <w:bottom w:val="single" w:sz="4" w:space="0" w:color="auto"/>
            </w:tcBorders>
            <w:shd w:val="clear" w:color="auto" w:fill="auto"/>
            <w:noWrap/>
          </w:tcPr>
          <w:p w14:paraId="75F3F254" w14:textId="77777777" w:rsidR="00F33674" w:rsidRPr="00F33674" w:rsidRDefault="00F33674" w:rsidP="00F33674">
            <w:pPr>
              <w:ind w:left="-1046" w:firstLine="1046"/>
              <w:jc w:val="righ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No. Rpt</w:t>
            </w:r>
          </w:p>
        </w:tc>
        <w:tc>
          <w:tcPr>
            <w:tcW w:w="1164" w:type="dxa"/>
            <w:tcBorders>
              <w:bottom w:val="single" w:sz="4" w:space="0" w:color="auto"/>
            </w:tcBorders>
            <w:shd w:val="clear" w:color="auto" w:fill="auto"/>
            <w:noWrap/>
          </w:tcPr>
          <w:p w14:paraId="2AA47674"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Brand Name</w:t>
            </w:r>
          </w:p>
        </w:tc>
        <w:tc>
          <w:tcPr>
            <w:tcW w:w="1718" w:type="dxa"/>
            <w:tcBorders>
              <w:bottom w:val="single" w:sz="4" w:space="0" w:color="auto"/>
            </w:tcBorders>
            <w:shd w:val="clear" w:color="auto" w:fill="auto"/>
            <w:noWrap/>
          </w:tcPr>
          <w:p w14:paraId="02611663" w14:textId="77777777" w:rsidR="00F33674" w:rsidRPr="00F33674" w:rsidRDefault="00F33674" w:rsidP="00F33674">
            <w:pPr>
              <w:ind w:left="39" w:hanging="39"/>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Responsible Person</w:t>
            </w:r>
          </w:p>
        </w:tc>
      </w:tr>
      <w:tr w:rsidR="00F33674" w:rsidRPr="00F33674" w14:paraId="554BABAE" w14:textId="77777777" w:rsidTr="00F33674">
        <w:trPr>
          <w:trHeight w:val="300"/>
        </w:trPr>
        <w:tc>
          <w:tcPr>
            <w:tcW w:w="1236" w:type="dxa"/>
            <w:tcBorders>
              <w:top w:val="single" w:sz="4" w:space="0" w:color="auto"/>
            </w:tcBorders>
            <w:shd w:val="clear" w:color="auto" w:fill="auto"/>
            <w:noWrap/>
            <w:hideMark/>
          </w:tcPr>
          <w:p w14:paraId="00516734" w14:textId="77777777" w:rsidR="00F33674" w:rsidRPr="00F33674" w:rsidRDefault="00F33674" w:rsidP="00F33674">
            <w:pPr>
              <w:ind w:left="-1046" w:firstLine="1046"/>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MORPHINE</w:t>
            </w:r>
          </w:p>
        </w:tc>
        <w:tc>
          <w:tcPr>
            <w:tcW w:w="1123" w:type="dxa"/>
            <w:tcBorders>
              <w:top w:val="single" w:sz="4" w:space="0" w:color="auto"/>
            </w:tcBorders>
          </w:tcPr>
          <w:p w14:paraId="4DF0E2C6" w14:textId="77777777" w:rsidR="00F33674" w:rsidRPr="00F33674" w:rsidRDefault="00F33674" w:rsidP="00F33674">
            <w:pPr>
              <w:jc w:val="left"/>
              <w:rPr>
                <w:rFonts w:ascii="Arial Narrow" w:hAnsi="Arial Narrow" w:cs="Calibri"/>
                <w:b/>
                <w:color w:val="000000"/>
                <w:sz w:val="20"/>
                <w:szCs w:val="20"/>
                <w:lang w:eastAsia="en-AU"/>
              </w:rPr>
            </w:pPr>
            <w:r w:rsidRPr="00F33674">
              <w:rPr>
                <w:rFonts w:ascii="Arial Narrow" w:hAnsi="Arial Narrow" w:cs="Calibri"/>
                <w:color w:val="000000"/>
                <w:sz w:val="20"/>
                <w:szCs w:val="20"/>
                <w:lang w:eastAsia="en-AU"/>
              </w:rPr>
              <w:t>10864T</w:t>
            </w:r>
          </w:p>
        </w:tc>
        <w:tc>
          <w:tcPr>
            <w:tcW w:w="2741" w:type="dxa"/>
            <w:tcBorders>
              <w:top w:val="single" w:sz="4" w:space="0" w:color="auto"/>
            </w:tcBorders>
            <w:shd w:val="clear" w:color="auto" w:fill="auto"/>
            <w:noWrap/>
            <w:hideMark/>
          </w:tcPr>
          <w:p w14:paraId="2D389834"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Injection containing morphine hydrochloride trihydrate 10 mg in 1 mL</w:t>
            </w:r>
          </w:p>
        </w:tc>
        <w:tc>
          <w:tcPr>
            <w:tcW w:w="572" w:type="dxa"/>
            <w:tcBorders>
              <w:top w:val="single" w:sz="4" w:space="0" w:color="auto"/>
            </w:tcBorders>
            <w:shd w:val="clear" w:color="auto" w:fill="auto"/>
            <w:noWrap/>
            <w:hideMark/>
          </w:tcPr>
          <w:p w14:paraId="6F33D5AF" w14:textId="77777777" w:rsidR="00F33674" w:rsidRPr="00F33674" w:rsidRDefault="00F33674" w:rsidP="00F33674">
            <w:pPr>
              <w:ind w:left="-509" w:firstLine="509"/>
              <w:jc w:val="center"/>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5</w:t>
            </w:r>
          </w:p>
        </w:tc>
        <w:tc>
          <w:tcPr>
            <w:tcW w:w="472" w:type="dxa"/>
            <w:tcBorders>
              <w:top w:val="single" w:sz="4" w:space="0" w:color="auto"/>
            </w:tcBorders>
            <w:shd w:val="clear" w:color="auto" w:fill="auto"/>
            <w:noWrap/>
            <w:hideMark/>
          </w:tcPr>
          <w:p w14:paraId="32998FC3" w14:textId="77777777" w:rsidR="00F33674" w:rsidRPr="00F33674" w:rsidRDefault="00F33674" w:rsidP="00F33674">
            <w:pPr>
              <w:ind w:left="-1046" w:firstLine="1046"/>
              <w:jc w:val="center"/>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0</w:t>
            </w:r>
          </w:p>
        </w:tc>
        <w:tc>
          <w:tcPr>
            <w:tcW w:w="1164" w:type="dxa"/>
            <w:tcBorders>
              <w:top w:val="single" w:sz="4" w:space="0" w:color="auto"/>
            </w:tcBorders>
            <w:shd w:val="clear" w:color="auto" w:fill="auto"/>
            <w:noWrap/>
            <w:hideMark/>
          </w:tcPr>
          <w:p w14:paraId="482D08FA"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Morphine Juno</w:t>
            </w:r>
          </w:p>
        </w:tc>
        <w:tc>
          <w:tcPr>
            <w:tcW w:w="1718" w:type="dxa"/>
            <w:tcBorders>
              <w:top w:val="single" w:sz="4" w:space="0" w:color="auto"/>
            </w:tcBorders>
            <w:shd w:val="clear" w:color="auto" w:fill="auto"/>
            <w:noWrap/>
            <w:hideMark/>
          </w:tcPr>
          <w:p w14:paraId="02BE3032" w14:textId="77777777" w:rsidR="00F33674" w:rsidRPr="00F33674" w:rsidRDefault="00F33674" w:rsidP="00F33674">
            <w:pPr>
              <w:ind w:left="39" w:hanging="39"/>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Juno Pharmaceuticals Pty Ltd</w:t>
            </w:r>
          </w:p>
        </w:tc>
      </w:tr>
      <w:tr w:rsidR="00F33674" w:rsidRPr="00F33674" w14:paraId="4B8484F8" w14:textId="77777777" w:rsidTr="00F33674">
        <w:trPr>
          <w:trHeight w:val="300"/>
        </w:trPr>
        <w:tc>
          <w:tcPr>
            <w:tcW w:w="1236" w:type="dxa"/>
            <w:shd w:val="clear" w:color="auto" w:fill="auto"/>
            <w:noWrap/>
          </w:tcPr>
          <w:p w14:paraId="530610EC" w14:textId="77777777" w:rsidR="00F33674" w:rsidRPr="00F33674" w:rsidRDefault="00F33674" w:rsidP="00F33674">
            <w:pPr>
              <w:ind w:left="-1046" w:firstLine="1046"/>
              <w:jc w:val="left"/>
              <w:rPr>
                <w:rFonts w:ascii="Arial Narrow" w:hAnsi="Arial Narrow" w:cs="Calibri"/>
                <w:color w:val="000000"/>
                <w:sz w:val="20"/>
                <w:szCs w:val="20"/>
                <w:lang w:eastAsia="en-AU"/>
              </w:rPr>
            </w:pPr>
          </w:p>
        </w:tc>
        <w:tc>
          <w:tcPr>
            <w:tcW w:w="1123" w:type="dxa"/>
          </w:tcPr>
          <w:p w14:paraId="2AC40EFE" w14:textId="77777777" w:rsidR="00F33674" w:rsidRPr="00F33674" w:rsidRDefault="00F33674" w:rsidP="00F33674">
            <w:pPr>
              <w:jc w:val="left"/>
              <w:rPr>
                <w:rFonts w:ascii="Arial Narrow" w:hAnsi="Arial Narrow" w:cs="Calibri"/>
                <w:b/>
                <w:color w:val="000000"/>
                <w:sz w:val="20"/>
                <w:szCs w:val="20"/>
                <w:lang w:eastAsia="en-AU"/>
              </w:rPr>
            </w:pPr>
            <w:r w:rsidRPr="00F33674">
              <w:rPr>
                <w:rFonts w:ascii="Arial Narrow" w:hAnsi="Arial Narrow" w:cs="Calibri"/>
                <w:color w:val="000000"/>
                <w:sz w:val="20"/>
                <w:szCs w:val="20"/>
                <w:lang w:eastAsia="en-AU"/>
              </w:rPr>
              <w:t>1644M</w:t>
            </w:r>
          </w:p>
        </w:tc>
        <w:tc>
          <w:tcPr>
            <w:tcW w:w="2741" w:type="dxa"/>
            <w:vMerge w:val="restart"/>
            <w:shd w:val="clear" w:color="auto" w:fill="auto"/>
            <w:noWrap/>
            <w:hideMark/>
          </w:tcPr>
          <w:p w14:paraId="3E7FF745"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Injection containing morphine sulfate pentahydrate 10 mg in 1 mL</w:t>
            </w:r>
          </w:p>
        </w:tc>
        <w:tc>
          <w:tcPr>
            <w:tcW w:w="572" w:type="dxa"/>
            <w:shd w:val="clear" w:color="auto" w:fill="auto"/>
            <w:noWrap/>
            <w:hideMark/>
          </w:tcPr>
          <w:p w14:paraId="4E3DF978" w14:textId="77777777" w:rsidR="00F33674" w:rsidRPr="00F33674" w:rsidRDefault="00F33674" w:rsidP="00F33674">
            <w:pPr>
              <w:ind w:left="-509" w:firstLine="509"/>
              <w:jc w:val="center"/>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5</w:t>
            </w:r>
          </w:p>
        </w:tc>
        <w:tc>
          <w:tcPr>
            <w:tcW w:w="472" w:type="dxa"/>
            <w:shd w:val="clear" w:color="auto" w:fill="auto"/>
            <w:noWrap/>
            <w:hideMark/>
          </w:tcPr>
          <w:p w14:paraId="3A983D8C" w14:textId="77777777" w:rsidR="00F33674" w:rsidRPr="00F33674" w:rsidRDefault="00F33674" w:rsidP="00F33674">
            <w:pPr>
              <w:ind w:left="-1046" w:firstLine="1046"/>
              <w:jc w:val="center"/>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0</w:t>
            </w:r>
          </w:p>
        </w:tc>
        <w:tc>
          <w:tcPr>
            <w:tcW w:w="1164" w:type="dxa"/>
            <w:shd w:val="clear" w:color="auto" w:fill="auto"/>
            <w:noWrap/>
            <w:hideMark/>
          </w:tcPr>
          <w:p w14:paraId="7D7DEC3D"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Hospira Pty Limited</w:t>
            </w:r>
          </w:p>
        </w:tc>
        <w:tc>
          <w:tcPr>
            <w:tcW w:w="1718" w:type="dxa"/>
            <w:shd w:val="clear" w:color="auto" w:fill="auto"/>
            <w:noWrap/>
            <w:hideMark/>
          </w:tcPr>
          <w:p w14:paraId="62DCCBD5" w14:textId="77777777" w:rsidR="00F33674" w:rsidRPr="00F33674" w:rsidRDefault="00F33674" w:rsidP="00F33674">
            <w:pPr>
              <w:ind w:left="39" w:hanging="39"/>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Pfizer Australia Pty Ltd</w:t>
            </w:r>
          </w:p>
        </w:tc>
      </w:tr>
      <w:tr w:rsidR="00F33674" w:rsidRPr="00F33674" w14:paraId="638E6ADF" w14:textId="77777777" w:rsidTr="00F33674">
        <w:trPr>
          <w:trHeight w:val="300"/>
        </w:trPr>
        <w:tc>
          <w:tcPr>
            <w:tcW w:w="1236" w:type="dxa"/>
            <w:shd w:val="clear" w:color="auto" w:fill="auto"/>
            <w:noWrap/>
          </w:tcPr>
          <w:p w14:paraId="35EDE8B9" w14:textId="77777777" w:rsidR="00F33674" w:rsidRPr="00F33674" w:rsidRDefault="00F33674" w:rsidP="00F33674">
            <w:pPr>
              <w:ind w:left="-1046" w:firstLine="1046"/>
              <w:jc w:val="left"/>
              <w:rPr>
                <w:rFonts w:ascii="Arial Narrow" w:hAnsi="Arial Narrow" w:cs="Calibri"/>
                <w:color w:val="000000"/>
                <w:sz w:val="20"/>
                <w:szCs w:val="20"/>
                <w:lang w:eastAsia="en-AU"/>
              </w:rPr>
            </w:pPr>
          </w:p>
        </w:tc>
        <w:tc>
          <w:tcPr>
            <w:tcW w:w="1123" w:type="dxa"/>
          </w:tcPr>
          <w:p w14:paraId="0305D7C1" w14:textId="77777777" w:rsidR="00F33674" w:rsidRPr="00F33674" w:rsidRDefault="00F33674" w:rsidP="00F33674">
            <w:pPr>
              <w:jc w:val="left"/>
              <w:rPr>
                <w:rFonts w:ascii="Arial Narrow" w:hAnsi="Arial Narrow" w:cs="Calibri"/>
                <w:b/>
                <w:color w:val="000000"/>
                <w:sz w:val="20"/>
                <w:szCs w:val="20"/>
                <w:lang w:eastAsia="en-AU"/>
              </w:rPr>
            </w:pPr>
          </w:p>
        </w:tc>
        <w:tc>
          <w:tcPr>
            <w:tcW w:w="2741" w:type="dxa"/>
            <w:vMerge/>
            <w:shd w:val="clear" w:color="auto" w:fill="auto"/>
            <w:noWrap/>
          </w:tcPr>
          <w:p w14:paraId="1232B2BA" w14:textId="77777777" w:rsidR="00F33674" w:rsidRPr="00F33674" w:rsidRDefault="00F33674" w:rsidP="00F33674">
            <w:pPr>
              <w:jc w:val="left"/>
              <w:rPr>
                <w:rFonts w:ascii="Arial Narrow" w:hAnsi="Arial Narrow" w:cs="Calibri"/>
                <w:color w:val="000000"/>
                <w:sz w:val="20"/>
                <w:szCs w:val="20"/>
                <w:lang w:eastAsia="en-AU"/>
              </w:rPr>
            </w:pPr>
          </w:p>
        </w:tc>
        <w:tc>
          <w:tcPr>
            <w:tcW w:w="572" w:type="dxa"/>
            <w:shd w:val="clear" w:color="auto" w:fill="auto"/>
            <w:noWrap/>
          </w:tcPr>
          <w:p w14:paraId="3DFF321C" w14:textId="77777777" w:rsidR="00F33674" w:rsidRPr="00F33674" w:rsidRDefault="00F33674" w:rsidP="00F33674">
            <w:pPr>
              <w:ind w:left="-509" w:firstLine="509"/>
              <w:jc w:val="center"/>
              <w:rPr>
                <w:rFonts w:ascii="Arial Narrow" w:hAnsi="Arial Narrow" w:cs="Calibri"/>
                <w:color w:val="000000"/>
                <w:sz w:val="20"/>
                <w:szCs w:val="20"/>
                <w:lang w:eastAsia="en-AU"/>
              </w:rPr>
            </w:pPr>
          </w:p>
        </w:tc>
        <w:tc>
          <w:tcPr>
            <w:tcW w:w="472" w:type="dxa"/>
            <w:shd w:val="clear" w:color="auto" w:fill="auto"/>
            <w:noWrap/>
          </w:tcPr>
          <w:p w14:paraId="023230EB" w14:textId="77777777" w:rsidR="00F33674" w:rsidRPr="00F33674" w:rsidRDefault="00F33674" w:rsidP="00F33674">
            <w:pPr>
              <w:ind w:left="-1046" w:firstLine="1046"/>
              <w:jc w:val="center"/>
              <w:rPr>
                <w:rFonts w:ascii="Arial Narrow" w:hAnsi="Arial Narrow" w:cs="Calibri"/>
                <w:color w:val="000000"/>
                <w:sz w:val="20"/>
                <w:szCs w:val="20"/>
                <w:lang w:eastAsia="en-AU"/>
              </w:rPr>
            </w:pPr>
          </w:p>
        </w:tc>
        <w:tc>
          <w:tcPr>
            <w:tcW w:w="1164" w:type="dxa"/>
            <w:shd w:val="clear" w:color="auto" w:fill="auto"/>
            <w:noWrap/>
            <w:hideMark/>
          </w:tcPr>
          <w:p w14:paraId="5A8B6B8E"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MORPHINE SULFATE 10 mg/1 mL MEDSURGE</w:t>
            </w:r>
          </w:p>
        </w:tc>
        <w:tc>
          <w:tcPr>
            <w:tcW w:w="1718" w:type="dxa"/>
            <w:shd w:val="clear" w:color="auto" w:fill="auto"/>
            <w:noWrap/>
            <w:hideMark/>
          </w:tcPr>
          <w:p w14:paraId="31AA0BAB" w14:textId="77777777" w:rsidR="00F33674" w:rsidRPr="00F33674" w:rsidRDefault="00F33674" w:rsidP="00F33674">
            <w:pPr>
              <w:ind w:left="39" w:hanging="39"/>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Medsurge Healthcare Pty Ltd</w:t>
            </w:r>
          </w:p>
        </w:tc>
      </w:tr>
      <w:tr w:rsidR="00F33674" w:rsidRPr="00F33674" w14:paraId="3401A525" w14:textId="77777777" w:rsidTr="00F33674">
        <w:trPr>
          <w:trHeight w:val="300"/>
        </w:trPr>
        <w:tc>
          <w:tcPr>
            <w:tcW w:w="1236" w:type="dxa"/>
            <w:shd w:val="clear" w:color="auto" w:fill="auto"/>
            <w:noWrap/>
          </w:tcPr>
          <w:p w14:paraId="69A6DF5A" w14:textId="77777777" w:rsidR="00F33674" w:rsidRPr="00F33674" w:rsidRDefault="00F33674" w:rsidP="00F33674">
            <w:pPr>
              <w:ind w:left="-1046" w:firstLine="1046"/>
              <w:jc w:val="left"/>
              <w:rPr>
                <w:rFonts w:ascii="Arial Narrow" w:hAnsi="Arial Narrow" w:cs="Calibri"/>
                <w:color w:val="000000"/>
                <w:sz w:val="20"/>
                <w:szCs w:val="20"/>
                <w:lang w:eastAsia="en-AU"/>
              </w:rPr>
            </w:pPr>
          </w:p>
        </w:tc>
        <w:tc>
          <w:tcPr>
            <w:tcW w:w="1123" w:type="dxa"/>
          </w:tcPr>
          <w:p w14:paraId="41D36094" w14:textId="77777777" w:rsidR="00F33674" w:rsidRPr="00F33674" w:rsidRDefault="00F33674" w:rsidP="00F33674">
            <w:pPr>
              <w:jc w:val="left"/>
              <w:rPr>
                <w:rFonts w:ascii="Arial Narrow" w:hAnsi="Arial Narrow" w:cs="Calibri"/>
                <w:b/>
                <w:color w:val="000000"/>
                <w:sz w:val="20"/>
                <w:szCs w:val="20"/>
                <w:lang w:eastAsia="en-AU"/>
              </w:rPr>
            </w:pPr>
            <w:r w:rsidRPr="00F33674">
              <w:rPr>
                <w:rFonts w:ascii="Arial Narrow" w:hAnsi="Arial Narrow" w:cs="Calibri"/>
                <w:color w:val="000000"/>
                <w:sz w:val="20"/>
                <w:szCs w:val="20"/>
                <w:lang w:eastAsia="en-AU"/>
              </w:rPr>
              <w:t>1645N</w:t>
            </w:r>
          </w:p>
        </w:tc>
        <w:tc>
          <w:tcPr>
            <w:tcW w:w="2741" w:type="dxa"/>
            <w:vMerge w:val="restart"/>
            <w:shd w:val="clear" w:color="auto" w:fill="auto"/>
            <w:noWrap/>
            <w:hideMark/>
          </w:tcPr>
          <w:p w14:paraId="652CE248"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Injection containing morphine sulfate pentahydrate 15 mg in 1 mL</w:t>
            </w:r>
          </w:p>
        </w:tc>
        <w:tc>
          <w:tcPr>
            <w:tcW w:w="572" w:type="dxa"/>
            <w:shd w:val="clear" w:color="auto" w:fill="auto"/>
            <w:noWrap/>
            <w:hideMark/>
          </w:tcPr>
          <w:p w14:paraId="05F1E02B" w14:textId="77777777" w:rsidR="00F33674" w:rsidRPr="00F33674" w:rsidRDefault="00F33674" w:rsidP="00F33674">
            <w:pPr>
              <w:ind w:left="-509" w:firstLine="509"/>
              <w:jc w:val="center"/>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5</w:t>
            </w:r>
          </w:p>
        </w:tc>
        <w:tc>
          <w:tcPr>
            <w:tcW w:w="472" w:type="dxa"/>
            <w:shd w:val="clear" w:color="auto" w:fill="auto"/>
            <w:noWrap/>
            <w:hideMark/>
          </w:tcPr>
          <w:p w14:paraId="2B317656" w14:textId="77777777" w:rsidR="00F33674" w:rsidRPr="00F33674" w:rsidRDefault="00F33674" w:rsidP="00F33674">
            <w:pPr>
              <w:ind w:left="-1046" w:firstLine="1046"/>
              <w:jc w:val="center"/>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0</w:t>
            </w:r>
          </w:p>
        </w:tc>
        <w:tc>
          <w:tcPr>
            <w:tcW w:w="1164" w:type="dxa"/>
            <w:shd w:val="clear" w:color="auto" w:fill="auto"/>
            <w:noWrap/>
            <w:hideMark/>
          </w:tcPr>
          <w:p w14:paraId="23959B3C"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Hospira Pty Limited</w:t>
            </w:r>
          </w:p>
        </w:tc>
        <w:tc>
          <w:tcPr>
            <w:tcW w:w="1718" w:type="dxa"/>
            <w:shd w:val="clear" w:color="auto" w:fill="auto"/>
            <w:noWrap/>
            <w:hideMark/>
          </w:tcPr>
          <w:p w14:paraId="3D71060B" w14:textId="77777777" w:rsidR="00F33674" w:rsidRPr="00F33674" w:rsidRDefault="00F33674" w:rsidP="00F33674">
            <w:pPr>
              <w:ind w:left="39" w:hanging="39"/>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Pfizer Australia Pty Ltd</w:t>
            </w:r>
          </w:p>
        </w:tc>
      </w:tr>
      <w:tr w:rsidR="00F33674" w:rsidRPr="00F33674" w14:paraId="4EA9216D" w14:textId="77777777" w:rsidTr="00F33674">
        <w:trPr>
          <w:trHeight w:val="300"/>
        </w:trPr>
        <w:tc>
          <w:tcPr>
            <w:tcW w:w="1236" w:type="dxa"/>
            <w:shd w:val="clear" w:color="auto" w:fill="auto"/>
            <w:noWrap/>
          </w:tcPr>
          <w:p w14:paraId="3E294B6B" w14:textId="77777777" w:rsidR="00F33674" w:rsidRPr="00F33674" w:rsidRDefault="00F33674" w:rsidP="00F33674">
            <w:pPr>
              <w:ind w:left="-1046" w:firstLine="1046"/>
              <w:jc w:val="left"/>
              <w:rPr>
                <w:rFonts w:ascii="Arial Narrow" w:hAnsi="Arial Narrow" w:cs="Calibri"/>
                <w:color w:val="000000"/>
                <w:sz w:val="20"/>
                <w:szCs w:val="20"/>
                <w:lang w:eastAsia="en-AU"/>
              </w:rPr>
            </w:pPr>
          </w:p>
        </w:tc>
        <w:tc>
          <w:tcPr>
            <w:tcW w:w="1123" w:type="dxa"/>
          </w:tcPr>
          <w:p w14:paraId="513F0C94" w14:textId="77777777" w:rsidR="00F33674" w:rsidRPr="00F33674" w:rsidRDefault="00F33674" w:rsidP="00F33674">
            <w:pPr>
              <w:jc w:val="left"/>
              <w:rPr>
                <w:rFonts w:ascii="Arial Narrow" w:hAnsi="Arial Narrow" w:cs="Calibri"/>
                <w:b/>
                <w:color w:val="000000"/>
                <w:sz w:val="20"/>
                <w:szCs w:val="20"/>
                <w:lang w:eastAsia="en-AU"/>
              </w:rPr>
            </w:pPr>
          </w:p>
        </w:tc>
        <w:tc>
          <w:tcPr>
            <w:tcW w:w="2741" w:type="dxa"/>
            <w:vMerge/>
            <w:shd w:val="clear" w:color="auto" w:fill="auto"/>
            <w:noWrap/>
          </w:tcPr>
          <w:p w14:paraId="7AD27941" w14:textId="77777777" w:rsidR="00F33674" w:rsidRPr="00F33674" w:rsidRDefault="00F33674" w:rsidP="00F33674">
            <w:pPr>
              <w:jc w:val="left"/>
              <w:rPr>
                <w:rFonts w:ascii="Arial Narrow" w:hAnsi="Arial Narrow" w:cs="Calibri"/>
                <w:color w:val="000000"/>
                <w:sz w:val="20"/>
                <w:szCs w:val="20"/>
                <w:lang w:eastAsia="en-AU"/>
              </w:rPr>
            </w:pPr>
          </w:p>
        </w:tc>
        <w:tc>
          <w:tcPr>
            <w:tcW w:w="572" w:type="dxa"/>
            <w:shd w:val="clear" w:color="auto" w:fill="auto"/>
            <w:noWrap/>
          </w:tcPr>
          <w:p w14:paraId="7782BD9A" w14:textId="77777777" w:rsidR="00F33674" w:rsidRPr="00F33674" w:rsidRDefault="00F33674" w:rsidP="00F33674">
            <w:pPr>
              <w:ind w:left="-509" w:firstLine="509"/>
              <w:jc w:val="right"/>
              <w:rPr>
                <w:rFonts w:ascii="Arial Narrow" w:hAnsi="Arial Narrow" w:cs="Calibri"/>
                <w:color w:val="000000"/>
                <w:sz w:val="20"/>
                <w:szCs w:val="20"/>
                <w:lang w:eastAsia="en-AU"/>
              </w:rPr>
            </w:pPr>
          </w:p>
        </w:tc>
        <w:tc>
          <w:tcPr>
            <w:tcW w:w="472" w:type="dxa"/>
            <w:shd w:val="clear" w:color="auto" w:fill="auto"/>
            <w:noWrap/>
          </w:tcPr>
          <w:p w14:paraId="6DB0BB0C" w14:textId="77777777" w:rsidR="00F33674" w:rsidRPr="00F33674" w:rsidRDefault="00F33674" w:rsidP="00F33674">
            <w:pPr>
              <w:ind w:left="-1046" w:firstLine="1046"/>
              <w:jc w:val="right"/>
              <w:rPr>
                <w:rFonts w:ascii="Arial Narrow" w:hAnsi="Arial Narrow" w:cs="Calibri"/>
                <w:color w:val="000000"/>
                <w:sz w:val="20"/>
                <w:szCs w:val="20"/>
                <w:lang w:eastAsia="en-AU"/>
              </w:rPr>
            </w:pPr>
          </w:p>
        </w:tc>
        <w:tc>
          <w:tcPr>
            <w:tcW w:w="1164" w:type="dxa"/>
            <w:shd w:val="clear" w:color="auto" w:fill="auto"/>
            <w:noWrap/>
            <w:hideMark/>
          </w:tcPr>
          <w:p w14:paraId="3004B02D"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MORPHINE SULFATE 15 mg/1 mL MEDSURGE</w:t>
            </w:r>
          </w:p>
        </w:tc>
        <w:tc>
          <w:tcPr>
            <w:tcW w:w="1718" w:type="dxa"/>
            <w:shd w:val="clear" w:color="auto" w:fill="auto"/>
            <w:noWrap/>
            <w:hideMark/>
          </w:tcPr>
          <w:p w14:paraId="3EE768B8" w14:textId="77777777" w:rsidR="00F33674" w:rsidRPr="00F33674" w:rsidRDefault="00F33674" w:rsidP="00F33674">
            <w:pPr>
              <w:ind w:left="39" w:hanging="39"/>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Medsurge Healthcare Pty Ltd</w:t>
            </w:r>
          </w:p>
        </w:tc>
      </w:tr>
    </w:tbl>
    <w:p w14:paraId="4974307C" w14:textId="77777777" w:rsidR="00F33674" w:rsidRPr="00F33674" w:rsidRDefault="00F33674" w:rsidP="00F33674">
      <w:pPr>
        <w:ind w:left="360" w:hanging="360"/>
        <w:contextualSpacing/>
        <w:jc w:val="left"/>
      </w:pPr>
    </w:p>
    <w:tbl>
      <w:tblPr>
        <w:tblW w:w="9214" w:type="dxa"/>
        <w:tblInd w:w="-5" w:type="dxa"/>
        <w:tblLayout w:type="fixed"/>
        <w:tblLook w:val="0000" w:firstRow="0" w:lastRow="0" w:firstColumn="0" w:lastColumn="0" w:noHBand="0" w:noVBand="0"/>
      </w:tblPr>
      <w:tblGrid>
        <w:gridCol w:w="2835"/>
        <w:gridCol w:w="6379"/>
      </w:tblGrid>
      <w:tr w:rsidR="00F33674" w:rsidRPr="00F33674" w14:paraId="1A9284BD" w14:textId="77777777" w:rsidTr="00F33674">
        <w:trPr>
          <w:cantSplit/>
          <w:trHeight w:val="360"/>
        </w:trPr>
        <w:tc>
          <w:tcPr>
            <w:tcW w:w="2835" w:type="dxa"/>
            <w:tcBorders>
              <w:top w:val="single" w:sz="4" w:space="0" w:color="auto"/>
              <w:left w:val="single" w:sz="4" w:space="0" w:color="auto"/>
              <w:bottom w:val="single" w:sz="4" w:space="0" w:color="auto"/>
              <w:right w:val="single" w:sz="4" w:space="0" w:color="auto"/>
            </w:tcBorders>
          </w:tcPr>
          <w:p w14:paraId="0974CF61" w14:textId="77777777" w:rsidR="00F33674" w:rsidRPr="00F33674" w:rsidRDefault="00F33674" w:rsidP="00F33674">
            <w:pPr>
              <w:rPr>
                <w:rFonts w:ascii="Arial Narrow" w:hAnsi="Arial Narrow" w:cs="Arial"/>
                <w:b/>
                <w:sz w:val="20"/>
                <w:szCs w:val="20"/>
              </w:rPr>
            </w:pPr>
            <w:r w:rsidRPr="00F33674">
              <w:rPr>
                <w:rFonts w:ascii="Arial Narrow" w:hAnsi="Arial Narrow" w:cs="Arial"/>
                <w:b/>
                <w:sz w:val="20"/>
                <w:szCs w:val="20"/>
              </w:rPr>
              <w:t>Category / Program:</w:t>
            </w:r>
          </w:p>
        </w:tc>
        <w:tc>
          <w:tcPr>
            <w:tcW w:w="6379" w:type="dxa"/>
            <w:tcBorders>
              <w:top w:val="single" w:sz="4" w:space="0" w:color="auto"/>
              <w:left w:val="single" w:sz="4" w:space="0" w:color="auto"/>
              <w:bottom w:val="single" w:sz="4" w:space="0" w:color="auto"/>
              <w:right w:val="single" w:sz="4" w:space="0" w:color="auto"/>
            </w:tcBorders>
          </w:tcPr>
          <w:p w14:paraId="614476E8" w14:textId="77777777" w:rsidR="00F33674" w:rsidRPr="00F33674" w:rsidRDefault="00F33674" w:rsidP="00F33674">
            <w:pPr>
              <w:rPr>
                <w:rFonts w:ascii="Arial Narrow" w:hAnsi="Arial Narrow" w:cs="Arial"/>
                <w:sz w:val="20"/>
                <w:szCs w:val="20"/>
              </w:rPr>
            </w:pPr>
            <w:r w:rsidRPr="00F33674">
              <w:rPr>
                <w:rFonts w:ascii="Arial Narrow" w:hAnsi="Arial Narrow" w:cs="Arial"/>
                <w:sz w:val="20"/>
                <w:szCs w:val="20"/>
              </w:rPr>
              <w:t>GENERAL – General Schedule (Code GE)</w:t>
            </w:r>
          </w:p>
        </w:tc>
      </w:tr>
      <w:tr w:rsidR="00F33674" w:rsidRPr="00F33674" w14:paraId="4F94283E" w14:textId="77777777" w:rsidTr="00F33674">
        <w:trPr>
          <w:cantSplit/>
          <w:trHeight w:val="360"/>
        </w:trPr>
        <w:tc>
          <w:tcPr>
            <w:tcW w:w="2835" w:type="dxa"/>
            <w:tcBorders>
              <w:top w:val="single" w:sz="4" w:space="0" w:color="auto"/>
              <w:left w:val="single" w:sz="4" w:space="0" w:color="auto"/>
              <w:bottom w:val="single" w:sz="4" w:space="0" w:color="auto"/>
              <w:right w:val="single" w:sz="4" w:space="0" w:color="auto"/>
            </w:tcBorders>
          </w:tcPr>
          <w:p w14:paraId="01FB1411" w14:textId="77777777" w:rsidR="00F33674" w:rsidRPr="00F33674" w:rsidRDefault="00F33674" w:rsidP="00F33674">
            <w:pPr>
              <w:rPr>
                <w:rFonts w:ascii="Arial Narrow" w:hAnsi="Arial Narrow" w:cs="Arial"/>
                <w:b/>
                <w:sz w:val="20"/>
                <w:szCs w:val="20"/>
              </w:rPr>
            </w:pPr>
            <w:r w:rsidRPr="00F33674">
              <w:rPr>
                <w:rFonts w:ascii="Arial Narrow" w:hAnsi="Arial Narrow" w:cs="Arial"/>
                <w:b/>
                <w:sz w:val="20"/>
                <w:szCs w:val="20"/>
              </w:rPr>
              <w:t>Prescriber type:</w:t>
            </w:r>
          </w:p>
          <w:p w14:paraId="183D75A5" w14:textId="77777777" w:rsidR="00F33674" w:rsidRPr="00F33674" w:rsidRDefault="00F33674" w:rsidP="00F33674">
            <w:pPr>
              <w:rPr>
                <w:rFonts w:ascii="Arial Narrow" w:hAnsi="Arial Narrow" w:cs="Arial"/>
                <w:b/>
                <w:sz w:val="20"/>
                <w:szCs w:val="20"/>
              </w:rPr>
            </w:pPr>
          </w:p>
        </w:tc>
        <w:tc>
          <w:tcPr>
            <w:tcW w:w="6379" w:type="dxa"/>
            <w:tcBorders>
              <w:top w:val="single" w:sz="4" w:space="0" w:color="auto"/>
              <w:left w:val="single" w:sz="4" w:space="0" w:color="auto"/>
              <w:bottom w:val="single" w:sz="4" w:space="0" w:color="auto"/>
              <w:right w:val="single" w:sz="4" w:space="0" w:color="auto"/>
            </w:tcBorders>
          </w:tcPr>
          <w:p w14:paraId="08D6E788" w14:textId="69D8D871" w:rsidR="00F33674" w:rsidRPr="00F33674" w:rsidRDefault="00F33674" w:rsidP="00F33674">
            <w:pPr>
              <w:rPr>
                <w:rFonts w:ascii="Arial Narrow" w:hAnsi="Arial Narrow" w:cs="Arial"/>
                <w:sz w:val="20"/>
                <w:szCs w:val="20"/>
              </w:rPr>
            </w:pPr>
            <w:r w:rsidRPr="00F33674">
              <w:rPr>
                <w:rFonts w:ascii="Arial Narrow" w:hAnsi="Arial Narrow" w:cs="Arial"/>
                <w:sz w:val="20"/>
                <w:szCs w:val="20"/>
              </w:rPr>
              <w:fldChar w:fldCharType="begin">
                <w:ffData>
                  <w:name w:val="Check1"/>
                  <w:enabled/>
                  <w:calcOnExit w:val="0"/>
                  <w:checkBox>
                    <w:sizeAuto/>
                    <w:default w:val="0"/>
                  </w:checkBox>
                </w:ffData>
              </w:fldChar>
            </w:r>
            <w:r w:rsidRPr="00F33674">
              <w:rPr>
                <w:rFonts w:ascii="Arial Narrow" w:hAnsi="Arial Narrow" w:cs="Arial"/>
                <w:sz w:val="20"/>
                <w:szCs w:val="20"/>
              </w:rPr>
              <w:instrText xml:space="preserve"> FORMCHECKBOX </w:instrText>
            </w:r>
            <w:r w:rsidR="00233D13">
              <w:rPr>
                <w:rFonts w:ascii="Arial Narrow" w:hAnsi="Arial Narrow" w:cs="Arial"/>
                <w:sz w:val="20"/>
                <w:szCs w:val="20"/>
              </w:rPr>
            </w:r>
            <w:r w:rsidR="00233D13">
              <w:rPr>
                <w:rFonts w:ascii="Arial Narrow" w:hAnsi="Arial Narrow" w:cs="Arial"/>
                <w:sz w:val="20"/>
                <w:szCs w:val="20"/>
              </w:rPr>
              <w:fldChar w:fldCharType="separate"/>
            </w:r>
            <w:r w:rsidRPr="00F33674">
              <w:rPr>
                <w:rFonts w:ascii="Arial Narrow" w:hAnsi="Arial Narrow" w:cs="Arial"/>
                <w:sz w:val="20"/>
                <w:szCs w:val="20"/>
              </w:rPr>
              <w:fldChar w:fldCharType="end"/>
            </w:r>
            <w:r w:rsidRPr="00F33674">
              <w:rPr>
                <w:rFonts w:ascii="Arial Narrow" w:hAnsi="Arial Narrow" w:cs="Arial"/>
                <w:sz w:val="20"/>
                <w:szCs w:val="20"/>
              </w:rPr>
              <w:t>Dental</w:t>
            </w:r>
            <w:r w:rsidR="002C1329">
              <w:rPr>
                <w:rFonts w:ascii="Arial Narrow" w:hAnsi="Arial Narrow" w:cs="Arial"/>
                <w:sz w:val="20"/>
                <w:szCs w:val="20"/>
              </w:rPr>
              <w:t xml:space="preserve"> </w:t>
            </w:r>
            <w:r w:rsidRPr="00F33674">
              <w:rPr>
                <w:rFonts w:ascii="Arial Narrow" w:hAnsi="Arial Narrow" w:cs="Arial"/>
                <w:sz w:val="20"/>
                <w:szCs w:val="20"/>
              </w:rPr>
              <w:fldChar w:fldCharType="begin">
                <w:ffData>
                  <w:name w:val=""/>
                  <w:enabled/>
                  <w:calcOnExit w:val="0"/>
                  <w:checkBox>
                    <w:sizeAuto/>
                    <w:default w:val="1"/>
                  </w:checkBox>
                </w:ffData>
              </w:fldChar>
            </w:r>
            <w:r w:rsidRPr="00F33674">
              <w:rPr>
                <w:rFonts w:ascii="Arial Narrow" w:hAnsi="Arial Narrow" w:cs="Arial"/>
                <w:sz w:val="20"/>
                <w:szCs w:val="20"/>
              </w:rPr>
              <w:instrText xml:space="preserve"> FORMCHECKBOX </w:instrText>
            </w:r>
            <w:r w:rsidR="00233D13">
              <w:rPr>
                <w:rFonts w:ascii="Arial Narrow" w:hAnsi="Arial Narrow" w:cs="Arial"/>
                <w:sz w:val="20"/>
                <w:szCs w:val="20"/>
              </w:rPr>
            </w:r>
            <w:r w:rsidR="00233D13">
              <w:rPr>
                <w:rFonts w:ascii="Arial Narrow" w:hAnsi="Arial Narrow" w:cs="Arial"/>
                <w:sz w:val="20"/>
                <w:szCs w:val="20"/>
              </w:rPr>
              <w:fldChar w:fldCharType="separate"/>
            </w:r>
            <w:r w:rsidRPr="00F33674">
              <w:rPr>
                <w:rFonts w:ascii="Arial Narrow" w:hAnsi="Arial Narrow" w:cs="Arial"/>
                <w:sz w:val="20"/>
                <w:szCs w:val="20"/>
              </w:rPr>
              <w:fldChar w:fldCharType="end"/>
            </w:r>
            <w:r w:rsidRPr="00F33674">
              <w:rPr>
                <w:rFonts w:ascii="Arial Narrow" w:hAnsi="Arial Narrow" w:cs="Arial"/>
                <w:sz w:val="20"/>
                <w:szCs w:val="20"/>
              </w:rPr>
              <w:t>Medical Practitioners</w:t>
            </w:r>
            <w:r w:rsidR="002C1329">
              <w:rPr>
                <w:rFonts w:ascii="Arial Narrow" w:hAnsi="Arial Narrow" w:cs="Arial"/>
                <w:sz w:val="20"/>
                <w:szCs w:val="20"/>
              </w:rPr>
              <w:t xml:space="preserve"> </w:t>
            </w:r>
            <w:r w:rsidRPr="00F33674">
              <w:rPr>
                <w:rFonts w:ascii="Arial Narrow" w:hAnsi="Arial Narrow" w:cs="Arial"/>
                <w:sz w:val="20"/>
                <w:szCs w:val="20"/>
              </w:rPr>
              <w:fldChar w:fldCharType="begin">
                <w:ffData>
                  <w:name w:val="Check3"/>
                  <w:enabled/>
                  <w:calcOnExit w:val="0"/>
                  <w:checkBox>
                    <w:sizeAuto/>
                    <w:default w:val="1"/>
                  </w:checkBox>
                </w:ffData>
              </w:fldChar>
            </w:r>
            <w:r w:rsidRPr="00F33674">
              <w:rPr>
                <w:rFonts w:ascii="Arial Narrow" w:hAnsi="Arial Narrow" w:cs="Arial"/>
                <w:sz w:val="20"/>
                <w:szCs w:val="20"/>
              </w:rPr>
              <w:instrText xml:space="preserve"> FORMCHECKBOX </w:instrText>
            </w:r>
            <w:r w:rsidR="00233D13">
              <w:rPr>
                <w:rFonts w:ascii="Arial Narrow" w:hAnsi="Arial Narrow" w:cs="Arial"/>
                <w:sz w:val="20"/>
                <w:szCs w:val="20"/>
              </w:rPr>
            </w:r>
            <w:r w:rsidR="00233D13">
              <w:rPr>
                <w:rFonts w:ascii="Arial Narrow" w:hAnsi="Arial Narrow" w:cs="Arial"/>
                <w:sz w:val="20"/>
                <w:szCs w:val="20"/>
              </w:rPr>
              <w:fldChar w:fldCharType="separate"/>
            </w:r>
            <w:r w:rsidRPr="00F33674">
              <w:rPr>
                <w:rFonts w:ascii="Arial Narrow" w:hAnsi="Arial Narrow" w:cs="Arial"/>
                <w:sz w:val="20"/>
                <w:szCs w:val="20"/>
              </w:rPr>
              <w:fldChar w:fldCharType="end"/>
            </w:r>
            <w:r w:rsidRPr="00F33674">
              <w:rPr>
                <w:rFonts w:ascii="Arial Narrow" w:hAnsi="Arial Narrow" w:cs="Arial"/>
                <w:sz w:val="20"/>
                <w:szCs w:val="20"/>
              </w:rPr>
              <w:t>Nurse practitioners</w:t>
            </w:r>
            <w:r w:rsidR="002C1329">
              <w:rPr>
                <w:rFonts w:ascii="Arial Narrow" w:hAnsi="Arial Narrow" w:cs="Arial"/>
                <w:sz w:val="20"/>
                <w:szCs w:val="20"/>
              </w:rPr>
              <w:t xml:space="preserve"> </w:t>
            </w:r>
            <w:r w:rsidRPr="00F33674">
              <w:rPr>
                <w:rFonts w:ascii="Arial Narrow" w:hAnsi="Arial Narrow" w:cs="Arial"/>
                <w:sz w:val="20"/>
                <w:szCs w:val="20"/>
              </w:rPr>
              <w:fldChar w:fldCharType="begin">
                <w:ffData>
                  <w:name w:val=""/>
                  <w:enabled/>
                  <w:calcOnExit w:val="0"/>
                  <w:checkBox>
                    <w:sizeAuto/>
                    <w:default w:val="0"/>
                  </w:checkBox>
                </w:ffData>
              </w:fldChar>
            </w:r>
            <w:r w:rsidRPr="00F33674">
              <w:rPr>
                <w:rFonts w:ascii="Arial Narrow" w:hAnsi="Arial Narrow" w:cs="Arial"/>
                <w:sz w:val="20"/>
                <w:szCs w:val="20"/>
              </w:rPr>
              <w:instrText xml:space="preserve"> FORMCHECKBOX </w:instrText>
            </w:r>
            <w:r w:rsidR="00233D13">
              <w:rPr>
                <w:rFonts w:ascii="Arial Narrow" w:hAnsi="Arial Narrow" w:cs="Arial"/>
                <w:sz w:val="20"/>
                <w:szCs w:val="20"/>
              </w:rPr>
            </w:r>
            <w:r w:rsidR="00233D13">
              <w:rPr>
                <w:rFonts w:ascii="Arial Narrow" w:hAnsi="Arial Narrow" w:cs="Arial"/>
                <w:sz w:val="20"/>
                <w:szCs w:val="20"/>
              </w:rPr>
              <w:fldChar w:fldCharType="separate"/>
            </w:r>
            <w:r w:rsidRPr="00F33674">
              <w:rPr>
                <w:rFonts w:ascii="Arial Narrow" w:hAnsi="Arial Narrow" w:cs="Arial"/>
                <w:sz w:val="20"/>
                <w:szCs w:val="20"/>
              </w:rPr>
              <w:fldChar w:fldCharType="end"/>
            </w:r>
            <w:r w:rsidRPr="00F33674">
              <w:rPr>
                <w:rFonts w:ascii="Arial Narrow" w:hAnsi="Arial Narrow" w:cs="Arial"/>
                <w:sz w:val="20"/>
                <w:szCs w:val="20"/>
              </w:rPr>
              <w:t>Optometrists</w:t>
            </w:r>
          </w:p>
          <w:p w14:paraId="377CF372" w14:textId="77777777" w:rsidR="00F33674" w:rsidRPr="00F33674" w:rsidRDefault="00F33674" w:rsidP="00F33674">
            <w:pPr>
              <w:rPr>
                <w:rFonts w:ascii="Arial Narrow" w:hAnsi="Arial Narrow" w:cs="Arial"/>
                <w:sz w:val="20"/>
                <w:szCs w:val="20"/>
              </w:rPr>
            </w:pPr>
            <w:r w:rsidRPr="00F33674">
              <w:rPr>
                <w:rFonts w:ascii="Arial Narrow" w:hAnsi="Arial Narrow" w:cs="Arial"/>
                <w:sz w:val="20"/>
                <w:szCs w:val="20"/>
              </w:rPr>
              <w:fldChar w:fldCharType="begin">
                <w:ffData>
                  <w:name w:val=""/>
                  <w:enabled/>
                  <w:calcOnExit w:val="0"/>
                  <w:checkBox>
                    <w:sizeAuto/>
                    <w:default w:val="1"/>
                  </w:checkBox>
                </w:ffData>
              </w:fldChar>
            </w:r>
            <w:r w:rsidRPr="00F33674">
              <w:rPr>
                <w:rFonts w:ascii="Arial Narrow" w:hAnsi="Arial Narrow" w:cs="Arial"/>
                <w:sz w:val="20"/>
                <w:szCs w:val="20"/>
              </w:rPr>
              <w:instrText xml:space="preserve"> FORMCHECKBOX </w:instrText>
            </w:r>
            <w:r w:rsidR="00233D13">
              <w:rPr>
                <w:rFonts w:ascii="Arial Narrow" w:hAnsi="Arial Narrow" w:cs="Arial"/>
                <w:sz w:val="20"/>
                <w:szCs w:val="20"/>
              </w:rPr>
            </w:r>
            <w:r w:rsidR="00233D13">
              <w:rPr>
                <w:rFonts w:ascii="Arial Narrow" w:hAnsi="Arial Narrow" w:cs="Arial"/>
                <w:sz w:val="20"/>
                <w:szCs w:val="20"/>
              </w:rPr>
              <w:fldChar w:fldCharType="separate"/>
            </w:r>
            <w:r w:rsidRPr="00F33674">
              <w:rPr>
                <w:rFonts w:ascii="Arial Narrow" w:hAnsi="Arial Narrow" w:cs="Arial"/>
                <w:sz w:val="20"/>
                <w:szCs w:val="20"/>
              </w:rPr>
              <w:fldChar w:fldCharType="end"/>
            </w:r>
            <w:r w:rsidRPr="00F33674">
              <w:rPr>
                <w:rFonts w:ascii="Arial Narrow" w:hAnsi="Arial Narrow" w:cs="Arial"/>
                <w:sz w:val="20"/>
                <w:szCs w:val="20"/>
              </w:rPr>
              <w:t>Midwives</w:t>
            </w:r>
          </w:p>
        </w:tc>
      </w:tr>
      <w:tr w:rsidR="00F33674" w:rsidRPr="00F33674" w14:paraId="09497CF5" w14:textId="77777777" w:rsidTr="00F33674">
        <w:trPr>
          <w:cantSplit/>
          <w:trHeight w:val="369"/>
        </w:trPr>
        <w:tc>
          <w:tcPr>
            <w:tcW w:w="2835" w:type="dxa"/>
            <w:tcBorders>
              <w:top w:val="single" w:sz="4" w:space="0" w:color="auto"/>
              <w:left w:val="single" w:sz="4" w:space="0" w:color="auto"/>
              <w:bottom w:val="single" w:sz="4" w:space="0" w:color="auto"/>
              <w:right w:val="single" w:sz="4" w:space="0" w:color="auto"/>
            </w:tcBorders>
          </w:tcPr>
          <w:p w14:paraId="01D8A579" w14:textId="77777777" w:rsidR="00F33674" w:rsidRPr="00F33674" w:rsidRDefault="00F33674" w:rsidP="00F33674">
            <w:pPr>
              <w:rPr>
                <w:rFonts w:ascii="Arial Narrow" w:hAnsi="Arial Narrow" w:cs="Arial"/>
                <w:b/>
                <w:sz w:val="20"/>
                <w:szCs w:val="20"/>
              </w:rPr>
            </w:pPr>
            <w:r w:rsidRPr="00F33674">
              <w:rPr>
                <w:rFonts w:ascii="Arial Narrow" w:hAnsi="Arial Narrow" w:cs="Arial"/>
                <w:b/>
                <w:sz w:val="20"/>
                <w:szCs w:val="20"/>
              </w:rPr>
              <w:t>PBS indication:</w:t>
            </w:r>
          </w:p>
        </w:tc>
        <w:tc>
          <w:tcPr>
            <w:tcW w:w="6379" w:type="dxa"/>
            <w:tcBorders>
              <w:top w:val="single" w:sz="4" w:space="0" w:color="auto"/>
              <w:left w:val="single" w:sz="4" w:space="0" w:color="auto"/>
              <w:bottom w:val="single" w:sz="4" w:space="0" w:color="auto"/>
              <w:right w:val="single" w:sz="4" w:space="0" w:color="auto"/>
            </w:tcBorders>
          </w:tcPr>
          <w:p w14:paraId="6F50C95A" w14:textId="77777777" w:rsidR="00F33674" w:rsidRPr="00F33674" w:rsidRDefault="00F33674" w:rsidP="00F33674">
            <w:pPr>
              <w:rPr>
                <w:rFonts w:ascii="Arial Narrow" w:hAnsi="Arial Narrow" w:cs="Arial"/>
                <w:sz w:val="20"/>
                <w:szCs w:val="20"/>
              </w:rPr>
            </w:pPr>
            <w:r w:rsidRPr="00F33674">
              <w:rPr>
                <w:rFonts w:ascii="Arial Narrow" w:hAnsi="Arial Narrow" w:cs="Arial"/>
                <w:sz w:val="20"/>
                <w:szCs w:val="20"/>
              </w:rPr>
              <w:t>[7861] Severe pain</w:t>
            </w:r>
          </w:p>
        </w:tc>
      </w:tr>
      <w:tr w:rsidR="001723CE" w:rsidRPr="00F33674" w14:paraId="033FA3B8" w14:textId="77777777" w:rsidTr="00F33674">
        <w:trPr>
          <w:cantSplit/>
          <w:trHeight w:val="360"/>
        </w:trPr>
        <w:tc>
          <w:tcPr>
            <w:tcW w:w="2835" w:type="dxa"/>
            <w:tcBorders>
              <w:top w:val="single" w:sz="4" w:space="0" w:color="auto"/>
              <w:left w:val="single" w:sz="4" w:space="0" w:color="auto"/>
              <w:bottom w:val="single" w:sz="4" w:space="0" w:color="auto"/>
              <w:right w:val="single" w:sz="4" w:space="0" w:color="auto"/>
            </w:tcBorders>
          </w:tcPr>
          <w:p w14:paraId="693CCBA0" w14:textId="77777777" w:rsidR="001723CE" w:rsidRPr="00F33674" w:rsidRDefault="001723CE" w:rsidP="001723CE">
            <w:pPr>
              <w:rPr>
                <w:rFonts w:ascii="Arial Narrow" w:hAnsi="Arial Narrow" w:cs="Arial"/>
                <w:b/>
                <w:sz w:val="20"/>
                <w:szCs w:val="20"/>
              </w:rPr>
            </w:pPr>
            <w:r w:rsidRPr="00F33674">
              <w:rPr>
                <w:rFonts w:ascii="Arial Narrow" w:hAnsi="Arial Narrow" w:cs="Arial"/>
                <w:b/>
                <w:sz w:val="20"/>
                <w:szCs w:val="20"/>
              </w:rPr>
              <w:t>Restriction Level / Method:</w:t>
            </w:r>
          </w:p>
          <w:p w14:paraId="5C5C9DC1" w14:textId="77777777" w:rsidR="001723CE" w:rsidRPr="00F33674" w:rsidRDefault="001723CE" w:rsidP="001723CE">
            <w:pPr>
              <w:rPr>
                <w:rFonts w:ascii="Arial Narrow" w:hAnsi="Arial Narrow" w:cs="Arial"/>
                <w:i/>
                <w:sz w:val="20"/>
                <w:szCs w:val="20"/>
              </w:rPr>
            </w:pPr>
          </w:p>
          <w:p w14:paraId="681CCCC7" w14:textId="77777777" w:rsidR="001723CE" w:rsidRPr="00F33674" w:rsidRDefault="001723CE" w:rsidP="001723CE">
            <w:pPr>
              <w:rPr>
                <w:rFonts w:ascii="Arial Narrow" w:hAnsi="Arial Narrow" w:cs="Arial"/>
                <w:i/>
                <w:sz w:val="20"/>
                <w:szCs w:val="20"/>
              </w:rPr>
            </w:pPr>
          </w:p>
          <w:p w14:paraId="3B00918A" w14:textId="3EF448CC" w:rsidR="001723CE" w:rsidRPr="00F33674" w:rsidRDefault="001723CE" w:rsidP="001723CE">
            <w:pPr>
              <w:rPr>
                <w:rFonts w:ascii="Arial Narrow" w:hAnsi="Arial Narrow" w:cs="Arial"/>
                <w:b/>
                <w:sz w:val="20"/>
                <w:szCs w:val="20"/>
              </w:rPr>
            </w:pPr>
          </w:p>
        </w:tc>
        <w:tc>
          <w:tcPr>
            <w:tcW w:w="6379" w:type="dxa"/>
            <w:tcBorders>
              <w:top w:val="single" w:sz="4" w:space="0" w:color="auto"/>
              <w:left w:val="single" w:sz="4" w:space="0" w:color="auto"/>
              <w:bottom w:val="single" w:sz="4" w:space="0" w:color="auto"/>
              <w:right w:val="single" w:sz="4" w:space="0" w:color="auto"/>
            </w:tcBorders>
          </w:tcPr>
          <w:p w14:paraId="2FF6D22B" w14:textId="77777777" w:rsidR="001723CE" w:rsidRPr="00F33674" w:rsidRDefault="001723CE" w:rsidP="001723CE">
            <w:pPr>
              <w:rPr>
                <w:rFonts w:ascii="Arial Narrow" w:hAnsi="Arial Narrow" w:cs="Arial"/>
                <w:sz w:val="20"/>
                <w:szCs w:val="20"/>
              </w:rPr>
            </w:pPr>
            <w:r w:rsidRPr="00F33674">
              <w:rPr>
                <w:rFonts w:ascii="Arial Narrow" w:hAnsi="Arial Narrow" w:cs="Arial"/>
                <w:sz w:val="20"/>
                <w:szCs w:val="20"/>
              </w:rPr>
              <w:fldChar w:fldCharType="begin">
                <w:ffData>
                  <w:name w:val=""/>
                  <w:enabled/>
                  <w:calcOnExit w:val="0"/>
                  <w:checkBox>
                    <w:sizeAuto/>
                    <w:default w:val="0"/>
                  </w:checkBox>
                </w:ffData>
              </w:fldChar>
            </w:r>
            <w:r w:rsidRPr="00F33674">
              <w:rPr>
                <w:rFonts w:ascii="Arial Narrow" w:hAnsi="Arial Narrow" w:cs="Arial"/>
                <w:sz w:val="20"/>
                <w:szCs w:val="20"/>
              </w:rPr>
              <w:instrText xml:space="preserve"> FORMCHECKBOX </w:instrText>
            </w:r>
            <w:r w:rsidR="00233D13">
              <w:rPr>
                <w:rFonts w:ascii="Arial Narrow" w:hAnsi="Arial Narrow" w:cs="Arial"/>
                <w:sz w:val="20"/>
                <w:szCs w:val="20"/>
              </w:rPr>
            </w:r>
            <w:r w:rsidR="00233D13">
              <w:rPr>
                <w:rFonts w:ascii="Arial Narrow" w:hAnsi="Arial Narrow" w:cs="Arial"/>
                <w:sz w:val="20"/>
                <w:szCs w:val="20"/>
              </w:rPr>
              <w:fldChar w:fldCharType="separate"/>
            </w:r>
            <w:r w:rsidRPr="00F33674">
              <w:rPr>
                <w:rFonts w:ascii="Arial Narrow" w:hAnsi="Arial Narrow" w:cs="Arial"/>
                <w:sz w:val="20"/>
                <w:szCs w:val="20"/>
              </w:rPr>
              <w:fldChar w:fldCharType="end"/>
            </w:r>
            <w:r w:rsidRPr="00F33674">
              <w:rPr>
                <w:rFonts w:ascii="Arial Narrow" w:hAnsi="Arial Narrow" w:cs="Arial"/>
                <w:sz w:val="20"/>
                <w:szCs w:val="20"/>
              </w:rPr>
              <w:t>Unrestricted benefit</w:t>
            </w:r>
          </w:p>
          <w:p w14:paraId="2AE982E1" w14:textId="77777777" w:rsidR="001723CE" w:rsidRPr="00F33674" w:rsidRDefault="001723CE" w:rsidP="001723CE">
            <w:pPr>
              <w:rPr>
                <w:rFonts w:ascii="Arial Narrow" w:hAnsi="Arial Narrow" w:cs="Arial"/>
                <w:i/>
                <w:sz w:val="20"/>
                <w:szCs w:val="20"/>
              </w:rPr>
            </w:pPr>
            <w:r w:rsidRPr="00F33674">
              <w:rPr>
                <w:rFonts w:ascii="Arial Narrow" w:hAnsi="Arial Narrow" w:cs="Arial"/>
                <w:i/>
                <w:sz w:val="20"/>
                <w:szCs w:val="20"/>
              </w:rPr>
              <w:fldChar w:fldCharType="begin">
                <w:ffData>
                  <w:name w:val="Check1"/>
                  <w:enabled/>
                  <w:calcOnExit w:val="0"/>
                  <w:checkBox>
                    <w:sizeAuto/>
                    <w:default w:val="1"/>
                  </w:checkBox>
                </w:ffData>
              </w:fldChar>
            </w:r>
            <w:r w:rsidRPr="00F33674">
              <w:rPr>
                <w:rFonts w:ascii="Arial Narrow" w:hAnsi="Arial Narrow" w:cs="Arial"/>
                <w:i/>
                <w:sz w:val="20"/>
                <w:szCs w:val="20"/>
              </w:rPr>
              <w:instrText xml:space="preserve"> FORMCHECKBOX </w:instrText>
            </w:r>
            <w:r w:rsidR="00233D13">
              <w:rPr>
                <w:rFonts w:ascii="Arial Narrow" w:hAnsi="Arial Narrow" w:cs="Arial"/>
                <w:i/>
                <w:sz w:val="20"/>
                <w:szCs w:val="20"/>
              </w:rPr>
            </w:r>
            <w:r w:rsidR="00233D13">
              <w:rPr>
                <w:rFonts w:ascii="Arial Narrow" w:hAnsi="Arial Narrow" w:cs="Arial"/>
                <w:i/>
                <w:sz w:val="20"/>
                <w:szCs w:val="20"/>
              </w:rPr>
              <w:fldChar w:fldCharType="separate"/>
            </w:r>
            <w:r w:rsidRPr="00F33674">
              <w:rPr>
                <w:rFonts w:ascii="Arial Narrow" w:hAnsi="Arial Narrow" w:cs="Arial"/>
                <w:i/>
                <w:sz w:val="20"/>
                <w:szCs w:val="20"/>
              </w:rPr>
              <w:fldChar w:fldCharType="end"/>
            </w:r>
            <w:r w:rsidRPr="00F33674">
              <w:rPr>
                <w:rFonts w:ascii="Arial Narrow" w:hAnsi="Arial Narrow" w:cs="Arial"/>
                <w:sz w:val="20"/>
                <w:szCs w:val="20"/>
              </w:rPr>
              <w:t>Restricted benefit</w:t>
            </w:r>
          </w:p>
          <w:p w14:paraId="5B4EC19C" w14:textId="77777777" w:rsidR="001723CE" w:rsidRPr="00F33674" w:rsidRDefault="001723CE" w:rsidP="001723CE">
            <w:pPr>
              <w:rPr>
                <w:rFonts w:ascii="Arial Narrow" w:hAnsi="Arial Narrow" w:cs="Arial"/>
                <w:sz w:val="20"/>
                <w:szCs w:val="20"/>
              </w:rPr>
            </w:pPr>
            <w:r w:rsidRPr="00F33674">
              <w:rPr>
                <w:rFonts w:ascii="Arial Narrow" w:hAnsi="Arial Narrow" w:cs="Arial"/>
                <w:sz w:val="20"/>
                <w:szCs w:val="20"/>
              </w:rPr>
              <w:fldChar w:fldCharType="begin">
                <w:ffData>
                  <w:name w:val=""/>
                  <w:enabled/>
                  <w:calcOnExit w:val="0"/>
                  <w:checkBox>
                    <w:sizeAuto/>
                    <w:default w:val="0"/>
                  </w:checkBox>
                </w:ffData>
              </w:fldChar>
            </w:r>
            <w:r w:rsidRPr="00F33674">
              <w:rPr>
                <w:rFonts w:ascii="Arial Narrow" w:hAnsi="Arial Narrow" w:cs="Arial"/>
                <w:sz w:val="20"/>
                <w:szCs w:val="20"/>
              </w:rPr>
              <w:instrText xml:space="preserve"> FORMCHECKBOX </w:instrText>
            </w:r>
            <w:r w:rsidR="00233D13">
              <w:rPr>
                <w:rFonts w:ascii="Arial Narrow" w:hAnsi="Arial Narrow" w:cs="Arial"/>
                <w:sz w:val="20"/>
                <w:szCs w:val="20"/>
              </w:rPr>
            </w:r>
            <w:r w:rsidR="00233D13">
              <w:rPr>
                <w:rFonts w:ascii="Arial Narrow" w:hAnsi="Arial Narrow" w:cs="Arial"/>
                <w:sz w:val="20"/>
                <w:szCs w:val="20"/>
              </w:rPr>
              <w:fldChar w:fldCharType="separate"/>
            </w:r>
            <w:r w:rsidRPr="00F33674">
              <w:rPr>
                <w:rFonts w:ascii="Arial Narrow" w:hAnsi="Arial Narrow" w:cs="Arial"/>
                <w:sz w:val="20"/>
                <w:szCs w:val="20"/>
              </w:rPr>
              <w:fldChar w:fldCharType="end"/>
            </w:r>
            <w:r w:rsidRPr="00F33674">
              <w:rPr>
                <w:rFonts w:ascii="Arial Narrow" w:hAnsi="Arial Narrow" w:cs="Arial"/>
                <w:sz w:val="20"/>
                <w:szCs w:val="20"/>
              </w:rPr>
              <w:t>Authority Required – In Writing</w:t>
            </w:r>
          </w:p>
          <w:p w14:paraId="77666FA2" w14:textId="77777777" w:rsidR="001723CE" w:rsidRPr="00F33674" w:rsidRDefault="001723CE" w:rsidP="001723CE">
            <w:pPr>
              <w:rPr>
                <w:rFonts w:ascii="Arial Narrow" w:hAnsi="Arial Narrow" w:cs="Arial"/>
                <w:sz w:val="20"/>
                <w:szCs w:val="20"/>
              </w:rPr>
            </w:pPr>
            <w:r w:rsidRPr="00F33674">
              <w:rPr>
                <w:rFonts w:ascii="Arial Narrow" w:hAnsi="Arial Narrow" w:cs="Arial"/>
                <w:sz w:val="20"/>
                <w:szCs w:val="20"/>
              </w:rPr>
              <w:fldChar w:fldCharType="begin">
                <w:ffData>
                  <w:name w:val="Check3"/>
                  <w:enabled/>
                  <w:calcOnExit w:val="0"/>
                  <w:checkBox>
                    <w:sizeAuto/>
                    <w:default w:val="0"/>
                  </w:checkBox>
                </w:ffData>
              </w:fldChar>
            </w:r>
            <w:r w:rsidRPr="00F33674">
              <w:rPr>
                <w:rFonts w:ascii="Arial Narrow" w:hAnsi="Arial Narrow" w:cs="Arial"/>
                <w:sz w:val="20"/>
                <w:szCs w:val="20"/>
              </w:rPr>
              <w:instrText xml:space="preserve"> FORMCHECKBOX </w:instrText>
            </w:r>
            <w:r w:rsidR="00233D13">
              <w:rPr>
                <w:rFonts w:ascii="Arial Narrow" w:hAnsi="Arial Narrow" w:cs="Arial"/>
                <w:sz w:val="20"/>
                <w:szCs w:val="20"/>
              </w:rPr>
            </w:r>
            <w:r w:rsidR="00233D13">
              <w:rPr>
                <w:rFonts w:ascii="Arial Narrow" w:hAnsi="Arial Narrow" w:cs="Arial"/>
                <w:sz w:val="20"/>
                <w:szCs w:val="20"/>
              </w:rPr>
              <w:fldChar w:fldCharType="separate"/>
            </w:r>
            <w:r w:rsidRPr="00F33674">
              <w:rPr>
                <w:rFonts w:ascii="Arial Narrow" w:hAnsi="Arial Narrow" w:cs="Arial"/>
                <w:sz w:val="20"/>
                <w:szCs w:val="20"/>
              </w:rPr>
              <w:fldChar w:fldCharType="end"/>
            </w:r>
            <w:r w:rsidRPr="00F33674">
              <w:rPr>
                <w:rFonts w:ascii="Arial Narrow" w:hAnsi="Arial Narrow" w:cs="Arial"/>
                <w:sz w:val="20"/>
                <w:szCs w:val="20"/>
              </w:rPr>
              <w:t>Authority Required – Telephone/Electronic/Emergency</w:t>
            </w:r>
          </w:p>
          <w:p w14:paraId="3C2219AC" w14:textId="19F4512D" w:rsidR="001723CE" w:rsidRPr="00F33674" w:rsidRDefault="001723CE" w:rsidP="001723CE">
            <w:pPr>
              <w:jc w:val="left"/>
              <w:rPr>
                <w:rFonts w:ascii="Arial Narrow" w:hAnsi="Arial Narrow" w:cs="Arial"/>
                <w:color w:val="FF0000"/>
                <w:sz w:val="20"/>
                <w:szCs w:val="20"/>
              </w:rPr>
            </w:pPr>
            <w:r w:rsidRPr="00F33674">
              <w:rPr>
                <w:rFonts w:ascii="Arial Narrow" w:hAnsi="Arial Narrow" w:cs="Arial"/>
                <w:sz w:val="20"/>
                <w:szCs w:val="20"/>
              </w:rPr>
              <w:fldChar w:fldCharType="begin">
                <w:ffData>
                  <w:name w:val="Check5"/>
                  <w:enabled/>
                  <w:calcOnExit w:val="0"/>
                  <w:checkBox>
                    <w:sizeAuto/>
                    <w:default w:val="0"/>
                  </w:checkBox>
                </w:ffData>
              </w:fldChar>
            </w:r>
            <w:r w:rsidRPr="00F33674">
              <w:rPr>
                <w:rFonts w:ascii="Arial Narrow" w:hAnsi="Arial Narrow" w:cs="Arial"/>
                <w:sz w:val="20"/>
                <w:szCs w:val="20"/>
              </w:rPr>
              <w:instrText xml:space="preserve"> FORMCHECKBOX </w:instrText>
            </w:r>
            <w:r w:rsidR="00233D13">
              <w:rPr>
                <w:rFonts w:ascii="Arial Narrow" w:hAnsi="Arial Narrow" w:cs="Arial"/>
                <w:sz w:val="20"/>
                <w:szCs w:val="20"/>
              </w:rPr>
            </w:r>
            <w:r w:rsidR="00233D13">
              <w:rPr>
                <w:rFonts w:ascii="Arial Narrow" w:hAnsi="Arial Narrow" w:cs="Arial"/>
                <w:sz w:val="20"/>
                <w:szCs w:val="20"/>
              </w:rPr>
              <w:fldChar w:fldCharType="separate"/>
            </w:r>
            <w:r w:rsidRPr="00F33674">
              <w:rPr>
                <w:rFonts w:ascii="Arial Narrow" w:hAnsi="Arial Narrow" w:cs="Arial"/>
                <w:sz w:val="20"/>
                <w:szCs w:val="20"/>
              </w:rPr>
              <w:fldChar w:fldCharType="end"/>
            </w:r>
            <w:r w:rsidRPr="00F33674">
              <w:rPr>
                <w:rFonts w:ascii="Arial Narrow" w:hAnsi="Arial Narrow" w:cs="Arial"/>
                <w:sz w:val="20"/>
                <w:szCs w:val="20"/>
              </w:rPr>
              <w:t>Streamlined</w:t>
            </w:r>
          </w:p>
        </w:tc>
      </w:tr>
      <w:tr w:rsidR="001723CE" w:rsidRPr="00F33674" w14:paraId="180432C9" w14:textId="77777777" w:rsidTr="00F33674">
        <w:trPr>
          <w:cantSplit/>
          <w:trHeight w:val="360"/>
        </w:trPr>
        <w:tc>
          <w:tcPr>
            <w:tcW w:w="2835" w:type="dxa"/>
            <w:tcBorders>
              <w:top w:val="single" w:sz="4" w:space="0" w:color="auto"/>
              <w:left w:val="single" w:sz="4" w:space="0" w:color="auto"/>
              <w:bottom w:val="single" w:sz="4" w:space="0" w:color="auto"/>
              <w:right w:val="single" w:sz="4" w:space="0" w:color="auto"/>
            </w:tcBorders>
          </w:tcPr>
          <w:p w14:paraId="3B788137" w14:textId="4CDAFDC5" w:rsidR="001723CE" w:rsidRPr="00F33674" w:rsidRDefault="001723CE" w:rsidP="001723CE">
            <w:pPr>
              <w:rPr>
                <w:rFonts w:ascii="Arial Narrow" w:hAnsi="Arial Narrow" w:cs="Arial"/>
                <w:b/>
                <w:sz w:val="20"/>
                <w:szCs w:val="20"/>
              </w:rPr>
            </w:pPr>
            <w:r>
              <w:rPr>
                <w:rFonts w:ascii="Arial Narrow" w:hAnsi="Arial Narrow" w:cs="Arial"/>
                <w:b/>
                <w:sz w:val="20"/>
                <w:szCs w:val="20"/>
              </w:rPr>
              <w:t>Treatment phase:</w:t>
            </w:r>
          </w:p>
        </w:tc>
        <w:tc>
          <w:tcPr>
            <w:tcW w:w="6379" w:type="dxa"/>
            <w:tcBorders>
              <w:top w:val="single" w:sz="4" w:space="0" w:color="auto"/>
              <w:left w:val="single" w:sz="4" w:space="0" w:color="auto"/>
              <w:bottom w:val="single" w:sz="4" w:space="0" w:color="auto"/>
              <w:right w:val="single" w:sz="4" w:space="0" w:color="auto"/>
            </w:tcBorders>
          </w:tcPr>
          <w:p w14:paraId="7FDB381A" w14:textId="07725302" w:rsidR="001723CE" w:rsidRPr="00F33674" w:rsidRDefault="00265869" w:rsidP="001723CE">
            <w:pPr>
              <w:jc w:val="left"/>
              <w:rPr>
                <w:rFonts w:ascii="Arial Narrow" w:hAnsi="Arial Narrow" w:cs="Arial"/>
                <w:sz w:val="20"/>
                <w:szCs w:val="20"/>
              </w:rPr>
            </w:pPr>
            <w:r>
              <w:rPr>
                <w:rFonts w:ascii="Arial Narrow" w:hAnsi="Arial Narrow" w:cs="Arial"/>
                <w:sz w:val="20"/>
                <w:szCs w:val="20"/>
              </w:rPr>
              <w:t xml:space="preserve">Initial PBS treatment after 1 June 2020 where patient </w:t>
            </w:r>
            <w:proofErr w:type="gramStart"/>
            <w:r>
              <w:rPr>
                <w:rFonts w:ascii="Arial Narrow" w:hAnsi="Arial Narrow" w:cs="Arial"/>
                <w:sz w:val="20"/>
                <w:szCs w:val="20"/>
              </w:rPr>
              <w:t>has been treated</w:t>
            </w:r>
            <w:proofErr w:type="gramEnd"/>
            <w:r>
              <w:rPr>
                <w:rFonts w:ascii="Arial Narrow" w:hAnsi="Arial Narrow" w:cs="Arial"/>
                <w:sz w:val="20"/>
                <w:szCs w:val="20"/>
              </w:rPr>
              <w:t xml:space="preserve"> with opioids for less than 12 months.</w:t>
            </w:r>
          </w:p>
        </w:tc>
      </w:tr>
      <w:tr w:rsidR="001723CE" w:rsidRPr="00F33674" w14:paraId="5F240904" w14:textId="77777777" w:rsidTr="00F33674">
        <w:trPr>
          <w:cantSplit/>
          <w:trHeight w:val="360"/>
        </w:trPr>
        <w:tc>
          <w:tcPr>
            <w:tcW w:w="2835" w:type="dxa"/>
            <w:tcBorders>
              <w:top w:val="single" w:sz="4" w:space="0" w:color="auto"/>
              <w:left w:val="single" w:sz="4" w:space="0" w:color="auto"/>
              <w:bottom w:val="single" w:sz="4" w:space="0" w:color="auto"/>
              <w:right w:val="single" w:sz="4" w:space="0" w:color="auto"/>
            </w:tcBorders>
          </w:tcPr>
          <w:p w14:paraId="741D0DE0" w14:textId="47E72900" w:rsidR="001723CE" w:rsidRPr="00F33674" w:rsidRDefault="001723CE" w:rsidP="001723CE">
            <w:pPr>
              <w:rPr>
                <w:rFonts w:ascii="Arial Narrow" w:hAnsi="Arial Narrow" w:cs="Arial"/>
                <w:b/>
                <w:sz w:val="20"/>
                <w:szCs w:val="20"/>
              </w:rPr>
            </w:pPr>
            <w:r w:rsidRPr="00F33674">
              <w:rPr>
                <w:rFonts w:ascii="Arial Narrow" w:hAnsi="Arial Narrow" w:cs="Arial"/>
                <w:b/>
                <w:sz w:val="20"/>
                <w:szCs w:val="20"/>
              </w:rPr>
              <w:t>Clinical criteria:</w:t>
            </w:r>
          </w:p>
        </w:tc>
        <w:tc>
          <w:tcPr>
            <w:tcW w:w="6379" w:type="dxa"/>
            <w:tcBorders>
              <w:top w:val="single" w:sz="4" w:space="0" w:color="auto"/>
              <w:left w:val="single" w:sz="4" w:space="0" w:color="auto"/>
              <w:bottom w:val="single" w:sz="4" w:space="0" w:color="auto"/>
              <w:right w:val="single" w:sz="4" w:space="0" w:color="auto"/>
            </w:tcBorders>
          </w:tcPr>
          <w:p w14:paraId="33B481DE" w14:textId="77777777" w:rsidR="001723CE" w:rsidRPr="00F33674" w:rsidRDefault="001723CE" w:rsidP="001723CE">
            <w:pPr>
              <w:jc w:val="left"/>
              <w:rPr>
                <w:rFonts w:ascii="Arial Narrow" w:hAnsi="Arial Narrow" w:cs="Arial"/>
                <w:sz w:val="20"/>
                <w:szCs w:val="20"/>
              </w:rPr>
            </w:pPr>
            <w:r w:rsidRPr="00F33674">
              <w:rPr>
                <w:rFonts w:ascii="Arial Narrow" w:hAnsi="Arial Narrow" w:cs="Arial"/>
                <w:sz w:val="20"/>
                <w:szCs w:val="20"/>
              </w:rPr>
              <w:t>[new] Patient must have</w:t>
            </w:r>
            <w:r>
              <w:rPr>
                <w:rFonts w:ascii="Arial Narrow" w:hAnsi="Arial Narrow" w:cs="Arial"/>
                <w:sz w:val="20"/>
                <w:szCs w:val="20"/>
              </w:rPr>
              <w:t xml:space="preserve"> had or would have</w:t>
            </w:r>
            <w:r w:rsidRPr="00F33674">
              <w:rPr>
                <w:rFonts w:ascii="Arial Narrow" w:hAnsi="Arial Narrow" w:cs="Arial"/>
                <w:sz w:val="20"/>
                <w:szCs w:val="20"/>
              </w:rPr>
              <w:t xml:space="preserve"> inadequate </w:t>
            </w:r>
            <w:r>
              <w:rPr>
                <w:rFonts w:ascii="Arial Narrow" w:hAnsi="Arial Narrow" w:cs="Arial"/>
                <w:sz w:val="20"/>
                <w:szCs w:val="20"/>
              </w:rPr>
              <w:t xml:space="preserve">pain </w:t>
            </w:r>
            <w:r w:rsidRPr="00F33674">
              <w:rPr>
                <w:rFonts w:ascii="Arial Narrow" w:hAnsi="Arial Narrow" w:cs="Arial"/>
                <w:sz w:val="20"/>
                <w:szCs w:val="20"/>
              </w:rPr>
              <w:t>management</w:t>
            </w:r>
            <w:r>
              <w:rPr>
                <w:rFonts w:ascii="Arial Narrow" w:hAnsi="Arial Narrow" w:cs="Arial"/>
                <w:sz w:val="20"/>
                <w:szCs w:val="20"/>
              </w:rPr>
              <w:t xml:space="preserve"> with</w:t>
            </w:r>
            <w:r w:rsidRPr="00F33674">
              <w:rPr>
                <w:rFonts w:ascii="Arial Narrow" w:hAnsi="Arial Narrow" w:cs="Arial"/>
                <w:sz w:val="20"/>
                <w:szCs w:val="20"/>
              </w:rPr>
              <w:t xml:space="preserve"> maximum tolerated doses of non-opioid and other opioid analgesics</w:t>
            </w:r>
          </w:p>
          <w:p w14:paraId="2EE6F63E" w14:textId="77777777" w:rsidR="001723CE" w:rsidRPr="00F33674" w:rsidRDefault="001723CE" w:rsidP="001723CE">
            <w:pPr>
              <w:jc w:val="left"/>
              <w:rPr>
                <w:rFonts w:ascii="Arial Narrow" w:hAnsi="Arial Narrow" w:cs="Arial"/>
                <w:sz w:val="20"/>
                <w:szCs w:val="20"/>
              </w:rPr>
            </w:pPr>
          </w:p>
          <w:p w14:paraId="6D818522" w14:textId="77777777" w:rsidR="001723CE" w:rsidRPr="00F33674" w:rsidRDefault="001723CE" w:rsidP="001723CE">
            <w:pPr>
              <w:jc w:val="left"/>
              <w:rPr>
                <w:rFonts w:ascii="Arial Narrow" w:hAnsi="Arial Narrow" w:cs="Arial"/>
                <w:sz w:val="20"/>
                <w:szCs w:val="20"/>
              </w:rPr>
            </w:pPr>
            <w:r w:rsidRPr="00F33674">
              <w:rPr>
                <w:rFonts w:ascii="Arial Narrow" w:hAnsi="Arial Narrow" w:cs="Arial"/>
                <w:sz w:val="20"/>
                <w:szCs w:val="20"/>
              </w:rPr>
              <w:t>OR</w:t>
            </w:r>
          </w:p>
          <w:p w14:paraId="1CDD56AD" w14:textId="77777777" w:rsidR="001723CE" w:rsidRPr="00F33674" w:rsidRDefault="001723CE" w:rsidP="001723CE">
            <w:pPr>
              <w:jc w:val="left"/>
              <w:rPr>
                <w:rFonts w:ascii="Arial Narrow" w:hAnsi="Arial Narrow" w:cs="Arial"/>
                <w:sz w:val="20"/>
                <w:szCs w:val="20"/>
              </w:rPr>
            </w:pPr>
          </w:p>
          <w:p w14:paraId="7252DEEC" w14:textId="77777777" w:rsidR="001723CE" w:rsidRPr="00F33674" w:rsidRDefault="001723CE" w:rsidP="001723CE">
            <w:pPr>
              <w:jc w:val="left"/>
              <w:rPr>
                <w:rFonts w:ascii="Arial Narrow" w:hAnsi="Arial Narrow" w:cs="Arial"/>
                <w:sz w:val="20"/>
                <w:szCs w:val="20"/>
              </w:rPr>
            </w:pPr>
            <w:r w:rsidRPr="00F33674">
              <w:rPr>
                <w:rFonts w:ascii="Arial Narrow" w:hAnsi="Arial Narrow" w:cs="Arial"/>
                <w:sz w:val="20"/>
                <w:szCs w:val="20"/>
              </w:rPr>
              <w:t>[new] Patient must be unable to use non-opioid and other opioid analgesics due to contraindications or intolerance</w:t>
            </w:r>
          </w:p>
          <w:p w14:paraId="703EE6C9" w14:textId="77777777" w:rsidR="001723CE" w:rsidRPr="00F33674" w:rsidRDefault="001723CE" w:rsidP="001723CE">
            <w:pPr>
              <w:jc w:val="left"/>
              <w:rPr>
                <w:rFonts w:ascii="Arial Narrow" w:hAnsi="Arial Narrow" w:cs="Arial"/>
                <w:sz w:val="20"/>
                <w:szCs w:val="20"/>
              </w:rPr>
            </w:pPr>
          </w:p>
          <w:p w14:paraId="3828B251" w14:textId="77777777" w:rsidR="001723CE" w:rsidRPr="00F33674" w:rsidRDefault="001723CE" w:rsidP="001723CE">
            <w:pPr>
              <w:jc w:val="left"/>
              <w:rPr>
                <w:rFonts w:ascii="Arial Narrow" w:hAnsi="Arial Narrow" w:cs="Arial"/>
                <w:sz w:val="20"/>
                <w:szCs w:val="20"/>
              </w:rPr>
            </w:pPr>
            <w:r w:rsidRPr="00F33674">
              <w:rPr>
                <w:rFonts w:ascii="Arial Narrow" w:hAnsi="Arial Narrow" w:cs="Arial"/>
                <w:sz w:val="20"/>
                <w:szCs w:val="20"/>
              </w:rPr>
              <w:t>OR</w:t>
            </w:r>
          </w:p>
          <w:p w14:paraId="0C4DACAA" w14:textId="77777777" w:rsidR="001723CE" w:rsidRPr="00F33674" w:rsidRDefault="001723CE" w:rsidP="001723CE">
            <w:pPr>
              <w:jc w:val="left"/>
              <w:rPr>
                <w:rFonts w:ascii="Arial Narrow" w:hAnsi="Arial Narrow" w:cs="Arial"/>
                <w:sz w:val="20"/>
                <w:szCs w:val="20"/>
              </w:rPr>
            </w:pPr>
          </w:p>
          <w:p w14:paraId="1AE5A411" w14:textId="77777777" w:rsidR="001723CE" w:rsidRPr="00F33674" w:rsidRDefault="001723CE" w:rsidP="001723CE">
            <w:pPr>
              <w:jc w:val="left"/>
              <w:rPr>
                <w:rFonts w:ascii="Arial Narrow" w:hAnsi="Arial Narrow" w:cs="Arial"/>
                <w:sz w:val="20"/>
                <w:szCs w:val="20"/>
              </w:rPr>
            </w:pPr>
            <w:r w:rsidRPr="00F33674">
              <w:rPr>
                <w:rFonts w:ascii="Arial Narrow" w:hAnsi="Arial Narrow" w:cs="Arial"/>
                <w:sz w:val="20"/>
                <w:szCs w:val="20"/>
              </w:rPr>
              <w:t>[new] The treatment must be part of pre-operative care</w:t>
            </w:r>
          </w:p>
          <w:p w14:paraId="76D3DD64" w14:textId="77777777" w:rsidR="001723CE" w:rsidRPr="00F33674" w:rsidRDefault="001723CE" w:rsidP="001723CE">
            <w:pPr>
              <w:jc w:val="left"/>
              <w:rPr>
                <w:rFonts w:ascii="Arial Narrow" w:hAnsi="Arial Narrow" w:cs="Arial"/>
                <w:sz w:val="20"/>
                <w:szCs w:val="20"/>
              </w:rPr>
            </w:pPr>
          </w:p>
          <w:p w14:paraId="38E12E87" w14:textId="77777777" w:rsidR="001723CE" w:rsidRPr="00F33674" w:rsidRDefault="001723CE" w:rsidP="001723CE">
            <w:pPr>
              <w:jc w:val="left"/>
              <w:rPr>
                <w:rFonts w:ascii="Arial Narrow" w:hAnsi="Arial Narrow" w:cs="Arial"/>
                <w:sz w:val="20"/>
                <w:szCs w:val="20"/>
              </w:rPr>
            </w:pPr>
            <w:r w:rsidRPr="00F33674">
              <w:rPr>
                <w:rFonts w:ascii="Arial Narrow" w:hAnsi="Arial Narrow" w:cs="Arial"/>
                <w:sz w:val="20"/>
                <w:szCs w:val="20"/>
              </w:rPr>
              <w:t>OR</w:t>
            </w:r>
          </w:p>
          <w:p w14:paraId="31C2CBC8" w14:textId="77777777" w:rsidR="001723CE" w:rsidRPr="00F33674" w:rsidRDefault="001723CE" w:rsidP="001723CE">
            <w:pPr>
              <w:jc w:val="left"/>
              <w:rPr>
                <w:rFonts w:ascii="Arial Narrow" w:hAnsi="Arial Narrow" w:cs="Arial"/>
                <w:sz w:val="20"/>
                <w:szCs w:val="20"/>
              </w:rPr>
            </w:pPr>
          </w:p>
          <w:p w14:paraId="6C8C584A" w14:textId="51BE6308" w:rsidR="001723CE" w:rsidRPr="00F33674" w:rsidRDefault="001723CE" w:rsidP="001723CE">
            <w:pPr>
              <w:jc w:val="left"/>
              <w:rPr>
                <w:rFonts w:ascii="Arial Narrow" w:hAnsi="Arial Narrow" w:cs="Arial"/>
                <w:sz w:val="20"/>
                <w:szCs w:val="20"/>
              </w:rPr>
            </w:pPr>
            <w:r w:rsidRPr="00F33674">
              <w:rPr>
                <w:rFonts w:ascii="Arial Narrow" w:hAnsi="Arial Narrow" w:cs="Arial"/>
                <w:sz w:val="20"/>
                <w:szCs w:val="20"/>
              </w:rPr>
              <w:t xml:space="preserve">[new] The treatment </w:t>
            </w:r>
            <w:proofErr w:type="gramStart"/>
            <w:r w:rsidRPr="00F33674">
              <w:rPr>
                <w:rFonts w:ascii="Arial Narrow" w:hAnsi="Arial Narrow" w:cs="Arial"/>
                <w:sz w:val="20"/>
                <w:szCs w:val="20"/>
              </w:rPr>
              <w:t>must be used</w:t>
            </w:r>
            <w:proofErr w:type="gramEnd"/>
            <w:r w:rsidRPr="00F33674">
              <w:rPr>
                <w:rFonts w:ascii="Arial Narrow" w:hAnsi="Arial Narrow" w:cs="Arial"/>
                <w:sz w:val="20"/>
                <w:szCs w:val="20"/>
              </w:rPr>
              <w:t xml:space="preserve"> as an analgesic adjunct in general anaesthesia.</w:t>
            </w:r>
          </w:p>
        </w:tc>
      </w:tr>
      <w:tr w:rsidR="001723CE" w:rsidRPr="00F33674" w14:paraId="26342A64" w14:textId="77777777" w:rsidTr="00F33674">
        <w:trPr>
          <w:cantSplit/>
          <w:trHeight w:val="360"/>
        </w:trPr>
        <w:tc>
          <w:tcPr>
            <w:tcW w:w="2835" w:type="dxa"/>
            <w:tcBorders>
              <w:top w:val="single" w:sz="4" w:space="0" w:color="auto"/>
              <w:left w:val="single" w:sz="4" w:space="0" w:color="auto"/>
              <w:bottom w:val="single" w:sz="4" w:space="0" w:color="auto"/>
              <w:right w:val="single" w:sz="4" w:space="0" w:color="auto"/>
            </w:tcBorders>
          </w:tcPr>
          <w:p w14:paraId="047ABB4B" w14:textId="0FEA04F3" w:rsidR="001723CE" w:rsidRPr="00F33674" w:rsidRDefault="001723CE" w:rsidP="001723CE">
            <w:pPr>
              <w:rPr>
                <w:rFonts w:ascii="Arial Narrow" w:hAnsi="Arial Narrow" w:cs="Arial"/>
                <w:b/>
                <w:sz w:val="20"/>
                <w:szCs w:val="20"/>
              </w:rPr>
            </w:pPr>
            <w:r w:rsidRPr="00F33674">
              <w:rPr>
                <w:rFonts w:ascii="Arial Narrow" w:hAnsi="Arial Narrow" w:cs="Arial"/>
                <w:b/>
                <w:sz w:val="20"/>
                <w:szCs w:val="20"/>
              </w:rPr>
              <w:lastRenderedPageBreak/>
              <w:t>Prescriber instructions:</w:t>
            </w:r>
          </w:p>
        </w:tc>
        <w:tc>
          <w:tcPr>
            <w:tcW w:w="6379" w:type="dxa"/>
            <w:tcBorders>
              <w:top w:val="single" w:sz="4" w:space="0" w:color="auto"/>
              <w:left w:val="single" w:sz="4" w:space="0" w:color="auto"/>
              <w:bottom w:val="single" w:sz="4" w:space="0" w:color="auto"/>
              <w:right w:val="single" w:sz="4" w:space="0" w:color="auto"/>
            </w:tcBorders>
          </w:tcPr>
          <w:p w14:paraId="2816E32F" w14:textId="77777777" w:rsidR="001723CE" w:rsidRPr="00F33674" w:rsidRDefault="001723CE" w:rsidP="001723CE">
            <w:pPr>
              <w:jc w:val="left"/>
              <w:rPr>
                <w:rFonts w:ascii="Arial Narrow" w:hAnsi="Arial Narrow" w:cs="Arial"/>
                <w:sz w:val="20"/>
                <w:szCs w:val="20"/>
              </w:rPr>
            </w:pPr>
            <w:r w:rsidRPr="00F33674">
              <w:rPr>
                <w:rFonts w:ascii="Arial Narrow" w:hAnsi="Arial Narrow" w:cs="Arial"/>
                <w:sz w:val="20"/>
                <w:szCs w:val="20"/>
              </w:rPr>
              <w:t xml:space="preserve">[new] Authorities for increased maximum quantities and/or repeats </w:t>
            </w:r>
            <w:r>
              <w:rPr>
                <w:rFonts w:ascii="Arial Narrow" w:hAnsi="Arial Narrow" w:cs="Arial"/>
                <w:sz w:val="20"/>
                <w:szCs w:val="20"/>
              </w:rPr>
              <w:t xml:space="preserve">under this restriction </w:t>
            </w:r>
            <w:proofErr w:type="gramStart"/>
            <w:r w:rsidRPr="00F33674">
              <w:rPr>
                <w:rFonts w:ascii="Arial Narrow" w:hAnsi="Arial Narrow" w:cs="Arial"/>
                <w:sz w:val="20"/>
                <w:szCs w:val="20"/>
              </w:rPr>
              <w:t>must only be considered</w:t>
            </w:r>
            <w:proofErr w:type="gramEnd"/>
            <w:r w:rsidRPr="00F33674">
              <w:rPr>
                <w:rFonts w:ascii="Arial Narrow" w:hAnsi="Arial Narrow" w:cs="Arial"/>
                <w:sz w:val="20"/>
                <w:szCs w:val="20"/>
              </w:rPr>
              <w:t xml:space="preserve"> for</w:t>
            </w:r>
            <w:r>
              <w:rPr>
                <w:rFonts w:ascii="Arial Narrow" w:hAnsi="Arial Narrow" w:cs="Arial"/>
                <w:sz w:val="20"/>
                <w:szCs w:val="20"/>
              </w:rPr>
              <w:t xml:space="preserve"> </w:t>
            </w:r>
            <w:r w:rsidRPr="00F33674">
              <w:rPr>
                <w:rFonts w:ascii="Arial Narrow" w:hAnsi="Arial Narrow" w:cs="Arial"/>
                <w:sz w:val="20"/>
                <w:szCs w:val="20"/>
              </w:rPr>
              <w:t>severe disabling pain associated with proven malignant neoplasia or</w:t>
            </w:r>
            <w:r>
              <w:rPr>
                <w:rFonts w:ascii="Arial Narrow" w:hAnsi="Arial Narrow" w:cs="Arial"/>
                <w:sz w:val="20"/>
                <w:szCs w:val="20"/>
              </w:rPr>
              <w:t xml:space="preserve"> c</w:t>
            </w:r>
            <w:r w:rsidRPr="00F33674">
              <w:rPr>
                <w:rFonts w:ascii="Arial Narrow" w:hAnsi="Arial Narrow" w:cs="Arial"/>
                <w:sz w:val="20"/>
                <w:szCs w:val="20"/>
              </w:rPr>
              <w:t>hronic severe disabling pain where the total duration of non-PBS and PBS subsidised opioid analgesic treatment is less than 12 months</w:t>
            </w:r>
            <w:r>
              <w:rPr>
                <w:rFonts w:ascii="Arial Narrow" w:hAnsi="Arial Narrow" w:cs="Arial"/>
                <w:sz w:val="20"/>
                <w:szCs w:val="20"/>
              </w:rPr>
              <w:t>.</w:t>
            </w:r>
          </w:p>
          <w:p w14:paraId="11165A1E" w14:textId="77777777" w:rsidR="001723CE" w:rsidRPr="00F33674" w:rsidRDefault="001723CE" w:rsidP="001723CE">
            <w:pPr>
              <w:jc w:val="left"/>
              <w:rPr>
                <w:rFonts w:ascii="Arial Narrow" w:hAnsi="Arial Narrow" w:cs="Arial"/>
                <w:sz w:val="20"/>
                <w:szCs w:val="20"/>
              </w:rPr>
            </w:pPr>
          </w:p>
          <w:p w14:paraId="218BF4C9" w14:textId="77777777" w:rsidR="001723CE" w:rsidRPr="00F33674" w:rsidRDefault="001723CE" w:rsidP="001723CE">
            <w:pPr>
              <w:jc w:val="left"/>
              <w:rPr>
                <w:rFonts w:ascii="Arial Narrow" w:hAnsi="Arial Narrow" w:cs="Arial"/>
                <w:sz w:val="20"/>
                <w:szCs w:val="20"/>
              </w:rPr>
            </w:pPr>
            <w:r w:rsidRPr="00F33674">
              <w:rPr>
                <w:rFonts w:ascii="Arial Narrow" w:hAnsi="Arial Narrow" w:cs="Arial"/>
                <w:sz w:val="20"/>
                <w:szCs w:val="20"/>
              </w:rPr>
              <w:t>[new] Authority requests extending treatment duration up to 1 month may be requested though the Online PBS Authorities system or by calling Services Australia.</w:t>
            </w:r>
          </w:p>
          <w:p w14:paraId="113A8C3A" w14:textId="77777777" w:rsidR="001723CE" w:rsidRPr="00F33674" w:rsidRDefault="001723CE" w:rsidP="001723CE">
            <w:pPr>
              <w:jc w:val="left"/>
              <w:rPr>
                <w:rFonts w:ascii="Arial Narrow" w:hAnsi="Arial Narrow" w:cs="Arial"/>
                <w:sz w:val="20"/>
                <w:szCs w:val="20"/>
              </w:rPr>
            </w:pPr>
          </w:p>
          <w:p w14:paraId="736FE1BE" w14:textId="1FCC85FE" w:rsidR="001723CE" w:rsidRPr="00F33674" w:rsidRDefault="001723CE" w:rsidP="001723CE">
            <w:pPr>
              <w:jc w:val="left"/>
              <w:rPr>
                <w:rFonts w:ascii="Arial Narrow" w:hAnsi="Arial Narrow" w:cs="Arial"/>
                <w:sz w:val="20"/>
                <w:szCs w:val="20"/>
              </w:rPr>
            </w:pPr>
            <w:r w:rsidRPr="00F33674">
              <w:rPr>
                <w:rFonts w:ascii="Arial Narrow" w:hAnsi="Arial Narrow" w:cs="Arial"/>
                <w:sz w:val="20"/>
                <w:szCs w:val="20"/>
              </w:rPr>
              <w:t xml:space="preserve">Authority requests extending treatment duration beyond 1 month </w:t>
            </w:r>
            <w:r w:rsidRPr="00710D93">
              <w:rPr>
                <w:rFonts w:ascii="Arial Narrow" w:hAnsi="Arial Narrow" w:cs="Arial"/>
                <w:sz w:val="20"/>
                <w:szCs w:val="20"/>
              </w:rPr>
              <w:t>may be requested through the Online PBS Authorities system</w:t>
            </w:r>
            <w:r w:rsidRPr="00F33674">
              <w:rPr>
                <w:rFonts w:ascii="Arial Narrow" w:hAnsi="Arial Narrow" w:cs="Arial"/>
                <w:sz w:val="20"/>
                <w:szCs w:val="20"/>
              </w:rPr>
              <w:t xml:space="preserve"> or in writing only and must not provide a treatment duration exceeding 3 months</w:t>
            </w:r>
            <w:r>
              <w:rPr>
                <w:rFonts w:ascii="Arial Narrow" w:hAnsi="Arial Narrow" w:cs="Arial"/>
                <w:sz w:val="20"/>
                <w:szCs w:val="20"/>
              </w:rPr>
              <w:t xml:space="preserve"> </w:t>
            </w:r>
            <w:r w:rsidRPr="00710D93">
              <w:rPr>
                <w:rFonts w:ascii="Arial Narrow" w:hAnsi="Arial Narrow" w:cs="Arial"/>
                <w:sz w:val="20"/>
                <w:szCs w:val="20"/>
              </w:rPr>
              <w:t xml:space="preserve">(quantity sufficient for up to </w:t>
            </w:r>
            <w:proofErr w:type="gramStart"/>
            <w:r w:rsidRPr="00710D93">
              <w:rPr>
                <w:rFonts w:ascii="Arial Narrow" w:hAnsi="Arial Narrow" w:cs="Arial"/>
                <w:sz w:val="20"/>
                <w:szCs w:val="20"/>
              </w:rPr>
              <w:t>1 month</w:t>
            </w:r>
            <w:proofErr w:type="gramEnd"/>
            <w:r w:rsidRPr="00710D93">
              <w:rPr>
                <w:rFonts w:ascii="Arial Narrow" w:hAnsi="Arial Narrow" w:cs="Arial"/>
                <w:sz w:val="20"/>
                <w:szCs w:val="20"/>
              </w:rPr>
              <w:t xml:space="preserve"> treatment and sufficient repeats)</w:t>
            </w:r>
            <w:r w:rsidRPr="00F33674">
              <w:rPr>
                <w:rFonts w:ascii="Arial Narrow" w:hAnsi="Arial Narrow" w:cs="Arial"/>
                <w:sz w:val="20"/>
                <w:szCs w:val="20"/>
              </w:rPr>
              <w:t>.</w:t>
            </w:r>
          </w:p>
        </w:tc>
      </w:tr>
      <w:tr w:rsidR="001723CE" w:rsidRPr="00F33674" w14:paraId="0C4C7772" w14:textId="77777777" w:rsidTr="00F33674">
        <w:trPr>
          <w:cantSplit/>
          <w:trHeight w:val="360"/>
        </w:trPr>
        <w:tc>
          <w:tcPr>
            <w:tcW w:w="2835" w:type="dxa"/>
            <w:tcBorders>
              <w:top w:val="single" w:sz="4" w:space="0" w:color="auto"/>
              <w:left w:val="single" w:sz="4" w:space="0" w:color="auto"/>
              <w:bottom w:val="single" w:sz="4" w:space="0" w:color="auto"/>
              <w:right w:val="single" w:sz="4" w:space="0" w:color="auto"/>
            </w:tcBorders>
          </w:tcPr>
          <w:p w14:paraId="30501E64" w14:textId="6C8EFA85" w:rsidR="001723CE" w:rsidRPr="00F33674" w:rsidRDefault="001723CE" w:rsidP="001723CE">
            <w:pPr>
              <w:rPr>
                <w:rFonts w:ascii="Arial Narrow" w:hAnsi="Arial Narrow" w:cs="Arial"/>
                <w:b/>
                <w:sz w:val="20"/>
                <w:szCs w:val="20"/>
              </w:rPr>
            </w:pPr>
            <w:r w:rsidRPr="00F33674">
              <w:rPr>
                <w:rFonts w:ascii="Arial Narrow" w:hAnsi="Arial Narrow" w:cs="Arial"/>
                <w:b/>
                <w:sz w:val="20"/>
                <w:szCs w:val="20"/>
              </w:rPr>
              <w:t>Administrative advice:</w:t>
            </w:r>
          </w:p>
        </w:tc>
        <w:tc>
          <w:tcPr>
            <w:tcW w:w="6379" w:type="dxa"/>
            <w:tcBorders>
              <w:top w:val="single" w:sz="4" w:space="0" w:color="auto"/>
              <w:left w:val="single" w:sz="4" w:space="0" w:color="auto"/>
              <w:bottom w:val="single" w:sz="4" w:space="0" w:color="auto"/>
              <w:right w:val="single" w:sz="4" w:space="0" w:color="auto"/>
            </w:tcBorders>
          </w:tcPr>
          <w:p w14:paraId="442DC3AA" w14:textId="77777777" w:rsidR="001723CE" w:rsidRPr="00F33674" w:rsidRDefault="001723CE" w:rsidP="001723CE">
            <w:pPr>
              <w:jc w:val="left"/>
              <w:rPr>
                <w:rFonts w:ascii="Arial Narrow" w:hAnsi="Arial Narrow" w:cs="Arial"/>
                <w:sz w:val="20"/>
                <w:szCs w:val="20"/>
              </w:rPr>
            </w:pPr>
            <w:r w:rsidRPr="00F33674">
              <w:rPr>
                <w:rFonts w:ascii="Arial Narrow" w:hAnsi="Arial Narrow" w:cs="Arial"/>
                <w:sz w:val="20"/>
                <w:szCs w:val="20"/>
              </w:rPr>
              <w:t>[18949] Pharmaceutical benefits that have the forms morphine sulfate 10 mg/mL injection and morphine hydrochloride 10 mg/mL injection are equivalent for the purposes of substitution.</w:t>
            </w:r>
          </w:p>
          <w:p w14:paraId="2AB83AA2" w14:textId="77777777" w:rsidR="001723CE" w:rsidRPr="00F33674" w:rsidRDefault="001723CE" w:rsidP="001723CE">
            <w:pPr>
              <w:jc w:val="left"/>
              <w:rPr>
                <w:rFonts w:ascii="Arial Narrow" w:hAnsi="Arial Narrow" w:cs="Arial"/>
                <w:sz w:val="20"/>
                <w:szCs w:val="20"/>
              </w:rPr>
            </w:pPr>
          </w:p>
          <w:p w14:paraId="78AE2593" w14:textId="77777777" w:rsidR="001723CE" w:rsidRPr="00F33674" w:rsidRDefault="001723CE" w:rsidP="001723CE">
            <w:pPr>
              <w:jc w:val="left"/>
              <w:rPr>
                <w:rFonts w:ascii="Arial Narrow" w:hAnsi="Arial Narrow"/>
                <w:sz w:val="20"/>
                <w:szCs w:val="20"/>
              </w:rPr>
            </w:pPr>
            <w:r w:rsidRPr="00F33674">
              <w:rPr>
                <w:rFonts w:ascii="Arial Narrow" w:hAnsi="Arial Narrow"/>
                <w:sz w:val="20"/>
                <w:szCs w:val="20"/>
              </w:rPr>
              <w:t>[new] Consider consultation with a multidisciplinary pain service prior to, or after commencement of this medication.</w:t>
            </w:r>
          </w:p>
          <w:p w14:paraId="4BE4789B" w14:textId="77777777" w:rsidR="001723CE" w:rsidRPr="00F33674" w:rsidRDefault="001723CE" w:rsidP="001723CE">
            <w:pPr>
              <w:jc w:val="left"/>
              <w:rPr>
                <w:rFonts w:ascii="Arial Narrow" w:hAnsi="Arial Narrow" w:cs="Arial"/>
                <w:sz w:val="20"/>
                <w:szCs w:val="20"/>
              </w:rPr>
            </w:pPr>
          </w:p>
          <w:p w14:paraId="16F3A40F" w14:textId="77777777" w:rsidR="001723CE" w:rsidRPr="00F33674" w:rsidRDefault="001723CE" w:rsidP="001723CE">
            <w:pPr>
              <w:jc w:val="left"/>
              <w:rPr>
                <w:rFonts w:ascii="Arial Narrow" w:hAnsi="Arial Narrow" w:cs="Arial"/>
                <w:sz w:val="20"/>
                <w:szCs w:val="20"/>
              </w:rPr>
            </w:pPr>
            <w:r w:rsidRPr="00F33674">
              <w:rPr>
                <w:rFonts w:ascii="Arial Narrow" w:hAnsi="Arial Narrow" w:cs="Arial"/>
                <w:sz w:val="20"/>
                <w:szCs w:val="20"/>
              </w:rPr>
              <w:t>[new] Real time online applications for increased maximum quantities/repeats may be made using the Online PBS Authorities system (see www.servicesaustralia.gov.au/organisations/health-professionals/services/medicare/hpos/services/request-authority-using-online-pbs-authorities-hpos)</w:t>
            </w:r>
          </w:p>
          <w:p w14:paraId="1BE98D72" w14:textId="77777777" w:rsidR="001723CE" w:rsidRPr="00F33674" w:rsidRDefault="001723CE" w:rsidP="001723CE">
            <w:pPr>
              <w:jc w:val="left"/>
              <w:rPr>
                <w:rFonts w:ascii="Arial Narrow" w:hAnsi="Arial Narrow" w:cs="Arial"/>
                <w:sz w:val="20"/>
                <w:szCs w:val="20"/>
              </w:rPr>
            </w:pPr>
          </w:p>
          <w:p w14:paraId="69E41884" w14:textId="77777777" w:rsidR="001723CE" w:rsidRPr="00F33674" w:rsidRDefault="001723CE" w:rsidP="001723CE">
            <w:pPr>
              <w:jc w:val="left"/>
              <w:rPr>
                <w:rFonts w:ascii="Arial Narrow" w:hAnsi="Arial Narrow" w:cs="Arial"/>
                <w:sz w:val="20"/>
                <w:szCs w:val="20"/>
              </w:rPr>
            </w:pPr>
            <w:r w:rsidRPr="00F33674">
              <w:rPr>
                <w:rFonts w:ascii="Arial Narrow" w:hAnsi="Arial Narrow" w:cs="Arial"/>
                <w:sz w:val="20"/>
                <w:szCs w:val="20"/>
              </w:rPr>
              <w:t>Phone applications for increased maximum quantities/repeats may be made by calling 1800 888 333.</w:t>
            </w:r>
          </w:p>
          <w:p w14:paraId="6E8D7271" w14:textId="77777777" w:rsidR="001723CE" w:rsidRPr="00F33674" w:rsidRDefault="001723CE" w:rsidP="001723CE">
            <w:pPr>
              <w:jc w:val="left"/>
              <w:rPr>
                <w:rFonts w:ascii="Arial Narrow" w:hAnsi="Arial Narrow" w:cs="Arial"/>
                <w:sz w:val="20"/>
                <w:szCs w:val="20"/>
              </w:rPr>
            </w:pPr>
          </w:p>
          <w:p w14:paraId="436C47DF" w14:textId="77777777" w:rsidR="001723CE" w:rsidRPr="00F33674" w:rsidRDefault="001723CE" w:rsidP="001723CE">
            <w:pPr>
              <w:jc w:val="left"/>
              <w:rPr>
                <w:rFonts w:ascii="Arial Narrow" w:hAnsi="Arial Narrow" w:cs="Arial"/>
                <w:sz w:val="20"/>
                <w:szCs w:val="20"/>
              </w:rPr>
            </w:pPr>
            <w:r w:rsidRPr="00F33674">
              <w:rPr>
                <w:rFonts w:ascii="Arial Narrow" w:hAnsi="Arial Narrow" w:cs="Arial"/>
                <w:sz w:val="20"/>
                <w:szCs w:val="20"/>
              </w:rPr>
              <w:t>Written authority applications for increased maximum quantities/repeats can be uploaded online through HPOS form upload or mailed to:</w:t>
            </w:r>
          </w:p>
          <w:p w14:paraId="2C0E025D" w14:textId="77777777" w:rsidR="001723CE" w:rsidRPr="00F33674" w:rsidRDefault="001723CE" w:rsidP="001723CE">
            <w:pPr>
              <w:jc w:val="left"/>
              <w:rPr>
                <w:rFonts w:ascii="Arial Narrow" w:hAnsi="Arial Narrow" w:cs="Arial"/>
                <w:sz w:val="20"/>
                <w:szCs w:val="20"/>
              </w:rPr>
            </w:pPr>
            <w:r w:rsidRPr="00F33674">
              <w:rPr>
                <w:rFonts w:ascii="Arial Narrow" w:hAnsi="Arial Narrow" w:cs="Arial"/>
                <w:sz w:val="20"/>
                <w:szCs w:val="20"/>
              </w:rPr>
              <w:t>Pharmaceutical Benefits Scheme</w:t>
            </w:r>
          </w:p>
          <w:p w14:paraId="307D8726" w14:textId="77777777" w:rsidR="001723CE" w:rsidRPr="00F33674" w:rsidRDefault="001723CE" w:rsidP="001723CE">
            <w:pPr>
              <w:jc w:val="left"/>
              <w:rPr>
                <w:rFonts w:ascii="Arial Narrow" w:hAnsi="Arial Narrow" w:cs="Arial"/>
                <w:sz w:val="20"/>
                <w:szCs w:val="20"/>
              </w:rPr>
            </w:pPr>
            <w:r w:rsidRPr="00F33674">
              <w:rPr>
                <w:rFonts w:ascii="Arial Narrow" w:hAnsi="Arial Narrow" w:cs="Arial"/>
                <w:sz w:val="20"/>
                <w:szCs w:val="20"/>
              </w:rPr>
              <w:t>Reply Paid 9857</w:t>
            </w:r>
          </w:p>
          <w:p w14:paraId="0CAAB773" w14:textId="5AB67CB8" w:rsidR="001723CE" w:rsidRPr="00F33674" w:rsidRDefault="001723CE" w:rsidP="001723CE">
            <w:pPr>
              <w:jc w:val="left"/>
              <w:rPr>
                <w:rFonts w:ascii="Arial Narrow" w:hAnsi="Arial Narrow" w:cs="Arial"/>
                <w:sz w:val="20"/>
                <w:szCs w:val="20"/>
              </w:rPr>
            </w:pPr>
            <w:r w:rsidRPr="00F33674">
              <w:rPr>
                <w:rFonts w:ascii="Arial Narrow" w:hAnsi="Arial Narrow" w:cs="Arial"/>
                <w:sz w:val="20"/>
                <w:szCs w:val="20"/>
              </w:rPr>
              <w:t>[Your capital city]</w:t>
            </w:r>
          </w:p>
        </w:tc>
      </w:tr>
      <w:tr w:rsidR="001723CE" w:rsidRPr="00F33674" w14:paraId="5DFBE9DF" w14:textId="77777777" w:rsidTr="00F33674">
        <w:trPr>
          <w:cantSplit/>
          <w:trHeight w:val="360"/>
        </w:trPr>
        <w:tc>
          <w:tcPr>
            <w:tcW w:w="2835" w:type="dxa"/>
            <w:tcBorders>
              <w:top w:val="single" w:sz="4" w:space="0" w:color="auto"/>
              <w:left w:val="single" w:sz="4" w:space="0" w:color="auto"/>
              <w:bottom w:val="single" w:sz="4" w:space="0" w:color="auto"/>
              <w:right w:val="single" w:sz="4" w:space="0" w:color="auto"/>
            </w:tcBorders>
          </w:tcPr>
          <w:p w14:paraId="3249AEAB" w14:textId="2447ECB3" w:rsidR="001723CE" w:rsidRPr="00F33674" w:rsidRDefault="001723CE" w:rsidP="001723CE">
            <w:pPr>
              <w:rPr>
                <w:rFonts w:ascii="Arial Narrow" w:hAnsi="Arial Narrow" w:cs="Arial"/>
                <w:b/>
                <w:sz w:val="20"/>
                <w:szCs w:val="20"/>
              </w:rPr>
            </w:pPr>
            <w:r w:rsidRPr="00F33674">
              <w:rPr>
                <w:rFonts w:ascii="Arial Narrow" w:hAnsi="Arial Narrow" w:cs="Arial"/>
                <w:b/>
                <w:sz w:val="20"/>
                <w:szCs w:val="20"/>
              </w:rPr>
              <w:t>Cautions:</w:t>
            </w:r>
          </w:p>
        </w:tc>
        <w:tc>
          <w:tcPr>
            <w:tcW w:w="6379" w:type="dxa"/>
            <w:tcBorders>
              <w:top w:val="single" w:sz="4" w:space="0" w:color="auto"/>
              <w:left w:val="single" w:sz="4" w:space="0" w:color="auto"/>
              <w:bottom w:val="single" w:sz="4" w:space="0" w:color="auto"/>
              <w:right w:val="single" w:sz="4" w:space="0" w:color="auto"/>
            </w:tcBorders>
          </w:tcPr>
          <w:p w14:paraId="4FBE98E2" w14:textId="76505CF3" w:rsidR="001723CE" w:rsidRPr="00F33674" w:rsidRDefault="001723CE" w:rsidP="001723CE">
            <w:pPr>
              <w:jc w:val="left"/>
              <w:rPr>
                <w:rFonts w:ascii="Arial Narrow" w:hAnsi="Arial Narrow" w:cs="Arial"/>
                <w:sz w:val="20"/>
                <w:szCs w:val="20"/>
              </w:rPr>
            </w:pPr>
            <w:r w:rsidRPr="00F33674">
              <w:rPr>
                <w:rFonts w:ascii="Arial Narrow" w:hAnsi="Arial Narrow" w:cs="Arial"/>
                <w:sz w:val="20"/>
                <w:szCs w:val="20"/>
              </w:rPr>
              <w:t>[6986] The risk of drug dependence is high.</w:t>
            </w:r>
          </w:p>
        </w:tc>
      </w:tr>
    </w:tbl>
    <w:p w14:paraId="2BF9629C" w14:textId="1948C587" w:rsidR="001723CE" w:rsidRDefault="001723CE" w:rsidP="00193259">
      <w:pPr>
        <w:pStyle w:val="3-BodyText"/>
        <w:keepNext/>
        <w:numPr>
          <w:ilvl w:val="0"/>
          <w:numId w:val="0"/>
        </w:numPr>
        <w:ind w:left="720" w:hanging="720"/>
      </w:pPr>
    </w:p>
    <w:tbl>
      <w:tblPr>
        <w:tblW w:w="9214" w:type="dxa"/>
        <w:tblInd w:w="-5" w:type="dxa"/>
        <w:tblLayout w:type="fixed"/>
        <w:tblLook w:val="0000" w:firstRow="0" w:lastRow="0" w:firstColumn="0" w:lastColumn="0" w:noHBand="0" w:noVBand="0"/>
      </w:tblPr>
      <w:tblGrid>
        <w:gridCol w:w="2835"/>
        <w:gridCol w:w="6379"/>
      </w:tblGrid>
      <w:tr w:rsidR="001723CE" w:rsidRPr="00F33674" w14:paraId="3963B135" w14:textId="77777777" w:rsidTr="00A74C03">
        <w:trPr>
          <w:cantSplit/>
          <w:trHeight w:val="360"/>
        </w:trPr>
        <w:tc>
          <w:tcPr>
            <w:tcW w:w="2835" w:type="dxa"/>
            <w:tcBorders>
              <w:top w:val="single" w:sz="4" w:space="0" w:color="auto"/>
              <w:left w:val="single" w:sz="4" w:space="0" w:color="auto"/>
              <w:bottom w:val="single" w:sz="4" w:space="0" w:color="auto"/>
              <w:right w:val="single" w:sz="4" w:space="0" w:color="auto"/>
            </w:tcBorders>
          </w:tcPr>
          <w:p w14:paraId="60D6806E" w14:textId="77777777" w:rsidR="001723CE" w:rsidRPr="00F33674" w:rsidRDefault="001723CE" w:rsidP="00A74C03">
            <w:pPr>
              <w:rPr>
                <w:rFonts w:ascii="Arial Narrow" w:hAnsi="Arial Narrow" w:cs="Arial"/>
                <w:b/>
                <w:sz w:val="20"/>
                <w:szCs w:val="20"/>
              </w:rPr>
            </w:pPr>
            <w:r w:rsidRPr="00F33674">
              <w:rPr>
                <w:rFonts w:ascii="Arial Narrow" w:hAnsi="Arial Narrow" w:cs="Arial"/>
                <w:b/>
                <w:sz w:val="20"/>
                <w:szCs w:val="20"/>
              </w:rPr>
              <w:t>Category / Program:</w:t>
            </w:r>
          </w:p>
        </w:tc>
        <w:tc>
          <w:tcPr>
            <w:tcW w:w="6379" w:type="dxa"/>
            <w:tcBorders>
              <w:top w:val="single" w:sz="4" w:space="0" w:color="auto"/>
              <w:left w:val="single" w:sz="4" w:space="0" w:color="auto"/>
              <w:bottom w:val="single" w:sz="4" w:space="0" w:color="auto"/>
              <w:right w:val="single" w:sz="4" w:space="0" w:color="auto"/>
            </w:tcBorders>
          </w:tcPr>
          <w:p w14:paraId="2009F75F" w14:textId="77777777" w:rsidR="001723CE" w:rsidRPr="00F33674" w:rsidRDefault="001723CE" w:rsidP="00A74C03">
            <w:pPr>
              <w:rPr>
                <w:rFonts w:ascii="Arial Narrow" w:hAnsi="Arial Narrow" w:cs="Arial"/>
                <w:sz w:val="20"/>
                <w:szCs w:val="20"/>
              </w:rPr>
            </w:pPr>
            <w:r w:rsidRPr="00F33674">
              <w:rPr>
                <w:rFonts w:ascii="Arial Narrow" w:hAnsi="Arial Narrow" w:cs="Arial"/>
                <w:sz w:val="20"/>
                <w:szCs w:val="20"/>
              </w:rPr>
              <w:t>GENERAL – General Schedule (Code GE)</w:t>
            </w:r>
          </w:p>
        </w:tc>
      </w:tr>
      <w:tr w:rsidR="001723CE" w:rsidRPr="00F33674" w14:paraId="1E50BE77" w14:textId="77777777" w:rsidTr="00A74C03">
        <w:trPr>
          <w:cantSplit/>
          <w:trHeight w:val="360"/>
        </w:trPr>
        <w:tc>
          <w:tcPr>
            <w:tcW w:w="2835" w:type="dxa"/>
            <w:tcBorders>
              <w:top w:val="single" w:sz="4" w:space="0" w:color="auto"/>
              <w:left w:val="single" w:sz="4" w:space="0" w:color="auto"/>
              <w:bottom w:val="single" w:sz="4" w:space="0" w:color="auto"/>
              <w:right w:val="single" w:sz="4" w:space="0" w:color="auto"/>
            </w:tcBorders>
          </w:tcPr>
          <w:p w14:paraId="409212D9" w14:textId="77777777" w:rsidR="001723CE" w:rsidRPr="00F33674" w:rsidRDefault="001723CE" w:rsidP="00A74C03">
            <w:pPr>
              <w:rPr>
                <w:rFonts w:ascii="Arial Narrow" w:hAnsi="Arial Narrow" w:cs="Arial"/>
                <w:b/>
                <w:sz w:val="20"/>
                <w:szCs w:val="20"/>
              </w:rPr>
            </w:pPr>
            <w:r w:rsidRPr="00F33674">
              <w:rPr>
                <w:rFonts w:ascii="Arial Narrow" w:hAnsi="Arial Narrow" w:cs="Arial"/>
                <w:b/>
                <w:sz w:val="20"/>
                <w:szCs w:val="20"/>
              </w:rPr>
              <w:t>Prescriber type:</w:t>
            </w:r>
          </w:p>
          <w:p w14:paraId="3EE9EB72" w14:textId="77777777" w:rsidR="001723CE" w:rsidRPr="00F33674" w:rsidRDefault="001723CE" w:rsidP="00A74C03">
            <w:pPr>
              <w:rPr>
                <w:rFonts w:ascii="Arial Narrow" w:hAnsi="Arial Narrow" w:cs="Arial"/>
                <w:b/>
                <w:sz w:val="20"/>
                <w:szCs w:val="20"/>
              </w:rPr>
            </w:pPr>
          </w:p>
        </w:tc>
        <w:tc>
          <w:tcPr>
            <w:tcW w:w="6379" w:type="dxa"/>
            <w:tcBorders>
              <w:top w:val="single" w:sz="4" w:space="0" w:color="auto"/>
              <w:left w:val="single" w:sz="4" w:space="0" w:color="auto"/>
              <w:bottom w:val="single" w:sz="4" w:space="0" w:color="auto"/>
              <w:right w:val="single" w:sz="4" w:space="0" w:color="auto"/>
            </w:tcBorders>
          </w:tcPr>
          <w:p w14:paraId="2EFA3B5F" w14:textId="6F50AC88" w:rsidR="001723CE" w:rsidRPr="00F33674" w:rsidRDefault="001723CE" w:rsidP="00A74C03">
            <w:pPr>
              <w:rPr>
                <w:rFonts w:ascii="Arial Narrow" w:hAnsi="Arial Narrow" w:cs="Arial"/>
                <w:sz w:val="20"/>
                <w:szCs w:val="20"/>
              </w:rPr>
            </w:pPr>
            <w:r w:rsidRPr="00F33674">
              <w:rPr>
                <w:rFonts w:ascii="Arial Narrow" w:hAnsi="Arial Narrow" w:cs="Arial"/>
                <w:sz w:val="20"/>
                <w:szCs w:val="20"/>
              </w:rPr>
              <w:fldChar w:fldCharType="begin">
                <w:ffData>
                  <w:name w:val="Check1"/>
                  <w:enabled/>
                  <w:calcOnExit w:val="0"/>
                  <w:checkBox>
                    <w:sizeAuto/>
                    <w:default w:val="0"/>
                  </w:checkBox>
                </w:ffData>
              </w:fldChar>
            </w:r>
            <w:r w:rsidRPr="00F33674">
              <w:rPr>
                <w:rFonts w:ascii="Arial Narrow" w:hAnsi="Arial Narrow" w:cs="Arial"/>
                <w:sz w:val="20"/>
                <w:szCs w:val="20"/>
              </w:rPr>
              <w:instrText xml:space="preserve"> FORMCHECKBOX </w:instrText>
            </w:r>
            <w:r w:rsidR="00233D13">
              <w:rPr>
                <w:rFonts w:ascii="Arial Narrow" w:hAnsi="Arial Narrow" w:cs="Arial"/>
                <w:sz w:val="20"/>
                <w:szCs w:val="20"/>
              </w:rPr>
            </w:r>
            <w:r w:rsidR="00233D13">
              <w:rPr>
                <w:rFonts w:ascii="Arial Narrow" w:hAnsi="Arial Narrow" w:cs="Arial"/>
                <w:sz w:val="20"/>
                <w:szCs w:val="20"/>
              </w:rPr>
              <w:fldChar w:fldCharType="separate"/>
            </w:r>
            <w:r w:rsidRPr="00F33674">
              <w:rPr>
                <w:rFonts w:ascii="Arial Narrow" w:hAnsi="Arial Narrow" w:cs="Arial"/>
                <w:sz w:val="20"/>
                <w:szCs w:val="20"/>
              </w:rPr>
              <w:fldChar w:fldCharType="end"/>
            </w:r>
            <w:r w:rsidRPr="00F33674">
              <w:rPr>
                <w:rFonts w:ascii="Arial Narrow" w:hAnsi="Arial Narrow" w:cs="Arial"/>
                <w:sz w:val="20"/>
                <w:szCs w:val="20"/>
              </w:rPr>
              <w:t>Dental</w:t>
            </w:r>
            <w:r w:rsidR="002C1329">
              <w:rPr>
                <w:rFonts w:ascii="Arial Narrow" w:hAnsi="Arial Narrow" w:cs="Arial"/>
                <w:sz w:val="20"/>
                <w:szCs w:val="20"/>
              </w:rPr>
              <w:t xml:space="preserve"> </w:t>
            </w:r>
            <w:r w:rsidRPr="00F33674">
              <w:rPr>
                <w:rFonts w:ascii="Arial Narrow" w:hAnsi="Arial Narrow" w:cs="Arial"/>
                <w:sz w:val="20"/>
                <w:szCs w:val="20"/>
              </w:rPr>
              <w:fldChar w:fldCharType="begin">
                <w:ffData>
                  <w:name w:val=""/>
                  <w:enabled/>
                  <w:calcOnExit w:val="0"/>
                  <w:checkBox>
                    <w:sizeAuto/>
                    <w:default w:val="1"/>
                  </w:checkBox>
                </w:ffData>
              </w:fldChar>
            </w:r>
            <w:r w:rsidRPr="00F33674">
              <w:rPr>
                <w:rFonts w:ascii="Arial Narrow" w:hAnsi="Arial Narrow" w:cs="Arial"/>
                <w:sz w:val="20"/>
                <w:szCs w:val="20"/>
              </w:rPr>
              <w:instrText xml:space="preserve"> FORMCHECKBOX </w:instrText>
            </w:r>
            <w:r w:rsidR="00233D13">
              <w:rPr>
                <w:rFonts w:ascii="Arial Narrow" w:hAnsi="Arial Narrow" w:cs="Arial"/>
                <w:sz w:val="20"/>
                <w:szCs w:val="20"/>
              </w:rPr>
            </w:r>
            <w:r w:rsidR="00233D13">
              <w:rPr>
                <w:rFonts w:ascii="Arial Narrow" w:hAnsi="Arial Narrow" w:cs="Arial"/>
                <w:sz w:val="20"/>
                <w:szCs w:val="20"/>
              </w:rPr>
              <w:fldChar w:fldCharType="separate"/>
            </w:r>
            <w:r w:rsidRPr="00F33674">
              <w:rPr>
                <w:rFonts w:ascii="Arial Narrow" w:hAnsi="Arial Narrow" w:cs="Arial"/>
                <w:sz w:val="20"/>
                <w:szCs w:val="20"/>
              </w:rPr>
              <w:fldChar w:fldCharType="end"/>
            </w:r>
            <w:r w:rsidRPr="00F33674">
              <w:rPr>
                <w:rFonts w:ascii="Arial Narrow" w:hAnsi="Arial Narrow" w:cs="Arial"/>
                <w:sz w:val="20"/>
                <w:szCs w:val="20"/>
              </w:rPr>
              <w:t>Medical Practitioners</w:t>
            </w:r>
            <w:r w:rsidR="002C1329">
              <w:rPr>
                <w:rFonts w:ascii="Arial Narrow" w:hAnsi="Arial Narrow" w:cs="Arial"/>
                <w:sz w:val="20"/>
                <w:szCs w:val="20"/>
              </w:rPr>
              <w:t xml:space="preserve"> </w:t>
            </w:r>
            <w:r w:rsidRPr="00F33674">
              <w:rPr>
                <w:rFonts w:ascii="Arial Narrow" w:hAnsi="Arial Narrow" w:cs="Arial"/>
                <w:sz w:val="20"/>
                <w:szCs w:val="20"/>
              </w:rPr>
              <w:fldChar w:fldCharType="begin">
                <w:ffData>
                  <w:name w:val="Check3"/>
                  <w:enabled/>
                  <w:calcOnExit w:val="0"/>
                  <w:checkBox>
                    <w:sizeAuto/>
                    <w:default w:val="1"/>
                  </w:checkBox>
                </w:ffData>
              </w:fldChar>
            </w:r>
            <w:r w:rsidRPr="00F33674">
              <w:rPr>
                <w:rFonts w:ascii="Arial Narrow" w:hAnsi="Arial Narrow" w:cs="Arial"/>
                <w:sz w:val="20"/>
                <w:szCs w:val="20"/>
              </w:rPr>
              <w:instrText xml:space="preserve"> FORMCHECKBOX </w:instrText>
            </w:r>
            <w:r w:rsidR="00233D13">
              <w:rPr>
                <w:rFonts w:ascii="Arial Narrow" w:hAnsi="Arial Narrow" w:cs="Arial"/>
                <w:sz w:val="20"/>
                <w:szCs w:val="20"/>
              </w:rPr>
            </w:r>
            <w:r w:rsidR="00233D13">
              <w:rPr>
                <w:rFonts w:ascii="Arial Narrow" w:hAnsi="Arial Narrow" w:cs="Arial"/>
                <w:sz w:val="20"/>
                <w:szCs w:val="20"/>
              </w:rPr>
              <w:fldChar w:fldCharType="separate"/>
            </w:r>
            <w:r w:rsidRPr="00F33674">
              <w:rPr>
                <w:rFonts w:ascii="Arial Narrow" w:hAnsi="Arial Narrow" w:cs="Arial"/>
                <w:sz w:val="20"/>
                <w:szCs w:val="20"/>
              </w:rPr>
              <w:fldChar w:fldCharType="end"/>
            </w:r>
            <w:r w:rsidRPr="00F33674">
              <w:rPr>
                <w:rFonts w:ascii="Arial Narrow" w:hAnsi="Arial Narrow" w:cs="Arial"/>
                <w:sz w:val="20"/>
                <w:szCs w:val="20"/>
              </w:rPr>
              <w:t>Nurse practitioners</w:t>
            </w:r>
            <w:r w:rsidR="002C1329">
              <w:rPr>
                <w:rFonts w:ascii="Arial Narrow" w:hAnsi="Arial Narrow" w:cs="Arial"/>
                <w:sz w:val="20"/>
                <w:szCs w:val="20"/>
              </w:rPr>
              <w:t xml:space="preserve"> </w:t>
            </w:r>
            <w:r w:rsidRPr="00F33674">
              <w:rPr>
                <w:rFonts w:ascii="Arial Narrow" w:hAnsi="Arial Narrow" w:cs="Arial"/>
                <w:sz w:val="20"/>
                <w:szCs w:val="20"/>
              </w:rPr>
              <w:fldChar w:fldCharType="begin">
                <w:ffData>
                  <w:name w:val=""/>
                  <w:enabled/>
                  <w:calcOnExit w:val="0"/>
                  <w:checkBox>
                    <w:sizeAuto/>
                    <w:default w:val="0"/>
                  </w:checkBox>
                </w:ffData>
              </w:fldChar>
            </w:r>
            <w:r w:rsidRPr="00F33674">
              <w:rPr>
                <w:rFonts w:ascii="Arial Narrow" w:hAnsi="Arial Narrow" w:cs="Arial"/>
                <w:sz w:val="20"/>
                <w:szCs w:val="20"/>
              </w:rPr>
              <w:instrText xml:space="preserve"> FORMCHECKBOX </w:instrText>
            </w:r>
            <w:r w:rsidR="00233D13">
              <w:rPr>
                <w:rFonts w:ascii="Arial Narrow" w:hAnsi="Arial Narrow" w:cs="Arial"/>
                <w:sz w:val="20"/>
                <w:szCs w:val="20"/>
              </w:rPr>
            </w:r>
            <w:r w:rsidR="00233D13">
              <w:rPr>
                <w:rFonts w:ascii="Arial Narrow" w:hAnsi="Arial Narrow" w:cs="Arial"/>
                <w:sz w:val="20"/>
                <w:szCs w:val="20"/>
              </w:rPr>
              <w:fldChar w:fldCharType="separate"/>
            </w:r>
            <w:r w:rsidRPr="00F33674">
              <w:rPr>
                <w:rFonts w:ascii="Arial Narrow" w:hAnsi="Arial Narrow" w:cs="Arial"/>
                <w:sz w:val="20"/>
                <w:szCs w:val="20"/>
              </w:rPr>
              <w:fldChar w:fldCharType="end"/>
            </w:r>
            <w:r w:rsidRPr="00F33674">
              <w:rPr>
                <w:rFonts w:ascii="Arial Narrow" w:hAnsi="Arial Narrow" w:cs="Arial"/>
                <w:sz w:val="20"/>
                <w:szCs w:val="20"/>
              </w:rPr>
              <w:t>Optometrists</w:t>
            </w:r>
          </w:p>
          <w:p w14:paraId="50C485E0" w14:textId="6DBDB0AD" w:rsidR="001723CE" w:rsidRPr="00F33674" w:rsidRDefault="001723CE" w:rsidP="00A74C03">
            <w:pPr>
              <w:rPr>
                <w:rFonts w:ascii="Arial Narrow" w:hAnsi="Arial Narrow" w:cs="Arial"/>
                <w:sz w:val="20"/>
                <w:szCs w:val="20"/>
              </w:rPr>
            </w:pPr>
            <w:r>
              <w:rPr>
                <w:rFonts w:ascii="Arial Narrow" w:hAnsi="Arial Narrow" w:cs="Arial"/>
                <w:sz w:val="20"/>
                <w:szCs w:val="20"/>
              </w:rPr>
              <w:fldChar w:fldCharType="begin">
                <w:ffData>
                  <w:name w:val=""/>
                  <w:enabled/>
                  <w:calcOnExit w:val="0"/>
                  <w:checkBox>
                    <w:sizeAuto/>
                    <w:default w:val="1"/>
                  </w:checkBox>
                </w:ffData>
              </w:fldChar>
            </w:r>
            <w:r>
              <w:rPr>
                <w:rFonts w:ascii="Arial Narrow" w:hAnsi="Arial Narrow" w:cs="Arial"/>
                <w:sz w:val="20"/>
                <w:szCs w:val="20"/>
              </w:rPr>
              <w:instrText xml:space="preserve"> FORMCHECKBOX </w:instrText>
            </w:r>
            <w:r w:rsidR="00233D13">
              <w:rPr>
                <w:rFonts w:ascii="Arial Narrow" w:hAnsi="Arial Narrow" w:cs="Arial"/>
                <w:sz w:val="20"/>
                <w:szCs w:val="20"/>
              </w:rPr>
            </w:r>
            <w:r w:rsidR="00233D13">
              <w:rPr>
                <w:rFonts w:ascii="Arial Narrow" w:hAnsi="Arial Narrow" w:cs="Arial"/>
                <w:sz w:val="20"/>
                <w:szCs w:val="20"/>
              </w:rPr>
              <w:fldChar w:fldCharType="separate"/>
            </w:r>
            <w:r>
              <w:rPr>
                <w:rFonts w:ascii="Arial Narrow" w:hAnsi="Arial Narrow" w:cs="Arial"/>
                <w:sz w:val="20"/>
                <w:szCs w:val="20"/>
              </w:rPr>
              <w:fldChar w:fldCharType="end"/>
            </w:r>
            <w:r w:rsidRPr="00F33674">
              <w:rPr>
                <w:rFonts w:ascii="Arial Narrow" w:hAnsi="Arial Narrow" w:cs="Arial"/>
                <w:sz w:val="20"/>
                <w:szCs w:val="20"/>
              </w:rPr>
              <w:t>Midwives</w:t>
            </w:r>
          </w:p>
        </w:tc>
      </w:tr>
      <w:tr w:rsidR="001723CE" w:rsidRPr="00F33674" w14:paraId="191246C3" w14:textId="77777777" w:rsidTr="00A74C03">
        <w:trPr>
          <w:cantSplit/>
          <w:trHeight w:val="369"/>
        </w:trPr>
        <w:tc>
          <w:tcPr>
            <w:tcW w:w="2835" w:type="dxa"/>
            <w:tcBorders>
              <w:top w:val="single" w:sz="4" w:space="0" w:color="auto"/>
              <w:left w:val="single" w:sz="4" w:space="0" w:color="auto"/>
              <w:bottom w:val="single" w:sz="4" w:space="0" w:color="auto"/>
              <w:right w:val="single" w:sz="4" w:space="0" w:color="auto"/>
            </w:tcBorders>
          </w:tcPr>
          <w:p w14:paraId="1AA797C6" w14:textId="77777777" w:rsidR="001723CE" w:rsidRPr="00F33674" w:rsidRDefault="001723CE" w:rsidP="00A74C03">
            <w:pPr>
              <w:rPr>
                <w:rFonts w:ascii="Arial Narrow" w:hAnsi="Arial Narrow" w:cs="Arial"/>
                <w:b/>
                <w:sz w:val="20"/>
                <w:szCs w:val="20"/>
              </w:rPr>
            </w:pPr>
            <w:r w:rsidRPr="00F33674">
              <w:rPr>
                <w:rFonts w:ascii="Arial Narrow" w:hAnsi="Arial Narrow" w:cs="Arial"/>
                <w:b/>
                <w:sz w:val="20"/>
                <w:szCs w:val="20"/>
              </w:rPr>
              <w:t>PBS indication:</w:t>
            </w:r>
          </w:p>
        </w:tc>
        <w:tc>
          <w:tcPr>
            <w:tcW w:w="6379" w:type="dxa"/>
            <w:tcBorders>
              <w:top w:val="single" w:sz="4" w:space="0" w:color="auto"/>
              <w:left w:val="single" w:sz="4" w:space="0" w:color="auto"/>
              <w:bottom w:val="single" w:sz="4" w:space="0" w:color="auto"/>
              <w:right w:val="single" w:sz="4" w:space="0" w:color="auto"/>
            </w:tcBorders>
          </w:tcPr>
          <w:p w14:paraId="2A7657C7" w14:textId="77777777" w:rsidR="001723CE" w:rsidRPr="00F33674" w:rsidRDefault="001723CE" w:rsidP="00A74C03">
            <w:pPr>
              <w:rPr>
                <w:rFonts w:ascii="Arial Narrow" w:hAnsi="Arial Narrow" w:cs="Arial"/>
                <w:sz w:val="20"/>
                <w:szCs w:val="20"/>
              </w:rPr>
            </w:pPr>
            <w:r w:rsidRPr="00F33674">
              <w:rPr>
                <w:rFonts w:ascii="Arial Narrow" w:hAnsi="Arial Narrow" w:cs="Arial"/>
                <w:sz w:val="20"/>
                <w:szCs w:val="20"/>
              </w:rPr>
              <w:t>[7861] Severe pain</w:t>
            </w:r>
          </w:p>
        </w:tc>
      </w:tr>
      <w:tr w:rsidR="001723CE" w:rsidRPr="00F33674" w14:paraId="4B77D845" w14:textId="77777777" w:rsidTr="00A74C03">
        <w:trPr>
          <w:cantSplit/>
          <w:trHeight w:val="360"/>
        </w:trPr>
        <w:tc>
          <w:tcPr>
            <w:tcW w:w="2835" w:type="dxa"/>
            <w:tcBorders>
              <w:top w:val="single" w:sz="4" w:space="0" w:color="auto"/>
              <w:left w:val="single" w:sz="4" w:space="0" w:color="auto"/>
              <w:bottom w:val="single" w:sz="4" w:space="0" w:color="auto"/>
              <w:right w:val="single" w:sz="4" w:space="0" w:color="auto"/>
            </w:tcBorders>
          </w:tcPr>
          <w:p w14:paraId="6D3155AB" w14:textId="77777777" w:rsidR="001723CE" w:rsidRPr="00F33674" w:rsidRDefault="001723CE" w:rsidP="00A74C03">
            <w:pPr>
              <w:rPr>
                <w:rFonts w:ascii="Arial Narrow" w:hAnsi="Arial Narrow" w:cs="Arial"/>
                <w:b/>
                <w:sz w:val="20"/>
                <w:szCs w:val="20"/>
              </w:rPr>
            </w:pPr>
            <w:r w:rsidRPr="00F33674">
              <w:rPr>
                <w:rFonts w:ascii="Arial Narrow" w:hAnsi="Arial Narrow" w:cs="Arial"/>
                <w:b/>
                <w:sz w:val="20"/>
                <w:szCs w:val="20"/>
              </w:rPr>
              <w:t>Restriction Level / Method:</w:t>
            </w:r>
          </w:p>
          <w:p w14:paraId="18B06F1E" w14:textId="77777777" w:rsidR="001723CE" w:rsidRPr="00F33674" w:rsidRDefault="001723CE" w:rsidP="00A74C03">
            <w:pPr>
              <w:rPr>
                <w:rFonts w:ascii="Arial Narrow" w:hAnsi="Arial Narrow" w:cs="Arial"/>
                <w:i/>
                <w:sz w:val="20"/>
                <w:szCs w:val="20"/>
              </w:rPr>
            </w:pPr>
          </w:p>
          <w:p w14:paraId="43A39E40" w14:textId="77777777" w:rsidR="001723CE" w:rsidRPr="00F33674" w:rsidRDefault="001723CE" w:rsidP="00A74C03">
            <w:pPr>
              <w:rPr>
                <w:rFonts w:ascii="Arial Narrow" w:hAnsi="Arial Narrow" w:cs="Arial"/>
                <w:i/>
                <w:sz w:val="20"/>
                <w:szCs w:val="20"/>
              </w:rPr>
            </w:pPr>
          </w:p>
          <w:p w14:paraId="76FADA9C" w14:textId="77777777" w:rsidR="001723CE" w:rsidRPr="00F33674" w:rsidRDefault="001723CE" w:rsidP="00A74C03">
            <w:pPr>
              <w:rPr>
                <w:rFonts w:ascii="Arial Narrow" w:hAnsi="Arial Narrow" w:cs="Arial"/>
                <w:i/>
                <w:sz w:val="20"/>
                <w:szCs w:val="20"/>
              </w:rPr>
            </w:pPr>
          </w:p>
        </w:tc>
        <w:tc>
          <w:tcPr>
            <w:tcW w:w="6379" w:type="dxa"/>
            <w:tcBorders>
              <w:top w:val="single" w:sz="4" w:space="0" w:color="auto"/>
              <w:left w:val="single" w:sz="4" w:space="0" w:color="auto"/>
              <w:bottom w:val="single" w:sz="4" w:space="0" w:color="auto"/>
              <w:right w:val="single" w:sz="4" w:space="0" w:color="auto"/>
            </w:tcBorders>
          </w:tcPr>
          <w:p w14:paraId="10A178F4" w14:textId="77777777" w:rsidR="001723CE" w:rsidRPr="00F33674" w:rsidRDefault="001723CE" w:rsidP="00A74C03">
            <w:pPr>
              <w:rPr>
                <w:rFonts w:ascii="Arial Narrow" w:hAnsi="Arial Narrow" w:cs="Arial"/>
                <w:sz w:val="20"/>
                <w:szCs w:val="20"/>
              </w:rPr>
            </w:pPr>
            <w:r w:rsidRPr="00F33674">
              <w:rPr>
                <w:rFonts w:ascii="Arial Narrow" w:hAnsi="Arial Narrow" w:cs="Arial"/>
                <w:sz w:val="20"/>
                <w:szCs w:val="20"/>
              </w:rPr>
              <w:fldChar w:fldCharType="begin">
                <w:ffData>
                  <w:name w:val=""/>
                  <w:enabled/>
                  <w:calcOnExit w:val="0"/>
                  <w:checkBox>
                    <w:sizeAuto/>
                    <w:default w:val="0"/>
                  </w:checkBox>
                </w:ffData>
              </w:fldChar>
            </w:r>
            <w:r w:rsidRPr="00F33674">
              <w:rPr>
                <w:rFonts w:ascii="Arial Narrow" w:hAnsi="Arial Narrow" w:cs="Arial"/>
                <w:sz w:val="20"/>
                <w:szCs w:val="20"/>
              </w:rPr>
              <w:instrText xml:space="preserve"> FORMCHECKBOX </w:instrText>
            </w:r>
            <w:r w:rsidR="00233D13">
              <w:rPr>
                <w:rFonts w:ascii="Arial Narrow" w:hAnsi="Arial Narrow" w:cs="Arial"/>
                <w:sz w:val="20"/>
                <w:szCs w:val="20"/>
              </w:rPr>
            </w:r>
            <w:r w:rsidR="00233D13">
              <w:rPr>
                <w:rFonts w:ascii="Arial Narrow" w:hAnsi="Arial Narrow" w:cs="Arial"/>
                <w:sz w:val="20"/>
                <w:szCs w:val="20"/>
              </w:rPr>
              <w:fldChar w:fldCharType="separate"/>
            </w:r>
            <w:r w:rsidRPr="00F33674">
              <w:rPr>
                <w:rFonts w:ascii="Arial Narrow" w:hAnsi="Arial Narrow" w:cs="Arial"/>
                <w:sz w:val="20"/>
                <w:szCs w:val="20"/>
              </w:rPr>
              <w:fldChar w:fldCharType="end"/>
            </w:r>
            <w:r w:rsidRPr="00F33674">
              <w:rPr>
                <w:rFonts w:ascii="Arial Narrow" w:hAnsi="Arial Narrow" w:cs="Arial"/>
                <w:sz w:val="20"/>
                <w:szCs w:val="20"/>
              </w:rPr>
              <w:t>Unrestricted benefit</w:t>
            </w:r>
          </w:p>
          <w:p w14:paraId="1DA9D9DF" w14:textId="77777777" w:rsidR="001723CE" w:rsidRPr="00F33674" w:rsidRDefault="001723CE" w:rsidP="00A74C03">
            <w:pPr>
              <w:rPr>
                <w:rFonts w:ascii="Arial Narrow" w:hAnsi="Arial Narrow" w:cs="Arial"/>
                <w:i/>
                <w:sz w:val="20"/>
                <w:szCs w:val="20"/>
              </w:rPr>
            </w:pPr>
            <w:r w:rsidRPr="00F33674">
              <w:rPr>
                <w:rFonts w:ascii="Arial Narrow" w:hAnsi="Arial Narrow" w:cs="Arial"/>
                <w:i/>
                <w:sz w:val="20"/>
                <w:szCs w:val="20"/>
              </w:rPr>
              <w:fldChar w:fldCharType="begin">
                <w:ffData>
                  <w:name w:val="Check1"/>
                  <w:enabled/>
                  <w:calcOnExit w:val="0"/>
                  <w:checkBox>
                    <w:sizeAuto/>
                    <w:default w:val="1"/>
                  </w:checkBox>
                </w:ffData>
              </w:fldChar>
            </w:r>
            <w:r w:rsidRPr="00F33674">
              <w:rPr>
                <w:rFonts w:ascii="Arial Narrow" w:hAnsi="Arial Narrow" w:cs="Arial"/>
                <w:i/>
                <w:sz w:val="20"/>
                <w:szCs w:val="20"/>
              </w:rPr>
              <w:instrText xml:space="preserve"> FORMCHECKBOX </w:instrText>
            </w:r>
            <w:r w:rsidR="00233D13">
              <w:rPr>
                <w:rFonts w:ascii="Arial Narrow" w:hAnsi="Arial Narrow" w:cs="Arial"/>
                <w:i/>
                <w:sz w:val="20"/>
                <w:szCs w:val="20"/>
              </w:rPr>
            </w:r>
            <w:r w:rsidR="00233D13">
              <w:rPr>
                <w:rFonts w:ascii="Arial Narrow" w:hAnsi="Arial Narrow" w:cs="Arial"/>
                <w:i/>
                <w:sz w:val="20"/>
                <w:szCs w:val="20"/>
              </w:rPr>
              <w:fldChar w:fldCharType="separate"/>
            </w:r>
            <w:r w:rsidRPr="00F33674">
              <w:rPr>
                <w:rFonts w:ascii="Arial Narrow" w:hAnsi="Arial Narrow" w:cs="Arial"/>
                <w:i/>
                <w:sz w:val="20"/>
                <w:szCs w:val="20"/>
              </w:rPr>
              <w:fldChar w:fldCharType="end"/>
            </w:r>
            <w:r w:rsidRPr="00F33674">
              <w:rPr>
                <w:rFonts w:ascii="Arial Narrow" w:hAnsi="Arial Narrow" w:cs="Arial"/>
                <w:sz w:val="20"/>
                <w:szCs w:val="20"/>
              </w:rPr>
              <w:t>Restricted benefit</w:t>
            </w:r>
          </w:p>
          <w:p w14:paraId="18180074" w14:textId="77777777" w:rsidR="001723CE" w:rsidRPr="00F33674" w:rsidRDefault="001723CE" w:rsidP="00A74C03">
            <w:pPr>
              <w:rPr>
                <w:rFonts w:ascii="Arial Narrow" w:hAnsi="Arial Narrow" w:cs="Arial"/>
                <w:sz w:val="20"/>
                <w:szCs w:val="20"/>
              </w:rPr>
            </w:pPr>
            <w:r w:rsidRPr="00F33674">
              <w:rPr>
                <w:rFonts w:ascii="Arial Narrow" w:hAnsi="Arial Narrow" w:cs="Arial"/>
                <w:sz w:val="20"/>
                <w:szCs w:val="20"/>
              </w:rPr>
              <w:fldChar w:fldCharType="begin">
                <w:ffData>
                  <w:name w:val=""/>
                  <w:enabled/>
                  <w:calcOnExit w:val="0"/>
                  <w:checkBox>
                    <w:sizeAuto/>
                    <w:default w:val="0"/>
                  </w:checkBox>
                </w:ffData>
              </w:fldChar>
            </w:r>
            <w:r w:rsidRPr="00F33674">
              <w:rPr>
                <w:rFonts w:ascii="Arial Narrow" w:hAnsi="Arial Narrow" w:cs="Arial"/>
                <w:sz w:val="20"/>
                <w:szCs w:val="20"/>
              </w:rPr>
              <w:instrText xml:space="preserve"> FORMCHECKBOX </w:instrText>
            </w:r>
            <w:r w:rsidR="00233D13">
              <w:rPr>
                <w:rFonts w:ascii="Arial Narrow" w:hAnsi="Arial Narrow" w:cs="Arial"/>
                <w:sz w:val="20"/>
                <w:szCs w:val="20"/>
              </w:rPr>
            </w:r>
            <w:r w:rsidR="00233D13">
              <w:rPr>
                <w:rFonts w:ascii="Arial Narrow" w:hAnsi="Arial Narrow" w:cs="Arial"/>
                <w:sz w:val="20"/>
                <w:szCs w:val="20"/>
              </w:rPr>
              <w:fldChar w:fldCharType="separate"/>
            </w:r>
            <w:r w:rsidRPr="00F33674">
              <w:rPr>
                <w:rFonts w:ascii="Arial Narrow" w:hAnsi="Arial Narrow" w:cs="Arial"/>
                <w:sz w:val="20"/>
                <w:szCs w:val="20"/>
              </w:rPr>
              <w:fldChar w:fldCharType="end"/>
            </w:r>
            <w:r w:rsidRPr="00F33674">
              <w:rPr>
                <w:rFonts w:ascii="Arial Narrow" w:hAnsi="Arial Narrow" w:cs="Arial"/>
                <w:sz w:val="20"/>
                <w:szCs w:val="20"/>
              </w:rPr>
              <w:t>Authority Required – In Writing</w:t>
            </w:r>
          </w:p>
          <w:p w14:paraId="6BD61DB5" w14:textId="77777777" w:rsidR="001723CE" w:rsidRPr="00F33674" w:rsidRDefault="001723CE" w:rsidP="00A74C03">
            <w:pPr>
              <w:rPr>
                <w:rFonts w:ascii="Arial Narrow" w:hAnsi="Arial Narrow" w:cs="Arial"/>
                <w:sz w:val="20"/>
                <w:szCs w:val="20"/>
              </w:rPr>
            </w:pPr>
            <w:r w:rsidRPr="00F33674">
              <w:rPr>
                <w:rFonts w:ascii="Arial Narrow" w:hAnsi="Arial Narrow" w:cs="Arial"/>
                <w:sz w:val="20"/>
                <w:szCs w:val="20"/>
              </w:rPr>
              <w:fldChar w:fldCharType="begin">
                <w:ffData>
                  <w:name w:val="Check3"/>
                  <w:enabled/>
                  <w:calcOnExit w:val="0"/>
                  <w:checkBox>
                    <w:sizeAuto/>
                    <w:default w:val="0"/>
                  </w:checkBox>
                </w:ffData>
              </w:fldChar>
            </w:r>
            <w:r w:rsidRPr="00F33674">
              <w:rPr>
                <w:rFonts w:ascii="Arial Narrow" w:hAnsi="Arial Narrow" w:cs="Arial"/>
                <w:sz w:val="20"/>
                <w:szCs w:val="20"/>
              </w:rPr>
              <w:instrText xml:space="preserve"> FORMCHECKBOX </w:instrText>
            </w:r>
            <w:r w:rsidR="00233D13">
              <w:rPr>
                <w:rFonts w:ascii="Arial Narrow" w:hAnsi="Arial Narrow" w:cs="Arial"/>
                <w:sz w:val="20"/>
                <w:szCs w:val="20"/>
              </w:rPr>
            </w:r>
            <w:r w:rsidR="00233D13">
              <w:rPr>
                <w:rFonts w:ascii="Arial Narrow" w:hAnsi="Arial Narrow" w:cs="Arial"/>
                <w:sz w:val="20"/>
                <w:szCs w:val="20"/>
              </w:rPr>
              <w:fldChar w:fldCharType="separate"/>
            </w:r>
            <w:r w:rsidRPr="00F33674">
              <w:rPr>
                <w:rFonts w:ascii="Arial Narrow" w:hAnsi="Arial Narrow" w:cs="Arial"/>
                <w:sz w:val="20"/>
                <w:szCs w:val="20"/>
              </w:rPr>
              <w:fldChar w:fldCharType="end"/>
            </w:r>
            <w:r w:rsidRPr="00F33674">
              <w:rPr>
                <w:rFonts w:ascii="Arial Narrow" w:hAnsi="Arial Narrow" w:cs="Arial"/>
                <w:sz w:val="20"/>
                <w:szCs w:val="20"/>
              </w:rPr>
              <w:t>Authority Required – Telephone/Electronic/Emergency</w:t>
            </w:r>
          </w:p>
          <w:p w14:paraId="103E921B" w14:textId="77777777" w:rsidR="001723CE" w:rsidRPr="00F33674" w:rsidRDefault="001723CE" w:rsidP="00A74C03">
            <w:pPr>
              <w:rPr>
                <w:rFonts w:ascii="Arial Narrow" w:hAnsi="Arial Narrow" w:cs="Arial"/>
                <w:sz w:val="20"/>
                <w:szCs w:val="20"/>
              </w:rPr>
            </w:pPr>
            <w:r w:rsidRPr="00F33674">
              <w:rPr>
                <w:rFonts w:ascii="Arial Narrow" w:hAnsi="Arial Narrow" w:cs="Arial"/>
                <w:sz w:val="20"/>
                <w:szCs w:val="20"/>
              </w:rPr>
              <w:fldChar w:fldCharType="begin">
                <w:ffData>
                  <w:name w:val="Check5"/>
                  <w:enabled/>
                  <w:calcOnExit w:val="0"/>
                  <w:checkBox>
                    <w:sizeAuto/>
                    <w:default w:val="0"/>
                  </w:checkBox>
                </w:ffData>
              </w:fldChar>
            </w:r>
            <w:r w:rsidRPr="00F33674">
              <w:rPr>
                <w:rFonts w:ascii="Arial Narrow" w:hAnsi="Arial Narrow" w:cs="Arial"/>
                <w:sz w:val="20"/>
                <w:szCs w:val="20"/>
              </w:rPr>
              <w:instrText xml:space="preserve"> FORMCHECKBOX </w:instrText>
            </w:r>
            <w:r w:rsidR="00233D13">
              <w:rPr>
                <w:rFonts w:ascii="Arial Narrow" w:hAnsi="Arial Narrow" w:cs="Arial"/>
                <w:sz w:val="20"/>
                <w:szCs w:val="20"/>
              </w:rPr>
            </w:r>
            <w:r w:rsidR="00233D13">
              <w:rPr>
                <w:rFonts w:ascii="Arial Narrow" w:hAnsi="Arial Narrow" w:cs="Arial"/>
                <w:sz w:val="20"/>
                <w:szCs w:val="20"/>
              </w:rPr>
              <w:fldChar w:fldCharType="separate"/>
            </w:r>
            <w:r w:rsidRPr="00F33674">
              <w:rPr>
                <w:rFonts w:ascii="Arial Narrow" w:hAnsi="Arial Narrow" w:cs="Arial"/>
                <w:sz w:val="20"/>
                <w:szCs w:val="20"/>
              </w:rPr>
              <w:fldChar w:fldCharType="end"/>
            </w:r>
            <w:r w:rsidRPr="00F33674">
              <w:rPr>
                <w:rFonts w:ascii="Arial Narrow" w:hAnsi="Arial Narrow" w:cs="Arial"/>
                <w:sz w:val="20"/>
                <w:szCs w:val="20"/>
              </w:rPr>
              <w:t>Streamlined</w:t>
            </w:r>
          </w:p>
        </w:tc>
      </w:tr>
      <w:tr w:rsidR="001723CE" w:rsidRPr="00F33674" w14:paraId="4B8EDA94" w14:textId="77777777" w:rsidTr="00A74C03">
        <w:trPr>
          <w:cantSplit/>
          <w:trHeight w:val="360"/>
        </w:trPr>
        <w:tc>
          <w:tcPr>
            <w:tcW w:w="2835" w:type="dxa"/>
            <w:tcBorders>
              <w:top w:val="single" w:sz="4" w:space="0" w:color="auto"/>
              <w:left w:val="single" w:sz="4" w:space="0" w:color="auto"/>
              <w:bottom w:val="single" w:sz="4" w:space="0" w:color="auto"/>
              <w:right w:val="single" w:sz="4" w:space="0" w:color="auto"/>
            </w:tcBorders>
          </w:tcPr>
          <w:p w14:paraId="4FB0AD53" w14:textId="77777777" w:rsidR="001723CE" w:rsidRPr="00F33674" w:rsidRDefault="001723CE" w:rsidP="00A74C03">
            <w:pPr>
              <w:rPr>
                <w:rFonts w:ascii="Arial Narrow" w:hAnsi="Arial Narrow" w:cs="Arial"/>
                <w:b/>
                <w:sz w:val="20"/>
                <w:szCs w:val="20"/>
              </w:rPr>
            </w:pPr>
            <w:r>
              <w:rPr>
                <w:rFonts w:ascii="Arial Narrow" w:hAnsi="Arial Narrow" w:cs="Arial"/>
                <w:b/>
                <w:sz w:val="20"/>
                <w:szCs w:val="20"/>
              </w:rPr>
              <w:t>Treatment phase:</w:t>
            </w:r>
          </w:p>
        </w:tc>
        <w:tc>
          <w:tcPr>
            <w:tcW w:w="6379" w:type="dxa"/>
            <w:tcBorders>
              <w:top w:val="single" w:sz="4" w:space="0" w:color="auto"/>
              <w:left w:val="single" w:sz="4" w:space="0" w:color="auto"/>
              <w:bottom w:val="single" w:sz="4" w:space="0" w:color="auto"/>
              <w:right w:val="single" w:sz="4" w:space="0" w:color="auto"/>
            </w:tcBorders>
          </w:tcPr>
          <w:p w14:paraId="47F63653" w14:textId="77777777" w:rsidR="001723CE" w:rsidRPr="00F33674" w:rsidRDefault="001723CE" w:rsidP="00A74C03">
            <w:pPr>
              <w:jc w:val="left"/>
              <w:rPr>
                <w:rFonts w:ascii="Arial Narrow" w:hAnsi="Arial Narrow" w:cs="Arial"/>
                <w:sz w:val="20"/>
                <w:szCs w:val="20"/>
              </w:rPr>
            </w:pPr>
            <w:r w:rsidRPr="00E008AF">
              <w:rPr>
                <w:rFonts w:ascii="Arial Narrow" w:hAnsi="Arial Narrow" w:cs="Arial"/>
                <w:sz w:val="20"/>
                <w:szCs w:val="20"/>
              </w:rPr>
              <w:t xml:space="preserve">Initial PBS treatment after 1 June 2020 where patient has been treated with opioids for </w:t>
            </w:r>
            <w:r>
              <w:rPr>
                <w:rFonts w:ascii="Arial Narrow" w:hAnsi="Arial Narrow" w:cs="Arial"/>
                <w:sz w:val="20"/>
                <w:szCs w:val="20"/>
              </w:rPr>
              <w:t>more</w:t>
            </w:r>
            <w:r w:rsidRPr="00E008AF">
              <w:rPr>
                <w:rFonts w:ascii="Arial Narrow" w:hAnsi="Arial Narrow" w:cs="Arial"/>
                <w:sz w:val="20"/>
                <w:szCs w:val="20"/>
              </w:rPr>
              <w:t xml:space="preserve"> than 12 months</w:t>
            </w:r>
          </w:p>
        </w:tc>
      </w:tr>
      <w:tr w:rsidR="001723CE" w:rsidRPr="00F33674" w14:paraId="1C7F3BAF" w14:textId="77777777" w:rsidTr="00A74C03">
        <w:trPr>
          <w:cantSplit/>
          <w:trHeight w:val="360"/>
        </w:trPr>
        <w:tc>
          <w:tcPr>
            <w:tcW w:w="2835" w:type="dxa"/>
            <w:tcBorders>
              <w:top w:val="single" w:sz="4" w:space="0" w:color="auto"/>
              <w:left w:val="single" w:sz="4" w:space="0" w:color="auto"/>
              <w:bottom w:val="single" w:sz="4" w:space="0" w:color="auto"/>
              <w:right w:val="single" w:sz="4" w:space="0" w:color="auto"/>
            </w:tcBorders>
          </w:tcPr>
          <w:p w14:paraId="42644418" w14:textId="77777777" w:rsidR="001723CE" w:rsidRPr="00F33674" w:rsidRDefault="001723CE" w:rsidP="00A74C03">
            <w:pPr>
              <w:rPr>
                <w:rFonts w:ascii="Arial Narrow" w:hAnsi="Arial Narrow" w:cs="Arial"/>
                <w:b/>
                <w:sz w:val="20"/>
                <w:szCs w:val="20"/>
              </w:rPr>
            </w:pPr>
            <w:r w:rsidRPr="00F33674">
              <w:rPr>
                <w:rFonts w:ascii="Arial Narrow" w:hAnsi="Arial Narrow" w:cs="Arial"/>
                <w:b/>
                <w:sz w:val="20"/>
                <w:szCs w:val="20"/>
              </w:rPr>
              <w:lastRenderedPageBreak/>
              <w:t>Clinical criteria:</w:t>
            </w:r>
          </w:p>
        </w:tc>
        <w:tc>
          <w:tcPr>
            <w:tcW w:w="6379" w:type="dxa"/>
            <w:tcBorders>
              <w:top w:val="single" w:sz="4" w:space="0" w:color="auto"/>
              <w:left w:val="single" w:sz="4" w:space="0" w:color="auto"/>
              <w:bottom w:val="single" w:sz="4" w:space="0" w:color="auto"/>
              <w:right w:val="single" w:sz="4" w:space="0" w:color="auto"/>
            </w:tcBorders>
          </w:tcPr>
          <w:p w14:paraId="1B952EE1" w14:textId="77777777" w:rsidR="001723CE" w:rsidRPr="00F33674" w:rsidRDefault="001723CE" w:rsidP="00A74C03">
            <w:pPr>
              <w:jc w:val="left"/>
              <w:rPr>
                <w:rFonts w:ascii="Arial Narrow" w:hAnsi="Arial Narrow" w:cs="Arial"/>
                <w:sz w:val="20"/>
                <w:szCs w:val="20"/>
              </w:rPr>
            </w:pPr>
            <w:r w:rsidRPr="00F33674">
              <w:rPr>
                <w:rFonts w:ascii="Arial Narrow" w:hAnsi="Arial Narrow" w:cs="Arial"/>
                <w:sz w:val="20"/>
                <w:szCs w:val="20"/>
              </w:rPr>
              <w:t>[new] Patient must have</w:t>
            </w:r>
            <w:r>
              <w:rPr>
                <w:rFonts w:ascii="Arial Narrow" w:hAnsi="Arial Narrow" w:cs="Arial"/>
                <w:sz w:val="20"/>
                <w:szCs w:val="20"/>
              </w:rPr>
              <w:t xml:space="preserve"> had or would have</w:t>
            </w:r>
            <w:r w:rsidRPr="00F33674">
              <w:rPr>
                <w:rFonts w:ascii="Arial Narrow" w:hAnsi="Arial Narrow" w:cs="Arial"/>
                <w:sz w:val="20"/>
                <w:szCs w:val="20"/>
              </w:rPr>
              <w:t xml:space="preserve"> inadequate </w:t>
            </w:r>
            <w:r>
              <w:rPr>
                <w:rFonts w:ascii="Arial Narrow" w:hAnsi="Arial Narrow" w:cs="Arial"/>
                <w:sz w:val="20"/>
                <w:szCs w:val="20"/>
              </w:rPr>
              <w:t xml:space="preserve">pain </w:t>
            </w:r>
            <w:r w:rsidRPr="00F33674">
              <w:rPr>
                <w:rFonts w:ascii="Arial Narrow" w:hAnsi="Arial Narrow" w:cs="Arial"/>
                <w:sz w:val="20"/>
                <w:szCs w:val="20"/>
              </w:rPr>
              <w:t>management</w:t>
            </w:r>
            <w:r>
              <w:rPr>
                <w:rFonts w:ascii="Arial Narrow" w:hAnsi="Arial Narrow" w:cs="Arial"/>
                <w:sz w:val="20"/>
                <w:szCs w:val="20"/>
              </w:rPr>
              <w:t xml:space="preserve"> with</w:t>
            </w:r>
            <w:r w:rsidRPr="00F33674">
              <w:rPr>
                <w:rFonts w:ascii="Arial Narrow" w:hAnsi="Arial Narrow" w:cs="Arial"/>
                <w:sz w:val="20"/>
                <w:szCs w:val="20"/>
              </w:rPr>
              <w:t xml:space="preserve"> maximum tolerated doses of non-opioid and other opioid analgesics</w:t>
            </w:r>
          </w:p>
          <w:p w14:paraId="45341F44" w14:textId="77777777" w:rsidR="001723CE" w:rsidRPr="00F33674" w:rsidRDefault="001723CE" w:rsidP="00A74C03">
            <w:pPr>
              <w:jc w:val="left"/>
              <w:rPr>
                <w:rFonts w:ascii="Arial Narrow" w:hAnsi="Arial Narrow" w:cs="Arial"/>
                <w:sz w:val="20"/>
                <w:szCs w:val="20"/>
              </w:rPr>
            </w:pPr>
          </w:p>
          <w:p w14:paraId="7BA05003" w14:textId="77777777" w:rsidR="001723CE" w:rsidRPr="00F33674" w:rsidRDefault="001723CE" w:rsidP="00A74C03">
            <w:pPr>
              <w:jc w:val="left"/>
              <w:rPr>
                <w:rFonts w:ascii="Arial Narrow" w:hAnsi="Arial Narrow" w:cs="Arial"/>
                <w:sz w:val="20"/>
                <w:szCs w:val="20"/>
              </w:rPr>
            </w:pPr>
            <w:r w:rsidRPr="00F33674">
              <w:rPr>
                <w:rFonts w:ascii="Arial Narrow" w:hAnsi="Arial Narrow" w:cs="Arial"/>
                <w:sz w:val="20"/>
                <w:szCs w:val="20"/>
              </w:rPr>
              <w:t>OR</w:t>
            </w:r>
          </w:p>
          <w:p w14:paraId="502A7AE6" w14:textId="77777777" w:rsidR="001723CE" w:rsidRPr="00F33674" w:rsidRDefault="001723CE" w:rsidP="00A74C03">
            <w:pPr>
              <w:jc w:val="left"/>
              <w:rPr>
                <w:rFonts w:ascii="Arial Narrow" w:hAnsi="Arial Narrow" w:cs="Arial"/>
                <w:sz w:val="20"/>
                <w:szCs w:val="20"/>
              </w:rPr>
            </w:pPr>
          </w:p>
          <w:p w14:paraId="08B9B47B" w14:textId="77777777" w:rsidR="001723CE" w:rsidRPr="00F33674" w:rsidRDefault="001723CE" w:rsidP="00A74C03">
            <w:pPr>
              <w:jc w:val="left"/>
              <w:rPr>
                <w:rFonts w:ascii="Arial Narrow" w:hAnsi="Arial Narrow" w:cs="Arial"/>
                <w:sz w:val="20"/>
                <w:szCs w:val="20"/>
              </w:rPr>
            </w:pPr>
            <w:r w:rsidRPr="00F33674">
              <w:rPr>
                <w:rFonts w:ascii="Arial Narrow" w:hAnsi="Arial Narrow" w:cs="Arial"/>
                <w:sz w:val="20"/>
                <w:szCs w:val="20"/>
              </w:rPr>
              <w:t>[new] Patient must be unable to use non-opioid and other opioid analgesics due to contraindications or intolerance</w:t>
            </w:r>
          </w:p>
          <w:p w14:paraId="574D8DE0" w14:textId="77777777" w:rsidR="001723CE" w:rsidRPr="00F33674" w:rsidRDefault="001723CE" w:rsidP="00A74C03">
            <w:pPr>
              <w:jc w:val="left"/>
              <w:rPr>
                <w:rFonts w:ascii="Arial Narrow" w:hAnsi="Arial Narrow" w:cs="Arial"/>
                <w:sz w:val="20"/>
                <w:szCs w:val="20"/>
              </w:rPr>
            </w:pPr>
          </w:p>
          <w:p w14:paraId="5548B73F" w14:textId="77777777" w:rsidR="001723CE" w:rsidRPr="00F33674" w:rsidRDefault="001723CE" w:rsidP="00A74C03">
            <w:pPr>
              <w:jc w:val="left"/>
              <w:rPr>
                <w:rFonts w:ascii="Arial Narrow" w:hAnsi="Arial Narrow" w:cs="Arial"/>
                <w:sz w:val="20"/>
                <w:szCs w:val="20"/>
              </w:rPr>
            </w:pPr>
            <w:r w:rsidRPr="00F33674">
              <w:rPr>
                <w:rFonts w:ascii="Arial Narrow" w:hAnsi="Arial Narrow" w:cs="Arial"/>
                <w:sz w:val="20"/>
                <w:szCs w:val="20"/>
              </w:rPr>
              <w:t>OR</w:t>
            </w:r>
          </w:p>
          <w:p w14:paraId="61AAC2CD" w14:textId="77777777" w:rsidR="001723CE" w:rsidRPr="00F33674" w:rsidRDefault="001723CE" w:rsidP="00A74C03">
            <w:pPr>
              <w:jc w:val="left"/>
              <w:rPr>
                <w:rFonts w:ascii="Arial Narrow" w:hAnsi="Arial Narrow" w:cs="Arial"/>
                <w:sz w:val="20"/>
                <w:szCs w:val="20"/>
              </w:rPr>
            </w:pPr>
          </w:p>
          <w:p w14:paraId="6F002749" w14:textId="77777777" w:rsidR="001723CE" w:rsidRPr="00F33674" w:rsidRDefault="001723CE" w:rsidP="00A74C03">
            <w:pPr>
              <w:jc w:val="left"/>
              <w:rPr>
                <w:rFonts w:ascii="Arial Narrow" w:hAnsi="Arial Narrow" w:cs="Arial"/>
                <w:sz w:val="20"/>
                <w:szCs w:val="20"/>
              </w:rPr>
            </w:pPr>
            <w:r w:rsidRPr="00F33674">
              <w:rPr>
                <w:rFonts w:ascii="Arial Narrow" w:hAnsi="Arial Narrow" w:cs="Arial"/>
                <w:sz w:val="20"/>
                <w:szCs w:val="20"/>
              </w:rPr>
              <w:t>[new] The treatment must be part of pre-operative care</w:t>
            </w:r>
          </w:p>
          <w:p w14:paraId="73EFFC2D" w14:textId="77777777" w:rsidR="001723CE" w:rsidRPr="00F33674" w:rsidRDefault="001723CE" w:rsidP="00A74C03">
            <w:pPr>
              <w:jc w:val="left"/>
              <w:rPr>
                <w:rFonts w:ascii="Arial Narrow" w:hAnsi="Arial Narrow" w:cs="Arial"/>
                <w:sz w:val="20"/>
                <w:szCs w:val="20"/>
              </w:rPr>
            </w:pPr>
          </w:p>
          <w:p w14:paraId="58AA3079" w14:textId="77777777" w:rsidR="001723CE" w:rsidRPr="00F33674" w:rsidRDefault="001723CE" w:rsidP="00A74C03">
            <w:pPr>
              <w:jc w:val="left"/>
              <w:rPr>
                <w:rFonts w:ascii="Arial Narrow" w:hAnsi="Arial Narrow" w:cs="Arial"/>
                <w:sz w:val="20"/>
                <w:szCs w:val="20"/>
              </w:rPr>
            </w:pPr>
            <w:r w:rsidRPr="00F33674">
              <w:rPr>
                <w:rFonts w:ascii="Arial Narrow" w:hAnsi="Arial Narrow" w:cs="Arial"/>
                <w:sz w:val="20"/>
                <w:szCs w:val="20"/>
              </w:rPr>
              <w:t>OR</w:t>
            </w:r>
          </w:p>
          <w:p w14:paraId="141281FA" w14:textId="77777777" w:rsidR="001723CE" w:rsidRPr="00F33674" w:rsidRDefault="001723CE" w:rsidP="00A74C03">
            <w:pPr>
              <w:jc w:val="left"/>
              <w:rPr>
                <w:rFonts w:ascii="Arial Narrow" w:hAnsi="Arial Narrow" w:cs="Arial"/>
                <w:sz w:val="20"/>
                <w:szCs w:val="20"/>
              </w:rPr>
            </w:pPr>
          </w:p>
          <w:p w14:paraId="25111C81" w14:textId="77777777" w:rsidR="001723CE" w:rsidRPr="00F33674" w:rsidRDefault="001723CE" w:rsidP="00A74C03">
            <w:pPr>
              <w:jc w:val="left"/>
              <w:rPr>
                <w:rFonts w:ascii="Arial Narrow" w:hAnsi="Arial Narrow" w:cs="Arial"/>
                <w:color w:val="FF0000"/>
                <w:sz w:val="20"/>
                <w:szCs w:val="20"/>
              </w:rPr>
            </w:pPr>
            <w:r w:rsidRPr="00F33674">
              <w:rPr>
                <w:rFonts w:ascii="Arial Narrow" w:hAnsi="Arial Narrow" w:cs="Arial"/>
                <w:sz w:val="20"/>
                <w:szCs w:val="20"/>
              </w:rPr>
              <w:t xml:space="preserve">[new] The treatment </w:t>
            </w:r>
            <w:proofErr w:type="gramStart"/>
            <w:r w:rsidRPr="00F33674">
              <w:rPr>
                <w:rFonts w:ascii="Arial Narrow" w:hAnsi="Arial Narrow" w:cs="Arial"/>
                <w:sz w:val="20"/>
                <w:szCs w:val="20"/>
              </w:rPr>
              <w:t>must be used</w:t>
            </w:r>
            <w:proofErr w:type="gramEnd"/>
            <w:r w:rsidRPr="00F33674">
              <w:rPr>
                <w:rFonts w:ascii="Arial Narrow" w:hAnsi="Arial Narrow" w:cs="Arial"/>
                <w:sz w:val="20"/>
                <w:szCs w:val="20"/>
              </w:rPr>
              <w:t xml:space="preserve"> as an analgesic adjunct in general anaesthesia.</w:t>
            </w:r>
          </w:p>
        </w:tc>
      </w:tr>
      <w:tr w:rsidR="001723CE" w:rsidRPr="00F33674" w14:paraId="252D5B17" w14:textId="77777777" w:rsidTr="00A74C03">
        <w:trPr>
          <w:cantSplit/>
          <w:trHeight w:val="360"/>
        </w:trPr>
        <w:tc>
          <w:tcPr>
            <w:tcW w:w="2835" w:type="dxa"/>
            <w:tcBorders>
              <w:top w:val="single" w:sz="4" w:space="0" w:color="auto"/>
              <w:left w:val="single" w:sz="4" w:space="0" w:color="auto"/>
              <w:bottom w:val="single" w:sz="4" w:space="0" w:color="auto"/>
              <w:right w:val="single" w:sz="4" w:space="0" w:color="auto"/>
            </w:tcBorders>
          </w:tcPr>
          <w:p w14:paraId="5821729A" w14:textId="77777777" w:rsidR="001723CE" w:rsidRPr="00F33674" w:rsidRDefault="001723CE" w:rsidP="00A74C03">
            <w:pPr>
              <w:rPr>
                <w:rFonts w:ascii="Arial Narrow" w:hAnsi="Arial Narrow" w:cs="Arial"/>
                <w:b/>
                <w:sz w:val="20"/>
                <w:szCs w:val="20"/>
              </w:rPr>
            </w:pPr>
            <w:r w:rsidRPr="00F33674">
              <w:rPr>
                <w:rFonts w:ascii="Arial Narrow" w:hAnsi="Arial Narrow" w:cs="Arial"/>
                <w:b/>
                <w:sz w:val="20"/>
                <w:szCs w:val="20"/>
              </w:rPr>
              <w:t>Prescriber instructions:</w:t>
            </w:r>
          </w:p>
        </w:tc>
        <w:tc>
          <w:tcPr>
            <w:tcW w:w="6379" w:type="dxa"/>
            <w:tcBorders>
              <w:top w:val="single" w:sz="4" w:space="0" w:color="auto"/>
              <w:left w:val="single" w:sz="4" w:space="0" w:color="auto"/>
              <w:bottom w:val="single" w:sz="4" w:space="0" w:color="auto"/>
              <w:right w:val="single" w:sz="4" w:space="0" w:color="auto"/>
            </w:tcBorders>
          </w:tcPr>
          <w:p w14:paraId="16366978" w14:textId="77777777" w:rsidR="001723CE" w:rsidRPr="009F3089" w:rsidRDefault="001723CE" w:rsidP="00A74C03">
            <w:pPr>
              <w:jc w:val="left"/>
              <w:rPr>
                <w:rFonts w:ascii="Arial Narrow" w:hAnsi="Arial Narrow" w:cs="Arial"/>
                <w:sz w:val="20"/>
                <w:szCs w:val="20"/>
              </w:rPr>
            </w:pPr>
            <w:r w:rsidRPr="00F33674">
              <w:rPr>
                <w:rFonts w:ascii="Arial Narrow" w:hAnsi="Arial Narrow" w:cs="Arial"/>
                <w:sz w:val="20"/>
                <w:szCs w:val="20"/>
              </w:rPr>
              <w:t xml:space="preserve">[new] </w:t>
            </w:r>
            <w:r w:rsidRPr="009F3089">
              <w:rPr>
                <w:rFonts w:ascii="Arial Narrow" w:hAnsi="Arial Narrow" w:cs="Arial"/>
                <w:sz w:val="20"/>
                <w:szCs w:val="20"/>
              </w:rPr>
              <w:t>Authorities for increased maximum quantities and/or repeats must only be considered for:</w:t>
            </w:r>
          </w:p>
          <w:p w14:paraId="4078ED2C" w14:textId="77777777" w:rsidR="001723CE" w:rsidRPr="009F3089" w:rsidRDefault="001723CE" w:rsidP="00A74C03">
            <w:pPr>
              <w:jc w:val="left"/>
              <w:rPr>
                <w:rFonts w:ascii="Arial Narrow" w:hAnsi="Arial Narrow" w:cs="Arial"/>
                <w:sz w:val="20"/>
                <w:szCs w:val="20"/>
              </w:rPr>
            </w:pPr>
            <w:r w:rsidRPr="009F3089">
              <w:rPr>
                <w:rFonts w:ascii="Arial Narrow" w:hAnsi="Arial Narrow" w:cs="Arial"/>
                <w:sz w:val="20"/>
                <w:szCs w:val="20"/>
              </w:rPr>
              <w:t>(i) severe disabling pain associated with proven malignant neoplasia; or</w:t>
            </w:r>
          </w:p>
          <w:p w14:paraId="7A2F7CE2" w14:textId="77777777" w:rsidR="001723CE" w:rsidRPr="009F3089" w:rsidRDefault="001723CE" w:rsidP="00A74C03">
            <w:pPr>
              <w:jc w:val="left"/>
              <w:rPr>
                <w:rFonts w:ascii="Arial Narrow" w:hAnsi="Arial Narrow" w:cs="Arial"/>
                <w:sz w:val="20"/>
                <w:szCs w:val="20"/>
              </w:rPr>
            </w:pPr>
            <w:r w:rsidRPr="009F3089">
              <w:rPr>
                <w:rFonts w:ascii="Arial Narrow" w:hAnsi="Arial Narrow" w:cs="Arial"/>
                <w:sz w:val="20"/>
                <w:szCs w:val="20"/>
              </w:rPr>
              <w:t>(ii) palliative care patients with chronic severe disabling pain where the total duration of non-PBS and PBS opioid analgesic treatment exceeds 12 months and the patient is unable to have annual pain management review due to their clinical condition; or</w:t>
            </w:r>
          </w:p>
          <w:p w14:paraId="0AD6EA62" w14:textId="77777777" w:rsidR="001723CE" w:rsidRPr="009F3089" w:rsidRDefault="001723CE" w:rsidP="00A74C03">
            <w:pPr>
              <w:jc w:val="left"/>
              <w:rPr>
                <w:rFonts w:ascii="Arial Narrow" w:hAnsi="Arial Narrow" w:cs="Arial"/>
                <w:sz w:val="20"/>
                <w:szCs w:val="20"/>
              </w:rPr>
            </w:pPr>
            <w:r w:rsidRPr="009F3089">
              <w:rPr>
                <w:rFonts w:ascii="Arial Narrow" w:hAnsi="Arial Narrow" w:cs="Arial"/>
                <w:sz w:val="20"/>
                <w:szCs w:val="20"/>
              </w:rPr>
              <w:t>(iii) chronic severe disabling pain where the total duration of non-PBS and PBS opioid analgesic treatment exceeds 12 months and the patient's clinical need for continuing opioid treatment has been confirmed through consultation with the patient by another medical practitioner or a palliative care nurse practitioner in the past 12 months; or</w:t>
            </w:r>
          </w:p>
          <w:p w14:paraId="71EA63E0" w14:textId="77777777" w:rsidR="001723CE" w:rsidRDefault="001723CE" w:rsidP="00A74C03">
            <w:pPr>
              <w:jc w:val="left"/>
              <w:rPr>
                <w:rFonts w:ascii="Arial Narrow" w:hAnsi="Arial Narrow" w:cs="Arial"/>
                <w:sz w:val="20"/>
                <w:szCs w:val="20"/>
              </w:rPr>
            </w:pPr>
            <w:proofErr w:type="gramStart"/>
            <w:r w:rsidRPr="009F3089">
              <w:rPr>
                <w:rFonts w:ascii="Arial Narrow" w:hAnsi="Arial Narrow" w:cs="Arial"/>
                <w:sz w:val="20"/>
                <w:szCs w:val="20"/>
              </w:rPr>
              <w:t>(iv) chronic severe disabling pain where the total duration of non-PBS and PBS opioid analgesic treatment has exceeded 12 months prior to 1 June 2020 and the patient's clinical need for continuing opioid treatment has not been confirmed through consultation with the patient by another medical practitioner or a palliative care nurse practitioner in the past 12 months, but is planned in the next 3 months</w:t>
            </w:r>
            <w:r>
              <w:rPr>
                <w:rFonts w:ascii="Arial Narrow" w:hAnsi="Arial Narrow" w:cs="Arial"/>
                <w:sz w:val="20"/>
                <w:szCs w:val="20"/>
              </w:rPr>
              <w:t>.</w:t>
            </w:r>
            <w:proofErr w:type="gramEnd"/>
          </w:p>
          <w:p w14:paraId="48068402" w14:textId="77777777" w:rsidR="001723CE" w:rsidRDefault="001723CE" w:rsidP="00A74C03">
            <w:pPr>
              <w:jc w:val="left"/>
              <w:rPr>
                <w:rFonts w:ascii="Arial Narrow" w:hAnsi="Arial Narrow" w:cs="Arial"/>
                <w:sz w:val="20"/>
                <w:szCs w:val="20"/>
              </w:rPr>
            </w:pPr>
          </w:p>
          <w:p w14:paraId="3D030F7A" w14:textId="77777777" w:rsidR="001723CE" w:rsidRPr="00F33674" w:rsidRDefault="001723CE" w:rsidP="00A74C03">
            <w:pPr>
              <w:jc w:val="left"/>
              <w:rPr>
                <w:rFonts w:ascii="Arial Narrow" w:hAnsi="Arial Narrow" w:cs="Arial"/>
                <w:sz w:val="20"/>
                <w:szCs w:val="20"/>
              </w:rPr>
            </w:pPr>
            <w:r>
              <w:rPr>
                <w:rFonts w:ascii="Arial Narrow" w:hAnsi="Arial Narrow" w:cs="Arial"/>
                <w:sz w:val="20"/>
                <w:szCs w:val="20"/>
              </w:rPr>
              <w:t xml:space="preserve">[new] </w:t>
            </w:r>
            <w:r w:rsidRPr="009F3089">
              <w:rPr>
                <w:rFonts w:ascii="Arial Narrow" w:hAnsi="Arial Narrow" w:cs="Arial"/>
                <w:sz w:val="20"/>
                <w:szCs w:val="20"/>
              </w:rPr>
              <w:t>Palliative care nurses may conduct annual review under this item for the treatment of palliative care patients only.</w:t>
            </w:r>
          </w:p>
          <w:p w14:paraId="3975917D" w14:textId="77777777" w:rsidR="001723CE" w:rsidRPr="00F33674" w:rsidRDefault="001723CE" w:rsidP="00A74C03">
            <w:pPr>
              <w:jc w:val="left"/>
              <w:rPr>
                <w:rFonts w:ascii="Arial Narrow" w:hAnsi="Arial Narrow" w:cs="Arial"/>
                <w:sz w:val="20"/>
                <w:szCs w:val="20"/>
              </w:rPr>
            </w:pPr>
          </w:p>
          <w:p w14:paraId="6E5B3DE7" w14:textId="77777777" w:rsidR="001723CE" w:rsidRPr="00F33674" w:rsidRDefault="001723CE" w:rsidP="00A74C03">
            <w:pPr>
              <w:jc w:val="left"/>
              <w:rPr>
                <w:rFonts w:ascii="Arial Narrow" w:hAnsi="Arial Narrow" w:cs="Arial"/>
                <w:sz w:val="20"/>
                <w:szCs w:val="20"/>
              </w:rPr>
            </w:pPr>
            <w:r w:rsidRPr="00F33674">
              <w:rPr>
                <w:rFonts w:ascii="Arial Narrow" w:hAnsi="Arial Narrow" w:cs="Arial"/>
                <w:sz w:val="20"/>
                <w:szCs w:val="20"/>
              </w:rPr>
              <w:t>[new] Authority requests extending treatment duration up to 1 month may be requested though the Online PBS Authorities system or by calling Services Australia.</w:t>
            </w:r>
          </w:p>
          <w:p w14:paraId="3D62AA6C" w14:textId="77777777" w:rsidR="001723CE" w:rsidRPr="00F33674" w:rsidRDefault="001723CE" w:rsidP="00A74C03">
            <w:pPr>
              <w:jc w:val="left"/>
              <w:rPr>
                <w:rFonts w:ascii="Arial Narrow" w:hAnsi="Arial Narrow" w:cs="Arial"/>
                <w:sz w:val="20"/>
                <w:szCs w:val="20"/>
              </w:rPr>
            </w:pPr>
          </w:p>
          <w:p w14:paraId="0D30D378" w14:textId="77777777" w:rsidR="001723CE" w:rsidRPr="00F33674" w:rsidRDefault="001723CE" w:rsidP="00A74C03">
            <w:pPr>
              <w:jc w:val="left"/>
              <w:rPr>
                <w:rFonts w:ascii="Arial Narrow" w:hAnsi="Arial Narrow" w:cs="Arial"/>
                <w:sz w:val="20"/>
                <w:szCs w:val="20"/>
              </w:rPr>
            </w:pPr>
            <w:r w:rsidRPr="00F33674">
              <w:rPr>
                <w:rFonts w:ascii="Arial Narrow" w:hAnsi="Arial Narrow" w:cs="Arial"/>
                <w:sz w:val="20"/>
                <w:szCs w:val="20"/>
              </w:rPr>
              <w:t xml:space="preserve">Authority requests extending treatment duration beyond 1 month </w:t>
            </w:r>
            <w:r w:rsidRPr="00710D93">
              <w:rPr>
                <w:rFonts w:ascii="Arial Narrow" w:hAnsi="Arial Narrow" w:cs="Arial"/>
                <w:sz w:val="20"/>
                <w:szCs w:val="20"/>
              </w:rPr>
              <w:t>may be requested through the Online PBS Authorities system</w:t>
            </w:r>
            <w:r w:rsidRPr="00F33674">
              <w:rPr>
                <w:rFonts w:ascii="Arial Narrow" w:hAnsi="Arial Narrow" w:cs="Arial"/>
                <w:sz w:val="20"/>
                <w:szCs w:val="20"/>
              </w:rPr>
              <w:t xml:space="preserve"> or in writing only and must not provide a treatment duration exceeding 3 months</w:t>
            </w:r>
            <w:r>
              <w:rPr>
                <w:rFonts w:ascii="Arial Narrow" w:hAnsi="Arial Narrow" w:cs="Arial"/>
                <w:sz w:val="20"/>
                <w:szCs w:val="20"/>
              </w:rPr>
              <w:t xml:space="preserve"> </w:t>
            </w:r>
            <w:r w:rsidRPr="00710D93">
              <w:rPr>
                <w:rFonts w:ascii="Arial Narrow" w:hAnsi="Arial Narrow" w:cs="Arial"/>
                <w:sz w:val="20"/>
                <w:szCs w:val="20"/>
              </w:rPr>
              <w:t xml:space="preserve">(quantity sufficient for up to </w:t>
            </w:r>
            <w:proofErr w:type="gramStart"/>
            <w:r w:rsidRPr="00710D93">
              <w:rPr>
                <w:rFonts w:ascii="Arial Narrow" w:hAnsi="Arial Narrow" w:cs="Arial"/>
                <w:sz w:val="20"/>
                <w:szCs w:val="20"/>
              </w:rPr>
              <w:t>1 month</w:t>
            </w:r>
            <w:proofErr w:type="gramEnd"/>
            <w:r w:rsidRPr="00710D93">
              <w:rPr>
                <w:rFonts w:ascii="Arial Narrow" w:hAnsi="Arial Narrow" w:cs="Arial"/>
                <w:sz w:val="20"/>
                <w:szCs w:val="20"/>
              </w:rPr>
              <w:t xml:space="preserve"> treatment and sufficient repeats)</w:t>
            </w:r>
            <w:r w:rsidRPr="00F33674">
              <w:rPr>
                <w:rFonts w:ascii="Arial Narrow" w:hAnsi="Arial Narrow" w:cs="Arial"/>
                <w:sz w:val="20"/>
                <w:szCs w:val="20"/>
              </w:rPr>
              <w:t>.</w:t>
            </w:r>
          </w:p>
        </w:tc>
      </w:tr>
      <w:tr w:rsidR="001723CE" w:rsidRPr="00F33674" w14:paraId="7D2F3A36" w14:textId="77777777" w:rsidTr="00A74C03">
        <w:trPr>
          <w:cantSplit/>
          <w:trHeight w:val="360"/>
        </w:trPr>
        <w:tc>
          <w:tcPr>
            <w:tcW w:w="2835" w:type="dxa"/>
            <w:tcBorders>
              <w:top w:val="single" w:sz="4" w:space="0" w:color="auto"/>
              <w:left w:val="single" w:sz="4" w:space="0" w:color="auto"/>
              <w:bottom w:val="single" w:sz="4" w:space="0" w:color="auto"/>
              <w:right w:val="single" w:sz="4" w:space="0" w:color="auto"/>
            </w:tcBorders>
          </w:tcPr>
          <w:p w14:paraId="580C598C" w14:textId="77777777" w:rsidR="001723CE" w:rsidRPr="00F33674" w:rsidRDefault="001723CE" w:rsidP="00A74C03">
            <w:pPr>
              <w:rPr>
                <w:rFonts w:ascii="Arial Narrow" w:hAnsi="Arial Narrow" w:cs="Arial"/>
                <w:b/>
                <w:sz w:val="20"/>
                <w:szCs w:val="20"/>
              </w:rPr>
            </w:pPr>
            <w:r w:rsidRPr="00F33674">
              <w:rPr>
                <w:rFonts w:ascii="Arial Narrow" w:hAnsi="Arial Narrow" w:cs="Arial"/>
                <w:b/>
                <w:sz w:val="20"/>
                <w:szCs w:val="20"/>
              </w:rPr>
              <w:lastRenderedPageBreak/>
              <w:t>Administrative advice:</w:t>
            </w:r>
          </w:p>
        </w:tc>
        <w:tc>
          <w:tcPr>
            <w:tcW w:w="6379" w:type="dxa"/>
            <w:tcBorders>
              <w:top w:val="single" w:sz="4" w:space="0" w:color="auto"/>
              <w:left w:val="single" w:sz="4" w:space="0" w:color="auto"/>
              <w:bottom w:val="single" w:sz="4" w:space="0" w:color="auto"/>
              <w:right w:val="single" w:sz="4" w:space="0" w:color="auto"/>
            </w:tcBorders>
          </w:tcPr>
          <w:p w14:paraId="6CD421AE" w14:textId="77777777" w:rsidR="001723CE" w:rsidRPr="00F33674" w:rsidRDefault="001723CE" w:rsidP="00A74C03">
            <w:pPr>
              <w:jc w:val="left"/>
              <w:rPr>
                <w:rFonts w:ascii="Arial Narrow" w:hAnsi="Arial Narrow" w:cs="Arial"/>
                <w:sz w:val="20"/>
                <w:szCs w:val="20"/>
              </w:rPr>
            </w:pPr>
            <w:r w:rsidRPr="00F33674">
              <w:rPr>
                <w:rFonts w:ascii="Arial Narrow" w:hAnsi="Arial Narrow" w:cs="Arial"/>
                <w:sz w:val="20"/>
                <w:szCs w:val="20"/>
              </w:rPr>
              <w:t>[18949] Pharmaceutical benefits that have the forms morphine sulfate 10 mg/mL injection and morphine hydrochloride 10 mg/mL injection are equivalent for the purposes of substitution.</w:t>
            </w:r>
          </w:p>
          <w:p w14:paraId="211CF78A" w14:textId="77777777" w:rsidR="001723CE" w:rsidRPr="00F33674" w:rsidRDefault="001723CE" w:rsidP="00A74C03">
            <w:pPr>
              <w:jc w:val="left"/>
              <w:rPr>
                <w:rFonts w:ascii="Arial Narrow" w:hAnsi="Arial Narrow" w:cs="Arial"/>
                <w:sz w:val="20"/>
                <w:szCs w:val="20"/>
              </w:rPr>
            </w:pPr>
          </w:p>
          <w:p w14:paraId="6F512F30" w14:textId="77777777" w:rsidR="001723CE" w:rsidRPr="00F33674" w:rsidRDefault="001723CE" w:rsidP="00A74C03">
            <w:pPr>
              <w:jc w:val="left"/>
              <w:rPr>
                <w:rFonts w:ascii="Arial Narrow" w:hAnsi="Arial Narrow"/>
                <w:sz w:val="20"/>
                <w:szCs w:val="20"/>
              </w:rPr>
            </w:pPr>
            <w:r w:rsidRPr="00F33674">
              <w:rPr>
                <w:rFonts w:ascii="Arial Narrow" w:hAnsi="Arial Narrow"/>
                <w:sz w:val="20"/>
                <w:szCs w:val="20"/>
              </w:rPr>
              <w:t>[new] Consider consultation with a multidisciplinary pain service prior to, or after commencement of this medication.</w:t>
            </w:r>
          </w:p>
          <w:p w14:paraId="188C3E46" w14:textId="77777777" w:rsidR="001723CE" w:rsidRPr="00F33674" w:rsidRDefault="001723CE" w:rsidP="00A74C03">
            <w:pPr>
              <w:jc w:val="left"/>
              <w:rPr>
                <w:rFonts w:ascii="Arial Narrow" w:hAnsi="Arial Narrow" w:cs="Arial"/>
                <w:sz w:val="20"/>
                <w:szCs w:val="20"/>
              </w:rPr>
            </w:pPr>
          </w:p>
          <w:p w14:paraId="573DC464" w14:textId="77777777" w:rsidR="001723CE" w:rsidRPr="00F33674" w:rsidRDefault="001723CE" w:rsidP="00A74C03">
            <w:pPr>
              <w:jc w:val="left"/>
              <w:rPr>
                <w:rFonts w:ascii="Arial Narrow" w:hAnsi="Arial Narrow" w:cs="Arial"/>
                <w:sz w:val="20"/>
                <w:szCs w:val="20"/>
              </w:rPr>
            </w:pPr>
            <w:r w:rsidRPr="00F33674">
              <w:rPr>
                <w:rFonts w:ascii="Arial Narrow" w:hAnsi="Arial Narrow" w:cs="Arial"/>
                <w:sz w:val="20"/>
                <w:szCs w:val="20"/>
              </w:rPr>
              <w:t>[new] Real time online applications for increased maximum quantities/repeats may be made using the Online PBS Authorities system (see www.servicesaustralia.gov.au/organisations/health-professionals/services/medicare/hpos/services/request-authority-using-online-pbs-authorities-hpos)</w:t>
            </w:r>
          </w:p>
          <w:p w14:paraId="77A41CAC" w14:textId="77777777" w:rsidR="001723CE" w:rsidRPr="00F33674" w:rsidRDefault="001723CE" w:rsidP="00A74C03">
            <w:pPr>
              <w:jc w:val="left"/>
              <w:rPr>
                <w:rFonts w:ascii="Arial Narrow" w:hAnsi="Arial Narrow" w:cs="Arial"/>
                <w:sz w:val="20"/>
                <w:szCs w:val="20"/>
              </w:rPr>
            </w:pPr>
          </w:p>
          <w:p w14:paraId="6DECE559" w14:textId="77777777" w:rsidR="001723CE" w:rsidRPr="00F33674" w:rsidRDefault="001723CE" w:rsidP="00A74C03">
            <w:pPr>
              <w:jc w:val="left"/>
              <w:rPr>
                <w:rFonts w:ascii="Arial Narrow" w:hAnsi="Arial Narrow" w:cs="Arial"/>
                <w:sz w:val="20"/>
                <w:szCs w:val="20"/>
              </w:rPr>
            </w:pPr>
            <w:r w:rsidRPr="00F33674">
              <w:rPr>
                <w:rFonts w:ascii="Arial Narrow" w:hAnsi="Arial Narrow" w:cs="Arial"/>
                <w:sz w:val="20"/>
                <w:szCs w:val="20"/>
              </w:rPr>
              <w:t>Phone applications for increased maximum quantities/repeats may be made by calling 1800 888 333.</w:t>
            </w:r>
          </w:p>
          <w:p w14:paraId="342772B5" w14:textId="77777777" w:rsidR="001723CE" w:rsidRPr="00F33674" w:rsidRDefault="001723CE" w:rsidP="00A74C03">
            <w:pPr>
              <w:jc w:val="left"/>
              <w:rPr>
                <w:rFonts w:ascii="Arial Narrow" w:hAnsi="Arial Narrow" w:cs="Arial"/>
                <w:sz w:val="20"/>
                <w:szCs w:val="20"/>
              </w:rPr>
            </w:pPr>
          </w:p>
          <w:p w14:paraId="68684877" w14:textId="77777777" w:rsidR="001723CE" w:rsidRPr="00F33674" w:rsidRDefault="001723CE" w:rsidP="00A74C03">
            <w:pPr>
              <w:jc w:val="left"/>
              <w:rPr>
                <w:rFonts w:ascii="Arial Narrow" w:hAnsi="Arial Narrow" w:cs="Arial"/>
                <w:sz w:val="20"/>
                <w:szCs w:val="20"/>
              </w:rPr>
            </w:pPr>
            <w:r w:rsidRPr="00F33674">
              <w:rPr>
                <w:rFonts w:ascii="Arial Narrow" w:hAnsi="Arial Narrow" w:cs="Arial"/>
                <w:sz w:val="20"/>
                <w:szCs w:val="20"/>
              </w:rPr>
              <w:t>Written authority applications for increased maximum quantities/repeats can be uploaded online through HPOS form upload or mailed to:</w:t>
            </w:r>
          </w:p>
          <w:p w14:paraId="03B0FEB6" w14:textId="77777777" w:rsidR="001723CE" w:rsidRPr="00F33674" w:rsidRDefault="001723CE" w:rsidP="00A74C03">
            <w:pPr>
              <w:jc w:val="left"/>
              <w:rPr>
                <w:rFonts w:ascii="Arial Narrow" w:hAnsi="Arial Narrow" w:cs="Arial"/>
                <w:sz w:val="20"/>
                <w:szCs w:val="20"/>
              </w:rPr>
            </w:pPr>
            <w:r w:rsidRPr="00F33674">
              <w:rPr>
                <w:rFonts w:ascii="Arial Narrow" w:hAnsi="Arial Narrow" w:cs="Arial"/>
                <w:sz w:val="20"/>
                <w:szCs w:val="20"/>
              </w:rPr>
              <w:t>Pharmaceutical Benefits Scheme</w:t>
            </w:r>
          </w:p>
          <w:p w14:paraId="38283ACC" w14:textId="77777777" w:rsidR="001723CE" w:rsidRPr="00F33674" w:rsidRDefault="001723CE" w:rsidP="00A74C03">
            <w:pPr>
              <w:jc w:val="left"/>
              <w:rPr>
                <w:rFonts w:ascii="Arial Narrow" w:hAnsi="Arial Narrow" w:cs="Arial"/>
                <w:sz w:val="20"/>
                <w:szCs w:val="20"/>
              </w:rPr>
            </w:pPr>
            <w:r w:rsidRPr="00F33674">
              <w:rPr>
                <w:rFonts w:ascii="Arial Narrow" w:hAnsi="Arial Narrow" w:cs="Arial"/>
                <w:sz w:val="20"/>
                <w:szCs w:val="20"/>
              </w:rPr>
              <w:t>Reply Paid 9857</w:t>
            </w:r>
          </w:p>
          <w:p w14:paraId="7A64842A" w14:textId="77777777" w:rsidR="001723CE" w:rsidRPr="00F33674" w:rsidRDefault="001723CE" w:rsidP="00A74C03">
            <w:pPr>
              <w:jc w:val="left"/>
              <w:rPr>
                <w:rFonts w:ascii="Arial Narrow" w:hAnsi="Arial Narrow" w:cs="Arial"/>
                <w:sz w:val="20"/>
                <w:szCs w:val="20"/>
              </w:rPr>
            </w:pPr>
            <w:r w:rsidRPr="00F33674">
              <w:rPr>
                <w:rFonts w:ascii="Arial Narrow" w:hAnsi="Arial Narrow" w:cs="Arial"/>
                <w:sz w:val="20"/>
                <w:szCs w:val="20"/>
              </w:rPr>
              <w:t>[Your capital city]</w:t>
            </w:r>
          </w:p>
        </w:tc>
      </w:tr>
      <w:tr w:rsidR="001723CE" w:rsidRPr="00F33674" w14:paraId="0F5B047A" w14:textId="77777777" w:rsidTr="00A74C03">
        <w:trPr>
          <w:cantSplit/>
          <w:trHeight w:val="360"/>
        </w:trPr>
        <w:tc>
          <w:tcPr>
            <w:tcW w:w="2835" w:type="dxa"/>
            <w:tcBorders>
              <w:top w:val="single" w:sz="4" w:space="0" w:color="auto"/>
              <w:left w:val="single" w:sz="4" w:space="0" w:color="auto"/>
              <w:bottom w:val="single" w:sz="4" w:space="0" w:color="auto"/>
              <w:right w:val="single" w:sz="4" w:space="0" w:color="auto"/>
            </w:tcBorders>
          </w:tcPr>
          <w:p w14:paraId="17D92CAB" w14:textId="77777777" w:rsidR="001723CE" w:rsidRPr="00F33674" w:rsidRDefault="001723CE" w:rsidP="00A74C03">
            <w:pPr>
              <w:rPr>
                <w:rFonts w:ascii="Arial Narrow" w:hAnsi="Arial Narrow" w:cs="Arial"/>
                <w:b/>
                <w:sz w:val="20"/>
                <w:szCs w:val="20"/>
              </w:rPr>
            </w:pPr>
            <w:r w:rsidRPr="00F33674">
              <w:rPr>
                <w:rFonts w:ascii="Arial Narrow" w:hAnsi="Arial Narrow" w:cs="Arial"/>
                <w:b/>
                <w:sz w:val="20"/>
                <w:szCs w:val="20"/>
              </w:rPr>
              <w:t>Cautions:</w:t>
            </w:r>
          </w:p>
        </w:tc>
        <w:tc>
          <w:tcPr>
            <w:tcW w:w="6379" w:type="dxa"/>
            <w:tcBorders>
              <w:top w:val="single" w:sz="4" w:space="0" w:color="auto"/>
              <w:left w:val="single" w:sz="4" w:space="0" w:color="auto"/>
              <w:bottom w:val="single" w:sz="4" w:space="0" w:color="auto"/>
              <w:right w:val="single" w:sz="4" w:space="0" w:color="auto"/>
            </w:tcBorders>
          </w:tcPr>
          <w:p w14:paraId="01936A20" w14:textId="77777777" w:rsidR="001723CE" w:rsidRPr="00F33674" w:rsidRDefault="001723CE" w:rsidP="00A74C03">
            <w:pPr>
              <w:jc w:val="left"/>
              <w:rPr>
                <w:rFonts w:ascii="Arial Narrow" w:hAnsi="Arial Narrow" w:cs="Arial"/>
                <w:sz w:val="20"/>
                <w:szCs w:val="20"/>
              </w:rPr>
            </w:pPr>
            <w:r w:rsidRPr="00F33674">
              <w:rPr>
                <w:rFonts w:ascii="Arial Narrow" w:hAnsi="Arial Narrow" w:cs="Arial"/>
                <w:sz w:val="20"/>
                <w:szCs w:val="20"/>
              </w:rPr>
              <w:t>[6986] The risk of drug dependence is high.</w:t>
            </w:r>
          </w:p>
        </w:tc>
      </w:tr>
    </w:tbl>
    <w:p w14:paraId="17CE9121" w14:textId="6AA26498" w:rsidR="001723CE" w:rsidRDefault="001723CE" w:rsidP="00193259">
      <w:pPr>
        <w:pStyle w:val="3-BodyText"/>
        <w:keepNext/>
        <w:numPr>
          <w:ilvl w:val="0"/>
          <w:numId w:val="0"/>
        </w:numPr>
        <w:ind w:left="720" w:hanging="720"/>
      </w:pPr>
    </w:p>
    <w:tbl>
      <w:tblPr>
        <w:tblW w:w="9214" w:type="dxa"/>
        <w:tblInd w:w="-5" w:type="dxa"/>
        <w:tblLayout w:type="fixed"/>
        <w:tblLook w:val="0000" w:firstRow="0" w:lastRow="0" w:firstColumn="0" w:lastColumn="0" w:noHBand="0" w:noVBand="0"/>
      </w:tblPr>
      <w:tblGrid>
        <w:gridCol w:w="2835"/>
        <w:gridCol w:w="6379"/>
      </w:tblGrid>
      <w:tr w:rsidR="001723CE" w:rsidRPr="00F33674" w14:paraId="5B75A180" w14:textId="77777777" w:rsidTr="00A74C03">
        <w:trPr>
          <w:cantSplit/>
          <w:trHeight w:val="360"/>
        </w:trPr>
        <w:tc>
          <w:tcPr>
            <w:tcW w:w="2835" w:type="dxa"/>
            <w:tcBorders>
              <w:top w:val="single" w:sz="4" w:space="0" w:color="auto"/>
              <w:left w:val="single" w:sz="4" w:space="0" w:color="auto"/>
              <w:bottom w:val="single" w:sz="4" w:space="0" w:color="auto"/>
              <w:right w:val="single" w:sz="4" w:space="0" w:color="auto"/>
            </w:tcBorders>
          </w:tcPr>
          <w:p w14:paraId="4E1DFE71" w14:textId="77777777" w:rsidR="001723CE" w:rsidRPr="00F33674" w:rsidRDefault="001723CE" w:rsidP="00A74C03">
            <w:pPr>
              <w:rPr>
                <w:rFonts w:ascii="Arial Narrow" w:hAnsi="Arial Narrow" w:cs="Arial"/>
                <w:b/>
                <w:sz w:val="20"/>
                <w:szCs w:val="20"/>
              </w:rPr>
            </w:pPr>
            <w:r w:rsidRPr="00F33674">
              <w:rPr>
                <w:rFonts w:ascii="Arial Narrow" w:hAnsi="Arial Narrow" w:cs="Arial"/>
                <w:b/>
                <w:sz w:val="20"/>
                <w:szCs w:val="20"/>
              </w:rPr>
              <w:t>Category / Program:</w:t>
            </w:r>
          </w:p>
        </w:tc>
        <w:tc>
          <w:tcPr>
            <w:tcW w:w="6379" w:type="dxa"/>
            <w:tcBorders>
              <w:top w:val="single" w:sz="4" w:space="0" w:color="auto"/>
              <w:left w:val="single" w:sz="4" w:space="0" w:color="auto"/>
              <w:bottom w:val="single" w:sz="4" w:space="0" w:color="auto"/>
              <w:right w:val="single" w:sz="4" w:space="0" w:color="auto"/>
            </w:tcBorders>
          </w:tcPr>
          <w:p w14:paraId="6FB70632" w14:textId="77777777" w:rsidR="001723CE" w:rsidRPr="00F33674" w:rsidRDefault="001723CE" w:rsidP="00A74C03">
            <w:pPr>
              <w:rPr>
                <w:rFonts w:ascii="Arial Narrow" w:hAnsi="Arial Narrow" w:cs="Arial"/>
                <w:sz w:val="20"/>
                <w:szCs w:val="20"/>
              </w:rPr>
            </w:pPr>
            <w:r w:rsidRPr="00F33674">
              <w:rPr>
                <w:rFonts w:ascii="Arial Narrow" w:hAnsi="Arial Narrow" w:cs="Arial"/>
                <w:sz w:val="20"/>
                <w:szCs w:val="20"/>
              </w:rPr>
              <w:t>GENERAL – General Schedule (Code GE)</w:t>
            </w:r>
          </w:p>
        </w:tc>
      </w:tr>
      <w:tr w:rsidR="001723CE" w:rsidRPr="00F33674" w14:paraId="051E3935" w14:textId="77777777" w:rsidTr="00A74C03">
        <w:trPr>
          <w:cantSplit/>
          <w:trHeight w:val="360"/>
        </w:trPr>
        <w:tc>
          <w:tcPr>
            <w:tcW w:w="2835" w:type="dxa"/>
            <w:tcBorders>
              <w:top w:val="single" w:sz="4" w:space="0" w:color="auto"/>
              <w:left w:val="single" w:sz="4" w:space="0" w:color="auto"/>
              <w:bottom w:val="single" w:sz="4" w:space="0" w:color="auto"/>
              <w:right w:val="single" w:sz="4" w:space="0" w:color="auto"/>
            </w:tcBorders>
          </w:tcPr>
          <w:p w14:paraId="4AC196B9" w14:textId="77777777" w:rsidR="001723CE" w:rsidRPr="00F33674" w:rsidRDefault="001723CE" w:rsidP="00A74C03">
            <w:pPr>
              <w:rPr>
                <w:rFonts w:ascii="Arial Narrow" w:hAnsi="Arial Narrow" w:cs="Arial"/>
                <w:b/>
                <w:sz w:val="20"/>
                <w:szCs w:val="20"/>
              </w:rPr>
            </w:pPr>
            <w:r w:rsidRPr="00F33674">
              <w:rPr>
                <w:rFonts w:ascii="Arial Narrow" w:hAnsi="Arial Narrow" w:cs="Arial"/>
                <w:b/>
                <w:sz w:val="20"/>
                <w:szCs w:val="20"/>
              </w:rPr>
              <w:t>Prescriber type:</w:t>
            </w:r>
          </w:p>
          <w:p w14:paraId="7FC00E45" w14:textId="77777777" w:rsidR="001723CE" w:rsidRPr="00F33674" w:rsidRDefault="001723CE" w:rsidP="00A74C03">
            <w:pPr>
              <w:rPr>
                <w:rFonts w:ascii="Arial Narrow" w:hAnsi="Arial Narrow" w:cs="Arial"/>
                <w:b/>
                <w:sz w:val="20"/>
                <w:szCs w:val="20"/>
              </w:rPr>
            </w:pPr>
          </w:p>
        </w:tc>
        <w:tc>
          <w:tcPr>
            <w:tcW w:w="6379" w:type="dxa"/>
            <w:tcBorders>
              <w:top w:val="single" w:sz="4" w:space="0" w:color="auto"/>
              <w:left w:val="single" w:sz="4" w:space="0" w:color="auto"/>
              <w:bottom w:val="single" w:sz="4" w:space="0" w:color="auto"/>
              <w:right w:val="single" w:sz="4" w:space="0" w:color="auto"/>
            </w:tcBorders>
          </w:tcPr>
          <w:p w14:paraId="05F06FD2" w14:textId="06CAFB97" w:rsidR="001723CE" w:rsidRPr="00F33674" w:rsidRDefault="001723CE" w:rsidP="00A74C03">
            <w:pPr>
              <w:rPr>
                <w:rFonts w:ascii="Arial Narrow" w:hAnsi="Arial Narrow" w:cs="Arial"/>
                <w:sz w:val="20"/>
                <w:szCs w:val="20"/>
              </w:rPr>
            </w:pPr>
            <w:r w:rsidRPr="00F33674">
              <w:rPr>
                <w:rFonts w:ascii="Arial Narrow" w:hAnsi="Arial Narrow" w:cs="Arial"/>
                <w:sz w:val="20"/>
                <w:szCs w:val="20"/>
              </w:rPr>
              <w:fldChar w:fldCharType="begin">
                <w:ffData>
                  <w:name w:val="Check1"/>
                  <w:enabled/>
                  <w:calcOnExit w:val="0"/>
                  <w:checkBox>
                    <w:sizeAuto/>
                    <w:default w:val="0"/>
                  </w:checkBox>
                </w:ffData>
              </w:fldChar>
            </w:r>
            <w:r w:rsidRPr="00F33674">
              <w:rPr>
                <w:rFonts w:ascii="Arial Narrow" w:hAnsi="Arial Narrow" w:cs="Arial"/>
                <w:sz w:val="20"/>
                <w:szCs w:val="20"/>
              </w:rPr>
              <w:instrText xml:space="preserve"> FORMCHECKBOX </w:instrText>
            </w:r>
            <w:r w:rsidR="00233D13">
              <w:rPr>
                <w:rFonts w:ascii="Arial Narrow" w:hAnsi="Arial Narrow" w:cs="Arial"/>
                <w:sz w:val="20"/>
                <w:szCs w:val="20"/>
              </w:rPr>
            </w:r>
            <w:r w:rsidR="00233D13">
              <w:rPr>
                <w:rFonts w:ascii="Arial Narrow" w:hAnsi="Arial Narrow" w:cs="Arial"/>
                <w:sz w:val="20"/>
                <w:szCs w:val="20"/>
              </w:rPr>
              <w:fldChar w:fldCharType="separate"/>
            </w:r>
            <w:r w:rsidRPr="00F33674">
              <w:rPr>
                <w:rFonts w:ascii="Arial Narrow" w:hAnsi="Arial Narrow" w:cs="Arial"/>
                <w:sz w:val="20"/>
                <w:szCs w:val="20"/>
              </w:rPr>
              <w:fldChar w:fldCharType="end"/>
            </w:r>
            <w:r w:rsidRPr="00F33674">
              <w:rPr>
                <w:rFonts w:ascii="Arial Narrow" w:hAnsi="Arial Narrow" w:cs="Arial"/>
                <w:sz w:val="20"/>
                <w:szCs w:val="20"/>
              </w:rPr>
              <w:t>Dental</w:t>
            </w:r>
            <w:r w:rsidR="002C1329">
              <w:rPr>
                <w:rFonts w:ascii="Arial Narrow" w:hAnsi="Arial Narrow" w:cs="Arial"/>
                <w:sz w:val="20"/>
                <w:szCs w:val="20"/>
              </w:rPr>
              <w:t xml:space="preserve"> </w:t>
            </w:r>
            <w:r w:rsidRPr="00F33674">
              <w:rPr>
                <w:rFonts w:ascii="Arial Narrow" w:hAnsi="Arial Narrow" w:cs="Arial"/>
                <w:sz w:val="20"/>
                <w:szCs w:val="20"/>
              </w:rPr>
              <w:fldChar w:fldCharType="begin">
                <w:ffData>
                  <w:name w:val=""/>
                  <w:enabled/>
                  <w:calcOnExit w:val="0"/>
                  <w:checkBox>
                    <w:sizeAuto/>
                    <w:default w:val="1"/>
                  </w:checkBox>
                </w:ffData>
              </w:fldChar>
            </w:r>
            <w:r w:rsidRPr="00F33674">
              <w:rPr>
                <w:rFonts w:ascii="Arial Narrow" w:hAnsi="Arial Narrow" w:cs="Arial"/>
                <w:sz w:val="20"/>
                <w:szCs w:val="20"/>
              </w:rPr>
              <w:instrText xml:space="preserve"> FORMCHECKBOX </w:instrText>
            </w:r>
            <w:r w:rsidR="00233D13">
              <w:rPr>
                <w:rFonts w:ascii="Arial Narrow" w:hAnsi="Arial Narrow" w:cs="Arial"/>
                <w:sz w:val="20"/>
                <w:szCs w:val="20"/>
              </w:rPr>
            </w:r>
            <w:r w:rsidR="00233D13">
              <w:rPr>
                <w:rFonts w:ascii="Arial Narrow" w:hAnsi="Arial Narrow" w:cs="Arial"/>
                <w:sz w:val="20"/>
                <w:szCs w:val="20"/>
              </w:rPr>
              <w:fldChar w:fldCharType="separate"/>
            </w:r>
            <w:r w:rsidRPr="00F33674">
              <w:rPr>
                <w:rFonts w:ascii="Arial Narrow" w:hAnsi="Arial Narrow" w:cs="Arial"/>
                <w:sz w:val="20"/>
                <w:szCs w:val="20"/>
              </w:rPr>
              <w:fldChar w:fldCharType="end"/>
            </w:r>
            <w:r w:rsidRPr="00F33674">
              <w:rPr>
                <w:rFonts w:ascii="Arial Narrow" w:hAnsi="Arial Narrow" w:cs="Arial"/>
                <w:sz w:val="20"/>
                <w:szCs w:val="20"/>
              </w:rPr>
              <w:t>Medical Practitioners</w:t>
            </w:r>
            <w:r w:rsidR="002C1329">
              <w:rPr>
                <w:rFonts w:ascii="Arial Narrow" w:hAnsi="Arial Narrow" w:cs="Arial"/>
                <w:sz w:val="20"/>
                <w:szCs w:val="20"/>
              </w:rPr>
              <w:t xml:space="preserve"> </w:t>
            </w:r>
            <w:r w:rsidRPr="00F33674">
              <w:rPr>
                <w:rFonts w:ascii="Arial Narrow" w:hAnsi="Arial Narrow" w:cs="Arial"/>
                <w:sz w:val="20"/>
                <w:szCs w:val="20"/>
              </w:rPr>
              <w:fldChar w:fldCharType="begin">
                <w:ffData>
                  <w:name w:val="Check3"/>
                  <w:enabled/>
                  <w:calcOnExit w:val="0"/>
                  <w:checkBox>
                    <w:sizeAuto/>
                    <w:default w:val="1"/>
                  </w:checkBox>
                </w:ffData>
              </w:fldChar>
            </w:r>
            <w:r w:rsidRPr="00F33674">
              <w:rPr>
                <w:rFonts w:ascii="Arial Narrow" w:hAnsi="Arial Narrow" w:cs="Arial"/>
                <w:sz w:val="20"/>
                <w:szCs w:val="20"/>
              </w:rPr>
              <w:instrText xml:space="preserve"> FORMCHECKBOX </w:instrText>
            </w:r>
            <w:r w:rsidR="00233D13">
              <w:rPr>
                <w:rFonts w:ascii="Arial Narrow" w:hAnsi="Arial Narrow" w:cs="Arial"/>
                <w:sz w:val="20"/>
                <w:szCs w:val="20"/>
              </w:rPr>
            </w:r>
            <w:r w:rsidR="00233D13">
              <w:rPr>
                <w:rFonts w:ascii="Arial Narrow" w:hAnsi="Arial Narrow" w:cs="Arial"/>
                <w:sz w:val="20"/>
                <w:szCs w:val="20"/>
              </w:rPr>
              <w:fldChar w:fldCharType="separate"/>
            </w:r>
            <w:r w:rsidRPr="00F33674">
              <w:rPr>
                <w:rFonts w:ascii="Arial Narrow" w:hAnsi="Arial Narrow" w:cs="Arial"/>
                <w:sz w:val="20"/>
                <w:szCs w:val="20"/>
              </w:rPr>
              <w:fldChar w:fldCharType="end"/>
            </w:r>
            <w:r w:rsidRPr="00F33674">
              <w:rPr>
                <w:rFonts w:ascii="Arial Narrow" w:hAnsi="Arial Narrow" w:cs="Arial"/>
                <w:sz w:val="20"/>
                <w:szCs w:val="20"/>
              </w:rPr>
              <w:t>Nurse practitioners</w:t>
            </w:r>
            <w:r w:rsidR="002C1329">
              <w:rPr>
                <w:rFonts w:ascii="Arial Narrow" w:hAnsi="Arial Narrow" w:cs="Arial"/>
                <w:sz w:val="20"/>
                <w:szCs w:val="20"/>
              </w:rPr>
              <w:t xml:space="preserve"> </w:t>
            </w:r>
            <w:r w:rsidRPr="00F33674">
              <w:rPr>
                <w:rFonts w:ascii="Arial Narrow" w:hAnsi="Arial Narrow" w:cs="Arial"/>
                <w:sz w:val="20"/>
                <w:szCs w:val="20"/>
              </w:rPr>
              <w:fldChar w:fldCharType="begin">
                <w:ffData>
                  <w:name w:val=""/>
                  <w:enabled/>
                  <w:calcOnExit w:val="0"/>
                  <w:checkBox>
                    <w:sizeAuto/>
                    <w:default w:val="0"/>
                  </w:checkBox>
                </w:ffData>
              </w:fldChar>
            </w:r>
            <w:r w:rsidRPr="00F33674">
              <w:rPr>
                <w:rFonts w:ascii="Arial Narrow" w:hAnsi="Arial Narrow" w:cs="Arial"/>
                <w:sz w:val="20"/>
                <w:szCs w:val="20"/>
              </w:rPr>
              <w:instrText xml:space="preserve"> FORMCHECKBOX </w:instrText>
            </w:r>
            <w:r w:rsidR="00233D13">
              <w:rPr>
                <w:rFonts w:ascii="Arial Narrow" w:hAnsi="Arial Narrow" w:cs="Arial"/>
                <w:sz w:val="20"/>
                <w:szCs w:val="20"/>
              </w:rPr>
            </w:r>
            <w:r w:rsidR="00233D13">
              <w:rPr>
                <w:rFonts w:ascii="Arial Narrow" w:hAnsi="Arial Narrow" w:cs="Arial"/>
                <w:sz w:val="20"/>
                <w:szCs w:val="20"/>
              </w:rPr>
              <w:fldChar w:fldCharType="separate"/>
            </w:r>
            <w:r w:rsidRPr="00F33674">
              <w:rPr>
                <w:rFonts w:ascii="Arial Narrow" w:hAnsi="Arial Narrow" w:cs="Arial"/>
                <w:sz w:val="20"/>
                <w:szCs w:val="20"/>
              </w:rPr>
              <w:fldChar w:fldCharType="end"/>
            </w:r>
            <w:r w:rsidRPr="00F33674">
              <w:rPr>
                <w:rFonts w:ascii="Arial Narrow" w:hAnsi="Arial Narrow" w:cs="Arial"/>
                <w:sz w:val="20"/>
                <w:szCs w:val="20"/>
              </w:rPr>
              <w:t>Optometrists</w:t>
            </w:r>
          </w:p>
          <w:p w14:paraId="73FE7D6A" w14:textId="5F51DA36" w:rsidR="001723CE" w:rsidRPr="00F33674" w:rsidRDefault="001723CE" w:rsidP="00A74C03">
            <w:pPr>
              <w:rPr>
                <w:rFonts w:ascii="Arial Narrow" w:hAnsi="Arial Narrow" w:cs="Arial"/>
                <w:sz w:val="20"/>
                <w:szCs w:val="20"/>
              </w:rPr>
            </w:pPr>
            <w:r>
              <w:rPr>
                <w:rFonts w:ascii="Arial Narrow" w:hAnsi="Arial Narrow" w:cs="Arial"/>
                <w:sz w:val="20"/>
                <w:szCs w:val="20"/>
              </w:rPr>
              <w:fldChar w:fldCharType="begin">
                <w:ffData>
                  <w:name w:val=""/>
                  <w:enabled/>
                  <w:calcOnExit w:val="0"/>
                  <w:checkBox>
                    <w:sizeAuto/>
                    <w:default w:val="1"/>
                  </w:checkBox>
                </w:ffData>
              </w:fldChar>
            </w:r>
            <w:r>
              <w:rPr>
                <w:rFonts w:ascii="Arial Narrow" w:hAnsi="Arial Narrow" w:cs="Arial"/>
                <w:sz w:val="20"/>
                <w:szCs w:val="20"/>
              </w:rPr>
              <w:instrText xml:space="preserve"> FORMCHECKBOX </w:instrText>
            </w:r>
            <w:r w:rsidR="00233D13">
              <w:rPr>
                <w:rFonts w:ascii="Arial Narrow" w:hAnsi="Arial Narrow" w:cs="Arial"/>
                <w:sz w:val="20"/>
                <w:szCs w:val="20"/>
              </w:rPr>
            </w:r>
            <w:r w:rsidR="00233D13">
              <w:rPr>
                <w:rFonts w:ascii="Arial Narrow" w:hAnsi="Arial Narrow" w:cs="Arial"/>
                <w:sz w:val="20"/>
                <w:szCs w:val="20"/>
              </w:rPr>
              <w:fldChar w:fldCharType="separate"/>
            </w:r>
            <w:r>
              <w:rPr>
                <w:rFonts w:ascii="Arial Narrow" w:hAnsi="Arial Narrow" w:cs="Arial"/>
                <w:sz w:val="20"/>
                <w:szCs w:val="20"/>
              </w:rPr>
              <w:fldChar w:fldCharType="end"/>
            </w:r>
            <w:r w:rsidRPr="00F33674">
              <w:rPr>
                <w:rFonts w:ascii="Arial Narrow" w:hAnsi="Arial Narrow" w:cs="Arial"/>
                <w:sz w:val="20"/>
                <w:szCs w:val="20"/>
              </w:rPr>
              <w:t>Midwives</w:t>
            </w:r>
          </w:p>
        </w:tc>
      </w:tr>
      <w:tr w:rsidR="001723CE" w:rsidRPr="00F33674" w14:paraId="5B4B8438" w14:textId="77777777" w:rsidTr="00A74C03">
        <w:trPr>
          <w:cantSplit/>
          <w:trHeight w:val="369"/>
        </w:trPr>
        <w:tc>
          <w:tcPr>
            <w:tcW w:w="2835" w:type="dxa"/>
            <w:tcBorders>
              <w:top w:val="single" w:sz="4" w:space="0" w:color="auto"/>
              <w:left w:val="single" w:sz="4" w:space="0" w:color="auto"/>
              <w:bottom w:val="single" w:sz="4" w:space="0" w:color="auto"/>
              <w:right w:val="single" w:sz="4" w:space="0" w:color="auto"/>
            </w:tcBorders>
          </w:tcPr>
          <w:p w14:paraId="738556BB" w14:textId="77777777" w:rsidR="001723CE" w:rsidRPr="00F33674" w:rsidRDefault="001723CE" w:rsidP="00A74C03">
            <w:pPr>
              <w:rPr>
                <w:rFonts w:ascii="Arial Narrow" w:hAnsi="Arial Narrow" w:cs="Arial"/>
                <w:b/>
                <w:sz w:val="20"/>
                <w:szCs w:val="20"/>
              </w:rPr>
            </w:pPr>
            <w:r w:rsidRPr="00F33674">
              <w:rPr>
                <w:rFonts w:ascii="Arial Narrow" w:hAnsi="Arial Narrow" w:cs="Arial"/>
                <w:b/>
                <w:sz w:val="20"/>
                <w:szCs w:val="20"/>
              </w:rPr>
              <w:t>PBS indication:</w:t>
            </w:r>
          </w:p>
        </w:tc>
        <w:tc>
          <w:tcPr>
            <w:tcW w:w="6379" w:type="dxa"/>
            <w:tcBorders>
              <w:top w:val="single" w:sz="4" w:space="0" w:color="auto"/>
              <w:left w:val="single" w:sz="4" w:space="0" w:color="auto"/>
              <w:bottom w:val="single" w:sz="4" w:space="0" w:color="auto"/>
              <w:right w:val="single" w:sz="4" w:space="0" w:color="auto"/>
            </w:tcBorders>
          </w:tcPr>
          <w:p w14:paraId="5D5D31C7" w14:textId="77777777" w:rsidR="001723CE" w:rsidRPr="00F33674" w:rsidRDefault="001723CE" w:rsidP="00A74C03">
            <w:pPr>
              <w:rPr>
                <w:rFonts w:ascii="Arial Narrow" w:hAnsi="Arial Narrow" w:cs="Arial"/>
                <w:sz w:val="20"/>
                <w:szCs w:val="20"/>
              </w:rPr>
            </w:pPr>
            <w:r w:rsidRPr="00F33674">
              <w:rPr>
                <w:rFonts w:ascii="Arial Narrow" w:hAnsi="Arial Narrow" w:cs="Arial"/>
                <w:sz w:val="20"/>
                <w:szCs w:val="20"/>
              </w:rPr>
              <w:t>[7861] Severe pain</w:t>
            </w:r>
          </w:p>
        </w:tc>
      </w:tr>
      <w:tr w:rsidR="001723CE" w:rsidRPr="00F33674" w14:paraId="2182619E" w14:textId="77777777" w:rsidTr="00A74C03">
        <w:trPr>
          <w:cantSplit/>
          <w:trHeight w:val="360"/>
        </w:trPr>
        <w:tc>
          <w:tcPr>
            <w:tcW w:w="2835" w:type="dxa"/>
            <w:tcBorders>
              <w:top w:val="single" w:sz="4" w:space="0" w:color="auto"/>
              <w:left w:val="single" w:sz="4" w:space="0" w:color="auto"/>
              <w:bottom w:val="single" w:sz="4" w:space="0" w:color="auto"/>
              <w:right w:val="single" w:sz="4" w:space="0" w:color="auto"/>
            </w:tcBorders>
          </w:tcPr>
          <w:p w14:paraId="7B1C4BE1" w14:textId="77777777" w:rsidR="001723CE" w:rsidRPr="00F33674" w:rsidRDefault="001723CE" w:rsidP="00A74C03">
            <w:pPr>
              <w:rPr>
                <w:rFonts w:ascii="Arial Narrow" w:hAnsi="Arial Narrow" w:cs="Arial"/>
                <w:b/>
                <w:sz w:val="20"/>
                <w:szCs w:val="20"/>
              </w:rPr>
            </w:pPr>
            <w:r w:rsidRPr="00F33674">
              <w:rPr>
                <w:rFonts w:ascii="Arial Narrow" w:hAnsi="Arial Narrow" w:cs="Arial"/>
                <w:b/>
                <w:sz w:val="20"/>
                <w:szCs w:val="20"/>
              </w:rPr>
              <w:t>Restriction Level / Method:</w:t>
            </w:r>
          </w:p>
          <w:p w14:paraId="0797FA64" w14:textId="77777777" w:rsidR="001723CE" w:rsidRPr="00F33674" w:rsidRDefault="001723CE" w:rsidP="00A74C03">
            <w:pPr>
              <w:rPr>
                <w:rFonts w:ascii="Arial Narrow" w:hAnsi="Arial Narrow" w:cs="Arial"/>
                <w:i/>
                <w:sz w:val="20"/>
                <w:szCs w:val="20"/>
              </w:rPr>
            </w:pPr>
          </w:p>
          <w:p w14:paraId="6C6D8759" w14:textId="77777777" w:rsidR="001723CE" w:rsidRPr="00F33674" w:rsidRDefault="001723CE" w:rsidP="00A74C03">
            <w:pPr>
              <w:rPr>
                <w:rFonts w:ascii="Arial Narrow" w:hAnsi="Arial Narrow" w:cs="Arial"/>
                <w:i/>
                <w:sz w:val="20"/>
                <w:szCs w:val="20"/>
              </w:rPr>
            </w:pPr>
          </w:p>
          <w:p w14:paraId="40EE43F0" w14:textId="77777777" w:rsidR="001723CE" w:rsidRPr="00F33674" w:rsidRDefault="001723CE" w:rsidP="00A74C03">
            <w:pPr>
              <w:rPr>
                <w:rFonts w:ascii="Arial Narrow" w:hAnsi="Arial Narrow" w:cs="Arial"/>
                <w:i/>
                <w:sz w:val="20"/>
                <w:szCs w:val="20"/>
              </w:rPr>
            </w:pPr>
          </w:p>
        </w:tc>
        <w:tc>
          <w:tcPr>
            <w:tcW w:w="6379" w:type="dxa"/>
            <w:tcBorders>
              <w:top w:val="single" w:sz="4" w:space="0" w:color="auto"/>
              <w:left w:val="single" w:sz="4" w:space="0" w:color="auto"/>
              <w:bottom w:val="single" w:sz="4" w:space="0" w:color="auto"/>
              <w:right w:val="single" w:sz="4" w:space="0" w:color="auto"/>
            </w:tcBorders>
          </w:tcPr>
          <w:p w14:paraId="0FB12987" w14:textId="77777777" w:rsidR="001723CE" w:rsidRPr="00F33674" w:rsidRDefault="001723CE" w:rsidP="00A74C03">
            <w:pPr>
              <w:rPr>
                <w:rFonts w:ascii="Arial Narrow" w:hAnsi="Arial Narrow" w:cs="Arial"/>
                <w:sz w:val="20"/>
                <w:szCs w:val="20"/>
              </w:rPr>
            </w:pPr>
            <w:r w:rsidRPr="00F33674">
              <w:rPr>
                <w:rFonts w:ascii="Arial Narrow" w:hAnsi="Arial Narrow" w:cs="Arial"/>
                <w:sz w:val="20"/>
                <w:szCs w:val="20"/>
              </w:rPr>
              <w:fldChar w:fldCharType="begin">
                <w:ffData>
                  <w:name w:val=""/>
                  <w:enabled/>
                  <w:calcOnExit w:val="0"/>
                  <w:checkBox>
                    <w:sizeAuto/>
                    <w:default w:val="0"/>
                  </w:checkBox>
                </w:ffData>
              </w:fldChar>
            </w:r>
            <w:r w:rsidRPr="00F33674">
              <w:rPr>
                <w:rFonts w:ascii="Arial Narrow" w:hAnsi="Arial Narrow" w:cs="Arial"/>
                <w:sz w:val="20"/>
                <w:szCs w:val="20"/>
              </w:rPr>
              <w:instrText xml:space="preserve"> FORMCHECKBOX </w:instrText>
            </w:r>
            <w:r w:rsidR="00233D13">
              <w:rPr>
                <w:rFonts w:ascii="Arial Narrow" w:hAnsi="Arial Narrow" w:cs="Arial"/>
                <w:sz w:val="20"/>
                <w:szCs w:val="20"/>
              </w:rPr>
            </w:r>
            <w:r w:rsidR="00233D13">
              <w:rPr>
                <w:rFonts w:ascii="Arial Narrow" w:hAnsi="Arial Narrow" w:cs="Arial"/>
                <w:sz w:val="20"/>
                <w:szCs w:val="20"/>
              </w:rPr>
              <w:fldChar w:fldCharType="separate"/>
            </w:r>
            <w:r w:rsidRPr="00F33674">
              <w:rPr>
                <w:rFonts w:ascii="Arial Narrow" w:hAnsi="Arial Narrow" w:cs="Arial"/>
                <w:sz w:val="20"/>
                <w:szCs w:val="20"/>
              </w:rPr>
              <w:fldChar w:fldCharType="end"/>
            </w:r>
            <w:r w:rsidRPr="00F33674">
              <w:rPr>
                <w:rFonts w:ascii="Arial Narrow" w:hAnsi="Arial Narrow" w:cs="Arial"/>
                <w:sz w:val="20"/>
                <w:szCs w:val="20"/>
              </w:rPr>
              <w:t>Unrestricted benefit</w:t>
            </w:r>
          </w:p>
          <w:p w14:paraId="1A92E3A2" w14:textId="77777777" w:rsidR="001723CE" w:rsidRPr="00F33674" w:rsidRDefault="001723CE" w:rsidP="00A74C03">
            <w:pPr>
              <w:rPr>
                <w:rFonts w:ascii="Arial Narrow" w:hAnsi="Arial Narrow" w:cs="Arial"/>
                <w:i/>
                <w:sz w:val="20"/>
                <w:szCs w:val="20"/>
              </w:rPr>
            </w:pPr>
            <w:r w:rsidRPr="00F33674">
              <w:rPr>
                <w:rFonts w:ascii="Arial Narrow" w:hAnsi="Arial Narrow" w:cs="Arial"/>
                <w:i/>
                <w:sz w:val="20"/>
                <w:szCs w:val="20"/>
              </w:rPr>
              <w:fldChar w:fldCharType="begin">
                <w:ffData>
                  <w:name w:val="Check1"/>
                  <w:enabled/>
                  <w:calcOnExit w:val="0"/>
                  <w:checkBox>
                    <w:sizeAuto/>
                    <w:default w:val="1"/>
                  </w:checkBox>
                </w:ffData>
              </w:fldChar>
            </w:r>
            <w:r w:rsidRPr="00F33674">
              <w:rPr>
                <w:rFonts w:ascii="Arial Narrow" w:hAnsi="Arial Narrow" w:cs="Arial"/>
                <w:i/>
                <w:sz w:val="20"/>
                <w:szCs w:val="20"/>
              </w:rPr>
              <w:instrText xml:space="preserve"> FORMCHECKBOX </w:instrText>
            </w:r>
            <w:r w:rsidR="00233D13">
              <w:rPr>
                <w:rFonts w:ascii="Arial Narrow" w:hAnsi="Arial Narrow" w:cs="Arial"/>
                <w:i/>
                <w:sz w:val="20"/>
                <w:szCs w:val="20"/>
              </w:rPr>
            </w:r>
            <w:r w:rsidR="00233D13">
              <w:rPr>
                <w:rFonts w:ascii="Arial Narrow" w:hAnsi="Arial Narrow" w:cs="Arial"/>
                <w:i/>
                <w:sz w:val="20"/>
                <w:szCs w:val="20"/>
              </w:rPr>
              <w:fldChar w:fldCharType="separate"/>
            </w:r>
            <w:r w:rsidRPr="00F33674">
              <w:rPr>
                <w:rFonts w:ascii="Arial Narrow" w:hAnsi="Arial Narrow" w:cs="Arial"/>
                <w:i/>
                <w:sz w:val="20"/>
                <w:szCs w:val="20"/>
              </w:rPr>
              <w:fldChar w:fldCharType="end"/>
            </w:r>
            <w:r w:rsidRPr="00F33674">
              <w:rPr>
                <w:rFonts w:ascii="Arial Narrow" w:hAnsi="Arial Narrow" w:cs="Arial"/>
                <w:sz w:val="20"/>
                <w:szCs w:val="20"/>
              </w:rPr>
              <w:t>Restricted benefit</w:t>
            </w:r>
          </w:p>
          <w:p w14:paraId="10336B30" w14:textId="77777777" w:rsidR="001723CE" w:rsidRPr="00F33674" w:rsidRDefault="001723CE" w:rsidP="00A74C03">
            <w:pPr>
              <w:rPr>
                <w:rFonts w:ascii="Arial Narrow" w:hAnsi="Arial Narrow" w:cs="Arial"/>
                <w:sz w:val="20"/>
                <w:szCs w:val="20"/>
              </w:rPr>
            </w:pPr>
            <w:r w:rsidRPr="00F33674">
              <w:rPr>
                <w:rFonts w:ascii="Arial Narrow" w:hAnsi="Arial Narrow" w:cs="Arial"/>
                <w:sz w:val="20"/>
                <w:szCs w:val="20"/>
              </w:rPr>
              <w:fldChar w:fldCharType="begin">
                <w:ffData>
                  <w:name w:val=""/>
                  <w:enabled/>
                  <w:calcOnExit w:val="0"/>
                  <w:checkBox>
                    <w:sizeAuto/>
                    <w:default w:val="0"/>
                  </w:checkBox>
                </w:ffData>
              </w:fldChar>
            </w:r>
            <w:r w:rsidRPr="00F33674">
              <w:rPr>
                <w:rFonts w:ascii="Arial Narrow" w:hAnsi="Arial Narrow" w:cs="Arial"/>
                <w:sz w:val="20"/>
                <w:szCs w:val="20"/>
              </w:rPr>
              <w:instrText xml:space="preserve"> FORMCHECKBOX </w:instrText>
            </w:r>
            <w:r w:rsidR="00233D13">
              <w:rPr>
                <w:rFonts w:ascii="Arial Narrow" w:hAnsi="Arial Narrow" w:cs="Arial"/>
                <w:sz w:val="20"/>
                <w:szCs w:val="20"/>
              </w:rPr>
            </w:r>
            <w:r w:rsidR="00233D13">
              <w:rPr>
                <w:rFonts w:ascii="Arial Narrow" w:hAnsi="Arial Narrow" w:cs="Arial"/>
                <w:sz w:val="20"/>
                <w:szCs w:val="20"/>
              </w:rPr>
              <w:fldChar w:fldCharType="separate"/>
            </w:r>
            <w:r w:rsidRPr="00F33674">
              <w:rPr>
                <w:rFonts w:ascii="Arial Narrow" w:hAnsi="Arial Narrow" w:cs="Arial"/>
                <w:sz w:val="20"/>
                <w:szCs w:val="20"/>
              </w:rPr>
              <w:fldChar w:fldCharType="end"/>
            </w:r>
            <w:r w:rsidRPr="00F33674">
              <w:rPr>
                <w:rFonts w:ascii="Arial Narrow" w:hAnsi="Arial Narrow" w:cs="Arial"/>
                <w:sz w:val="20"/>
                <w:szCs w:val="20"/>
              </w:rPr>
              <w:t>Authority Required – In Writing</w:t>
            </w:r>
          </w:p>
          <w:p w14:paraId="1FA3BFCB" w14:textId="77777777" w:rsidR="001723CE" w:rsidRPr="00F33674" w:rsidRDefault="001723CE" w:rsidP="00A74C03">
            <w:pPr>
              <w:rPr>
                <w:rFonts w:ascii="Arial Narrow" w:hAnsi="Arial Narrow" w:cs="Arial"/>
                <w:sz w:val="20"/>
                <w:szCs w:val="20"/>
              </w:rPr>
            </w:pPr>
            <w:r w:rsidRPr="00F33674">
              <w:rPr>
                <w:rFonts w:ascii="Arial Narrow" w:hAnsi="Arial Narrow" w:cs="Arial"/>
                <w:sz w:val="20"/>
                <w:szCs w:val="20"/>
              </w:rPr>
              <w:fldChar w:fldCharType="begin">
                <w:ffData>
                  <w:name w:val="Check3"/>
                  <w:enabled/>
                  <w:calcOnExit w:val="0"/>
                  <w:checkBox>
                    <w:sizeAuto/>
                    <w:default w:val="0"/>
                  </w:checkBox>
                </w:ffData>
              </w:fldChar>
            </w:r>
            <w:r w:rsidRPr="00F33674">
              <w:rPr>
                <w:rFonts w:ascii="Arial Narrow" w:hAnsi="Arial Narrow" w:cs="Arial"/>
                <w:sz w:val="20"/>
                <w:szCs w:val="20"/>
              </w:rPr>
              <w:instrText xml:space="preserve"> FORMCHECKBOX </w:instrText>
            </w:r>
            <w:r w:rsidR="00233D13">
              <w:rPr>
                <w:rFonts w:ascii="Arial Narrow" w:hAnsi="Arial Narrow" w:cs="Arial"/>
                <w:sz w:val="20"/>
                <w:szCs w:val="20"/>
              </w:rPr>
            </w:r>
            <w:r w:rsidR="00233D13">
              <w:rPr>
                <w:rFonts w:ascii="Arial Narrow" w:hAnsi="Arial Narrow" w:cs="Arial"/>
                <w:sz w:val="20"/>
                <w:szCs w:val="20"/>
              </w:rPr>
              <w:fldChar w:fldCharType="separate"/>
            </w:r>
            <w:r w:rsidRPr="00F33674">
              <w:rPr>
                <w:rFonts w:ascii="Arial Narrow" w:hAnsi="Arial Narrow" w:cs="Arial"/>
                <w:sz w:val="20"/>
                <w:szCs w:val="20"/>
              </w:rPr>
              <w:fldChar w:fldCharType="end"/>
            </w:r>
            <w:r w:rsidRPr="00F33674">
              <w:rPr>
                <w:rFonts w:ascii="Arial Narrow" w:hAnsi="Arial Narrow" w:cs="Arial"/>
                <w:sz w:val="20"/>
                <w:szCs w:val="20"/>
              </w:rPr>
              <w:t>Authority Required – Telephone/Electronic/Emergency</w:t>
            </w:r>
          </w:p>
          <w:p w14:paraId="6801A0CA" w14:textId="77777777" w:rsidR="001723CE" w:rsidRPr="00F33674" w:rsidRDefault="001723CE" w:rsidP="00A74C03">
            <w:pPr>
              <w:rPr>
                <w:rFonts w:ascii="Arial Narrow" w:hAnsi="Arial Narrow" w:cs="Arial"/>
                <w:sz w:val="20"/>
                <w:szCs w:val="20"/>
              </w:rPr>
            </w:pPr>
            <w:r w:rsidRPr="00F33674">
              <w:rPr>
                <w:rFonts w:ascii="Arial Narrow" w:hAnsi="Arial Narrow" w:cs="Arial"/>
                <w:sz w:val="20"/>
                <w:szCs w:val="20"/>
              </w:rPr>
              <w:fldChar w:fldCharType="begin">
                <w:ffData>
                  <w:name w:val="Check5"/>
                  <w:enabled/>
                  <w:calcOnExit w:val="0"/>
                  <w:checkBox>
                    <w:sizeAuto/>
                    <w:default w:val="0"/>
                  </w:checkBox>
                </w:ffData>
              </w:fldChar>
            </w:r>
            <w:r w:rsidRPr="00F33674">
              <w:rPr>
                <w:rFonts w:ascii="Arial Narrow" w:hAnsi="Arial Narrow" w:cs="Arial"/>
                <w:sz w:val="20"/>
                <w:szCs w:val="20"/>
              </w:rPr>
              <w:instrText xml:space="preserve"> FORMCHECKBOX </w:instrText>
            </w:r>
            <w:r w:rsidR="00233D13">
              <w:rPr>
                <w:rFonts w:ascii="Arial Narrow" w:hAnsi="Arial Narrow" w:cs="Arial"/>
                <w:sz w:val="20"/>
                <w:szCs w:val="20"/>
              </w:rPr>
            </w:r>
            <w:r w:rsidR="00233D13">
              <w:rPr>
                <w:rFonts w:ascii="Arial Narrow" w:hAnsi="Arial Narrow" w:cs="Arial"/>
                <w:sz w:val="20"/>
                <w:szCs w:val="20"/>
              </w:rPr>
              <w:fldChar w:fldCharType="separate"/>
            </w:r>
            <w:r w:rsidRPr="00F33674">
              <w:rPr>
                <w:rFonts w:ascii="Arial Narrow" w:hAnsi="Arial Narrow" w:cs="Arial"/>
                <w:sz w:val="20"/>
                <w:szCs w:val="20"/>
              </w:rPr>
              <w:fldChar w:fldCharType="end"/>
            </w:r>
            <w:r w:rsidRPr="00F33674">
              <w:rPr>
                <w:rFonts w:ascii="Arial Narrow" w:hAnsi="Arial Narrow" w:cs="Arial"/>
                <w:sz w:val="20"/>
                <w:szCs w:val="20"/>
              </w:rPr>
              <w:t>Streamlined</w:t>
            </w:r>
          </w:p>
        </w:tc>
      </w:tr>
      <w:tr w:rsidR="001723CE" w:rsidRPr="00F33674" w14:paraId="70EBCCC8" w14:textId="77777777" w:rsidTr="00A74C03">
        <w:trPr>
          <w:cantSplit/>
          <w:trHeight w:val="360"/>
        </w:trPr>
        <w:tc>
          <w:tcPr>
            <w:tcW w:w="2835" w:type="dxa"/>
            <w:tcBorders>
              <w:top w:val="single" w:sz="4" w:space="0" w:color="auto"/>
              <w:left w:val="single" w:sz="4" w:space="0" w:color="auto"/>
              <w:bottom w:val="single" w:sz="4" w:space="0" w:color="auto"/>
              <w:right w:val="single" w:sz="4" w:space="0" w:color="auto"/>
            </w:tcBorders>
          </w:tcPr>
          <w:p w14:paraId="21E7A405" w14:textId="77777777" w:rsidR="001723CE" w:rsidRPr="00F33674" w:rsidRDefault="001723CE" w:rsidP="00A74C03">
            <w:pPr>
              <w:rPr>
                <w:rFonts w:ascii="Arial Narrow" w:hAnsi="Arial Narrow" w:cs="Arial"/>
                <w:b/>
                <w:sz w:val="20"/>
                <w:szCs w:val="20"/>
              </w:rPr>
            </w:pPr>
            <w:r>
              <w:rPr>
                <w:rFonts w:ascii="Arial Narrow" w:hAnsi="Arial Narrow" w:cs="Arial"/>
                <w:b/>
                <w:sz w:val="20"/>
                <w:szCs w:val="20"/>
              </w:rPr>
              <w:t>Treatment phase:</w:t>
            </w:r>
          </w:p>
        </w:tc>
        <w:tc>
          <w:tcPr>
            <w:tcW w:w="6379" w:type="dxa"/>
            <w:tcBorders>
              <w:top w:val="single" w:sz="4" w:space="0" w:color="auto"/>
              <w:left w:val="single" w:sz="4" w:space="0" w:color="auto"/>
              <w:bottom w:val="single" w:sz="4" w:space="0" w:color="auto"/>
              <w:right w:val="single" w:sz="4" w:space="0" w:color="auto"/>
            </w:tcBorders>
          </w:tcPr>
          <w:p w14:paraId="4E8C2171" w14:textId="77777777" w:rsidR="001723CE" w:rsidRPr="00F33674" w:rsidRDefault="001723CE" w:rsidP="00A74C03">
            <w:pPr>
              <w:jc w:val="left"/>
              <w:rPr>
                <w:rFonts w:ascii="Arial Narrow" w:hAnsi="Arial Narrow" w:cs="Arial"/>
                <w:sz w:val="20"/>
                <w:szCs w:val="20"/>
              </w:rPr>
            </w:pPr>
            <w:r>
              <w:rPr>
                <w:rFonts w:ascii="Arial Narrow" w:hAnsi="Arial Narrow" w:cs="Arial"/>
                <w:sz w:val="20"/>
                <w:szCs w:val="20"/>
              </w:rPr>
              <w:t>Continuing PBS treatment after 1 June 2020</w:t>
            </w:r>
          </w:p>
        </w:tc>
      </w:tr>
      <w:tr w:rsidR="001723CE" w:rsidRPr="00F33674" w14:paraId="4DE01313" w14:textId="77777777" w:rsidTr="00A74C03">
        <w:trPr>
          <w:cantSplit/>
          <w:trHeight w:val="360"/>
        </w:trPr>
        <w:tc>
          <w:tcPr>
            <w:tcW w:w="2835" w:type="dxa"/>
            <w:tcBorders>
              <w:top w:val="single" w:sz="4" w:space="0" w:color="auto"/>
              <w:left w:val="single" w:sz="4" w:space="0" w:color="auto"/>
              <w:bottom w:val="single" w:sz="4" w:space="0" w:color="auto"/>
              <w:right w:val="single" w:sz="4" w:space="0" w:color="auto"/>
            </w:tcBorders>
          </w:tcPr>
          <w:p w14:paraId="211C019B" w14:textId="77777777" w:rsidR="001723CE" w:rsidRPr="00F33674" w:rsidRDefault="001723CE" w:rsidP="00A74C03">
            <w:pPr>
              <w:rPr>
                <w:rFonts w:ascii="Arial Narrow" w:hAnsi="Arial Narrow" w:cs="Arial"/>
                <w:b/>
                <w:sz w:val="20"/>
                <w:szCs w:val="20"/>
              </w:rPr>
            </w:pPr>
            <w:r w:rsidRPr="00F33674">
              <w:rPr>
                <w:rFonts w:ascii="Arial Narrow" w:hAnsi="Arial Narrow" w:cs="Arial"/>
                <w:b/>
                <w:sz w:val="20"/>
                <w:szCs w:val="20"/>
              </w:rPr>
              <w:t>Clinical criteria:</w:t>
            </w:r>
          </w:p>
        </w:tc>
        <w:tc>
          <w:tcPr>
            <w:tcW w:w="6379" w:type="dxa"/>
            <w:tcBorders>
              <w:top w:val="single" w:sz="4" w:space="0" w:color="auto"/>
              <w:left w:val="single" w:sz="4" w:space="0" w:color="auto"/>
              <w:bottom w:val="single" w:sz="4" w:space="0" w:color="auto"/>
              <w:right w:val="single" w:sz="4" w:space="0" w:color="auto"/>
            </w:tcBorders>
          </w:tcPr>
          <w:p w14:paraId="686A3780" w14:textId="75C5176A" w:rsidR="001723CE" w:rsidRPr="00F33674" w:rsidRDefault="00A176BC" w:rsidP="00A74C03">
            <w:pPr>
              <w:jc w:val="left"/>
              <w:rPr>
                <w:rFonts w:ascii="Arial Narrow" w:hAnsi="Arial Narrow" w:cs="Arial"/>
                <w:color w:val="FF0000"/>
                <w:sz w:val="20"/>
                <w:szCs w:val="20"/>
              </w:rPr>
            </w:pPr>
            <w:r w:rsidRPr="00A176BC">
              <w:rPr>
                <w:rFonts w:ascii="Arial Narrow" w:hAnsi="Arial Narrow" w:cs="Arial"/>
                <w:sz w:val="20"/>
                <w:szCs w:val="20"/>
              </w:rPr>
              <w:t>Patient must have previously received PBS-subsidised treatment with this form of this drug for this condition after 1 June 2020</w:t>
            </w:r>
            <w:r>
              <w:rPr>
                <w:rFonts w:ascii="Arial Narrow" w:hAnsi="Arial Narrow" w:cs="Arial"/>
                <w:sz w:val="20"/>
                <w:szCs w:val="20"/>
              </w:rPr>
              <w:t>.</w:t>
            </w:r>
          </w:p>
        </w:tc>
      </w:tr>
      <w:tr w:rsidR="001723CE" w:rsidRPr="00F33674" w14:paraId="69D1C9A8" w14:textId="77777777" w:rsidTr="00A74C03">
        <w:trPr>
          <w:cantSplit/>
          <w:trHeight w:val="360"/>
        </w:trPr>
        <w:tc>
          <w:tcPr>
            <w:tcW w:w="2835" w:type="dxa"/>
            <w:tcBorders>
              <w:top w:val="single" w:sz="4" w:space="0" w:color="auto"/>
              <w:left w:val="single" w:sz="4" w:space="0" w:color="auto"/>
              <w:bottom w:val="single" w:sz="4" w:space="0" w:color="auto"/>
              <w:right w:val="single" w:sz="4" w:space="0" w:color="auto"/>
            </w:tcBorders>
          </w:tcPr>
          <w:p w14:paraId="2848971F" w14:textId="77777777" w:rsidR="001723CE" w:rsidRPr="00F33674" w:rsidRDefault="001723CE" w:rsidP="00A74C03">
            <w:pPr>
              <w:rPr>
                <w:rFonts w:ascii="Arial Narrow" w:hAnsi="Arial Narrow" w:cs="Arial"/>
                <w:b/>
                <w:sz w:val="20"/>
                <w:szCs w:val="20"/>
              </w:rPr>
            </w:pPr>
            <w:r w:rsidRPr="00F33674">
              <w:rPr>
                <w:rFonts w:ascii="Arial Narrow" w:hAnsi="Arial Narrow" w:cs="Arial"/>
                <w:b/>
                <w:sz w:val="20"/>
                <w:szCs w:val="20"/>
              </w:rPr>
              <w:lastRenderedPageBreak/>
              <w:t>Prescriber instructions:</w:t>
            </w:r>
          </w:p>
        </w:tc>
        <w:tc>
          <w:tcPr>
            <w:tcW w:w="6379" w:type="dxa"/>
            <w:tcBorders>
              <w:top w:val="single" w:sz="4" w:space="0" w:color="auto"/>
              <w:left w:val="single" w:sz="4" w:space="0" w:color="auto"/>
              <w:bottom w:val="single" w:sz="4" w:space="0" w:color="auto"/>
              <w:right w:val="single" w:sz="4" w:space="0" w:color="auto"/>
            </w:tcBorders>
          </w:tcPr>
          <w:p w14:paraId="03DA443A" w14:textId="77777777" w:rsidR="001723CE" w:rsidRPr="009F3089" w:rsidRDefault="001723CE" w:rsidP="00A74C03">
            <w:pPr>
              <w:jc w:val="left"/>
              <w:rPr>
                <w:rFonts w:ascii="Arial Narrow" w:hAnsi="Arial Narrow" w:cs="Arial"/>
                <w:sz w:val="20"/>
                <w:szCs w:val="20"/>
              </w:rPr>
            </w:pPr>
            <w:r w:rsidRPr="00F33674">
              <w:rPr>
                <w:rFonts w:ascii="Arial Narrow" w:hAnsi="Arial Narrow" w:cs="Arial"/>
                <w:sz w:val="20"/>
                <w:szCs w:val="20"/>
              </w:rPr>
              <w:t xml:space="preserve">[new] </w:t>
            </w:r>
            <w:r w:rsidRPr="009F3089">
              <w:rPr>
                <w:rFonts w:ascii="Arial Narrow" w:hAnsi="Arial Narrow" w:cs="Arial"/>
                <w:sz w:val="20"/>
                <w:szCs w:val="20"/>
              </w:rPr>
              <w:t>Authorities for increased maximum quantities and/or repeats must only be considered where the patient has received initial authority approval for:</w:t>
            </w:r>
          </w:p>
          <w:p w14:paraId="67780EE1" w14:textId="77777777" w:rsidR="001723CE" w:rsidRPr="009F3089" w:rsidRDefault="001723CE" w:rsidP="00A74C03">
            <w:pPr>
              <w:jc w:val="left"/>
              <w:rPr>
                <w:rFonts w:ascii="Arial Narrow" w:hAnsi="Arial Narrow" w:cs="Arial"/>
                <w:sz w:val="20"/>
                <w:szCs w:val="20"/>
              </w:rPr>
            </w:pPr>
            <w:r w:rsidRPr="009F3089">
              <w:rPr>
                <w:rFonts w:ascii="Arial Narrow" w:hAnsi="Arial Narrow" w:cs="Arial"/>
                <w:sz w:val="20"/>
                <w:szCs w:val="20"/>
              </w:rPr>
              <w:t>(i) severe disabling pain associated with malignant neoplasia; or</w:t>
            </w:r>
          </w:p>
          <w:p w14:paraId="03DFB538" w14:textId="77777777" w:rsidR="001723CE" w:rsidRPr="009F3089" w:rsidRDefault="001723CE" w:rsidP="00A74C03">
            <w:pPr>
              <w:jc w:val="left"/>
              <w:rPr>
                <w:rFonts w:ascii="Arial Narrow" w:hAnsi="Arial Narrow" w:cs="Arial"/>
                <w:sz w:val="20"/>
                <w:szCs w:val="20"/>
              </w:rPr>
            </w:pPr>
            <w:r w:rsidRPr="009F3089">
              <w:rPr>
                <w:rFonts w:ascii="Arial Narrow" w:hAnsi="Arial Narrow" w:cs="Arial"/>
                <w:sz w:val="20"/>
                <w:szCs w:val="20"/>
              </w:rPr>
              <w:t>(ii) chronic severe disabling pain where the total duration of non-PBS and PBS opioid analgesic treatment is less than 12 months; or</w:t>
            </w:r>
          </w:p>
          <w:p w14:paraId="3837D2E7" w14:textId="77777777" w:rsidR="001723CE" w:rsidRPr="009F3089" w:rsidRDefault="001723CE" w:rsidP="00A74C03">
            <w:pPr>
              <w:jc w:val="left"/>
              <w:rPr>
                <w:rFonts w:ascii="Arial Narrow" w:hAnsi="Arial Narrow" w:cs="Arial"/>
                <w:sz w:val="20"/>
                <w:szCs w:val="20"/>
              </w:rPr>
            </w:pPr>
            <w:r w:rsidRPr="009F3089">
              <w:rPr>
                <w:rFonts w:ascii="Arial Narrow" w:hAnsi="Arial Narrow" w:cs="Arial"/>
                <w:sz w:val="20"/>
                <w:szCs w:val="20"/>
              </w:rPr>
              <w:t>(iii) palliative care patients with chronic severe disabling pain where the total duration of non-PBS and PBS opioid analgesic treatment exceeds 12 months and the patient is unable to have annual pain management review due to their clinical condition; or</w:t>
            </w:r>
          </w:p>
          <w:p w14:paraId="50A2AC2D" w14:textId="77777777" w:rsidR="001723CE" w:rsidRPr="009F3089" w:rsidRDefault="001723CE" w:rsidP="00A74C03">
            <w:pPr>
              <w:jc w:val="left"/>
              <w:rPr>
                <w:rFonts w:ascii="Arial Narrow" w:hAnsi="Arial Narrow" w:cs="Arial"/>
                <w:sz w:val="20"/>
                <w:szCs w:val="20"/>
              </w:rPr>
            </w:pPr>
            <w:r w:rsidRPr="009F3089">
              <w:rPr>
                <w:rFonts w:ascii="Arial Narrow" w:hAnsi="Arial Narrow" w:cs="Arial"/>
                <w:sz w:val="20"/>
                <w:szCs w:val="20"/>
              </w:rPr>
              <w:t>(iv) chronic severe disabling pain where the total duration of non-PBS and PBS opioid analgesic treatment exceeds 12 months and the patient's clinical need for continuing opioid treatment has been confirmed through consultation with the patient by another medical practitioner or a palliative care nurse practitioner in the past 12 months; or</w:t>
            </w:r>
          </w:p>
          <w:p w14:paraId="0BB42666" w14:textId="77777777" w:rsidR="001723CE" w:rsidRDefault="001723CE" w:rsidP="00A74C03">
            <w:pPr>
              <w:jc w:val="left"/>
              <w:rPr>
                <w:rFonts w:ascii="Arial Narrow" w:hAnsi="Arial Narrow" w:cs="Arial"/>
                <w:sz w:val="20"/>
                <w:szCs w:val="20"/>
              </w:rPr>
            </w:pPr>
            <w:proofErr w:type="gramStart"/>
            <w:r w:rsidRPr="009F3089">
              <w:rPr>
                <w:rFonts w:ascii="Arial Narrow" w:hAnsi="Arial Narrow" w:cs="Arial"/>
                <w:sz w:val="20"/>
                <w:szCs w:val="20"/>
              </w:rPr>
              <w:t>(v) chronic severe disabling pain where the total duration of non-PBS and PBS opioid analgesic treatment has exceeded 12 months prior to 1 June 2020 and the patient's clinical need for continuing opioid treatment has not been confirmed through consultation with the patient by another medical practitioner or a palliative care nurse practitioner in the past 12 months, but is planned in the next 3 months.</w:t>
            </w:r>
            <w:proofErr w:type="gramEnd"/>
          </w:p>
          <w:p w14:paraId="1931C7B0" w14:textId="77777777" w:rsidR="001723CE" w:rsidRDefault="001723CE" w:rsidP="00A74C03">
            <w:pPr>
              <w:jc w:val="left"/>
              <w:rPr>
                <w:rFonts w:ascii="Arial Narrow" w:hAnsi="Arial Narrow" w:cs="Arial"/>
                <w:sz w:val="20"/>
                <w:szCs w:val="20"/>
              </w:rPr>
            </w:pPr>
          </w:p>
          <w:p w14:paraId="25C659FF" w14:textId="77777777" w:rsidR="001723CE" w:rsidRPr="00F33674" w:rsidRDefault="001723CE" w:rsidP="00A74C03">
            <w:pPr>
              <w:jc w:val="left"/>
              <w:rPr>
                <w:rFonts w:ascii="Arial Narrow" w:hAnsi="Arial Narrow" w:cs="Arial"/>
                <w:sz w:val="20"/>
                <w:szCs w:val="20"/>
              </w:rPr>
            </w:pPr>
            <w:r>
              <w:rPr>
                <w:rFonts w:ascii="Arial Narrow" w:hAnsi="Arial Narrow" w:cs="Arial"/>
                <w:sz w:val="20"/>
                <w:szCs w:val="20"/>
              </w:rPr>
              <w:t xml:space="preserve">[new] </w:t>
            </w:r>
            <w:r w:rsidRPr="009F3089">
              <w:rPr>
                <w:rFonts w:ascii="Arial Narrow" w:hAnsi="Arial Narrow" w:cs="Arial"/>
                <w:sz w:val="20"/>
                <w:szCs w:val="20"/>
              </w:rPr>
              <w:t>Palliative care nurses may conduct annual review under this item for the treatment of palliative care patients only.</w:t>
            </w:r>
          </w:p>
          <w:p w14:paraId="457741CF" w14:textId="77777777" w:rsidR="001723CE" w:rsidRPr="00F33674" w:rsidRDefault="001723CE" w:rsidP="00A74C03">
            <w:pPr>
              <w:jc w:val="left"/>
              <w:rPr>
                <w:rFonts w:ascii="Arial Narrow" w:hAnsi="Arial Narrow" w:cs="Arial"/>
                <w:sz w:val="20"/>
                <w:szCs w:val="20"/>
              </w:rPr>
            </w:pPr>
          </w:p>
          <w:p w14:paraId="0B24888E" w14:textId="77777777" w:rsidR="001723CE" w:rsidRPr="00F33674" w:rsidRDefault="001723CE" w:rsidP="00A74C03">
            <w:pPr>
              <w:jc w:val="left"/>
              <w:rPr>
                <w:rFonts w:ascii="Arial Narrow" w:hAnsi="Arial Narrow" w:cs="Arial"/>
                <w:sz w:val="20"/>
                <w:szCs w:val="20"/>
              </w:rPr>
            </w:pPr>
            <w:r w:rsidRPr="00F33674">
              <w:rPr>
                <w:rFonts w:ascii="Arial Narrow" w:hAnsi="Arial Narrow" w:cs="Arial"/>
                <w:sz w:val="20"/>
                <w:szCs w:val="20"/>
              </w:rPr>
              <w:t>[new] Authority requests extending treatment duration up to 1 month may be requested though the Online PBS Authorities system or by calling Services Australia.</w:t>
            </w:r>
          </w:p>
          <w:p w14:paraId="139767B6" w14:textId="77777777" w:rsidR="001723CE" w:rsidRPr="00F33674" w:rsidRDefault="001723CE" w:rsidP="00A74C03">
            <w:pPr>
              <w:jc w:val="left"/>
              <w:rPr>
                <w:rFonts w:ascii="Arial Narrow" w:hAnsi="Arial Narrow" w:cs="Arial"/>
                <w:sz w:val="20"/>
                <w:szCs w:val="20"/>
              </w:rPr>
            </w:pPr>
          </w:p>
          <w:p w14:paraId="32726678" w14:textId="77777777" w:rsidR="001723CE" w:rsidRPr="00F33674" w:rsidRDefault="001723CE" w:rsidP="00A74C03">
            <w:pPr>
              <w:jc w:val="left"/>
              <w:rPr>
                <w:rFonts w:ascii="Arial Narrow" w:hAnsi="Arial Narrow" w:cs="Arial"/>
                <w:sz w:val="20"/>
                <w:szCs w:val="20"/>
              </w:rPr>
            </w:pPr>
            <w:r w:rsidRPr="00F33674">
              <w:rPr>
                <w:rFonts w:ascii="Arial Narrow" w:hAnsi="Arial Narrow" w:cs="Arial"/>
                <w:sz w:val="20"/>
                <w:szCs w:val="20"/>
              </w:rPr>
              <w:t xml:space="preserve">Authority requests extending treatment duration beyond 1 month </w:t>
            </w:r>
            <w:r w:rsidRPr="00710D93">
              <w:rPr>
                <w:rFonts w:ascii="Arial Narrow" w:hAnsi="Arial Narrow" w:cs="Arial"/>
                <w:sz w:val="20"/>
                <w:szCs w:val="20"/>
              </w:rPr>
              <w:t>may be requested through the Online PBS Authorities system</w:t>
            </w:r>
            <w:r w:rsidRPr="00F33674">
              <w:rPr>
                <w:rFonts w:ascii="Arial Narrow" w:hAnsi="Arial Narrow" w:cs="Arial"/>
                <w:sz w:val="20"/>
                <w:szCs w:val="20"/>
              </w:rPr>
              <w:t xml:space="preserve"> or in writing only and must not provide a treatment duration exceeding 3 months</w:t>
            </w:r>
            <w:r>
              <w:rPr>
                <w:rFonts w:ascii="Arial Narrow" w:hAnsi="Arial Narrow" w:cs="Arial"/>
                <w:sz w:val="20"/>
                <w:szCs w:val="20"/>
              </w:rPr>
              <w:t xml:space="preserve"> </w:t>
            </w:r>
            <w:r w:rsidRPr="00710D93">
              <w:rPr>
                <w:rFonts w:ascii="Arial Narrow" w:hAnsi="Arial Narrow" w:cs="Arial"/>
                <w:sz w:val="20"/>
                <w:szCs w:val="20"/>
              </w:rPr>
              <w:t xml:space="preserve">(quantity sufficient for up to </w:t>
            </w:r>
            <w:proofErr w:type="gramStart"/>
            <w:r w:rsidRPr="00710D93">
              <w:rPr>
                <w:rFonts w:ascii="Arial Narrow" w:hAnsi="Arial Narrow" w:cs="Arial"/>
                <w:sz w:val="20"/>
                <w:szCs w:val="20"/>
              </w:rPr>
              <w:t>1 month</w:t>
            </w:r>
            <w:proofErr w:type="gramEnd"/>
            <w:r w:rsidRPr="00710D93">
              <w:rPr>
                <w:rFonts w:ascii="Arial Narrow" w:hAnsi="Arial Narrow" w:cs="Arial"/>
                <w:sz w:val="20"/>
                <w:szCs w:val="20"/>
              </w:rPr>
              <w:t xml:space="preserve"> treatment and sufficient repeats)</w:t>
            </w:r>
            <w:r w:rsidRPr="00F33674">
              <w:rPr>
                <w:rFonts w:ascii="Arial Narrow" w:hAnsi="Arial Narrow" w:cs="Arial"/>
                <w:sz w:val="20"/>
                <w:szCs w:val="20"/>
              </w:rPr>
              <w:t>.</w:t>
            </w:r>
          </w:p>
        </w:tc>
      </w:tr>
      <w:tr w:rsidR="001723CE" w:rsidRPr="00F33674" w14:paraId="450AFA2F" w14:textId="77777777" w:rsidTr="00A74C03">
        <w:trPr>
          <w:cantSplit/>
          <w:trHeight w:val="360"/>
        </w:trPr>
        <w:tc>
          <w:tcPr>
            <w:tcW w:w="2835" w:type="dxa"/>
            <w:tcBorders>
              <w:top w:val="single" w:sz="4" w:space="0" w:color="auto"/>
              <w:left w:val="single" w:sz="4" w:space="0" w:color="auto"/>
              <w:bottom w:val="single" w:sz="4" w:space="0" w:color="auto"/>
              <w:right w:val="single" w:sz="4" w:space="0" w:color="auto"/>
            </w:tcBorders>
          </w:tcPr>
          <w:p w14:paraId="3032177C" w14:textId="77777777" w:rsidR="001723CE" w:rsidRPr="00F33674" w:rsidRDefault="001723CE" w:rsidP="00A74C03">
            <w:pPr>
              <w:rPr>
                <w:rFonts w:ascii="Arial Narrow" w:hAnsi="Arial Narrow" w:cs="Arial"/>
                <w:b/>
                <w:sz w:val="20"/>
                <w:szCs w:val="20"/>
              </w:rPr>
            </w:pPr>
            <w:r w:rsidRPr="00F33674">
              <w:rPr>
                <w:rFonts w:ascii="Arial Narrow" w:hAnsi="Arial Narrow" w:cs="Arial"/>
                <w:b/>
                <w:sz w:val="20"/>
                <w:szCs w:val="20"/>
              </w:rPr>
              <w:t>Administrative advice:</w:t>
            </w:r>
          </w:p>
        </w:tc>
        <w:tc>
          <w:tcPr>
            <w:tcW w:w="6379" w:type="dxa"/>
            <w:tcBorders>
              <w:top w:val="single" w:sz="4" w:space="0" w:color="auto"/>
              <w:left w:val="single" w:sz="4" w:space="0" w:color="auto"/>
              <w:bottom w:val="single" w:sz="4" w:space="0" w:color="auto"/>
              <w:right w:val="single" w:sz="4" w:space="0" w:color="auto"/>
            </w:tcBorders>
          </w:tcPr>
          <w:p w14:paraId="0CBBC7A4" w14:textId="77777777" w:rsidR="001723CE" w:rsidRPr="00F33674" w:rsidRDefault="001723CE" w:rsidP="00A74C03">
            <w:pPr>
              <w:jc w:val="left"/>
              <w:rPr>
                <w:rFonts w:ascii="Arial Narrow" w:hAnsi="Arial Narrow" w:cs="Arial"/>
                <w:sz w:val="20"/>
                <w:szCs w:val="20"/>
              </w:rPr>
            </w:pPr>
            <w:r w:rsidRPr="00F33674">
              <w:rPr>
                <w:rFonts w:ascii="Arial Narrow" w:hAnsi="Arial Narrow" w:cs="Arial"/>
                <w:sz w:val="20"/>
                <w:szCs w:val="20"/>
              </w:rPr>
              <w:t>[18949] Pharmaceutical benefits that have the forms morphine sulfate 10 mg/mL injection and morphine hydrochloride 10 mg/mL injection are equivalent for the purposes of substitution.</w:t>
            </w:r>
          </w:p>
          <w:p w14:paraId="1AE69F05" w14:textId="77777777" w:rsidR="001723CE" w:rsidRPr="00F33674" w:rsidRDefault="001723CE" w:rsidP="00A74C03">
            <w:pPr>
              <w:jc w:val="left"/>
              <w:rPr>
                <w:rFonts w:ascii="Arial Narrow" w:hAnsi="Arial Narrow" w:cs="Arial"/>
                <w:sz w:val="20"/>
                <w:szCs w:val="20"/>
              </w:rPr>
            </w:pPr>
          </w:p>
          <w:p w14:paraId="1C6F3E63" w14:textId="77777777" w:rsidR="001723CE" w:rsidRPr="00F33674" w:rsidRDefault="001723CE" w:rsidP="00A74C03">
            <w:pPr>
              <w:jc w:val="left"/>
              <w:rPr>
                <w:rFonts w:ascii="Arial Narrow" w:hAnsi="Arial Narrow"/>
                <w:sz w:val="20"/>
                <w:szCs w:val="20"/>
              </w:rPr>
            </w:pPr>
            <w:r w:rsidRPr="00F33674">
              <w:rPr>
                <w:rFonts w:ascii="Arial Narrow" w:hAnsi="Arial Narrow"/>
                <w:sz w:val="20"/>
                <w:szCs w:val="20"/>
              </w:rPr>
              <w:t>[new] Consider consultation with a multidisciplinary pain service prior to, or after commencement of this medication.</w:t>
            </w:r>
          </w:p>
          <w:p w14:paraId="72B91EF3" w14:textId="77777777" w:rsidR="001723CE" w:rsidRPr="00F33674" w:rsidRDefault="001723CE" w:rsidP="00A74C03">
            <w:pPr>
              <w:jc w:val="left"/>
              <w:rPr>
                <w:rFonts w:ascii="Arial Narrow" w:hAnsi="Arial Narrow" w:cs="Arial"/>
                <w:sz w:val="20"/>
                <w:szCs w:val="20"/>
              </w:rPr>
            </w:pPr>
          </w:p>
          <w:p w14:paraId="42E538F4" w14:textId="77777777" w:rsidR="001723CE" w:rsidRPr="00F33674" w:rsidRDefault="001723CE" w:rsidP="00A74C03">
            <w:pPr>
              <w:jc w:val="left"/>
              <w:rPr>
                <w:rFonts w:ascii="Arial Narrow" w:hAnsi="Arial Narrow" w:cs="Arial"/>
                <w:sz w:val="20"/>
                <w:szCs w:val="20"/>
              </w:rPr>
            </w:pPr>
            <w:r w:rsidRPr="00F33674">
              <w:rPr>
                <w:rFonts w:ascii="Arial Narrow" w:hAnsi="Arial Narrow" w:cs="Arial"/>
                <w:sz w:val="20"/>
                <w:szCs w:val="20"/>
              </w:rPr>
              <w:t>[new] Real time online applications for increased maximum quantities/repeats may be made using the Online PBS Authorities system (see www.servicesaustralia.gov.au/organisations/health-professionals/services/medicare/hpos/services/request-authority-using-online-pbs-authorities-hpos)</w:t>
            </w:r>
          </w:p>
          <w:p w14:paraId="6EC6B909" w14:textId="77777777" w:rsidR="001723CE" w:rsidRPr="00F33674" w:rsidRDefault="001723CE" w:rsidP="00A74C03">
            <w:pPr>
              <w:jc w:val="left"/>
              <w:rPr>
                <w:rFonts w:ascii="Arial Narrow" w:hAnsi="Arial Narrow" w:cs="Arial"/>
                <w:sz w:val="20"/>
                <w:szCs w:val="20"/>
              </w:rPr>
            </w:pPr>
          </w:p>
          <w:p w14:paraId="58B58AA6" w14:textId="77777777" w:rsidR="001723CE" w:rsidRPr="00F33674" w:rsidRDefault="001723CE" w:rsidP="00A74C03">
            <w:pPr>
              <w:jc w:val="left"/>
              <w:rPr>
                <w:rFonts w:ascii="Arial Narrow" w:hAnsi="Arial Narrow" w:cs="Arial"/>
                <w:sz w:val="20"/>
                <w:szCs w:val="20"/>
              </w:rPr>
            </w:pPr>
            <w:r w:rsidRPr="00F33674">
              <w:rPr>
                <w:rFonts w:ascii="Arial Narrow" w:hAnsi="Arial Narrow" w:cs="Arial"/>
                <w:sz w:val="20"/>
                <w:szCs w:val="20"/>
              </w:rPr>
              <w:t>Phone applications for increased maximum quantities/repeats may be made by calling 1800 888 333.</w:t>
            </w:r>
          </w:p>
          <w:p w14:paraId="4794F039" w14:textId="77777777" w:rsidR="001723CE" w:rsidRPr="00F33674" w:rsidRDefault="001723CE" w:rsidP="00A74C03">
            <w:pPr>
              <w:jc w:val="left"/>
              <w:rPr>
                <w:rFonts w:ascii="Arial Narrow" w:hAnsi="Arial Narrow" w:cs="Arial"/>
                <w:sz w:val="20"/>
                <w:szCs w:val="20"/>
              </w:rPr>
            </w:pPr>
          </w:p>
          <w:p w14:paraId="37D0A674" w14:textId="77777777" w:rsidR="001723CE" w:rsidRPr="00F33674" w:rsidRDefault="001723CE" w:rsidP="00A74C03">
            <w:pPr>
              <w:jc w:val="left"/>
              <w:rPr>
                <w:rFonts w:ascii="Arial Narrow" w:hAnsi="Arial Narrow" w:cs="Arial"/>
                <w:sz w:val="20"/>
                <w:szCs w:val="20"/>
              </w:rPr>
            </w:pPr>
            <w:r w:rsidRPr="00F33674">
              <w:rPr>
                <w:rFonts w:ascii="Arial Narrow" w:hAnsi="Arial Narrow" w:cs="Arial"/>
                <w:sz w:val="20"/>
                <w:szCs w:val="20"/>
              </w:rPr>
              <w:t>Written authority applications for increased maximum quantities/repeats can be uploaded online through HPOS form upload or mailed to:</w:t>
            </w:r>
          </w:p>
          <w:p w14:paraId="5A8E919F" w14:textId="77777777" w:rsidR="001723CE" w:rsidRPr="00F33674" w:rsidRDefault="001723CE" w:rsidP="00A74C03">
            <w:pPr>
              <w:jc w:val="left"/>
              <w:rPr>
                <w:rFonts w:ascii="Arial Narrow" w:hAnsi="Arial Narrow" w:cs="Arial"/>
                <w:sz w:val="20"/>
                <w:szCs w:val="20"/>
              </w:rPr>
            </w:pPr>
            <w:r w:rsidRPr="00F33674">
              <w:rPr>
                <w:rFonts w:ascii="Arial Narrow" w:hAnsi="Arial Narrow" w:cs="Arial"/>
                <w:sz w:val="20"/>
                <w:szCs w:val="20"/>
              </w:rPr>
              <w:t>Pharmaceutical Benefits Scheme</w:t>
            </w:r>
          </w:p>
          <w:p w14:paraId="2A7566AA" w14:textId="77777777" w:rsidR="001723CE" w:rsidRPr="00F33674" w:rsidRDefault="001723CE" w:rsidP="00A74C03">
            <w:pPr>
              <w:jc w:val="left"/>
              <w:rPr>
                <w:rFonts w:ascii="Arial Narrow" w:hAnsi="Arial Narrow" w:cs="Arial"/>
                <w:sz w:val="20"/>
                <w:szCs w:val="20"/>
              </w:rPr>
            </w:pPr>
            <w:r w:rsidRPr="00F33674">
              <w:rPr>
                <w:rFonts w:ascii="Arial Narrow" w:hAnsi="Arial Narrow" w:cs="Arial"/>
                <w:sz w:val="20"/>
                <w:szCs w:val="20"/>
              </w:rPr>
              <w:t>Reply Paid 9857</w:t>
            </w:r>
          </w:p>
          <w:p w14:paraId="74F062CB" w14:textId="77777777" w:rsidR="001723CE" w:rsidRPr="00F33674" w:rsidRDefault="001723CE" w:rsidP="00A74C03">
            <w:pPr>
              <w:jc w:val="left"/>
              <w:rPr>
                <w:rFonts w:ascii="Arial Narrow" w:hAnsi="Arial Narrow" w:cs="Arial"/>
                <w:sz w:val="20"/>
                <w:szCs w:val="20"/>
              </w:rPr>
            </w:pPr>
            <w:r w:rsidRPr="00F33674">
              <w:rPr>
                <w:rFonts w:ascii="Arial Narrow" w:hAnsi="Arial Narrow" w:cs="Arial"/>
                <w:sz w:val="20"/>
                <w:szCs w:val="20"/>
              </w:rPr>
              <w:t>[Your capital city]</w:t>
            </w:r>
          </w:p>
        </w:tc>
      </w:tr>
      <w:tr w:rsidR="001723CE" w:rsidRPr="00F33674" w14:paraId="6E12D54A" w14:textId="77777777" w:rsidTr="00A74C03">
        <w:trPr>
          <w:cantSplit/>
          <w:trHeight w:val="360"/>
        </w:trPr>
        <w:tc>
          <w:tcPr>
            <w:tcW w:w="2835" w:type="dxa"/>
            <w:tcBorders>
              <w:top w:val="single" w:sz="4" w:space="0" w:color="auto"/>
              <w:left w:val="single" w:sz="4" w:space="0" w:color="auto"/>
              <w:bottom w:val="single" w:sz="4" w:space="0" w:color="auto"/>
              <w:right w:val="single" w:sz="4" w:space="0" w:color="auto"/>
            </w:tcBorders>
          </w:tcPr>
          <w:p w14:paraId="512CC167" w14:textId="77777777" w:rsidR="001723CE" w:rsidRPr="00F33674" w:rsidRDefault="001723CE" w:rsidP="00A74C03">
            <w:pPr>
              <w:rPr>
                <w:rFonts w:ascii="Arial Narrow" w:hAnsi="Arial Narrow" w:cs="Arial"/>
                <w:b/>
                <w:sz w:val="20"/>
                <w:szCs w:val="20"/>
              </w:rPr>
            </w:pPr>
            <w:r w:rsidRPr="00F33674">
              <w:rPr>
                <w:rFonts w:ascii="Arial Narrow" w:hAnsi="Arial Narrow" w:cs="Arial"/>
                <w:b/>
                <w:sz w:val="20"/>
                <w:szCs w:val="20"/>
              </w:rPr>
              <w:t>Cautions:</w:t>
            </w:r>
          </w:p>
        </w:tc>
        <w:tc>
          <w:tcPr>
            <w:tcW w:w="6379" w:type="dxa"/>
            <w:tcBorders>
              <w:top w:val="single" w:sz="4" w:space="0" w:color="auto"/>
              <w:left w:val="single" w:sz="4" w:space="0" w:color="auto"/>
              <w:bottom w:val="single" w:sz="4" w:space="0" w:color="auto"/>
              <w:right w:val="single" w:sz="4" w:space="0" w:color="auto"/>
            </w:tcBorders>
          </w:tcPr>
          <w:p w14:paraId="3D046E93" w14:textId="77777777" w:rsidR="001723CE" w:rsidRPr="00F33674" w:rsidRDefault="001723CE" w:rsidP="00A74C03">
            <w:pPr>
              <w:jc w:val="left"/>
              <w:rPr>
                <w:rFonts w:ascii="Arial Narrow" w:hAnsi="Arial Narrow" w:cs="Arial"/>
                <w:sz w:val="20"/>
                <w:szCs w:val="20"/>
              </w:rPr>
            </w:pPr>
            <w:r w:rsidRPr="00F33674">
              <w:rPr>
                <w:rFonts w:ascii="Arial Narrow" w:hAnsi="Arial Narrow" w:cs="Arial"/>
                <w:sz w:val="20"/>
                <w:szCs w:val="20"/>
              </w:rPr>
              <w:t>[6986] The risk of drug dependence is high.</w:t>
            </w:r>
          </w:p>
        </w:tc>
      </w:tr>
    </w:tbl>
    <w:p w14:paraId="72FA119A" w14:textId="74FB3954" w:rsidR="001723CE" w:rsidRDefault="001723CE" w:rsidP="001723CE">
      <w:pPr>
        <w:pStyle w:val="3-BodyText"/>
        <w:keepNext/>
        <w:numPr>
          <w:ilvl w:val="0"/>
          <w:numId w:val="0"/>
        </w:numPr>
        <w:ind w:left="720" w:hanging="720"/>
      </w:pPr>
    </w:p>
    <w:p w14:paraId="64D336E3" w14:textId="77777777" w:rsidR="001723CE" w:rsidRDefault="001723CE">
      <w:pPr>
        <w:jc w:val="left"/>
        <w:rPr>
          <w:rFonts w:asciiTheme="minorHAnsi" w:eastAsiaTheme="minorHAnsi" w:hAnsiTheme="minorHAnsi" w:cstheme="minorBidi"/>
          <w:szCs w:val="22"/>
        </w:rPr>
      </w:pPr>
      <w:r>
        <w:br w:type="page"/>
      </w:r>
    </w:p>
    <w:p w14:paraId="3A4AF540" w14:textId="78AD5095" w:rsidR="00F33674" w:rsidRPr="00F33674" w:rsidRDefault="00F33674" w:rsidP="00CB71CC">
      <w:pPr>
        <w:pStyle w:val="3-BodyText"/>
        <w:keepNext/>
      </w:pPr>
      <w:r w:rsidRPr="00F33674">
        <w:lastRenderedPageBreak/>
        <w:t>Amend items:</w:t>
      </w:r>
    </w:p>
    <w:p w14:paraId="68AF778E" w14:textId="77777777" w:rsidR="00F33674" w:rsidRPr="00F33674" w:rsidRDefault="00F33674" w:rsidP="00F33674">
      <w:pPr>
        <w:keepNext/>
        <w:keepLines/>
        <w:spacing w:before="40"/>
        <w:jc w:val="left"/>
        <w:outlineLvl w:val="2"/>
        <w:rPr>
          <w:rFonts w:asciiTheme="minorHAnsi" w:eastAsiaTheme="majorEastAsia" w:hAnsiTheme="minorHAnsi" w:cstheme="majorBidi"/>
          <w:b/>
          <w:color w:val="000000" w:themeColor="text1"/>
        </w:rPr>
      </w:pPr>
      <w:bookmarkStart w:id="23" w:name="_Toc32300589"/>
      <w:r w:rsidRPr="00F33674">
        <w:rPr>
          <w:rFonts w:asciiTheme="minorHAnsi" w:eastAsiaTheme="majorEastAsia" w:hAnsiTheme="minorHAnsi" w:cstheme="majorBidi"/>
          <w:b/>
          <w:color w:val="000000" w:themeColor="text1"/>
        </w:rPr>
        <w:t xml:space="preserve">Listing 10: Dentists’ restriction for short-term pain TGA indication in </w:t>
      </w:r>
      <w:proofErr w:type="gramStart"/>
      <w:r w:rsidRPr="00F33674">
        <w:rPr>
          <w:rFonts w:asciiTheme="minorHAnsi" w:eastAsiaTheme="majorEastAsia" w:hAnsiTheme="minorHAnsi" w:cstheme="majorBidi"/>
          <w:b/>
          <w:color w:val="000000" w:themeColor="text1"/>
        </w:rPr>
        <w:t>2</w:t>
      </w:r>
      <w:r w:rsidRPr="00F33674">
        <w:rPr>
          <w:rFonts w:asciiTheme="minorHAnsi" w:eastAsiaTheme="majorEastAsia" w:hAnsiTheme="minorHAnsi" w:cstheme="majorBidi"/>
          <w:b/>
          <w:color w:val="000000" w:themeColor="text1"/>
          <w:vertAlign w:val="superscript"/>
        </w:rPr>
        <w:t>nd</w:t>
      </w:r>
      <w:proofErr w:type="gramEnd"/>
      <w:r w:rsidRPr="00F33674">
        <w:rPr>
          <w:rFonts w:asciiTheme="minorHAnsi" w:eastAsiaTheme="majorEastAsia" w:hAnsiTheme="minorHAnsi" w:cstheme="majorBidi"/>
          <w:b/>
          <w:color w:val="000000" w:themeColor="text1"/>
        </w:rPr>
        <w:t xml:space="preserve"> line opioid setting (excluding morphine injections):</w:t>
      </w:r>
      <w:bookmarkEnd w:id="23"/>
    </w:p>
    <w:p w14:paraId="2E8A8497" w14:textId="77777777" w:rsidR="00F33674" w:rsidRPr="00F33674" w:rsidRDefault="00F33674" w:rsidP="00F33674">
      <w:pPr>
        <w:ind w:left="360" w:hanging="360"/>
        <w:contextualSpacing/>
        <w:jc w:val="left"/>
      </w:pPr>
    </w:p>
    <w:tbl>
      <w:tblPr>
        <w:tblW w:w="10515" w:type="dxa"/>
        <w:tblLook w:val="04A0" w:firstRow="1" w:lastRow="0" w:firstColumn="1" w:lastColumn="0" w:noHBand="0" w:noVBand="1"/>
      </w:tblPr>
      <w:tblGrid>
        <w:gridCol w:w="1774"/>
        <w:gridCol w:w="809"/>
        <w:gridCol w:w="3685"/>
        <w:gridCol w:w="572"/>
        <w:gridCol w:w="472"/>
        <w:gridCol w:w="1774"/>
        <w:gridCol w:w="1429"/>
      </w:tblGrid>
      <w:tr w:rsidR="00F33674" w:rsidRPr="00F33674" w14:paraId="02B317B4" w14:textId="77777777" w:rsidTr="00F33674">
        <w:trPr>
          <w:trHeight w:val="300"/>
        </w:trPr>
        <w:tc>
          <w:tcPr>
            <w:tcW w:w="1774" w:type="dxa"/>
            <w:tcBorders>
              <w:bottom w:val="single" w:sz="4" w:space="0" w:color="auto"/>
            </w:tcBorders>
            <w:shd w:val="clear" w:color="auto" w:fill="auto"/>
            <w:noWrap/>
            <w:hideMark/>
          </w:tcPr>
          <w:p w14:paraId="130D4DF4"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LI Drug</w:t>
            </w:r>
          </w:p>
        </w:tc>
        <w:tc>
          <w:tcPr>
            <w:tcW w:w="809" w:type="dxa"/>
            <w:tcBorders>
              <w:bottom w:val="single" w:sz="4" w:space="0" w:color="auto"/>
            </w:tcBorders>
            <w:shd w:val="clear" w:color="auto" w:fill="auto"/>
          </w:tcPr>
          <w:p w14:paraId="00744CDB"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Item Code</w:t>
            </w:r>
          </w:p>
        </w:tc>
        <w:tc>
          <w:tcPr>
            <w:tcW w:w="3685" w:type="dxa"/>
            <w:tcBorders>
              <w:bottom w:val="single" w:sz="4" w:space="0" w:color="auto"/>
            </w:tcBorders>
            <w:shd w:val="clear" w:color="auto" w:fill="auto"/>
            <w:noWrap/>
            <w:hideMark/>
          </w:tcPr>
          <w:p w14:paraId="08B51E6A"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Legal Instrument Form</w:t>
            </w:r>
          </w:p>
        </w:tc>
        <w:tc>
          <w:tcPr>
            <w:tcW w:w="572" w:type="dxa"/>
            <w:tcBorders>
              <w:bottom w:val="single" w:sz="4" w:space="0" w:color="auto"/>
            </w:tcBorders>
            <w:shd w:val="clear" w:color="auto" w:fill="auto"/>
            <w:noWrap/>
            <w:hideMark/>
          </w:tcPr>
          <w:p w14:paraId="275C8C79"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Max. Qty</w:t>
            </w:r>
          </w:p>
        </w:tc>
        <w:tc>
          <w:tcPr>
            <w:tcW w:w="472" w:type="dxa"/>
            <w:tcBorders>
              <w:bottom w:val="single" w:sz="4" w:space="0" w:color="auto"/>
            </w:tcBorders>
            <w:shd w:val="clear" w:color="auto" w:fill="auto"/>
            <w:noWrap/>
            <w:hideMark/>
          </w:tcPr>
          <w:p w14:paraId="2485B345"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No. Rpt</w:t>
            </w:r>
          </w:p>
        </w:tc>
        <w:tc>
          <w:tcPr>
            <w:tcW w:w="1774" w:type="dxa"/>
            <w:tcBorders>
              <w:bottom w:val="single" w:sz="4" w:space="0" w:color="auto"/>
            </w:tcBorders>
            <w:shd w:val="clear" w:color="auto" w:fill="auto"/>
            <w:noWrap/>
            <w:hideMark/>
          </w:tcPr>
          <w:p w14:paraId="383B2DD4"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Brand Name</w:t>
            </w:r>
          </w:p>
        </w:tc>
        <w:tc>
          <w:tcPr>
            <w:tcW w:w="1429" w:type="dxa"/>
            <w:tcBorders>
              <w:bottom w:val="single" w:sz="4" w:space="0" w:color="auto"/>
            </w:tcBorders>
            <w:shd w:val="clear" w:color="auto" w:fill="auto"/>
            <w:noWrap/>
            <w:hideMark/>
          </w:tcPr>
          <w:p w14:paraId="5159F259"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Responsible Person</w:t>
            </w:r>
          </w:p>
        </w:tc>
      </w:tr>
      <w:tr w:rsidR="00F33674" w:rsidRPr="00F33674" w14:paraId="5AB7F70B" w14:textId="77777777" w:rsidTr="00F33674">
        <w:trPr>
          <w:trHeight w:val="300"/>
        </w:trPr>
        <w:tc>
          <w:tcPr>
            <w:tcW w:w="1774" w:type="dxa"/>
            <w:shd w:val="clear" w:color="auto" w:fill="auto"/>
            <w:noWrap/>
          </w:tcPr>
          <w:p w14:paraId="2BA0FFED"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HYDROMORPHONE</w:t>
            </w:r>
          </w:p>
        </w:tc>
        <w:tc>
          <w:tcPr>
            <w:tcW w:w="809" w:type="dxa"/>
          </w:tcPr>
          <w:p w14:paraId="5A86EF08"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11479E</w:t>
            </w:r>
          </w:p>
        </w:tc>
        <w:tc>
          <w:tcPr>
            <w:tcW w:w="3685" w:type="dxa"/>
            <w:shd w:val="clear" w:color="auto" w:fill="auto"/>
            <w:noWrap/>
          </w:tcPr>
          <w:p w14:paraId="058CDEC6"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Oral liquid containing hydromorphone hydrochloride 1 mg per mL, 200 mL</w:t>
            </w:r>
          </w:p>
        </w:tc>
        <w:tc>
          <w:tcPr>
            <w:tcW w:w="572" w:type="dxa"/>
            <w:shd w:val="clear" w:color="auto" w:fill="auto"/>
            <w:noWrap/>
          </w:tcPr>
          <w:p w14:paraId="084B15BE" w14:textId="77777777" w:rsidR="00F33674" w:rsidRPr="00F33674" w:rsidRDefault="00F33674" w:rsidP="00F33674">
            <w:pPr>
              <w:jc w:val="righ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1</w:t>
            </w:r>
          </w:p>
        </w:tc>
        <w:tc>
          <w:tcPr>
            <w:tcW w:w="472" w:type="dxa"/>
            <w:shd w:val="clear" w:color="auto" w:fill="auto"/>
            <w:noWrap/>
          </w:tcPr>
          <w:p w14:paraId="438DDC43" w14:textId="77777777" w:rsidR="00F33674" w:rsidRPr="00F33674" w:rsidRDefault="00F33674" w:rsidP="00F33674">
            <w:pPr>
              <w:jc w:val="righ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0</w:t>
            </w:r>
          </w:p>
        </w:tc>
        <w:tc>
          <w:tcPr>
            <w:tcW w:w="1774" w:type="dxa"/>
            <w:shd w:val="clear" w:color="auto" w:fill="auto"/>
            <w:noWrap/>
          </w:tcPr>
          <w:p w14:paraId="3447BFB2"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Dilaudid</w:t>
            </w:r>
          </w:p>
        </w:tc>
        <w:tc>
          <w:tcPr>
            <w:tcW w:w="1429" w:type="dxa"/>
            <w:shd w:val="clear" w:color="auto" w:fill="auto"/>
            <w:noWrap/>
          </w:tcPr>
          <w:p w14:paraId="3F91E2D6"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Mundipharma Pty Limited</w:t>
            </w:r>
          </w:p>
        </w:tc>
      </w:tr>
      <w:tr w:rsidR="00F33674" w:rsidRPr="00F33674" w14:paraId="5670D94B" w14:textId="77777777" w:rsidTr="00F33674">
        <w:trPr>
          <w:trHeight w:val="300"/>
        </w:trPr>
        <w:tc>
          <w:tcPr>
            <w:tcW w:w="1774" w:type="dxa"/>
            <w:shd w:val="clear" w:color="auto" w:fill="auto"/>
            <w:noWrap/>
          </w:tcPr>
          <w:p w14:paraId="5E8D4FE3" w14:textId="77777777" w:rsidR="00F33674" w:rsidRPr="00F33674" w:rsidRDefault="00F33674" w:rsidP="00F33674">
            <w:pPr>
              <w:jc w:val="left"/>
              <w:rPr>
                <w:rFonts w:ascii="Arial Narrow" w:hAnsi="Arial Narrow" w:cs="Calibri"/>
                <w:color w:val="000000"/>
                <w:sz w:val="20"/>
                <w:szCs w:val="20"/>
                <w:lang w:eastAsia="en-AU"/>
              </w:rPr>
            </w:pPr>
          </w:p>
        </w:tc>
        <w:tc>
          <w:tcPr>
            <w:tcW w:w="809" w:type="dxa"/>
          </w:tcPr>
          <w:p w14:paraId="6E3EB112"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5115F</w:t>
            </w:r>
          </w:p>
        </w:tc>
        <w:tc>
          <w:tcPr>
            <w:tcW w:w="3685" w:type="dxa"/>
            <w:shd w:val="clear" w:color="auto" w:fill="auto"/>
            <w:noWrap/>
          </w:tcPr>
          <w:p w14:paraId="761BF82C"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Tablet containing hydromorphone hydrochloride 2 mg</w:t>
            </w:r>
          </w:p>
        </w:tc>
        <w:tc>
          <w:tcPr>
            <w:tcW w:w="572" w:type="dxa"/>
            <w:shd w:val="clear" w:color="auto" w:fill="auto"/>
            <w:noWrap/>
          </w:tcPr>
          <w:p w14:paraId="2A0C9AE9" w14:textId="77777777" w:rsidR="00F33674" w:rsidRPr="00F33674" w:rsidRDefault="00F33674" w:rsidP="00F33674">
            <w:pPr>
              <w:jc w:val="righ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20</w:t>
            </w:r>
          </w:p>
        </w:tc>
        <w:tc>
          <w:tcPr>
            <w:tcW w:w="472" w:type="dxa"/>
            <w:shd w:val="clear" w:color="auto" w:fill="auto"/>
            <w:noWrap/>
          </w:tcPr>
          <w:p w14:paraId="409F97EA" w14:textId="77777777" w:rsidR="00F33674" w:rsidRPr="00F33674" w:rsidRDefault="00F33674" w:rsidP="00F33674">
            <w:pPr>
              <w:jc w:val="righ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0</w:t>
            </w:r>
          </w:p>
        </w:tc>
        <w:tc>
          <w:tcPr>
            <w:tcW w:w="1774" w:type="dxa"/>
            <w:shd w:val="clear" w:color="auto" w:fill="auto"/>
            <w:noWrap/>
          </w:tcPr>
          <w:p w14:paraId="4593B97C"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Dilaudid</w:t>
            </w:r>
          </w:p>
        </w:tc>
        <w:tc>
          <w:tcPr>
            <w:tcW w:w="1429" w:type="dxa"/>
            <w:shd w:val="clear" w:color="auto" w:fill="auto"/>
            <w:noWrap/>
          </w:tcPr>
          <w:p w14:paraId="4F3F9CD8"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Mundipharma Pty Limited</w:t>
            </w:r>
          </w:p>
        </w:tc>
      </w:tr>
      <w:tr w:rsidR="00F33674" w:rsidRPr="00F33674" w14:paraId="7ED1CD91" w14:textId="77777777" w:rsidTr="00F33674">
        <w:trPr>
          <w:trHeight w:val="300"/>
        </w:trPr>
        <w:tc>
          <w:tcPr>
            <w:tcW w:w="1774" w:type="dxa"/>
            <w:shd w:val="clear" w:color="auto" w:fill="auto"/>
            <w:noWrap/>
          </w:tcPr>
          <w:p w14:paraId="424CEF62" w14:textId="77777777" w:rsidR="00F33674" w:rsidRPr="00F33674" w:rsidRDefault="00F33674" w:rsidP="00F33674">
            <w:pPr>
              <w:jc w:val="left"/>
              <w:rPr>
                <w:rFonts w:ascii="Arial Narrow" w:hAnsi="Arial Narrow" w:cs="Calibri"/>
                <w:color w:val="000000"/>
                <w:sz w:val="20"/>
                <w:szCs w:val="20"/>
                <w:lang w:eastAsia="en-AU"/>
              </w:rPr>
            </w:pPr>
          </w:p>
        </w:tc>
        <w:tc>
          <w:tcPr>
            <w:tcW w:w="809" w:type="dxa"/>
          </w:tcPr>
          <w:p w14:paraId="1C8853FA"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5116G</w:t>
            </w:r>
          </w:p>
        </w:tc>
        <w:tc>
          <w:tcPr>
            <w:tcW w:w="3685" w:type="dxa"/>
            <w:shd w:val="clear" w:color="auto" w:fill="auto"/>
            <w:noWrap/>
          </w:tcPr>
          <w:p w14:paraId="350A5B56"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Tablet containing hydromorphone hydrochloride 4 mg</w:t>
            </w:r>
          </w:p>
        </w:tc>
        <w:tc>
          <w:tcPr>
            <w:tcW w:w="572" w:type="dxa"/>
            <w:shd w:val="clear" w:color="auto" w:fill="auto"/>
            <w:noWrap/>
          </w:tcPr>
          <w:p w14:paraId="695ED0F3" w14:textId="77777777" w:rsidR="00F33674" w:rsidRPr="00F33674" w:rsidRDefault="00F33674" w:rsidP="00F33674">
            <w:pPr>
              <w:jc w:val="righ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20</w:t>
            </w:r>
          </w:p>
        </w:tc>
        <w:tc>
          <w:tcPr>
            <w:tcW w:w="472" w:type="dxa"/>
            <w:shd w:val="clear" w:color="auto" w:fill="auto"/>
            <w:noWrap/>
          </w:tcPr>
          <w:p w14:paraId="7582EAE4" w14:textId="77777777" w:rsidR="00F33674" w:rsidRPr="00F33674" w:rsidRDefault="00F33674" w:rsidP="00F33674">
            <w:pPr>
              <w:jc w:val="righ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0</w:t>
            </w:r>
          </w:p>
        </w:tc>
        <w:tc>
          <w:tcPr>
            <w:tcW w:w="1774" w:type="dxa"/>
            <w:shd w:val="clear" w:color="auto" w:fill="auto"/>
            <w:noWrap/>
          </w:tcPr>
          <w:p w14:paraId="3A7A2D42"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Dilaudid</w:t>
            </w:r>
          </w:p>
        </w:tc>
        <w:tc>
          <w:tcPr>
            <w:tcW w:w="1429" w:type="dxa"/>
            <w:shd w:val="clear" w:color="auto" w:fill="auto"/>
            <w:noWrap/>
          </w:tcPr>
          <w:p w14:paraId="7C26FD56"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Mundipharma Pty Limited</w:t>
            </w:r>
          </w:p>
        </w:tc>
      </w:tr>
      <w:tr w:rsidR="00F33674" w:rsidRPr="00F33674" w14:paraId="14C41917" w14:textId="77777777" w:rsidTr="00F33674">
        <w:trPr>
          <w:trHeight w:val="300"/>
        </w:trPr>
        <w:tc>
          <w:tcPr>
            <w:tcW w:w="1774" w:type="dxa"/>
            <w:shd w:val="clear" w:color="auto" w:fill="auto"/>
            <w:noWrap/>
          </w:tcPr>
          <w:p w14:paraId="51C8214C" w14:textId="77777777" w:rsidR="00F33674" w:rsidRPr="00F33674" w:rsidRDefault="00F33674" w:rsidP="00F33674">
            <w:pPr>
              <w:jc w:val="left"/>
              <w:rPr>
                <w:rFonts w:ascii="Arial Narrow" w:hAnsi="Arial Narrow" w:cs="Calibri"/>
                <w:color w:val="000000"/>
                <w:sz w:val="20"/>
                <w:szCs w:val="20"/>
                <w:lang w:eastAsia="en-AU"/>
              </w:rPr>
            </w:pPr>
          </w:p>
        </w:tc>
        <w:tc>
          <w:tcPr>
            <w:tcW w:w="809" w:type="dxa"/>
          </w:tcPr>
          <w:p w14:paraId="05B23090"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5117H</w:t>
            </w:r>
          </w:p>
        </w:tc>
        <w:tc>
          <w:tcPr>
            <w:tcW w:w="3685" w:type="dxa"/>
            <w:shd w:val="clear" w:color="auto" w:fill="auto"/>
            <w:noWrap/>
          </w:tcPr>
          <w:p w14:paraId="1FFDB086"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Tablet containing hydromorphone hydrochloride 8 mg</w:t>
            </w:r>
          </w:p>
        </w:tc>
        <w:tc>
          <w:tcPr>
            <w:tcW w:w="572" w:type="dxa"/>
            <w:shd w:val="clear" w:color="auto" w:fill="auto"/>
            <w:noWrap/>
          </w:tcPr>
          <w:p w14:paraId="6269BE99" w14:textId="77777777" w:rsidR="00F33674" w:rsidRPr="00F33674" w:rsidRDefault="00F33674" w:rsidP="00F33674">
            <w:pPr>
              <w:jc w:val="righ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20</w:t>
            </w:r>
          </w:p>
        </w:tc>
        <w:tc>
          <w:tcPr>
            <w:tcW w:w="472" w:type="dxa"/>
            <w:shd w:val="clear" w:color="auto" w:fill="auto"/>
            <w:noWrap/>
          </w:tcPr>
          <w:p w14:paraId="0DC1DD16" w14:textId="77777777" w:rsidR="00F33674" w:rsidRPr="00F33674" w:rsidRDefault="00F33674" w:rsidP="00F33674">
            <w:pPr>
              <w:jc w:val="righ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0</w:t>
            </w:r>
          </w:p>
        </w:tc>
        <w:tc>
          <w:tcPr>
            <w:tcW w:w="1774" w:type="dxa"/>
            <w:shd w:val="clear" w:color="auto" w:fill="auto"/>
            <w:noWrap/>
          </w:tcPr>
          <w:p w14:paraId="614B3EE0"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Dilaudid</w:t>
            </w:r>
          </w:p>
        </w:tc>
        <w:tc>
          <w:tcPr>
            <w:tcW w:w="1429" w:type="dxa"/>
            <w:shd w:val="clear" w:color="auto" w:fill="auto"/>
            <w:noWrap/>
          </w:tcPr>
          <w:p w14:paraId="1EB805D2"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Mundipharma Pty Limited</w:t>
            </w:r>
          </w:p>
        </w:tc>
      </w:tr>
      <w:tr w:rsidR="00F33674" w:rsidRPr="00F33674" w14:paraId="6FE44B23" w14:textId="77777777" w:rsidTr="00F33674">
        <w:trPr>
          <w:trHeight w:val="300"/>
        </w:trPr>
        <w:tc>
          <w:tcPr>
            <w:tcW w:w="1774" w:type="dxa"/>
            <w:shd w:val="clear" w:color="auto" w:fill="auto"/>
            <w:noWrap/>
          </w:tcPr>
          <w:p w14:paraId="42034BFD"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MORPHINE</w:t>
            </w:r>
          </w:p>
        </w:tc>
        <w:tc>
          <w:tcPr>
            <w:tcW w:w="809" w:type="dxa"/>
          </w:tcPr>
          <w:p w14:paraId="13871170"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5239R</w:t>
            </w:r>
          </w:p>
        </w:tc>
        <w:tc>
          <w:tcPr>
            <w:tcW w:w="3685" w:type="dxa"/>
            <w:shd w:val="clear" w:color="auto" w:fill="auto"/>
            <w:noWrap/>
          </w:tcPr>
          <w:p w14:paraId="3FB4B813"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Oral solution containing morphine hydrochloride trihydrate 10 mg per mL, 200 mL</w:t>
            </w:r>
          </w:p>
        </w:tc>
        <w:tc>
          <w:tcPr>
            <w:tcW w:w="572" w:type="dxa"/>
            <w:shd w:val="clear" w:color="auto" w:fill="auto"/>
            <w:noWrap/>
          </w:tcPr>
          <w:p w14:paraId="13068832" w14:textId="77777777" w:rsidR="00F33674" w:rsidRPr="00F33674" w:rsidRDefault="00F33674" w:rsidP="00F33674">
            <w:pPr>
              <w:jc w:val="righ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1</w:t>
            </w:r>
          </w:p>
        </w:tc>
        <w:tc>
          <w:tcPr>
            <w:tcW w:w="472" w:type="dxa"/>
            <w:shd w:val="clear" w:color="auto" w:fill="auto"/>
            <w:noWrap/>
          </w:tcPr>
          <w:p w14:paraId="7CA3B117" w14:textId="77777777" w:rsidR="00F33674" w:rsidRPr="00F33674" w:rsidRDefault="00F33674" w:rsidP="00F33674">
            <w:pPr>
              <w:jc w:val="righ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0</w:t>
            </w:r>
          </w:p>
        </w:tc>
        <w:tc>
          <w:tcPr>
            <w:tcW w:w="1774" w:type="dxa"/>
            <w:shd w:val="clear" w:color="auto" w:fill="auto"/>
            <w:noWrap/>
          </w:tcPr>
          <w:p w14:paraId="2ECDB1C6"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Ordine 10</w:t>
            </w:r>
          </w:p>
        </w:tc>
        <w:tc>
          <w:tcPr>
            <w:tcW w:w="1429" w:type="dxa"/>
            <w:shd w:val="clear" w:color="auto" w:fill="auto"/>
            <w:noWrap/>
          </w:tcPr>
          <w:p w14:paraId="2429BA7E"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Mundipharma Pty Limited</w:t>
            </w:r>
          </w:p>
        </w:tc>
      </w:tr>
      <w:tr w:rsidR="00F33674" w:rsidRPr="00F33674" w14:paraId="43CC2CFD" w14:textId="77777777" w:rsidTr="00F33674">
        <w:trPr>
          <w:trHeight w:val="300"/>
        </w:trPr>
        <w:tc>
          <w:tcPr>
            <w:tcW w:w="1774" w:type="dxa"/>
            <w:shd w:val="clear" w:color="auto" w:fill="auto"/>
            <w:noWrap/>
          </w:tcPr>
          <w:p w14:paraId="242375FA" w14:textId="77777777" w:rsidR="00F33674" w:rsidRPr="00F33674" w:rsidRDefault="00F33674" w:rsidP="00F33674">
            <w:pPr>
              <w:jc w:val="left"/>
              <w:rPr>
                <w:rFonts w:ascii="Arial Narrow" w:hAnsi="Arial Narrow" w:cs="Calibri"/>
                <w:color w:val="000000"/>
                <w:sz w:val="20"/>
                <w:szCs w:val="20"/>
                <w:lang w:eastAsia="en-AU"/>
              </w:rPr>
            </w:pPr>
          </w:p>
        </w:tc>
        <w:tc>
          <w:tcPr>
            <w:tcW w:w="809" w:type="dxa"/>
          </w:tcPr>
          <w:p w14:paraId="7F71BFD3"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5237P</w:t>
            </w:r>
          </w:p>
        </w:tc>
        <w:tc>
          <w:tcPr>
            <w:tcW w:w="3685" w:type="dxa"/>
            <w:shd w:val="clear" w:color="auto" w:fill="auto"/>
            <w:noWrap/>
            <w:hideMark/>
          </w:tcPr>
          <w:p w14:paraId="49D8F0D8"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Oral solution containing morphine hydrochloride trihydrate 2 mg per mL, 200 mL</w:t>
            </w:r>
          </w:p>
        </w:tc>
        <w:tc>
          <w:tcPr>
            <w:tcW w:w="572" w:type="dxa"/>
            <w:shd w:val="clear" w:color="auto" w:fill="auto"/>
            <w:noWrap/>
            <w:hideMark/>
          </w:tcPr>
          <w:p w14:paraId="229C7D97" w14:textId="77777777" w:rsidR="00F33674" w:rsidRPr="00F33674" w:rsidRDefault="00F33674" w:rsidP="00F33674">
            <w:pPr>
              <w:jc w:val="righ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1</w:t>
            </w:r>
          </w:p>
        </w:tc>
        <w:tc>
          <w:tcPr>
            <w:tcW w:w="472" w:type="dxa"/>
            <w:shd w:val="clear" w:color="auto" w:fill="auto"/>
            <w:noWrap/>
            <w:hideMark/>
          </w:tcPr>
          <w:p w14:paraId="688ACBA4" w14:textId="77777777" w:rsidR="00F33674" w:rsidRPr="00F33674" w:rsidRDefault="00F33674" w:rsidP="00F33674">
            <w:pPr>
              <w:jc w:val="righ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0</w:t>
            </w:r>
          </w:p>
        </w:tc>
        <w:tc>
          <w:tcPr>
            <w:tcW w:w="1774" w:type="dxa"/>
            <w:shd w:val="clear" w:color="auto" w:fill="auto"/>
            <w:noWrap/>
            <w:hideMark/>
          </w:tcPr>
          <w:p w14:paraId="2FB33EDA"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Ordine 2</w:t>
            </w:r>
          </w:p>
        </w:tc>
        <w:tc>
          <w:tcPr>
            <w:tcW w:w="1429" w:type="dxa"/>
            <w:shd w:val="clear" w:color="auto" w:fill="auto"/>
            <w:noWrap/>
            <w:hideMark/>
          </w:tcPr>
          <w:p w14:paraId="0A7EF6BB"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Mundipharma Pty Limited</w:t>
            </w:r>
          </w:p>
        </w:tc>
      </w:tr>
      <w:tr w:rsidR="00F33674" w:rsidRPr="00F33674" w14:paraId="08299B3D" w14:textId="77777777" w:rsidTr="00F33674">
        <w:trPr>
          <w:trHeight w:val="80"/>
        </w:trPr>
        <w:tc>
          <w:tcPr>
            <w:tcW w:w="1774" w:type="dxa"/>
            <w:shd w:val="clear" w:color="auto" w:fill="auto"/>
            <w:noWrap/>
          </w:tcPr>
          <w:p w14:paraId="0AE6C393" w14:textId="77777777" w:rsidR="00F33674" w:rsidRPr="00F33674" w:rsidRDefault="00F33674" w:rsidP="00F33674">
            <w:pPr>
              <w:jc w:val="left"/>
              <w:rPr>
                <w:rFonts w:ascii="Arial Narrow" w:hAnsi="Arial Narrow" w:cs="Calibri"/>
                <w:color w:val="000000"/>
                <w:sz w:val="20"/>
                <w:szCs w:val="20"/>
                <w:lang w:eastAsia="en-AU"/>
              </w:rPr>
            </w:pPr>
          </w:p>
        </w:tc>
        <w:tc>
          <w:tcPr>
            <w:tcW w:w="809" w:type="dxa"/>
          </w:tcPr>
          <w:p w14:paraId="51E993D3"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5238Q</w:t>
            </w:r>
          </w:p>
        </w:tc>
        <w:tc>
          <w:tcPr>
            <w:tcW w:w="3685" w:type="dxa"/>
            <w:shd w:val="clear" w:color="auto" w:fill="auto"/>
            <w:noWrap/>
            <w:hideMark/>
          </w:tcPr>
          <w:p w14:paraId="08D8F30D"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Oral solution containing morphine hydrochloride trihydrate 5 mg per mL, 200 mL</w:t>
            </w:r>
          </w:p>
        </w:tc>
        <w:tc>
          <w:tcPr>
            <w:tcW w:w="572" w:type="dxa"/>
            <w:shd w:val="clear" w:color="auto" w:fill="auto"/>
            <w:noWrap/>
            <w:hideMark/>
          </w:tcPr>
          <w:p w14:paraId="05F0F4B2" w14:textId="77777777" w:rsidR="00F33674" w:rsidRPr="00F33674" w:rsidRDefault="00F33674" w:rsidP="00F33674">
            <w:pPr>
              <w:jc w:val="righ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1</w:t>
            </w:r>
          </w:p>
        </w:tc>
        <w:tc>
          <w:tcPr>
            <w:tcW w:w="472" w:type="dxa"/>
            <w:shd w:val="clear" w:color="auto" w:fill="auto"/>
            <w:noWrap/>
            <w:hideMark/>
          </w:tcPr>
          <w:p w14:paraId="07E80245" w14:textId="77777777" w:rsidR="00F33674" w:rsidRPr="00F33674" w:rsidRDefault="00F33674" w:rsidP="00F33674">
            <w:pPr>
              <w:jc w:val="righ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0</w:t>
            </w:r>
          </w:p>
        </w:tc>
        <w:tc>
          <w:tcPr>
            <w:tcW w:w="1774" w:type="dxa"/>
            <w:shd w:val="clear" w:color="auto" w:fill="auto"/>
            <w:noWrap/>
            <w:hideMark/>
          </w:tcPr>
          <w:p w14:paraId="6AABCDFB"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Ordine 5</w:t>
            </w:r>
          </w:p>
        </w:tc>
        <w:tc>
          <w:tcPr>
            <w:tcW w:w="1429" w:type="dxa"/>
            <w:shd w:val="clear" w:color="auto" w:fill="auto"/>
            <w:noWrap/>
            <w:hideMark/>
          </w:tcPr>
          <w:p w14:paraId="5C0A09DF"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Mundipharma Pty Limited</w:t>
            </w:r>
          </w:p>
        </w:tc>
      </w:tr>
      <w:tr w:rsidR="00F33674" w:rsidRPr="00F33674" w14:paraId="0374A7A0" w14:textId="77777777" w:rsidTr="00F33674">
        <w:trPr>
          <w:trHeight w:val="300"/>
        </w:trPr>
        <w:tc>
          <w:tcPr>
            <w:tcW w:w="1774" w:type="dxa"/>
            <w:shd w:val="clear" w:color="auto" w:fill="auto"/>
            <w:noWrap/>
          </w:tcPr>
          <w:p w14:paraId="3F3523DD" w14:textId="77777777" w:rsidR="00F33674" w:rsidRPr="00F33674" w:rsidRDefault="00F33674" w:rsidP="00F33674">
            <w:pPr>
              <w:jc w:val="left"/>
              <w:rPr>
                <w:rFonts w:ascii="Arial Narrow" w:hAnsi="Arial Narrow" w:cs="Calibri"/>
                <w:color w:val="000000"/>
                <w:sz w:val="20"/>
                <w:szCs w:val="20"/>
                <w:lang w:eastAsia="en-AU"/>
              </w:rPr>
            </w:pPr>
          </w:p>
        </w:tc>
        <w:tc>
          <w:tcPr>
            <w:tcW w:w="809" w:type="dxa"/>
          </w:tcPr>
          <w:p w14:paraId="74ADB1AB"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5163R</w:t>
            </w:r>
          </w:p>
        </w:tc>
        <w:tc>
          <w:tcPr>
            <w:tcW w:w="3685" w:type="dxa"/>
            <w:shd w:val="clear" w:color="auto" w:fill="auto"/>
            <w:noWrap/>
            <w:hideMark/>
          </w:tcPr>
          <w:p w14:paraId="4685EBE6"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Tablet containing morphine sulfate pentahydrate 30 mg</w:t>
            </w:r>
          </w:p>
        </w:tc>
        <w:tc>
          <w:tcPr>
            <w:tcW w:w="572" w:type="dxa"/>
            <w:shd w:val="clear" w:color="auto" w:fill="auto"/>
            <w:noWrap/>
            <w:hideMark/>
          </w:tcPr>
          <w:p w14:paraId="1AB7BD49" w14:textId="77777777" w:rsidR="00F33674" w:rsidRPr="00F33674" w:rsidRDefault="00F33674" w:rsidP="00F33674">
            <w:pPr>
              <w:jc w:val="righ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20</w:t>
            </w:r>
          </w:p>
        </w:tc>
        <w:tc>
          <w:tcPr>
            <w:tcW w:w="472" w:type="dxa"/>
            <w:shd w:val="clear" w:color="auto" w:fill="auto"/>
            <w:noWrap/>
            <w:hideMark/>
          </w:tcPr>
          <w:p w14:paraId="15E54E1F" w14:textId="77777777" w:rsidR="00F33674" w:rsidRPr="00F33674" w:rsidRDefault="00F33674" w:rsidP="00F33674">
            <w:pPr>
              <w:jc w:val="righ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0</w:t>
            </w:r>
          </w:p>
        </w:tc>
        <w:tc>
          <w:tcPr>
            <w:tcW w:w="1774" w:type="dxa"/>
            <w:shd w:val="clear" w:color="auto" w:fill="auto"/>
            <w:noWrap/>
            <w:hideMark/>
          </w:tcPr>
          <w:p w14:paraId="18F2C25F"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Anamorph</w:t>
            </w:r>
          </w:p>
        </w:tc>
        <w:tc>
          <w:tcPr>
            <w:tcW w:w="1429" w:type="dxa"/>
            <w:shd w:val="clear" w:color="auto" w:fill="auto"/>
            <w:noWrap/>
            <w:hideMark/>
          </w:tcPr>
          <w:p w14:paraId="34177873"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Arrow Pharma Pty Ltd</w:t>
            </w:r>
          </w:p>
        </w:tc>
      </w:tr>
    </w:tbl>
    <w:p w14:paraId="2D4F626B" w14:textId="77777777" w:rsidR="00F33674" w:rsidRPr="00F33674" w:rsidRDefault="00F33674" w:rsidP="00F33674">
      <w:pPr>
        <w:ind w:left="360" w:hanging="360"/>
        <w:contextualSpacing/>
        <w:jc w:val="left"/>
      </w:pPr>
    </w:p>
    <w:tbl>
      <w:tblPr>
        <w:tblW w:w="9214" w:type="dxa"/>
        <w:tblInd w:w="-5" w:type="dxa"/>
        <w:tblLayout w:type="fixed"/>
        <w:tblLook w:val="0000" w:firstRow="0" w:lastRow="0" w:firstColumn="0" w:lastColumn="0" w:noHBand="0" w:noVBand="0"/>
      </w:tblPr>
      <w:tblGrid>
        <w:gridCol w:w="2835"/>
        <w:gridCol w:w="6379"/>
      </w:tblGrid>
      <w:tr w:rsidR="00F33674" w:rsidRPr="00F33674" w14:paraId="24ED512C" w14:textId="77777777" w:rsidTr="00F33674">
        <w:trPr>
          <w:cantSplit/>
          <w:trHeight w:val="360"/>
        </w:trPr>
        <w:tc>
          <w:tcPr>
            <w:tcW w:w="2835" w:type="dxa"/>
            <w:tcBorders>
              <w:top w:val="single" w:sz="4" w:space="0" w:color="auto"/>
              <w:left w:val="single" w:sz="4" w:space="0" w:color="auto"/>
              <w:bottom w:val="single" w:sz="4" w:space="0" w:color="auto"/>
              <w:right w:val="single" w:sz="4" w:space="0" w:color="auto"/>
            </w:tcBorders>
          </w:tcPr>
          <w:p w14:paraId="597F6CAD" w14:textId="77777777" w:rsidR="00F33674" w:rsidRPr="00F33674" w:rsidRDefault="00F33674" w:rsidP="00F33674">
            <w:pPr>
              <w:rPr>
                <w:rFonts w:ascii="Arial Narrow" w:hAnsi="Arial Narrow" w:cs="Arial"/>
                <w:b/>
                <w:sz w:val="20"/>
                <w:szCs w:val="20"/>
              </w:rPr>
            </w:pPr>
            <w:r w:rsidRPr="00F33674">
              <w:rPr>
                <w:rFonts w:ascii="Arial Narrow" w:hAnsi="Arial Narrow" w:cs="Arial"/>
                <w:b/>
                <w:sz w:val="20"/>
                <w:szCs w:val="20"/>
              </w:rPr>
              <w:t>Category / Program:</w:t>
            </w:r>
          </w:p>
        </w:tc>
        <w:tc>
          <w:tcPr>
            <w:tcW w:w="6379" w:type="dxa"/>
            <w:tcBorders>
              <w:top w:val="single" w:sz="4" w:space="0" w:color="auto"/>
              <w:left w:val="single" w:sz="4" w:space="0" w:color="auto"/>
              <w:bottom w:val="single" w:sz="4" w:space="0" w:color="auto"/>
              <w:right w:val="single" w:sz="4" w:space="0" w:color="auto"/>
            </w:tcBorders>
          </w:tcPr>
          <w:p w14:paraId="0878FF78" w14:textId="77777777" w:rsidR="00F33674" w:rsidRPr="00F33674" w:rsidRDefault="00F33674" w:rsidP="00F33674">
            <w:pPr>
              <w:rPr>
                <w:rFonts w:ascii="Arial Narrow" w:hAnsi="Arial Narrow" w:cs="Arial"/>
                <w:sz w:val="20"/>
                <w:szCs w:val="20"/>
              </w:rPr>
            </w:pPr>
            <w:r w:rsidRPr="00F33674">
              <w:rPr>
                <w:rFonts w:ascii="Arial Narrow" w:hAnsi="Arial Narrow" w:cs="Arial"/>
                <w:sz w:val="20"/>
                <w:szCs w:val="20"/>
              </w:rPr>
              <w:t>GENERAL – General Schedule (Code GE)</w:t>
            </w:r>
          </w:p>
        </w:tc>
      </w:tr>
      <w:tr w:rsidR="00F33674" w:rsidRPr="00F33674" w14:paraId="4AC704CB" w14:textId="77777777" w:rsidTr="00F33674">
        <w:trPr>
          <w:cantSplit/>
          <w:trHeight w:val="360"/>
        </w:trPr>
        <w:tc>
          <w:tcPr>
            <w:tcW w:w="2835" w:type="dxa"/>
            <w:tcBorders>
              <w:top w:val="single" w:sz="4" w:space="0" w:color="auto"/>
              <w:left w:val="single" w:sz="4" w:space="0" w:color="auto"/>
              <w:bottom w:val="single" w:sz="4" w:space="0" w:color="auto"/>
              <w:right w:val="single" w:sz="4" w:space="0" w:color="auto"/>
            </w:tcBorders>
          </w:tcPr>
          <w:p w14:paraId="3F4FCFC3" w14:textId="77777777" w:rsidR="00F33674" w:rsidRPr="00F33674" w:rsidRDefault="00F33674" w:rsidP="00F33674">
            <w:pPr>
              <w:rPr>
                <w:rFonts w:ascii="Arial Narrow" w:hAnsi="Arial Narrow" w:cs="Arial"/>
                <w:b/>
                <w:sz w:val="20"/>
                <w:szCs w:val="20"/>
              </w:rPr>
            </w:pPr>
            <w:r w:rsidRPr="00F33674">
              <w:rPr>
                <w:rFonts w:ascii="Arial Narrow" w:hAnsi="Arial Narrow" w:cs="Arial"/>
                <w:b/>
                <w:sz w:val="20"/>
                <w:szCs w:val="20"/>
              </w:rPr>
              <w:t>Prescriber type:</w:t>
            </w:r>
          </w:p>
          <w:p w14:paraId="73E25051" w14:textId="77777777" w:rsidR="00F33674" w:rsidRPr="00F33674" w:rsidRDefault="00F33674" w:rsidP="00F33674">
            <w:pPr>
              <w:rPr>
                <w:rFonts w:ascii="Arial Narrow" w:hAnsi="Arial Narrow" w:cs="Arial"/>
                <w:b/>
                <w:sz w:val="20"/>
                <w:szCs w:val="20"/>
              </w:rPr>
            </w:pPr>
          </w:p>
        </w:tc>
        <w:tc>
          <w:tcPr>
            <w:tcW w:w="6379" w:type="dxa"/>
            <w:tcBorders>
              <w:top w:val="single" w:sz="4" w:space="0" w:color="auto"/>
              <w:left w:val="single" w:sz="4" w:space="0" w:color="auto"/>
              <w:bottom w:val="single" w:sz="4" w:space="0" w:color="auto"/>
              <w:right w:val="single" w:sz="4" w:space="0" w:color="auto"/>
            </w:tcBorders>
          </w:tcPr>
          <w:p w14:paraId="4C302385" w14:textId="7E3C9D5E" w:rsidR="00F33674" w:rsidRPr="00F33674" w:rsidRDefault="00F33674" w:rsidP="00F33674">
            <w:pPr>
              <w:rPr>
                <w:rFonts w:ascii="Arial Narrow" w:hAnsi="Arial Narrow" w:cs="Arial"/>
                <w:sz w:val="20"/>
                <w:szCs w:val="20"/>
              </w:rPr>
            </w:pPr>
            <w:r w:rsidRPr="00F33674">
              <w:rPr>
                <w:rFonts w:ascii="Arial Narrow" w:hAnsi="Arial Narrow" w:cs="Arial"/>
                <w:sz w:val="20"/>
                <w:szCs w:val="20"/>
              </w:rPr>
              <w:fldChar w:fldCharType="begin">
                <w:ffData>
                  <w:name w:val=""/>
                  <w:enabled/>
                  <w:calcOnExit w:val="0"/>
                  <w:checkBox>
                    <w:sizeAuto/>
                    <w:default w:val="1"/>
                  </w:checkBox>
                </w:ffData>
              </w:fldChar>
            </w:r>
            <w:r w:rsidRPr="00F33674">
              <w:rPr>
                <w:rFonts w:ascii="Arial Narrow" w:hAnsi="Arial Narrow" w:cs="Arial"/>
                <w:sz w:val="20"/>
                <w:szCs w:val="20"/>
              </w:rPr>
              <w:instrText xml:space="preserve"> FORMCHECKBOX </w:instrText>
            </w:r>
            <w:r w:rsidR="00233D13">
              <w:rPr>
                <w:rFonts w:ascii="Arial Narrow" w:hAnsi="Arial Narrow" w:cs="Arial"/>
                <w:sz w:val="20"/>
                <w:szCs w:val="20"/>
              </w:rPr>
            </w:r>
            <w:r w:rsidR="00233D13">
              <w:rPr>
                <w:rFonts w:ascii="Arial Narrow" w:hAnsi="Arial Narrow" w:cs="Arial"/>
                <w:sz w:val="20"/>
                <w:szCs w:val="20"/>
              </w:rPr>
              <w:fldChar w:fldCharType="separate"/>
            </w:r>
            <w:r w:rsidRPr="00F33674">
              <w:rPr>
                <w:rFonts w:ascii="Arial Narrow" w:hAnsi="Arial Narrow" w:cs="Arial"/>
                <w:sz w:val="20"/>
                <w:szCs w:val="20"/>
              </w:rPr>
              <w:fldChar w:fldCharType="end"/>
            </w:r>
            <w:r w:rsidRPr="00F33674">
              <w:rPr>
                <w:rFonts w:ascii="Arial Narrow" w:hAnsi="Arial Narrow" w:cs="Arial"/>
                <w:sz w:val="20"/>
                <w:szCs w:val="20"/>
              </w:rPr>
              <w:t>Dental</w:t>
            </w:r>
            <w:r w:rsidR="002C1329">
              <w:rPr>
                <w:rFonts w:ascii="Arial Narrow" w:hAnsi="Arial Narrow" w:cs="Arial"/>
                <w:sz w:val="20"/>
                <w:szCs w:val="20"/>
              </w:rPr>
              <w:t xml:space="preserve"> </w:t>
            </w:r>
            <w:r w:rsidRPr="00F33674">
              <w:rPr>
                <w:rFonts w:ascii="Arial Narrow" w:hAnsi="Arial Narrow" w:cs="Arial"/>
                <w:sz w:val="20"/>
                <w:szCs w:val="20"/>
              </w:rPr>
              <w:fldChar w:fldCharType="begin">
                <w:ffData>
                  <w:name w:val=""/>
                  <w:enabled/>
                  <w:calcOnExit w:val="0"/>
                  <w:checkBox>
                    <w:sizeAuto/>
                    <w:default w:val="0"/>
                  </w:checkBox>
                </w:ffData>
              </w:fldChar>
            </w:r>
            <w:r w:rsidRPr="00F33674">
              <w:rPr>
                <w:rFonts w:ascii="Arial Narrow" w:hAnsi="Arial Narrow" w:cs="Arial"/>
                <w:sz w:val="20"/>
                <w:szCs w:val="20"/>
              </w:rPr>
              <w:instrText xml:space="preserve"> FORMCHECKBOX </w:instrText>
            </w:r>
            <w:r w:rsidR="00233D13">
              <w:rPr>
                <w:rFonts w:ascii="Arial Narrow" w:hAnsi="Arial Narrow" w:cs="Arial"/>
                <w:sz w:val="20"/>
                <w:szCs w:val="20"/>
              </w:rPr>
            </w:r>
            <w:r w:rsidR="00233D13">
              <w:rPr>
                <w:rFonts w:ascii="Arial Narrow" w:hAnsi="Arial Narrow" w:cs="Arial"/>
                <w:sz w:val="20"/>
                <w:szCs w:val="20"/>
              </w:rPr>
              <w:fldChar w:fldCharType="separate"/>
            </w:r>
            <w:r w:rsidRPr="00F33674">
              <w:rPr>
                <w:rFonts w:ascii="Arial Narrow" w:hAnsi="Arial Narrow" w:cs="Arial"/>
                <w:sz w:val="20"/>
                <w:szCs w:val="20"/>
              </w:rPr>
              <w:fldChar w:fldCharType="end"/>
            </w:r>
            <w:r w:rsidRPr="00F33674">
              <w:rPr>
                <w:rFonts w:ascii="Arial Narrow" w:hAnsi="Arial Narrow" w:cs="Arial"/>
                <w:sz w:val="20"/>
                <w:szCs w:val="20"/>
              </w:rPr>
              <w:t>Medical Practitioners</w:t>
            </w:r>
            <w:r w:rsidR="002C1329">
              <w:rPr>
                <w:rFonts w:ascii="Arial Narrow" w:hAnsi="Arial Narrow" w:cs="Arial"/>
                <w:sz w:val="20"/>
                <w:szCs w:val="20"/>
              </w:rPr>
              <w:t xml:space="preserve"> </w:t>
            </w:r>
            <w:r w:rsidRPr="00F33674">
              <w:rPr>
                <w:rFonts w:ascii="Arial Narrow" w:hAnsi="Arial Narrow" w:cs="Arial"/>
                <w:sz w:val="20"/>
                <w:szCs w:val="20"/>
              </w:rPr>
              <w:fldChar w:fldCharType="begin">
                <w:ffData>
                  <w:name w:val=""/>
                  <w:enabled/>
                  <w:calcOnExit w:val="0"/>
                  <w:checkBox>
                    <w:sizeAuto/>
                    <w:default w:val="0"/>
                  </w:checkBox>
                </w:ffData>
              </w:fldChar>
            </w:r>
            <w:r w:rsidRPr="00F33674">
              <w:rPr>
                <w:rFonts w:ascii="Arial Narrow" w:hAnsi="Arial Narrow" w:cs="Arial"/>
                <w:sz w:val="20"/>
                <w:szCs w:val="20"/>
              </w:rPr>
              <w:instrText xml:space="preserve"> FORMCHECKBOX </w:instrText>
            </w:r>
            <w:r w:rsidR="00233D13">
              <w:rPr>
                <w:rFonts w:ascii="Arial Narrow" w:hAnsi="Arial Narrow" w:cs="Arial"/>
                <w:sz w:val="20"/>
                <w:szCs w:val="20"/>
              </w:rPr>
            </w:r>
            <w:r w:rsidR="00233D13">
              <w:rPr>
                <w:rFonts w:ascii="Arial Narrow" w:hAnsi="Arial Narrow" w:cs="Arial"/>
                <w:sz w:val="20"/>
                <w:szCs w:val="20"/>
              </w:rPr>
              <w:fldChar w:fldCharType="separate"/>
            </w:r>
            <w:r w:rsidRPr="00F33674">
              <w:rPr>
                <w:rFonts w:ascii="Arial Narrow" w:hAnsi="Arial Narrow" w:cs="Arial"/>
                <w:sz w:val="20"/>
                <w:szCs w:val="20"/>
              </w:rPr>
              <w:fldChar w:fldCharType="end"/>
            </w:r>
            <w:r w:rsidRPr="00F33674">
              <w:rPr>
                <w:rFonts w:ascii="Arial Narrow" w:hAnsi="Arial Narrow" w:cs="Arial"/>
                <w:sz w:val="20"/>
                <w:szCs w:val="20"/>
              </w:rPr>
              <w:t>Nurse practitioners</w:t>
            </w:r>
            <w:r w:rsidR="002C1329">
              <w:rPr>
                <w:rFonts w:ascii="Arial Narrow" w:hAnsi="Arial Narrow" w:cs="Arial"/>
                <w:sz w:val="20"/>
                <w:szCs w:val="20"/>
              </w:rPr>
              <w:t xml:space="preserve"> </w:t>
            </w:r>
            <w:r w:rsidRPr="00F33674">
              <w:rPr>
                <w:rFonts w:ascii="Arial Narrow" w:hAnsi="Arial Narrow" w:cs="Arial"/>
                <w:sz w:val="20"/>
                <w:szCs w:val="20"/>
              </w:rPr>
              <w:fldChar w:fldCharType="begin">
                <w:ffData>
                  <w:name w:val=""/>
                  <w:enabled/>
                  <w:calcOnExit w:val="0"/>
                  <w:checkBox>
                    <w:sizeAuto/>
                    <w:default w:val="0"/>
                  </w:checkBox>
                </w:ffData>
              </w:fldChar>
            </w:r>
            <w:r w:rsidRPr="00F33674">
              <w:rPr>
                <w:rFonts w:ascii="Arial Narrow" w:hAnsi="Arial Narrow" w:cs="Arial"/>
                <w:sz w:val="20"/>
                <w:szCs w:val="20"/>
              </w:rPr>
              <w:instrText xml:space="preserve"> FORMCHECKBOX </w:instrText>
            </w:r>
            <w:r w:rsidR="00233D13">
              <w:rPr>
                <w:rFonts w:ascii="Arial Narrow" w:hAnsi="Arial Narrow" w:cs="Arial"/>
                <w:sz w:val="20"/>
                <w:szCs w:val="20"/>
              </w:rPr>
            </w:r>
            <w:r w:rsidR="00233D13">
              <w:rPr>
                <w:rFonts w:ascii="Arial Narrow" w:hAnsi="Arial Narrow" w:cs="Arial"/>
                <w:sz w:val="20"/>
                <w:szCs w:val="20"/>
              </w:rPr>
              <w:fldChar w:fldCharType="separate"/>
            </w:r>
            <w:r w:rsidRPr="00F33674">
              <w:rPr>
                <w:rFonts w:ascii="Arial Narrow" w:hAnsi="Arial Narrow" w:cs="Arial"/>
                <w:sz w:val="20"/>
                <w:szCs w:val="20"/>
              </w:rPr>
              <w:fldChar w:fldCharType="end"/>
            </w:r>
            <w:r w:rsidRPr="00F33674">
              <w:rPr>
                <w:rFonts w:ascii="Arial Narrow" w:hAnsi="Arial Narrow" w:cs="Arial"/>
                <w:sz w:val="20"/>
                <w:szCs w:val="20"/>
              </w:rPr>
              <w:t>Optometrists</w:t>
            </w:r>
          </w:p>
          <w:p w14:paraId="6DCF74F6" w14:textId="77777777" w:rsidR="00F33674" w:rsidRPr="00F33674" w:rsidRDefault="00F33674" w:rsidP="00F33674">
            <w:pPr>
              <w:rPr>
                <w:rFonts w:ascii="Arial Narrow" w:hAnsi="Arial Narrow" w:cs="Arial"/>
                <w:sz w:val="20"/>
                <w:szCs w:val="20"/>
              </w:rPr>
            </w:pPr>
            <w:r w:rsidRPr="00F33674">
              <w:rPr>
                <w:rFonts w:ascii="Arial Narrow" w:hAnsi="Arial Narrow" w:cs="Arial"/>
                <w:sz w:val="20"/>
                <w:szCs w:val="20"/>
              </w:rPr>
              <w:fldChar w:fldCharType="begin">
                <w:ffData>
                  <w:name w:val="Check5"/>
                  <w:enabled/>
                  <w:calcOnExit w:val="0"/>
                  <w:checkBox>
                    <w:sizeAuto/>
                    <w:default w:val="0"/>
                  </w:checkBox>
                </w:ffData>
              </w:fldChar>
            </w:r>
            <w:r w:rsidRPr="00F33674">
              <w:rPr>
                <w:rFonts w:ascii="Arial Narrow" w:hAnsi="Arial Narrow" w:cs="Arial"/>
                <w:sz w:val="20"/>
                <w:szCs w:val="20"/>
              </w:rPr>
              <w:instrText xml:space="preserve"> FORMCHECKBOX </w:instrText>
            </w:r>
            <w:r w:rsidR="00233D13">
              <w:rPr>
                <w:rFonts w:ascii="Arial Narrow" w:hAnsi="Arial Narrow" w:cs="Arial"/>
                <w:sz w:val="20"/>
                <w:szCs w:val="20"/>
              </w:rPr>
            </w:r>
            <w:r w:rsidR="00233D13">
              <w:rPr>
                <w:rFonts w:ascii="Arial Narrow" w:hAnsi="Arial Narrow" w:cs="Arial"/>
                <w:sz w:val="20"/>
                <w:szCs w:val="20"/>
              </w:rPr>
              <w:fldChar w:fldCharType="separate"/>
            </w:r>
            <w:r w:rsidRPr="00F33674">
              <w:rPr>
                <w:rFonts w:ascii="Arial Narrow" w:hAnsi="Arial Narrow" w:cs="Arial"/>
                <w:sz w:val="20"/>
                <w:szCs w:val="20"/>
              </w:rPr>
              <w:fldChar w:fldCharType="end"/>
            </w:r>
            <w:r w:rsidRPr="00F33674">
              <w:rPr>
                <w:rFonts w:ascii="Arial Narrow" w:hAnsi="Arial Narrow" w:cs="Arial"/>
                <w:sz w:val="20"/>
                <w:szCs w:val="20"/>
              </w:rPr>
              <w:t>Midwives</w:t>
            </w:r>
          </w:p>
        </w:tc>
      </w:tr>
      <w:tr w:rsidR="00F33674" w:rsidRPr="00F33674" w14:paraId="52FE9FF3" w14:textId="77777777" w:rsidTr="00F33674">
        <w:trPr>
          <w:cantSplit/>
          <w:trHeight w:val="369"/>
        </w:trPr>
        <w:tc>
          <w:tcPr>
            <w:tcW w:w="2835" w:type="dxa"/>
            <w:tcBorders>
              <w:top w:val="single" w:sz="4" w:space="0" w:color="auto"/>
              <w:left w:val="single" w:sz="4" w:space="0" w:color="auto"/>
              <w:bottom w:val="single" w:sz="4" w:space="0" w:color="auto"/>
              <w:right w:val="single" w:sz="4" w:space="0" w:color="auto"/>
            </w:tcBorders>
          </w:tcPr>
          <w:p w14:paraId="500FAA4D" w14:textId="77777777" w:rsidR="00F33674" w:rsidRPr="00F33674" w:rsidRDefault="00F33674" w:rsidP="00F33674">
            <w:pPr>
              <w:rPr>
                <w:rFonts w:ascii="Arial Narrow" w:hAnsi="Arial Narrow" w:cs="Arial"/>
                <w:b/>
                <w:sz w:val="20"/>
                <w:szCs w:val="20"/>
              </w:rPr>
            </w:pPr>
            <w:r w:rsidRPr="00F33674">
              <w:rPr>
                <w:rFonts w:ascii="Arial Narrow" w:hAnsi="Arial Narrow" w:cs="Arial"/>
                <w:b/>
                <w:sz w:val="20"/>
                <w:szCs w:val="20"/>
              </w:rPr>
              <w:t>PBS indication:</w:t>
            </w:r>
          </w:p>
        </w:tc>
        <w:tc>
          <w:tcPr>
            <w:tcW w:w="6379" w:type="dxa"/>
            <w:tcBorders>
              <w:top w:val="single" w:sz="4" w:space="0" w:color="auto"/>
              <w:left w:val="single" w:sz="4" w:space="0" w:color="auto"/>
              <w:bottom w:val="single" w:sz="4" w:space="0" w:color="auto"/>
              <w:right w:val="single" w:sz="4" w:space="0" w:color="auto"/>
            </w:tcBorders>
          </w:tcPr>
          <w:p w14:paraId="04051B8D" w14:textId="77777777" w:rsidR="00F33674" w:rsidRPr="00F33674" w:rsidRDefault="00F33674" w:rsidP="00F33674">
            <w:pPr>
              <w:rPr>
                <w:rFonts w:ascii="Arial Narrow" w:hAnsi="Arial Narrow" w:cs="Arial"/>
                <w:sz w:val="20"/>
                <w:szCs w:val="20"/>
              </w:rPr>
            </w:pPr>
            <w:r w:rsidRPr="00F33674">
              <w:rPr>
                <w:rFonts w:ascii="Arial Narrow" w:hAnsi="Arial Narrow" w:cs="Arial"/>
                <w:sz w:val="20"/>
                <w:szCs w:val="20"/>
              </w:rPr>
              <w:t>[7861] Severe pain</w:t>
            </w:r>
          </w:p>
        </w:tc>
      </w:tr>
      <w:tr w:rsidR="00F33674" w:rsidRPr="00F33674" w14:paraId="1BB7F5F3" w14:textId="77777777" w:rsidTr="00F33674">
        <w:trPr>
          <w:cantSplit/>
          <w:trHeight w:val="360"/>
        </w:trPr>
        <w:tc>
          <w:tcPr>
            <w:tcW w:w="2835" w:type="dxa"/>
            <w:tcBorders>
              <w:top w:val="single" w:sz="4" w:space="0" w:color="auto"/>
              <w:left w:val="single" w:sz="4" w:space="0" w:color="auto"/>
              <w:bottom w:val="single" w:sz="4" w:space="0" w:color="auto"/>
              <w:right w:val="single" w:sz="4" w:space="0" w:color="auto"/>
            </w:tcBorders>
          </w:tcPr>
          <w:p w14:paraId="0D4B222B" w14:textId="77777777" w:rsidR="00F33674" w:rsidRPr="00F33674" w:rsidRDefault="00F33674" w:rsidP="00F33674">
            <w:pPr>
              <w:rPr>
                <w:rFonts w:ascii="Arial Narrow" w:hAnsi="Arial Narrow" w:cs="Arial"/>
                <w:b/>
                <w:sz w:val="20"/>
                <w:szCs w:val="20"/>
              </w:rPr>
            </w:pPr>
            <w:r w:rsidRPr="00F33674">
              <w:rPr>
                <w:rFonts w:ascii="Arial Narrow" w:hAnsi="Arial Narrow" w:cs="Arial"/>
                <w:b/>
                <w:sz w:val="20"/>
                <w:szCs w:val="20"/>
              </w:rPr>
              <w:t>Restriction Level / Method:</w:t>
            </w:r>
          </w:p>
          <w:p w14:paraId="166A8CE3" w14:textId="77777777" w:rsidR="00F33674" w:rsidRPr="00F33674" w:rsidRDefault="00F33674" w:rsidP="00F33674">
            <w:pPr>
              <w:rPr>
                <w:rFonts w:ascii="Arial Narrow" w:hAnsi="Arial Narrow" w:cs="Arial"/>
                <w:i/>
                <w:sz w:val="20"/>
                <w:szCs w:val="20"/>
              </w:rPr>
            </w:pPr>
          </w:p>
          <w:p w14:paraId="10AB9BF6" w14:textId="77777777" w:rsidR="00F33674" w:rsidRPr="00F33674" w:rsidRDefault="00F33674" w:rsidP="00F33674">
            <w:pPr>
              <w:rPr>
                <w:rFonts w:ascii="Arial Narrow" w:hAnsi="Arial Narrow" w:cs="Arial"/>
                <w:i/>
                <w:sz w:val="20"/>
                <w:szCs w:val="20"/>
              </w:rPr>
            </w:pPr>
          </w:p>
          <w:p w14:paraId="228AE863" w14:textId="77777777" w:rsidR="00F33674" w:rsidRPr="00F33674" w:rsidRDefault="00F33674" w:rsidP="00F33674">
            <w:pPr>
              <w:rPr>
                <w:rFonts w:ascii="Arial Narrow" w:hAnsi="Arial Narrow" w:cs="Arial"/>
                <w:i/>
                <w:sz w:val="20"/>
                <w:szCs w:val="20"/>
              </w:rPr>
            </w:pPr>
          </w:p>
        </w:tc>
        <w:tc>
          <w:tcPr>
            <w:tcW w:w="6379" w:type="dxa"/>
            <w:tcBorders>
              <w:top w:val="single" w:sz="4" w:space="0" w:color="auto"/>
              <w:left w:val="single" w:sz="4" w:space="0" w:color="auto"/>
              <w:bottom w:val="single" w:sz="4" w:space="0" w:color="auto"/>
              <w:right w:val="single" w:sz="4" w:space="0" w:color="auto"/>
            </w:tcBorders>
          </w:tcPr>
          <w:p w14:paraId="4601E466" w14:textId="77777777" w:rsidR="00F33674" w:rsidRPr="00F33674" w:rsidRDefault="00F33674" w:rsidP="00F33674">
            <w:pPr>
              <w:rPr>
                <w:rFonts w:ascii="Arial Narrow" w:hAnsi="Arial Narrow" w:cs="Arial"/>
                <w:sz w:val="20"/>
                <w:szCs w:val="20"/>
              </w:rPr>
            </w:pPr>
            <w:r w:rsidRPr="00F33674">
              <w:rPr>
                <w:rFonts w:ascii="Arial Narrow" w:hAnsi="Arial Narrow" w:cs="Arial"/>
                <w:sz w:val="20"/>
                <w:szCs w:val="20"/>
              </w:rPr>
              <w:fldChar w:fldCharType="begin">
                <w:ffData>
                  <w:name w:val=""/>
                  <w:enabled/>
                  <w:calcOnExit w:val="0"/>
                  <w:checkBox>
                    <w:sizeAuto/>
                    <w:default w:val="0"/>
                  </w:checkBox>
                </w:ffData>
              </w:fldChar>
            </w:r>
            <w:r w:rsidRPr="00F33674">
              <w:rPr>
                <w:rFonts w:ascii="Arial Narrow" w:hAnsi="Arial Narrow" w:cs="Arial"/>
                <w:sz w:val="20"/>
                <w:szCs w:val="20"/>
              </w:rPr>
              <w:instrText xml:space="preserve"> FORMCHECKBOX </w:instrText>
            </w:r>
            <w:r w:rsidR="00233D13">
              <w:rPr>
                <w:rFonts w:ascii="Arial Narrow" w:hAnsi="Arial Narrow" w:cs="Arial"/>
                <w:sz w:val="20"/>
                <w:szCs w:val="20"/>
              </w:rPr>
            </w:r>
            <w:r w:rsidR="00233D13">
              <w:rPr>
                <w:rFonts w:ascii="Arial Narrow" w:hAnsi="Arial Narrow" w:cs="Arial"/>
                <w:sz w:val="20"/>
                <w:szCs w:val="20"/>
              </w:rPr>
              <w:fldChar w:fldCharType="separate"/>
            </w:r>
            <w:r w:rsidRPr="00F33674">
              <w:rPr>
                <w:rFonts w:ascii="Arial Narrow" w:hAnsi="Arial Narrow" w:cs="Arial"/>
                <w:sz w:val="20"/>
                <w:szCs w:val="20"/>
              </w:rPr>
              <w:fldChar w:fldCharType="end"/>
            </w:r>
            <w:r w:rsidRPr="00F33674">
              <w:rPr>
                <w:rFonts w:ascii="Arial Narrow" w:hAnsi="Arial Narrow" w:cs="Arial"/>
                <w:sz w:val="20"/>
                <w:szCs w:val="20"/>
              </w:rPr>
              <w:t>Unrestricted benefit</w:t>
            </w:r>
          </w:p>
          <w:p w14:paraId="51A3ED01" w14:textId="77777777" w:rsidR="00F33674" w:rsidRPr="00F33674" w:rsidRDefault="00F33674" w:rsidP="00F33674">
            <w:pPr>
              <w:rPr>
                <w:rFonts w:ascii="Arial Narrow" w:hAnsi="Arial Narrow" w:cs="Arial"/>
                <w:i/>
                <w:sz w:val="20"/>
                <w:szCs w:val="20"/>
              </w:rPr>
            </w:pPr>
            <w:r w:rsidRPr="00F33674">
              <w:rPr>
                <w:rFonts w:ascii="Arial Narrow" w:hAnsi="Arial Narrow" w:cs="Arial"/>
                <w:i/>
                <w:sz w:val="20"/>
                <w:szCs w:val="20"/>
              </w:rPr>
              <w:fldChar w:fldCharType="begin">
                <w:ffData>
                  <w:name w:val="Check1"/>
                  <w:enabled/>
                  <w:calcOnExit w:val="0"/>
                  <w:checkBox>
                    <w:sizeAuto/>
                    <w:default w:val="1"/>
                  </w:checkBox>
                </w:ffData>
              </w:fldChar>
            </w:r>
            <w:r w:rsidRPr="00F33674">
              <w:rPr>
                <w:rFonts w:ascii="Arial Narrow" w:hAnsi="Arial Narrow" w:cs="Arial"/>
                <w:i/>
                <w:sz w:val="20"/>
                <w:szCs w:val="20"/>
              </w:rPr>
              <w:instrText xml:space="preserve"> FORMCHECKBOX </w:instrText>
            </w:r>
            <w:r w:rsidR="00233D13">
              <w:rPr>
                <w:rFonts w:ascii="Arial Narrow" w:hAnsi="Arial Narrow" w:cs="Arial"/>
                <w:i/>
                <w:sz w:val="20"/>
                <w:szCs w:val="20"/>
              </w:rPr>
            </w:r>
            <w:r w:rsidR="00233D13">
              <w:rPr>
                <w:rFonts w:ascii="Arial Narrow" w:hAnsi="Arial Narrow" w:cs="Arial"/>
                <w:i/>
                <w:sz w:val="20"/>
                <w:szCs w:val="20"/>
              </w:rPr>
              <w:fldChar w:fldCharType="separate"/>
            </w:r>
            <w:r w:rsidRPr="00F33674">
              <w:rPr>
                <w:rFonts w:ascii="Arial Narrow" w:hAnsi="Arial Narrow" w:cs="Arial"/>
                <w:i/>
                <w:sz w:val="20"/>
                <w:szCs w:val="20"/>
              </w:rPr>
              <w:fldChar w:fldCharType="end"/>
            </w:r>
            <w:r w:rsidRPr="00F33674">
              <w:rPr>
                <w:rFonts w:ascii="Arial Narrow" w:hAnsi="Arial Narrow" w:cs="Arial"/>
                <w:sz w:val="20"/>
                <w:szCs w:val="20"/>
              </w:rPr>
              <w:t>Restricted benefit</w:t>
            </w:r>
          </w:p>
          <w:p w14:paraId="18C811F0" w14:textId="77777777" w:rsidR="00F33674" w:rsidRPr="00F33674" w:rsidRDefault="00F33674" w:rsidP="00F33674">
            <w:pPr>
              <w:rPr>
                <w:rFonts w:ascii="Arial Narrow" w:hAnsi="Arial Narrow" w:cs="Arial"/>
                <w:sz w:val="20"/>
                <w:szCs w:val="20"/>
              </w:rPr>
            </w:pPr>
            <w:r w:rsidRPr="00F33674">
              <w:rPr>
                <w:rFonts w:ascii="Arial Narrow" w:hAnsi="Arial Narrow" w:cs="Arial"/>
                <w:sz w:val="20"/>
                <w:szCs w:val="20"/>
              </w:rPr>
              <w:fldChar w:fldCharType="begin">
                <w:ffData>
                  <w:name w:val=""/>
                  <w:enabled/>
                  <w:calcOnExit w:val="0"/>
                  <w:checkBox>
                    <w:sizeAuto/>
                    <w:default w:val="0"/>
                  </w:checkBox>
                </w:ffData>
              </w:fldChar>
            </w:r>
            <w:r w:rsidRPr="00F33674">
              <w:rPr>
                <w:rFonts w:ascii="Arial Narrow" w:hAnsi="Arial Narrow" w:cs="Arial"/>
                <w:sz w:val="20"/>
                <w:szCs w:val="20"/>
              </w:rPr>
              <w:instrText xml:space="preserve"> FORMCHECKBOX </w:instrText>
            </w:r>
            <w:r w:rsidR="00233D13">
              <w:rPr>
                <w:rFonts w:ascii="Arial Narrow" w:hAnsi="Arial Narrow" w:cs="Arial"/>
                <w:sz w:val="20"/>
                <w:szCs w:val="20"/>
              </w:rPr>
            </w:r>
            <w:r w:rsidR="00233D13">
              <w:rPr>
                <w:rFonts w:ascii="Arial Narrow" w:hAnsi="Arial Narrow" w:cs="Arial"/>
                <w:sz w:val="20"/>
                <w:szCs w:val="20"/>
              </w:rPr>
              <w:fldChar w:fldCharType="separate"/>
            </w:r>
            <w:r w:rsidRPr="00F33674">
              <w:rPr>
                <w:rFonts w:ascii="Arial Narrow" w:hAnsi="Arial Narrow" w:cs="Arial"/>
                <w:sz w:val="20"/>
                <w:szCs w:val="20"/>
              </w:rPr>
              <w:fldChar w:fldCharType="end"/>
            </w:r>
            <w:r w:rsidRPr="00F33674">
              <w:rPr>
                <w:rFonts w:ascii="Arial Narrow" w:hAnsi="Arial Narrow" w:cs="Arial"/>
                <w:sz w:val="20"/>
                <w:szCs w:val="20"/>
              </w:rPr>
              <w:t>Authority Required – In Writing</w:t>
            </w:r>
          </w:p>
          <w:p w14:paraId="4E64DE1B" w14:textId="77777777" w:rsidR="00F33674" w:rsidRPr="00F33674" w:rsidRDefault="00F33674" w:rsidP="00F33674">
            <w:pPr>
              <w:rPr>
                <w:rFonts w:ascii="Arial Narrow" w:hAnsi="Arial Narrow" w:cs="Arial"/>
                <w:sz w:val="20"/>
                <w:szCs w:val="20"/>
              </w:rPr>
            </w:pPr>
            <w:r w:rsidRPr="00F33674">
              <w:rPr>
                <w:rFonts w:ascii="Arial Narrow" w:hAnsi="Arial Narrow" w:cs="Arial"/>
                <w:sz w:val="20"/>
                <w:szCs w:val="20"/>
              </w:rPr>
              <w:fldChar w:fldCharType="begin">
                <w:ffData>
                  <w:name w:val="Check3"/>
                  <w:enabled/>
                  <w:calcOnExit w:val="0"/>
                  <w:checkBox>
                    <w:sizeAuto/>
                    <w:default w:val="0"/>
                  </w:checkBox>
                </w:ffData>
              </w:fldChar>
            </w:r>
            <w:r w:rsidRPr="00F33674">
              <w:rPr>
                <w:rFonts w:ascii="Arial Narrow" w:hAnsi="Arial Narrow" w:cs="Arial"/>
                <w:sz w:val="20"/>
                <w:szCs w:val="20"/>
              </w:rPr>
              <w:instrText xml:space="preserve"> FORMCHECKBOX </w:instrText>
            </w:r>
            <w:r w:rsidR="00233D13">
              <w:rPr>
                <w:rFonts w:ascii="Arial Narrow" w:hAnsi="Arial Narrow" w:cs="Arial"/>
                <w:sz w:val="20"/>
                <w:szCs w:val="20"/>
              </w:rPr>
            </w:r>
            <w:r w:rsidR="00233D13">
              <w:rPr>
                <w:rFonts w:ascii="Arial Narrow" w:hAnsi="Arial Narrow" w:cs="Arial"/>
                <w:sz w:val="20"/>
                <w:szCs w:val="20"/>
              </w:rPr>
              <w:fldChar w:fldCharType="separate"/>
            </w:r>
            <w:r w:rsidRPr="00F33674">
              <w:rPr>
                <w:rFonts w:ascii="Arial Narrow" w:hAnsi="Arial Narrow" w:cs="Arial"/>
                <w:sz w:val="20"/>
                <w:szCs w:val="20"/>
              </w:rPr>
              <w:fldChar w:fldCharType="end"/>
            </w:r>
            <w:r w:rsidRPr="00F33674">
              <w:rPr>
                <w:rFonts w:ascii="Arial Narrow" w:hAnsi="Arial Narrow" w:cs="Arial"/>
                <w:sz w:val="20"/>
                <w:szCs w:val="20"/>
              </w:rPr>
              <w:t>Authority Required – Telephone/Electronic/Emergency</w:t>
            </w:r>
          </w:p>
          <w:p w14:paraId="0EA99B50" w14:textId="77777777" w:rsidR="00F33674" w:rsidRPr="00F33674" w:rsidRDefault="00F33674" w:rsidP="00F33674">
            <w:pPr>
              <w:rPr>
                <w:rFonts w:ascii="Arial Narrow" w:hAnsi="Arial Narrow" w:cs="Arial"/>
                <w:sz w:val="20"/>
                <w:szCs w:val="20"/>
              </w:rPr>
            </w:pPr>
            <w:r w:rsidRPr="00F33674">
              <w:rPr>
                <w:rFonts w:ascii="Arial Narrow" w:hAnsi="Arial Narrow" w:cs="Arial"/>
                <w:sz w:val="20"/>
                <w:szCs w:val="20"/>
              </w:rPr>
              <w:fldChar w:fldCharType="begin">
                <w:ffData>
                  <w:name w:val="Check5"/>
                  <w:enabled/>
                  <w:calcOnExit w:val="0"/>
                  <w:checkBox>
                    <w:sizeAuto/>
                    <w:default w:val="0"/>
                  </w:checkBox>
                </w:ffData>
              </w:fldChar>
            </w:r>
            <w:r w:rsidRPr="00F33674">
              <w:rPr>
                <w:rFonts w:ascii="Arial Narrow" w:hAnsi="Arial Narrow" w:cs="Arial"/>
                <w:sz w:val="20"/>
                <w:szCs w:val="20"/>
              </w:rPr>
              <w:instrText xml:space="preserve"> FORMCHECKBOX </w:instrText>
            </w:r>
            <w:r w:rsidR="00233D13">
              <w:rPr>
                <w:rFonts w:ascii="Arial Narrow" w:hAnsi="Arial Narrow" w:cs="Arial"/>
                <w:sz w:val="20"/>
                <w:szCs w:val="20"/>
              </w:rPr>
            </w:r>
            <w:r w:rsidR="00233D13">
              <w:rPr>
                <w:rFonts w:ascii="Arial Narrow" w:hAnsi="Arial Narrow" w:cs="Arial"/>
                <w:sz w:val="20"/>
                <w:szCs w:val="20"/>
              </w:rPr>
              <w:fldChar w:fldCharType="separate"/>
            </w:r>
            <w:r w:rsidRPr="00F33674">
              <w:rPr>
                <w:rFonts w:ascii="Arial Narrow" w:hAnsi="Arial Narrow" w:cs="Arial"/>
                <w:sz w:val="20"/>
                <w:szCs w:val="20"/>
              </w:rPr>
              <w:fldChar w:fldCharType="end"/>
            </w:r>
            <w:r w:rsidRPr="00F33674">
              <w:rPr>
                <w:rFonts w:ascii="Arial Narrow" w:hAnsi="Arial Narrow" w:cs="Arial"/>
                <w:sz w:val="20"/>
                <w:szCs w:val="20"/>
              </w:rPr>
              <w:t>Streamlined</w:t>
            </w:r>
          </w:p>
        </w:tc>
      </w:tr>
      <w:tr w:rsidR="00F33674" w:rsidRPr="00F33674" w14:paraId="7C999D7B" w14:textId="77777777" w:rsidTr="00F33674">
        <w:trPr>
          <w:cantSplit/>
          <w:trHeight w:val="360"/>
        </w:trPr>
        <w:tc>
          <w:tcPr>
            <w:tcW w:w="2835" w:type="dxa"/>
            <w:tcBorders>
              <w:top w:val="single" w:sz="4" w:space="0" w:color="auto"/>
              <w:left w:val="single" w:sz="4" w:space="0" w:color="auto"/>
              <w:bottom w:val="single" w:sz="4" w:space="0" w:color="auto"/>
              <w:right w:val="single" w:sz="4" w:space="0" w:color="auto"/>
            </w:tcBorders>
          </w:tcPr>
          <w:p w14:paraId="7B63335B" w14:textId="77777777" w:rsidR="00F33674" w:rsidRPr="00F33674" w:rsidRDefault="00F33674" w:rsidP="00F33674">
            <w:pPr>
              <w:rPr>
                <w:rFonts w:ascii="Arial Narrow" w:hAnsi="Arial Narrow" w:cs="Arial"/>
                <w:b/>
                <w:sz w:val="20"/>
                <w:szCs w:val="20"/>
              </w:rPr>
            </w:pPr>
            <w:r w:rsidRPr="00F33674">
              <w:rPr>
                <w:rFonts w:ascii="Arial Narrow" w:hAnsi="Arial Narrow" w:cs="Arial"/>
                <w:b/>
                <w:sz w:val="20"/>
                <w:szCs w:val="20"/>
              </w:rPr>
              <w:t>Clinical criteria:</w:t>
            </w:r>
          </w:p>
        </w:tc>
        <w:tc>
          <w:tcPr>
            <w:tcW w:w="6379" w:type="dxa"/>
            <w:tcBorders>
              <w:top w:val="single" w:sz="4" w:space="0" w:color="auto"/>
              <w:left w:val="single" w:sz="4" w:space="0" w:color="auto"/>
              <w:bottom w:val="single" w:sz="4" w:space="0" w:color="auto"/>
              <w:right w:val="single" w:sz="4" w:space="0" w:color="auto"/>
            </w:tcBorders>
          </w:tcPr>
          <w:p w14:paraId="27B62039" w14:textId="77EF65DF" w:rsidR="00F33674" w:rsidRPr="00F33674" w:rsidRDefault="00F33674" w:rsidP="00F33674">
            <w:pPr>
              <w:jc w:val="left"/>
              <w:rPr>
                <w:rFonts w:ascii="Arial Narrow" w:hAnsi="Arial Narrow" w:cs="Arial"/>
                <w:sz w:val="20"/>
                <w:szCs w:val="20"/>
              </w:rPr>
            </w:pPr>
            <w:r w:rsidRPr="00F33674">
              <w:rPr>
                <w:rFonts w:ascii="Arial Narrow" w:hAnsi="Arial Narrow" w:cs="Arial"/>
                <w:sz w:val="20"/>
                <w:szCs w:val="20"/>
              </w:rPr>
              <w:t>[new] Patient must have</w:t>
            </w:r>
            <w:r w:rsidR="00C56B30">
              <w:rPr>
                <w:rFonts w:ascii="Arial Narrow" w:hAnsi="Arial Narrow" w:cs="Arial"/>
                <w:sz w:val="20"/>
                <w:szCs w:val="20"/>
              </w:rPr>
              <w:t xml:space="preserve"> had or would have</w:t>
            </w:r>
            <w:r w:rsidRPr="00F33674">
              <w:rPr>
                <w:rFonts w:ascii="Arial Narrow" w:hAnsi="Arial Narrow" w:cs="Arial"/>
                <w:sz w:val="20"/>
                <w:szCs w:val="20"/>
              </w:rPr>
              <w:t xml:space="preserve"> inadequate </w:t>
            </w:r>
            <w:r w:rsidR="00C56B30">
              <w:rPr>
                <w:rFonts w:ascii="Arial Narrow" w:hAnsi="Arial Narrow" w:cs="Arial"/>
                <w:sz w:val="20"/>
                <w:szCs w:val="20"/>
              </w:rPr>
              <w:t xml:space="preserve">pain </w:t>
            </w:r>
            <w:r w:rsidRPr="00F33674">
              <w:rPr>
                <w:rFonts w:ascii="Arial Narrow" w:hAnsi="Arial Narrow" w:cs="Arial"/>
                <w:sz w:val="20"/>
                <w:szCs w:val="20"/>
              </w:rPr>
              <w:t xml:space="preserve">management </w:t>
            </w:r>
            <w:r w:rsidR="00C56B30">
              <w:rPr>
                <w:rFonts w:ascii="Arial Narrow" w:hAnsi="Arial Narrow" w:cs="Arial"/>
                <w:sz w:val="20"/>
                <w:szCs w:val="20"/>
              </w:rPr>
              <w:t>with</w:t>
            </w:r>
            <w:r w:rsidRPr="00F33674">
              <w:rPr>
                <w:rFonts w:ascii="Arial Narrow" w:hAnsi="Arial Narrow" w:cs="Arial"/>
                <w:sz w:val="20"/>
                <w:szCs w:val="20"/>
              </w:rPr>
              <w:t xml:space="preserve"> maximum tolerated doses of non-opioid and other opioid analgesics</w:t>
            </w:r>
          </w:p>
          <w:p w14:paraId="10FEEF6B" w14:textId="77777777" w:rsidR="00F33674" w:rsidRPr="00F33674" w:rsidRDefault="00F33674" w:rsidP="00F33674">
            <w:pPr>
              <w:jc w:val="left"/>
              <w:rPr>
                <w:rFonts w:ascii="Arial Narrow" w:hAnsi="Arial Narrow" w:cs="Arial"/>
                <w:sz w:val="20"/>
                <w:szCs w:val="20"/>
              </w:rPr>
            </w:pPr>
          </w:p>
          <w:p w14:paraId="1F33A501" w14:textId="77777777" w:rsidR="00F33674" w:rsidRPr="00F33674" w:rsidRDefault="00F33674" w:rsidP="00F33674">
            <w:pPr>
              <w:jc w:val="left"/>
              <w:rPr>
                <w:rFonts w:ascii="Arial Narrow" w:hAnsi="Arial Narrow" w:cs="Arial"/>
                <w:sz w:val="20"/>
                <w:szCs w:val="20"/>
              </w:rPr>
            </w:pPr>
            <w:r w:rsidRPr="00F33674">
              <w:rPr>
                <w:rFonts w:ascii="Arial Narrow" w:hAnsi="Arial Narrow" w:cs="Arial"/>
                <w:sz w:val="20"/>
                <w:szCs w:val="20"/>
              </w:rPr>
              <w:t>OR</w:t>
            </w:r>
          </w:p>
          <w:p w14:paraId="604C8E5C" w14:textId="77777777" w:rsidR="00F33674" w:rsidRPr="00F33674" w:rsidRDefault="00F33674" w:rsidP="00F33674">
            <w:pPr>
              <w:jc w:val="left"/>
              <w:rPr>
                <w:rFonts w:ascii="Arial Narrow" w:hAnsi="Arial Narrow" w:cs="Arial"/>
                <w:sz w:val="20"/>
                <w:szCs w:val="20"/>
              </w:rPr>
            </w:pPr>
          </w:p>
          <w:p w14:paraId="73FE4492" w14:textId="0169CAD7" w:rsidR="00F33674" w:rsidRPr="00F33674" w:rsidRDefault="00F33674">
            <w:pPr>
              <w:jc w:val="left"/>
              <w:rPr>
                <w:rFonts w:ascii="Arial Narrow" w:hAnsi="Arial Narrow" w:cs="Arial"/>
                <w:i/>
                <w:sz w:val="20"/>
                <w:szCs w:val="20"/>
              </w:rPr>
            </w:pPr>
            <w:r w:rsidRPr="00F33674">
              <w:rPr>
                <w:rFonts w:ascii="Arial Narrow" w:hAnsi="Arial Narrow" w:cs="Arial"/>
                <w:sz w:val="20"/>
                <w:szCs w:val="20"/>
              </w:rPr>
              <w:t>[new] Patient must be unable to use non-opioid and other opioid analgesics due to contraindications or intolerance.</w:t>
            </w:r>
          </w:p>
        </w:tc>
      </w:tr>
      <w:tr w:rsidR="00F33674" w:rsidRPr="00F33674" w14:paraId="04F355E1" w14:textId="77777777" w:rsidTr="00F33674">
        <w:trPr>
          <w:cantSplit/>
          <w:trHeight w:val="360"/>
        </w:trPr>
        <w:tc>
          <w:tcPr>
            <w:tcW w:w="2835" w:type="dxa"/>
            <w:tcBorders>
              <w:top w:val="single" w:sz="4" w:space="0" w:color="auto"/>
              <w:left w:val="single" w:sz="4" w:space="0" w:color="auto"/>
              <w:bottom w:val="single" w:sz="4" w:space="0" w:color="auto"/>
              <w:right w:val="single" w:sz="4" w:space="0" w:color="auto"/>
            </w:tcBorders>
          </w:tcPr>
          <w:p w14:paraId="2C3B6F0C" w14:textId="77777777" w:rsidR="00F33674" w:rsidRPr="00F33674" w:rsidRDefault="00F33674" w:rsidP="00F33674">
            <w:pPr>
              <w:rPr>
                <w:rFonts w:ascii="Arial Narrow" w:hAnsi="Arial Narrow" w:cs="Arial"/>
                <w:b/>
                <w:sz w:val="20"/>
                <w:szCs w:val="20"/>
              </w:rPr>
            </w:pPr>
            <w:r w:rsidRPr="00F33674">
              <w:rPr>
                <w:rFonts w:ascii="Arial Narrow" w:hAnsi="Arial Narrow" w:cs="Arial"/>
                <w:b/>
                <w:sz w:val="20"/>
                <w:szCs w:val="20"/>
              </w:rPr>
              <w:t>Administrative advice:</w:t>
            </w:r>
          </w:p>
        </w:tc>
        <w:tc>
          <w:tcPr>
            <w:tcW w:w="6379" w:type="dxa"/>
            <w:tcBorders>
              <w:top w:val="single" w:sz="4" w:space="0" w:color="auto"/>
              <w:left w:val="single" w:sz="4" w:space="0" w:color="auto"/>
              <w:bottom w:val="single" w:sz="4" w:space="0" w:color="auto"/>
              <w:right w:val="single" w:sz="4" w:space="0" w:color="auto"/>
            </w:tcBorders>
          </w:tcPr>
          <w:p w14:paraId="7F1FE078" w14:textId="77777777" w:rsidR="00F33674" w:rsidRPr="00F33674" w:rsidRDefault="00F33674" w:rsidP="00F33674">
            <w:pPr>
              <w:jc w:val="left"/>
              <w:rPr>
                <w:rFonts w:ascii="Arial Narrow" w:hAnsi="Arial Narrow" w:cs="Arial"/>
                <w:sz w:val="20"/>
                <w:szCs w:val="20"/>
              </w:rPr>
            </w:pPr>
            <w:r w:rsidRPr="00F33674">
              <w:rPr>
                <w:rFonts w:ascii="Arial Narrow" w:hAnsi="Arial Narrow" w:cs="Arial"/>
                <w:sz w:val="20"/>
                <w:szCs w:val="20"/>
              </w:rPr>
              <w:t xml:space="preserve">[13808] Prescribing of drugs of addiction by dentists </w:t>
            </w:r>
            <w:proofErr w:type="gramStart"/>
            <w:r w:rsidRPr="00F33674">
              <w:rPr>
                <w:rFonts w:ascii="Arial Narrow" w:hAnsi="Arial Narrow" w:cs="Arial"/>
                <w:sz w:val="20"/>
                <w:szCs w:val="20"/>
              </w:rPr>
              <w:t>is not permitted</w:t>
            </w:r>
            <w:proofErr w:type="gramEnd"/>
            <w:r w:rsidRPr="00F33674">
              <w:rPr>
                <w:rFonts w:ascii="Arial Narrow" w:hAnsi="Arial Narrow" w:cs="Arial"/>
                <w:sz w:val="20"/>
                <w:szCs w:val="20"/>
              </w:rPr>
              <w:t xml:space="preserve"> in some States/Territories.</w:t>
            </w:r>
          </w:p>
        </w:tc>
      </w:tr>
      <w:tr w:rsidR="00F33674" w:rsidRPr="00F33674" w14:paraId="433CA691" w14:textId="77777777" w:rsidTr="00F33674">
        <w:trPr>
          <w:cantSplit/>
          <w:trHeight w:val="360"/>
        </w:trPr>
        <w:tc>
          <w:tcPr>
            <w:tcW w:w="2835" w:type="dxa"/>
            <w:tcBorders>
              <w:top w:val="single" w:sz="4" w:space="0" w:color="auto"/>
              <w:left w:val="single" w:sz="4" w:space="0" w:color="auto"/>
              <w:bottom w:val="single" w:sz="4" w:space="0" w:color="auto"/>
              <w:right w:val="single" w:sz="4" w:space="0" w:color="auto"/>
            </w:tcBorders>
          </w:tcPr>
          <w:p w14:paraId="06325D00" w14:textId="77777777" w:rsidR="00F33674" w:rsidRPr="00F33674" w:rsidRDefault="00F33674" w:rsidP="00F33674">
            <w:pPr>
              <w:rPr>
                <w:rFonts w:ascii="Arial Narrow" w:hAnsi="Arial Narrow" w:cs="Arial"/>
                <w:b/>
                <w:sz w:val="20"/>
                <w:szCs w:val="20"/>
              </w:rPr>
            </w:pPr>
            <w:r w:rsidRPr="00F33674">
              <w:rPr>
                <w:rFonts w:ascii="Arial Narrow" w:hAnsi="Arial Narrow" w:cs="Arial"/>
                <w:b/>
                <w:sz w:val="20"/>
                <w:szCs w:val="20"/>
              </w:rPr>
              <w:t>Cautions:</w:t>
            </w:r>
          </w:p>
        </w:tc>
        <w:tc>
          <w:tcPr>
            <w:tcW w:w="6379" w:type="dxa"/>
            <w:tcBorders>
              <w:top w:val="single" w:sz="4" w:space="0" w:color="auto"/>
              <w:left w:val="single" w:sz="4" w:space="0" w:color="auto"/>
              <w:bottom w:val="single" w:sz="4" w:space="0" w:color="auto"/>
              <w:right w:val="single" w:sz="4" w:space="0" w:color="auto"/>
            </w:tcBorders>
          </w:tcPr>
          <w:p w14:paraId="55268EAF" w14:textId="77777777" w:rsidR="00F33674" w:rsidRPr="00F33674" w:rsidRDefault="00F33674" w:rsidP="00F33674">
            <w:pPr>
              <w:jc w:val="left"/>
              <w:rPr>
                <w:rFonts w:ascii="Arial Narrow" w:hAnsi="Arial Narrow" w:cs="Arial"/>
                <w:sz w:val="20"/>
                <w:szCs w:val="20"/>
              </w:rPr>
            </w:pPr>
            <w:r w:rsidRPr="00F33674">
              <w:rPr>
                <w:rFonts w:ascii="Arial Narrow" w:hAnsi="Arial Narrow" w:cs="Arial"/>
                <w:sz w:val="20"/>
                <w:szCs w:val="20"/>
              </w:rPr>
              <w:t>[6986] The risk of drug dependence is high.</w:t>
            </w:r>
          </w:p>
        </w:tc>
      </w:tr>
    </w:tbl>
    <w:p w14:paraId="6318429B" w14:textId="77777777" w:rsidR="00CB71CC" w:rsidRDefault="00CB71CC" w:rsidP="00CB71CC">
      <w:pPr>
        <w:pStyle w:val="3-BodyText"/>
        <w:numPr>
          <w:ilvl w:val="0"/>
          <w:numId w:val="0"/>
        </w:numPr>
        <w:ind w:left="720"/>
      </w:pPr>
    </w:p>
    <w:p w14:paraId="484A49B3" w14:textId="77777777" w:rsidR="00CB71CC" w:rsidRDefault="00CB71CC">
      <w:pPr>
        <w:jc w:val="left"/>
        <w:rPr>
          <w:rFonts w:asciiTheme="minorHAnsi" w:eastAsiaTheme="minorHAnsi" w:hAnsiTheme="minorHAnsi" w:cstheme="minorBidi"/>
          <w:szCs w:val="22"/>
        </w:rPr>
      </w:pPr>
      <w:r>
        <w:br w:type="page"/>
      </w:r>
    </w:p>
    <w:p w14:paraId="08CEDE19" w14:textId="34C0174A" w:rsidR="00F33674" w:rsidRPr="00F33674" w:rsidRDefault="00F33674" w:rsidP="00F33674">
      <w:pPr>
        <w:pStyle w:val="3-BodyText"/>
      </w:pPr>
      <w:r w:rsidRPr="00F33674">
        <w:lastRenderedPageBreak/>
        <w:t>Amend items:</w:t>
      </w:r>
    </w:p>
    <w:p w14:paraId="032B1B42" w14:textId="77777777" w:rsidR="00F33674" w:rsidRPr="00F33674" w:rsidRDefault="00F33674" w:rsidP="00F33674">
      <w:pPr>
        <w:keepNext/>
        <w:keepLines/>
        <w:spacing w:before="40"/>
        <w:jc w:val="left"/>
        <w:outlineLvl w:val="2"/>
        <w:rPr>
          <w:rFonts w:asciiTheme="minorHAnsi" w:eastAsiaTheme="majorEastAsia" w:hAnsiTheme="minorHAnsi" w:cstheme="majorBidi"/>
          <w:b/>
          <w:color w:val="000000" w:themeColor="text1"/>
        </w:rPr>
      </w:pPr>
      <w:bookmarkStart w:id="24" w:name="_Toc32300590"/>
      <w:r w:rsidRPr="00F33674">
        <w:rPr>
          <w:rFonts w:asciiTheme="minorHAnsi" w:eastAsiaTheme="majorEastAsia" w:hAnsiTheme="minorHAnsi" w:cstheme="majorBidi"/>
          <w:b/>
          <w:color w:val="000000" w:themeColor="text1"/>
        </w:rPr>
        <w:t xml:space="preserve">Listing 11: Dentists’ restriction for short-term pain TGA indication in </w:t>
      </w:r>
      <w:proofErr w:type="gramStart"/>
      <w:r w:rsidRPr="00F33674">
        <w:rPr>
          <w:rFonts w:asciiTheme="minorHAnsi" w:eastAsiaTheme="majorEastAsia" w:hAnsiTheme="minorHAnsi" w:cstheme="majorBidi"/>
          <w:b/>
          <w:color w:val="000000" w:themeColor="text1"/>
        </w:rPr>
        <w:t>2</w:t>
      </w:r>
      <w:r w:rsidRPr="00F33674">
        <w:rPr>
          <w:rFonts w:asciiTheme="minorHAnsi" w:eastAsiaTheme="majorEastAsia" w:hAnsiTheme="minorHAnsi" w:cstheme="majorBidi"/>
          <w:b/>
          <w:color w:val="000000" w:themeColor="text1"/>
          <w:vertAlign w:val="superscript"/>
        </w:rPr>
        <w:t>nd</w:t>
      </w:r>
      <w:proofErr w:type="gramEnd"/>
      <w:r w:rsidRPr="00F33674">
        <w:rPr>
          <w:rFonts w:asciiTheme="minorHAnsi" w:eastAsiaTheme="majorEastAsia" w:hAnsiTheme="minorHAnsi" w:cstheme="majorBidi"/>
          <w:b/>
          <w:color w:val="000000" w:themeColor="text1"/>
        </w:rPr>
        <w:t xml:space="preserve"> line opioid setting (morphine injections):</w:t>
      </w:r>
      <w:bookmarkEnd w:id="24"/>
    </w:p>
    <w:p w14:paraId="27C172F8" w14:textId="77777777" w:rsidR="00F33674" w:rsidRPr="00F33674" w:rsidRDefault="00F33674" w:rsidP="00F33674">
      <w:pPr>
        <w:ind w:left="360" w:hanging="360"/>
        <w:contextualSpacing/>
        <w:jc w:val="left"/>
      </w:pPr>
    </w:p>
    <w:tbl>
      <w:tblPr>
        <w:tblW w:w="8729" w:type="dxa"/>
        <w:tblLook w:val="04A0" w:firstRow="1" w:lastRow="0" w:firstColumn="1" w:lastColumn="0" w:noHBand="0" w:noVBand="1"/>
      </w:tblPr>
      <w:tblGrid>
        <w:gridCol w:w="1100"/>
        <w:gridCol w:w="791"/>
        <w:gridCol w:w="2787"/>
        <w:gridCol w:w="572"/>
        <w:gridCol w:w="472"/>
        <w:gridCol w:w="1164"/>
        <w:gridCol w:w="1843"/>
      </w:tblGrid>
      <w:tr w:rsidR="00F33674" w:rsidRPr="00F33674" w14:paraId="5332F9B7" w14:textId="77777777" w:rsidTr="00F33674">
        <w:trPr>
          <w:trHeight w:val="300"/>
        </w:trPr>
        <w:tc>
          <w:tcPr>
            <w:tcW w:w="1100" w:type="dxa"/>
            <w:tcBorders>
              <w:bottom w:val="single" w:sz="4" w:space="0" w:color="auto"/>
            </w:tcBorders>
            <w:shd w:val="clear" w:color="auto" w:fill="auto"/>
            <w:noWrap/>
            <w:hideMark/>
          </w:tcPr>
          <w:p w14:paraId="43644C38" w14:textId="77777777" w:rsidR="00F33674" w:rsidRPr="00F33674" w:rsidRDefault="00F33674" w:rsidP="00F33674">
            <w:pPr>
              <w:jc w:val="left"/>
              <w:rPr>
                <w:rFonts w:ascii="Arial Narrow" w:hAnsi="Arial Narrow" w:cstheme="minorHAnsi"/>
                <w:color w:val="000000"/>
                <w:sz w:val="20"/>
                <w:szCs w:val="20"/>
                <w:lang w:eastAsia="en-AU"/>
              </w:rPr>
            </w:pPr>
            <w:r w:rsidRPr="00F33674">
              <w:rPr>
                <w:rFonts w:ascii="Arial Narrow" w:hAnsi="Arial Narrow" w:cstheme="minorHAnsi"/>
                <w:color w:val="000000"/>
                <w:sz w:val="20"/>
                <w:szCs w:val="20"/>
                <w:lang w:eastAsia="en-AU"/>
              </w:rPr>
              <w:t>LI Drug</w:t>
            </w:r>
          </w:p>
        </w:tc>
        <w:tc>
          <w:tcPr>
            <w:tcW w:w="791" w:type="dxa"/>
            <w:tcBorders>
              <w:bottom w:val="single" w:sz="4" w:space="0" w:color="auto"/>
            </w:tcBorders>
            <w:shd w:val="clear" w:color="auto" w:fill="auto"/>
          </w:tcPr>
          <w:p w14:paraId="79CCCCB1" w14:textId="77777777" w:rsidR="00F33674" w:rsidRPr="00F33674" w:rsidRDefault="00F33674" w:rsidP="00F33674">
            <w:pPr>
              <w:jc w:val="left"/>
              <w:rPr>
                <w:rFonts w:ascii="Arial Narrow" w:hAnsi="Arial Narrow" w:cstheme="minorHAnsi"/>
                <w:color w:val="000000"/>
                <w:sz w:val="20"/>
                <w:szCs w:val="20"/>
                <w:lang w:eastAsia="en-AU"/>
              </w:rPr>
            </w:pPr>
            <w:r w:rsidRPr="00F33674">
              <w:rPr>
                <w:rFonts w:ascii="Arial Narrow" w:hAnsi="Arial Narrow" w:cstheme="minorHAnsi"/>
                <w:color w:val="000000"/>
                <w:sz w:val="20"/>
                <w:szCs w:val="20"/>
                <w:lang w:eastAsia="en-AU"/>
              </w:rPr>
              <w:t>Item Code</w:t>
            </w:r>
          </w:p>
        </w:tc>
        <w:tc>
          <w:tcPr>
            <w:tcW w:w="2787" w:type="dxa"/>
            <w:tcBorders>
              <w:bottom w:val="single" w:sz="4" w:space="0" w:color="auto"/>
            </w:tcBorders>
            <w:shd w:val="clear" w:color="auto" w:fill="auto"/>
            <w:noWrap/>
            <w:hideMark/>
          </w:tcPr>
          <w:p w14:paraId="40D5A606" w14:textId="77777777" w:rsidR="00F33674" w:rsidRPr="00F33674" w:rsidRDefault="00F33674" w:rsidP="00F33674">
            <w:pPr>
              <w:jc w:val="left"/>
              <w:rPr>
                <w:rFonts w:ascii="Arial Narrow" w:hAnsi="Arial Narrow" w:cstheme="minorHAnsi"/>
                <w:color w:val="000000"/>
                <w:sz w:val="20"/>
                <w:szCs w:val="20"/>
                <w:lang w:eastAsia="en-AU"/>
              </w:rPr>
            </w:pPr>
            <w:r w:rsidRPr="00F33674">
              <w:rPr>
                <w:rFonts w:ascii="Arial Narrow" w:hAnsi="Arial Narrow" w:cstheme="minorHAnsi"/>
                <w:color w:val="000000"/>
                <w:sz w:val="20"/>
                <w:szCs w:val="20"/>
                <w:lang w:eastAsia="en-AU"/>
              </w:rPr>
              <w:t>Legal Instrument Form</w:t>
            </w:r>
          </w:p>
        </w:tc>
        <w:tc>
          <w:tcPr>
            <w:tcW w:w="572" w:type="dxa"/>
            <w:tcBorders>
              <w:bottom w:val="single" w:sz="4" w:space="0" w:color="auto"/>
            </w:tcBorders>
            <w:shd w:val="clear" w:color="auto" w:fill="auto"/>
            <w:noWrap/>
            <w:hideMark/>
          </w:tcPr>
          <w:p w14:paraId="5F4F1A9B" w14:textId="77777777" w:rsidR="00F33674" w:rsidRPr="00F33674" w:rsidRDefault="00F33674" w:rsidP="00F33674">
            <w:pPr>
              <w:jc w:val="left"/>
              <w:rPr>
                <w:rFonts w:ascii="Arial Narrow" w:hAnsi="Arial Narrow" w:cstheme="minorHAnsi"/>
                <w:color w:val="000000"/>
                <w:sz w:val="20"/>
                <w:szCs w:val="20"/>
                <w:lang w:eastAsia="en-AU"/>
              </w:rPr>
            </w:pPr>
            <w:r w:rsidRPr="00F33674">
              <w:rPr>
                <w:rFonts w:ascii="Arial Narrow" w:hAnsi="Arial Narrow" w:cstheme="minorHAnsi"/>
                <w:color w:val="000000"/>
                <w:sz w:val="20"/>
                <w:szCs w:val="20"/>
                <w:lang w:eastAsia="en-AU"/>
              </w:rPr>
              <w:t>Max. Qty</w:t>
            </w:r>
          </w:p>
        </w:tc>
        <w:tc>
          <w:tcPr>
            <w:tcW w:w="472" w:type="dxa"/>
            <w:tcBorders>
              <w:bottom w:val="single" w:sz="4" w:space="0" w:color="auto"/>
            </w:tcBorders>
            <w:shd w:val="clear" w:color="auto" w:fill="auto"/>
            <w:noWrap/>
            <w:hideMark/>
          </w:tcPr>
          <w:p w14:paraId="78BC91C2" w14:textId="77777777" w:rsidR="00F33674" w:rsidRPr="00F33674" w:rsidRDefault="00F33674" w:rsidP="00F33674">
            <w:pPr>
              <w:jc w:val="left"/>
              <w:rPr>
                <w:rFonts w:ascii="Arial Narrow" w:hAnsi="Arial Narrow" w:cstheme="minorHAnsi"/>
                <w:color w:val="000000"/>
                <w:sz w:val="20"/>
                <w:szCs w:val="20"/>
                <w:lang w:eastAsia="en-AU"/>
              </w:rPr>
            </w:pPr>
            <w:r w:rsidRPr="00F33674">
              <w:rPr>
                <w:rFonts w:ascii="Arial Narrow" w:hAnsi="Arial Narrow" w:cstheme="minorHAnsi"/>
                <w:color w:val="000000"/>
                <w:sz w:val="20"/>
                <w:szCs w:val="20"/>
                <w:lang w:eastAsia="en-AU"/>
              </w:rPr>
              <w:t>No. Rpt</w:t>
            </w:r>
          </w:p>
        </w:tc>
        <w:tc>
          <w:tcPr>
            <w:tcW w:w="1164" w:type="dxa"/>
            <w:tcBorders>
              <w:bottom w:val="single" w:sz="4" w:space="0" w:color="auto"/>
            </w:tcBorders>
            <w:shd w:val="clear" w:color="auto" w:fill="auto"/>
            <w:noWrap/>
            <w:hideMark/>
          </w:tcPr>
          <w:p w14:paraId="7530BD6E" w14:textId="77777777" w:rsidR="00F33674" w:rsidRPr="00F33674" w:rsidRDefault="00F33674" w:rsidP="00F33674">
            <w:pPr>
              <w:jc w:val="left"/>
              <w:rPr>
                <w:rFonts w:ascii="Arial Narrow" w:hAnsi="Arial Narrow" w:cstheme="minorHAnsi"/>
                <w:color w:val="000000"/>
                <w:sz w:val="20"/>
                <w:szCs w:val="20"/>
                <w:lang w:eastAsia="en-AU"/>
              </w:rPr>
            </w:pPr>
            <w:r w:rsidRPr="00F33674">
              <w:rPr>
                <w:rFonts w:ascii="Arial Narrow" w:hAnsi="Arial Narrow" w:cstheme="minorHAnsi"/>
                <w:color w:val="000000"/>
                <w:sz w:val="20"/>
                <w:szCs w:val="20"/>
                <w:lang w:eastAsia="en-AU"/>
              </w:rPr>
              <w:t>Brand Name</w:t>
            </w:r>
          </w:p>
        </w:tc>
        <w:tc>
          <w:tcPr>
            <w:tcW w:w="1843" w:type="dxa"/>
            <w:tcBorders>
              <w:bottom w:val="single" w:sz="4" w:space="0" w:color="auto"/>
            </w:tcBorders>
            <w:shd w:val="clear" w:color="auto" w:fill="auto"/>
            <w:noWrap/>
            <w:hideMark/>
          </w:tcPr>
          <w:p w14:paraId="69E00BD6" w14:textId="77777777" w:rsidR="00F33674" w:rsidRPr="00F33674" w:rsidRDefault="00F33674" w:rsidP="00F33674">
            <w:pPr>
              <w:jc w:val="left"/>
              <w:rPr>
                <w:rFonts w:ascii="Arial Narrow" w:hAnsi="Arial Narrow" w:cstheme="minorHAnsi"/>
                <w:color w:val="000000"/>
                <w:sz w:val="20"/>
                <w:szCs w:val="20"/>
                <w:lang w:eastAsia="en-AU"/>
              </w:rPr>
            </w:pPr>
            <w:r w:rsidRPr="00F33674">
              <w:rPr>
                <w:rFonts w:ascii="Arial Narrow" w:hAnsi="Arial Narrow" w:cstheme="minorHAnsi"/>
                <w:color w:val="000000"/>
                <w:sz w:val="20"/>
                <w:szCs w:val="20"/>
                <w:lang w:eastAsia="en-AU"/>
              </w:rPr>
              <w:t>Responsible Person</w:t>
            </w:r>
          </w:p>
        </w:tc>
      </w:tr>
      <w:tr w:rsidR="00F33674" w:rsidRPr="00F33674" w14:paraId="0918574C" w14:textId="77777777" w:rsidTr="00F33674">
        <w:trPr>
          <w:trHeight w:val="300"/>
        </w:trPr>
        <w:tc>
          <w:tcPr>
            <w:tcW w:w="1100" w:type="dxa"/>
            <w:tcBorders>
              <w:top w:val="single" w:sz="4" w:space="0" w:color="auto"/>
            </w:tcBorders>
            <w:shd w:val="clear" w:color="auto" w:fill="auto"/>
            <w:noWrap/>
            <w:hideMark/>
          </w:tcPr>
          <w:p w14:paraId="65A2CDAD" w14:textId="77777777" w:rsidR="00F33674" w:rsidRPr="00F33674" w:rsidRDefault="00F33674" w:rsidP="00F33674">
            <w:pPr>
              <w:jc w:val="left"/>
              <w:rPr>
                <w:rFonts w:ascii="Arial Narrow" w:hAnsi="Arial Narrow" w:cstheme="minorHAnsi"/>
                <w:color w:val="000000"/>
                <w:sz w:val="20"/>
                <w:szCs w:val="20"/>
                <w:lang w:eastAsia="en-AU"/>
              </w:rPr>
            </w:pPr>
            <w:r w:rsidRPr="00F33674">
              <w:rPr>
                <w:rFonts w:ascii="Arial Narrow" w:hAnsi="Arial Narrow" w:cstheme="minorHAnsi"/>
                <w:color w:val="000000"/>
                <w:sz w:val="20"/>
                <w:szCs w:val="20"/>
                <w:lang w:eastAsia="en-AU"/>
              </w:rPr>
              <w:t>MORPHINE</w:t>
            </w:r>
          </w:p>
        </w:tc>
        <w:tc>
          <w:tcPr>
            <w:tcW w:w="791" w:type="dxa"/>
            <w:tcBorders>
              <w:top w:val="single" w:sz="4" w:space="0" w:color="auto"/>
            </w:tcBorders>
            <w:shd w:val="clear" w:color="auto" w:fill="auto"/>
          </w:tcPr>
          <w:p w14:paraId="31B94AC7" w14:textId="77777777" w:rsidR="00F33674" w:rsidRPr="00F33674" w:rsidRDefault="00F33674" w:rsidP="00F33674">
            <w:pPr>
              <w:jc w:val="left"/>
              <w:rPr>
                <w:rFonts w:ascii="Arial Narrow" w:hAnsi="Arial Narrow" w:cstheme="minorHAnsi"/>
                <w:color w:val="000000"/>
                <w:sz w:val="20"/>
                <w:szCs w:val="20"/>
                <w:lang w:eastAsia="en-AU"/>
              </w:rPr>
            </w:pPr>
            <w:r w:rsidRPr="00F33674">
              <w:rPr>
                <w:rFonts w:ascii="Arial Narrow" w:hAnsi="Arial Narrow" w:cstheme="minorHAnsi"/>
                <w:color w:val="000000"/>
                <w:sz w:val="20"/>
                <w:szCs w:val="20"/>
                <w:lang w:eastAsia="en-AU"/>
              </w:rPr>
              <w:t>10863R</w:t>
            </w:r>
          </w:p>
        </w:tc>
        <w:tc>
          <w:tcPr>
            <w:tcW w:w="2787" w:type="dxa"/>
            <w:tcBorders>
              <w:top w:val="single" w:sz="4" w:space="0" w:color="auto"/>
            </w:tcBorders>
            <w:shd w:val="clear" w:color="auto" w:fill="auto"/>
            <w:noWrap/>
            <w:hideMark/>
          </w:tcPr>
          <w:p w14:paraId="2C768178" w14:textId="77777777" w:rsidR="00F33674" w:rsidRPr="00F33674" w:rsidRDefault="00F33674" w:rsidP="00F33674">
            <w:pPr>
              <w:jc w:val="left"/>
              <w:rPr>
                <w:rFonts w:ascii="Arial Narrow" w:hAnsi="Arial Narrow" w:cstheme="minorHAnsi"/>
                <w:color w:val="000000"/>
                <w:sz w:val="20"/>
                <w:szCs w:val="20"/>
                <w:lang w:eastAsia="en-AU"/>
              </w:rPr>
            </w:pPr>
            <w:r w:rsidRPr="00F33674">
              <w:rPr>
                <w:rFonts w:ascii="Arial Narrow" w:hAnsi="Arial Narrow" w:cstheme="minorHAnsi"/>
                <w:color w:val="000000"/>
                <w:sz w:val="20"/>
                <w:szCs w:val="20"/>
                <w:lang w:eastAsia="en-AU"/>
              </w:rPr>
              <w:t>Injection containing morphine hydrochloride trihydrate 10 mg in 1 mL</w:t>
            </w:r>
          </w:p>
        </w:tc>
        <w:tc>
          <w:tcPr>
            <w:tcW w:w="572" w:type="dxa"/>
            <w:tcBorders>
              <w:top w:val="single" w:sz="4" w:space="0" w:color="auto"/>
            </w:tcBorders>
            <w:shd w:val="clear" w:color="auto" w:fill="auto"/>
            <w:noWrap/>
            <w:hideMark/>
          </w:tcPr>
          <w:p w14:paraId="5951B5E1" w14:textId="77777777" w:rsidR="00F33674" w:rsidRPr="00F33674" w:rsidRDefault="00F33674" w:rsidP="00F33674">
            <w:pPr>
              <w:jc w:val="left"/>
              <w:rPr>
                <w:rFonts w:ascii="Arial Narrow" w:hAnsi="Arial Narrow" w:cstheme="minorHAnsi"/>
                <w:color w:val="000000"/>
                <w:sz w:val="20"/>
                <w:szCs w:val="20"/>
                <w:lang w:eastAsia="en-AU"/>
              </w:rPr>
            </w:pPr>
            <w:r w:rsidRPr="00F33674">
              <w:rPr>
                <w:rFonts w:ascii="Arial Narrow" w:hAnsi="Arial Narrow" w:cstheme="minorHAnsi"/>
                <w:color w:val="000000"/>
                <w:sz w:val="20"/>
                <w:szCs w:val="20"/>
                <w:lang w:eastAsia="en-AU"/>
              </w:rPr>
              <w:t>5</w:t>
            </w:r>
          </w:p>
        </w:tc>
        <w:tc>
          <w:tcPr>
            <w:tcW w:w="472" w:type="dxa"/>
            <w:tcBorders>
              <w:top w:val="single" w:sz="4" w:space="0" w:color="auto"/>
            </w:tcBorders>
            <w:shd w:val="clear" w:color="auto" w:fill="auto"/>
            <w:noWrap/>
            <w:hideMark/>
          </w:tcPr>
          <w:p w14:paraId="2EBB580C" w14:textId="77777777" w:rsidR="00F33674" w:rsidRPr="00F33674" w:rsidRDefault="00F33674" w:rsidP="00F33674">
            <w:pPr>
              <w:jc w:val="right"/>
              <w:rPr>
                <w:rFonts w:ascii="Arial Narrow" w:hAnsi="Arial Narrow" w:cstheme="minorHAnsi"/>
                <w:color w:val="000000"/>
                <w:sz w:val="20"/>
                <w:szCs w:val="20"/>
                <w:lang w:eastAsia="en-AU"/>
              </w:rPr>
            </w:pPr>
            <w:r w:rsidRPr="00F33674">
              <w:rPr>
                <w:rFonts w:ascii="Arial Narrow" w:hAnsi="Arial Narrow" w:cstheme="minorHAnsi"/>
                <w:color w:val="000000"/>
                <w:sz w:val="20"/>
                <w:szCs w:val="20"/>
                <w:lang w:eastAsia="en-AU"/>
              </w:rPr>
              <w:t>0</w:t>
            </w:r>
          </w:p>
        </w:tc>
        <w:tc>
          <w:tcPr>
            <w:tcW w:w="1164" w:type="dxa"/>
            <w:tcBorders>
              <w:top w:val="single" w:sz="4" w:space="0" w:color="auto"/>
            </w:tcBorders>
            <w:shd w:val="clear" w:color="auto" w:fill="auto"/>
            <w:noWrap/>
            <w:hideMark/>
          </w:tcPr>
          <w:p w14:paraId="642D9FFF" w14:textId="77777777" w:rsidR="00F33674" w:rsidRPr="00F33674" w:rsidRDefault="00F33674" w:rsidP="00F33674">
            <w:pPr>
              <w:jc w:val="left"/>
              <w:rPr>
                <w:rFonts w:ascii="Arial Narrow" w:hAnsi="Arial Narrow" w:cstheme="minorHAnsi"/>
                <w:color w:val="000000"/>
                <w:sz w:val="20"/>
                <w:szCs w:val="20"/>
                <w:lang w:eastAsia="en-AU"/>
              </w:rPr>
            </w:pPr>
            <w:r w:rsidRPr="00F33674">
              <w:rPr>
                <w:rFonts w:ascii="Arial Narrow" w:hAnsi="Arial Narrow" w:cstheme="minorHAnsi"/>
                <w:color w:val="000000"/>
                <w:sz w:val="20"/>
                <w:szCs w:val="20"/>
                <w:lang w:eastAsia="en-AU"/>
              </w:rPr>
              <w:t>Morphine Juno</w:t>
            </w:r>
          </w:p>
        </w:tc>
        <w:tc>
          <w:tcPr>
            <w:tcW w:w="1843" w:type="dxa"/>
            <w:tcBorders>
              <w:top w:val="single" w:sz="4" w:space="0" w:color="auto"/>
            </w:tcBorders>
            <w:shd w:val="clear" w:color="auto" w:fill="auto"/>
            <w:noWrap/>
            <w:hideMark/>
          </w:tcPr>
          <w:p w14:paraId="455FD918" w14:textId="77777777" w:rsidR="00F33674" w:rsidRPr="00F33674" w:rsidRDefault="00F33674" w:rsidP="00F33674">
            <w:pPr>
              <w:jc w:val="left"/>
              <w:rPr>
                <w:rFonts w:ascii="Arial Narrow" w:hAnsi="Arial Narrow" w:cstheme="minorHAnsi"/>
                <w:color w:val="000000"/>
                <w:sz w:val="20"/>
                <w:szCs w:val="20"/>
                <w:lang w:eastAsia="en-AU"/>
              </w:rPr>
            </w:pPr>
            <w:r w:rsidRPr="00F33674">
              <w:rPr>
                <w:rFonts w:ascii="Arial Narrow" w:hAnsi="Arial Narrow" w:cstheme="minorHAnsi"/>
                <w:color w:val="000000"/>
                <w:sz w:val="20"/>
                <w:szCs w:val="20"/>
                <w:lang w:eastAsia="en-AU"/>
              </w:rPr>
              <w:t>Juno Pharmaceuticals Pty Ltd</w:t>
            </w:r>
          </w:p>
        </w:tc>
      </w:tr>
      <w:tr w:rsidR="00F33674" w:rsidRPr="00F33674" w14:paraId="509ECEC6" w14:textId="77777777" w:rsidTr="00F33674">
        <w:trPr>
          <w:trHeight w:val="300"/>
        </w:trPr>
        <w:tc>
          <w:tcPr>
            <w:tcW w:w="1100" w:type="dxa"/>
            <w:shd w:val="clear" w:color="auto" w:fill="auto"/>
            <w:noWrap/>
          </w:tcPr>
          <w:p w14:paraId="05D9AF77" w14:textId="77777777" w:rsidR="00F33674" w:rsidRPr="00F33674" w:rsidRDefault="00F33674" w:rsidP="00F33674">
            <w:pPr>
              <w:jc w:val="left"/>
              <w:rPr>
                <w:rFonts w:ascii="Arial Narrow" w:hAnsi="Arial Narrow" w:cstheme="minorHAnsi"/>
                <w:color w:val="000000"/>
                <w:sz w:val="20"/>
                <w:szCs w:val="20"/>
                <w:lang w:eastAsia="en-AU"/>
              </w:rPr>
            </w:pPr>
          </w:p>
        </w:tc>
        <w:tc>
          <w:tcPr>
            <w:tcW w:w="791" w:type="dxa"/>
            <w:shd w:val="clear" w:color="auto" w:fill="auto"/>
          </w:tcPr>
          <w:p w14:paraId="0B2D2C32" w14:textId="77777777" w:rsidR="00F33674" w:rsidRPr="00F33674" w:rsidRDefault="00F33674" w:rsidP="00F33674">
            <w:pPr>
              <w:jc w:val="left"/>
              <w:rPr>
                <w:rFonts w:ascii="Arial Narrow" w:hAnsi="Arial Narrow" w:cstheme="minorHAnsi"/>
                <w:color w:val="000000"/>
                <w:sz w:val="20"/>
                <w:szCs w:val="20"/>
                <w:lang w:eastAsia="en-AU"/>
              </w:rPr>
            </w:pPr>
            <w:r w:rsidRPr="00F33674">
              <w:rPr>
                <w:rFonts w:ascii="Arial Narrow" w:hAnsi="Arial Narrow" w:cstheme="minorHAnsi"/>
                <w:color w:val="000000"/>
                <w:sz w:val="20"/>
                <w:szCs w:val="20"/>
                <w:lang w:eastAsia="en-AU"/>
              </w:rPr>
              <w:t>10858L</w:t>
            </w:r>
          </w:p>
        </w:tc>
        <w:tc>
          <w:tcPr>
            <w:tcW w:w="2787" w:type="dxa"/>
            <w:shd w:val="clear" w:color="auto" w:fill="auto"/>
            <w:noWrap/>
            <w:hideMark/>
          </w:tcPr>
          <w:p w14:paraId="5F0523F9" w14:textId="77777777" w:rsidR="00F33674" w:rsidRPr="00F33674" w:rsidRDefault="00F33674" w:rsidP="00F33674">
            <w:pPr>
              <w:jc w:val="left"/>
              <w:rPr>
                <w:rFonts w:ascii="Arial Narrow" w:hAnsi="Arial Narrow" w:cstheme="minorHAnsi"/>
                <w:color w:val="000000"/>
                <w:sz w:val="20"/>
                <w:szCs w:val="20"/>
                <w:lang w:eastAsia="en-AU"/>
              </w:rPr>
            </w:pPr>
            <w:r w:rsidRPr="00F33674">
              <w:rPr>
                <w:rFonts w:ascii="Arial Narrow" w:hAnsi="Arial Narrow" w:cstheme="minorHAnsi"/>
                <w:color w:val="000000"/>
                <w:sz w:val="20"/>
                <w:szCs w:val="20"/>
                <w:lang w:eastAsia="en-AU"/>
              </w:rPr>
              <w:t>Injection containing morphine hydrochloride trihydrate 20 mg in 1 mL</w:t>
            </w:r>
          </w:p>
        </w:tc>
        <w:tc>
          <w:tcPr>
            <w:tcW w:w="572" w:type="dxa"/>
            <w:shd w:val="clear" w:color="auto" w:fill="auto"/>
            <w:noWrap/>
            <w:hideMark/>
          </w:tcPr>
          <w:p w14:paraId="6341EEEE" w14:textId="77777777" w:rsidR="00F33674" w:rsidRPr="00F33674" w:rsidRDefault="00F33674" w:rsidP="00F33674">
            <w:pPr>
              <w:jc w:val="left"/>
              <w:rPr>
                <w:rFonts w:ascii="Arial Narrow" w:hAnsi="Arial Narrow" w:cstheme="minorHAnsi"/>
                <w:color w:val="000000"/>
                <w:sz w:val="20"/>
                <w:szCs w:val="20"/>
                <w:lang w:eastAsia="en-AU"/>
              </w:rPr>
            </w:pPr>
            <w:r w:rsidRPr="00F33674">
              <w:rPr>
                <w:rFonts w:ascii="Arial Narrow" w:hAnsi="Arial Narrow" w:cstheme="minorHAnsi"/>
                <w:color w:val="000000"/>
                <w:sz w:val="20"/>
                <w:szCs w:val="20"/>
                <w:lang w:eastAsia="en-AU"/>
              </w:rPr>
              <w:t>5</w:t>
            </w:r>
          </w:p>
        </w:tc>
        <w:tc>
          <w:tcPr>
            <w:tcW w:w="472" w:type="dxa"/>
            <w:shd w:val="clear" w:color="auto" w:fill="auto"/>
            <w:noWrap/>
            <w:hideMark/>
          </w:tcPr>
          <w:p w14:paraId="73781ABE" w14:textId="77777777" w:rsidR="00F33674" w:rsidRPr="00F33674" w:rsidRDefault="00F33674" w:rsidP="00F33674">
            <w:pPr>
              <w:jc w:val="right"/>
              <w:rPr>
                <w:rFonts w:ascii="Arial Narrow" w:hAnsi="Arial Narrow" w:cstheme="minorHAnsi"/>
                <w:color w:val="000000"/>
                <w:sz w:val="20"/>
                <w:szCs w:val="20"/>
                <w:lang w:eastAsia="en-AU"/>
              </w:rPr>
            </w:pPr>
            <w:r w:rsidRPr="00F33674">
              <w:rPr>
                <w:rFonts w:ascii="Arial Narrow" w:hAnsi="Arial Narrow" w:cstheme="minorHAnsi"/>
                <w:color w:val="000000"/>
                <w:sz w:val="20"/>
                <w:szCs w:val="20"/>
                <w:lang w:eastAsia="en-AU"/>
              </w:rPr>
              <w:t>0</w:t>
            </w:r>
          </w:p>
        </w:tc>
        <w:tc>
          <w:tcPr>
            <w:tcW w:w="1164" w:type="dxa"/>
            <w:shd w:val="clear" w:color="auto" w:fill="auto"/>
            <w:noWrap/>
            <w:hideMark/>
          </w:tcPr>
          <w:p w14:paraId="61A6D5A5" w14:textId="77777777" w:rsidR="00F33674" w:rsidRPr="00F33674" w:rsidRDefault="00F33674" w:rsidP="00F33674">
            <w:pPr>
              <w:jc w:val="left"/>
              <w:rPr>
                <w:rFonts w:ascii="Arial Narrow" w:hAnsi="Arial Narrow" w:cstheme="minorHAnsi"/>
                <w:color w:val="000000"/>
                <w:sz w:val="20"/>
                <w:szCs w:val="20"/>
                <w:lang w:eastAsia="en-AU"/>
              </w:rPr>
            </w:pPr>
            <w:r w:rsidRPr="00F33674">
              <w:rPr>
                <w:rFonts w:ascii="Arial Narrow" w:hAnsi="Arial Narrow" w:cstheme="minorHAnsi"/>
                <w:color w:val="000000"/>
                <w:sz w:val="20"/>
                <w:szCs w:val="20"/>
                <w:lang w:eastAsia="en-AU"/>
              </w:rPr>
              <w:t>Morphine Juno</w:t>
            </w:r>
          </w:p>
        </w:tc>
        <w:tc>
          <w:tcPr>
            <w:tcW w:w="1843" w:type="dxa"/>
            <w:shd w:val="clear" w:color="auto" w:fill="auto"/>
            <w:noWrap/>
            <w:hideMark/>
          </w:tcPr>
          <w:p w14:paraId="585F0710" w14:textId="77777777" w:rsidR="00F33674" w:rsidRPr="00F33674" w:rsidRDefault="00F33674" w:rsidP="00F33674">
            <w:pPr>
              <w:jc w:val="left"/>
              <w:rPr>
                <w:rFonts w:ascii="Arial Narrow" w:hAnsi="Arial Narrow" w:cstheme="minorHAnsi"/>
                <w:color w:val="000000"/>
                <w:sz w:val="20"/>
                <w:szCs w:val="20"/>
                <w:lang w:eastAsia="en-AU"/>
              </w:rPr>
            </w:pPr>
            <w:r w:rsidRPr="00F33674">
              <w:rPr>
                <w:rFonts w:ascii="Arial Narrow" w:hAnsi="Arial Narrow" w:cstheme="minorHAnsi"/>
                <w:color w:val="000000"/>
                <w:sz w:val="20"/>
                <w:szCs w:val="20"/>
                <w:lang w:eastAsia="en-AU"/>
              </w:rPr>
              <w:t>Juno Pharmaceuticals Pty Ltd</w:t>
            </w:r>
          </w:p>
        </w:tc>
      </w:tr>
      <w:tr w:rsidR="00F33674" w:rsidRPr="00F33674" w14:paraId="05E97E56" w14:textId="77777777" w:rsidTr="00F33674">
        <w:trPr>
          <w:trHeight w:val="300"/>
        </w:trPr>
        <w:tc>
          <w:tcPr>
            <w:tcW w:w="1100" w:type="dxa"/>
            <w:shd w:val="clear" w:color="auto" w:fill="auto"/>
            <w:noWrap/>
          </w:tcPr>
          <w:p w14:paraId="776F5339" w14:textId="77777777" w:rsidR="00F33674" w:rsidRPr="00F33674" w:rsidRDefault="00F33674" w:rsidP="00F33674">
            <w:pPr>
              <w:jc w:val="left"/>
              <w:rPr>
                <w:rFonts w:ascii="Arial Narrow" w:hAnsi="Arial Narrow" w:cstheme="minorHAnsi"/>
                <w:color w:val="000000"/>
                <w:sz w:val="20"/>
                <w:szCs w:val="20"/>
                <w:lang w:eastAsia="en-AU"/>
              </w:rPr>
            </w:pPr>
          </w:p>
        </w:tc>
        <w:tc>
          <w:tcPr>
            <w:tcW w:w="791" w:type="dxa"/>
            <w:shd w:val="clear" w:color="auto" w:fill="auto"/>
          </w:tcPr>
          <w:p w14:paraId="04D8B4FC" w14:textId="77777777" w:rsidR="00F33674" w:rsidRPr="00F33674" w:rsidRDefault="00F33674" w:rsidP="00F33674">
            <w:pPr>
              <w:jc w:val="left"/>
              <w:rPr>
                <w:rFonts w:ascii="Arial Narrow" w:hAnsi="Arial Narrow" w:cstheme="minorHAnsi"/>
                <w:color w:val="000000"/>
                <w:sz w:val="20"/>
                <w:szCs w:val="20"/>
                <w:lang w:eastAsia="en-AU"/>
              </w:rPr>
            </w:pPr>
            <w:r w:rsidRPr="00F33674">
              <w:rPr>
                <w:rFonts w:ascii="Arial Narrow" w:hAnsi="Arial Narrow" w:cstheme="minorHAnsi"/>
                <w:color w:val="000000"/>
                <w:sz w:val="20"/>
                <w:szCs w:val="20"/>
                <w:lang w:eastAsia="en-AU"/>
              </w:rPr>
              <w:t>5168B</w:t>
            </w:r>
          </w:p>
        </w:tc>
        <w:tc>
          <w:tcPr>
            <w:tcW w:w="2787" w:type="dxa"/>
            <w:vMerge w:val="restart"/>
            <w:shd w:val="clear" w:color="auto" w:fill="auto"/>
            <w:noWrap/>
            <w:hideMark/>
          </w:tcPr>
          <w:p w14:paraId="08A3E405" w14:textId="77777777" w:rsidR="00F33674" w:rsidRPr="00F33674" w:rsidRDefault="00F33674" w:rsidP="00F33674">
            <w:pPr>
              <w:jc w:val="left"/>
              <w:rPr>
                <w:rFonts w:ascii="Arial Narrow" w:hAnsi="Arial Narrow" w:cstheme="minorHAnsi"/>
                <w:color w:val="000000"/>
                <w:sz w:val="20"/>
                <w:szCs w:val="20"/>
                <w:lang w:eastAsia="en-AU"/>
              </w:rPr>
            </w:pPr>
            <w:r w:rsidRPr="00F33674">
              <w:rPr>
                <w:rFonts w:ascii="Arial Narrow" w:hAnsi="Arial Narrow" w:cstheme="minorHAnsi"/>
                <w:color w:val="000000"/>
                <w:sz w:val="20"/>
                <w:szCs w:val="20"/>
                <w:lang w:eastAsia="en-AU"/>
              </w:rPr>
              <w:t>Injection containing morphine sulfate pentahydrate 10 mg in 1 mL</w:t>
            </w:r>
          </w:p>
        </w:tc>
        <w:tc>
          <w:tcPr>
            <w:tcW w:w="572" w:type="dxa"/>
            <w:shd w:val="clear" w:color="auto" w:fill="auto"/>
            <w:noWrap/>
            <w:hideMark/>
          </w:tcPr>
          <w:p w14:paraId="126F3756" w14:textId="77777777" w:rsidR="00F33674" w:rsidRPr="00F33674" w:rsidRDefault="00F33674" w:rsidP="00F33674">
            <w:pPr>
              <w:jc w:val="left"/>
              <w:rPr>
                <w:rFonts w:ascii="Arial Narrow" w:hAnsi="Arial Narrow" w:cstheme="minorHAnsi"/>
                <w:color w:val="000000"/>
                <w:sz w:val="20"/>
                <w:szCs w:val="20"/>
                <w:lang w:eastAsia="en-AU"/>
              </w:rPr>
            </w:pPr>
            <w:r w:rsidRPr="00F33674">
              <w:rPr>
                <w:rFonts w:ascii="Arial Narrow" w:hAnsi="Arial Narrow" w:cstheme="minorHAnsi"/>
                <w:color w:val="000000"/>
                <w:sz w:val="20"/>
                <w:szCs w:val="20"/>
                <w:lang w:eastAsia="en-AU"/>
              </w:rPr>
              <w:t>5</w:t>
            </w:r>
          </w:p>
        </w:tc>
        <w:tc>
          <w:tcPr>
            <w:tcW w:w="472" w:type="dxa"/>
            <w:shd w:val="clear" w:color="auto" w:fill="auto"/>
            <w:noWrap/>
            <w:hideMark/>
          </w:tcPr>
          <w:p w14:paraId="4FAA9577" w14:textId="77777777" w:rsidR="00F33674" w:rsidRPr="00F33674" w:rsidRDefault="00F33674" w:rsidP="00F33674">
            <w:pPr>
              <w:jc w:val="right"/>
              <w:rPr>
                <w:rFonts w:ascii="Arial Narrow" w:hAnsi="Arial Narrow" w:cstheme="minorHAnsi"/>
                <w:color w:val="000000"/>
                <w:sz w:val="20"/>
                <w:szCs w:val="20"/>
                <w:lang w:eastAsia="en-AU"/>
              </w:rPr>
            </w:pPr>
            <w:r w:rsidRPr="00F33674">
              <w:rPr>
                <w:rFonts w:ascii="Arial Narrow" w:hAnsi="Arial Narrow" w:cstheme="minorHAnsi"/>
                <w:color w:val="000000"/>
                <w:sz w:val="20"/>
                <w:szCs w:val="20"/>
                <w:lang w:eastAsia="en-AU"/>
              </w:rPr>
              <w:t>0</w:t>
            </w:r>
          </w:p>
        </w:tc>
        <w:tc>
          <w:tcPr>
            <w:tcW w:w="1164" w:type="dxa"/>
            <w:shd w:val="clear" w:color="auto" w:fill="auto"/>
            <w:noWrap/>
            <w:hideMark/>
          </w:tcPr>
          <w:p w14:paraId="5E34CB0C" w14:textId="77777777" w:rsidR="00F33674" w:rsidRPr="00F33674" w:rsidRDefault="00F33674" w:rsidP="00F33674">
            <w:pPr>
              <w:jc w:val="left"/>
              <w:rPr>
                <w:rFonts w:ascii="Arial Narrow" w:hAnsi="Arial Narrow" w:cstheme="minorHAnsi"/>
                <w:color w:val="000000"/>
                <w:sz w:val="20"/>
                <w:szCs w:val="20"/>
                <w:lang w:eastAsia="en-AU"/>
              </w:rPr>
            </w:pPr>
            <w:r w:rsidRPr="00F33674">
              <w:rPr>
                <w:rFonts w:ascii="Arial Narrow" w:hAnsi="Arial Narrow" w:cstheme="minorHAnsi"/>
                <w:color w:val="000000"/>
                <w:sz w:val="20"/>
                <w:szCs w:val="20"/>
                <w:lang w:eastAsia="en-AU"/>
              </w:rPr>
              <w:t>Hospira Pty Limited</w:t>
            </w:r>
          </w:p>
        </w:tc>
        <w:tc>
          <w:tcPr>
            <w:tcW w:w="1843" w:type="dxa"/>
            <w:shd w:val="clear" w:color="auto" w:fill="auto"/>
            <w:noWrap/>
            <w:hideMark/>
          </w:tcPr>
          <w:p w14:paraId="2A5E7CE1" w14:textId="77777777" w:rsidR="00F33674" w:rsidRPr="00F33674" w:rsidRDefault="00F33674" w:rsidP="00F33674">
            <w:pPr>
              <w:jc w:val="left"/>
              <w:rPr>
                <w:rFonts w:ascii="Arial Narrow" w:hAnsi="Arial Narrow" w:cstheme="minorHAnsi"/>
                <w:color w:val="000000"/>
                <w:sz w:val="20"/>
                <w:szCs w:val="20"/>
                <w:lang w:eastAsia="en-AU"/>
              </w:rPr>
            </w:pPr>
            <w:r w:rsidRPr="00F33674">
              <w:rPr>
                <w:rFonts w:ascii="Arial Narrow" w:hAnsi="Arial Narrow" w:cstheme="minorHAnsi"/>
                <w:color w:val="000000"/>
                <w:sz w:val="20"/>
                <w:szCs w:val="20"/>
                <w:lang w:eastAsia="en-AU"/>
              </w:rPr>
              <w:t>Pfizer Australia Pty Ltd</w:t>
            </w:r>
          </w:p>
        </w:tc>
      </w:tr>
      <w:tr w:rsidR="00F33674" w:rsidRPr="00F33674" w14:paraId="4B7FE51B" w14:textId="77777777" w:rsidTr="00F33674">
        <w:trPr>
          <w:trHeight w:val="300"/>
        </w:trPr>
        <w:tc>
          <w:tcPr>
            <w:tcW w:w="1100" w:type="dxa"/>
            <w:shd w:val="clear" w:color="auto" w:fill="auto"/>
            <w:noWrap/>
          </w:tcPr>
          <w:p w14:paraId="69A05E5D" w14:textId="77777777" w:rsidR="00F33674" w:rsidRPr="00F33674" w:rsidRDefault="00F33674" w:rsidP="00F33674">
            <w:pPr>
              <w:jc w:val="left"/>
              <w:rPr>
                <w:rFonts w:ascii="Arial Narrow" w:hAnsi="Arial Narrow" w:cstheme="minorHAnsi"/>
                <w:color w:val="000000"/>
                <w:sz w:val="20"/>
                <w:szCs w:val="20"/>
                <w:lang w:eastAsia="en-AU"/>
              </w:rPr>
            </w:pPr>
          </w:p>
        </w:tc>
        <w:tc>
          <w:tcPr>
            <w:tcW w:w="791" w:type="dxa"/>
            <w:shd w:val="clear" w:color="auto" w:fill="auto"/>
          </w:tcPr>
          <w:p w14:paraId="48510DAC" w14:textId="77777777" w:rsidR="00F33674" w:rsidRPr="00F33674" w:rsidRDefault="00F33674" w:rsidP="00F33674">
            <w:pPr>
              <w:jc w:val="left"/>
              <w:rPr>
                <w:rFonts w:ascii="Arial Narrow" w:hAnsi="Arial Narrow" w:cstheme="minorHAnsi"/>
                <w:color w:val="000000"/>
                <w:sz w:val="20"/>
                <w:szCs w:val="20"/>
                <w:lang w:eastAsia="en-AU"/>
              </w:rPr>
            </w:pPr>
          </w:p>
        </w:tc>
        <w:tc>
          <w:tcPr>
            <w:tcW w:w="2787" w:type="dxa"/>
            <w:vMerge/>
            <w:shd w:val="clear" w:color="auto" w:fill="auto"/>
            <w:noWrap/>
          </w:tcPr>
          <w:p w14:paraId="68864AEF" w14:textId="77777777" w:rsidR="00F33674" w:rsidRPr="00F33674" w:rsidRDefault="00F33674" w:rsidP="00F33674">
            <w:pPr>
              <w:jc w:val="left"/>
              <w:rPr>
                <w:rFonts w:ascii="Arial Narrow" w:hAnsi="Arial Narrow" w:cstheme="minorHAnsi"/>
                <w:color w:val="000000"/>
                <w:sz w:val="20"/>
                <w:szCs w:val="20"/>
                <w:lang w:eastAsia="en-AU"/>
              </w:rPr>
            </w:pPr>
          </w:p>
        </w:tc>
        <w:tc>
          <w:tcPr>
            <w:tcW w:w="572" w:type="dxa"/>
            <w:shd w:val="clear" w:color="auto" w:fill="auto"/>
            <w:noWrap/>
          </w:tcPr>
          <w:p w14:paraId="02F5AFA9" w14:textId="77777777" w:rsidR="00F33674" w:rsidRPr="00F33674" w:rsidRDefault="00F33674" w:rsidP="00F33674">
            <w:pPr>
              <w:jc w:val="left"/>
              <w:rPr>
                <w:rFonts w:ascii="Arial Narrow" w:hAnsi="Arial Narrow" w:cstheme="minorHAnsi"/>
                <w:color w:val="000000"/>
                <w:sz w:val="20"/>
                <w:szCs w:val="20"/>
                <w:lang w:eastAsia="en-AU"/>
              </w:rPr>
            </w:pPr>
          </w:p>
        </w:tc>
        <w:tc>
          <w:tcPr>
            <w:tcW w:w="472" w:type="dxa"/>
            <w:shd w:val="clear" w:color="auto" w:fill="auto"/>
            <w:noWrap/>
          </w:tcPr>
          <w:p w14:paraId="26608B09" w14:textId="77777777" w:rsidR="00F33674" w:rsidRPr="00F33674" w:rsidRDefault="00F33674" w:rsidP="00F33674">
            <w:pPr>
              <w:jc w:val="right"/>
              <w:rPr>
                <w:rFonts w:ascii="Arial Narrow" w:hAnsi="Arial Narrow" w:cstheme="minorHAnsi"/>
                <w:color w:val="000000"/>
                <w:sz w:val="20"/>
                <w:szCs w:val="20"/>
                <w:lang w:eastAsia="en-AU"/>
              </w:rPr>
            </w:pPr>
          </w:p>
        </w:tc>
        <w:tc>
          <w:tcPr>
            <w:tcW w:w="1164" w:type="dxa"/>
            <w:shd w:val="clear" w:color="auto" w:fill="auto"/>
            <w:noWrap/>
          </w:tcPr>
          <w:p w14:paraId="60C2AB4A" w14:textId="77777777" w:rsidR="00F33674" w:rsidRPr="00F33674" w:rsidRDefault="00F33674" w:rsidP="00F33674">
            <w:pPr>
              <w:jc w:val="left"/>
              <w:rPr>
                <w:rFonts w:ascii="Arial Narrow" w:hAnsi="Arial Narrow" w:cstheme="minorHAnsi"/>
                <w:color w:val="000000"/>
                <w:sz w:val="20"/>
                <w:szCs w:val="20"/>
                <w:lang w:eastAsia="en-AU"/>
              </w:rPr>
            </w:pPr>
          </w:p>
        </w:tc>
        <w:tc>
          <w:tcPr>
            <w:tcW w:w="1843" w:type="dxa"/>
            <w:shd w:val="clear" w:color="auto" w:fill="auto"/>
            <w:noWrap/>
            <w:hideMark/>
          </w:tcPr>
          <w:p w14:paraId="2732309E" w14:textId="77777777" w:rsidR="00F33674" w:rsidRPr="00F33674" w:rsidRDefault="00F33674" w:rsidP="00F33674">
            <w:pPr>
              <w:jc w:val="left"/>
              <w:rPr>
                <w:rFonts w:ascii="Arial Narrow" w:hAnsi="Arial Narrow" w:cstheme="minorHAnsi"/>
                <w:color w:val="000000"/>
                <w:sz w:val="20"/>
                <w:szCs w:val="20"/>
                <w:lang w:eastAsia="en-AU"/>
              </w:rPr>
            </w:pPr>
            <w:r w:rsidRPr="00F33674">
              <w:rPr>
                <w:rFonts w:ascii="Arial Narrow" w:hAnsi="Arial Narrow" w:cstheme="minorHAnsi"/>
                <w:color w:val="000000"/>
                <w:sz w:val="20"/>
                <w:szCs w:val="20"/>
                <w:lang w:eastAsia="en-AU"/>
              </w:rPr>
              <w:t>Medsurge Healthcare Pty Ltd</w:t>
            </w:r>
          </w:p>
        </w:tc>
      </w:tr>
      <w:tr w:rsidR="00F33674" w:rsidRPr="00F33674" w14:paraId="3EC62D74" w14:textId="77777777" w:rsidTr="00F33674">
        <w:trPr>
          <w:trHeight w:val="300"/>
        </w:trPr>
        <w:tc>
          <w:tcPr>
            <w:tcW w:w="1100" w:type="dxa"/>
            <w:shd w:val="clear" w:color="auto" w:fill="auto"/>
            <w:noWrap/>
          </w:tcPr>
          <w:p w14:paraId="04851022" w14:textId="77777777" w:rsidR="00F33674" w:rsidRPr="00F33674" w:rsidRDefault="00F33674" w:rsidP="00F33674">
            <w:pPr>
              <w:jc w:val="left"/>
              <w:rPr>
                <w:rFonts w:ascii="Arial Narrow" w:hAnsi="Arial Narrow" w:cstheme="minorHAnsi"/>
                <w:color w:val="000000"/>
                <w:sz w:val="20"/>
                <w:szCs w:val="20"/>
                <w:lang w:eastAsia="en-AU"/>
              </w:rPr>
            </w:pPr>
          </w:p>
        </w:tc>
        <w:tc>
          <w:tcPr>
            <w:tcW w:w="791" w:type="dxa"/>
            <w:shd w:val="clear" w:color="auto" w:fill="auto"/>
          </w:tcPr>
          <w:p w14:paraId="7FC89B39" w14:textId="77777777" w:rsidR="00F33674" w:rsidRPr="00F33674" w:rsidRDefault="00F33674" w:rsidP="00F33674">
            <w:pPr>
              <w:jc w:val="left"/>
              <w:rPr>
                <w:rFonts w:ascii="Arial Narrow" w:hAnsi="Arial Narrow" w:cstheme="minorHAnsi"/>
                <w:color w:val="000000"/>
                <w:sz w:val="20"/>
                <w:szCs w:val="20"/>
                <w:lang w:eastAsia="en-AU"/>
              </w:rPr>
            </w:pPr>
            <w:r w:rsidRPr="00F33674">
              <w:rPr>
                <w:rFonts w:ascii="Arial Narrow" w:hAnsi="Arial Narrow" w:cstheme="minorHAnsi"/>
                <w:color w:val="000000"/>
                <w:sz w:val="20"/>
                <w:szCs w:val="20"/>
                <w:lang w:eastAsia="en-AU"/>
              </w:rPr>
              <w:t>5169C</w:t>
            </w:r>
          </w:p>
        </w:tc>
        <w:tc>
          <w:tcPr>
            <w:tcW w:w="2787" w:type="dxa"/>
            <w:vMerge w:val="restart"/>
            <w:shd w:val="clear" w:color="auto" w:fill="auto"/>
            <w:noWrap/>
            <w:hideMark/>
          </w:tcPr>
          <w:p w14:paraId="4DF7E6B9" w14:textId="77777777" w:rsidR="00F33674" w:rsidRPr="00F33674" w:rsidRDefault="00F33674" w:rsidP="00F33674">
            <w:pPr>
              <w:jc w:val="left"/>
              <w:rPr>
                <w:rFonts w:ascii="Arial Narrow" w:hAnsi="Arial Narrow" w:cstheme="minorHAnsi"/>
                <w:color w:val="000000"/>
                <w:sz w:val="20"/>
                <w:szCs w:val="20"/>
                <w:lang w:eastAsia="en-AU"/>
              </w:rPr>
            </w:pPr>
            <w:r w:rsidRPr="00F33674">
              <w:rPr>
                <w:rFonts w:ascii="Arial Narrow" w:hAnsi="Arial Narrow" w:cstheme="minorHAnsi"/>
                <w:color w:val="000000"/>
                <w:sz w:val="20"/>
                <w:szCs w:val="20"/>
                <w:lang w:eastAsia="en-AU"/>
              </w:rPr>
              <w:t>Injection containing morphine sulfate pentahydrate 15 mg in 1 mL</w:t>
            </w:r>
          </w:p>
        </w:tc>
        <w:tc>
          <w:tcPr>
            <w:tcW w:w="572" w:type="dxa"/>
            <w:shd w:val="clear" w:color="auto" w:fill="auto"/>
            <w:noWrap/>
            <w:hideMark/>
          </w:tcPr>
          <w:p w14:paraId="3A5B1B5A" w14:textId="77777777" w:rsidR="00F33674" w:rsidRPr="00F33674" w:rsidRDefault="00F33674" w:rsidP="00F33674">
            <w:pPr>
              <w:jc w:val="left"/>
              <w:rPr>
                <w:rFonts w:ascii="Arial Narrow" w:hAnsi="Arial Narrow" w:cstheme="minorHAnsi"/>
                <w:color w:val="000000"/>
                <w:sz w:val="20"/>
                <w:szCs w:val="20"/>
                <w:lang w:eastAsia="en-AU"/>
              </w:rPr>
            </w:pPr>
            <w:r w:rsidRPr="00F33674">
              <w:rPr>
                <w:rFonts w:ascii="Arial Narrow" w:hAnsi="Arial Narrow" w:cstheme="minorHAnsi"/>
                <w:color w:val="000000"/>
                <w:sz w:val="20"/>
                <w:szCs w:val="20"/>
                <w:lang w:eastAsia="en-AU"/>
              </w:rPr>
              <w:t>5</w:t>
            </w:r>
          </w:p>
        </w:tc>
        <w:tc>
          <w:tcPr>
            <w:tcW w:w="472" w:type="dxa"/>
            <w:shd w:val="clear" w:color="auto" w:fill="auto"/>
            <w:noWrap/>
            <w:hideMark/>
          </w:tcPr>
          <w:p w14:paraId="543524DC" w14:textId="77777777" w:rsidR="00F33674" w:rsidRPr="00F33674" w:rsidRDefault="00F33674" w:rsidP="00F33674">
            <w:pPr>
              <w:jc w:val="right"/>
              <w:rPr>
                <w:rFonts w:ascii="Arial Narrow" w:hAnsi="Arial Narrow" w:cstheme="minorHAnsi"/>
                <w:color w:val="000000"/>
                <w:sz w:val="20"/>
                <w:szCs w:val="20"/>
                <w:lang w:eastAsia="en-AU"/>
              </w:rPr>
            </w:pPr>
            <w:r w:rsidRPr="00F33674">
              <w:rPr>
                <w:rFonts w:ascii="Arial Narrow" w:hAnsi="Arial Narrow" w:cstheme="minorHAnsi"/>
                <w:color w:val="000000"/>
                <w:sz w:val="20"/>
                <w:szCs w:val="20"/>
                <w:lang w:eastAsia="en-AU"/>
              </w:rPr>
              <w:t>0</w:t>
            </w:r>
          </w:p>
        </w:tc>
        <w:tc>
          <w:tcPr>
            <w:tcW w:w="1164" w:type="dxa"/>
            <w:shd w:val="clear" w:color="auto" w:fill="auto"/>
            <w:noWrap/>
            <w:hideMark/>
          </w:tcPr>
          <w:p w14:paraId="15D3EB9C" w14:textId="77777777" w:rsidR="00F33674" w:rsidRPr="00F33674" w:rsidRDefault="00F33674" w:rsidP="00F33674">
            <w:pPr>
              <w:jc w:val="left"/>
              <w:rPr>
                <w:rFonts w:ascii="Arial Narrow" w:hAnsi="Arial Narrow" w:cstheme="minorHAnsi"/>
                <w:color w:val="000000"/>
                <w:sz w:val="20"/>
                <w:szCs w:val="20"/>
                <w:lang w:eastAsia="en-AU"/>
              </w:rPr>
            </w:pPr>
            <w:r w:rsidRPr="00F33674">
              <w:rPr>
                <w:rFonts w:ascii="Arial Narrow" w:hAnsi="Arial Narrow" w:cstheme="minorHAnsi"/>
                <w:color w:val="000000"/>
                <w:sz w:val="20"/>
                <w:szCs w:val="20"/>
                <w:lang w:eastAsia="en-AU"/>
              </w:rPr>
              <w:t>Hospira Pty Limited</w:t>
            </w:r>
          </w:p>
        </w:tc>
        <w:tc>
          <w:tcPr>
            <w:tcW w:w="1843" w:type="dxa"/>
            <w:shd w:val="clear" w:color="auto" w:fill="auto"/>
            <w:noWrap/>
            <w:hideMark/>
          </w:tcPr>
          <w:p w14:paraId="7E02716C" w14:textId="77777777" w:rsidR="00F33674" w:rsidRPr="00F33674" w:rsidRDefault="00F33674" w:rsidP="00F33674">
            <w:pPr>
              <w:jc w:val="left"/>
              <w:rPr>
                <w:rFonts w:ascii="Arial Narrow" w:hAnsi="Arial Narrow" w:cstheme="minorHAnsi"/>
                <w:color w:val="000000"/>
                <w:sz w:val="20"/>
                <w:szCs w:val="20"/>
                <w:lang w:eastAsia="en-AU"/>
              </w:rPr>
            </w:pPr>
            <w:r w:rsidRPr="00F33674">
              <w:rPr>
                <w:rFonts w:ascii="Arial Narrow" w:hAnsi="Arial Narrow" w:cstheme="minorHAnsi"/>
                <w:color w:val="000000"/>
                <w:sz w:val="20"/>
                <w:szCs w:val="20"/>
                <w:lang w:eastAsia="en-AU"/>
              </w:rPr>
              <w:t>Pfizer Australia Pty Ltd</w:t>
            </w:r>
          </w:p>
        </w:tc>
      </w:tr>
      <w:tr w:rsidR="00F33674" w:rsidRPr="00F33674" w14:paraId="01216C39" w14:textId="77777777" w:rsidTr="00F33674">
        <w:trPr>
          <w:trHeight w:val="300"/>
        </w:trPr>
        <w:tc>
          <w:tcPr>
            <w:tcW w:w="1100" w:type="dxa"/>
            <w:shd w:val="clear" w:color="auto" w:fill="auto"/>
            <w:noWrap/>
          </w:tcPr>
          <w:p w14:paraId="53CA804C" w14:textId="77777777" w:rsidR="00F33674" w:rsidRPr="00F33674" w:rsidRDefault="00F33674" w:rsidP="00F33674">
            <w:pPr>
              <w:jc w:val="left"/>
              <w:rPr>
                <w:rFonts w:ascii="Arial Narrow" w:hAnsi="Arial Narrow" w:cstheme="minorHAnsi"/>
                <w:color w:val="000000"/>
                <w:sz w:val="20"/>
                <w:szCs w:val="20"/>
                <w:lang w:eastAsia="en-AU"/>
              </w:rPr>
            </w:pPr>
          </w:p>
        </w:tc>
        <w:tc>
          <w:tcPr>
            <w:tcW w:w="791" w:type="dxa"/>
            <w:shd w:val="clear" w:color="auto" w:fill="auto"/>
          </w:tcPr>
          <w:p w14:paraId="1AA8D68D" w14:textId="77777777" w:rsidR="00F33674" w:rsidRPr="00F33674" w:rsidRDefault="00F33674" w:rsidP="00F33674">
            <w:pPr>
              <w:jc w:val="left"/>
              <w:rPr>
                <w:rFonts w:ascii="Arial Narrow" w:hAnsi="Arial Narrow" w:cstheme="minorHAnsi"/>
                <w:color w:val="000000"/>
                <w:sz w:val="20"/>
                <w:szCs w:val="20"/>
                <w:lang w:eastAsia="en-AU"/>
              </w:rPr>
            </w:pPr>
          </w:p>
        </w:tc>
        <w:tc>
          <w:tcPr>
            <w:tcW w:w="2787" w:type="dxa"/>
            <w:vMerge/>
            <w:shd w:val="clear" w:color="auto" w:fill="auto"/>
            <w:noWrap/>
          </w:tcPr>
          <w:p w14:paraId="5A3BAB20" w14:textId="77777777" w:rsidR="00F33674" w:rsidRPr="00F33674" w:rsidRDefault="00F33674" w:rsidP="00F33674">
            <w:pPr>
              <w:jc w:val="left"/>
              <w:rPr>
                <w:rFonts w:ascii="Arial Narrow" w:hAnsi="Arial Narrow" w:cstheme="minorHAnsi"/>
                <w:color w:val="000000"/>
                <w:sz w:val="20"/>
                <w:szCs w:val="20"/>
                <w:lang w:eastAsia="en-AU"/>
              </w:rPr>
            </w:pPr>
          </w:p>
        </w:tc>
        <w:tc>
          <w:tcPr>
            <w:tcW w:w="572" w:type="dxa"/>
            <w:shd w:val="clear" w:color="auto" w:fill="auto"/>
            <w:noWrap/>
          </w:tcPr>
          <w:p w14:paraId="3E20C48A" w14:textId="77777777" w:rsidR="00F33674" w:rsidRPr="00F33674" w:rsidRDefault="00F33674" w:rsidP="00F33674">
            <w:pPr>
              <w:jc w:val="left"/>
              <w:rPr>
                <w:rFonts w:ascii="Arial Narrow" w:hAnsi="Arial Narrow" w:cstheme="minorHAnsi"/>
                <w:color w:val="000000"/>
                <w:sz w:val="20"/>
                <w:szCs w:val="20"/>
                <w:lang w:eastAsia="en-AU"/>
              </w:rPr>
            </w:pPr>
          </w:p>
        </w:tc>
        <w:tc>
          <w:tcPr>
            <w:tcW w:w="472" w:type="dxa"/>
            <w:shd w:val="clear" w:color="auto" w:fill="auto"/>
            <w:noWrap/>
          </w:tcPr>
          <w:p w14:paraId="0A20BAC7" w14:textId="77777777" w:rsidR="00F33674" w:rsidRPr="00F33674" w:rsidRDefault="00F33674" w:rsidP="00F33674">
            <w:pPr>
              <w:jc w:val="right"/>
              <w:rPr>
                <w:rFonts w:ascii="Arial Narrow" w:hAnsi="Arial Narrow" w:cstheme="minorHAnsi"/>
                <w:color w:val="000000"/>
                <w:sz w:val="20"/>
                <w:szCs w:val="20"/>
                <w:lang w:eastAsia="en-AU"/>
              </w:rPr>
            </w:pPr>
          </w:p>
        </w:tc>
        <w:tc>
          <w:tcPr>
            <w:tcW w:w="1164" w:type="dxa"/>
            <w:shd w:val="clear" w:color="auto" w:fill="auto"/>
            <w:noWrap/>
          </w:tcPr>
          <w:p w14:paraId="24AA1333" w14:textId="77777777" w:rsidR="00F33674" w:rsidRPr="00F33674" w:rsidRDefault="00F33674" w:rsidP="00F33674">
            <w:pPr>
              <w:jc w:val="left"/>
              <w:rPr>
                <w:rFonts w:ascii="Arial Narrow" w:hAnsi="Arial Narrow" w:cstheme="minorHAnsi"/>
                <w:color w:val="000000"/>
                <w:sz w:val="20"/>
                <w:szCs w:val="20"/>
                <w:lang w:eastAsia="en-AU"/>
              </w:rPr>
            </w:pPr>
            <w:r w:rsidRPr="00F33674">
              <w:rPr>
                <w:rFonts w:ascii="Arial Narrow" w:hAnsi="Arial Narrow" w:cs="Calibri"/>
                <w:color w:val="000000"/>
                <w:sz w:val="20"/>
                <w:szCs w:val="20"/>
                <w:lang w:eastAsia="en-AU"/>
              </w:rPr>
              <w:t>MORPHINE SULFATE 15 mg/1 mL MEDSURGE</w:t>
            </w:r>
          </w:p>
        </w:tc>
        <w:tc>
          <w:tcPr>
            <w:tcW w:w="1843" w:type="dxa"/>
            <w:shd w:val="clear" w:color="auto" w:fill="auto"/>
            <w:noWrap/>
          </w:tcPr>
          <w:p w14:paraId="2BAF5A21" w14:textId="77777777" w:rsidR="00F33674" w:rsidRPr="00F33674" w:rsidRDefault="00F33674" w:rsidP="00F33674">
            <w:pPr>
              <w:jc w:val="left"/>
              <w:rPr>
                <w:rFonts w:ascii="Arial Narrow" w:hAnsi="Arial Narrow" w:cstheme="minorHAnsi"/>
                <w:color w:val="000000"/>
                <w:sz w:val="20"/>
                <w:szCs w:val="20"/>
                <w:lang w:eastAsia="en-AU"/>
              </w:rPr>
            </w:pPr>
            <w:r w:rsidRPr="00F33674">
              <w:rPr>
                <w:rFonts w:ascii="Arial Narrow" w:hAnsi="Arial Narrow" w:cs="Calibri"/>
                <w:color w:val="000000"/>
                <w:sz w:val="20"/>
                <w:szCs w:val="20"/>
                <w:lang w:eastAsia="en-AU"/>
              </w:rPr>
              <w:t>Medsurge Healthcare Pty Ltd</w:t>
            </w:r>
          </w:p>
        </w:tc>
      </w:tr>
      <w:tr w:rsidR="00F33674" w:rsidRPr="00F33674" w14:paraId="6F7D7DBE" w14:textId="77777777" w:rsidTr="00F33674">
        <w:trPr>
          <w:trHeight w:val="300"/>
        </w:trPr>
        <w:tc>
          <w:tcPr>
            <w:tcW w:w="1100" w:type="dxa"/>
            <w:shd w:val="clear" w:color="auto" w:fill="auto"/>
            <w:noWrap/>
          </w:tcPr>
          <w:p w14:paraId="7A417E13" w14:textId="77777777" w:rsidR="00F33674" w:rsidRPr="00F33674" w:rsidRDefault="00F33674" w:rsidP="00F33674">
            <w:pPr>
              <w:jc w:val="left"/>
              <w:rPr>
                <w:rFonts w:ascii="Arial Narrow" w:hAnsi="Arial Narrow" w:cstheme="minorHAnsi"/>
                <w:color w:val="000000"/>
                <w:sz w:val="20"/>
                <w:szCs w:val="20"/>
                <w:lang w:eastAsia="en-AU"/>
              </w:rPr>
            </w:pPr>
          </w:p>
        </w:tc>
        <w:tc>
          <w:tcPr>
            <w:tcW w:w="791" w:type="dxa"/>
            <w:shd w:val="clear" w:color="auto" w:fill="auto"/>
          </w:tcPr>
          <w:p w14:paraId="3D8EA806" w14:textId="77777777" w:rsidR="00F33674" w:rsidRPr="00F33674" w:rsidRDefault="00F33674" w:rsidP="00F33674">
            <w:pPr>
              <w:jc w:val="left"/>
              <w:rPr>
                <w:rFonts w:ascii="Arial Narrow" w:hAnsi="Arial Narrow" w:cstheme="minorHAnsi"/>
                <w:color w:val="000000"/>
                <w:sz w:val="20"/>
                <w:szCs w:val="20"/>
                <w:lang w:eastAsia="en-AU"/>
              </w:rPr>
            </w:pPr>
            <w:r w:rsidRPr="00F33674">
              <w:rPr>
                <w:rFonts w:ascii="Arial Narrow" w:hAnsi="Arial Narrow" w:cstheme="minorHAnsi"/>
                <w:color w:val="000000"/>
                <w:sz w:val="20"/>
                <w:szCs w:val="20"/>
                <w:lang w:eastAsia="en-AU"/>
              </w:rPr>
              <w:t>5170D</w:t>
            </w:r>
          </w:p>
        </w:tc>
        <w:tc>
          <w:tcPr>
            <w:tcW w:w="2787" w:type="dxa"/>
            <w:vMerge w:val="restart"/>
            <w:shd w:val="clear" w:color="auto" w:fill="auto"/>
            <w:noWrap/>
            <w:hideMark/>
          </w:tcPr>
          <w:p w14:paraId="24D0BCA2" w14:textId="77777777" w:rsidR="00F33674" w:rsidRPr="00F33674" w:rsidRDefault="00F33674" w:rsidP="00F33674">
            <w:pPr>
              <w:jc w:val="left"/>
              <w:rPr>
                <w:rFonts w:ascii="Arial Narrow" w:hAnsi="Arial Narrow" w:cstheme="minorHAnsi"/>
                <w:color w:val="000000"/>
                <w:sz w:val="20"/>
                <w:szCs w:val="20"/>
                <w:lang w:eastAsia="en-AU"/>
              </w:rPr>
            </w:pPr>
            <w:r w:rsidRPr="00F33674">
              <w:rPr>
                <w:rFonts w:ascii="Arial Narrow" w:hAnsi="Arial Narrow" w:cstheme="minorHAnsi"/>
                <w:color w:val="000000"/>
                <w:sz w:val="20"/>
                <w:szCs w:val="20"/>
                <w:lang w:eastAsia="en-AU"/>
              </w:rPr>
              <w:t>Injection containing morphine sulfate pentahydrate 30 mg in 1 mL</w:t>
            </w:r>
          </w:p>
        </w:tc>
        <w:tc>
          <w:tcPr>
            <w:tcW w:w="572" w:type="dxa"/>
            <w:shd w:val="clear" w:color="auto" w:fill="auto"/>
            <w:noWrap/>
            <w:hideMark/>
          </w:tcPr>
          <w:p w14:paraId="76E14D25" w14:textId="77777777" w:rsidR="00F33674" w:rsidRPr="00F33674" w:rsidRDefault="00F33674" w:rsidP="00F33674">
            <w:pPr>
              <w:jc w:val="left"/>
              <w:rPr>
                <w:rFonts w:ascii="Arial Narrow" w:hAnsi="Arial Narrow" w:cstheme="minorHAnsi"/>
                <w:color w:val="000000"/>
                <w:sz w:val="20"/>
                <w:szCs w:val="20"/>
                <w:lang w:eastAsia="en-AU"/>
              </w:rPr>
            </w:pPr>
            <w:r w:rsidRPr="00F33674">
              <w:rPr>
                <w:rFonts w:ascii="Arial Narrow" w:hAnsi="Arial Narrow" w:cstheme="minorHAnsi"/>
                <w:color w:val="000000"/>
                <w:sz w:val="20"/>
                <w:szCs w:val="20"/>
                <w:lang w:eastAsia="en-AU"/>
              </w:rPr>
              <w:t>5</w:t>
            </w:r>
          </w:p>
        </w:tc>
        <w:tc>
          <w:tcPr>
            <w:tcW w:w="472" w:type="dxa"/>
            <w:shd w:val="clear" w:color="auto" w:fill="auto"/>
            <w:noWrap/>
            <w:hideMark/>
          </w:tcPr>
          <w:p w14:paraId="3C596A6B" w14:textId="77777777" w:rsidR="00F33674" w:rsidRPr="00F33674" w:rsidRDefault="00F33674" w:rsidP="00F33674">
            <w:pPr>
              <w:jc w:val="right"/>
              <w:rPr>
                <w:rFonts w:ascii="Arial Narrow" w:hAnsi="Arial Narrow" w:cstheme="minorHAnsi"/>
                <w:color w:val="000000"/>
                <w:sz w:val="20"/>
                <w:szCs w:val="20"/>
                <w:lang w:eastAsia="en-AU"/>
              </w:rPr>
            </w:pPr>
            <w:r w:rsidRPr="00F33674">
              <w:rPr>
                <w:rFonts w:ascii="Arial Narrow" w:hAnsi="Arial Narrow" w:cstheme="minorHAnsi"/>
                <w:color w:val="000000"/>
                <w:sz w:val="20"/>
                <w:szCs w:val="20"/>
                <w:lang w:eastAsia="en-AU"/>
              </w:rPr>
              <w:t>0</w:t>
            </w:r>
          </w:p>
        </w:tc>
        <w:tc>
          <w:tcPr>
            <w:tcW w:w="1164" w:type="dxa"/>
            <w:shd w:val="clear" w:color="auto" w:fill="auto"/>
            <w:noWrap/>
            <w:hideMark/>
          </w:tcPr>
          <w:p w14:paraId="4D546CF4" w14:textId="77777777" w:rsidR="00F33674" w:rsidRPr="00F33674" w:rsidRDefault="00F33674" w:rsidP="00F33674">
            <w:pPr>
              <w:jc w:val="left"/>
              <w:rPr>
                <w:rFonts w:ascii="Arial Narrow" w:hAnsi="Arial Narrow" w:cstheme="minorHAnsi"/>
                <w:color w:val="000000"/>
                <w:sz w:val="20"/>
                <w:szCs w:val="20"/>
                <w:lang w:eastAsia="en-AU"/>
              </w:rPr>
            </w:pPr>
            <w:r w:rsidRPr="00F33674">
              <w:rPr>
                <w:rFonts w:ascii="Arial Narrow" w:hAnsi="Arial Narrow" w:cstheme="minorHAnsi"/>
                <w:color w:val="000000"/>
                <w:sz w:val="20"/>
                <w:szCs w:val="20"/>
                <w:lang w:eastAsia="en-AU"/>
              </w:rPr>
              <w:t>Hospira Pty Limited</w:t>
            </w:r>
          </w:p>
        </w:tc>
        <w:tc>
          <w:tcPr>
            <w:tcW w:w="1843" w:type="dxa"/>
            <w:shd w:val="clear" w:color="auto" w:fill="auto"/>
            <w:noWrap/>
            <w:hideMark/>
          </w:tcPr>
          <w:p w14:paraId="3AE49D90" w14:textId="77777777" w:rsidR="00F33674" w:rsidRPr="00F33674" w:rsidRDefault="00F33674" w:rsidP="00F33674">
            <w:pPr>
              <w:jc w:val="left"/>
              <w:rPr>
                <w:rFonts w:ascii="Arial Narrow" w:hAnsi="Arial Narrow" w:cstheme="minorHAnsi"/>
                <w:color w:val="000000"/>
                <w:sz w:val="20"/>
                <w:szCs w:val="20"/>
                <w:lang w:eastAsia="en-AU"/>
              </w:rPr>
            </w:pPr>
            <w:r w:rsidRPr="00F33674">
              <w:rPr>
                <w:rFonts w:ascii="Arial Narrow" w:hAnsi="Arial Narrow" w:cstheme="minorHAnsi"/>
                <w:color w:val="000000"/>
                <w:sz w:val="20"/>
                <w:szCs w:val="20"/>
                <w:lang w:eastAsia="en-AU"/>
              </w:rPr>
              <w:t>Pfizer Australia Pty Ltd</w:t>
            </w:r>
          </w:p>
        </w:tc>
      </w:tr>
      <w:tr w:rsidR="00F33674" w:rsidRPr="00F33674" w14:paraId="64231A78" w14:textId="77777777" w:rsidTr="00F33674">
        <w:trPr>
          <w:trHeight w:val="300"/>
        </w:trPr>
        <w:tc>
          <w:tcPr>
            <w:tcW w:w="1100" w:type="dxa"/>
            <w:shd w:val="clear" w:color="auto" w:fill="auto"/>
            <w:noWrap/>
          </w:tcPr>
          <w:p w14:paraId="3C4DD976" w14:textId="77777777" w:rsidR="00F33674" w:rsidRPr="00F33674" w:rsidRDefault="00F33674" w:rsidP="00F33674">
            <w:pPr>
              <w:jc w:val="left"/>
              <w:rPr>
                <w:rFonts w:ascii="Arial Narrow" w:hAnsi="Arial Narrow" w:cstheme="minorHAnsi"/>
                <w:color w:val="000000"/>
                <w:sz w:val="20"/>
                <w:szCs w:val="20"/>
                <w:lang w:eastAsia="en-AU"/>
              </w:rPr>
            </w:pPr>
          </w:p>
        </w:tc>
        <w:tc>
          <w:tcPr>
            <w:tcW w:w="791" w:type="dxa"/>
            <w:shd w:val="clear" w:color="auto" w:fill="auto"/>
          </w:tcPr>
          <w:p w14:paraId="119C4C07" w14:textId="77777777" w:rsidR="00F33674" w:rsidRPr="00F33674" w:rsidRDefault="00F33674" w:rsidP="00F33674">
            <w:pPr>
              <w:jc w:val="left"/>
              <w:rPr>
                <w:rFonts w:ascii="Arial Narrow" w:hAnsi="Arial Narrow" w:cstheme="minorHAnsi"/>
                <w:color w:val="000000"/>
                <w:sz w:val="20"/>
                <w:szCs w:val="20"/>
                <w:lang w:eastAsia="en-AU"/>
              </w:rPr>
            </w:pPr>
          </w:p>
        </w:tc>
        <w:tc>
          <w:tcPr>
            <w:tcW w:w="2787" w:type="dxa"/>
            <w:vMerge/>
            <w:shd w:val="clear" w:color="auto" w:fill="auto"/>
            <w:noWrap/>
          </w:tcPr>
          <w:p w14:paraId="341D58F3" w14:textId="77777777" w:rsidR="00F33674" w:rsidRPr="00F33674" w:rsidRDefault="00F33674" w:rsidP="00F33674">
            <w:pPr>
              <w:jc w:val="left"/>
              <w:rPr>
                <w:rFonts w:ascii="Arial Narrow" w:hAnsi="Arial Narrow" w:cstheme="minorHAnsi"/>
                <w:color w:val="000000"/>
                <w:sz w:val="20"/>
                <w:szCs w:val="20"/>
                <w:lang w:eastAsia="en-AU"/>
              </w:rPr>
            </w:pPr>
          </w:p>
        </w:tc>
        <w:tc>
          <w:tcPr>
            <w:tcW w:w="572" w:type="dxa"/>
            <w:shd w:val="clear" w:color="auto" w:fill="auto"/>
            <w:noWrap/>
          </w:tcPr>
          <w:p w14:paraId="64EA22CA" w14:textId="77777777" w:rsidR="00F33674" w:rsidRPr="00F33674" w:rsidRDefault="00F33674" w:rsidP="00F33674">
            <w:pPr>
              <w:jc w:val="left"/>
              <w:rPr>
                <w:rFonts w:ascii="Arial Narrow" w:hAnsi="Arial Narrow" w:cstheme="minorHAnsi"/>
                <w:color w:val="000000"/>
                <w:sz w:val="20"/>
                <w:szCs w:val="20"/>
                <w:lang w:eastAsia="en-AU"/>
              </w:rPr>
            </w:pPr>
          </w:p>
        </w:tc>
        <w:tc>
          <w:tcPr>
            <w:tcW w:w="472" w:type="dxa"/>
            <w:shd w:val="clear" w:color="auto" w:fill="auto"/>
            <w:noWrap/>
          </w:tcPr>
          <w:p w14:paraId="05458849" w14:textId="77777777" w:rsidR="00F33674" w:rsidRPr="00F33674" w:rsidRDefault="00F33674" w:rsidP="00F33674">
            <w:pPr>
              <w:jc w:val="right"/>
              <w:rPr>
                <w:rFonts w:ascii="Arial Narrow" w:hAnsi="Arial Narrow" w:cstheme="minorHAnsi"/>
                <w:color w:val="000000"/>
                <w:sz w:val="20"/>
                <w:szCs w:val="20"/>
                <w:lang w:eastAsia="en-AU"/>
              </w:rPr>
            </w:pPr>
          </w:p>
        </w:tc>
        <w:tc>
          <w:tcPr>
            <w:tcW w:w="1164" w:type="dxa"/>
            <w:shd w:val="clear" w:color="auto" w:fill="auto"/>
            <w:noWrap/>
          </w:tcPr>
          <w:p w14:paraId="578A1762" w14:textId="77777777" w:rsidR="00F33674" w:rsidRPr="00F33674" w:rsidRDefault="00F33674" w:rsidP="00F33674">
            <w:pPr>
              <w:jc w:val="left"/>
              <w:rPr>
                <w:rFonts w:ascii="Arial Narrow" w:hAnsi="Arial Narrow" w:cstheme="minorHAnsi"/>
                <w:color w:val="000000"/>
                <w:sz w:val="20"/>
                <w:szCs w:val="20"/>
                <w:lang w:eastAsia="en-AU"/>
              </w:rPr>
            </w:pPr>
            <w:r w:rsidRPr="00F33674">
              <w:rPr>
                <w:rFonts w:ascii="Arial Narrow" w:hAnsi="Arial Narrow" w:cs="Calibri"/>
                <w:color w:val="000000"/>
                <w:sz w:val="20"/>
                <w:szCs w:val="20"/>
                <w:lang w:eastAsia="en-AU"/>
              </w:rPr>
              <w:t>MORPHINE SULFATE 30 mg/1 mL MEDSURGE</w:t>
            </w:r>
          </w:p>
        </w:tc>
        <w:tc>
          <w:tcPr>
            <w:tcW w:w="1843" w:type="dxa"/>
            <w:shd w:val="clear" w:color="auto" w:fill="auto"/>
            <w:noWrap/>
          </w:tcPr>
          <w:p w14:paraId="67AFF3A6" w14:textId="77777777" w:rsidR="00F33674" w:rsidRPr="00F33674" w:rsidRDefault="00F33674" w:rsidP="00F33674">
            <w:pPr>
              <w:jc w:val="left"/>
              <w:rPr>
                <w:rFonts w:ascii="Arial Narrow" w:hAnsi="Arial Narrow" w:cstheme="minorHAnsi"/>
                <w:color w:val="000000"/>
                <w:sz w:val="20"/>
                <w:szCs w:val="20"/>
                <w:lang w:eastAsia="en-AU"/>
              </w:rPr>
            </w:pPr>
            <w:r w:rsidRPr="00F33674">
              <w:rPr>
                <w:rFonts w:ascii="Arial Narrow" w:hAnsi="Arial Narrow" w:cs="Calibri"/>
                <w:color w:val="000000"/>
                <w:sz w:val="20"/>
                <w:szCs w:val="20"/>
                <w:lang w:eastAsia="en-AU"/>
              </w:rPr>
              <w:t>Medsurge Healthcare Pty Ltd</w:t>
            </w:r>
          </w:p>
        </w:tc>
      </w:tr>
    </w:tbl>
    <w:p w14:paraId="31BB4E67" w14:textId="77777777" w:rsidR="00F33674" w:rsidRPr="00F33674" w:rsidRDefault="00F33674" w:rsidP="00F33674">
      <w:pPr>
        <w:ind w:left="360" w:hanging="360"/>
        <w:contextualSpacing/>
        <w:jc w:val="left"/>
      </w:pPr>
    </w:p>
    <w:tbl>
      <w:tblPr>
        <w:tblW w:w="9214" w:type="dxa"/>
        <w:tblInd w:w="-5" w:type="dxa"/>
        <w:tblLayout w:type="fixed"/>
        <w:tblLook w:val="0000" w:firstRow="0" w:lastRow="0" w:firstColumn="0" w:lastColumn="0" w:noHBand="0" w:noVBand="0"/>
      </w:tblPr>
      <w:tblGrid>
        <w:gridCol w:w="2835"/>
        <w:gridCol w:w="6379"/>
      </w:tblGrid>
      <w:tr w:rsidR="00F33674" w:rsidRPr="00F33674" w14:paraId="65DA7BC6" w14:textId="77777777" w:rsidTr="00F33674">
        <w:trPr>
          <w:cantSplit/>
          <w:trHeight w:val="360"/>
        </w:trPr>
        <w:tc>
          <w:tcPr>
            <w:tcW w:w="2835" w:type="dxa"/>
            <w:tcBorders>
              <w:top w:val="single" w:sz="4" w:space="0" w:color="auto"/>
              <w:left w:val="single" w:sz="4" w:space="0" w:color="auto"/>
              <w:bottom w:val="single" w:sz="4" w:space="0" w:color="auto"/>
              <w:right w:val="single" w:sz="4" w:space="0" w:color="auto"/>
            </w:tcBorders>
          </w:tcPr>
          <w:p w14:paraId="79BB92F7" w14:textId="77777777" w:rsidR="00F33674" w:rsidRPr="00F33674" w:rsidRDefault="00F33674" w:rsidP="00F33674">
            <w:pPr>
              <w:rPr>
                <w:rFonts w:ascii="Arial Narrow" w:hAnsi="Arial Narrow" w:cs="Arial"/>
                <w:b/>
                <w:sz w:val="20"/>
                <w:szCs w:val="20"/>
              </w:rPr>
            </w:pPr>
            <w:r w:rsidRPr="00F33674">
              <w:rPr>
                <w:rFonts w:ascii="Arial Narrow" w:hAnsi="Arial Narrow" w:cs="Arial"/>
                <w:b/>
                <w:sz w:val="20"/>
                <w:szCs w:val="20"/>
              </w:rPr>
              <w:t>Category / Program:</w:t>
            </w:r>
          </w:p>
        </w:tc>
        <w:tc>
          <w:tcPr>
            <w:tcW w:w="6379" w:type="dxa"/>
            <w:tcBorders>
              <w:top w:val="single" w:sz="4" w:space="0" w:color="auto"/>
              <w:left w:val="single" w:sz="4" w:space="0" w:color="auto"/>
              <w:bottom w:val="single" w:sz="4" w:space="0" w:color="auto"/>
              <w:right w:val="single" w:sz="4" w:space="0" w:color="auto"/>
            </w:tcBorders>
          </w:tcPr>
          <w:p w14:paraId="2C020DDC" w14:textId="77777777" w:rsidR="00F33674" w:rsidRPr="00F33674" w:rsidRDefault="00F33674" w:rsidP="00F33674">
            <w:pPr>
              <w:rPr>
                <w:rFonts w:ascii="Arial Narrow" w:hAnsi="Arial Narrow" w:cs="Arial"/>
                <w:sz w:val="20"/>
                <w:szCs w:val="20"/>
              </w:rPr>
            </w:pPr>
            <w:r w:rsidRPr="00F33674">
              <w:rPr>
                <w:rFonts w:ascii="Arial Narrow" w:hAnsi="Arial Narrow" w:cs="Arial"/>
                <w:sz w:val="20"/>
                <w:szCs w:val="20"/>
              </w:rPr>
              <w:t>GENERAL – General Schedule (Code GE)</w:t>
            </w:r>
          </w:p>
        </w:tc>
      </w:tr>
      <w:tr w:rsidR="00F33674" w:rsidRPr="00F33674" w14:paraId="6A3B5A51" w14:textId="77777777" w:rsidTr="00F33674">
        <w:trPr>
          <w:cantSplit/>
          <w:trHeight w:val="360"/>
        </w:trPr>
        <w:tc>
          <w:tcPr>
            <w:tcW w:w="2835" w:type="dxa"/>
            <w:tcBorders>
              <w:top w:val="single" w:sz="4" w:space="0" w:color="auto"/>
              <w:left w:val="single" w:sz="4" w:space="0" w:color="auto"/>
              <w:bottom w:val="single" w:sz="4" w:space="0" w:color="auto"/>
              <w:right w:val="single" w:sz="4" w:space="0" w:color="auto"/>
            </w:tcBorders>
          </w:tcPr>
          <w:p w14:paraId="09CB4661" w14:textId="77777777" w:rsidR="00F33674" w:rsidRPr="00F33674" w:rsidRDefault="00F33674" w:rsidP="00F33674">
            <w:pPr>
              <w:rPr>
                <w:rFonts w:ascii="Arial Narrow" w:hAnsi="Arial Narrow" w:cs="Arial"/>
                <w:b/>
                <w:sz w:val="20"/>
                <w:szCs w:val="20"/>
              </w:rPr>
            </w:pPr>
            <w:r w:rsidRPr="00F33674">
              <w:rPr>
                <w:rFonts w:ascii="Arial Narrow" w:hAnsi="Arial Narrow" w:cs="Arial"/>
                <w:b/>
                <w:sz w:val="20"/>
                <w:szCs w:val="20"/>
              </w:rPr>
              <w:t>Prescriber type:</w:t>
            </w:r>
          </w:p>
          <w:p w14:paraId="5657BCD8" w14:textId="77777777" w:rsidR="00F33674" w:rsidRPr="00F33674" w:rsidRDefault="00F33674" w:rsidP="00F33674">
            <w:pPr>
              <w:rPr>
                <w:rFonts w:ascii="Arial Narrow" w:hAnsi="Arial Narrow" w:cs="Arial"/>
                <w:b/>
                <w:sz w:val="20"/>
                <w:szCs w:val="20"/>
              </w:rPr>
            </w:pPr>
          </w:p>
        </w:tc>
        <w:tc>
          <w:tcPr>
            <w:tcW w:w="6379" w:type="dxa"/>
            <w:tcBorders>
              <w:top w:val="single" w:sz="4" w:space="0" w:color="auto"/>
              <w:left w:val="single" w:sz="4" w:space="0" w:color="auto"/>
              <w:bottom w:val="single" w:sz="4" w:space="0" w:color="auto"/>
              <w:right w:val="single" w:sz="4" w:space="0" w:color="auto"/>
            </w:tcBorders>
          </w:tcPr>
          <w:p w14:paraId="7EF4A0DA" w14:textId="1A14B1D6" w:rsidR="00F33674" w:rsidRPr="00F33674" w:rsidRDefault="00F33674" w:rsidP="00F33674">
            <w:pPr>
              <w:rPr>
                <w:rFonts w:ascii="Arial Narrow" w:hAnsi="Arial Narrow" w:cs="Arial"/>
                <w:sz w:val="20"/>
                <w:szCs w:val="20"/>
              </w:rPr>
            </w:pPr>
            <w:r w:rsidRPr="00F33674">
              <w:rPr>
                <w:rFonts w:ascii="Arial Narrow" w:hAnsi="Arial Narrow" w:cs="Arial"/>
                <w:sz w:val="20"/>
                <w:szCs w:val="20"/>
              </w:rPr>
              <w:fldChar w:fldCharType="begin">
                <w:ffData>
                  <w:name w:val=""/>
                  <w:enabled/>
                  <w:calcOnExit w:val="0"/>
                  <w:checkBox>
                    <w:sizeAuto/>
                    <w:default w:val="1"/>
                  </w:checkBox>
                </w:ffData>
              </w:fldChar>
            </w:r>
            <w:r w:rsidRPr="00F33674">
              <w:rPr>
                <w:rFonts w:ascii="Arial Narrow" w:hAnsi="Arial Narrow" w:cs="Arial"/>
                <w:sz w:val="20"/>
                <w:szCs w:val="20"/>
              </w:rPr>
              <w:instrText xml:space="preserve"> FORMCHECKBOX </w:instrText>
            </w:r>
            <w:r w:rsidR="00233D13">
              <w:rPr>
                <w:rFonts w:ascii="Arial Narrow" w:hAnsi="Arial Narrow" w:cs="Arial"/>
                <w:sz w:val="20"/>
                <w:szCs w:val="20"/>
              </w:rPr>
            </w:r>
            <w:r w:rsidR="00233D13">
              <w:rPr>
                <w:rFonts w:ascii="Arial Narrow" w:hAnsi="Arial Narrow" w:cs="Arial"/>
                <w:sz w:val="20"/>
                <w:szCs w:val="20"/>
              </w:rPr>
              <w:fldChar w:fldCharType="separate"/>
            </w:r>
            <w:r w:rsidRPr="00F33674">
              <w:rPr>
                <w:rFonts w:ascii="Arial Narrow" w:hAnsi="Arial Narrow" w:cs="Arial"/>
                <w:sz w:val="20"/>
                <w:szCs w:val="20"/>
              </w:rPr>
              <w:fldChar w:fldCharType="end"/>
            </w:r>
            <w:r w:rsidRPr="00F33674">
              <w:rPr>
                <w:rFonts w:ascii="Arial Narrow" w:hAnsi="Arial Narrow" w:cs="Arial"/>
                <w:sz w:val="20"/>
                <w:szCs w:val="20"/>
              </w:rPr>
              <w:t>Dental</w:t>
            </w:r>
            <w:r w:rsidR="002C1329">
              <w:rPr>
                <w:rFonts w:ascii="Arial Narrow" w:hAnsi="Arial Narrow" w:cs="Arial"/>
                <w:sz w:val="20"/>
                <w:szCs w:val="20"/>
              </w:rPr>
              <w:t xml:space="preserve"> </w:t>
            </w:r>
            <w:r w:rsidRPr="00F33674">
              <w:rPr>
                <w:rFonts w:ascii="Arial Narrow" w:hAnsi="Arial Narrow" w:cs="Arial"/>
                <w:sz w:val="20"/>
                <w:szCs w:val="20"/>
              </w:rPr>
              <w:fldChar w:fldCharType="begin">
                <w:ffData>
                  <w:name w:val=""/>
                  <w:enabled/>
                  <w:calcOnExit w:val="0"/>
                  <w:checkBox>
                    <w:sizeAuto/>
                    <w:default w:val="0"/>
                  </w:checkBox>
                </w:ffData>
              </w:fldChar>
            </w:r>
            <w:r w:rsidRPr="00F33674">
              <w:rPr>
                <w:rFonts w:ascii="Arial Narrow" w:hAnsi="Arial Narrow" w:cs="Arial"/>
                <w:sz w:val="20"/>
                <w:szCs w:val="20"/>
              </w:rPr>
              <w:instrText xml:space="preserve"> FORMCHECKBOX </w:instrText>
            </w:r>
            <w:r w:rsidR="00233D13">
              <w:rPr>
                <w:rFonts w:ascii="Arial Narrow" w:hAnsi="Arial Narrow" w:cs="Arial"/>
                <w:sz w:val="20"/>
                <w:szCs w:val="20"/>
              </w:rPr>
            </w:r>
            <w:r w:rsidR="00233D13">
              <w:rPr>
                <w:rFonts w:ascii="Arial Narrow" w:hAnsi="Arial Narrow" w:cs="Arial"/>
                <w:sz w:val="20"/>
                <w:szCs w:val="20"/>
              </w:rPr>
              <w:fldChar w:fldCharType="separate"/>
            </w:r>
            <w:r w:rsidRPr="00F33674">
              <w:rPr>
                <w:rFonts w:ascii="Arial Narrow" w:hAnsi="Arial Narrow" w:cs="Arial"/>
                <w:sz w:val="20"/>
                <w:szCs w:val="20"/>
              </w:rPr>
              <w:fldChar w:fldCharType="end"/>
            </w:r>
            <w:r w:rsidRPr="00F33674">
              <w:rPr>
                <w:rFonts w:ascii="Arial Narrow" w:hAnsi="Arial Narrow" w:cs="Arial"/>
                <w:sz w:val="20"/>
                <w:szCs w:val="20"/>
              </w:rPr>
              <w:t>Medical Practitioners</w:t>
            </w:r>
            <w:r w:rsidR="002C1329">
              <w:rPr>
                <w:rFonts w:ascii="Arial Narrow" w:hAnsi="Arial Narrow" w:cs="Arial"/>
                <w:sz w:val="20"/>
                <w:szCs w:val="20"/>
              </w:rPr>
              <w:t xml:space="preserve"> </w:t>
            </w:r>
            <w:r w:rsidRPr="00F33674">
              <w:rPr>
                <w:rFonts w:ascii="Arial Narrow" w:hAnsi="Arial Narrow" w:cs="Arial"/>
                <w:sz w:val="20"/>
                <w:szCs w:val="20"/>
              </w:rPr>
              <w:fldChar w:fldCharType="begin">
                <w:ffData>
                  <w:name w:val=""/>
                  <w:enabled/>
                  <w:calcOnExit w:val="0"/>
                  <w:checkBox>
                    <w:sizeAuto/>
                    <w:default w:val="0"/>
                  </w:checkBox>
                </w:ffData>
              </w:fldChar>
            </w:r>
            <w:r w:rsidRPr="00F33674">
              <w:rPr>
                <w:rFonts w:ascii="Arial Narrow" w:hAnsi="Arial Narrow" w:cs="Arial"/>
                <w:sz w:val="20"/>
                <w:szCs w:val="20"/>
              </w:rPr>
              <w:instrText xml:space="preserve"> FORMCHECKBOX </w:instrText>
            </w:r>
            <w:r w:rsidR="00233D13">
              <w:rPr>
                <w:rFonts w:ascii="Arial Narrow" w:hAnsi="Arial Narrow" w:cs="Arial"/>
                <w:sz w:val="20"/>
                <w:szCs w:val="20"/>
              </w:rPr>
            </w:r>
            <w:r w:rsidR="00233D13">
              <w:rPr>
                <w:rFonts w:ascii="Arial Narrow" w:hAnsi="Arial Narrow" w:cs="Arial"/>
                <w:sz w:val="20"/>
                <w:szCs w:val="20"/>
              </w:rPr>
              <w:fldChar w:fldCharType="separate"/>
            </w:r>
            <w:r w:rsidRPr="00F33674">
              <w:rPr>
                <w:rFonts w:ascii="Arial Narrow" w:hAnsi="Arial Narrow" w:cs="Arial"/>
                <w:sz w:val="20"/>
                <w:szCs w:val="20"/>
              </w:rPr>
              <w:fldChar w:fldCharType="end"/>
            </w:r>
            <w:r w:rsidRPr="00F33674">
              <w:rPr>
                <w:rFonts w:ascii="Arial Narrow" w:hAnsi="Arial Narrow" w:cs="Arial"/>
                <w:sz w:val="20"/>
                <w:szCs w:val="20"/>
              </w:rPr>
              <w:t>Nurse practitioners</w:t>
            </w:r>
            <w:r w:rsidR="002C1329">
              <w:rPr>
                <w:rFonts w:ascii="Arial Narrow" w:hAnsi="Arial Narrow" w:cs="Arial"/>
                <w:sz w:val="20"/>
                <w:szCs w:val="20"/>
              </w:rPr>
              <w:t xml:space="preserve"> </w:t>
            </w:r>
            <w:r w:rsidRPr="00F33674">
              <w:rPr>
                <w:rFonts w:ascii="Arial Narrow" w:hAnsi="Arial Narrow" w:cs="Arial"/>
                <w:sz w:val="20"/>
                <w:szCs w:val="20"/>
              </w:rPr>
              <w:fldChar w:fldCharType="begin">
                <w:ffData>
                  <w:name w:val=""/>
                  <w:enabled/>
                  <w:calcOnExit w:val="0"/>
                  <w:checkBox>
                    <w:sizeAuto/>
                    <w:default w:val="0"/>
                  </w:checkBox>
                </w:ffData>
              </w:fldChar>
            </w:r>
            <w:r w:rsidRPr="00F33674">
              <w:rPr>
                <w:rFonts w:ascii="Arial Narrow" w:hAnsi="Arial Narrow" w:cs="Arial"/>
                <w:sz w:val="20"/>
                <w:szCs w:val="20"/>
              </w:rPr>
              <w:instrText xml:space="preserve"> FORMCHECKBOX </w:instrText>
            </w:r>
            <w:r w:rsidR="00233D13">
              <w:rPr>
                <w:rFonts w:ascii="Arial Narrow" w:hAnsi="Arial Narrow" w:cs="Arial"/>
                <w:sz w:val="20"/>
                <w:szCs w:val="20"/>
              </w:rPr>
            </w:r>
            <w:r w:rsidR="00233D13">
              <w:rPr>
                <w:rFonts w:ascii="Arial Narrow" w:hAnsi="Arial Narrow" w:cs="Arial"/>
                <w:sz w:val="20"/>
                <w:szCs w:val="20"/>
              </w:rPr>
              <w:fldChar w:fldCharType="separate"/>
            </w:r>
            <w:r w:rsidRPr="00F33674">
              <w:rPr>
                <w:rFonts w:ascii="Arial Narrow" w:hAnsi="Arial Narrow" w:cs="Arial"/>
                <w:sz w:val="20"/>
                <w:szCs w:val="20"/>
              </w:rPr>
              <w:fldChar w:fldCharType="end"/>
            </w:r>
            <w:r w:rsidRPr="00F33674">
              <w:rPr>
                <w:rFonts w:ascii="Arial Narrow" w:hAnsi="Arial Narrow" w:cs="Arial"/>
                <w:sz w:val="20"/>
                <w:szCs w:val="20"/>
              </w:rPr>
              <w:t>Optometrists</w:t>
            </w:r>
          </w:p>
          <w:p w14:paraId="09CBCB1A" w14:textId="77777777" w:rsidR="00F33674" w:rsidRPr="00F33674" w:rsidRDefault="00F33674" w:rsidP="00F33674">
            <w:pPr>
              <w:rPr>
                <w:rFonts w:ascii="Arial Narrow" w:hAnsi="Arial Narrow" w:cs="Arial"/>
                <w:sz w:val="20"/>
                <w:szCs w:val="20"/>
              </w:rPr>
            </w:pPr>
            <w:r w:rsidRPr="00F33674">
              <w:rPr>
                <w:rFonts w:ascii="Arial Narrow" w:hAnsi="Arial Narrow" w:cs="Arial"/>
                <w:sz w:val="20"/>
                <w:szCs w:val="20"/>
              </w:rPr>
              <w:fldChar w:fldCharType="begin">
                <w:ffData>
                  <w:name w:val="Check5"/>
                  <w:enabled/>
                  <w:calcOnExit w:val="0"/>
                  <w:checkBox>
                    <w:sizeAuto/>
                    <w:default w:val="0"/>
                  </w:checkBox>
                </w:ffData>
              </w:fldChar>
            </w:r>
            <w:r w:rsidRPr="00F33674">
              <w:rPr>
                <w:rFonts w:ascii="Arial Narrow" w:hAnsi="Arial Narrow" w:cs="Arial"/>
                <w:sz w:val="20"/>
                <w:szCs w:val="20"/>
              </w:rPr>
              <w:instrText xml:space="preserve"> FORMCHECKBOX </w:instrText>
            </w:r>
            <w:r w:rsidR="00233D13">
              <w:rPr>
                <w:rFonts w:ascii="Arial Narrow" w:hAnsi="Arial Narrow" w:cs="Arial"/>
                <w:sz w:val="20"/>
                <w:szCs w:val="20"/>
              </w:rPr>
            </w:r>
            <w:r w:rsidR="00233D13">
              <w:rPr>
                <w:rFonts w:ascii="Arial Narrow" w:hAnsi="Arial Narrow" w:cs="Arial"/>
                <w:sz w:val="20"/>
                <w:szCs w:val="20"/>
              </w:rPr>
              <w:fldChar w:fldCharType="separate"/>
            </w:r>
            <w:r w:rsidRPr="00F33674">
              <w:rPr>
                <w:rFonts w:ascii="Arial Narrow" w:hAnsi="Arial Narrow" w:cs="Arial"/>
                <w:sz w:val="20"/>
                <w:szCs w:val="20"/>
              </w:rPr>
              <w:fldChar w:fldCharType="end"/>
            </w:r>
            <w:r w:rsidRPr="00F33674">
              <w:rPr>
                <w:rFonts w:ascii="Arial Narrow" w:hAnsi="Arial Narrow" w:cs="Arial"/>
                <w:sz w:val="20"/>
                <w:szCs w:val="20"/>
              </w:rPr>
              <w:t>Midwives</w:t>
            </w:r>
          </w:p>
        </w:tc>
      </w:tr>
      <w:tr w:rsidR="00F33674" w:rsidRPr="00F33674" w14:paraId="371459B4" w14:textId="77777777" w:rsidTr="00F33674">
        <w:trPr>
          <w:cantSplit/>
          <w:trHeight w:val="369"/>
        </w:trPr>
        <w:tc>
          <w:tcPr>
            <w:tcW w:w="2835" w:type="dxa"/>
            <w:tcBorders>
              <w:top w:val="single" w:sz="4" w:space="0" w:color="auto"/>
              <w:left w:val="single" w:sz="4" w:space="0" w:color="auto"/>
              <w:bottom w:val="single" w:sz="4" w:space="0" w:color="auto"/>
              <w:right w:val="single" w:sz="4" w:space="0" w:color="auto"/>
            </w:tcBorders>
          </w:tcPr>
          <w:p w14:paraId="0204C646" w14:textId="77777777" w:rsidR="00F33674" w:rsidRPr="00F33674" w:rsidRDefault="00F33674" w:rsidP="00F33674">
            <w:pPr>
              <w:rPr>
                <w:rFonts w:ascii="Arial Narrow" w:hAnsi="Arial Narrow" w:cs="Arial"/>
                <w:b/>
                <w:sz w:val="20"/>
                <w:szCs w:val="20"/>
              </w:rPr>
            </w:pPr>
            <w:r w:rsidRPr="00F33674">
              <w:rPr>
                <w:rFonts w:ascii="Arial Narrow" w:hAnsi="Arial Narrow" w:cs="Arial"/>
                <w:b/>
                <w:sz w:val="20"/>
                <w:szCs w:val="20"/>
              </w:rPr>
              <w:t>PBS indication:</w:t>
            </w:r>
          </w:p>
        </w:tc>
        <w:tc>
          <w:tcPr>
            <w:tcW w:w="6379" w:type="dxa"/>
            <w:tcBorders>
              <w:top w:val="single" w:sz="4" w:space="0" w:color="auto"/>
              <w:left w:val="single" w:sz="4" w:space="0" w:color="auto"/>
              <w:bottom w:val="single" w:sz="4" w:space="0" w:color="auto"/>
              <w:right w:val="single" w:sz="4" w:space="0" w:color="auto"/>
            </w:tcBorders>
          </w:tcPr>
          <w:p w14:paraId="0C370DAD" w14:textId="77777777" w:rsidR="00F33674" w:rsidRPr="00F33674" w:rsidRDefault="00F33674" w:rsidP="00F33674">
            <w:pPr>
              <w:rPr>
                <w:rFonts w:ascii="Arial Narrow" w:hAnsi="Arial Narrow" w:cs="Arial"/>
                <w:sz w:val="20"/>
                <w:szCs w:val="20"/>
              </w:rPr>
            </w:pPr>
            <w:r w:rsidRPr="00F33674">
              <w:rPr>
                <w:rFonts w:ascii="Arial Narrow" w:hAnsi="Arial Narrow" w:cs="Arial"/>
                <w:sz w:val="20"/>
                <w:szCs w:val="20"/>
              </w:rPr>
              <w:t>[7861] Severe pain</w:t>
            </w:r>
          </w:p>
        </w:tc>
      </w:tr>
      <w:tr w:rsidR="00F33674" w:rsidRPr="00F33674" w14:paraId="174808DE" w14:textId="77777777" w:rsidTr="00F33674">
        <w:trPr>
          <w:cantSplit/>
          <w:trHeight w:val="360"/>
        </w:trPr>
        <w:tc>
          <w:tcPr>
            <w:tcW w:w="2835" w:type="dxa"/>
            <w:tcBorders>
              <w:top w:val="single" w:sz="4" w:space="0" w:color="auto"/>
              <w:left w:val="single" w:sz="4" w:space="0" w:color="auto"/>
              <w:bottom w:val="single" w:sz="4" w:space="0" w:color="auto"/>
              <w:right w:val="single" w:sz="4" w:space="0" w:color="auto"/>
            </w:tcBorders>
          </w:tcPr>
          <w:p w14:paraId="22C20D2C" w14:textId="77777777" w:rsidR="00F33674" w:rsidRPr="00F33674" w:rsidRDefault="00F33674" w:rsidP="00F33674">
            <w:pPr>
              <w:rPr>
                <w:rFonts w:ascii="Arial Narrow" w:hAnsi="Arial Narrow" w:cs="Arial"/>
                <w:b/>
                <w:sz w:val="20"/>
                <w:szCs w:val="20"/>
              </w:rPr>
            </w:pPr>
            <w:r w:rsidRPr="00F33674">
              <w:rPr>
                <w:rFonts w:ascii="Arial Narrow" w:hAnsi="Arial Narrow" w:cs="Arial"/>
                <w:b/>
                <w:sz w:val="20"/>
                <w:szCs w:val="20"/>
              </w:rPr>
              <w:t>Restriction Level / Method:</w:t>
            </w:r>
          </w:p>
          <w:p w14:paraId="098023C9" w14:textId="77777777" w:rsidR="00F33674" w:rsidRPr="00F33674" w:rsidRDefault="00F33674" w:rsidP="00F33674">
            <w:pPr>
              <w:rPr>
                <w:rFonts w:ascii="Arial Narrow" w:hAnsi="Arial Narrow" w:cs="Arial"/>
                <w:i/>
                <w:sz w:val="20"/>
                <w:szCs w:val="20"/>
              </w:rPr>
            </w:pPr>
          </w:p>
          <w:p w14:paraId="13E97E7C" w14:textId="77777777" w:rsidR="00F33674" w:rsidRPr="00F33674" w:rsidRDefault="00F33674" w:rsidP="00F33674">
            <w:pPr>
              <w:rPr>
                <w:rFonts w:ascii="Arial Narrow" w:hAnsi="Arial Narrow" w:cs="Arial"/>
                <w:i/>
                <w:sz w:val="20"/>
                <w:szCs w:val="20"/>
              </w:rPr>
            </w:pPr>
          </w:p>
          <w:p w14:paraId="7FA611D1" w14:textId="77777777" w:rsidR="00F33674" w:rsidRPr="00F33674" w:rsidRDefault="00F33674" w:rsidP="00F33674">
            <w:pPr>
              <w:rPr>
                <w:rFonts w:ascii="Arial Narrow" w:hAnsi="Arial Narrow" w:cs="Arial"/>
                <w:i/>
                <w:sz w:val="20"/>
                <w:szCs w:val="20"/>
              </w:rPr>
            </w:pPr>
          </w:p>
        </w:tc>
        <w:tc>
          <w:tcPr>
            <w:tcW w:w="6379" w:type="dxa"/>
            <w:tcBorders>
              <w:top w:val="single" w:sz="4" w:space="0" w:color="auto"/>
              <w:left w:val="single" w:sz="4" w:space="0" w:color="auto"/>
              <w:bottom w:val="single" w:sz="4" w:space="0" w:color="auto"/>
              <w:right w:val="single" w:sz="4" w:space="0" w:color="auto"/>
            </w:tcBorders>
          </w:tcPr>
          <w:p w14:paraId="210676AA" w14:textId="77777777" w:rsidR="00F33674" w:rsidRPr="00F33674" w:rsidRDefault="00F33674" w:rsidP="00F33674">
            <w:pPr>
              <w:rPr>
                <w:rFonts w:ascii="Arial Narrow" w:hAnsi="Arial Narrow" w:cs="Arial"/>
                <w:sz w:val="20"/>
                <w:szCs w:val="20"/>
              </w:rPr>
            </w:pPr>
            <w:r w:rsidRPr="00F33674">
              <w:rPr>
                <w:rFonts w:ascii="Arial Narrow" w:hAnsi="Arial Narrow" w:cs="Arial"/>
                <w:sz w:val="20"/>
                <w:szCs w:val="20"/>
              </w:rPr>
              <w:fldChar w:fldCharType="begin">
                <w:ffData>
                  <w:name w:val=""/>
                  <w:enabled/>
                  <w:calcOnExit w:val="0"/>
                  <w:checkBox>
                    <w:sizeAuto/>
                    <w:default w:val="0"/>
                  </w:checkBox>
                </w:ffData>
              </w:fldChar>
            </w:r>
            <w:r w:rsidRPr="00F33674">
              <w:rPr>
                <w:rFonts w:ascii="Arial Narrow" w:hAnsi="Arial Narrow" w:cs="Arial"/>
                <w:sz w:val="20"/>
                <w:szCs w:val="20"/>
              </w:rPr>
              <w:instrText xml:space="preserve"> FORMCHECKBOX </w:instrText>
            </w:r>
            <w:r w:rsidR="00233D13">
              <w:rPr>
                <w:rFonts w:ascii="Arial Narrow" w:hAnsi="Arial Narrow" w:cs="Arial"/>
                <w:sz w:val="20"/>
                <w:szCs w:val="20"/>
              </w:rPr>
            </w:r>
            <w:r w:rsidR="00233D13">
              <w:rPr>
                <w:rFonts w:ascii="Arial Narrow" w:hAnsi="Arial Narrow" w:cs="Arial"/>
                <w:sz w:val="20"/>
                <w:szCs w:val="20"/>
              </w:rPr>
              <w:fldChar w:fldCharType="separate"/>
            </w:r>
            <w:r w:rsidRPr="00F33674">
              <w:rPr>
                <w:rFonts w:ascii="Arial Narrow" w:hAnsi="Arial Narrow" w:cs="Arial"/>
                <w:sz w:val="20"/>
                <w:szCs w:val="20"/>
              </w:rPr>
              <w:fldChar w:fldCharType="end"/>
            </w:r>
            <w:r w:rsidRPr="00F33674">
              <w:rPr>
                <w:rFonts w:ascii="Arial Narrow" w:hAnsi="Arial Narrow" w:cs="Arial"/>
                <w:sz w:val="20"/>
                <w:szCs w:val="20"/>
              </w:rPr>
              <w:t>Unrestricted benefit</w:t>
            </w:r>
          </w:p>
          <w:p w14:paraId="1003156D" w14:textId="77777777" w:rsidR="00F33674" w:rsidRPr="00F33674" w:rsidRDefault="00F33674" w:rsidP="00F33674">
            <w:pPr>
              <w:rPr>
                <w:rFonts w:ascii="Arial Narrow" w:hAnsi="Arial Narrow" w:cs="Arial"/>
                <w:i/>
                <w:sz w:val="20"/>
                <w:szCs w:val="20"/>
              </w:rPr>
            </w:pPr>
            <w:r w:rsidRPr="00F33674">
              <w:rPr>
                <w:rFonts w:ascii="Arial Narrow" w:hAnsi="Arial Narrow" w:cs="Arial"/>
                <w:i/>
                <w:sz w:val="20"/>
                <w:szCs w:val="20"/>
              </w:rPr>
              <w:fldChar w:fldCharType="begin">
                <w:ffData>
                  <w:name w:val="Check1"/>
                  <w:enabled/>
                  <w:calcOnExit w:val="0"/>
                  <w:checkBox>
                    <w:sizeAuto/>
                    <w:default w:val="1"/>
                  </w:checkBox>
                </w:ffData>
              </w:fldChar>
            </w:r>
            <w:r w:rsidRPr="00F33674">
              <w:rPr>
                <w:rFonts w:ascii="Arial Narrow" w:hAnsi="Arial Narrow" w:cs="Arial"/>
                <w:i/>
                <w:sz w:val="20"/>
                <w:szCs w:val="20"/>
              </w:rPr>
              <w:instrText xml:space="preserve"> FORMCHECKBOX </w:instrText>
            </w:r>
            <w:r w:rsidR="00233D13">
              <w:rPr>
                <w:rFonts w:ascii="Arial Narrow" w:hAnsi="Arial Narrow" w:cs="Arial"/>
                <w:i/>
                <w:sz w:val="20"/>
                <w:szCs w:val="20"/>
              </w:rPr>
            </w:r>
            <w:r w:rsidR="00233D13">
              <w:rPr>
                <w:rFonts w:ascii="Arial Narrow" w:hAnsi="Arial Narrow" w:cs="Arial"/>
                <w:i/>
                <w:sz w:val="20"/>
                <w:szCs w:val="20"/>
              </w:rPr>
              <w:fldChar w:fldCharType="separate"/>
            </w:r>
            <w:r w:rsidRPr="00F33674">
              <w:rPr>
                <w:rFonts w:ascii="Arial Narrow" w:hAnsi="Arial Narrow" w:cs="Arial"/>
                <w:i/>
                <w:sz w:val="20"/>
                <w:szCs w:val="20"/>
              </w:rPr>
              <w:fldChar w:fldCharType="end"/>
            </w:r>
            <w:r w:rsidRPr="00F33674">
              <w:rPr>
                <w:rFonts w:ascii="Arial Narrow" w:hAnsi="Arial Narrow" w:cs="Arial"/>
                <w:sz w:val="20"/>
                <w:szCs w:val="20"/>
              </w:rPr>
              <w:t>Restricted benefit</w:t>
            </w:r>
          </w:p>
          <w:p w14:paraId="6159BCE1" w14:textId="77777777" w:rsidR="00F33674" w:rsidRPr="00F33674" w:rsidRDefault="00F33674" w:rsidP="00F33674">
            <w:pPr>
              <w:rPr>
                <w:rFonts w:ascii="Arial Narrow" w:hAnsi="Arial Narrow" w:cs="Arial"/>
                <w:sz w:val="20"/>
                <w:szCs w:val="20"/>
              </w:rPr>
            </w:pPr>
            <w:r w:rsidRPr="00F33674">
              <w:rPr>
                <w:rFonts w:ascii="Arial Narrow" w:hAnsi="Arial Narrow" w:cs="Arial"/>
                <w:sz w:val="20"/>
                <w:szCs w:val="20"/>
              </w:rPr>
              <w:fldChar w:fldCharType="begin">
                <w:ffData>
                  <w:name w:val=""/>
                  <w:enabled/>
                  <w:calcOnExit w:val="0"/>
                  <w:checkBox>
                    <w:sizeAuto/>
                    <w:default w:val="0"/>
                  </w:checkBox>
                </w:ffData>
              </w:fldChar>
            </w:r>
            <w:r w:rsidRPr="00F33674">
              <w:rPr>
                <w:rFonts w:ascii="Arial Narrow" w:hAnsi="Arial Narrow" w:cs="Arial"/>
                <w:sz w:val="20"/>
                <w:szCs w:val="20"/>
              </w:rPr>
              <w:instrText xml:space="preserve"> FORMCHECKBOX </w:instrText>
            </w:r>
            <w:r w:rsidR="00233D13">
              <w:rPr>
                <w:rFonts w:ascii="Arial Narrow" w:hAnsi="Arial Narrow" w:cs="Arial"/>
                <w:sz w:val="20"/>
                <w:szCs w:val="20"/>
              </w:rPr>
            </w:r>
            <w:r w:rsidR="00233D13">
              <w:rPr>
                <w:rFonts w:ascii="Arial Narrow" w:hAnsi="Arial Narrow" w:cs="Arial"/>
                <w:sz w:val="20"/>
                <w:szCs w:val="20"/>
              </w:rPr>
              <w:fldChar w:fldCharType="separate"/>
            </w:r>
            <w:r w:rsidRPr="00F33674">
              <w:rPr>
                <w:rFonts w:ascii="Arial Narrow" w:hAnsi="Arial Narrow" w:cs="Arial"/>
                <w:sz w:val="20"/>
                <w:szCs w:val="20"/>
              </w:rPr>
              <w:fldChar w:fldCharType="end"/>
            </w:r>
            <w:r w:rsidRPr="00F33674">
              <w:rPr>
                <w:rFonts w:ascii="Arial Narrow" w:hAnsi="Arial Narrow" w:cs="Arial"/>
                <w:sz w:val="20"/>
                <w:szCs w:val="20"/>
              </w:rPr>
              <w:t>Authority Required – In Writing</w:t>
            </w:r>
          </w:p>
          <w:p w14:paraId="4AAFEC1D" w14:textId="77777777" w:rsidR="00F33674" w:rsidRPr="00F33674" w:rsidRDefault="00F33674" w:rsidP="00F33674">
            <w:pPr>
              <w:rPr>
                <w:rFonts w:ascii="Arial Narrow" w:hAnsi="Arial Narrow" w:cs="Arial"/>
                <w:sz w:val="20"/>
                <w:szCs w:val="20"/>
              </w:rPr>
            </w:pPr>
            <w:r w:rsidRPr="00F33674">
              <w:rPr>
                <w:rFonts w:ascii="Arial Narrow" w:hAnsi="Arial Narrow" w:cs="Arial"/>
                <w:sz w:val="20"/>
                <w:szCs w:val="20"/>
              </w:rPr>
              <w:fldChar w:fldCharType="begin">
                <w:ffData>
                  <w:name w:val="Check3"/>
                  <w:enabled/>
                  <w:calcOnExit w:val="0"/>
                  <w:checkBox>
                    <w:sizeAuto/>
                    <w:default w:val="0"/>
                  </w:checkBox>
                </w:ffData>
              </w:fldChar>
            </w:r>
            <w:r w:rsidRPr="00F33674">
              <w:rPr>
                <w:rFonts w:ascii="Arial Narrow" w:hAnsi="Arial Narrow" w:cs="Arial"/>
                <w:sz w:val="20"/>
                <w:szCs w:val="20"/>
              </w:rPr>
              <w:instrText xml:space="preserve"> FORMCHECKBOX </w:instrText>
            </w:r>
            <w:r w:rsidR="00233D13">
              <w:rPr>
                <w:rFonts w:ascii="Arial Narrow" w:hAnsi="Arial Narrow" w:cs="Arial"/>
                <w:sz w:val="20"/>
                <w:szCs w:val="20"/>
              </w:rPr>
            </w:r>
            <w:r w:rsidR="00233D13">
              <w:rPr>
                <w:rFonts w:ascii="Arial Narrow" w:hAnsi="Arial Narrow" w:cs="Arial"/>
                <w:sz w:val="20"/>
                <w:szCs w:val="20"/>
              </w:rPr>
              <w:fldChar w:fldCharType="separate"/>
            </w:r>
            <w:r w:rsidRPr="00F33674">
              <w:rPr>
                <w:rFonts w:ascii="Arial Narrow" w:hAnsi="Arial Narrow" w:cs="Arial"/>
                <w:sz w:val="20"/>
                <w:szCs w:val="20"/>
              </w:rPr>
              <w:fldChar w:fldCharType="end"/>
            </w:r>
            <w:r w:rsidRPr="00F33674">
              <w:rPr>
                <w:rFonts w:ascii="Arial Narrow" w:hAnsi="Arial Narrow" w:cs="Arial"/>
                <w:sz w:val="20"/>
                <w:szCs w:val="20"/>
              </w:rPr>
              <w:t>Authority Required – Telephone/Electronic/Emergency</w:t>
            </w:r>
          </w:p>
          <w:p w14:paraId="5A01EF59" w14:textId="77777777" w:rsidR="00F33674" w:rsidRPr="00F33674" w:rsidRDefault="00F33674" w:rsidP="00F33674">
            <w:pPr>
              <w:rPr>
                <w:rFonts w:ascii="Arial Narrow" w:hAnsi="Arial Narrow" w:cs="Arial"/>
                <w:sz w:val="20"/>
                <w:szCs w:val="20"/>
              </w:rPr>
            </w:pPr>
            <w:r w:rsidRPr="00F33674">
              <w:rPr>
                <w:rFonts w:ascii="Arial Narrow" w:hAnsi="Arial Narrow" w:cs="Arial"/>
                <w:sz w:val="20"/>
                <w:szCs w:val="20"/>
              </w:rPr>
              <w:fldChar w:fldCharType="begin">
                <w:ffData>
                  <w:name w:val="Check5"/>
                  <w:enabled/>
                  <w:calcOnExit w:val="0"/>
                  <w:checkBox>
                    <w:sizeAuto/>
                    <w:default w:val="0"/>
                  </w:checkBox>
                </w:ffData>
              </w:fldChar>
            </w:r>
            <w:r w:rsidRPr="00F33674">
              <w:rPr>
                <w:rFonts w:ascii="Arial Narrow" w:hAnsi="Arial Narrow" w:cs="Arial"/>
                <w:sz w:val="20"/>
                <w:szCs w:val="20"/>
              </w:rPr>
              <w:instrText xml:space="preserve"> FORMCHECKBOX </w:instrText>
            </w:r>
            <w:r w:rsidR="00233D13">
              <w:rPr>
                <w:rFonts w:ascii="Arial Narrow" w:hAnsi="Arial Narrow" w:cs="Arial"/>
                <w:sz w:val="20"/>
                <w:szCs w:val="20"/>
              </w:rPr>
            </w:r>
            <w:r w:rsidR="00233D13">
              <w:rPr>
                <w:rFonts w:ascii="Arial Narrow" w:hAnsi="Arial Narrow" w:cs="Arial"/>
                <w:sz w:val="20"/>
                <w:szCs w:val="20"/>
              </w:rPr>
              <w:fldChar w:fldCharType="separate"/>
            </w:r>
            <w:r w:rsidRPr="00F33674">
              <w:rPr>
                <w:rFonts w:ascii="Arial Narrow" w:hAnsi="Arial Narrow" w:cs="Arial"/>
                <w:sz w:val="20"/>
                <w:szCs w:val="20"/>
              </w:rPr>
              <w:fldChar w:fldCharType="end"/>
            </w:r>
            <w:r w:rsidRPr="00F33674">
              <w:rPr>
                <w:rFonts w:ascii="Arial Narrow" w:hAnsi="Arial Narrow" w:cs="Arial"/>
                <w:sz w:val="20"/>
                <w:szCs w:val="20"/>
              </w:rPr>
              <w:t>Streamlined</w:t>
            </w:r>
          </w:p>
        </w:tc>
      </w:tr>
      <w:tr w:rsidR="00F33674" w:rsidRPr="00F33674" w14:paraId="2C9243B8" w14:textId="77777777" w:rsidTr="00F33674">
        <w:trPr>
          <w:cantSplit/>
          <w:trHeight w:val="360"/>
        </w:trPr>
        <w:tc>
          <w:tcPr>
            <w:tcW w:w="2835" w:type="dxa"/>
            <w:tcBorders>
              <w:top w:val="single" w:sz="4" w:space="0" w:color="auto"/>
              <w:left w:val="single" w:sz="4" w:space="0" w:color="auto"/>
              <w:bottom w:val="single" w:sz="4" w:space="0" w:color="auto"/>
              <w:right w:val="single" w:sz="4" w:space="0" w:color="auto"/>
            </w:tcBorders>
          </w:tcPr>
          <w:p w14:paraId="4188F6D4" w14:textId="77777777" w:rsidR="00F33674" w:rsidRPr="00F33674" w:rsidRDefault="00F33674" w:rsidP="00F33674">
            <w:pPr>
              <w:rPr>
                <w:rFonts w:ascii="Arial Narrow" w:hAnsi="Arial Narrow" w:cs="Arial"/>
                <w:b/>
                <w:sz w:val="20"/>
                <w:szCs w:val="20"/>
              </w:rPr>
            </w:pPr>
            <w:r w:rsidRPr="00F33674">
              <w:rPr>
                <w:rFonts w:ascii="Arial Narrow" w:hAnsi="Arial Narrow" w:cs="Arial"/>
                <w:b/>
                <w:sz w:val="20"/>
                <w:szCs w:val="20"/>
              </w:rPr>
              <w:t>Clinical criteria:</w:t>
            </w:r>
          </w:p>
        </w:tc>
        <w:tc>
          <w:tcPr>
            <w:tcW w:w="6379" w:type="dxa"/>
            <w:tcBorders>
              <w:top w:val="single" w:sz="4" w:space="0" w:color="auto"/>
              <w:left w:val="single" w:sz="4" w:space="0" w:color="auto"/>
              <w:bottom w:val="single" w:sz="4" w:space="0" w:color="auto"/>
              <w:right w:val="single" w:sz="4" w:space="0" w:color="auto"/>
            </w:tcBorders>
          </w:tcPr>
          <w:p w14:paraId="3E71F61D" w14:textId="6FCD7CA7" w:rsidR="00F33674" w:rsidRPr="00F33674" w:rsidRDefault="00F33674" w:rsidP="00F33674">
            <w:pPr>
              <w:jc w:val="left"/>
              <w:rPr>
                <w:rFonts w:ascii="Arial Narrow" w:hAnsi="Arial Narrow" w:cs="Arial"/>
                <w:sz w:val="20"/>
                <w:szCs w:val="20"/>
              </w:rPr>
            </w:pPr>
            <w:r w:rsidRPr="00F33674">
              <w:rPr>
                <w:rFonts w:ascii="Arial Narrow" w:hAnsi="Arial Narrow" w:cs="Arial"/>
                <w:sz w:val="20"/>
                <w:szCs w:val="20"/>
              </w:rPr>
              <w:t xml:space="preserve">[new] Patient must have </w:t>
            </w:r>
            <w:r w:rsidR="00C56B30">
              <w:rPr>
                <w:rFonts w:ascii="Arial Narrow" w:hAnsi="Arial Narrow" w:cs="Arial"/>
                <w:sz w:val="20"/>
                <w:szCs w:val="20"/>
              </w:rPr>
              <w:t>had or would have</w:t>
            </w:r>
            <w:r w:rsidRPr="00F33674">
              <w:rPr>
                <w:rFonts w:ascii="Arial Narrow" w:hAnsi="Arial Narrow" w:cs="Arial"/>
                <w:sz w:val="20"/>
                <w:szCs w:val="20"/>
              </w:rPr>
              <w:t xml:space="preserve"> inadequate </w:t>
            </w:r>
            <w:r w:rsidR="00C56B30">
              <w:rPr>
                <w:rFonts w:ascii="Arial Narrow" w:hAnsi="Arial Narrow" w:cs="Arial"/>
                <w:sz w:val="20"/>
                <w:szCs w:val="20"/>
              </w:rPr>
              <w:t xml:space="preserve">pain </w:t>
            </w:r>
            <w:r w:rsidRPr="00F33674">
              <w:rPr>
                <w:rFonts w:ascii="Arial Narrow" w:hAnsi="Arial Narrow" w:cs="Arial"/>
                <w:sz w:val="20"/>
                <w:szCs w:val="20"/>
              </w:rPr>
              <w:t xml:space="preserve">management </w:t>
            </w:r>
            <w:r w:rsidR="00C56B30">
              <w:rPr>
                <w:rFonts w:ascii="Arial Narrow" w:hAnsi="Arial Narrow" w:cs="Arial"/>
                <w:sz w:val="20"/>
                <w:szCs w:val="20"/>
              </w:rPr>
              <w:t>with</w:t>
            </w:r>
            <w:r w:rsidRPr="00F33674">
              <w:rPr>
                <w:rFonts w:ascii="Arial Narrow" w:hAnsi="Arial Narrow" w:cs="Arial"/>
                <w:sz w:val="20"/>
                <w:szCs w:val="20"/>
              </w:rPr>
              <w:t xml:space="preserve"> maximum tolerated doses of non-opioid and other opioid analgesics</w:t>
            </w:r>
          </w:p>
          <w:p w14:paraId="34FB7ADF" w14:textId="77777777" w:rsidR="00F33674" w:rsidRPr="00F33674" w:rsidRDefault="00F33674" w:rsidP="00F33674">
            <w:pPr>
              <w:jc w:val="left"/>
              <w:rPr>
                <w:rFonts w:ascii="Arial Narrow" w:hAnsi="Arial Narrow" w:cs="Arial"/>
                <w:sz w:val="20"/>
                <w:szCs w:val="20"/>
              </w:rPr>
            </w:pPr>
          </w:p>
          <w:p w14:paraId="2EA589AA" w14:textId="77777777" w:rsidR="00F33674" w:rsidRPr="00F33674" w:rsidRDefault="00F33674" w:rsidP="00F33674">
            <w:pPr>
              <w:jc w:val="left"/>
              <w:rPr>
                <w:rFonts w:ascii="Arial Narrow" w:hAnsi="Arial Narrow" w:cs="Arial"/>
                <w:sz w:val="20"/>
                <w:szCs w:val="20"/>
              </w:rPr>
            </w:pPr>
            <w:r w:rsidRPr="00F33674">
              <w:rPr>
                <w:rFonts w:ascii="Arial Narrow" w:hAnsi="Arial Narrow" w:cs="Arial"/>
                <w:sz w:val="20"/>
                <w:szCs w:val="20"/>
              </w:rPr>
              <w:t>OR</w:t>
            </w:r>
          </w:p>
          <w:p w14:paraId="045D7DAC" w14:textId="77777777" w:rsidR="00C56B30" w:rsidRPr="00F33674" w:rsidRDefault="00C56B30" w:rsidP="00F33674">
            <w:pPr>
              <w:jc w:val="left"/>
              <w:rPr>
                <w:rFonts w:ascii="Arial Narrow" w:hAnsi="Arial Narrow" w:cs="Arial"/>
                <w:sz w:val="20"/>
                <w:szCs w:val="20"/>
              </w:rPr>
            </w:pPr>
          </w:p>
          <w:p w14:paraId="3D8DC880" w14:textId="27B775E2" w:rsidR="00F33674" w:rsidRPr="00F33674" w:rsidRDefault="00F33674" w:rsidP="00F33674">
            <w:pPr>
              <w:jc w:val="left"/>
              <w:rPr>
                <w:rFonts w:ascii="Arial Narrow" w:hAnsi="Arial Narrow" w:cs="Arial"/>
                <w:sz w:val="20"/>
                <w:szCs w:val="20"/>
              </w:rPr>
            </w:pPr>
            <w:r w:rsidRPr="00F33674">
              <w:rPr>
                <w:rFonts w:ascii="Arial Narrow" w:hAnsi="Arial Narrow" w:cs="Arial"/>
                <w:sz w:val="20"/>
                <w:szCs w:val="20"/>
              </w:rPr>
              <w:t>[new] Patient must be unable to use non-opioid and other opioid analgesics due to contraindications or intolerance.</w:t>
            </w:r>
          </w:p>
          <w:p w14:paraId="0351B091" w14:textId="77777777" w:rsidR="00F33674" w:rsidRPr="00F33674" w:rsidRDefault="00F33674" w:rsidP="00F33674">
            <w:pPr>
              <w:jc w:val="left"/>
              <w:rPr>
                <w:rFonts w:ascii="Arial Narrow" w:hAnsi="Arial Narrow" w:cs="Arial"/>
                <w:i/>
                <w:sz w:val="20"/>
                <w:szCs w:val="20"/>
              </w:rPr>
            </w:pPr>
          </w:p>
          <w:p w14:paraId="6FEF6AE3" w14:textId="77777777" w:rsidR="00F33674" w:rsidRPr="00F33674" w:rsidRDefault="00F33674" w:rsidP="00F33674">
            <w:pPr>
              <w:jc w:val="left"/>
              <w:rPr>
                <w:rFonts w:ascii="Arial Narrow" w:hAnsi="Arial Narrow" w:cs="Arial"/>
                <w:sz w:val="20"/>
                <w:szCs w:val="20"/>
              </w:rPr>
            </w:pPr>
            <w:r w:rsidRPr="00F33674">
              <w:rPr>
                <w:rFonts w:ascii="Arial Narrow" w:hAnsi="Arial Narrow" w:cs="Arial"/>
                <w:sz w:val="20"/>
                <w:szCs w:val="20"/>
              </w:rPr>
              <w:t>OR</w:t>
            </w:r>
          </w:p>
          <w:p w14:paraId="4EE479DB" w14:textId="77777777" w:rsidR="00F33674" w:rsidRPr="00F33674" w:rsidRDefault="00F33674" w:rsidP="00F33674">
            <w:pPr>
              <w:jc w:val="left"/>
              <w:rPr>
                <w:rFonts w:ascii="Arial Narrow" w:hAnsi="Arial Narrow" w:cs="Arial"/>
                <w:sz w:val="20"/>
                <w:szCs w:val="20"/>
              </w:rPr>
            </w:pPr>
          </w:p>
          <w:p w14:paraId="2E23ACFD" w14:textId="77777777" w:rsidR="00F33674" w:rsidRPr="00F33674" w:rsidRDefault="00F33674" w:rsidP="00F33674">
            <w:pPr>
              <w:jc w:val="left"/>
              <w:rPr>
                <w:rFonts w:ascii="Arial Narrow" w:hAnsi="Arial Narrow" w:cs="Arial"/>
                <w:sz w:val="20"/>
                <w:szCs w:val="20"/>
              </w:rPr>
            </w:pPr>
            <w:r w:rsidRPr="00F33674">
              <w:rPr>
                <w:rFonts w:ascii="Arial Narrow" w:hAnsi="Arial Narrow" w:cs="Arial"/>
                <w:sz w:val="20"/>
                <w:szCs w:val="20"/>
              </w:rPr>
              <w:t>[new] The treatment must be part of pre-operative care</w:t>
            </w:r>
          </w:p>
          <w:p w14:paraId="29B02500" w14:textId="77777777" w:rsidR="00F33674" w:rsidRPr="00F33674" w:rsidRDefault="00F33674" w:rsidP="00F33674">
            <w:pPr>
              <w:jc w:val="left"/>
              <w:rPr>
                <w:rFonts w:ascii="Arial Narrow" w:hAnsi="Arial Narrow" w:cs="Arial"/>
                <w:sz w:val="20"/>
                <w:szCs w:val="20"/>
              </w:rPr>
            </w:pPr>
          </w:p>
          <w:p w14:paraId="65884897" w14:textId="77777777" w:rsidR="00F33674" w:rsidRPr="00F33674" w:rsidRDefault="00F33674" w:rsidP="00F33674">
            <w:pPr>
              <w:jc w:val="left"/>
              <w:rPr>
                <w:rFonts w:ascii="Arial Narrow" w:hAnsi="Arial Narrow" w:cs="Arial"/>
                <w:sz w:val="20"/>
                <w:szCs w:val="20"/>
              </w:rPr>
            </w:pPr>
            <w:r w:rsidRPr="00F33674">
              <w:rPr>
                <w:rFonts w:ascii="Arial Narrow" w:hAnsi="Arial Narrow" w:cs="Arial"/>
                <w:sz w:val="20"/>
                <w:szCs w:val="20"/>
              </w:rPr>
              <w:t>OR</w:t>
            </w:r>
          </w:p>
          <w:p w14:paraId="3855AFA8" w14:textId="77777777" w:rsidR="00F33674" w:rsidRPr="00F33674" w:rsidRDefault="00F33674" w:rsidP="00F33674">
            <w:pPr>
              <w:jc w:val="left"/>
              <w:rPr>
                <w:rFonts w:ascii="Arial Narrow" w:hAnsi="Arial Narrow" w:cs="Arial"/>
                <w:sz w:val="20"/>
                <w:szCs w:val="20"/>
              </w:rPr>
            </w:pPr>
          </w:p>
          <w:p w14:paraId="4A40A1F6" w14:textId="77777777" w:rsidR="00F33674" w:rsidRPr="00F33674" w:rsidRDefault="00F33674" w:rsidP="00F33674">
            <w:pPr>
              <w:jc w:val="left"/>
              <w:rPr>
                <w:rFonts w:ascii="Arial Narrow" w:hAnsi="Arial Narrow" w:cs="Arial"/>
                <w:i/>
                <w:sz w:val="20"/>
                <w:szCs w:val="20"/>
              </w:rPr>
            </w:pPr>
            <w:r w:rsidRPr="00F33674">
              <w:rPr>
                <w:rFonts w:ascii="Arial Narrow" w:hAnsi="Arial Narrow" w:cs="Arial"/>
                <w:sz w:val="20"/>
                <w:szCs w:val="20"/>
              </w:rPr>
              <w:t xml:space="preserve">[new] The treatment </w:t>
            </w:r>
            <w:proofErr w:type="gramStart"/>
            <w:r w:rsidRPr="00F33674">
              <w:rPr>
                <w:rFonts w:ascii="Arial Narrow" w:hAnsi="Arial Narrow" w:cs="Arial"/>
                <w:sz w:val="20"/>
                <w:szCs w:val="20"/>
              </w:rPr>
              <w:t>must be used</w:t>
            </w:r>
            <w:proofErr w:type="gramEnd"/>
            <w:r w:rsidRPr="00F33674">
              <w:rPr>
                <w:rFonts w:ascii="Arial Narrow" w:hAnsi="Arial Narrow" w:cs="Arial"/>
                <w:sz w:val="20"/>
                <w:szCs w:val="20"/>
              </w:rPr>
              <w:t xml:space="preserve"> as an analgesic adjunct in general anaesthesia.</w:t>
            </w:r>
          </w:p>
        </w:tc>
      </w:tr>
      <w:tr w:rsidR="00F33674" w:rsidRPr="00F33674" w14:paraId="7E35C7FF" w14:textId="77777777" w:rsidTr="00F33674">
        <w:trPr>
          <w:cantSplit/>
          <w:trHeight w:val="360"/>
        </w:trPr>
        <w:tc>
          <w:tcPr>
            <w:tcW w:w="2835" w:type="dxa"/>
            <w:tcBorders>
              <w:top w:val="single" w:sz="4" w:space="0" w:color="auto"/>
              <w:left w:val="single" w:sz="4" w:space="0" w:color="auto"/>
              <w:bottom w:val="single" w:sz="4" w:space="0" w:color="auto"/>
              <w:right w:val="single" w:sz="4" w:space="0" w:color="auto"/>
            </w:tcBorders>
          </w:tcPr>
          <w:p w14:paraId="023CAC29" w14:textId="77777777" w:rsidR="00F33674" w:rsidRPr="00F33674" w:rsidRDefault="00F33674" w:rsidP="00F33674">
            <w:pPr>
              <w:rPr>
                <w:rFonts w:ascii="Arial Narrow" w:hAnsi="Arial Narrow" w:cs="Arial"/>
                <w:b/>
                <w:sz w:val="20"/>
                <w:szCs w:val="20"/>
              </w:rPr>
            </w:pPr>
            <w:r w:rsidRPr="00F33674">
              <w:rPr>
                <w:rFonts w:ascii="Arial Narrow" w:hAnsi="Arial Narrow" w:cs="Arial"/>
                <w:b/>
                <w:sz w:val="20"/>
                <w:szCs w:val="20"/>
              </w:rPr>
              <w:lastRenderedPageBreak/>
              <w:t>Administrative advice:</w:t>
            </w:r>
          </w:p>
        </w:tc>
        <w:tc>
          <w:tcPr>
            <w:tcW w:w="6379" w:type="dxa"/>
            <w:tcBorders>
              <w:top w:val="single" w:sz="4" w:space="0" w:color="auto"/>
              <w:left w:val="single" w:sz="4" w:space="0" w:color="auto"/>
              <w:bottom w:val="single" w:sz="4" w:space="0" w:color="auto"/>
              <w:right w:val="single" w:sz="4" w:space="0" w:color="auto"/>
            </w:tcBorders>
          </w:tcPr>
          <w:p w14:paraId="6CA54ADA" w14:textId="77777777" w:rsidR="00F33674" w:rsidRPr="00F33674" w:rsidRDefault="00F33674" w:rsidP="00F33674">
            <w:pPr>
              <w:jc w:val="left"/>
              <w:rPr>
                <w:rFonts w:ascii="Arial Narrow" w:hAnsi="Arial Narrow" w:cs="Arial"/>
                <w:sz w:val="20"/>
                <w:szCs w:val="20"/>
              </w:rPr>
            </w:pPr>
            <w:r w:rsidRPr="00F33674">
              <w:rPr>
                <w:rFonts w:ascii="Arial Narrow" w:hAnsi="Arial Narrow" w:cs="Arial"/>
                <w:sz w:val="20"/>
                <w:szCs w:val="20"/>
              </w:rPr>
              <w:t xml:space="preserve">[13808] Prescribing of drugs of addiction by dentists </w:t>
            </w:r>
            <w:proofErr w:type="gramStart"/>
            <w:r w:rsidRPr="00F33674">
              <w:rPr>
                <w:rFonts w:ascii="Arial Narrow" w:hAnsi="Arial Narrow" w:cs="Arial"/>
                <w:sz w:val="20"/>
                <w:szCs w:val="20"/>
              </w:rPr>
              <w:t>is not permitted</w:t>
            </w:r>
            <w:proofErr w:type="gramEnd"/>
            <w:r w:rsidRPr="00F33674">
              <w:rPr>
                <w:rFonts w:ascii="Arial Narrow" w:hAnsi="Arial Narrow" w:cs="Arial"/>
                <w:sz w:val="20"/>
                <w:szCs w:val="20"/>
              </w:rPr>
              <w:t xml:space="preserve"> in some States/Territories.</w:t>
            </w:r>
          </w:p>
          <w:p w14:paraId="1C35829D" w14:textId="77777777" w:rsidR="00F33674" w:rsidRPr="00F33674" w:rsidRDefault="00F33674" w:rsidP="00F33674">
            <w:pPr>
              <w:jc w:val="left"/>
              <w:rPr>
                <w:rFonts w:ascii="Arial Narrow" w:hAnsi="Arial Narrow" w:cs="Arial"/>
                <w:sz w:val="20"/>
                <w:szCs w:val="20"/>
              </w:rPr>
            </w:pPr>
          </w:p>
          <w:p w14:paraId="4BE07D5A" w14:textId="77777777" w:rsidR="00F33674" w:rsidRPr="00F33674" w:rsidRDefault="00F33674" w:rsidP="00F33674">
            <w:pPr>
              <w:jc w:val="left"/>
              <w:rPr>
                <w:rFonts w:ascii="Arial Narrow" w:hAnsi="Arial Narrow" w:cs="Arial"/>
                <w:sz w:val="20"/>
                <w:szCs w:val="20"/>
              </w:rPr>
            </w:pPr>
            <w:r w:rsidRPr="00F33674">
              <w:rPr>
                <w:rFonts w:ascii="Arial Narrow" w:hAnsi="Arial Narrow" w:cs="Arial"/>
                <w:sz w:val="20"/>
                <w:szCs w:val="20"/>
              </w:rPr>
              <w:t>[18949] Pharmaceutical benefits that have the forms morphine sulfate 10 mg/mL injection and morphine hydrochloride 10 mg/mL injection are equivalent for the purposes of substitution.</w:t>
            </w:r>
          </w:p>
        </w:tc>
      </w:tr>
      <w:tr w:rsidR="00F33674" w:rsidRPr="00F33674" w14:paraId="097A4823" w14:textId="77777777" w:rsidTr="00F33674">
        <w:trPr>
          <w:cantSplit/>
          <w:trHeight w:val="360"/>
        </w:trPr>
        <w:tc>
          <w:tcPr>
            <w:tcW w:w="2835" w:type="dxa"/>
            <w:tcBorders>
              <w:top w:val="single" w:sz="4" w:space="0" w:color="auto"/>
              <w:left w:val="single" w:sz="4" w:space="0" w:color="auto"/>
              <w:bottom w:val="single" w:sz="4" w:space="0" w:color="auto"/>
              <w:right w:val="single" w:sz="4" w:space="0" w:color="auto"/>
            </w:tcBorders>
          </w:tcPr>
          <w:p w14:paraId="70468DD3" w14:textId="77777777" w:rsidR="00F33674" w:rsidRPr="00F33674" w:rsidRDefault="00F33674" w:rsidP="00F33674">
            <w:pPr>
              <w:rPr>
                <w:rFonts w:ascii="Arial Narrow" w:hAnsi="Arial Narrow" w:cs="Arial"/>
                <w:b/>
                <w:sz w:val="20"/>
                <w:szCs w:val="20"/>
              </w:rPr>
            </w:pPr>
            <w:r w:rsidRPr="00F33674">
              <w:rPr>
                <w:rFonts w:ascii="Arial Narrow" w:hAnsi="Arial Narrow" w:cs="Arial"/>
                <w:b/>
                <w:sz w:val="20"/>
                <w:szCs w:val="20"/>
              </w:rPr>
              <w:t>Cautions:</w:t>
            </w:r>
          </w:p>
        </w:tc>
        <w:tc>
          <w:tcPr>
            <w:tcW w:w="6379" w:type="dxa"/>
            <w:tcBorders>
              <w:top w:val="single" w:sz="4" w:space="0" w:color="auto"/>
              <w:left w:val="single" w:sz="4" w:space="0" w:color="auto"/>
              <w:bottom w:val="single" w:sz="4" w:space="0" w:color="auto"/>
              <w:right w:val="single" w:sz="4" w:space="0" w:color="auto"/>
            </w:tcBorders>
          </w:tcPr>
          <w:p w14:paraId="5DBBD229" w14:textId="77777777" w:rsidR="00F33674" w:rsidRPr="00F33674" w:rsidRDefault="00F33674" w:rsidP="00F33674">
            <w:pPr>
              <w:jc w:val="left"/>
              <w:rPr>
                <w:rFonts w:ascii="Arial Narrow" w:hAnsi="Arial Narrow" w:cs="Arial"/>
                <w:sz w:val="20"/>
                <w:szCs w:val="20"/>
              </w:rPr>
            </w:pPr>
            <w:r w:rsidRPr="00F33674">
              <w:rPr>
                <w:rFonts w:ascii="Arial Narrow" w:hAnsi="Arial Narrow" w:cs="Arial"/>
                <w:sz w:val="20"/>
                <w:szCs w:val="20"/>
              </w:rPr>
              <w:t>[6986] The risk of drug dependence is high.</w:t>
            </w:r>
          </w:p>
        </w:tc>
      </w:tr>
    </w:tbl>
    <w:p w14:paraId="332E2701" w14:textId="77777777" w:rsidR="00F33674" w:rsidRPr="00F33674" w:rsidRDefault="00F33674" w:rsidP="00F33674">
      <w:pPr>
        <w:contextualSpacing/>
        <w:jc w:val="left"/>
      </w:pPr>
    </w:p>
    <w:p w14:paraId="6CAB6B14" w14:textId="77777777" w:rsidR="00CB71CC" w:rsidRDefault="00CB71CC">
      <w:pPr>
        <w:jc w:val="left"/>
        <w:rPr>
          <w:rFonts w:asciiTheme="minorHAnsi" w:eastAsiaTheme="majorEastAsia" w:hAnsiTheme="minorHAnsi" w:cstheme="majorBidi"/>
          <w:b/>
          <w:i/>
          <w:spacing w:val="5"/>
          <w:kern w:val="28"/>
          <w:sz w:val="28"/>
          <w:szCs w:val="36"/>
        </w:rPr>
      </w:pPr>
      <w:bookmarkStart w:id="25" w:name="_Toc32300591"/>
      <w:r>
        <w:rPr>
          <w:rFonts w:asciiTheme="minorHAnsi" w:eastAsiaTheme="majorEastAsia" w:hAnsiTheme="minorHAnsi" w:cstheme="majorBidi"/>
          <w:b/>
          <w:i/>
          <w:spacing w:val="5"/>
          <w:kern w:val="28"/>
          <w:sz w:val="28"/>
          <w:szCs w:val="36"/>
        </w:rPr>
        <w:br w:type="page"/>
      </w:r>
    </w:p>
    <w:p w14:paraId="0C9B255D" w14:textId="1CD3E5B2" w:rsidR="00F33674" w:rsidRPr="00F33674" w:rsidRDefault="00F33674" w:rsidP="00F33674">
      <w:pPr>
        <w:keepNext/>
        <w:jc w:val="left"/>
        <w:outlineLvl w:val="1"/>
        <w:rPr>
          <w:rFonts w:asciiTheme="minorHAnsi" w:eastAsiaTheme="majorEastAsia" w:hAnsiTheme="minorHAnsi" w:cstheme="majorBidi"/>
          <w:b/>
          <w:i/>
          <w:spacing w:val="5"/>
          <w:kern w:val="28"/>
          <w:sz w:val="28"/>
          <w:szCs w:val="36"/>
        </w:rPr>
      </w:pPr>
      <w:r w:rsidRPr="00F33674">
        <w:rPr>
          <w:rFonts w:asciiTheme="minorHAnsi" w:eastAsiaTheme="majorEastAsia" w:hAnsiTheme="minorHAnsi" w:cstheme="majorBidi"/>
          <w:b/>
          <w:i/>
          <w:spacing w:val="5"/>
          <w:kern w:val="28"/>
          <w:sz w:val="28"/>
          <w:szCs w:val="36"/>
        </w:rPr>
        <w:lastRenderedPageBreak/>
        <w:t xml:space="preserve">PBS restrictions for reduced pack sizes in </w:t>
      </w:r>
      <w:proofErr w:type="gramStart"/>
      <w:r w:rsidRPr="00F33674">
        <w:rPr>
          <w:rFonts w:asciiTheme="minorHAnsi" w:eastAsiaTheme="majorEastAsia" w:hAnsiTheme="minorHAnsi" w:cstheme="majorBidi"/>
          <w:b/>
          <w:i/>
          <w:spacing w:val="5"/>
          <w:kern w:val="28"/>
          <w:sz w:val="28"/>
          <w:szCs w:val="36"/>
        </w:rPr>
        <w:t>1</w:t>
      </w:r>
      <w:r w:rsidRPr="00F33674">
        <w:rPr>
          <w:rFonts w:asciiTheme="minorHAnsi" w:eastAsiaTheme="majorEastAsia" w:hAnsiTheme="minorHAnsi" w:cstheme="majorBidi"/>
          <w:b/>
          <w:i/>
          <w:spacing w:val="5"/>
          <w:kern w:val="28"/>
          <w:sz w:val="28"/>
          <w:szCs w:val="36"/>
          <w:vertAlign w:val="superscript"/>
        </w:rPr>
        <w:t>st</w:t>
      </w:r>
      <w:proofErr w:type="gramEnd"/>
      <w:r w:rsidRPr="00F33674">
        <w:rPr>
          <w:rFonts w:asciiTheme="minorHAnsi" w:eastAsiaTheme="majorEastAsia" w:hAnsiTheme="minorHAnsi" w:cstheme="majorBidi"/>
          <w:b/>
          <w:i/>
          <w:spacing w:val="5"/>
          <w:kern w:val="28"/>
          <w:sz w:val="28"/>
          <w:szCs w:val="36"/>
        </w:rPr>
        <w:t xml:space="preserve"> line setting</w:t>
      </w:r>
      <w:bookmarkEnd w:id="25"/>
    </w:p>
    <w:p w14:paraId="36F505A7" w14:textId="77777777" w:rsidR="00F33674" w:rsidRPr="00F33674" w:rsidRDefault="00F33674" w:rsidP="00F33674">
      <w:pPr>
        <w:pStyle w:val="3-BodyText"/>
      </w:pPr>
      <w:r w:rsidRPr="00F33674">
        <w:t>Add new items:</w:t>
      </w:r>
    </w:p>
    <w:p w14:paraId="70E6993A" w14:textId="77777777" w:rsidR="00F33674" w:rsidRPr="00F33674" w:rsidRDefault="00F33674" w:rsidP="00F33674">
      <w:pPr>
        <w:keepNext/>
        <w:keepLines/>
        <w:spacing w:before="40"/>
        <w:jc w:val="left"/>
        <w:outlineLvl w:val="2"/>
        <w:rPr>
          <w:rFonts w:asciiTheme="minorHAnsi" w:eastAsiaTheme="majorEastAsia" w:hAnsiTheme="minorHAnsi" w:cstheme="majorBidi"/>
          <w:b/>
          <w:color w:val="000000" w:themeColor="text1"/>
        </w:rPr>
      </w:pPr>
      <w:bookmarkStart w:id="26" w:name="_Toc32300592"/>
      <w:r w:rsidRPr="00F33674">
        <w:rPr>
          <w:rFonts w:asciiTheme="minorHAnsi" w:eastAsiaTheme="majorEastAsia" w:hAnsiTheme="minorHAnsi" w:cstheme="majorBidi"/>
          <w:b/>
          <w:color w:val="000000" w:themeColor="text1"/>
        </w:rPr>
        <w:t xml:space="preserve">Listing 12: Restriction for short-term pain TGA indication in </w:t>
      </w:r>
      <w:proofErr w:type="gramStart"/>
      <w:r w:rsidRPr="00F33674">
        <w:rPr>
          <w:rFonts w:asciiTheme="minorHAnsi" w:eastAsiaTheme="majorEastAsia" w:hAnsiTheme="minorHAnsi" w:cstheme="majorBidi"/>
          <w:b/>
          <w:color w:val="000000" w:themeColor="text1"/>
        </w:rPr>
        <w:t>1</w:t>
      </w:r>
      <w:r w:rsidRPr="00F33674">
        <w:rPr>
          <w:rFonts w:asciiTheme="minorHAnsi" w:eastAsiaTheme="majorEastAsia" w:hAnsiTheme="minorHAnsi" w:cstheme="majorBidi"/>
          <w:b/>
          <w:color w:val="000000" w:themeColor="text1"/>
          <w:vertAlign w:val="superscript"/>
        </w:rPr>
        <w:t>st</w:t>
      </w:r>
      <w:proofErr w:type="gramEnd"/>
      <w:r w:rsidRPr="00F33674">
        <w:rPr>
          <w:rFonts w:asciiTheme="minorHAnsi" w:eastAsiaTheme="majorEastAsia" w:hAnsiTheme="minorHAnsi" w:cstheme="majorBidi"/>
          <w:b/>
          <w:color w:val="000000" w:themeColor="text1"/>
        </w:rPr>
        <w:t xml:space="preserve"> line opioid setting:</w:t>
      </w:r>
      <w:bookmarkEnd w:id="26"/>
    </w:p>
    <w:p w14:paraId="599143CC" w14:textId="77777777" w:rsidR="00F33674" w:rsidRPr="00F33674" w:rsidRDefault="00F33674" w:rsidP="00F33674">
      <w:pPr>
        <w:ind w:left="360" w:hanging="360"/>
        <w:contextualSpacing/>
        <w:jc w:val="left"/>
      </w:pPr>
    </w:p>
    <w:tbl>
      <w:tblPr>
        <w:tblW w:w="9863" w:type="dxa"/>
        <w:tblLook w:val="04A0" w:firstRow="1" w:lastRow="0" w:firstColumn="1" w:lastColumn="0" w:noHBand="0" w:noVBand="1"/>
      </w:tblPr>
      <w:tblGrid>
        <w:gridCol w:w="1456"/>
        <w:gridCol w:w="1074"/>
        <w:gridCol w:w="2465"/>
        <w:gridCol w:w="661"/>
        <w:gridCol w:w="656"/>
        <w:gridCol w:w="1794"/>
        <w:gridCol w:w="1757"/>
      </w:tblGrid>
      <w:tr w:rsidR="00F33674" w:rsidRPr="00F33674" w14:paraId="36CF9856" w14:textId="77777777" w:rsidTr="00C21DFA">
        <w:trPr>
          <w:trHeight w:val="300"/>
        </w:trPr>
        <w:tc>
          <w:tcPr>
            <w:tcW w:w="1418" w:type="dxa"/>
            <w:tcBorders>
              <w:bottom w:val="single" w:sz="4" w:space="0" w:color="auto"/>
            </w:tcBorders>
            <w:shd w:val="clear" w:color="auto" w:fill="auto"/>
            <w:noWrap/>
            <w:hideMark/>
          </w:tcPr>
          <w:p w14:paraId="34E2E185"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LI Drug</w:t>
            </w:r>
          </w:p>
        </w:tc>
        <w:tc>
          <w:tcPr>
            <w:tcW w:w="1112" w:type="dxa"/>
            <w:tcBorders>
              <w:bottom w:val="single" w:sz="4" w:space="0" w:color="auto"/>
            </w:tcBorders>
            <w:shd w:val="clear" w:color="auto" w:fill="auto"/>
          </w:tcPr>
          <w:p w14:paraId="7EF2812E"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Existing Item Code</w:t>
            </w:r>
          </w:p>
        </w:tc>
        <w:tc>
          <w:tcPr>
            <w:tcW w:w="2465" w:type="dxa"/>
            <w:tcBorders>
              <w:bottom w:val="single" w:sz="4" w:space="0" w:color="auto"/>
            </w:tcBorders>
            <w:shd w:val="clear" w:color="auto" w:fill="auto"/>
            <w:noWrap/>
            <w:hideMark/>
          </w:tcPr>
          <w:p w14:paraId="3852C80F"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Legal Instrument Form</w:t>
            </w:r>
          </w:p>
        </w:tc>
        <w:tc>
          <w:tcPr>
            <w:tcW w:w="661" w:type="dxa"/>
            <w:tcBorders>
              <w:bottom w:val="single" w:sz="4" w:space="0" w:color="auto"/>
            </w:tcBorders>
            <w:shd w:val="clear" w:color="auto" w:fill="auto"/>
            <w:noWrap/>
            <w:hideMark/>
          </w:tcPr>
          <w:p w14:paraId="5AD1B526"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Max. Qty</w:t>
            </w:r>
          </w:p>
        </w:tc>
        <w:tc>
          <w:tcPr>
            <w:tcW w:w="656" w:type="dxa"/>
            <w:tcBorders>
              <w:bottom w:val="single" w:sz="4" w:space="0" w:color="auto"/>
            </w:tcBorders>
            <w:shd w:val="clear" w:color="auto" w:fill="auto"/>
            <w:noWrap/>
            <w:hideMark/>
          </w:tcPr>
          <w:p w14:paraId="3A1F5A82"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No. Rpt</w:t>
            </w:r>
          </w:p>
        </w:tc>
        <w:tc>
          <w:tcPr>
            <w:tcW w:w="1794" w:type="dxa"/>
            <w:tcBorders>
              <w:bottom w:val="single" w:sz="4" w:space="0" w:color="auto"/>
            </w:tcBorders>
            <w:shd w:val="clear" w:color="auto" w:fill="auto"/>
            <w:noWrap/>
            <w:hideMark/>
          </w:tcPr>
          <w:p w14:paraId="5FDFEFB0"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Brand Name</w:t>
            </w:r>
          </w:p>
        </w:tc>
        <w:tc>
          <w:tcPr>
            <w:tcW w:w="1757" w:type="dxa"/>
            <w:tcBorders>
              <w:bottom w:val="single" w:sz="4" w:space="0" w:color="auto"/>
            </w:tcBorders>
            <w:shd w:val="clear" w:color="auto" w:fill="auto"/>
            <w:noWrap/>
            <w:hideMark/>
          </w:tcPr>
          <w:p w14:paraId="2CFB1133"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Responsible Person</w:t>
            </w:r>
          </w:p>
        </w:tc>
      </w:tr>
      <w:tr w:rsidR="00F33674" w:rsidRPr="00F33674" w14:paraId="760088A1" w14:textId="77777777" w:rsidTr="00C21DFA">
        <w:trPr>
          <w:trHeight w:val="300"/>
        </w:trPr>
        <w:tc>
          <w:tcPr>
            <w:tcW w:w="1418" w:type="dxa"/>
            <w:tcBorders>
              <w:top w:val="single" w:sz="4" w:space="0" w:color="auto"/>
            </w:tcBorders>
            <w:shd w:val="clear" w:color="auto" w:fill="auto"/>
            <w:noWrap/>
            <w:hideMark/>
          </w:tcPr>
          <w:p w14:paraId="5513E7AB"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CODEINE</w:t>
            </w:r>
          </w:p>
        </w:tc>
        <w:tc>
          <w:tcPr>
            <w:tcW w:w="1112" w:type="dxa"/>
            <w:tcBorders>
              <w:top w:val="single" w:sz="4" w:space="0" w:color="auto"/>
            </w:tcBorders>
            <w:shd w:val="clear" w:color="auto" w:fill="auto"/>
          </w:tcPr>
          <w:p w14:paraId="77AB6F72"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1214X</w:t>
            </w:r>
          </w:p>
        </w:tc>
        <w:tc>
          <w:tcPr>
            <w:tcW w:w="2465" w:type="dxa"/>
            <w:tcBorders>
              <w:top w:val="single" w:sz="4" w:space="0" w:color="auto"/>
            </w:tcBorders>
            <w:shd w:val="clear" w:color="auto" w:fill="auto"/>
            <w:noWrap/>
            <w:hideMark/>
          </w:tcPr>
          <w:p w14:paraId="06DF70F0"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Tablet containing codeine phosphate hemihydrate 30 mg</w:t>
            </w:r>
          </w:p>
        </w:tc>
        <w:tc>
          <w:tcPr>
            <w:tcW w:w="661" w:type="dxa"/>
            <w:tcBorders>
              <w:top w:val="single" w:sz="4" w:space="0" w:color="auto"/>
            </w:tcBorders>
            <w:shd w:val="clear" w:color="auto" w:fill="auto"/>
            <w:noWrap/>
            <w:hideMark/>
          </w:tcPr>
          <w:p w14:paraId="44FC58DD" w14:textId="77777777" w:rsidR="00F33674" w:rsidRPr="00F33674" w:rsidRDefault="00F33674" w:rsidP="00F33674">
            <w:pPr>
              <w:jc w:val="righ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10</w:t>
            </w:r>
          </w:p>
        </w:tc>
        <w:tc>
          <w:tcPr>
            <w:tcW w:w="656" w:type="dxa"/>
            <w:tcBorders>
              <w:top w:val="single" w:sz="4" w:space="0" w:color="auto"/>
            </w:tcBorders>
            <w:shd w:val="clear" w:color="auto" w:fill="auto"/>
            <w:noWrap/>
            <w:hideMark/>
          </w:tcPr>
          <w:p w14:paraId="1FEA0089" w14:textId="77777777" w:rsidR="00F33674" w:rsidRPr="00F33674" w:rsidRDefault="00F33674" w:rsidP="00F33674">
            <w:pPr>
              <w:jc w:val="righ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0</w:t>
            </w:r>
          </w:p>
        </w:tc>
        <w:tc>
          <w:tcPr>
            <w:tcW w:w="1794" w:type="dxa"/>
            <w:tcBorders>
              <w:top w:val="single" w:sz="4" w:space="0" w:color="auto"/>
            </w:tcBorders>
            <w:shd w:val="clear" w:color="auto" w:fill="auto"/>
            <w:noWrap/>
            <w:hideMark/>
          </w:tcPr>
          <w:p w14:paraId="6F2350F9"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Aspen Pharma Pty Ltd</w:t>
            </w:r>
          </w:p>
        </w:tc>
        <w:tc>
          <w:tcPr>
            <w:tcW w:w="1757" w:type="dxa"/>
            <w:tcBorders>
              <w:top w:val="single" w:sz="4" w:space="0" w:color="auto"/>
            </w:tcBorders>
            <w:shd w:val="clear" w:color="auto" w:fill="auto"/>
            <w:noWrap/>
            <w:hideMark/>
          </w:tcPr>
          <w:p w14:paraId="38E64C0E"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Aspen Pharma Pty Ltd</w:t>
            </w:r>
          </w:p>
        </w:tc>
      </w:tr>
      <w:tr w:rsidR="00F33674" w:rsidRPr="00F33674" w14:paraId="61DE3B49" w14:textId="77777777" w:rsidTr="00C21DFA">
        <w:trPr>
          <w:trHeight w:val="300"/>
        </w:trPr>
        <w:tc>
          <w:tcPr>
            <w:tcW w:w="1418" w:type="dxa"/>
            <w:shd w:val="clear" w:color="auto" w:fill="auto"/>
            <w:noWrap/>
            <w:hideMark/>
          </w:tcPr>
          <w:p w14:paraId="0D8676A3"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CODEINE WITH PARACETAMOL</w:t>
            </w:r>
          </w:p>
        </w:tc>
        <w:tc>
          <w:tcPr>
            <w:tcW w:w="1112" w:type="dxa"/>
            <w:shd w:val="clear" w:color="auto" w:fill="auto"/>
          </w:tcPr>
          <w:p w14:paraId="7A81FF49"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1215Y</w:t>
            </w:r>
          </w:p>
        </w:tc>
        <w:tc>
          <w:tcPr>
            <w:tcW w:w="2465" w:type="dxa"/>
            <w:vMerge w:val="restart"/>
            <w:shd w:val="clear" w:color="auto" w:fill="auto"/>
            <w:noWrap/>
            <w:hideMark/>
          </w:tcPr>
          <w:p w14:paraId="682B9CF0"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Tablet containing codeine phosphate hemihydrate 30 mg with paracetamol 500 mg</w:t>
            </w:r>
          </w:p>
        </w:tc>
        <w:tc>
          <w:tcPr>
            <w:tcW w:w="661" w:type="dxa"/>
            <w:shd w:val="clear" w:color="auto" w:fill="auto"/>
            <w:noWrap/>
            <w:hideMark/>
          </w:tcPr>
          <w:p w14:paraId="6C30821F" w14:textId="77777777" w:rsidR="00F33674" w:rsidRPr="00F33674" w:rsidRDefault="00F33674" w:rsidP="00F33674">
            <w:pPr>
              <w:jc w:val="righ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10</w:t>
            </w:r>
          </w:p>
        </w:tc>
        <w:tc>
          <w:tcPr>
            <w:tcW w:w="656" w:type="dxa"/>
            <w:shd w:val="clear" w:color="auto" w:fill="auto"/>
            <w:noWrap/>
            <w:hideMark/>
          </w:tcPr>
          <w:p w14:paraId="1BFCBE6C" w14:textId="77777777" w:rsidR="00F33674" w:rsidRPr="00F33674" w:rsidRDefault="00F33674" w:rsidP="00F33674">
            <w:pPr>
              <w:jc w:val="righ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0</w:t>
            </w:r>
          </w:p>
        </w:tc>
        <w:tc>
          <w:tcPr>
            <w:tcW w:w="1794" w:type="dxa"/>
            <w:shd w:val="clear" w:color="auto" w:fill="auto"/>
            <w:noWrap/>
            <w:hideMark/>
          </w:tcPr>
          <w:p w14:paraId="4A220316"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APO- Paracetamol/Codeine 500/30</w:t>
            </w:r>
          </w:p>
        </w:tc>
        <w:tc>
          <w:tcPr>
            <w:tcW w:w="1757" w:type="dxa"/>
            <w:shd w:val="clear" w:color="auto" w:fill="auto"/>
            <w:noWrap/>
            <w:hideMark/>
          </w:tcPr>
          <w:p w14:paraId="15DD3245"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Apotex Pty Ltd</w:t>
            </w:r>
          </w:p>
        </w:tc>
      </w:tr>
      <w:tr w:rsidR="00F33674" w:rsidRPr="00F33674" w14:paraId="211AE1A6" w14:textId="77777777" w:rsidTr="00C21DFA">
        <w:trPr>
          <w:trHeight w:val="300"/>
        </w:trPr>
        <w:tc>
          <w:tcPr>
            <w:tcW w:w="1418" w:type="dxa"/>
            <w:shd w:val="clear" w:color="auto" w:fill="auto"/>
            <w:noWrap/>
          </w:tcPr>
          <w:p w14:paraId="25953E88" w14:textId="77777777" w:rsidR="00F33674" w:rsidRPr="00F33674" w:rsidRDefault="00F33674" w:rsidP="00F33674">
            <w:pPr>
              <w:jc w:val="left"/>
              <w:rPr>
                <w:rFonts w:ascii="Arial Narrow" w:hAnsi="Arial Narrow" w:cs="Calibri"/>
                <w:color w:val="000000"/>
                <w:sz w:val="20"/>
                <w:szCs w:val="20"/>
                <w:lang w:eastAsia="en-AU"/>
              </w:rPr>
            </w:pPr>
          </w:p>
        </w:tc>
        <w:tc>
          <w:tcPr>
            <w:tcW w:w="1112" w:type="dxa"/>
            <w:shd w:val="clear" w:color="auto" w:fill="auto"/>
          </w:tcPr>
          <w:p w14:paraId="698CA72B" w14:textId="77777777" w:rsidR="00F33674" w:rsidRPr="00F33674" w:rsidRDefault="00F33674" w:rsidP="00F33674">
            <w:pPr>
              <w:jc w:val="left"/>
              <w:rPr>
                <w:rFonts w:ascii="Arial Narrow" w:hAnsi="Arial Narrow" w:cs="Calibri"/>
                <w:color w:val="000000"/>
                <w:sz w:val="20"/>
                <w:szCs w:val="20"/>
                <w:lang w:eastAsia="en-AU"/>
              </w:rPr>
            </w:pPr>
          </w:p>
        </w:tc>
        <w:tc>
          <w:tcPr>
            <w:tcW w:w="2465" w:type="dxa"/>
            <w:vMerge/>
            <w:shd w:val="clear" w:color="auto" w:fill="auto"/>
            <w:noWrap/>
          </w:tcPr>
          <w:p w14:paraId="53F60C90" w14:textId="77777777" w:rsidR="00F33674" w:rsidRPr="00F33674" w:rsidRDefault="00F33674" w:rsidP="00F33674">
            <w:pPr>
              <w:jc w:val="left"/>
              <w:rPr>
                <w:rFonts w:ascii="Arial Narrow" w:hAnsi="Arial Narrow" w:cs="Calibri"/>
                <w:color w:val="000000"/>
                <w:sz w:val="20"/>
                <w:szCs w:val="20"/>
                <w:lang w:eastAsia="en-AU"/>
              </w:rPr>
            </w:pPr>
          </w:p>
        </w:tc>
        <w:tc>
          <w:tcPr>
            <w:tcW w:w="661" w:type="dxa"/>
            <w:shd w:val="clear" w:color="auto" w:fill="auto"/>
            <w:noWrap/>
          </w:tcPr>
          <w:p w14:paraId="214CD864" w14:textId="77777777" w:rsidR="00F33674" w:rsidRPr="00F33674" w:rsidRDefault="00F33674" w:rsidP="00F33674">
            <w:pPr>
              <w:jc w:val="right"/>
              <w:rPr>
                <w:rFonts w:ascii="Arial Narrow" w:hAnsi="Arial Narrow" w:cs="Calibri"/>
                <w:color w:val="000000"/>
                <w:sz w:val="20"/>
                <w:szCs w:val="20"/>
                <w:lang w:eastAsia="en-AU"/>
              </w:rPr>
            </w:pPr>
          </w:p>
        </w:tc>
        <w:tc>
          <w:tcPr>
            <w:tcW w:w="656" w:type="dxa"/>
            <w:shd w:val="clear" w:color="auto" w:fill="auto"/>
            <w:noWrap/>
          </w:tcPr>
          <w:p w14:paraId="1C163345" w14:textId="77777777" w:rsidR="00F33674" w:rsidRPr="00F33674" w:rsidRDefault="00F33674" w:rsidP="00F33674">
            <w:pPr>
              <w:jc w:val="right"/>
              <w:rPr>
                <w:rFonts w:ascii="Arial Narrow" w:hAnsi="Arial Narrow" w:cs="Calibri"/>
                <w:color w:val="000000"/>
                <w:sz w:val="20"/>
                <w:szCs w:val="20"/>
                <w:lang w:eastAsia="en-AU"/>
              </w:rPr>
            </w:pPr>
          </w:p>
        </w:tc>
        <w:tc>
          <w:tcPr>
            <w:tcW w:w="1794" w:type="dxa"/>
            <w:shd w:val="clear" w:color="auto" w:fill="auto"/>
            <w:noWrap/>
            <w:hideMark/>
          </w:tcPr>
          <w:p w14:paraId="1AB9A7B9"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Codalgin Forte</w:t>
            </w:r>
          </w:p>
        </w:tc>
        <w:tc>
          <w:tcPr>
            <w:tcW w:w="1757" w:type="dxa"/>
            <w:shd w:val="clear" w:color="auto" w:fill="auto"/>
            <w:noWrap/>
            <w:hideMark/>
          </w:tcPr>
          <w:p w14:paraId="5F642CE3"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Alphapharm Pty Ltd</w:t>
            </w:r>
          </w:p>
        </w:tc>
      </w:tr>
      <w:tr w:rsidR="00F33674" w:rsidRPr="00F33674" w14:paraId="12CDD7AB" w14:textId="77777777" w:rsidTr="00C21DFA">
        <w:trPr>
          <w:trHeight w:val="300"/>
        </w:trPr>
        <w:tc>
          <w:tcPr>
            <w:tcW w:w="1418" w:type="dxa"/>
            <w:shd w:val="clear" w:color="auto" w:fill="auto"/>
            <w:noWrap/>
          </w:tcPr>
          <w:p w14:paraId="1F4F6756" w14:textId="77777777" w:rsidR="00F33674" w:rsidRPr="00F33674" w:rsidRDefault="00F33674" w:rsidP="00F33674">
            <w:pPr>
              <w:jc w:val="left"/>
              <w:rPr>
                <w:rFonts w:ascii="Arial Narrow" w:hAnsi="Arial Narrow" w:cs="Calibri"/>
                <w:color w:val="000000"/>
                <w:sz w:val="20"/>
                <w:szCs w:val="20"/>
                <w:lang w:eastAsia="en-AU"/>
              </w:rPr>
            </w:pPr>
          </w:p>
        </w:tc>
        <w:tc>
          <w:tcPr>
            <w:tcW w:w="1112" w:type="dxa"/>
            <w:shd w:val="clear" w:color="auto" w:fill="auto"/>
          </w:tcPr>
          <w:p w14:paraId="443C1367" w14:textId="77777777" w:rsidR="00F33674" w:rsidRPr="00F33674" w:rsidRDefault="00F33674" w:rsidP="00F33674">
            <w:pPr>
              <w:jc w:val="left"/>
              <w:rPr>
                <w:rFonts w:ascii="Arial Narrow" w:hAnsi="Arial Narrow" w:cs="Calibri"/>
                <w:color w:val="000000"/>
                <w:sz w:val="20"/>
                <w:szCs w:val="20"/>
                <w:lang w:eastAsia="en-AU"/>
              </w:rPr>
            </w:pPr>
          </w:p>
        </w:tc>
        <w:tc>
          <w:tcPr>
            <w:tcW w:w="2465" w:type="dxa"/>
            <w:vMerge/>
            <w:shd w:val="clear" w:color="auto" w:fill="auto"/>
            <w:noWrap/>
          </w:tcPr>
          <w:p w14:paraId="4FC122FE" w14:textId="77777777" w:rsidR="00F33674" w:rsidRPr="00F33674" w:rsidRDefault="00F33674" w:rsidP="00F33674">
            <w:pPr>
              <w:jc w:val="left"/>
              <w:rPr>
                <w:rFonts w:ascii="Arial Narrow" w:hAnsi="Arial Narrow" w:cs="Calibri"/>
                <w:color w:val="000000"/>
                <w:sz w:val="20"/>
                <w:szCs w:val="20"/>
                <w:lang w:eastAsia="en-AU"/>
              </w:rPr>
            </w:pPr>
          </w:p>
        </w:tc>
        <w:tc>
          <w:tcPr>
            <w:tcW w:w="661" w:type="dxa"/>
            <w:shd w:val="clear" w:color="auto" w:fill="auto"/>
            <w:noWrap/>
          </w:tcPr>
          <w:p w14:paraId="3F685C8A" w14:textId="77777777" w:rsidR="00F33674" w:rsidRPr="00F33674" w:rsidRDefault="00F33674" w:rsidP="00F33674">
            <w:pPr>
              <w:jc w:val="right"/>
              <w:rPr>
                <w:rFonts w:ascii="Arial Narrow" w:hAnsi="Arial Narrow" w:cs="Calibri"/>
                <w:color w:val="000000"/>
                <w:sz w:val="20"/>
                <w:szCs w:val="20"/>
                <w:lang w:eastAsia="en-AU"/>
              </w:rPr>
            </w:pPr>
          </w:p>
        </w:tc>
        <w:tc>
          <w:tcPr>
            <w:tcW w:w="656" w:type="dxa"/>
            <w:shd w:val="clear" w:color="auto" w:fill="auto"/>
            <w:noWrap/>
          </w:tcPr>
          <w:p w14:paraId="21B2F40D" w14:textId="77777777" w:rsidR="00F33674" w:rsidRPr="00F33674" w:rsidRDefault="00F33674" w:rsidP="00F33674">
            <w:pPr>
              <w:jc w:val="right"/>
              <w:rPr>
                <w:rFonts w:ascii="Arial Narrow" w:hAnsi="Arial Narrow" w:cs="Calibri"/>
                <w:color w:val="000000"/>
                <w:sz w:val="20"/>
                <w:szCs w:val="20"/>
                <w:lang w:eastAsia="en-AU"/>
              </w:rPr>
            </w:pPr>
          </w:p>
        </w:tc>
        <w:tc>
          <w:tcPr>
            <w:tcW w:w="1794" w:type="dxa"/>
            <w:shd w:val="clear" w:color="auto" w:fill="auto"/>
            <w:noWrap/>
            <w:hideMark/>
          </w:tcPr>
          <w:p w14:paraId="694948FF"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Codapane Forte 500/30</w:t>
            </w:r>
          </w:p>
        </w:tc>
        <w:tc>
          <w:tcPr>
            <w:tcW w:w="1757" w:type="dxa"/>
            <w:shd w:val="clear" w:color="auto" w:fill="auto"/>
            <w:noWrap/>
            <w:hideMark/>
          </w:tcPr>
          <w:p w14:paraId="3B825A45"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Alphapharm Pty Ltd</w:t>
            </w:r>
          </w:p>
        </w:tc>
      </w:tr>
      <w:tr w:rsidR="00F33674" w:rsidRPr="00F33674" w14:paraId="63E03F74" w14:textId="77777777" w:rsidTr="00C21DFA">
        <w:trPr>
          <w:trHeight w:val="300"/>
        </w:trPr>
        <w:tc>
          <w:tcPr>
            <w:tcW w:w="1418" w:type="dxa"/>
            <w:shd w:val="clear" w:color="auto" w:fill="auto"/>
            <w:noWrap/>
          </w:tcPr>
          <w:p w14:paraId="7DD78359" w14:textId="77777777" w:rsidR="00F33674" w:rsidRPr="00F33674" w:rsidRDefault="00F33674" w:rsidP="00F33674">
            <w:pPr>
              <w:jc w:val="left"/>
              <w:rPr>
                <w:rFonts w:ascii="Arial Narrow" w:hAnsi="Arial Narrow" w:cs="Calibri"/>
                <w:color w:val="000000"/>
                <w:sz w:val="20"/>
                <w:szCs w:val="20"/>
                <w:lang w:eastAsia="en-AU"/>
              </w:rPr>
            </w:pPr>
          </w:p>
        </w:tc>
        <w:tc>
          <w:tcPr>
            <w:tcW w:w="1112" w:type="dxa"/>
            <w:shd w:val="clear" w:color="auto" w:fill="auto"/>
          </w:tcPr>
          <w:p w14:paraId="4FD6F16E" w14:textId="77777777" w:rsidR="00F33674" w:rsidRPr="00F33674" w:rsidRDefault="00F33674" w:rsidP="00F33674">
            <w:pPr>
              <w:jc w:val="left"/>
              <w:rPr>
                <w:rFonts w:ascii="Arial Narrow" w:hAnsi="Arial Narrow" w:cs="Calibri"/>
                <w:color w:val="000000"/>
                <w:sz w:val="20"/>
                <w:szCs w:val="20"/>
                <w:lang w:eastAsia="en-AU"/>
              </w:rPr>
            </w:pPr>
          </w:p>
        </w:tc>
        <w:tc>
          <w:tcPr>
            <w:tcW w:w="2465" w:type="dxa"/>
            <w:vMerge/>
            <w:shd w:val="clear" w:color="auto" w:fill="auto"/>
            <w:noWrap/>
          </w:tcPr>
          <w:p w14:paraId="03F8EBCC" w14:textId="77777777" w:rsidR="00F33674" w:rsidRPr="00F33674" w:rsidRDefault="00F33674" w:rsidP="00F33674">
            <w:pPr>
              <w:jc w:val="left"/>
              <w:rPr>
                <w:rFonts w:ascii="Arial Narrow" w:hAnsi="Arial Narrow" w:cs="Calibri"/>
                <w:color w:val="000000"/>
                <w:sz w:val="20"/>
                <w:szCs w:val="20"/>
                <w:lang w:eastAsia="en-AU"/>
              </w:rPr>
            </w:pPr>
          </w:p>
        </w:tc>
        <w:tc>
          <w:tcPr>
            <w:tcW w:w="661" w:type="dxa"/>
            <w:shd w:val="clear" w:color="auto" w:fill="auto"/>
            <w:noWrap/>
          </w:tcPr>
          <w:p w14:paraId="7F7A949F" w14:textId="77777777" w:rsidR="00F33674" w:rsidRPr="00F33674" w:rsidRDefault="00F33674" w:rsidP="00F33674">
            <w:pPr>
              <w:jc w:val="right"/>
              <w:rPr>
                <w:rFonts w:ascii="Arial Narrow" w:hAnsi="Arial Narrow" w:cs="Calibri"/>
                <w:color w:val="000000"/>
                <w:sz w:val="20"/>
                <w:szCs w:val="20"/>
                <w:lang w:eastAsia="en-AU"/>
              </w:rPr>
            </w:pPr>
          </w:p>
        </w:tc>
        <w:tc>
          <w:tcPr>
            <w:tcW w:w="656" w:type="dxa"/>
            <w:shd w:val="clear" w:color="auto" w:fill="auto"/>
            <w:noWrap/>
          </w:tcPr>
          <w:p w14:paraId="1CA49BB7" w14:textId="77777777" w:rsidR="00F33674" w:rsidRPr="00F33674" w:rsidRDefault="00F33674" w:rsidP="00F33674">
            <w:pPr>
              <w:jc w:val="right"/>
              <w:rPr>
                <w:rFonts w:ascii="Arial Narrow" w:hAnsi="Arial Narrow" w:cs="Calibri"/>
                <w:color w:val="000000"/>
                <w:sz w:val="20"/>
                <w:szCs w:val="20"/>
                <w:lang w:eastAsia="en-AU"/>
              </w:rPr>
            </w:pPr>
          </w:p>
        </w:tc>
        <w:tc>
          <w:tcPr>
            <w:tcW w:w="1794" w:type="dxa"/>
            <w:shd w:val="clear" w:color="auto" w:fill="auto"/>
            <w:noWrap/>
            <w:hideMark/>
          </w:tcPr>
          <w:p w14:paraId="71F66A02"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Comfarol Forte</w:t>
            </w:r>
          </w:p>
        </w:tc>
        <w:tc>
          <w:tcPr>
            <w:tcW w:w="1757" w:type="dxa"/>
            <w:shd w:val="clear" w:color="auto" w:fill="auto"/>
            <w:noWrap/>
            <w:hideMark/>
          </w:tcPr>
          <w:p w14:paraId="154DC737"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Sandoz Pty Ltd</w:t>
            </w:r>
          </w:p>
        </w:tc>
      </w:tr>
      <w:tr w:rsidR="00F33674" w:rsidRPr="00F33674" w14:paraId="6F4469EB" w14:textId="77777777" w:rsidTr="00C21DFA">
        <w:trPr>
          <w:trHeight w:val="300"/>
        </w:trPr>
        <w:tc>
          <w:tcPr>
            <w:tcW w:w="1418" w:type="dxa"/>
            <w:shd w:val="clear" w:color="auto" w:fill="auto"/>
            <w:noWrap/>
          </w:tcPr>
          <w:p w14:paraId="2CEF2101" w14:textId="77777777" w:rsidR="00F33674" w:rsidRPr="00F33674" w:rsidRDefault="00F33674" w:rsidP="00F33674">
            <w:pPr>
              <w:jc w:val="left"/>
              <w:rPr>
                <w:rFonts w:ascii="Arial Narrow" w:hAnsi="Arial Narrow" w:cs="Calibri"/>
                <w:color w:val="000000"/>
                <w:sz w:val="20"/>
                <w:szCs w:val="20"/>
                <w:lang w:eastAsia="en-AU"/>
              </w:rPr>
            </w:pPr>
          </w:p>
        </w:tc>
        <w:tc>
          <w:tcPr>
            <w:tcW w:w="1112" w:type="dxa"/>
            <w:shd w:val="clear" w:color="auto" w:fill="auto"/>
          </w:tcPr>
          <w:p w14:paraId="6CD1F15C" w14:textId="77777777" w:rsidR="00F33674" w:rsidRPr="00F33674" w:rsidRDefault="00F33674" w:rsidP="00F33674">
            <w:pPr>
              <w:jc w:val="left"/>
              <w:rPr>
                <w:rFonts w:ascii="Arial Narrow" w:hAnsi="Arial Narrow" w:cs="Calibri"/>
                <w:color w:val="000000"/>
                <w:sz w:val="20"/>
                <w:szCs w:val="20"/>
                <w:lang w:eastAsia="en-AU"/>
              </w:rPr>
            </w:pPr>
          </w:p>
        </w:tc>
        <w:tc>
          <w:tcPr>
            <w:tcW w:w="2465" w:type="dxa"/>
            <w:vMerge/>
            <w:shd w:val="clear" w:color="auto" w:fill="auto"/>
            <w:noWrap/>
          </w:tcPr>
          <w:p w14:paraId="4D2559FF" w14:textId="77777777" w:rsidR="00F33674" w:rsidRPr="00F33674" w:rsidRDefault="00F33674" w:rsidP="00F33674">
            <w:pPr>
              <w:jc w:val="left"/>
              <w:rPr>
                <w:rFonts w:ascii="Arial Narrow" w:hAnsi="Arial Narrow" w:cs="Calibri"/>
                <w:color w:val="000000"/>
                <w:sz w:val="20"/>
                <w:szCs w:val="20"/>
                <w:lang w:eastAsia="en-AU"/>
              </w:rPr>
            </w:pPr>
          </w:p>
        </w:tc>
        <w:tc>
          <w:tcPr>
            <w:tcW w:w="661" w:type="dxa"/>
            <w:shd w:val="clear" w:color="auto" w:fill="auto"/>
            <w:noWrap/>
          </w:tcPr>
          <w:p w14:paraId="2CFA63FB" w14:textId="77777777" w:rsidR="00F33674" w:rsidRPr="00F33674" w:rsidRDefault="00F33674" w:rsidP="00F33674">
            <w:pPr>
              <w:jc w:val="right"/>
              <w:rPr>
                <w:rFonts w:ascii="Arial Narrow" w:hAnsi="Arial Narrow" w:cs="Calibri"/>
                <w:color w:val="000000"/>
                <w:sz w:val="20"/>
                <w:szCs w:val="20"/>
                <w:lang w:eastAsia="en-AU"/>
              </w:rPr>
            </w:pPr>
          </w:p>
        </w:tc>
        <w:tc>
          <w:tcPr>
            <w:tcW w:w="656" w:type="dxa"/>
            <w:shd w:val="clear" w:color="auto" w:fill="auto"/>
            <w:noWrap/>
          </w:tcPr>
          <w:p w14:paraId="1CDA4D95" w14:textId="77777777" w:rsidR="00F33674" w:rsidRPr="00F33674" w:rsidRDefault="00F33674" w:rsidP="00F33674">
            <w:pPr>
              <w:jc w:val="right"/>
              <w:rPr>
                <w:rFonts w:ascii="Arial Narrow" w:hAnsi="Arial Narrow" w:cs="Calibri"/>
                <w:color w:val="000000"/>
                <w:sz w:val="20"/>
                <w:szCs w:val="20"/>
                <w:lang w:eastAsia="en-AU"/>
              </w:rPr>
            </w:pPr>
          </w:p>
        </w:tc>
        <w:tc>
          <w:tcPr>
            <w:tcW w:w="1794" w:type="dxa"/>
            <w:shd w:val="clear" w:color="auto" w:fill="auto"/>
            <w:noWrap/>
            <w:hideMark/>
          </w:tcPr>
          <w:p w14:paraId="7DDF05D9"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Panadeine Forte</w:t>
            </w:r>
          </w:p>
        </w:tc>
        <w:tc>
          <w:tcPr>
            <w:tcW w:w="1757" w:type="dxa"/>
            <w:shd w:val="clear" w:color="auto" w:fill="auto"/>
            <w:noWrap/>
            <w:hideMark/>
          </w:tcPr>
          <w:p w14:paraId="6FF042ED"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sanofi-aventis Australia Pty Ltd</w:t>
            </w:r>
          </w:p>
        </w:tc>
      </w:tr>
      <w:tr w:rsidR="00F33674" w:rsidRPr="00F33674" w14:paraId="51E46EEB" w14:textId="77777777" w:rsidTr="00C21DFA">
        <w:trPr>
          <w:trHeight w:val="300"/>
        </w:trPr>
        <w:tc>
          <w:tcPr>
            <w:tcW w:w="1418" w:type="dxa"/>
            <w:shd w:val="clear" w:color="auto" w:fill="auto"/>
            <w:noWrap/>
          </w:tcPr>
          <w:p w14:paraId="2EA044E6" w14:textId="77777777" w:rsidR="00F33674" w:rsidRPr="00F33674" w:rsidRDefault="00F33674" w:rsidP="00F33674">
            <w:pPr>
              <w:jc w:val="left"/>
              <w:rPr>
                <w:rFonts w:ascii="Arial Narrow" w:hAnsi="Arial Narrow" w:cs="Calibri"/>
                <w:color w:val="000000"/>
                <w:sz w:val="20"/>
                <w:szCs w:val="20"/>
                <w:lang w:eastAsia="en-AU"/>
              </w:rPr>
            </w:pPr>
          </w:p>
        </w:tc>
        <w:tc>
          <w:tcPr>
            <w:tcW w:w="1112" w:type="dxa"/>
            <w:shd w:val="clear" w:color="auto" w:fill="auto"/>
          </w:tcPr>
          <w:p w14:paraId="557FEE04" w14:textId="77777777" w:rsidR="00F33674" w:rsidRPr="00F33674" w:rsidRDefault="00F33674" w:rsidP="00F33674">
            <w:pPr>
              <w:jc w:val="left"/>
              <w:rPr>
                <w:rFonts w:ascii="Arial Narrow" w:hAnsi="Arial Narrow" w:cs="Calibri"/>
                <w:color w:val="000000"/>
                <w:sz w:val="20"/>
                <w:szCs w:val="20"/>
                <w:lang w:eastAsia="en-AU"/>
              </w:rPr>
            </w:pPr>
          </w:p>
        </w:tc>
        <w:tc>
          <w:tcPr>
            <w:tcW w:w="2465" w:type="dxa"/>
            <w:vMerge/>
            <w:shd w:val="clear" w:color="auto" w:fill="auto"/>
            <w:noWrap/>
          </w:tcPr>
          <w:p w14:paraId="27DAEDB7" w14:textId="77777777" w:rsidR="00F33674" w:rsidRPr="00F33674" w:rsidRDefault="00F33674" w:rsidP="00F33674">
            <w:pPr>
              <w:jc w:val="left"/>
              <w:rPr>
                <w:rFonts w:ascii="Arial Narrow" w:hAnsi="Arial Narrow" w:cs="Calibri"/>
                <w:color w:val="000000"/>
                <w:sz w:val="20"/>
                <w:szCs w:val="20"/>
                <w:lang w:eastAsia="en-AU"/>
              </w:rPr>
            </w:pPr>
          </w:p>
        </w:tc>
        <w:tc>
          <w:tcPr>
            <w:tcW w:w="661" w:type="dxa"/>
            <w:shd w:val="clear" w:color="auto" w:fill="auto"/>
            <w:noWrap/>
          </w:tcPr>
          <w:p w14:paraId="14DE4C4A" w14:textId="77777777" w:rsidR="00F33674" w:rsidRPr="00F33674" w:rsidRDefault="00F33674" w:rsidP="00F33674">
            <w:pPr>
              <w:jc w:val="right"/>
              <w:rPr>
                <w:rFonts w:ascii="Arial Narrow" w:hAnsi="Arial Narrow" w:cs="Calibri"/>
                <w:color w:val="000000"/>
                <w:sz w:val="20"/>
                <w:szCs w:val="20"/>
                <w:lang w:eastAsia="en-AU"/>
              </w:rPr>
            </w:pPr>
          </w:p>
        </w:tc>
        <w:tc>
          <w:tcPr>
            <w:tcW w:w="656" w:type="dxa"/>
            <w:shd w:val="clear" w:color="auto" w:fill="auto"/>
            <w:noWrap/>
          </w:tcPr>
          <w:p w14:paraId="2F217F50" w14:textId="77777777" w:rsidR="00F33674" w:rsidRPr="00F33674" w:rsidRDefault="00F33674" w:rsidP="00F33674">
            <w:pPr>
              <w:jc w:val="right"/>
              <w:rPr>
                <w:rFonts w:ascii="Arial Narrow" w:hAnsi="Arial Narrow" w:cs="Calibri"/>
                <w:color w:val="000000"/>
                <w:sz w:val="20"/>
                <w:szCs w:val="20"/>
                <w:lang w:eastAsia="en-AU"/>
              </w:rPr>
            </w:pPr>
          </w:p>
        </w:tc>
        <w:tc>
          <w:tcPr>
            <w:tcW w:w="1794" w:type="dxa"/>
            <w:shd w:val="clear" w:color="auto" w:fill="auto"/>
            <w:noWrap/>
            <w:hideMark/>
          </w:tcPr>
          <w:p w14:paraId="331DDE08"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Paracetamol/Codeine GH 500/30</w:t>
            </w:r>
          </w:p>
        </w:tc>
        <w:tc>
          <w:tcPr>
            <w:tcW w:w="1757" w:type="dxa"/>
            <w:shd w:val="clear" w:color="auto" w:fill="auto"/>
            <w:noWrap/>
            <w:hideMark/>
          </w:tcPr>
          <w:p w14:paraId="1BDB94B4"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Generic Health Pty Ltd</w:t>
            </w:r>
          </w:p>
        </w:tc>
      </w:tr>
      <w:tr w:rsidR="00F33674" w:rsidRPr="00F33674" w14:paraId="72E83779" w14:textId="77777777" w:rsidTr="00C21DFA">
        <w:trPr>
          <w:trHeight w:val="300"/>
        </w:trPr>
        <w:tc>
          <w:tcPr>
            <w:tcW w:w="1418" w:type="dxa"/>
            <w:shd w:val="clear" w:color="auto" w:fill="auto"/>
            <w:noWrap/>
          </w:tcPr>
          <w:p w14:paraId="438009AF" w14:textId="77777777" w:rsidR="00F33674" w:rsidRPr="00F33674" w:rsidRDefault="00F33674" w:rsidP="00F33674">
            <w:pPr>
              <w:jc w:val="left"/>
              <w:rPr>
                <w:rFonts w:ascii="Arial Narrow" w:hAnsi="Arial Narrow" w:cs="Calibri"/>
                <w:color w:val="000000"/>
                <w:sz w:val="20"/>
                <w:szCs w:val="20"/>
                <w:lang w:eastAsia="en-AU"/>
              </w:rPr>
            </w:pPr>
          </w:p>
        </w:tc>
        <w:tc>
          <w:tcPr>
            <w:tcW w:w="1112" w:type="dxa"/>
            <w:shd w:val="clear" w:color="auto" w:fill="auto"/>
          </w:tcPr>
          <w:p w14:paraId="22005006" w14:textId="77777777" w:rsidR="00F33674" w:rsidRPr="00F33674" w:rsidRDefault="00F33674" w:rsidP="00F33674">
            <w:pPr>
              <w:jc w:val="left"/>
              <w:rPr>
                <w:rFonts w:ascii="Arial Narrow" w:hAnsi="Arial Narrow" w:cs="Calibri"/>
                <w:color w:val="000000"/>
                <w:sz w:val="20"/>
                <w:szCs w:val="20"/>
                <w:lang w:eastAsia="en-AU"/>
              </w:rPr>
            </w:pPr>
          </w:p>
        </w:tc>
        <w:tc>
          <w:tcPr>
            <w:tcW w:w="2465" w:type="dxa"/>
            <w:vMerge/>
            <w:shd w:val="clear" w:color="auto" w:fill="auto"/>
            <w:noWrap/>
          </w:tcPr>
          <w:p w14:paraId="010ABAAB" w14:textId="77777777" w:rsidR="00F33674" w:rsidRPr="00F33674" w:rsidRDefault="00F33674" w:rsidP="00F33674">
            <w:pPr>
              <w:jc w:val="left"/>
              <w:rPr>
                <w:rFonts w:ascii="Arial Narrow" w:hAnsi="Arial Narrow" w:cs="Calibri"/>
                <w:color w:val="000000"/>
                <w:sz w:val="20"/>
                <w:szCs w:val="20"/>
                <w:lang w:eastAsia="en-AU"/>
              </w:rPr>
            </w:pPr>
          </w:p>
        </w:tc>
        <w:tc>
          <w:tcPr>
            <w:tcW w:w="661" w:type="dxa"/>
            <w:shd w:val="clear" w:color="auto" w:fill="auto"/>
            <w:noWrap/>
          </w:tcPr>
          <w:p w14:paraId="13A7E659" w14:textId="77777777" w:rsidR="00F33674" w:rsidRPr="00F33674" w:rsidRDefault="00F33674" w:rsidP="00F33674">
            <w:pPr>
              <w:jc w:val="right"/>
              <w:rPr>
                <w:rFonts w:ascii="Arial Narrow" w:hAnsi="Arial Narrow" w:cs="Calibri"/>
                <w:color w:val="000000"/>
                <w:sz w:val="20"/>
                <w:szCs w:val="20"/>
                <w:lang w:eastAsia="en-AU"/>
              </w:rPr>
            </w:pPr>
          </w:p>
        </w:tc>
        <w:tc>
          <w:tcPr>
            <w:tcW w:w="656" w:type="dxa"/>
            <w:shd w:val="clear" w:color="auto" w:fill="auto"/>
            <w:noWrap/>
          </w:tcPr>
          <w:p w14:paraId="2B3CAEF7" w14:textId="77777777" w:rsidR="00F33674" w:rsidRPr="00F33674" w:rsidRDefault="00F33674" w:rsidP="00F33674">
            <w:pPr>
              <w:jc w:val="right"/>
              <w:rPr>
                <w:rFonts w:ascii="Arial Narrow" w:hAnsi="Arial Narrow" w:cs="Calibri"/>
                <w:color w:val="000000"/>
                <w:sz w:val="20"/>
                <w:szCs w:val="20"/>
                <w:lang w:eastAsia="en-AU"/>
              </w:rPr>
            </w:pPr>
          </w:p>
        </w:tc>
        <w:tc>
          <w:tcPr>
            <w:tcW w:w="1794" w:type="dxa"/>
            <w:shd w:val="clear" w:color="auto" w:fill="auto"/>
            <w:noWrap/>
            <w:hideMark/>
          </w:tcPr>
          <w:p w14:paraId="5210F569"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Prodeine Forte</w:t>
            </w:r>
          </w:p>
        </w:tc>
        <w:tc>
          <w:tcPr>
            <w:tcW w:w="1757" w:type="dxa"/>
            <w:shd w:val="clear" w:color="auto" w:fill="auto"/>
            <w:noWrap/>
            <w:hideMark/>
          </w:tcPr>
          <w:p w14:paraId="6FA39DC3"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sanofi-aventis Australia Pty Ltd</w:t>
            </w:r>
          </w:p>
        </w:tc>
      </w:tr>
      <w:tr w:rsidR="00F33674" w:rsidRPr="00F33674" w14:paraId="1AB21E00" w14:textId="77777777" w:rsidTr="00C21DFA">
        <w:trPr>
          <w:trHeight w:val="300"/>
        </w:trPr>
        <w:tc>
          <w:tcPr>
            <w:tcW w:w="1418" w:type="dxa"/>
            <w:shd w:val="clear" w:color="auto" w:fill="auto"/>
            <w:noWrap/>
            <w:hideMark/>
          </w:tcPr>
          <w:p w14:paraId="51A5240D"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OXYCODONE</w:t>
            </w:r>
          </w:p>
        </w:tc>
        <w:tc>
          <w:tcPr>
            <w:tcW w:w="1112" w:type="dxa"/>
            <w:shd w:val="clear" w:color="auto" w:fill="auto"/>
          </w:tcPr>
          <w:p w14:paraId="4764F3BE"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8501K</w:t>
            </w:r>
          </w:p>
        </w:tc>
        <w:tc>
          <w:tcPr>
            <w:tcW w:w="2465" w:type="dxa"/>
            <w:vMerge w:val="restart"/>
            <w:shd w:val="clear" w:color="auto" w:fill="auto"/>
            <w:noWrap/>
            <w:hideMark/>
          </w:tcPr>
          <w:p w14:paraId="06E7A4E1"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Capsule containing oxycodone hydrochloride 10 mg</w:t>
            </w:r>
          </w:p>
        </w:tc>
        <w:tc>
          <w:tcPr>
            <w:tcW w:w="661" w:type="dxa"/>
            <w:shd w:val="clear" w:color="auto" w:fill="auto"/>
            <w:noWrap/>
            <w:hideMark/>
          </w:tcPr>
          <w:p w14:paraId="7FAD11F1" w14:textId="77777777" w:rsidR="00F33674" w:rsidRPr="00F33674" w:rsidRDefault="00F33674" w:rsidP="00F33674">
            <w:pPr>
              <w:jc w:val="righ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10</w:t>
            </w:r>
          </w:p>
        </w:tc>
        <w:tc>
          <w:tcPr>
            <w:tcW w:w="656" w:type="dxa"/>
            <w:shd w:val="clear" w:color="auto" w:fill="auto"/>
            <w:noWrap/>
            <w:hideMark/>
          </w:tcPr>
          <w:p w14:paraId="2D965253" w14:textId="77777777" w:rsidR="00F33674" w:rsidRPr="00F33674" w:rsidRDefault="00F33674" w:rsidP="00F33674">
            <w:pPr>
              <w:jc w:val="righ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0</w:t>
            </w:r>
          </w:p>
        </w:tc>
        <w:tc>
          <w:tcPr>
            <w:tcW w:w="1794" w:type="dxa"/>
            <w:shd w:val="clear" w:color="auto" w:fill="auto"/>
            <w:noWrap/>
            <w:hideMark/>
          </w:tcPr>
          <w:p w14:paraId="7AE0F2B8"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OxyNorm</w:t>
            </w:r>
          </w:p>
        </w:tc>
        <w:tc>
          <w:tcPr>
            <w:tcW w:w="1757" w:type="dxa"/>
            <w:shd w:val="clear" w:color="auto" w:fill="auto"/>
            <w:noWrap/>
            <w:hideMark/>
          </w:tcPr>
          <w:p w14:paraId="22CC825E"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Mundipharma Pty Limited</w:t>
            </w:r>
          </w:p>
        </w:tc>
      </w:tr>
      <w:tr w:rsidR="00F33674" w:rsidRPr="00F33674" w14:paraId="7EFF9ED8" w14:textId="77777777" w:rsidTr="00C21DFA">
        <w:trPr>
          <w:trHeight w:val="300"/>
        </w:trPr>
        <w:tc>
          <w:tcPr>
            <w:tcW w:w="1418" w:type="dxa"/>
            <w:shd w:val="clear" w:color="auto" w:fill="auto"/>
            <w:noWrap/>
          </w:tcPr>
          <w:p w14:paraId="3E35B546" w14:textId="77777777" w:rsidR="00F33674" w:rsidRPr="00F33674" w:rsidRDefault="00F33674" w:rsidP="00F33674">
            <w:pPr>
              <w:jc w:val="left"/>
              <w:rPr>
                <w:rFonts w:ascii="Arial Narrow" w:hAnsi="Arial Narrow" w:cs="Calibri"/>
                <w:color w:val="000000"/>
                <w:sz w:val="20"/>
                <w:szCs w:val="20"/>
                <w:lang w:eastAsia="en-AU"/>
              </w:rPr>
            </w:pPr>
          </w:p>
        </w:tc>
        <w:tc>
          <w:tcPr>
            <w:tcW w:w="1112" w:type="dxa"/>
            <w:shd w:val="clear" w:color="auto" w:fill="auto"/>
          </w:tcPr>
          <w:p w14:paraId="2D781F04" w14:textId="77777777" w:rsidR="00F33674" w:rsidRPr="00F33674" w:rsidRDefault="00F33674" w:rsidP="00F33674">
            <w:pPr>
              <w:jc w:val="left"/>
              <w:rPr>
                <w:rFonts w:ascii="Arial Narrow" w:hAnsi="Arial Narrow" w:cs="Calibri"/>
                <w:color w:val="000000"/>
                <w:sz w:val="20"/>
                <w:szCs w:val="20"/>
                <w:lang w:eastAsia="en-AU"/>
              </w:rPr>
            </w:pPr>
          </w:p>
        </w:tc>
        <w:tc>
          <w:tcPr>
            <w:tcW w:w="2465" w:type="dxa"/>
            <w:vMerge/>
            <w:shd w:val="clear" w:color="auto" w:fill="auto"/>
            <w:noWrap/>
          </w:tcPr>
          <w:p w14:paraId="744A9519" w14:textId="77777777" w:rsidR="00F33674" w:rsidRPr="00F33674" w:rsidRDefault="00F33674" w:rsidP="00F33674">
            <w:pPr>
              <w:jc w:val="left"/>
              <w:rPr>
                <w:rFonts w:ascii="Arial Narrow" w:hAnsi="Arial Narrow" w:cs="Calibri"/>
                <w:color w:val="000000"/>
                <w:sz w:val="20"/>
                <w:szCs w:val="20"/>
                <w:lang w:eastAsia="en-AU"/>
              </w:rPr>
            </w:pPr>
          </w:p>
        </w:tc>
        <w:tc>
          <w:tcPr>
            <w:tcW w:w="661" w:type="dxa"/>
            <w:shd w:val="clear" w:color="auto" w:fill="auto"/>
            <w:noWrap/>
          </w:tcPr>
          <w:p w14:paraId="6C46C635" w14:textId="77777777" w:rsidR="00F33674" w:rsidRPr="00F33674" w:rsidRDefault="00F33674" w:rsidP="00F33674">
            <w:pPr>
              <w:jc w:val="right"/>
              <w:rPr>
                <w:rFonts w:ascii="Arial Narrow" w:hAnsi="Arial Narrow" w:cs="Calibri"/>
                <w:color w:val="000000"/>
                <w:sz w:val="20"/>
                <w:szCs w:val="20"/>
                <w:lang w:eastAsia="en-AU"/>
              </w:rPr>
            </w:pPr>
          </w:p>
        </w:tc>
        <w:tc>
          <w:tcPr>
            <w:tcW w:w="656" w:type="dxa"/>
            <w:shd w:val="clear" w:color="auto" w:fill="auto"/>
            <w:noWrap/>
          </w:tcPr>
          <w:p w14:paraId="722ECF45" w14:textId="77777777" w:rsidR="00F33674" w:rsidRPr="00F33674" w:rsidRDefault="00F33674" w:rsidP="00F33674">
            <w:pPr>
              <w:jc w:val="right"/>
              <w:rPr>
                <w:rFonts w:ascii="Arial Narrow" w:hAnsi="Arial Narrow" w:cs="Calibri"/>
                <w:color w:val="000000"/>
                <w:sz w:val="20"/>
                <w:szCs w:val="20"/>
                <w:lang w:eastAsia="en-AU"/>
              </w:rPr>
            </w:pPr>
          </w:p>
        </w:tc>
        <w:tc>
          <w:tcPr>
            <w:tcW w:w="1794" w:type="dxa"/>
            <w:shd w:val="clear" w:color="auto" w:fill="auto"/>
            <w:noWrap/>
            <w:hideMark/>
          </w:tcPr>
          <w:p w14:paraId="08D27930"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Oxycodone BNM</w:t>
            </w:r>
          </w:p>
        </w:tc>
        <w:tc>
          <w:tcPr>
            <w:tcW w:w="1757" w:type="dxa"/>
            <w:shd w:val="clear" w:color="auto" w:fill="auto"/>
            <w:noWrap/>
            <w:hideMark/>
          </w:tcPr>
          <w:p w14:paraId="0D7FE84E"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Luminarie Pty Ltd</w:t>
            </w:r>
          </w:p>
        </w:tc>
      </w:tr>
      <w:tr w:rsidR="00F33674" w:rsidRPr="00F33674" w14:paraId="78DD3FA9" w14:textId="77777777" w:rsidTr="00C21DFA">
        <w:trPr>
          <w:trHeight w:val="300"/>
        </w:trPr>
        <w:tc>
          <w:tcPr>
            <w:tcW w:w="1418" w:type="dxa"/>
            <w:shd w:val="clear" w:color="auto" w:fill="auto"/>
            <w:noWrap/>
          </w:tcPr>
          <w:p w14:paraId="2F7DD29C" w14:textId="77777777" w:rsidR="00F33674" w:rsidRPr="00F33674" w:rsidRDefault="00F33674" w:rsidP="00F33674">
            <w:pPr>
              <w:jc w:val="left"/>
              <w:rPr>
                <w:rFonts w:ascii="Arial Narrow" w:hAnsi="Arial Narrow" w:cs="Calibri"/>
                <w:color w:val="000000"/>
                <w:sz w:val="20"/>
                <w:szCs w:val="20"/>
                <w:lang w:eastAsia="en-AU"/>
              </w:rPr>
            </w:pPr>
          </w:p>
        </w:tc>
        <w:tc>
          <w:tcPr>
            <w:tcW w:w="1112" w:type="dxa"/>
            <w:shd w:val="clear" w:color="auto" w:fill="auto"/>
          </w:tcPr>
          <w:p w14:paraId="0905742E"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8464L</w:t>
            </w:r>
          </w:p>
        </w:tc>
        <w:tc>
          <w:tcPr>
            <w:tcW w:w="2465" w:type="dxa"/>
            <w:vMerge w:val="restart"/>
            <w:shd w:val="clear" w:color="auto" w:fill="auto"/>
            <w:noWrap/>
            <w:hideMark/>
          </w:tcPr>
          <w:p w14:paraId="3146C375"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Capsule containing oxycodone hydrochloride 5 mg</w:t>
            </w:r>
          </w:p>
        </w:tc>
        <w:tc>
          <w:tcPr>
            <w:tcW w:w="661" w:type="dxa"/>
            <w:shd w:val="clear" w:color="auto" w:fill="auto"/>
            <w:noWrap/>
            <w:hideMark/>
          </w:tcPr>
          <w:p w14:paraId="02C52292" w14:textId="77777777" w:rsidR="00F33674" w:rsidRPr="00F33674" w:rsidRDefault="00F33674" w:rsidP="00F33674">
            <w:pPr>
              <w:jc w:val="righ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10</w:t>
            </w:r>
          </w:p>
        </w:tc>
        <w:tc>
          <w:tcPr>
            <w:tcW w:w="656" w:type="dxa"/>
            <w:shd w:val="clear" w:color="auto" w:fill="auto"/>
            <w:noWrap/>
            <w:hideMark/>
          </w:tcPr>
          <w:p w14:paraId="5FCBDDF4" w14:textId="77777777" w:rsidR="00F33674" w:rsidRPr="00F33674" w:rsidRDefault="00F33674" w:rsidP="00F33674">
            <w:pPr>
              <w:jc w:val="righ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0</w:t>
            </w:r>
          </w:p>
        </w:tc>
        <w:tc>
          <w:tcPr>
            <w:tcW w:w="1794" w:type="dxa"/>
            <w:shd w:val="clear" w:color="auto" w:fill="auto"/>
            <w:noWrap/>
            <w:hideMark/>
          </w:tcPr>
          <w:p w14:paraId="2B0ECC36"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OxyNorm</w:t>
            </w:r>
          </w:p>
        </w:tc>
        <w:tc>
          <w:tcPr>
            <w:tcW w:w="1757" w:type="dxa"/>
            <w:shd w:val="clear" w:color="auto" w:fill="auto"/>
            <w:noWrap/>
            <w:hideMark/>
          </w:tcPr>
          <w:p w14:paraId="71BCF3AE"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Mundipharma Pty Limited</w:t>
            </w:r>
          </w:p>
        </w:tc>
      </w:tr>
      <w:tr w:rsidR="00F33674" w:rsidRPr="00F33674" w14:paraId="120BB544" w14:textId="77777777" w:rsidTr="00C21DFA">
        <w:trPr>
          <w:trHeight w:val="300"/>
        </w:trPr>
        <w:tc>
          <w:tcPr>
            <w:tcW w:w="1418" w:type="dxa"/>
            <w:shd w:val="clear" w:color="auto" w:fill="auto"/>
            <w:noWrap/>
          </w:tcPr>
          <w:p w14:paraId="5AE0347F" w14:textId="77777777" w:rsidR="00F33674" w:rsidRPr="00F33674" w:rsidRDefault="00F33674" w:rsidP="00F33674">
            <w:pPr>
              <w:jc w:val="left"/>
              <w:rPr>
                <w:rFonts w:ascii="Arial Narrow" w:hAnsi="Arial Narrow" w:cs="Calibri"/>
                <w:color w:val="000000"/>
                <w:sz w:val="20"/>
                <w:szCs w:val="20"/>
                <w:lang w:eastAsia="en-AU"/>
              </w:rPr>
            </w:pPr>
          </w:p>
        </w:tc>
        <w:tc>
          <w:tcPr>
            <w:tcW w:w="1112" w:type="dxa"/>
            <w:shd w:val="clear" w:color="auto" w:fill="auto"/>
          </w:tcPr>
          <w:p w14:paraId="664AE0F3" w14:textId="77777777" w:rsidR="00F33674" w:rsidRPr="00F33674" w:rsidRDefault="00F33674" w:rsidP="00F33674">
            <w:pPr>
              <w:jc w:val="left"/>
              <w:rPr>
                <w:rFonts w:ascii="Arial Narrow" w:hAnsi="Arial Narrow" w:cs="Calibri"/>
                <w:color w:val="000000"/>
                <w:sz w:val="20"/>
                <w:szCs w:val="20"/>
                <w:lang w:eastAsia="en-AU"/>
              </w:rPr>
            </w:pPr>
          </w:p>
        </w:tc>
        <w:tc>
          <w:tcPr>
            <w:tcW w:w="2465" w:type="dxa"/>
            <w:vMerge/>
            <w:shd w:val="clear" w:color="auto" w:fill="auto"/>
            <w:noWrap/>
          </w:tcPr>
          <w:p w14:paraId="61A4AAEF" w14:textId="77777777" w:rsidR="00F33674" w:rsidRPr="00F33674" w:rsidRDefault="00F33674" w:rsidP="00F33674">
            <w:pPr>
              <w:jc w:val="left"/>
              <w:rPr>
                <w:rFonts w:ascii="Arial Narrow" w:hAnsi="Arial Narrow" w:cs="Calibri"/>
                <w:color w:val="000000"/>
                <w:sz w:val="20"/>
                <w:szCs w:val="20"/>
                <w:lang w:eastAsia="en-AU"/>
              </w:rPr>
            </w:pPr>
          </w:p>
        </w:tc>
        <w:tc>
          <w:tcPr>
            <w:tcW w:w="661" w:type="dxa"/>
            <w:shd w:val="clear" w:color="auto" w:fill="auto"/>
            <w:noWrap/>
          </w:tcPr>
          <w:p w14:paraId="053E78CE" w14:textId="77777777" w:rsidR="00F33674" w:rsidRPr="00F33674" w:rsidRDefault="00F33674" w:rsidP="00F33674">
            <w:pPr>
              <w:jc w:val="right"/>
              <w:rPr>
                <w:rFonts w:ascii="Arial Narrow" w:hAnsi="Arial Narrow" w:cs="Calibri"/>
                <w:color w:val="000000"/>
                <w:sz w:val="20"/>
                <w:szCs w:val="20"/>
                <w:lang w:eastAsia="en-AU"/>
              </w:rPr>
            </w:pPr>
          </w:p>
        </w:tc>
        <w:tc>
          <w:tcPr>
            <w:tcW w:w="656" w:type="dxa"/>
            <w:shd w:val="clear" w:color="auto" w:fill="auto"/>
            <w:noWrap/>
          </w:tcPr>
          <w:p w14:paraId="48AD327B" w14:textId="77777777" w:rsidR="00F33674" w:rsidRPr="00F33674" w:rsidRDefault="00F33674" w:rsidP="00F33674">
            <w:pPr>
              <w:jc w:val="right"/>
              <w:rPr>
                <w:rFonts w:ascii="Arial Narrow" w:hAnsi="Arial Narrow" w:cs="Calibri"/>
                <w:color w:val="000000"/>
                <w:sz w:val="20"/>
                <w:szCs w:val="20"/>
                <w:lang w:eastAsia="en-AU"/>
              </w:rPr>
            </w:pPr>
          </w:p>
        </w:tc>
        <w:tc>
          <w:tcPr>
            <w:tcW w:w="1794" w:type="dxa"/>
            <w:shd w:val="clear" w:color="auto" w:fill="auto"/>
            <w:noWrap/>
            <w:hideMark/>
          </w:tcPr>
          <w:p w14:paraId="377662A3"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Oxycodone BNM</w:t>
            </w:r>
          </w:p>
        </w:tc>
        <w:tc>
          <w:tcPr>
            <w:tcW w:w="1757" w:type="dxa"/>
            <w:shd w:val="clear" w:color="auto" w:fill="auto"/>
            <w:noWrap/>
            <w:hideMark/>
          </w:tcPr>
          <w:p w14:paraId="53B2EBC5"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Luminarie Pty Ltd</w:t>
            </w:r>
          </w:p>
        </w:tc>
      </w:tr>
      <w:tr w:rsidR="00F33674" w:rsidRPr="00F33674" w14:paraId="5DF7C07E" w14:textId="77777777" w:rsidTr="00C21DFA">
        <w:trPr>
          <w:trHeight w:val="300"/>
        </w:trPr>
        <w:tc>
          <w:tcPr>
            <w:tcW w:w="1418" w:type="dxa"/>
            <w:shd w:val="clear" w:color="auto" w:fill="auto"/>
            <w:noWrap/>
          </w:tcPr>
          <w:p w14:paraId="6635BD3B" w14:textId="77777777" w:rsidR="00F33674" w:rsidRPr="00F33674" w:rsidRDefault="00F33674" w:rsidP="00F33674">
            <w:pPr>
              <w:jc w:val="left"/>
              <w:rPr>
                <w:rFonts w:ascii="Arial Narrow" w:hAnsi="Arial Narrow" w:cs="Calibri"/>
                <w:color w:val="000000"/>
                <w:sz w:val="20"/>
                <w:szCs w:val="20"/>
                <w:lang w:eastAsia="en-AU"/>
              </w:rPr>
            </w:pPr>
          </w:p>
        </w:tc>
        <w:tc>
          <w:tcPr>
            <w:tcW w:w="1112" w:type="dxa"/>
            <w:shd w:val="clear" w:color="auto" w:fill="auto"/>
          </w:tcPr>
          <w:p w14:paraId="36A95DDF"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8644Y</w:t>
            </w:r>
          </w:p>
        </w:tc>
        <w:tc>
          <w:tcPr>
            <w:tcW w:w="2465" w:type="dxa"/>
            <w:shd w:val="clear" w:color="auto" w:fill="auto"/>
            <w:noWrap/>
            <w:hideMark/>
          </w:tcPr>
          <w:p w14:paraId="1A82FAE6"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Oral solution containing oxycodone hydrochloride 1 mg per mL, 250 mL</w:t>
            </w:r>
          </w:p>
        </w:tc>
        <w:tc>
          <w:tcPr>
            <w:tcW w:w="661" w:type="dxa"/>
            <w:shd w:val="clear" w:color="auto" w:fill="auto"/>
            <w:noWrap/>
            <w:hideMark/>
          </w:tcPr>
          <w:p w14:paraId="2DDFF697" w14:textId="77777777" w:rsidR="00F33674" w:rsidRPr="00F33674" w:rsidRDefault="00F33674" w:rsidP="00F33674">
            <w:pPr>
              <w:jc w:val="righ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1</w:t>
            </w:r>
          </w:p>
        </w:tc>
        <w:tc>
          <w:tcPr>
            <w:tcW w:w="656" w:type="dxa"/>
            <w:shd w:val="clear" w:color="auto" w:fill="auto"/>
            <w:noWrap/>
            <w:hideMark/>
          </w:tcPr>
          <w:p w14:paraId="0403B8B4" w14:textId="77777777" w:rsidR="00F33674" w:rsidRPr="00F33674" w:rsidRDefault="00F33674" w:rsidP="00F33674">
            <w:pPr>
              <w:jc w:val="righ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0</w:t>
            </w:r>
          </w:p>
        </w:tc>
        <w:tc>
          <w:tcPr>
            <w:tcW w:w="1794" w:type="dxa"/>
            <w:shd w:val="clear" w:color="auto" w:fill="auto"/>
            <w:noWrap/>
            <w:hideMark/>
          </w:tcPr>
          <w:p w14:paraId="1DD18D8F"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OxyNorm Liquid 1mg/mL</w:t>
            </w:r>
          </w:p>
        </w:tc>
        <w:tc>
          <w:tcPr>
            <w:tcW w:w="1757" w:type="dxa"/>
            <w:shd w:val="clear" w:color="auto" w:fill="auto"/>
            <w:noWrap/>
            <w:hideMark/>
          </w:tcPr>
          <w:p w14:paraId="0B307B52"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Mundipharma Pty Limited</w:t>
            </w:r>
          </w:p>
        </w:tc>
      </w:tr>
      <w:tr w:rsidR="00F33674" w:rsidRPr="00F33674" w14:paraId="51C8B879" w14:textId="77777777" w:rsidTr="00C21DFA">
        <w:trPr>
          <w:trHeight w:val="300"/>
        </w:trPr>
        <w:tc>
          <w:tcPr>
            <w:tcW w:w="1418" w:type="dxa"/>
            <w:shd w:val="clear" w:color="auto" w:fill="auto"/>
            <w:noWrap/>
          </w:tcPr>
          <w:p w14:paraId="04A09B76" w14:textId="77777777" w:rsidR="00F33674" w:rsidRPr="00F33674" w:rsidRDefault="00F33674" w:rsidP="00F33674">
            <w:pPr>
              <w:jc w:val="left"/>
              <w:rPr>
                <w:rFonts w:ascii="Arial Narrow" w:hAnsi="Arial Narrow" w:cs="Calibri"/>
                <w:color w:val="000000"/>
                <w:sz w:val="20"/>
                <w:szCs w:val="20"/>
                <w:lang w:eastAsia="en-AU"/>
              </w:rPr>
            </w:pPr>
          </w:p>
        </w:tc>
        <w:tc>
          <w:tcPr>
            <w:tcW w:w="1112" w:type="dxa"/>
            <w:shd w:val="clear" w:color="auto" w:fill="auto"/>
          </w:tcPr>
          <w:p w14:paraId="2078B0BF"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2622B</w:t>
            </w:r>
          </w:p>
        </w:tc>
        <w:tc>
          <w:tcPr>
            <w:tcW w:w="2465" w:type="dxa"/>
            <w:vMerge w:val="restart"/>
            <w:shd w:val="clear" w:color="auto" w:fill="auto"/>
            <w:noWrap/>
            <w:hideMark/>
          </w:tcPr>
          <w:p w14:paraId="51214FAD"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Tablet containing oxycodone hydrochloride 5 mg</w:t>
            </w:r>
          </w:p>
        </w:tc>
        <w:tc>
          <w:tcPr>
            <w:tcW w:w="661" w:type="dxa"/>
            <w:shd w:val="clear" w:color="auto" w:fill="auto"/>
            <w:noWrap/>
            <w:hideMark/>
          </w:tcPr>
          <w:p w14:paraId="05FA73D9" w14:textId="77777777" w:rsidR="00F33674" w:rsidRPr="00F33674" w:rsidRDefault="00F33674" w:rsidP="00F33674">
            <w:pPr>
              <w:jc w:val="righ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10</w:t>
            </w:r>
          </w:p>
        </w:tc>
        <w:tc>
          <w:tcPr>
            <w:tcW w:w="656" w:type="dxa"/>
            <w:shd w:val="clear" w:color="auto" w:fill="auto"/>
            <w:noWrap/>
            <w:hideMark/>
          </w:tcPr>
          <w:p w14:paraId="743AF0B2" w14:textId="77777777" w:rsidR="00F33674" w:rsidRPr="00F33674" w:rsidRDefault="00F33674" w:rsidP="00F33674">
            <w:pPr>
              <w:jc w:val="righ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0</w:t>
            </w:r>
          </w:p>
        </w:tc>
        <w:tc>
          <w:tcPr>
            <w:tcW w:w="1794" w:type="dxa"/>
            <w:shd w:val="clear" w:color="auto" w:fill="auto"/>
            <w:noWrap/>
            <w:hideMark/>
          </w:tcPr>
          <w:p w14:paraId="1430C498"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Endone</w:t>
            </w:r>
          </w:p>
        </w:tc>
        <w:tc>
          <w:tcPr>
            <w:tcW w:w="1757" w:type="dxa"/>
            <w:shd w:val="clear" w:color="auto" w:fill="auto"/>
            <w:noWrap/>
            <w:hideMark/>
          </w:tcPr>
          <w:p w14:paraId="2DF2AC4C"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Alphapharm Pty Ltd</w:t>
            </w:r>
          </w:p>
        </w:tc>
      </w:tr>
      <w:tr w:rsidR="00F33674" w:rsidRPr="00F33674" w14:paraId="64BCFEA3" w14:textId="77777777" w:rsidTr="00C21DFA">
        <w:trPr>
          <w:trHeight w:val="300"/>
        </w:trPr>
        <w:tc>
          <w:tcPr>
            <w:tcW w:w="1418" w:type="dxa"/>
            <w:shd w:val="clear" w:color="auto" w:fill="auto"/>
            <w:noWrap/>
          </w:tcPr>
          <w:p w14:paraId="1C59E422" w14:textId="77777777" w:rsidR="00F33674" w:rsidRPr="00F33674" w:rsidRDefault="00F33674" w:rsidP="00F33674">
            <w:pPr>
              <w:jc w:val="left"/>
              <w:rPr>
                <w:rFonts w:ascii="Arial Narrow" w:hAnsi="Arial Narrow" w:cs="Calibri"/>
                <w:color w:val="000000"/>
                <w:sz w:val="20"/>
                <w:szCs w:val="20"/>
                <w:lang w:eastAsia="en-AU"/>
              </w:rPr>
            </w:pPr>
          </w:p>
        </w:tc>
        <w:tc>
          <w:tcPr>
            <w:tcW w:w="1112" w:type="dxa"/>
            <w:shd w:val="clear" w:color="auto" w:fill="auto"/>
          </w:tcPr>
          <w:p w14:paraId="3F91AE97" w14:textId="77777777" w:rsidR="00F33674" w:rsidRPr="00F33674" w:rsidRDefault="00F33674" w:rsidP="00F33674">
            <w:pPr>
              <w:jc w:val="left"/>
              <w:rPr>
                <w:rFonts w:ascii="Arial Narrow" w:hAnsi="Arial Narrow" w:cs="Calibri"/>
                <w:color w:val="000000"/>
                <w:sz w:val="20"/>
                <w:szCs w:val="20"/>
                <w:lang w:eastAsia="en-AU"/>
              </w:rPr>
            </w:pPr>
          </w:p>
        </w:tc>
        <w:tc>
          <w:tcPr>
            <w:tcW w:w="2465" w:type="dxa"/>
            <w:vMerge/>
            <w:shd w:val="clear" w:color="auto" w:fill="auto"/>
            <w:noWrap/>
          </w:tcPr>
          <w:p w14:paraId="52E3A036" w14:textId="77777777" w:rsidR="00F33674" w:rsidRPr="00F33674" w:rsidRDefault="00F33674" w:rsidP="00F33674">
            <w:pPr>
              <w:jc w:val="left"/>
              <w:rPr>
                <w:rFonts w:ascii="Arial Narrow" w:hAnsi="Arial Narrow" w:cs="Calibri"/>
                <w:color w:val="000000"/>
                <w:sz w:val="20"/>
                <w:szCs w:val="20"/>
                <w:lang w:eastAsia="en-AU"/>
              </w:rPr>
            </w:pPr>
          </w:p>
        </w:tc>
        <w:tc>
          <w:tcPr>
            <w:tcW w:w="661" w:type="dxa"/>
            <w:shd w:val="clear" w:color="auto" w:fill="auto"/>
            <w:noWrap/>
          </w:tcPr>
          <w:p w14:paraId="01860ACB" w14:textId="77777777" w:rsidR="00F33674" w:rsidRPr="00F33674" w:rsidRDefault="00F33674" w:rsidP="00F33674">
            <w:pPr>
              <w:jc w:val="right"/>
              <w:rPr>
                <w:rFonts w:ascii="Arial Narrow" w:hAnsi="Arial Narrow" w:cs="Calibri"/>
                <w:color w:val="000000"/>
                <w:sz w:val="20"/>
                <w:szCs w:val="20"/>
                <w:lang w:eastAsia="en-AU"/>
              </w:rPr>
            </w:pPr>
          </w:p>
        </w:tc>
        <w:tc>
          <w:tcPr>
            <w:tcW w:w="656" w:type="dxa"/>
            <w:shd w:val="clear" w:color="auto" w:fill="auto"/>
            <w:noWrap/>
          </w:tcPr>
          <w:p w14:paraId="0E58B2B0" w14:textId="77777777" w:rsidR="00F33674" w:rsidRPr="00F33674" w:rsidRDefault="00F33674" w:rsidP="00F33674">
            <w:pPr>
              <w:jc w:val="right"/>
              <w:rPr>
                <w:rFonts w:ascii="Arial Narrow" w:hAnsi="Arial Narrow" w:cs="Calibri"/>
                <w:color w:val="000000"/>
                <w:sz w:val="20"/>
                <w:szCs w:val="20"/>
                <w:lang w:eastAsia="en-AU"/>
              </w:rPr>
            </w:pPr>
          </w:p>
        </w:tc>
        <w:tc>
          <w:tcPr>
            <w:tcW w:w="1794" w:type="dxa"/>
            <w:shd w:val="clear" w:color="auto" w:fill="auto"/>
            <w:noWrap/>
            <w:hideMark/>
          </w:tcPr>
          <w:p w14:paraId="7BCBD277"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Mayne Pharma Oxycodone IR</w:t>
            </w:r>
          </w:p>
        </w:tc>
        <w:tc>
          <w:tcPr>
            <w:tcW w:w="1757" w:type="dxa"/>
            <w:shd w:val="clear" w:color="auto" w:fill="auto"/>
            <w:noWrap/>
            <w:hideMark/>
          </w:tcPr>
          <w:p w14:paraId="55562457"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Mayne Pharma International Pty Ltd</w:t>
            </w:r>
          </w:p>
        </w:tc>
      </w:tr>
      <w:tr w:rsidR="00F33674" w:rsidRPr="00F33674" w14:paraId="346F0FEA" w14:textId="77777777" w:rsidTr="00C21DFA">
        <w:trPr>
          <w:trHeight w:val="300"/>
        </w:trPr>
        <w:tc>
          <w:tcPr>
            <w:tcW w:w="1418" w:type="dxa"/>
            <w:shd w:val="clear" w:color="auto" w:fill="auto"/>
            <w:noWrap/>
          </w:tcPr>
          <w:p w14:paraId="418195AC" w14:textId="77777777" w:rsidR="00F33674" w:rsidRPr="00F33674" w:rsidRDefault="00F33674" w:rsidP="00F33674">
            <w:pPr>
              <w:jc w:val="left"/>
              <w:rPr>
                <w:rFonts w:ascii="Arial Narrow" w:hAnsi="Arial Narrow" w:cs="Calibri"/>
                <w:color w:val="000000"/>
                <w:sz w:val="20"/>
                <w:szCs w:val="20"/>
                <w:lang w:eastAsia="en-AU"/>
              </w:rPr>
            </w:pPr>
          </w:p>
        </w:tc>
        <w:tc>
          <w:tcPr>
            <w:tcW w:w="1112" w:type="dxa"/>
            <w:shd w:val="clear" w:color="auto" w:fill="auto"/>
          </w:tcPr>
          <w:p w14:paraId="2357B4E3" w14:textId="77777777" w:rsidR="00F33674" w:rsidRPr="00F33674" w:rsidRDefault="00F33674" w:rsidP="00F33674">
            <w:pPr>
              <w:jc w:val="left"/>
              <w:rPr>
                <w:rFonts w:ascii="Arial Narrow" w:hAnsi="Arial Narrow" w:cs="Calibri"/>
                <w:color w:val="000000"/>
                <w:sz w:val="20"/>
                <w:szCs w:val="20"/>
                <w:lang w:eastAsia="en-AU"/>
              </w:rPr>
            </w:pPr>
          </w:p>
        </w:tc>
        <w:tc>
          <w:tcPr>
            <w:tcW w:w="2465" w:type="dxa"/>
            <w:vMerge/>
            <w:shd w:val="clear" w:color="auto" w:fill="auto"/>
            <w:noWrap/>
          </w:tcPr>
          <w:p w14:paraId="76C3344A" w14:textId="77777777" w:rsidR="00F33674" w:rsidRPr="00F33674" w:rsidRDefault="00F33674" w:rsidP="00F33674">
            <w:pPr>
              <w:jc w:val="left"/>
              <w:rPr>
                <w:rFonts w:ascii="Arial Narrow" w:hAnsi="Arial Narrow" w:cs="Calibri"/>
                <w:color w:val="000000"/>
                <w:sz w:val="20"/>
                <w:szCs w:val="20"/>
                <w:lang w:eastAsia="en-AU"/>
              </w:rPr>
            </w:pPr>
          </w:p>
        </w:tc>
        <w:tc>
          <w:tcPr>
            <w:tcW w:w="661" w:type="dxa"/>
            <w:shd w:val="clear" w:color="auto" w:fill="auto"/>
            <w:noWrap/>
          </w:tcPr>
          <w:p w14:paraId="39B9F431" w14:textId="77777777" w:rsidR="00F33674" w:rsidRPr="00F33674" w:rsidRDefault="00F33674" w:rsidP="00F33674">
            <w:pPr>
              <w:jc w:val="right"/>
              <w:rPr>
                <w:rFonts w:ascii="Arial Narrow" w:hAnsi="Arial Narrow" w:cs="Calibri"/>
                <w:color w:val="000000"/>
                <w:sz w:val="20"/>
                <w:szCs w:val="20"/>
                <w:lang w:eastAsia="en-AU"/>
              </w:rPr>
            </w:pPr>
          </w:p>
        </w:tc>
        <w:tc>
          <w:tcPr>
            <w:tcW w:w="656" w:type="dxa"/>
            <w:shd w:val="clear" w:color="auto" w:fill="auto"/>
            <w:noWrap/>
          </w:tcPr>
          <w:p w14:paraId="2DD9D8A3" w14:textId="77777777" w:rsidR="00F33674" w:rsidRPr="00F33674" w:rsidRDefault="00F33674" w:rsidP="00F33674">
            <w:pPr>
              <w:jc w:val="right"/>
              <w:rPr>
                <w:rFonts w:ascii="Arial Narrow" w:hAnsi="Arial Narrow" w:cs="Calibri"/>
                <w:color w:val="000000"/>
                <w:sz w:val="20"/>
                <w:szCs w:val="20"/>
                <w:lang w:eastAsia="en-AU"/>
              </w:rPr>
            </w:pPr>
          </w:p>
        </w:tc>
        <w:tc>
          <w:tcPr>
            <w:tcW w:w="1794" w:type="dxa"/>
            <w:shd w:val="clear" w:color="auto" w:fill="auto"/>
            <w:noWrap/>
            <w:hideMark/>
          </w:tcPr>
          <w:p w14:paraId="1958C114"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Oxycodone Aspen</w:t>
            </w:r>
          </w:p>
        </w:tc>
        <w:tc>
          <w:tcPr>
            <w:tcW w:w="1757" w:type="dxa"/>
            <w:shd w:val="clear" w:color="auto" w:fill="auto"/>
            <w:noWrap/>
            <w:hideMark/>
          </w:tcPr>
          <w:p w14:paraId="7CF3EA43"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Alphapharm Pty Ltd</w:t>
            </w:r>
          </w:p>
        </w:tc>
      </w:tr>
      <w:tr w:rsidR="00F33674" w:rsidRPr="00F33674" w14:paraId="1ABF3795" w14:textId="77777777" w:rsidTr="00C21DFA">
        <w:trPr>
          <w:trHeight w:val="300"/>
        </w:trPr>
        <w:tc>
          <w:tcPr>
            <w:tcW w:w="1418" w:type="dxa"/>
            <w:shd w:val="clear" w:color="auto" w:fill="auto"/>
            <w:noWrap/>
            <w:hideMark/>
          </w:tcPr>
          <w:p w14:paraId="23C25C5A"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TRAMADOL</w:t>
            </w:r>
          </w:p>
        </w:tc>
        <w:tc>
          <w:tcPr>
            <w:tcW w:w="1112" w:type="dxa"/>
            <w:shd w:val="clear" w:color="auto" w:fill="auto"/>
          </w:tcPr>
          <w:p w14:paraId="725DA216"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8455B</w:t>
            </w:r>
          </w:p>
        </w:tc>
        <w:tc>
          <w:tcPr>
            <w:tcW w:w="2465" w:type="dxa"/>
            <w:vMerge w:val="restart"/>
            <w:shd w:val="clear" w:color="auto" w:fill="auto"/>
            <w:noWrap/>
            <w:hideMark/>
          </w:tcPr>
          <w:p w14:paraId="0D202B71"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Capsule containing tramadol hydrochloride 50 mg</w:t>
            </w:r>
          </w:p>
        </w:tc>
        <w:tc>
          <w:tcPr>
            <w:tcW w:w="661" w:type="dxa"/>
            <w:shd w:val="clear" w:color="auto" w:fill="auto"/>
            <w:noWrap/>
            <w:hideMark/>
          </w:tcPr>
          <w:p w14:paraId="262F54DC" w14:textId="77777777" w:rsidR="00F33674" w:rsidRPr="00F33674" w:rsidRDefault="00F33674" w:rsidP="00F33674">
            <w:pPr>
              <w:jc w:val="righ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10</w:t>
            </w:r>
          </w:p>
        </w:tc>
        <w:tc>
          <w:tcPr>
            <w:tcW w:w="656" w:type="dxa"/>
            <w:shd w:val="clear" w:color="auto" w:fill="auto"/>
            <w:noWrap/>
            <w:hideMark/>
          </w:tcPr>
          <w:p w14:paraId="00D7485A" w14:textId="77777777" w:rsidR="00F33674" w:rsidRPr="00F33674" w:rsidRDefault="00F33674" w:rsidP="00F33674">
            <w:pPr>
              <w:jc w:val="righ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0</w:t>
            </w:r>
          </w:p>
        </w:tc>
        <w:tc>
          <w:tcPr>
            <w:tcW w:w="1794" w:type="dxa"/>
            <w:shd w:val="clear" w:color="auto" w:fill="auto"/>
            <w:noWrap/>
            <w:hideMark/>
          </w:tcPr>
          <w:p w14:paraId="5DFF62A9"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APO-Tramadol</w:t>
            </w:r>
          </w:p>
        </w:tc>
        <w:tc>
          <w:tcPr>
            <w:tcW w:w="1757" w:type="dxa"/>
            <w:shd w:val="clear" w:color="auto" w:fill="auto"/>
            <w:noWrap/>
            <w:hideMark/>
          </w:tcPr>
          <w:p w14:paraId="2978CF8E"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Apotex Pty Ltd</w:t>
            </w:r>
          </w:p>
        </w:tc>
      </w:tr>
      <w:tr w:rsidR="00F33674" w:rsidRPr="00F33674" w14:paraId="0710A6B5" w14:textId="77777777" w:rsidTr="00C21DFA">
        <w:trPr>
          <w:trHeight w:val="300"/>
        </w:trPr>
        <w:tc>
          <w:tcPr>
            <w:tcW w:w="1418" w:type="dxa"/>
            <w:shd w:val="clear" w:color="auto" w:fill="auto"/>
            <w:noWrap/>
          </w:tcPr>
          <w:p w14:paraId="34C3FD10" w14:textId="77777777" w:rsidR="00F33674" w:rsidRPr="00F33674" w:rsidRDefault="00F33674" w:rsidP="00F33674">
            <w:pPr>
              <w:jc w:val="left"/>
              <w:rPr>
                <w:rFonts w:ascii="Arial Narrow" w:hAnsi="Arial Narrow" w:cs="Calibri"/>
                <w:color w:val="000000"/>
                <w:sz w:val="20"/>
                <w:szCs w:val="20"/>
                <w:lang w:eastAsia="en-AU"/>
              </w:rPr>
            </w:pPr>
          </w:p>
        </w:tc>
        <w:tc>
          <w:tcPr>
            <w:tcW w:w="1112" w:type="dxa"/>
            <w:shd w:val="clear" w:color="auto" w:fill="auto"/>
          </w:tcPr>
          <w:p w14:paraId="5DD00F8D" w14:textId="77777777" w:rsidR="00F33674" w:rsidRPr="00F33674" w:rsidRDefault="00F33674" w:rsidP="00F33674">
            <w:pPr>
              <w:jc w:val="left"/>
              <w:rPr>
                <w:rFonts w:ascii="Arial Narrow" w:hAnsi="Arial Narrow" w:cs="Calibri"/>
                <w:color w:val="000000"/>
                <w:sz w:val="20"/>
                <w:szCs w:val="20"/>
                <w:lang w:eastAsia="en-AU"/>
              </w:rPr>
            </w:pPr>
          </w:p>
        </w:tc>
        <w:tc>
          <w:tcPr>
            <w:tcW w:w="2465" w:type="dxa"/>
            <w:vMerge/>
            <w:shd w:val="clear" w:color="auto" w:fill="auto"/>
            <w:noWrap/>
          </w:tcPr>
          <w:p w14:paraId="11F16BAB" w14:textId="77777777" w:rsidR="00F33674" w:rsidRPr="00F33674" w:rsidRDefault="00F33674" w:rsidP="00F33674">
            <w:pPr>
              <w:jc w:val="left"/>
              <w:rPr>
                <w:rFonts w:ascii="Arial Narrow" w:hAnsi="Arial Narrow" w:cs="Calibri"/>
                <w:color w:val="000000"/>
                <w:sz w:val="20"/>
                <w:szCs w:val="20"/>
                <w:lang w:eastAsia="en-AU"/>
              </w:rPr>
            </w:pPr>
          </w:p>
        </w:tc>
        <w:tc>
          <w:tcPr>
            <w:tcW w:w="661" w:type="dxa"/>
            <w:shd w:val="clear" w:color="auto" w:fill="auto"/>
            <w:noWrap/>
          </w:tcPr>
          <w:p w14:paraId="75BC319F" w14:textId="77777777" w:rsidR="00F33674" w:rsidRPr="00F33674" w:rsidRDefault="00F33674" w:rsidP="00F33674">
            <w:pPr>
              <w:jc w:val="right"/>
              <w:rPr>
                <w:rFonts w:ascii="Arial Narrow" w:hAnsi="Arial Narrow" w:cs="Calibri"/>
                <w:color w:val="000000"/>
                <w:sz w:val="20"/>
                <w:szCs w:val="20"/>
                <w:lang w:eastAsia="en-AU"/>
              </w:rPr>
            </w:pPr>
          </w:p>
        </w:tc>
        <w:tc>
          <w:tcPr>
            <w:tcW w:w="656" w:type="dxa"/>
            <w:shd w:val="clear" w:color="auto" w:fill="auto"/>
            <w:noWrap/>
          </w:tcPr>
          <w:p w14:paraId="4FC88AEF" w14:textId="77777777" w:rsidR="00F33674" w:rsidRPr="00F33674" w:rsidRDefault="00F33674" w:rsidP="00F33674">
            <w:pPr>
              <w:jc w:val="right"/>
              <w:rPr>
                <w:rFonts w:ascii="Arial Narrow" w:hAnsi="Arial Narrow" w:cs="Calibri"/>
                <w:color w:val="000000"/>
                <w:sz w:val="20"/>
                <w:szCs w:val="20"/>
                <w:lang w:eastAsia="en-AU"/>
              </w:rPr>
            </w:pPr>
          </w:p>
        </w:tc>
        <w:tc>
          <w:tcPr>
            <w:tcW w:w="1794" w:type="dxa"/>
            <w:shd w:val="clear" w:color="auto" w:fill="auto"/>
            <w:noWrap/>
            <w:hideMark/>
          </w:tcPr>
          <w:p w14:paraId="5B86DB7F"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Chem mart Tramadol</w:t>
            </w:r>
          </w:p>
        </w:tc>
        <w:tc>
          <w:tcPr>
            <w:tcW w:w="1757" w:type="dxa"/>
            <w:shd w:val="clear" w:color="auto" w:fill="auto"/>
            <w:noWrap/>
            <w:hideMark/>
          </w:tcPr>
          <w:p w14:paraId="5F9F8DD2"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Apotex Pty Ltd</w:t>
            </w:r>
          </w:p>
        </w:tc>
      </w:tr>
      <w:tr w:rsidR="00F33674" w:rsidRPr="00F33674" w14:paraId="37D971C8" w14:textId="77777777" w:rsidTr="00C21DFA">
        <w:trPr>
          <w:trHeight w:val="300"/>
        </w:trPr>
        <w:tc>
          <w:tcPr>
            <w:tcW w:w="1418" w:type="dxa"/>
            <w:shd w:val="clear" w:color="auto" w:fill="auto"/>
            <w:noWrap/>
          </w:tcPr>
          <w:p w14:paraId="24D81312" w14:textId="77777777" w:rsidR="00F33674" w:rsidRPr="00F33674" w:rsidRDefault="00F33674" w:rsidP="00F33674">
            <w:pPr>
              <w:jc w:val="left"/>
              <w:rPr>
                <w:rFonts w:ascii="Arial Narrow" w:hAnsi="Arial Narrow" w:cs="Calibri"/>
                <w:color w:val="000000"/>
                <w:sz w:val="20"/>
                <w:szCs w:val="20"/>
                <w:lang w:eastAsia="en-AU"/>
              </w:rPr>
            </w:pPr>
          </w:p>
        </w:tc>
        <w:tc>
          <w:tcPr>
            <w:tcW w:w="1112" w:type="dxa"/>
            <w:shd w:val="clear" w:color="auto" w:fill="auto"/>
          </w:tcPr>
          <w:p w14:paraId="10605E8D" w14:textId="77777777" w:rsidR="00F33674" w:rsidRPr="00F33674" w:rsidRDefault="00F33674" w:rsidP="00F33674">
            <w:pPr>
              <w:jc w:val="left"/>
              <w:rPr>
                <w:rFonts w:ascii="Arial Narrow" w:hAnsi="Arial Narrow" w:cs="Calibri"/>
                <w:color w:val="000000"/>
                <w:sz w:val="20"/>
                <w:szCs w:val="20"/>
                <w:lang w:eastAsia="en-AU"/>
              </w:rPr>
            </w:pPr>
          </w:p>
        </w:tc>
        <w:tc>
          <w:tcPr>
            <w:tcW w:w="2465" w:type="dxa"/>
            <w:vMerge/>
            <w:shd w:val="clear" w:color="auto" w:fill="auto"/>
            <w:noWrap/>
          </w:tcPr>
          <w:p w14:paraId="5C1805DC" w14:textId="77777777" w:rsidR="00F33674" w:rsidRPr="00F33674" w:rsidRDefault="00F33674" w:rsidP="00F33674">
            <w:pPr>
              <w:jc w:val="left"/>
              <w:rPr>
                <w:rFonts w:ascii="Arial Narrow" w:hAnsi="Arial Narrow" w:cs="Calibri"/>
                <w:color w:val="000000"/>
                <w:sz w:val="20"/>
                <w:szCs w:val="20"/>
                <w:lang w:eastAsia="en-AU"/>
              </w:rPr>
            </w:pPr>
          </w:p>
        </w:tc>
        <w:tc>
          <w:tcPr>
            <w:tcW w:w="661" w:type="dxa"/>
            <w:shd w:val="clear" w:color="auto" w:fill="auto"/>
            <w:noWrap/>
          </w:tcPr>
          <w:p w14:paraId="20A5C36F" w14:textId="77777777" w:rsidR="00F33674" w:rsidRPr="00F33674" w:rsidRDefault="00F33674" w:rsidP="00F33674">
            <w:pPr>
              <w:jc w:val="right"/>
              <w:rPr>
                <w:rFonts w:ascii="Arial Narrow" w:hAnsi="Arial Narrow" w:cs="Calibri"/>
                <w:color w:val="000000"/>
                <w:sz w:val="20"/>
                <w:szCs w:val="20"/>
                <w:lang w:eastAsia="en-AU"/>
              </w:rPr>
            </w:pPr>
          </w:p>
        </w:tc>
        <w:tc>
          <w:tcPr>
            <w:tcW w:w="656" w:type="dxa"/>
            <w:shd w:val="clear" w:color="auto" w:fill="auto"/>
            <w:noWrap/>
          </w:tcPr>
          <w:p w14:paraId="12472C21" w14:textId="77777777" w:rsidR="00F33674" w:rsidRPr="00F33674" w:rsidRDefault="00F33674" w:rsidP="00F33674">
            <w:pPr>
              <w:jc w:val="right"/>
              <w:rPr>
                <w:rFonts w:ascii="Arial Narrow" w:hAnsi="Arial Narrow" w:cs="Calibri"/>
                <w:color w:val="000000"/>
                <w:sz w:val="20"/>
                <w:szCs w:val="20"/>
                <w:lang w:eastAsia="en-AU"/>
              </w:rPr>
            </w:pPr>
          </w:p>
        </w:tc>
        <w:tc>
          <w:tcPr>
            <w:tcW w:w="1794" w:type="dxa"/>
            <w:shd w:val="clear" w:color="auto" w:fill="auto"/>
            <w:noWrap/>
            <w:hideMark/>
          </w:tcPr>
          <w:p w14:paraId="4F74A74F"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Terry White Chemists Tramadol</w:t>
            </w:r>
          </w:p>
        </w:tc>
        <w:tc>
          <w:tcPr>
            <w:tcW w:w="1757" w:type="dxa"/>
            <w:shd w:val="clear" w:color="auto" w:fill="auto"/>
            <w:noWrap/>
            <w:hideMark/>
          </w:tcPr>
          <w:p w14:paraId="494359D1"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Apotex Pty Ltd</w:t>
            </w:r>
          </w:p>
        </w:tc>
      </w:tr>
      <w:tr w:rsidR="00F33674" w:rsidRPr="00F33674" w14:paraId="7E8EC65F" w14:textId="77777777" w:rsidTr="00C21DFA">
        <w:trPr>
          <w:trHeight w:val="300"/>
        </w:trPr>
        <w:tc>
          <w:tcPr>
            <w:tcW w:w="1418" w:type="dxa"/>
            <w:shd w:val="clear" w:color="auto" w:fill="auto"/>
            <w:noWrap/>
          </w:tcPr>
          <w:p w14:paraId="2BEECABE" w14:textId="77777777" w:rsidR="00F33674" w:rsidRPr="00F33674" w:rsidRDefault="00F33674" w:rsidP="00F33674">
            <w:pPr>
              <w:jc w:val="left"/>
              <w:rPr>
                <w:rFonts w:ascii="Arial Narrow" w:hAnsi="Arial Narrow" w:cs="Calibri"/>
                <w:color w:val="000000"/>
                <w:sz w:val="20"/>
                <w:szCs w:val="20"/>
                <w:lang w:eastAsia="en-AU"/>
              </w:rPr>
            </w:pPr>
          </w:p>
        </w:tc>
        <w:tc>
          <w:tcPr>
            <w:tcW w:w="1112" w:type="dxa"/>
            <w:shd w:val="clear" w:color="auto" w:fill="auto"/>
          </w:tcPr>
          <w:p w14:paraId="02E4A0A3" w14:textId="77777777" w:rsidR="00F33674" w:rsidRPr="00F33674" w:rsidRDefault="00F33674" w:rsidP="00F33674">
            <w:pPr>
              <w:jc w:val="left"/>
              <w:rPr>
                <w:rFonts w:ascii="Arial Narrow" w:hAnsi="Arial Narrow" w:cs="Calibri"/>
                <w:color w:val="000000"/>
                <w:sz w:val="20"/>
                <w:szCs w:val="20"/>
                <w:lang w:eastAsia="en-AU"/>
              </w:rPr>
            </w:pPr>
          </w:p>
        </w:tc>
        <w:tc>
          <w:tcPr>
            <w:tcW w:w="2465" w:type="dxa"/>
            <w:vMerge/>
            <w:shd w:val="clear" w:color="auto" w:fill="auto"/>
            <w:noWrap/>
          </w:tcPr>
          <w:p w14:paraId="17F336E1" w14:textId="77777777" w:rsidR="00F33674" w:rsidRPr="00F33674" w:rsidRDefault="00F33674" w:rsidP="00F33674">
            <w:pPr>
              <w:jc w:val="left"/>
              <w:rPr>
                <w:rFonts w:ascii="Arial Narrow" w:hAnsi="Arial Narrow" w:cs="Calibri"/>
                <w:color w:val="000000"/>
                <w:sz w:val="20"/>
                <w:szCs w:val="20"/>
                <w:lang w:eastAsia="en-AU"/>
              </w:rPr>
            </w:pPr>
          </w:p>
        </w:tc>
        <w:tc>
          <w:tcPr>
            <w:tcW w:w="661" w:type="dxa"/>
            <w:shd w:val="clear" w:color="auto" w:fill="auto"/>
            <w:noWrap/>
          </w:tcPr>
          <w:p w14:paraId="688D08EA" w14:textId="77777777" w:rsidR="00F33674" w:rsidRPr="00F33674" w:rsidRDefault="00F33674" w:rsidP="00F33674">
            <w:pPr>
              <w:jc w:val="right"/>
              <w:rPr>
                <w:rFonts w:ascii="Arial Narrow" w:hAnsi="Arial Narrow" w:cs="Calibri"/>
                <w:color w:val="000000"/>
                <w:sz w:val="20"/>
                <w:szCs w:val="20"/>
                <w:lang w:eastAsia="en-AU"/>
              </w:rPr>
            </w:pPr>
          </w:p>
        </w:tc>
        <w:tc>
          <w:tcPr>
            <w:tcW w:w="656" w:type="dxa"/>
            <w:shd w:val="clear" w:color="auto" w:fill="auto"/>
            <w:noWrap/>
          </w:tcPr>
          <w:p w14:paraId="059BEC2D" w14:textId="77777777" w:rsidR="00F33674" w:rsidRPr="00F33674" w:rsidRDefault="00F33674" w:rsidP="00F33674">
            <w:pPr>
              <w:jc w:val="right"/>
              <w:rPr>
                <w:rFonts w:ascii="Arial Narrow" w:hAnsi="Arial Narrow" w:cs="Calibri"/>
                <w:color w:val="000000"/>
                <w:sz w:val="20"/>
                <w:szCs w:val="20"/>
                <w:lang w:eastAsia="en-AU"/>
              </w:rPr>
            </w:pPr>
          </w:p>
        </w:tc>
        <w:tc>
          <w:tcPr>
            <w:tcW w:w="1794" w:type="dxa"/>
            <w:shd w:val="clear" w:color="auto" w:fill="auto"/>
            <w:noWrap/>
            <w:hideMark/>
          </w:tcPr>
          <w:p w14:paraId="49C034CB"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Tramadol AMNEAL</w:t>
            </w:r>
          </w:p>
        </w:tc>
        <w:tc>
          <w:tcPr>
            <w:tcW w:w="1757" w:type="dxa"/>
            <w:shd w:val="clear" w:color="auto" w:fill="auto"/>
            <w:noWrap/>
            <w:hideMark/>
          </w:tcPr>
          <w:p w14:paraId="6DB61D4B"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Amneal Pharmaceuticals Pty Ltd</w:t>
            </w:r>
          </w:p>
        </w:tc>
      </w:tr>
      <w:tr w:rsidR="00F33674" w:rsidRPr="00F33674" w14:paraId="6E5A7DB0" w14:textId="77777777" w:rsidTr="00C21DFA">
        <w:trPr>
          <w:trHeight w:val="300"/>
        </w:trPr>
        <w:tc>
          <w:tcPr>
            <w:tcW w:w="1418" w:type="dxa"/>
            <w:shd w:val="clear" w:color="auto" w:fill="auto"/>
            <w:noWrap/>
          </w:tcPr>
          <w:p w14:paraId="465D1BBA" w14:textId="77777777" w:rsidR="00F33674" w:rsidRPr="00F33674" w:rsidRDefault="00F33674" w:rsidP="00F33674">
            <w:pPr>
              <w:jc w:val="left"/>
              <w:rPr>
                <w:rFonts w:ascii="Arial Narrow" w:hAnsi="Arial Narrow" w:cs="Calibri"/>
                <w:color w:val="000000"/>
                <w:sz w:val="20"/>
                <w:szCs w:val="20"/>
                <w:lang w:eastAsia="en-AU"/>
              </w:rPr>
            </w:pPr>
          </w:p>
        </w:tc>
        <w:tc>
          <w:tcPr>
            <w:tcW w:w="1112" w:type="dxa"/>
            <w:shd w:val="clear" w:color="auto" w:fill="auto"/>
          </w:tcPr>
          <w:p w14:paraId="7CFD9A17" w14:textId="77777777" w:rsidR="00F33674" w:rsidRPr="00F33674" w:rsidRDefault="00F33674" w:rsidP="00F33674">
            <w:pPr>
              <w:jc w:val="left"/>
              <w:rPr>
                <w:rFonts w:ascii="Arial Narrow" w:hAnsi="Arial Narrow" w:cs="Calibri"/>
                <w:color w:val="000000"/>
                <w:sz w:val="20"/>
                <w:szCs w:val="20"/>
                <w:lang w:eastAsia="en-AU"/>
              </w:rPr>
            </w:pPr>
          </w:p>
        </w:tc>
        <w:tc>
          <w:tcPr>
            <w:tcW w:w="2465" w:type="dxa"/>
            <w:vMerge/>
            <w:shd w:val="clear" w:color="auto" w:fill="auto"/>
            <w:noWrap/>
          </w:tcPr>
          <w:p w14:paraId="280D574C" w14:textId="77777777" w:rsidR="00F33674" w:rsidRPr="00F33674" w:rsidRDefault="00F33674" w:rsidP="00F33674">
            <w:pPr>
              <w:jc w:val="left"/>
              <w:rPr>
                <w:rFonts w:ascii="Arial Narrow" w:hAnsi="Arial Narrow" w:cs="Calibri"/>
                <w:color w:val="000000"/>
                <w:sz w:val="20"/>
                <w:szCs w:val="20"/>
                <w:lang w:eastAsia="en-AU"/>
              </w:rPr>
            </w:pPr>
          </w:p>
        </w:tc>
        <w:tc>
          <w:tcPr>
            <w:tcW w:w="661" w:type="dxa"/>
            <w:shd w:val="clear" w:color="auto" w:fill="auto"/>
            <w:noWrap/>
          </w:tcPr>
          <w:p w14:paraId="22DACAAA" w14:textId="77777777" w:rsidR="00F33674" w:rsidRPr="00F33674" w:rsidRDefault="00F33674" w:rsidP="00F33674">
            <w:pPr>
              <w:jc w:val="right"/>
              <w:rPr>
                <w:rFonts w:ascii="Arial Narrow" w:hAnsi="Arial Narrow" w:cs="Calibri"/>
                <w:color w:val="000000"/>
                <w:sz w:val="20"/>
                <w:szCs w:val="20"/>
                <w:lang w:eastAsia="en-AU"/>
              </w:rPr>
            </w:pPr>
          </w:p>
        </w:tc>
        <w:tc>
          <w:tcPr>
            <w:tcW w:w="656" w:type="dxa"/>
            <w:shd w:val="clear" w:color="auto" w:fill="auto"/>
            <w:noWrap/>
          </w:tcPr>
          <w:p w14:paraId="3E9D9D3F" w14:textId="77777777" w:rsidR="00F33674" w:rsidRPr="00F33674" w:rsidRDefault="00F33674" w:rsidP="00F33674">
            <w:pPr>
              <w:jc w:val="right"/>
              <w:rPr>
                <w:rFonts w:ascii="Arial Narrow" w:hAnsi="Arial Narrow" w:cs="Calibri"/>
                <w:color w:val="000000"/>
                <w:sz w:val="20"/>
                <w:szCs w:val="20"/>
                <w:lang w:eastAsia="en-AU"/>
              </w:rPr>
            </w:pPr>
          </w:p>
        </w:tc>
        <w:tc>
          <w:tcPr>
            <w:tcW w:w="1794" w:type="dxa"/>
            <w:shd w:val="clear" w:color="auto" w:fill="auto"/>
            <w:noWrap/>
            <w:hideMark/>
          </w:tcPr>
          <w:p w14:paraId="3FA64A49"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Tramadol AN</w:t>
            </w:r>
          </w:p>
        </w:tc>
        <w:tc>
          <w:tcPr>
            <w:tcW w:w="1757" w:type="dxa"/>
            <w:shd w:val="clear" w:color="auto" w:fill="auto"/>
            <w:noWrap/>
            <w:hideMark/>
          </w:tcPr>
          <w:p w14:paraId="697CA889"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Amneal Pharmaceuticals Pty Ltd</w:t>
            </w:r>
          </w:p>
        </w:tc>
      </w:tr>
      <w:tr w:rsidR="00F33674" w:rsidRPr="00F33674" w14:paraId="33F531F0" w14:textId="77777777" w:rsidTr="00C21DFA">
        <w:trPr>
          <w:trHeight w:val="300"/>
        </w:trPr>
        <w:tc>
          <w:tcPr>
            <w:tcW w:w="1418" w:type="dxa"/>
            <w:shd w:val="clear" w:color="auto" w:fill="auto"/>
            <w:noWrap/>
          </w:tcPr>
          <w:p w14:paraId="2094B4B0" w14:textId="77777777" w:rsidR="00F33674" w:rsidRPr="00F33674" w:rsidRDefault="00F33674" w:rsidP="00F33674">
            <w:pPr>
              <w:jc w:val="left"/>
              <w:rPr>
                <w:rFonts w:ascii="Arial Narrow" w:hAnsi="Arial Narrow" w:cs="Calibri"/>
                <w:color w:val="000000"/>
                <w:sz w:val="20"/>
                <w:szCs w:val="20"/>
                <w:lang w:eastAsia="en-AU"/>
              </w:rPr>
            </w:pPr>
          </w:p>
        </w:tc>
        <w:tc>
          <w:tcPr>
            <w:tcW w:w="1112" w:type="dxa"/>
            <w:shd w:val="clear" w:color="auto" w:fill="auto"/>
          </w:tcPr>
          <w:p w14:paraId="03E47F36" w14:textId="77777777" w:rsidR="00F33674" w:rsidRPr="00F33674" w:rsidRDefault="00F33674" w:rsidP="00F33674">
            <w:pPr>
              <w:jc w:val="left"/>
              <w:rPr>
                <w:rFonts w:ascii="Arial Narrow" w:hAnsi="Arial Narrow" w:cs="Calibri"/>
                <w:color w:val="000000"/>
                <w:sz w:val="20"/>
                <w:szCs w:val="20"/>
                <w:lang w:eastAsia="en-AU"/>
              </w:rPr>
            </w:pPr>
          </w:p>
        </w:tc>
        <w:tc>
          <w:tcPr>
            <w:tcW w:w="2465" w:type="dxa"/>
            <w:vMerge/>
            <w:shd w:val="clear" w:color="auto" w:fill="auto"/>
            <w:noWrap/>
          </w:tcPr>
          <w:p w14:paraId="6FF0E1BA" w14:textId="77777777" w:rsidR="00F33674" w:rsidRPr="00F33674" w:rsidRDefault="00F33674" w:rsidP="00F33674">
            <w:pPr>
              <w:jc w:val="left"/>
              <w:rPr>
                <w:rFonts w:ascii="Arial Narrow" w:hAnsi="Arial Narrow" w:cs="Calibri"/>
                <w:color w:val="000000"/>
                <w:sz w:val="20"/>
                <w:szCs w:val="20"/>
                <w:lang w:eastAsia="en-AU"/>
              </w:rPr>
            </w:pPr>
          </w:p>
        </w:tc>
        <w:tc>
          <w:tcPr>
            <w:tcW w:w="661" w:type="dxa"/>
            <w:shd w:val="clear" w:color="auto" w:fill="auto"/>
            <w:noWrap/>
          </w:tcPr>
          <w:p w14:paraId="071095BC" w14:textId="77777777" w:rsidR="00F33674" w:rsidRPr="00F33674" w:rsidRDefault="00F33674" w:rsidP="00F33674">
            <w:pPr>
              <w:jc w:val="right"/>
              <w:rPr>
                <w:rFonts w:ascii="Arial Narrow" w:hAnsi="Arial Narrow" w:cs="Calibri"/>
                <w:color w:val="000000"/>
                <w:sz w:val="20"/>
                <w:szCs w:val="20"/>
                <w:lang w:eastAsia="en-AU"/>
              </w:rPr>
            </w:pPr>
          </w:p>
        </w:tc>
        <w:tc>
          <w:tcPr>
            <w:tcW w:w="656" w:type="dxa"/>
            <w:shd w:val="clear" w:color="auto" w:fill="auto"/>
            <w:noWrap/>
          </w:tcPr>
          <w:p w14:paraId="224CF5D6" w14:textId="77777777" w:rsidR="00F33674" w:rsidRPr="00F33674" w:rsidRDefault="00F33674" w:rsidP="00F33674">
            <w:pPr>
              <w:jc w:val="right"/>
              <w:rPr>
                <w:rFonts w:ascii="Arial Narrow" w:hAnsi="Arial Narrow" w:cs="Calibri"/>
                <w:color w:val="000000"/>
                <w:sz w:val="20"/>
                <w:szCs w:val="20"/>
                <w:lang w:eastAsia="en-AU"/>
              </w:rPr>
            </w:pPr>
          </w:p>
        </w:tc>
        <w:tc>
          <w:tcPr>
            <w:tcW w:w="1794" w:type="dxa"/>
            <w:shd w:val="clear" w:color="auto" w:fill="auto"/>
            <w:noWrap/>
            <w:hideMark/>
          </w:tcPr>
          <w:p w14:paraId="7D7FD07B"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Tramadol SCP</w:t>
            </w:r>
          </w:p>
        </w:tc>
        <w:tc>
          <w:tcPr>
            <w:tcW w:w="1757" w:type="dxa"/>
            <w:shd w:val="clear" w:color="auto" w:fill="auto"/>
            <w:noWrap/>
            <w:hideMark/>
          </w:tcPr>
          <w:p w14:paraId="2B6DF24D"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Pharmacor Pty Limited</w:t>
            </w:r>
          </w:p>
        </w:tc>
      </w:tr>
      <w:tr w:rsidR="00F33674" w:rsidRPr="00F33674" w14:paraId="6B4A4771" w14:textId="77777777" w:rsidTr="00C21DFA">
        <w:trPr>
          <w:trHeight w:val="300"/>
        </w:trPr>
        <w:tc>
          <w:tcPr>
            <w:tcW w:w="1418" w:type="dxa"/>
            <w:shd w:val="clear" w:color="auto" w:fill="auto"/>
            <w:noWrap/>
          </w:tcPr>
          <w:p w14:paraId="6089A658" w14:textId="77777777" w:rsidR="00F33674" w:rsidRPr="00F33674" w:rsidRDefault="00F33674" w:rsidP="00F33674">
            <w:pPr>
              <w:jc w:val="left"/>
              <w:rPr>
                <w:rFonts w:ascii="Arial Narrow" w:hAnsi="Arial Narrow" w:cs="Calibri"/>
                <w:color w:val="000000"/>
                <w:sz w:val="20"/>
                <w:szCs w:val="20"/>
                <w:lang w:eastAsia="en-AU"/>
              </w:rPr>
            </w:pPr>
          </w:p>
        </w:tc>
        <w:tc>
          <w:tcPr>
            <w:tcW w:w="1112" w:type="dxa"/>
            <w:shd w:val="clear" w:color="auto" w:fill="auto"/>
          </w:tcPr>
          <w:p w14:paraId="1BBF55DD" w14:textId="77777777" w:rsidR="00F33674" w:rsidRPr="00F33674" w:rsidRDefault="00F33674" w:rsidP="00F33674">
            <w:pPr>
              <w:jc w:val="left"/>
              <w:rPr>
                <w:rFonts w:ascii="Arial Narrow" w:hAnsi="Arial Narrow" w:cs="Calibri"/>
                <w:color w:val="000000"/>
                <w:sz w:val="20"/>
                <w:szCs w:val="20"/>
                <w:lang w:eastAsia="en-AU"/>
              </w:rPr>
            </w:pPr>
          </w:p>
        </w:tc>
        <w:tc>
          <w:tcPr>
            <w:tcW w:w="2465" w:type="dxa"/>
            <w:vMerge/>
            <w:shd w:val="clear" w:color="auto" w:fill="auto"/>
            <w:noWrap/>
          </w:tcPr>
          <w:p w14:paraId="164DB53D" w14:textId="77777777" w:rsidR="00F33674" w:rsidRPr="00F33674" w:rsidRDefault="00F33674" w:rsidP="00F33674">
            <w:pPr>
              <w:jc w:val="left"/>
              <w:rPr>
                <w:rFonts w:ascii="Arial Narrow" w:hAnsi="Arial Narrow" w:cs="Calibri"/>
                <w:color w:val="000000"/>
                <w:sz w:val="20"/>
                <w:szCs w:val="20"/>
                <w:lang w:eastAsia="en-AU"/>
              </w:rPr>
            </w:pPr>
          </w:p>
        </w:tc>
        <w:tc>
          <w:tcPr>
            <w:tcW w:w="661" w:type="dxa"/>
            <w:shd w:val="clear" w:color="auto" w:fill="auto"/>
            <w:noWrap/>
          </w:tcPr>
          <w:p w14:paraId="3E2E903F" w14:textId="77777777" w:rsidR="00F33674" w:rsidRPr="00F33674" w:rsidRDefault="00F33674" w:rsidP="00F33674">
            <w:pPr>
              <w:jc w:val="right"/>
              <w:rPr>
                <w:rFonts w:ascii="Arial Narrow" w:hAnsi="Arial Narrow" w:cs="Calibri"/>
                <w:color w:val="000000"/>
                <w:sz w:val="20"/>
                <w:szCs w:val="20"/>
                <w:lang w:eastAsia="en-AU"/>
              </w:rPr>
            </w:pPr>
          </w:p>
        </w:tc>
        <w:tc>
          <w:tcPr>
            <w:tcW w:w="656" w:type="dxa"/>
            <w:shd w:val="clear" w:color="auto" w:fill="auto"/>
            <w:noWrap/>
          </w:tcPr>
          <w:p w14:paraId="1B608560" w14:textId="77777777" w:rsidR="00F33674" w:rsidRPr="00F33674" w:rsidRDefault="00F33674" w:rsidP="00F33674">
            <w:pPr>
              <w:jc w:val="right"/>
              <w:rPr>
                <w:rFonts w:ascii="Arial Narrow" w:hAnsi="Arial Narrow" w:cs="Calibri"/>
                <w:color w:val="000000"/>
                <w:sz w:val="20"/>
                <w:szCs w:val="20"/>
                <w:lang w:eastAsia="en-AU"/>
              </w:rPr>
            </w:pPr>
          </w:p>
        </w:tc>
        <w:tc>
          <w:tcPr>
            <w:tcW w:w="1794" w:type="dxa"/>
            <w:shd w:val="clear" w:color="auto" w:fill="auto"/>
            <w:noWrap/>
            <w:hideMark/>
          </w:tcPr>
          <w:p w14:paraId="60E96819"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Tramadol Sandoz</w:t>
            </w:r>
          </w:p>
        </w:tc>
        <w:tc>
          <w:tcPr>
            <w:tcW w:w="1757" w:type="dxa"/>
            <w:shd w:val="clear" w:color="auto" w:fill="auto"/>
            <w:noWrap/>
            <w:hideMark/>
          </w:tcPr>
          <w:p w14:paraId="754B7812"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Sandoz Pty Ltd</w:t>
            </w:r>
          </w:p>
        </w:tc>
      </w:tr>
      <w:tr w:rsidR="00F33674" w:rsidRPr="00F33674" w14:paraId="14DD8669" w14:textId="77777777" w:rsidTr="00C21DFA">
        <w:trPr>
          <w:trHeight w:val="300"/>
        </w:trPr>
        <w:tc>
          <w:tcPr>
            <w:tcW w:w="1418" w:type="dxa"/>
            <w:shd w:val="clear" w:color="auto" w:fill="auto"/>
            <w:noWrap/>
          </w:tcPr>
          <w:p w14:paraId="1BA3B277" w14:textId="77777777" w:rsidR="00F33674" w:rsidRPr="00F33674" w:rsidRDefault="00F33674" w:rsidP="00F33674">
            <w:pPr>
              <w:jc w:val="left"/>
              <w:rPr>
                <w:rFonts w:ascii="Arial Narrow" w:hAnsi="Arial Narrow" w:cs="Calibri"/>
                <w:color w:val="000000"/>
                <w:sz w:val="20"/>
                <w:szCs w:val="20"/>
                <w:lang w:eastAsia="en-AU"/>
              </w:rPr>
            </w:pPr>
          </w:p>
        </w:tc>
        <w:tc>
          <w:tcPr>
            <w:tcW w:w="1112" w:type="dxa"/>
            <w:shd w:val="clear" w:color="auto" w:fill="auto"/>
          </w:tcPr>
          <w:p w14:paraId="72022ECF" w14:textId="77777777" w:rsidR="00F33674" w:rsidRPr="00F33674" w:rsidRDefault="00F33674" w:rsidP="00F33674">
            <w:pPr>
              <w:jc w:val="left"/>
              <w:rPr>
                <w:rFonts w:ascii="Arial Narrow" w:hAnsi="Arial Narrow" w:cs="Calibri"/>
                <w:color w:val="000000"/>
                <w:sz w:val="20"/>
                <w:szCs w:val="20"/>
                <w:lang w:eastAsia="en-AU"/>
              </w:rPr>
            </w:pPr>
          </w:p>
        </w:tc>
        <w:tc>
          <w:tcPr>
            <w:tcW w:w="2465" w:type="dxa"/>
            <w:vMerge/>
            <w:shd w:val="clear" w:color="auto" w:fill="auto"/>
            <w:noWrap/>
          </w:tcPr>
          <w:p w14:paraId="58CAA226" w14:textId="77777777" w:rsidR="00F33674" w:rsidRPr="00F33674" w:rsidRDefault="00F33674" w:rsidP="00F33674">
            <w:pPr>
              <w:jc w:val="left"/>
              <w:rPr>
                <w:rFonts w:ascii="Arial Narrow" w:hAnsi="Arial Narrow" w:cs="Calibri"/>
                <w:color w:val="000000"/>
                <w:sz w:val="20"/>
                <w:szCs w:val="20"/>
                <w:lang w:eastAsia="en-AU"/>
              </w:rPr>
            </w:pPr>
          </w:p>
        </w:tc>
        <w:tc>
          <w:tcPr>
            <w:tcW w:w="661" w:type="dxa"/>
            <w:shd w:val="clear" w:color="auto" w:fill="auto"/>
            <w:noWrap/>
          </w:tcPr>
          <w:p w14:paraId="70BB7BD2" w14:textId="77777777" w:rsidR="00F33674" w:rsidRPr="00F33674" w:rsidRDefault="00F33674" w:rsidP="00F33674">
            <w:pPr>
              <w:jc w:val="right"/>
              <w:rPr>
                <w:rFonts w:ascii="Arial Narrow" w:hAnsi="Arial Narrow" w:cs="Calibri"/>
                <w:color w:val="000000"/>
                <w:sz w:val="20"/>
                <w:szCs w:val="20"/>
                <w:lang w:eastAsia="en-AU"/>
              </w:rPr>
            </w:pPr>
          </w:p>
        </w:tc>
        <w:tc>
          <w:tcPr>
            <w:tcW w:w="656" w:type="dxa"/>
            <w:shd w:val="clear" w:color="auto" w:fill="auto"/>
            <w:noWrap/>
          </w:tcPr>
          <w:p w14:paraId="638A1655" w14:textId="77777777" w:rsidR="00F33674" w:rsidRPr="00F33674" w:rsidRDefault="00F33674" w:rsidP="00F33674">
            <w:pPr>
              <w:jc w:val="right"/>
              <w:rPr>
                <w:rFonts w:ascii="Arial Narrow" w:hAnsi="Arial Narrow" w:cs="Calibri"/>
                <w:color w:val="000000"/>
                <w:sz w:val="20"/>
                <w:szCs w:val="20"/>
                <w:lang w:eastAsia="en-AU"/>
              </w:rPr>
            </w:pPr>
          </w:p>
        </w:tc>
        <w:tc>
          <w:tcPr>
            <w:tcW w:w="1794" w:type="dxa"/>
            <w:shd w:val="clear" w:color="auto" w:fill="auto"/>
            <w:noWrap/>
            <w:hideMark/>
          </w:tcPr>
          <w:p w14:paraId="43879C36"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Tramal</w:t>
            </w:r>
          </w:p>
        </w:tc>
        <w:tc>
          <w:tcPr>
            <w:tcW w:w="1757" w:type="dxa"/>
            <w:shd w:val="clear" w:color="auto" w:fill="auto"/>
            <w:noWrap/>
            <w:hideMark/>
          </w:tcPr>
          <w:p w14:paraId="44809B95"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Seqirus (Australia) Pty Ltd</w:t>
            </w:r>
          </w:p>
        </w:tc>
      </w:tr>
      <w:tr w:rsidR="00F33674" w:rsidRPr="00F33674" w14:paraId="66B8B6EB" w14:textId="77777777" w:rsidTr="00C21DFA">
        <w:trPr>
          <w:trHeight w:val="300"/>
        </w:trPr>
        <w:tc>
          <w:tcPr>
            <w:tcW w:w="1418" w:type="dxa"/>
            <w:shd w:val="clear" w:color="auto" w:fill="auto"/>
            <w:noWrap/>
          </w:tcPr>
          <w:p w14:paraId="117A3779" w14:textId="77777777" w:rsidR="00F33674" w:rsidRPr="00F33674" w:rsidRDefault="00F33674" w:rsidP="00F33674">
            <w:pPr>
              <w:jc w:val="left"/>
              <w:rPr>
                <w:rFonts w:ascii="Arial Narrow" w:hAnsi="Arial Narrow" w:cs="Calibri"/>
                <w:color w:val="000000"/>
                <w:sz w:val="20"/>
                <w:szCs w:val="20"/>
                <w:lang w:eastAsia="en-AU"/>
              </w:rPr>
            </w:pPr>
          </w:p>
        </w:tc>
        <w:tc>
          <w:tcPr>
            <w:tcW w:w="1112" w:type="dxa"/>
            <w:shd w:val="clear" w:color="auto" w:fill="auto"/>
          </w:tcPr>
          <w:p w14:paraId="18AEE1D2" w14:textId="77777777" w:rsidR="00F33674" w:rsidRPr="00F33674" w:rsidRDefault="00F33674" w:rsidP="00F33674">
            <w:pPr>
              <w:jc w:val="left"/>
              <w:rPr>
                <w:rFonts w:ascii="Arial Narrow" w:hAnsi="Arial Narrow" w:cs="Calibri"/>
                <w:color w:val="000000"/>
                <w:sz w:val="20"/>
                <w:szCs w:val="20"/>
                <w:lang w:eastAsia="en-AU"/>
              </w:rPr>
            </w:pPr>
          </w:p>
        </w:tc>
        <w:tc>
          <w:tcPr>
            <w:tcW w:w="2465" w:type="dxa"/>
            <w:vMerge/>
            <w:shd w:val="clear" w:color="auto" w:fill="auto"/>
            <w:noWrap/>
          </w:tcPr>
          <w:p w14:paraId="0819E5FF" w14:textId="77777777" w:rsidR="00F33674" w:rsidRPr="00F33674" w:rsidRDefault="00F33674" w:rsidP="00F33674">
            <w:pPr>
              <w:jc w:val="left"/>
              <w:rPr>
                <w:rFonts w:ascii="Arial Narrow" w:hAnsi="Arial Narrow" w:cs="Calibri"/>
                <w:color w:val="000000"/>
                <w:sz w:val="20"/>
                <w:szCs w:val="20"/>
                <w:lang w:eastAsia="en-AU"/>
              </w:rPr>
            </w:pPr>
          </w:p>
        </w:tc>
        <w:tc>
          <w:tcPr>
            <w:tcW w:w="661" w:type="dxa"/>
            <w:shd w:val="clear" w:color="auto" w:fill="auto"/>
            <w:noWrap/>
          </w:tcPr>
          <w:p w14:paraId="64991DA8" w14:textId="77777777" w:rsidR="00F33674" w:rsidRPr="00F33674" w:rsidRDefault="00F33674" w:rsidP="00F33674">
            <w:pPr>
              <w:jc w:val="right"/>
              <w:rPr>
                <w:rFonts w:ascii="Arial Narrow" w:hAnsi="Arial Narrow" w:cs="Calibri"/>
                <w:color w:val="000000"/>
                <w:sz w:val="20"/>
                <w:szCs w:val="20"/>
                <w:lang w:eastAsia="en-AU"/>
              </w:rPr>
            </w:pPr>
          </w:p>
        </w:tc>
        <w:tc>
          <w:tcPr>
            <w:tcW w:w="656" w:type="dxa"/>
            <w:shd w:val="clear" w:color="auto" w:fill="auto"/>
            <w:noWrap/>
          </w:tcPr>
          <w:p w14:paraId="6113B4CF" w14:textId="77777777" w:rsidR="00F33674" w:rsidRPr="00F33674" w:rsidRDefault="00F33674" w:rsidP="00F33674">
            <w:pPr>
              <w:jc w:val="right"/>
              <w:rPr>
                <w:rFonts w:ascii="Arial Narrow" w:hAnsi="Arial Narrow" w:cs="Calibri"/>
                <w:color w:val="000000"/>
                <w:sz w:val="20"/>
                <w:szCs w:val="20"/>
                <w:lang w:eastAsia="en-AU"/>
              </w:rPr>
            </w:pPr>
          </w:p>
        </w:tc>
        <w:tc>
          <w:tcPr>
            <w:tcW w:w="1794" w:type="dxa"/>
            <w:shd w:val="clear" w:color="auto" w:fill="auto"/>
            <w:noWrap/>
            <w:hideMark/>
          </w:tcPr>
          <w:p w14:paraId="4C0C4FED"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Tramedo</w:t>
            </w:r>
          </w:p>
        </w:tc>
        <w:tc>
          <w:tcPr>
            <w:tcW w:w="1757" w:type="dxa"/>
            <w:shd w:val="clear" w:color="auto" w:fill="auto"/>
            <w:noWrap/>
            <w:hideMark/>
          </w:tcPr>
          <w:p w14:paraId="0F631210"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Alphapharm Pty Ltd</w:t>
            </w:r>
          </w:p>
        </w:tc>
      </w:tr>
      <w:tr w:rsidR="00F33674" w:rsidRPr="00F33674" w14:paraId="0901A39B" w14:textId="77777777" w:rsidTr="00C21DFA">
        <w:trPr>
          <w:trHeight w:val="300"/>
        </w:trPr>
        <w:tc>
          <w:tcPr>
            <w:tcW w:w="1418" w:type="dxa"/>
            <w:shd w:val="clear" w:color="auto" w:fill="auto"/>
            <w:noWrap/>
          </w:tcPr>
          <w:p w14:paraId="574E3DAC" w14:textId="77777777" w:rsidR="00F33674" w:rsidRPr="00F33674" w:rsidRDefault="00F33674" w:rsidP="00F33674">
            <w:pPr>
              <w:jc w:val="left"/>
              <w:rPr>
                <w:rFonts w:ascii="Arial Narrow" w:hAnsi="Arial Narrow" w:cs="Calibri"/>
                <w:color w:val="000000"/>
                <w:sz w:val="20"/>
                <w:szCs w:val="20"/>
                <w:lang w:eastAsia="en-AU"/>
              </w:rPr>
            </w:pPr>
          </w:p>
        </w:tc>
        <w:tc>
          <w:tcPr>
            <w:tcW w:w="1112" w:type="dxa"/>
            <w:shd w:val="clear" w:color="auto" w:fill="auto"/>
          </w:tcPr>
          <w:p w14:paraId="6FA0C354" w14:textId="77777777" w:rsidR="00F33674" w:rsidRPr="00F33674" w:rsidRDefault="00F33674" w:rsidP="00F33674">
            <w:pPr>
              <w:jc w:val="left"/>
              <w:rPr>
                <w:rFonts w:ascii="Arial Narrow" w:hAnsi="Arial Narrow" w:cs="Calibri"/>
                <w:color w:val="000000"/>
                <w:sz w:val="20"/>
                <w:szCs w:val="20"/>
                <w:lang w:eastAsia="en-AU"/>
              </w:rPr>
            </w:pPr>
          </w:p>
        </w:tc>
        <w:tc>
          <w:tcPr>
            <w:tcW w:w="2465" w:type="dxa"/>
            <w:vMerge/>
            <w:shd w:val="clear" w:color="auto" w:fill="auto"/>
            <w:noWrap/>
          </w:tcPr>
          <w:p w14:paraId="0572512D" w14:textId="77777777" w:rsidR="00F33674" w:rsidRPr="00F33674" w:rsidRDefault="00F33674" w:rsidP="00F33674">
            <w:pPr>
              <w:jc w:val="left"/>
              <w:rPr>
                <w:rFonts w:ascii="Arial Narrow" w:hAnsi="Arial Narrow" w:cs="Calibri"/>
                <w:color w:val="000000"/>
                <w:sz w:val="20"/>
                <w:szCs w:val="20"/>
                <w:lang w:eastAsia="en-AU"/>
              </w:rPr>
            </w:pPr>
          </w:p>
        </w:tc>
        <w:tc>
          <w:tcPr>
            <w:tcW w:w="661" w:type="dxa"/>
            <w:shd w:val="clear" w:color="auto" w:fill="auto"/>
            <w:noWrap/>
          </w:tcPr>
          <w:p w14:paraId="0DA0CEF1" w14:textId="77777777" w:rsidR="00F33674" w:rsidRPr="00F33674" w:rsidRDefault="00F33674" w:rsidP="00F33674">
            <w:pPr>
              <w:jc w:val="right"/>
              <w:rPr>
                <w:rFonts w:ascii="Arial Narrow" w:hAnsi="Arial Narrow" w:cs="Calibri"/>
                <w:color w:val="000000"/>
                <w:sz w:val="20"/>
                <w:szCs w:val="20"/>
                <w:lang w:eastAsia="en-AU"/>
              </w:rPr>
            </w:pPr>
          </w:p>
        </w:tc>
        <w:tc>
          <w:tcPr>
            <w:tcW w:w="656" w:type="dxa"/>
            <w:shd w:val="clear" w:color="auto" w:fill="auto"/>
            <w:noWrap/>
          </w:tcPr>
          <w:p w14:paraId="6D2FB1BD" w14:textId="77777777" w:rsidR="00F33674" w:rsidRPr="00F33674" w:rsidRDefault="00F33674" w:rsidP="00F33674">
            <w:pPr>
              <w:jc w:val="right"/>
              <w:rPr>
                <w:rFonts w:ascii="Arial Narrow" w:hAnsi="Arial Narrow" w:cs="Calibri"/>
                <w:color w:val="000000"/>
                <w:sz w:val="20"/>
                <w:szCs w:val="20"/>
                <w:lang w:eastAsia="en-AU"/>
              </w:rPr>
            </w:pPr>
          </w:p>
        </w:tc>
        <w:tc>
          <w:tcPr>
            <w:tcW w:w="1794" w:type="dxa"/>
            <w:shd w:val="clear" w:color="auto" w:fill="auto"/>
            <w:noWrap/>
            <w:hideMark/>
          </w:tcPr>
          <w:p w14:paraId="59C296B8"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Zydol</w:t>
            </w:r>
          </w:p>
        </w:tc>
        <w:tc>
          <w:tcPr>
            <w:tcW w:w="1757" w:type="dxa"/>
            <w:shd w:val="clear" w:color="auto" w:fill="auto"/>
            <w:noWrap/>
            <w:hideMark/>
          </w:tcPr>
          <w:p w14:paraId="191D02D0"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Arrow Pharma Pty Ltd</w:t>
            </w:r>
          </w:p>
        </w:tc>
      </w:tr>
      <w:tr w:rsidR="00F33674" w:rsidRPr="00F33674" w14:paraId="46D10535" w14:textId="77777777" w:rsidTr="00C21DFA">
        <w:trPr>
          <w:trHeight w:val="300"/>
        </w:trPr>
        <w:tc>
          <w:tcPr>
            <w:tcW w:w="1418" w:type="dxa"/>
            <w:shd w:val="clear" w:color="auto" w:fill="auto"/>
            <w:noWrap/>
          </w:tcPr>
          <w:p w14:paraId="1EEE3412" w14:textId="77777777" w:rsidR="00F33674" w:rsidRPr="00F33674" w:rsidRDefault="00F33674" w:rsidP="00F33674">
            <w:pPr>
              <w:jc w:val="left"/>
              <w:rPr>
                <w:rFonts w:ascii="Arial Narrow" w:hAnsi="Arial Narrow" w:cs="Calibri"/>
                <w:color w:val="000000"/>
                <w:sz w:val="20"/>
                <w:szCs w:val="20"/>
                <w:lang w:eastAsia="en-AU"/>
              </w:rPr>
            </w:pPr>
          </w:p>
        </w:tc>
        <w:tc>
          <w:tcPr>
            <w:tcW w:w="1112" w:type="dxa"/>
            <w:shd w:val="clear" w:color="auto" w:fill="auto"/>
          </w:tcPr>
          <w:p w14:paraId="33506A4F"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8843K</w:t>
            </w:r>
          </w:p>
        </w:tc>
        <w:tc>
          <w:tcPr>
            <w:tcW w:w="2465" w:type="dxa"/>
            <w:shd w:val="clear" w:color="auto" w:fill="auto"/>
            <w:noWrap/>
            <w:hideMark/>
          </w:tcPr>
          <w:p w14:paraId="2F0B3563"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Oral drops containing tramadol hydrochloride 100 mg per mL, 10 mL</w:t>
            </w:r>
          </w:p>
        </w:tc>
        <w:tc>
          <w:tcPr>
            <w:tcW w:w="661" w:type="dxa"/>
            <w:shd w:val="clear" w:color="auto" w:fill="auto"/>
            <w:noWrap/>
            <w:hideMark/>
          </w:tcPr>
          <w:p w14:paraId="5C0BE4E4" w14:textId="77777777" w:rsidR="00F33674" w:rsidRPr="00F33674" w:rsidRDefault="00F33674" w:rsidP="00F33674">
            <w:pPr>
              <w:jc w:val="righ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1</w:t>
            </w:r>
          </w:p>
        </w:tc>
        <w:tc>
          <w:tcPr>
            <w:tcW w:w="656" w:type="dxa"/>
            <w:shd w:val="clear" w:color="auto" w:fill="auto"/>
            <w:noWrap/>
            <w:hideMark/>
          </w:tcPr>
          <w:p w14:paraId="4F58D512" w14:textId="77777777" w:rsidR="00F33674" w:rsidRPr="00F33674" w:rsidRDefault="00F33674" w:rsidP="00F33674">
            <w:pPr>
              <w:jc w:val="righ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0</w:t>
            </w:r>
          </w:p>
        </w:tc>
        <w:tc>
          <w:tcPr>
            <w:tcW w:w="1794" w:type="dxa"/>
            <w:shd w:val="clear" w:color="auto" w:fill="auto"/>
            <w:noWrap/>
            <w:hideMark/>
          </w:tcPr>
          <w:p w14:paraId="1DF2F001"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Tramal</w:t>
            </w:r>
          </w:p>
        </w:tc>
        <w:tc>
          <w:tcPr>
            <w:tcW w:w="1757" w:type="dxa"/>
            <w:shd w:val="clear" w:color="auto" w:fill="auto"/>
            <w:noWrap/>
            <w:hideMark/>
          </w:tcPr>
          <w:p w14:paraId="0BEE0F63"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Seqirus (Australia) Pty Ltd</w:t>
            </w:r>
          </w:p>
        </w:tc>
      </w:tr>
    </w:tbl>
    <w:p w14:paraId="5BC19D97" w14:textId="77777777" w:rsidR="00F33674" w:rsidRPr="00F33674" w:rsidRDefault="00F33674" w:rsidP="00F33674">
      <w:pPr>
        <w:ind w:left="360" w:hanging="360"/>
        <w:contextualSpacing/>
        <w:jc w:val="left"/>
      </w:pPr>
    </w:p>
    <w:tbl>
      <w:tblPr>
        <w:tblW w:w="9214" w:type="dxa"/>
        <w:tblInd w:w="-5" w:type="dxa"/>
        <w:tblLayout w:type="fixed"/>
        <w:tblLook w:val="0000" w:firstRow="0" w:lastRow="0" w:firstColumn="0" w:lastColumn="0" w:noHBand="0" w:noVBand="0"/>
      </w:tblPr>
      <w:tblGrid>
        <w:gridCol w:w="2835"/>
        <w:gridCol w:w="6379"/>
      </w:tblGrid>
      <w:tr w:rsidR="00F33674" w:rsidRPr="00F33674" w14:paraId="6CA64C1F" w14:textId="77777777" w:rsidTr="00F33674">
        <w:trPr>
          <w:cantSplit/>
          <w:trHeight w:val="360"/>
        </w:trPr>
        <w:tc>
          <w:tcPr>
            <w:tcW w:w="2835" w:type="dxa"/>
            <w:tcBorders>
              <w:top w:val="single" w:sz="4" w:space="0" w:color="auto"/>
              <w:left w:val="single" w:sz="4" w:space="0" w:color="auto"/>
              <w:bottom w:val="single" w:sz="4" w:space="0" w:color="auto"/>
              <w:right w:val="single" w:sz="4" w:space="0" w:color="auto"/>
            </w:tcBorders>
          </w:tcPr>
          <w:p w14:paraId="2DC793CE" w14:textId="77777777" w:rsidR="00F33674" w:rsidRPr="00F33674" w:rsidRDefault="00F33674" w:rsidP="00F33674">
            <w:pPr>
              <w:rPr>
                <w:rFonts w:ascii="Arial Narrow" w:hAnsi="Arial Narrow" w:cs="Arial"/>
                <w:b/>
                <w:sz w:val="20"/>
                <w:szCs w:val="20"/>
              </w:rPr>
            </w:pPr>
            <w:r w:rsidRPr="00F33674">
              <w:rPr>
                <w:rFonts w:ascii="Arial Narrow" w:hAnsi="Arial Narrow" w:cs="Arial"/>
                <w:b/>
                <w:sz w:val="20"/>
                <w:szCs w:val="20"/>
              </w:rPr>
              <w:t>Category / Program:</w:t>
            </w:r>
          </w:p>
        </w:tc>
        <w:tc>
          <w:tcPr>
            <w:tcW w:w="6379" w:type="dxa"/>
            <w:tcBorders>
              <w:top w:val="single" w:sz="4" w:space="0" w:color="auto"/>
              <w:left w:val="single" w:sz="4" w:space="0" w:color="auto"/>
              <w:bottom w:val="single" w:sz="4" w:space="0" w:color="auto"/>
              <w:right w:val="single" w:sz="4" w:space="0" w:color="auto"/>
            </w:tcBorders>
          </w:tcPr>
          <w:p w14:paraId="5C7E1988" w14:textId="77777777" w:rsidR="00F33674" w:rsidRPr="00F33674" w:rsidRDefault="00F33674" w:rsidP="00F33674">
            <w:pPr>
              <w:rPr>
                <w:rFonts w:ascii="Arial Narrow" w:hAnsi="Arial Narrow" w:cs="Arial"/>
                <w:sz w:val="20"/>
                <w:szCs w:val="20"/>
              </w:rPr>
            </w:pPr>
            <w:r w:rsidRPr="00F33674">
              <w:rPr>
                <w:rFonts w:ascii="Arial Narrow" w:hAnsi="Arial Narrow" w:cs="Arial"/>
                <w:sz w:val="20"/>
                <w:szCs w:val="20"/>
              </w:rPr>
              <w:t>GENERAL – General Schedule (Code GE)</w:t>
            </w:r>
          </w:p>
        </w:tc>
      </w:tr>
      <w:tr w:rsidR="00F33674" w:rsidRPr="00F33674" w14:paraId="156873AE" w14:textId="77777777" w:rsidTr="00F33674">
        <w:trPr>
          <w:cantSplit/>
          <w:trHeight w:val="360"/>
        </w:trPr>
        <w:tc>
          <w:tcPr>
            <w:tcW w:w="2835" w:type="dxa"/>
            <w:tcBorders>
              <w:top w:val="single" w:sz="4" w:space="0" w:color="auto"/>
              <w:left w:val="single" w:sz="4" w:space="0" w:color="auto"/>
              <w:bottom w:val="single" w:sz="4" w:space="0" w:color="auto"/>
              <w:right w:val="single" w:sz="4" w:space="0" w:color="auto"/>
            </w:tcBorders>
          </w:tcPr>
          <w:p w14:paraId="42C339AC" w14:textId="77777777" w:rsidR="00F33674" w:rsidRPr="00F33674" w:rsidRDefault="00F33674" w:rsidP="00F33674">
            <w:pPr>
              <w:rPr>
                <w:rFonts w:ascii="Arial Narrow" w:hAnsi="Arial Narrow" w:cs="Arial"/>
                <w:b/>
                <w:sz w:val="20"/>
                <w:szCs w:val="20"/>
              </w:rPr>
            </w:pPr>
            <w:r w:rsidRPr="00F33674">
              <w:rPr>
                <w:rFonts w:ascii="Arial Narrow" w:hAnsi="Arial Narrow" w:cs="Arial"/>
                <w:b/>
                <w:sz w:val="20"/>
                <w:szCs w:val="20"/>
              </w:rPr>
              <w:t>Prescriber type:</w:t>
            </w:r>
          </w:p>
          <w:p w14:paraId="5688516D" w14:textId="77777777" w:rsidR="00F33674" w:rsidRPr="00F33674" w:rsidRDefault="00F33674" w:rsidP="00F33674">
            <w:pPr>
              <w:rPr>
                <w:rFonts w:ascii="Arial Narrow" w:hAnsi="Arial Narrow" w:cs="Arial"/>
                <w:b/>
                <w:sz w:val="20"/>
                <w:szCs w:val="20"/>
              </w:rPr>
            </w:pPr>
          </w:p>
        </w:tc>
        <w:tc>
          <w:tcPr>
            <w:tcW w:w="6379" w:type="dxa"/>
            <w:tcBorders>
              <w:top w:val="single" w:sz="4" w:space="0" w:color="auto"/>
              <w:left w:val="single" w:sz="4" w:space="0" w:color="auto"/>
              <w:bottom w:val="single" w:sz="4" w:space="0" w:color="auto"/>
              <w:right w:val="single" w:sz="4" w:space="0" w:color="auto"/>
            </w:tcBorders>
          </w:tcPr>
          <w:p w14:paraId="46A8A98D" w14:textId="050C5B60" w:rsidR="00F33674" w:rsidRPr="00F33674" w:rsidRDefault="00F33674" w:rsidP="00F33674">
            <w:pPr>
              <w:rPr>
                <w:rFonts w:ascii="Arial Narrow" w:hAnsi="Arial Narrow" w:cs="Arial"/>
                <w:sz w:val="20"/>
                <w:szCs w:val="20"/>
              </w:rPr>
            </w:pPr>
            <w:r w:rsidRPr="00F33674">
              <w:rPr>
                <w:rFonts w:ascii="Arial Narrow" w:hAnsi="Arial Narrow" w:cs="Arial"/>
                <w:sz w:val="20"/>
                <w:szCs w:val="20"/>
              </w:rPr>
              <w:fldChar w:fldCharType="begin">
                <w:ffData>
                  <w:name w:val="Check1"/>
                  <w:enabled/>
                  <w:calcOnExit w:val="0"/>
                  <w:checkBox>
                    <w:sizeAuto/>
                    <w:default w:val="0"/>
                  </w:checkBox>
                </w:ffData>
              </w:fldChar>
            </w:r>
            <w:r w:rsidRPr="00F33674">
              <w:rPr>
                <w:rFonts w:ascii="Arial Narrow" w:hAnsi="Arial Narrow" w:cs="Arial"/>
                <w:sz w:val="20"/>
                <w:szCs w:val="20"/>
              </w:rPr>
              <w:instrText xml:space="preserve"> FORMCHECKBOX </w:instrText>
            </w:r>
            <w:r w:rsidR="00233D13">
              <w:rPr>
                <w:rFonts w:ascii="Arial Narrow" w:hAnsi="Arial Narrow" w:cs="Arial"/>
                <w:sz w:val="20"/>
                <w:szCs w:val="20"/>
              </w:rPr>
            </w:r>
            <w:r w:rsidR="00233D13">
              <w:rPr>
                <w:rFonts w:ascii="Arial Narrow" w:hAnsi="Arial Narrow" w:cs="Arial"/>
                <w:sz w:val="20"/>
                <w:szCs w:val="20"/>
              </w:rPr>
              <w:fldChar w:fldCharType="separate"/>
            </w:r>
            <w:r w:rsidRPr="00F33674">
              <w:rPr>
                <w:rFonts w:ascii="Arial Narrow" w:hAnsi="Arial Narrow" w:cs="Arial"/>
                <w:sz w:val="20"/>
                <w:szCs w:val="20"/>
              </w:rPr>
              <w:fldChar w:fldCharType="end"/>
            </w:r>
            <w:r w:rsidRPr="00F33674">
              <w:rPr>
                <w:rFonts w:ascii="Arial Narrow" w:hAnsi="Arial Narrow" w:cs="Arial"/>
                <w:sz w:val="20"/>
                <w:szCs w:val="20"/>
              </w:rPr>
              <w:t>Dental</w:t>
            </w:r>
            <w:r w:rsidR="002C1329">
              <w:rPr>
                <w:rFonts w:ascii="Arial Narrow" w:hAnsi="Arial Narrow" w:cs="Arial"/>
                <w:sz w:val="20"/>
                <w:szCs w:val="20"/>
              </w:rPr>
              <w:t xml:space="preserve"> </w:t>
            </w:r>
            <w:r w:rsidRPr="00F33674">
              <w:rPr>
                <w:rFonts w:ascii="Arial Narrow" w:hAnsi="Arial Narrow" w:cs="Arial"/>
                <w:sz w:val="20"/>
                <w:szCs w:val="20"/>
              </w:rPr>
              <w:fldChar w:fldCharType="begin">
                <w:ffData>
                  <w:name w:val=""/>
                  <w:enabled/>
                  <w:calcOnExit w:val="0"/>
                  <w:checkBox>
                    <w:sizeAuto/>
                    <w:default w:val="1"/>
                  </w:checkBox>
                </w:ffData>
              </w:fldChar>
            </w:r>
            <w:r w:rsidRPr="00F33674">
              <w:rPr>
                <w:rFonts w:ascii="Arial Narrow" w:hAnsi="Arial Narrow" w:cs="Arial"/>
                <w:sz w:val="20"/>
                <w:szCs w:val="20"/>
              </w:rPr>
              <w:instrText xml:space="preserve"> FORMCHECKBOX </w:instrText>
            </w:r>
            <w:r w:rsidR="00233D13">
              <w:rPr>
                <w:rFonts w:ascii="Arial Narrow" w:hAnsi="Arial Narrow" w:cs="Arial"/>
                <w:sz w:val="20"/>
                <w:szCs w:val="20"/>
              </w:rPr>
            </w:r>
            <w:r w:rsidR="00233D13">
              <w:rPr>
                <w:rFonts w:ascii="Arial Narrow" w:hAnsi="Arial Narrow" w:cs="Arial"/>
                <w:sz w:val="20"/>
                <w:szCs w:val="20"/>
              </w:rPr>
              <w:fldChar w:fldCharType="separate"/>
            </w:r>
            <w:r w:rsidRPr="00F33674">
              <w:rPr>
                <w:rFonts w:ascii="Arial Narrow" w:hAnsi="Arial Narrow" w:cs="Arial"/>
                <w:sz w:val="20"/>
                <w:szCs w:val="20"/>
              </w:rPr>
              <w:fldChar w:fldCharType="end"/>
            </w:r>
            <w:r w:rsidRPr="00F33674">
              <w:rPr>
                <w:rFonts w:ascii="Arial Narrow" w:hAnsi="Arial Narrow" w:cs="Arial"/>
                <w:sz w:val="20"/>
                <w:szCs w:val="20"/>
              </w:rPr>
              <w:t>Medical Practitioners</w:t>
            </w:r>
            <w:r w:rsidR="002C1329">
              <w:rPr>
                <w:rFonts w:ascii="Arial Narrow" w:hAnsi="Arial Narrow" w:cs="Arial"/>
                <w:sz w:val="20"/>
                <w:szCs w:val="20"/>
              </w:rPr>
              <w:t xml:space="preserve"> </w:t>
            </w:r>
            <w:r w:rsidRPr="00F33674">
              <w:rPr>
                <w:rFonts w:ascii="Arial Narrow" w:hAnsi="Arial Narrow" w:cs="Arial"/>
                <w:sz w:val="20"/>
                <w:szCs w:val="20"/>
              </w:rPr>
              <w:fldChar w:fldCharType="begin">
                <w:ffData>
                  <w:name w:val="Check3"/>
                  <w:enabled/>
                  <w:calcOnExit w:val="0"/>
                  <w:checkBox>
                    <w:sizeAuto/>
                    <w:default w:val="1"/>
                  </w:checkBox>
                </w:ffData>
              </w:fldChar>
            </w:r>
            <w:r w:rsidRPr="00F33674">
              <w:rPr>
                <w:rFonts w:ascii="Arial Narrow" w:hAnsi="Arial Narrow" w:cs="Arial"/>
                <w:sz w:val="20"/>
                <w:szCs w:val="20"/>
              </w:rPr>
              <w:instrText xml:space="preserve"> FORMCHECKBOX </w:instrText>
            </w:r>
            <w:r w:rsidR="00233D13">
              <w:rPr>
                <w:rFonts w:ascii="Arial Narrow" w:hAnsi="Arial Narrow" w:cs="Arial"/>
                <w:sz w:val="20"/>
                <w:szCs w:val="20"/>
              </w:rPr>
            </w:r>
            <w:r w:rsidR="00233D13">
              <w:rPr>
                <w:rFonts w:ascii="Arial Narrow" w:hAnsi="Arial Narrow" w:cs="Arial"/>
                <w:sz w:val="20"/>
                <w:szCs w:val="20"/>
              </w:rPr>
              <w:fldChar w:fldCharType="separate"/>
            </w:r>
            <w:r w:rsidRPr="00F33674">
              <w:rPr>
                <w:rFonts w:ascii="Arial Narrow" w:hAnsi="Arial Narrow" w:cs="Arial"/>
                <w:sz w:val="20"/>
                <w:szCs w:val="20"/>
              </w:rPr>
              <w:fldChar w:fldCharType="end"/>
            </w:r>
            <w:r w:rsidRPr="00F33674">
              <w:rPr>
                <w:rFonts w:ascii="Arial Narrow" w:hAnsi="Arial Narrow" w:cs="Arial"/>
                <w:sz w:val="20"/>
                <w:szCs w:val="20"/>
              </w:rPr>
              <w:t>Nurse practitioners</w:t>
            </w:r>
            <w:r w:rsidR="002C1329">
              <w:rPr>
                <w:rFonts w:ascii="Arial Narrow" w:hAnsi="Arial Narrow" w:cs="Arial"/>
                <w:sz w:val="20"/>
                <w:szCs w:val="20"/>
              </w:rPr>
              <w:t xml:space="preserve"> </w:t>
            </w:r>
            <w:r w:rsidRPr="00F33674">
              <w:rPr>
                <w:rFonts w:ascii="Arial Narrow" w:hAnsi="Arial Narrow" w:cs="Arial"/>
                <w:sz w:val="20"/>
                <w:szCs w:val="20"/>
              </w:rPr>
              <w:fldChar w:fldCharType="begin">
                <w:ffData>
                  <w:name w:val=""/>
                  <w:enabled/>
                  <w:calcOnExit w:val="0"/>
                  <w:checkBox>
                    <w:sizeAuto/>
                    <w:default w:val="0"/>
                  </w:checkBox>
                </w:ffData>
              </w:fldChar>
            </w:r>
            <w:r w:rsidRPr="00F33674">
              <w:rPr>
                <w:rFonts w:ascii="Arial Narrow" w:hAnsi="Arial Narrow" w:cs="Arial"/>
                <w:sz w:val="20"/>
                <w:szCs w:val="20"/>
              </w:rPr>
              <w:instrText xml:space="preserve"> FORMCHECKBOX </w:instrText>
            </w:r>
            <w:r w:rsidR="00233D13">
              <w:rPr>
                <w:rFonts w:ascii="Arial Narrow" w:hAnsi="Arial Narrow" w:cs="Arial"/>
                <w:sz w:val="20"/>
                <w:szCs w:val="20"/>
              </w:rPr>
            </w:r>
            <w:r w:rsidR="00233D13">
              <w:rPr>
                <w:rFonts w:ascii="Arial Narrow" w:hAnsi="Arial Narrow" w:cs="Arial"/>
                <w:sz w:val="20"/>
                <w:szCs w:val="20"/>
              </w:rPr>
              <w:fldChar w:fldCharType="separate"/>
            </w:r>
            <w:r w:rsidRPr="00F33674">
              <w:rPr>
                <w:rFonts w:ascii="Arial Narrow" w:hAnsi="Arial Narrow" w:cs="Arial"/>
                <w:sz w:val="20"/>
                <w:szCs w:val="20"/>
              </w:rPr>
              <w:fldChar w:fldCharType="end"/>
            </w:r>
            <w:r w:rsidRPr="00F33674">
              <w:rPr>
                <w:rFonts w:ascii="Arial Narrow" w:hAnsi="Arial Narrow" w:cs="Arial"/>
                <w:sz w:val="20"/>
                <w:szCs w:val="20"/>
              </w:rPr>
              <w:t>Optometrists</w:t>
            </w:r>
          </w:p>
          <w:p w14:paraId="4F7D4FBA" w14:textId="77777777" w:rsidR="00F33674" w:rsidRPr="00F33674" w:rsidRDefault="00F33674" w:rsidP="00F33674">
            <w:pPr>
              <w:rPr>
                <w:rFonts w:ascii="Arial Narrow" w:hAnsi="Arial Narrow" w:cs="Arial"/>
                <w:sz w:val="20"/>
                <w:szCs w:val="20"/>
              </w:rPr>
            </w:pPr>
            <w:r w:rsidRPr="00F33674">
              <w:rPr>
                <w:rFonts w:ascii="Arial Narrow" w:hAnsi="Arial Narrow" w:cs="Arial"/>
                <w:sz w:val="20"/>
                <w:szCs w:val="20"/>
              </w:rPr>
              <w:fldChar w:fldCharType="begin">
                <w:ffData>
                  <w:name w:val="Check5"/>
                  <w:enabled/>
                  <w:calcOnExit w:val="0"/>
                  <w:checkBox>
                    <w:sizeAuto/>
                    <w:default w:val="0"/>
                  </w:checkBox>
                </w:ffData>
              </w:fldChar>
            </w:r>
            <w:r w:rsidRPr="00F33674">
              <w:rPr>
                <w:rFonts w:ascii="Arial Narrow" w:hAnsi="Arial Narrow" w:cs="Arial"/>
                <w:sz w:val="20"/>
                <w:szCs w:val="20"/>
              </w:rPr>
              <w:instrText xml:space="preserve"> FORMCHECKBOX </w:instrText>
            </w:r>
            <w:r w:rsidR="00233D13">
              <w:rPr>
                <w:rFonts w:ascii="Arial Narrow" w:hAnsi="Arial Narrow" w:cs="Arial"/>
                <w:sz w:val="20"/>
                <w:szCs w:val="20"/>
              </w:rPr>
            </w:r>
            <w:r w:rsidR="00233D13">
              <w:rPr>
                <w:rFonts w:ascii="Arial Narrow" w:hAnsi="Arial Narrow" w:cs="Arial"/>
                <w:sz w:val="20"/>
                <w:szCs w:val="20"/>
              </w:rPr>
              <w:fldChar w:fldCharType="separate"/>
            </w:r>
            <w:r w:rsidRPr="00F33674">
              <w:rPr>
                <w:rFonts w:ascii="Arial Narrow" w:hAnsi="Arial Narrow" w:cs="Arial"/>
                <w:sz w:val="20"/>
                <w:szCs w:val="20"/>
              </w:rPr>
              <w:fldChar w:fldCharType="end"/>
            </w:r>
            <w:r w:rsidRPr="00F33674">
              <w:rPr>
                <w:rFonts w:ascii="Arial Narrow" w:hAnsi="Arial Narrow" w:cs="Arial"/>
                <w:sz w:val="20"/>
                <w:szCs w:val="20"/>
              </w:rPr>
              <w:t>Midwives</w:t>
            </w:r>
          </w:p>
        </w:tc>
      </w:tr>
      <w:tr w:rsidR="00F33674" w:rsidRPr="00F33674" w14:paraId="5C5EC551" w14:textId="77777777" w:rsidTr="00F33674">
        <w:trPr>
          <w:cantSplit/>
          <w:trHeight w:val="369"/>
        </w:trPr>
        <w:tc>
          <w:tcPr>
            <w:tcW w:w="2835" w:type="dxa"/>
            <w:tcBorders>
              <w:top w:val="single" w:sz="4" w:space="0" w:color="auto"/>
              <w:left w:val="single" w:sz="4" w:space="0" w:color="auto"/>
              <w:bottom w:val="single" w:sz="4" w:space="0" w:color="auto"/>
              <w:right w:val="single" w:sz="4" w:space="0" w:color="auto"/>
            </w:tcBorders>
          </w:tcPr>
          <w:p w14:paraId="632A9D45" w14:textId="77777777" w:rsidR="00F33674" w:rsidRPr="00F33674" w:rsidRDefault="00F33674" w:rsidP="00F33674">
            <w:pPr>
              <w:rPr>
                <w:rFonts w:ascii="Arial Narrow" w:hAnsi="Arial Narrow" w:cs="Arial"/>
                <w:b/>
                <w:sz w:val="20"/>
                <w:szCs w:val="20"/>
              </w:rPr>
            </w:pPr>
            <w:r w:rsidRPr="00F33674">
              <w:rPr>
                <w:rFonts w:ascii="Arial Narrow" w:hAnsi="Arial Narrow" w:cs="Arial"/>
                <w:b/>
                <w:sz w:val="20"/>
                <w:szCs w:val="20"/>
              </w:rPr>
              <w:t>PBS indication:</w:t>
            </w:r>
          </w:p>
        </w:tc>
        <w:tc>
          <w:tcPr>
            <w:tcW w:w="6379" w:type="dxa"/>
            <w:tcBorders>
              <w:top w:val="single" w:sz="4" w:space="0" w:color="auto"/>
              <w:left w:val="single" w:sz="4" w:space="0" w:color="auto"/>
              <w:bottom w:val="single" w:sz="4" w:space="0" w:color="auto"/>
              <w:right w:val="single" w:sz="4" w:space="0" w:color="auto"/>
            </w:tcBorders>
          </w:tcPr>
          <w:p w14:paraId="74E04FB5" w14:textId="77777777" w:rsidR="00F33674" w:rsidRPr="00F33674" w:rsidRDefault="00F33674" w:rsidP="00F33674">
            <w:pPr>
              <w:rPr>
                <w:rFonts w:ascii="Arial Narrow" w:hAnsi="Arial Narrow" w:cs="Arial"/>
                <w:sz w:val="20"/>
                <w:szCs w:val="20"/>
              </w:rPr>
            </w:pPr>
            <w:r w:rsidRPr="00F33674">
              <w:rPr>
                <w:rFonts w:ascii="Arial Narrow" w:hAnsi="Arial Narrow" w:cs="Arial"/>
                <w:sz w:val="20"/>
                <w:szCs w:val="20"/>
              </w:rPr>
              <w:t>[7861] Severe pain</w:t>
            </w:r>
          </w:p>
        </w:tc>
      </w:tr>
      <w:tr w:rsidR="00F33674" w:rsidRPr="00F33674" w14:paraId="6B98E5AF" w14:textId="77777777" w:rsidTr="00F33674">
        <w:trPr>
          <w:cantSplit/>
          <w:trHeight w:val="360"/>
        </w:trPr>
        <w:tc>
          <w:tcPr>
            <w:tcW w:w="2835" w:type="dxa"/>
            <w:tcBorders>
              <w:top w:val="single" w:sz="4" w:space="0" w:color="auto"/>
              <w:left w:val="single" w:sz="4" w:space="0" w:color="auto"/>
              <w:bottom w:val="single" w:sz="4" w:space="0" w:color="auto"/>
              <w:right w:val="single" w:sz="4" w:space="0" w:color="auto"/>
            </w:tcBorders>
          </w:tcPr>
          <w:p w14:paraId="3AC4AA4A" w14:textId="77777777" w:rsidR="00F33674" w:rsidRPr="00F33674" w:rsidRDefault="00F33674" w:rsidP="00F33674">
            <w:pPr>
              <w:rPr>
                <w:rFonts w:ascii="Arial Narrow" w:hAnsi="Arial Narrow" w:cs="Arial"/>
                <w:b/>
                <w:sz w:val="20"/>
                <w:szCs w:val="20"/>
              </w:rPr>
            </w:pPr>
            <w:r w:rsidRPr="00F33674">
              <w:rPr>
                <w:rFonts w:ascii="Arial Narrow" w:hAnsi="Arial Narrow" w:cs="Arial"/>
                <w:b/>
                <w:sz w:val="20"/>
                <w:szCs w:val="20"/>
              </w:rPr>
              <w:t>Restriction Level / Method:</w:t>
            </w:r>
          </w:p>
          <w:p w14:paraId="25C5A802" w14:textId="77777777" w:rsidR="00F33674" w:rsidRPr="00F33674" w:rsidRDefault="00F33674" w:rsidP="00F33674">
            <w:pPr>
              <w:rPr>
                <w:rFonts w:ascii="Arial Narrow" w:hAnsi="Arial Narrow" w:cs="Arial"/>
                <w:i/>
                <w:sz w:val="20"/>
                <w:szCs w:val="20"/>
              </w:rPr>
            </w:pPr>
          </w:p>
          <w:p w14:paraId="2ACB2760" w14:textId="77777777" w:rsidR="00F33674" w:rsidRPr="00F33674" w:rsidRDefault="00F33674" w:rsidP="00F33674">
            <w:pPr>
              <w:rPr>
                <w:rFonts w:ascii="Arial Narrow" w:hAnsi="Arial Narrow" w:cs="Arial"/>
                <w:i/>
                <w:sz w:val="20"/>
                <w:szCs w:val="20"/>
              </w:rPr>
            </w:pPr>
          </w:p>
          <w:p w14:paraId="4EB24EC3" w14:textId="77777777" w:rsidR="00F33674" w:rsidRPr="00F33674" w:rsidRDefault="00F33674" w:rsidP="00F33674">
            <w:pPr>
              <w:rPr>
                <w:rFonts w:ascii="Arial Narrow" w:hAnsi="Arial Narrow" w:cs="Arial"/>
                <w:i/>
                <w:sz w:val="20"/>
                <w:szCs w:val="20"/>
              </w:rPr>
            </w:pPr>
          </w:p>
        </w:tc>
        <w:tc>
          <w:tcPr>
            <w:tcW w:w="6379" w:type="dxa"/>
            <w:tcBorders>
              <w:top w:val="single" w:sz="4" w:space="0" w:color="auto"/>
              <w:left w:val="single" w:sz="4" w:space="0" w:color="auto"/>
              <w:bottom w:val="single" w:sz="4" w:space="0" w:color="auto"/>
              <w:right w:val="single" w:sz="4" w:space="0" w:color="auto"/>
            </w:tcBorders>
          </w:tcPr>
          <w:p w14:paraId="29847438" w14:textId="77777777" w:rsidR="00F33674" w:rsidRPr="00F33674" w:rsidRDefault="00F33674" w:rsidP="00F33674">
            <w:pPr>
              <w:rPr>
                <w:rFonts w:ascii="Arial Narrow" w:hAnsi="Arial Narrow" w:cs="Arial"/>
                <w:sz w:val="20"/>
                <w:szCs w:val="20"/>
              </w:rPr>
            </w:pPr>
            <w:r w:rsidRPr="00F33674">
              <w:rPr>
                <w:rFonts w:ascii="Arial Narrow" w:hAnsi="Arial Narrow" w:cs="Arial"/>
                <w:sz w:val="20"/>
                <w:szCs w:val="20"/>
              </w:rPr>
              <w:fldChar w:fldCharType="begin">
                <w:ffData>
                  <w:name w:val=""/>
                  <w:enabled/>
                  <w:calcOnExit w:val="0"/>
                  <w:checkBox>
                    <w:sizeAuto/>
                    <w:default w:val="0"/>
                  </w:checkBox>
                </w:ffData>
              </w:fldChar>
            </w:r>
            <w:r w:rsidRPr="00F33674">
              <w:rPr>
                <w:rFonts w:ascii="Arial Narrow" w:hAnsi="Arial Narrow" w:cs="Arial"/>
                <w:sz w:val="20"/>
                <w:szCs w:val="20"/>
              </w:rPr>
              <w:instrText xml:space="preserve"> FORMCHECKBOX </w:instrText>
            </w:r>
            <w:r w:rsidR="00233D13">
              <w:rPr>
                <w:rFonts w:ascii="Arial Narrow" w:hAnsi="Arial Narrow" w:cs="Arial"/>
                <w:sz w:val="20"/>
                <w:szCs w:val="20"/>
              </w:rPr>
            </w:r>
            <w:r w:rsidR="00233D13">
              <w:rPr>
                <w:rFonts w:ascii="Arial Narrow" w:hAnsi="Arial Narrow" w:cs="Arial"/>
                <w:sz w:val="20"/>
                <w:szCs w:val="20"/>
              </w:rPr>
              <w:fldChar w:fldCharType="separate"/>
            </w:r>
            <w:r w:rsidRPr="00F33674">
              <w:rPr>
                <w:rFonts w:ascii="Arial Narrow" w:hAnsi="Arial Narrow" w:cs="Arial"/>
                <w:sz w:val="20"/>
                <w:szCs w:val="20"/>
              </w:rPr>
              <w:fldChar w:fldCharType="end"/>
            </w:r>
            <w:r w:rsidRPr="00F33674">
              <w:rPr>
                <w:rFonts w:ascii="Arial Narrow" w:hAnsi="Arial Narrow" w:cs="Arial"/>
                <w:sz w:val="20"/>
                <w:szCs w:val="20"/>
              </w:rPr>
              <w:t>Unrestricted benefit</w:t>
            </w:r>
          </w:p>
          <w:p w14:paraId="596B58F7" w14:textId="77777777" w:rsidR="00F33674" w:rsidRPr="00F33674" w:rsidRDefault="00F33674" w:rsidP="00F33674">
            <w:pPr>
              <w:rPr>
                <w:rFonts w:ascii="Arial Narrow" w:hAnsi="Arial Narrow" w:cs="Arial"/>
                <w:i/>
                <w:sz w:val="20"/>
                <w:szCs w:val="20"/>
              </w:rPr>
            </w:pPr>
            <w:r w:rsidRPr="00F33674">
              <w:rPr>
                <w:rFonts w:ascii="Arial Narrow" w:hAnsi="Arial Narrow" w:cs="Arial"/>
                <w:i/>
                <w:sz w:val="20"/>
                <w:szCs w:val="20"/>
              </w:rPr>
              <w:fldChar w:fldCharType="begin">
                <w:ffData>
                  <w:name w:val="Check1"/>
                  <w:enabled/>
                  <w:calcOnExit w:val="0"/>
                  <w:checkBox>
                    <w:sizeAuto/>
                    <w:default w:val="1"/>
                  </w:checkBox>
                </w:ffData>
              </w:fldChar>
            </w:r>
            <w:r w:rsidRPr="00F33674">
              <w:rPr>
                <w:rFonts w:ascii="Arial Narrow" w:hAnsi="Arial Narrow" w:cs="Arial"/>
                <w:i/>
                <w:sz w:val="20"/>
                <w:szCs w:val="20"/>
              </w:rPr>
              <w:instrText xml:space="preserve"> FORMCHECKBOX </w:instrText>
            </w:r>
            <w:r w:rsidR="00233D13">
              <w:rPr>
                <w:rFonts w:ascii="Arial Narrow" w:hAnsi="Arial Narrow" w:cs="Arial"/>
                <w:i/>
                <w:sz w:val="20"/>
                <w:szCs w:val="20"/>
              </w:rPr>
            </w:r>
            <w:r w:rsidR="00233D13">
              <w:rPr>
                <w:rFonts w:ascii="Arial Narrow" w:hAnsi="Arial Narrow" w:cs="Arial"/>
                <w:i/>
                <w:sz w:val="20"/>
                <w:szCs w:val="20"/>
              </w:rPr>
              <w:fldChar w:fldCharType="separate"/>
            </w:r>
            <w:r w:rsidRPr="00F33674">
              <w:rPr>
                <w:rFonts w:ascii="Arial Narrow" w:hAnsi="Arial Narrow" w:cs="Arial"/>
                <w:i/>
                <w:sz w:val="20"/>
                <w:szCs w:val="20"/>
              </w:rPr>
              <w:fldChar w:fldCharType="end"/>
            </w:r>
            <w:r w:rsidRPr="00F33674">
              <w:rPr>
                <w:rFonts w:ascii="Arial Narrow" w:hAnsi="Arial Narrow" w:cs="Arial"/>
                <w:sz w:val="20"/>
                <w:szCs w:val="20"/>
              </w:rPr>
              <w:t>Restricted benefit</w:t>
            </w:r>
          </w:p>
          <w:p w14:paraId="0640E6A8" w14:textId="77777777" w:rsidR="00F33674" w:rsidRPr="00F33674" w:rsidRDefault="00F33674" w:rsidP="00F33674">
            <w:pPr>
              <w:rPr>
                <w:rFonts w:ascii="Arial Narrow" w:hAnsi="Arial Narrow" w:cs="Arial"/>
                <w:sz w:val="20"/>
                <w:szCs w:val="20"/>
              </w:rPr>
            </w:pPr>
            <w:r w:rsidRPr="00F33674">
              <w:rPr>
                <w:rFonts w:ascii="Arial Narrow" w:hAnsi="Arial Narrow" w:cs="Arial"/>
                <w:sz w:val="20"/>
                <w:szCs w:val="20"/>
              </w:rPr>
              <w:fldChar w:fldCharType="begin">
                <w:ffData>
                  <w:name w:val=""/>
                  <w:enabled/>
                  <w:calcOnExit w:val="0"/>
                  <w:checkBox>
                    <w:sizeAuto/>
                    <w:default w:val="0"/>
                  </w:checkBox>
                </w:ffData>
              </w:fldChar>
            </w:r>
            <w:r w:rsidRPr="00F33674">
              <w:rPr>
                <w:rFonts w:ascii="Arial Narrow" w:hAnsi="Arial Narrow" w:cs="Arial"/>
                <w:sz w:val="20"/>
                <w:szCs w:val="20"/>
              </w:rPr>
              <w:instrText xml:space="preserve"> FORMCHECKBOX </w:instrText>
            </w:r>
            <w:r w:rsidR="00233D13">
              <w:rPr>
                <w:rFonts w:ascii="Arial Narrow" w:hAnsi="Arial Narrow" w:cs="Arial"/>
                <w:sz w:val="20"/>
                <w:szCs w:val="20"/>
              </w:rPr>
            </w:r>
            <w:r w:rsidR="00233D13">
              <w:rPr>
                <w:rFonts w:ascii="Arial Narrow" w:hAnsi="Arial Narrow" w:cs="Arial"/>
                <w:sz w:val="20"/>
                <w:szCs w:val="20"/>
              </w:rPr>
              <w:fldChar w:fldCharType="separate"/>
            </w:r>
            <w:r w:rsidRPr="00F33674">
              <w:rPr>
                <w:rFonts w:ascii="Arial Narrow" w:hAnsi="Arial Narrow" w:cs="Arial"/>
                <w:sz w:val="20"/>
                <w:szCs w:val="20"/>
              </w:rPr>
              <w:fldChar w:fldCharType="end"/>
            </w:r>
            <w:r w:rsidRPr="00F33674">
              <w:rPr>
                <w:rFonts w:ascii="Arial Narrow" w:hAnsi="Arial Narrow" w:cs="Arial"/>
                <w:sz w:val="20"/>
                <w:szCs w:val="20"/>
              </w:rPr>
              <w:t>Authority Required – In Writing</w:t>
            </w:r>
          </w:p>
          <w:p w14:paraId="02DD763B" w14:textId="77777777" w:rsidR="00F33674" w:rsidRPr="00F33674" w:rsidRDefault="00F33674" w:rsidP="00F33674">
            <w:pPr>
              <w:rPr>
                <w:rFonts w:ascii="Arial Narrow" w:hAnsi="Arial Narrow" w:cs="Arial"/>
                <w:sz w:val="20"/>
                <w:szCs w:val="20"/>
              </w:rPr>
            </w:pPr>
            <w:r w:rsidRPr="00F33674">
              <w:rPr>
                <w:rFonts w:ascii="Arial Narrow" w:hAnsi="Arial Narrow" w:cs="Arial"/>
                <w:sz w:val="20"/>
                <w:szCs w:val="20"/>
              </w:rPr>
              <w:fldChar w:fldCharType="begin">
                <w:ffData>
                  <w:name w:val="Check3"/>
                  <w:enabled/>
                  <w:calcOnExit w:val="0"/>
                  <w:checkBox>
                    <w:sizeAuto/>
                    <w:default w:val="0"/>
                  </w:checkBox>
                </w:ffData>
              </w:fldChar>
            </w:r>
            <w:r w:rsidRPr="00F33674">
              <w:rPr>
                <w:rFonts w:ascii="Arial Narrow" w:hAnsi="Arial Narrow" w:cs="Arial"/>
                <w:sz w:val="20"/>
                <w:szCs w:val="20"/>
              </w:rPr>
              <w:instrText xml:space="preserve"> FORMCHECKBOX </w:instrText>
            </w:r>
            <w:r w:rsidR="00233D13">
              <w:rPr>
                <w:rFonts w:ascii="Arial Narrow" w:hAnsi="Arial Narrow" w:cs="Arial"/>
                <w:sz w:val="20"/>
                <w:szCs w:val="20"/>
              </w:rPr>
            </w:r>
            <w:r w:rsidR="00233D13">
              <w:rPr>
                <w:rFonts w:ascii="Arial Narrow" w:hAnsi="Arial Narrow" w:cs="Arial"/>
                <w:sz w:val="20"/>
                <w:szCs w:val="20"/>
              </w:rPr>
              <w:fldChar w:fldCharType="separate"/>
            </w:r>
            <w:r w:rsidRPr="00F33674">
              <w:rPr>
                <w:rFonts w:ascii="Arial Narrow" w:hAnsi="Arial Narrow" w:cs="Arial"/>
                <w:sz w:val="20"/>
                <w:szCs w:val="20"/>
              </w:rPr>
              <w:fldChar w:fldCharType="end"/>
            </w:r>
            <w:r w:rsidRPr="00F33674">
              <w:rPr>
                <w:rFonts w:ascii="Arial Narrow" w:hAnsi="Arial Narrow" w:cs="Arial"/>
                <w:sz w:val="20"/>
                <w:szCs w:val="20"/>
              </w:rPr>
              <w:t>Authority Required – Telephone/Electronic/Emergency</w:t>
            </w:r>
          </w:p>
          <w:p w14:paraId="050D5595" w14:textId="77777777" w:rsidR="00F33674" w:rsidRPr="00F33674" w:rsidRDefault="00F33674" w:rsidP="00F33674">
            <w:pPr>
              <w:rPr>
                <w:rFonts w:ascii="Arial Narrow" w:hAnsi="Arial Narrow" w:cs="Arial"/>
                <w:sz w:val="20"/>
                <w:szCs w:val="20"/>
              </w:rPr>
            </w:pPr>
            <w:r w:rsidRPr="00F33674">
              <w:rPr>
                <w:rFonts w:ascii="Arial Narrow" w:hAnsi="Arial Narrow" w:cs="Arial"/>
                <w:sz w:val="20"/>
                <w:szCs w:val="20"/>
              </w:rPr>
              <w:fldChar w:fldCharType="begin">
                <w:ffData>
                  <w:name w:val="Check5"/>
                  <w:enabled/>
                  <w:calcOnExit w:val="0"/>
                  <w:checkBox>
                    <w:sizeAuto/>
                    <w:default w:val="0"/>
                  </w:checkBox>
                </w:ffData>
              </w:fldChar>
            </w:r>
            <w:r w:rsidRPr="00F33674">
              <w:rPr>
                <w:rFonts w:ascii="Arial Narrow" w:hAnsi="Arial Narrow" w:cs="Arial"/>
                <w:sz w:val="20"/>
                <w:szCs w:val="20"/>
              </w:rPr>
              <w:instrText xml:space="preserve"> FORMCHECKBOX </w:instrText>
            </w:r>
            <w:r w:rsidR="00233D13">
              <w:rPr>
                <w:rFonts w:ascii="Arial Narrow" w:hAnsi="Arial Narrow" w:cs="Arial"/>
                <w:sz w:val="20"/>
                <w:szCs w:val="20"/>
              </w:rPr>
            </w:r>
            <w:r w:rsidR="00233D13">
              <w:rPr>
                <w:rFonts w:ascii="Arial Narrow" w:hAnsi="Arial Narrow" w:cs="Arial"/>
                <w:sz w:val="20"/>
                <w:szCs w:val="20"/>
              </w:rPr>
              <w:fldChar w:fldCharType="separate"/>
            </w:r>
            <w:r w:rsidRPr="00F33674">
              <w:rPr>
                <w:rFonts w:ascii="Arial Narrow" w:hAnsi="Arial Narrow" w:cs="Arial"/>
                <w:sz w:val="20"/>
                <w:szCs w:val="20"/>
              </w:rPr>
              <w:fldChar w:fldCharType="end"/>
            </w:r>
            <w:r w:rsidRPr="00F33674">
              <w:rPr>
                <w:rFonts w:ascii="Arial Narrow" w:hAnsi="Arial Narrow" w:cs="Arial"/>
                <w:sz w:val="20"/>
                <w:szCs w:val="20"/>
              </w:rPr>
              <w:t>Streamlined</w:t>
            </w:r>
          </w:p>
        </w:tc>
      </w:tr>
      <w:tr w:rsidR="00F33674" w:rsidRPr="00F33674" w14:paraId="7BAB6125" w14:textId="77777777" w:rsidTr="00F33674">
        <w:trPr>
          <w:cantSplit/>
          <w:trHeight w:val="360"/>
        </w:trPr>
        <w:tc>
          <w:tcPr>
            <w:tcW w:w="2835" w:type="dxa"/>
            <w:tcBorders>
              <w:top w:val="single" w:sz="4" w:space="0" w:color="auto"/>
              <w:left w:val="single" w:sz="4" w:space="0" w:color="auto"/>
              <w:bottom w:val="single" w:sz="4" w:space="0" w:color="auto"/>
              <w:right w:val="single" w:sz="4" w:space="0" w:color="auto"/>
            </w:tcBorders>
          </w:tcPr>
          <w:p w14:paraId="63B05004" w14:textId="77777777" w:rsidR="00F33674" w:rsidRPr="00F33674" w:rsidRDefault="00F33674" w:rsidP="00F33674">
            <w:pPr>
              <w:rPr>
                <w:rFonts w:ascii="Arial Narrow" w:hAnsi="Arial Narrow" w:cs="Arial"/>
                <w:b/>
                <w:sz w:val="20"/>
                <w:szCs w:val="20"/>
              </w:rPr>
            </w:pPr>
            <w:r w:rsidRPr="00F33674">
              <w:rPr>
                <w:rFonts w:ascii="Arial Narrow" w:hAnsi="Arial Narrow" w:cs="Arial"/>
                <w:b/>
                <w:sz w:val="20"/>
                <w:szCs w:val="20"/>
              </w:rPr>
              <w:t>Clinical criteria:</w:t>
            </w:r>
          </w:p>
        </w:tc>
        <w:tc>
          <w:tcPr>
            <w:tcW w:w="6379" w:type="dxa"/>
            <w:tcBorders>
              <w:top w:val="single" w:sz="4" w:space="0" w:color="auto"/>
              <w:left w:val="single" w:sz="4" w:space="0" w:color="auto"/>
              <w:bottom w:val="single" w:sz="4" w:space="0" w:color="auto"/>
              <w:right w:val="single" w:sz="4" w:space="0" w:color="auto"/>
            </w:tcBorders>
          </w:tcPr>
          <w:p w14:paraId="7DFA9845" w14:textId="77777777" w:rsidR="00F33674" w:rsidRPr="00F33674" w:rsidRDefault="00F33674" w:rsidP="00F33674">
            <w:pPr>
              <w:jc w:val="left"/>
              <w:rPr>
                <w:rFonts w:ascii="Arial Narrow" w:hAnsi="Arial Narrow" w:cs="Arial"/>
                <w:sz w:val="20"/>
                <w:szCs w:val="20"/>
              </w:rPr>
            </w:pPr>
            <w:r w:rsidRPr="00F33674">
              <w:rPr>
                <w:rFonts w:ascii="Arial Narrow" w:hAnsi="Arial Narrow" w:cs="Arial"/>
                <w:sz w:val="20"/>
                <w:szCs w:val="20"/>
              </w:rPr>
              <w:t>[new] The treatment must be for short term therapy of acute severe pain</w:t>
            </w:r>
          </w:p>
          <w:p w14:paraId="11B081B6" w14:textId="77777777" w:rsidR="00F33674" w:rsidRPr="00F33674" w:rsidRDefault="00F33674" w:rsidP="00F33674">
            <w:pPr>
              <w:jc w:val="left"/>
              <w:rPr>
                <w:rFonts w:ascii="Arial Narrow" w:hAnsi="Arial Narrow" w:cs="Arial"/>
                <w:sz w:val="20"/>
                <w:szCs w:val="20"/>
              </w:rPr>
            </w:pPr>
          </w:p>
          <w:p w14:paraId="3B6CD34C" w14:textId="77777777" w:rsidR="00F33674" w:rsidRPr="00F33674" w:rsidRDefault="00F33674" w:rsidP="00F33674">
            <w:pPr>
              <w:jc w:val="left"/>
              <w:rPr>
                <w:rFonts w:ascii="Arial Narrow" w:hAnsi="Arial Narrow" w:cs="Arial"/>
                <w:sz w:val="20"/>
                <w:szCs w:val="20"/>
              </w:rPr>
            </w:pPr>
            <w:r w:rsidRPr="00F33674">
              <w:rPr>
                <w:rFonts w:ascii="Arial Narrow" w:hAnsi="Arial Narrow" w:cs="Arial"/>
                <w:sz w:val="20"/>
                <w:szCs w:val="20"/>
              </w:rPr>
              <w:t>AND</w:t>
            </w:r>
          </w:p>
          <w:p w14:paraId="58F2DC94" w14:textId="77777777" w:rsidR="00F33674" w:rsidRPr="00F33674" w:rsidRDefault="00F33674" w:rsidP="00F33674">
            <w:pPr>
              <w:jc w:val="left"/>
              <w:rPr>
                <w:rFonts w:ascii="Arial Narrow" w:hAnsi="Arial Narrow" w:cs="Arial"/>
                <w:sz w:val="20"/>
                <w:szCs w:val="20"/>
              </w:rPr>
            </w:pPr>
          </w:p>
          <w:p w14:paraId="78050F06" w14:textId="0834C57F" w:rsidR="00F33674" w:rsidRPr="00F33674" w:rsidRDefault="00F33674" w:rsidP="00F33674">
            <w:pPr>
              <w:jc w:val="left"/>
              <w:rPr>
                <w:rFonts w:ascii="Arial Narrow" w:hAnsi="Arial Narrow" w:cs="Arial"/>
                <w:sz w:val="20"/>
                <w:szCs w:val="20"/>
              </w:rPr>
            </w:pPr>
            <w:r w:rsidRPr="00F33674">
              <w:rPr>
                <w:rFonts w:ascii="Arial Narrow" w:hAnsi="Arial Narrow" w:cs="Arial"/>
                <w:sz w:val="20"/>
                <w:szCs w:val="20"/>
              </w:rPr>
              <w:t>[new] Patient must have</w:t>
            </w:r>
            <w:r w:rsidR="007A2171">
              <w:rPr>
                <w:rFonts w:ascii="Arial Narrow" w:hAnsi="Arial Narrow" w:cs="Arial"/>
                <w:sz w:val="20"/>
                <w:szCs w:val="20"/>
              </w:rPr>
              <w:t xml:space="preserve"> had</w:t>
            </w:r>
            <w:r w:rsidRPr="00F33674">
              <w:rPr>
                <w:rFonts w:ascii="Arial Narrow" w:hAnsi="Arial Narrow" w:cs="Arial"/>
                <w:sz w:val="20"/>
                <w:szCs w:val="20"/>
              </w:rPr>
              <w:t xml:space="preserve"> </w:t>
            </w:r>
            <w:r w:rsidR="007A2171">
              <w:rPr>
                <w:rFonts w:ascii="Arial Narrow" w:hAnsi="Arial Narrow" w:cs="Arial"/>
                <w:sz w:val="20"/>
                <w:szCs w:val="20"/>
              </w:rPr>
              <w:t>or would have</w:t>
            </w:r>
            <w:r w:rsidRPr="00F33674">
              <w:rPr>
                <w:rFonts w:ascii="Arial Narrow" w:hAnsi="Arial Narrow" w:cs="Arial"/>
                <w:sz w:val="20"/>
                <w:szCs w:val="20"/>
              </w:rPr>
              <w:t xml:space="preserve"> inadequate</w:t>
            </w:r>
            <w:r w:rsidR="007A2171">
              <w:rPr>
                <w:rFonts w:ascii="Arial Narrow" w:hAnsi="Arial Narrow" w:cs="Arial"/>
                <w:sz w:val="20"/>
                <w:szCs w:val="20"/>
              </w:rPr>
              <w:t xml:space="preserve"> pain</w:t>
            </w:r>
            <w:r w:rsidRPr="00F33674">
              <w:rPr>
                <w:rFonts w:ascii="Arial Narrow" w:hAnsi="Arial Narrow" w:cs="Arial"/>
                <w:sz w:val="20"/>
                <w:szCs w:val="20"/>
              </w:rPr>
              <w:t xml:space="preserve"> management </w:t>
            </w:r>
            <w:r w:rsidR="007A2171">
              <w:rPr>
                <w:rFonts w:ascii="Arial Narrow" w:hAnsi="Arial Narrow" w:cs="Arial"/>
                <w:sz w:val="20"/>
                <w:szCs w:val="20"/>
              </w:rPr>
              <w:t>with</w:t>
            </w:r>
            <w:r w:rsidRPr="00F33674">
              <w:rPr>
                <w:rFonts w:ascii="Arial Narrow" w:hAnsi="Arial Narrow" w:cs="Arial"/>
                <w:sz w:val="20"/>
                <w:szCs w:val="20"/>
              </w:rPr>
              <w:t xml:space="preserve"> maximum tolerated doses of non-opioid analgesics</w:t>
            </w:r>
          </w:p>
          <w:p w14:paraId="5072BFEA" w14:textId="1C2C4944" w:rsidR="00F33674" w:rsidRPr="00F33674" w:rsidRDefault="00F33674">
            <w:pPr>
              <w:jc w:val="left"/>
              <w:rPr>
                <w:rFonts w:ascii="Arial Narrow" w:hAnsi="Arial Narrow" w:cs="Arial"/>
                <w:sz w:val="20"/>
                <w:szCs w:val="20"/>
              </w:rPr>
            </w:pPr>
            <w:r w:rsidRPr="00F33674">
              <w:rPr>
                <w:rFonts w:ascii="Arial Narrow" w:hAnsi="Arial Narrow" w:cs="Arial"/>
                <w:sz w:val="20"/>
                <w:szCs w:val="20"/>
              </w:rPr>
              <w:t>OR</w:t>
            </w:r>
          </w:p>
          <w:p w14:paraId="5D39562A" w14:textId="6FCD82F1" w:rsidR="00F33674" w:rsidRPr="00F33674" w:rsidRDefault="00F33674">
            <w:pPr>
              <w:jc w:val="left"/>
              <w:rPr>
                <w:rFonts w:ascii="Arial Narrow" w:hAnsi="Arial Narrow" w:cs="Arial"/>
                <w:sz w:val="20"/>
                <w:szCs w:val="20"/>
              </w:rPr>
            </w:pPr>
            <w:r w:rsidRPr="00F33674">
              <w:rPr>
                <w:rFonts w:ascii="Arial Narrow" w:hAnsi="Arial Narrow" w:cs="Arial"/>
                <w:sz w:val="20"/>
                <w:szCs w:val="20"/>
              </w:rPr>
              <w:t>[new] Patient must be unable to use non-opioid analgesics due to contraindications or intolerance.</w:t>
            </w:r>
          </w:p>
        </w:tc>
      </w:tr>
      <w:tr w:rsidR="00F33674" w:rsidRPr="00F33674" w14:paraId="276C4563" w14:textId="77777777" w:rsidTr="00F33674">
        <w:trPr>
          <w:cantSplit/>
          <w:trHeight w:val="360"/>
        </w:trPr>
        <w:tc>
          <w:tcPr>
            <w:tcW w:w="2835" w:type="dxa"/>
            <w:tcBorders>
              <w:top w:val="single" w:sz="4" w:space="0" w:color="auto"/>
              <w:left w:val="single" w:sz="4" w:space="0" w:color="auto"/>
              <w:bottom w:val="single" w:sz="4" w:space="0" w:color="auto"/>
              <w:right w:val="single" w:sz="4" w:space="0" w:color="auto"/>
            </w:tcBorders>
          </w:tcPr>
          <w:p w14:paraId="78BACB1D" w14:textId="77777777" w:rsidR="00F33674" w:rsidRPr="00F33674" w:rsidRDefault="00F33674" w:rsidP="00F33674">
            <w:pPr>
              <w:rPr>
                <w:rFonts w:ascii="Arial Narrow" w:hAnsi="Arial Narrow" w:cs="Arial"/>
                <w:b/>
                <w:sz w:val="20"/>
                <w:szCs w:val="20"/>
              </w:rPr>
            </w:pPr>
            <w:r w:rsidRPr="00F33674">
              <w:rPr>
                <w:rFonts w:ascii="Arial Narrow" w:hAnsi="Arial Narrow" w:cs="Arial"/>
                <w:b/>
                <w:sz w:val="20"/>
                <w:szCs w:val="20"/>
              </w:rPr>
              <w:t>Administrative advice:</w:t>
            </w:r>
          </w:p>
        </w:tc>
        <w:tc>
          <w:tcPr>
            <w:tcW w:w="6379" w:type="dxa"/>
            <w:tcBorders>
              <w:top w:val="single" w:sz="4" w:space="0" w:color="auto"/>
              <w:left w:val="single" w:sz="4" w:space="0" w:color="auto"/>
              <w:bottom w:val="single" w:sz="4" w:space="0" w:color="auto"/>
              <w:right w:val="single" w:sz="4" w:space="0" w:color="auto"/>
            </w:tcBorders>
          </w:tcPr>
          <w:p w14:paraId="310F0F59" w14:textId="77777777" w:rsidR="00F33674" w:rsidRPr="00F33674" w:rsidRDefault="00F33674" w:rsidP="00F33674">
            <w:pPr>
              <w:jc w:val="left"/>
              <w:rPr>
                <w:rFonts w:ascii="Arial Narrow" w:hAnsi="Arial Narrow" w:cs="Arial"/>
                <w:sz w:val="20"/>
                <w:szCs w:val="20"/>
              </w:rPr>
            </w:pPr>
            <w:r w:rsidRPr="00F33674">
              <w:rPr>
                <w:rFonts w:ascii="Arial Narrow" w:hAnsi="Arial Narrow" w:cs="Arial"/>
                <w:sz w:val="20"/>
                <w:szCs w:val="20"/>
              </w:rPr>
              <w:t>[7606] No increase in the maximum quantity or number of units may be authorised.</w:t>
            </w:r>
          </w:p>
          <w:p w14:paraId="29CC8DE5" w14:textId="77777777" w:rsidR="00F33674" w:rsidRPr="00F33674" w:rsidRDefault="00F33674" w:rsidP="00F33674">
            <w:pPr>
              <w:jc w:val="left"/>
              <w:rPr>
                <w:rFonts w:ascii="Arial Narrow" w:hAnsi="Arial Narrow" w:cs="Arial"/>
                <w:sz w:val="20"/>
                <w:szCs w:val="20"/>
              </w:rPr>
            </w:pPr>
            <w:r w:rsidRPr="00F33674">
              <w:rPr>
                <w:rFonts w:ascii="Arial Narrow" w:hAnsi="Arial Narrow" w:cs="Arial"/>
                <w:sz w:val="20"/>
                <w:szCs w:val="20"/>
              </w:rPr>
              <w:t>[7607] No increase in the maximum number of repeats may be authorised.</w:t>
            </w:r>
          </w:p>
        </w:tc>
      </w:tr>
      <w:tr w:rsidR="00F33674" w:rsidRPr="00F33674" w14:paraId="571D4CD3" w14:textId="77777777" w:rsidTr="00F33674">
        <w:trPr>
          <w:cantSplit/>
          <w:trHeight w:val="360"/>
        </w:trPr>
        <w:tc>
          <w:tcPr>
            <w:tcW w:w="2835" w:type="dxa"/>
            <w:tcBorders>
              <w:top w:val="single" w:sz="4" w:space="0" w:color="auto"/>
              <w:left w:val="single" w:sz="4" w:space="0" w:color="auto"/>
              <w:bottom w:val="single" w:sz="4" w:space="0" w:color="auto"/>
              <w:right w:val="single" w:sz="4" w:space="0" w:color="auto"/>
            </w:tcBorders>
          </w:tcPr>
          <w:p w14:paraId="7FAEAD78" w14:textId="77777777" w:rsidR="00F33674" w:rsidRPr="00F33674" w:rsidRDefault="00F33674" w:rsidP="00F33674">
            <w:pPr>
              <w:rPr>
                <w:rFonts w:ascii="Arial Narrow" w:hAnsi="Arial Narrow" w:cs="Arial"/>
                <w:b/>
                <w:sz w:val="20"/>
                <w:szCs w:val="20"/>
              </w:rPr>
            </w:pPr>
            <w:r w:rsidRPr="00F33674">
              <w:rPr>
                <w:rFonts w:ascii="Arial Narrow" w:hAnsi="Arial Narrow" w:cs="Arial"/>
                <w:b/>
                <w:sz w:val="20"/>
                <w:szCs w:val="20"/>
              </w:rPr>
              <w:t>Cautions:</w:t>
            </w:r>
          </w:p>
        </w:tc>
        <w:tc>
          <w:tcPr>
            <w:tcW w:w="6379" w:type="dxa"/>
            <w:tcBorders>
              <w:top w:val="single" w:sz="4" w:space="0" w:color="auto"/>
              <w:left w:val="single" w:sz="4" w:space="0" w:color="auto"/>
              <w:bottom w:val="single" w:sz="4" w:space="0" w:color="auto"/>
              <w:right w:val="single" w:sz="4" w:space="0" w:color="auto"/>
            </w:tcBorders>
          </w:tcPr>
          <w:p w14:paraId="6B41D1DF" w14:textId="77777777" w:rsidR="00F33674" w:rsidRPr="00F33674" w:rsidRDefault="00F33674" w:rsidP="00F33674">
            <w:pPr>
              <w:jc w:val="left"/>
              <w:rPr>
                <w:rFonts w:ascii="Arial Narrow" w:hAnsi="Arial Narrow" w:cs="Arial"/>
                <w:sz w:val="20"/>
                <w:szCs w:val="20"/>
              </w:rPr>
            </w:pPr>
            <w:r w:rsidRPr="00F33674">
              <w:rPr>
                <w:rFonts w:ascii="Arial Narrow" w:hAnsi="Arial Narrow" w:cs="Arial"/>
                <w:sz w:val="20"/>
                <w:szCs w:val="20"/>
              </w:rPr>
              <w:t>[6986] The risk of drug dependence is high.</w:t>
            </w:r>
          </w:p>
        </w:tc>
      </w:tr>
    </w:tbl>
    <w:p w14:paraId="021CD8D9" w14:textId="77777777" w:rsidR="00CB71CC" w:rsidRDefault="00CB71CC" w:rsidP="00CB71CC">
      <w:pPr>
        <w:pStyle w:val="3-BodyText"/>
        <w:numPr>
          <w:ilvl w:val="0"/>
          <w:numId w:val="0"/>
        </w:numPr>
        <w:ind w:left="720"/>
      </w:pPr>
    </w:p>
    <w:p w14:paraId="4ECDE309" w14:textId="77777777" w:rsidR="00CB71CC" w:rsidRDefault="00CB71CC">
      <w:pPr>
        <w:jc w:val="left"/>
        <w:rPr>
          <w:rFonts w:asciiTheme="minorHAnsi" w:eastAsiaTheme="minorHAnsi" w:hAnsiTheme="minorHAnsi" w:cstheme="minorBidi"/>
          <w:szCs w:val="22"/>
        </w:rPr>
      </w:pPr>
      <w:r>
        <w:br w:type="page"/>
      </w:r>
    </w:p>
    <w:p w14:paraId="503C6B8C" w14:textId="27B7BCAC" w:rsidR="00F33674" w:rsidRPr="00F33674" w:rsidRDefault="00F33674" w:rsidP="00F33674">
      <w:pPr>
        <w:pStyle w:val="3-BodyText"/>
      </w:pPr>
      <w:r w:rsidRPr="00F33674">
        <w:lastRenderedPageBreak/>
        <w:t>Add new items:</w:t>
      </w:r>
    </w:p>
    <w:p w14:paraId="38F6B7BF" w14:textId="77777777" w:rsidR="00F33674" w:rsidRPr="00F33674" w:rsidRDefault="00F33674" w:rsidP="00F33674">
      <w:pPr>
        <w:keepNext/>
        <w:keepLines/>
        <w:spacing w:before="40"/>
        <w:jc w:val="left"/>
        <w:outlineLvl w:val="2"/>
        <w:rPr>
          <w:rFonts w:asciiTheme="minorHAnsi" w:eastAsiaTheme="majorEastAsia" w:hAnsiTheme="minorHAnsi" w:cstheme="majorBidi"/>
          <w:b/>
          <w:color w:val="000000" w:themeColor="text1"/>
        </w:rPr>
      </w:pPr>
      <w:bookmarkStart w:id="27" w:name="_Toc32300593"/>
      <w:r w:rsidRPr="00F33674">
        <w:rPr>
          <w:rFonts w:asciiTheme="minorHAnsi" w:eastAsiaTheme="majorEastAsia" w:hAnsiTheme="minorHAnsi" w:cstheme="majorBidi"/>
          <w:b/>
          <w:color w:val="000000" w:themeColor="text1"/>
        </w:rPr>
        <w:t xml:space="preserve">Listing 13: Dentists’ restriction for short-term pain TGA indication in </w:t>
      </w:r>
      <w:proofErr w:type="gramStart"/>
      <w:r w:rsidRPr="00F33674">
        <w:rPr>
          <w:rFonts w:asciiTheme="minorHAnsi" w:eastAsiaTheme="majorEastAsia" w:hAnsiTheme="minorHAnsi" w:cstheme="majorBidi"/>
          <w:b/>
          <w:color w:val="000000" w:themeColor="text1"/>
        </w:rPr>
        <w:t>1</w:t>
      </w:r>
      <w:r w:rsidRPr="00F33674">
        <w:rPr>
          <w:rFonts w:asciiTheme="minorHAnsi" w:eastAsiaTheme="majorEastAsia" w:hAnsiTheme="minorHAnsi" w:cstheme="majorBidi"/>
          <w:b/>
          <w:color w:val="000000" w:themeColor="text1"/>
          <w:vertAlign w:val="superscript"/>
        </w:rPr>
        <w:t>st</w:t>
      </w:r>
      <w:proofErr w:type="gramEnd"/>
      <w:r w:rsidRPr="00F33674">
        <w:rPr>
          <w:rFonts w:asciiTheme="minorHAnsi" w:eastAsiaTheme="majorEastAsia" w:hAnsiTheme="minorHAnsi" w:cstheme="majorBidi"/>
          <w:b/>
          <w:color w:val="000000" w:themeColor="text1"/>
        </w:rPr>
        <w:t xml:space="preserve"> line opioid setting:</w:t>
      </w:r>
      <w:bookmarkEnd w:id="27"/>
    </w:p>
    <w:p w14:paraId="6BF3E4B7" w14:textId="77777777" w:rsidR="00F33674" w:rsidRPr="00F33674" w:rsidRDefault="00F33674" w:rsidP="00F33674">
      <w:pPr>
        <w:jc w:val="left"/>
      </w:pPr>
    </w:p>
    <w:tbl>
      <w:tblPr>
        <w:tblW w:w="9026" w:type="dxa"/>
        <w:tblLook w:val="04A0" w:firstRow="1" w:lastRow="0" w:firstColumn="1" w:lastColumn="0" w:noHBand="0" w:noVBand="1"/>
      </w:tblPr>
      <w:tblGrid>
        <w:gridCol w:w="1329"/>
        <w:gridCol w:w="791"/>
        <w:gridCol w:w="2119"/>
        <w:gridCol w:w="790"/>
        <w:gridCol w:w="623"/>
        <w:gridCol w:w="1794"/>
        <w:gridCol w:w="1580"/>
      </w:tblGrid>
      <w:tr w:rsidR="00F33674" w:rsidRPr="00F33674" w14:paraId="5EA93CE7" w14:textId="77777777" w:rsidTr="00F33674">
        <w:trPr>
          <w:trHeight w:val="300"/>
        </w:trPr>
        <w:tc>
          <w:tcPr>
            <w:tcW w:w="1329" w:type="dxa"/>
            <w:tcBorders>
              <w:bottom w:val="single" w:sz="4" w:space="0" w:color="auto"/>
            </w:tcBorders>
            <w:shd w:val="clear" w:color="auto" w:fill="auto"/>
            <w:noWrap/>
            <w:hideMark/>
          </w:tcPr>
          <w:p w14:paraId="069A2184"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LI Drug</w:t>
            </w:r>
          </w:p>
        </w:tc>
        <w:tc>
          <w:tcPr>
            <w:tcW w:w="791" w:type="dxa"/>
            <w:tcBorders>
              <w:bottom w:val="single" w:sz="4" w:space="0" w:color="auto"/>
            </w:tcBorders>
            <w:shd w:val="clear" w:color="auto" w:fill="auto"/>
          </w:tcPr>
          <w:p w14:paraId="6204811E"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Existing Item Code</w:t>
            </w:r>
          </w:p>
        </w:tc>
        <w:tc>
          <w:tcPr>
            <w:tcW w:w="2119" w:type="dxa"/>
            <w:tcBorders>
              <w:bottom w:val="single" w:sz="4" w:space="0" w:color="auto"/>
            </w:tcBorders>
            <w:shd w:val="clear" w:color="auto" w:fill="auto"/>
            <w:noWrap/>
            <w:hideMark/>
          </w:tcPr>
          <w:p w14:paraId="61DA56A1"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Legal Instrument Form</w:t>
            </w:r>
          </w:p>
        </w:tc>
        <w:tc>
          <w:tcPr>
            <w:tcW w:w="790" w:type="dxa"/>
            <w:tcBorders>
              <w:bottom w:val="single" w:sz="4" w:space="0" w:color="auto"/>
            </w:tcBorders>
            <w:shd w:val="clear" w:color="auto" w:fill="auto"/>
            <w:noWrap/>
            <w:hideMark/>
          </w:tcPr>
          <w:p w14:paraId="103A4C90" w14:textId="77777777" w:rsidR="00F33674" w:rsidRPr="00F33674" w:rsidRDefault="00F33674" w:rsidP="00F33674">
            <w:pPr>
              <w:ind w:right="21"/>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Max. Qty</w:t>
            </w:r>
          </w:p>
        </w:tc>
        <w:tc>
          <w:tcPr>
            <w:tcW w:w="623" w:type="dxa"/>
            <w:tcBorders>
              <w:bottom w:val="single" w:sz="4" w:space="0" w:color="auto"/>
            </w:tcBorders>
            <w:shd w:val="clear" w:color="auto" w:fill="auto"/>
            <w:noWrap/>
            <w:hideMark/>
          </w:tcPr>
          <w:p w14:paraId="2797DD45"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No. Rpt</w:t>
            </w:r>
          </w:p>
        </w:tc>
        <w:tc>
          <w:tcPr>
            <w:tcW w:w="1794" w:type="dxa"/>
            <w:tcBorders>
              <w:bottom w:val="single" w:sz="4" w:space="0" w:color="auto"/>
            </w:tcBorders>
            <w:shd w:val="clear" w:color="auto" w:fill="auto"/>
            <w:noWrap/>
            <w:hideMark/>
          </w:tcPr>
          <w:p w14:paraId="0810794F"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Brand Name</w:t>
            </w:r>
          </w:p>
        </w:tc>
        <w:tc>
          <w:tcPr>
            <w:tcW w:w="1580" w:type="dxa"/>
            <w:tcBorders>
              <w:bottom w:val="single" w:sz="4" w:space="0" w:color="auto"/>
            </w:tcBorders>
            <w:shd w:val="clear" w:color="auto" w:fill="auto"/>
            <w:noWrap/>
            <w:hideMark/>
          </w:tcPr>
          <w:p w14:paraId="7B0A8BFC"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Responsible Person</w:t>
            </w:r>
          </w:p>
        </w:tc>
      </w:tr>
      <w:tr w:rsidR="00F33674" w:rsidRPr="00F33674" w14:paraId="1A5167DF" w14:textId="77777777" w:rsidTr="00F33674">
        <w:trPr>
          <w:trHeight w:val="300"/>
        </w:trPr>
        <w:tc>
          <w:tcPr>
            <w:tcW w:w="1329" w:type="dxa"/>
            <w:tcBorders>
              <w:top w:val="single" w:sz="4" w:space="0" w:color="auto"/>
            </w:tcBorders>
            <w:shd w:val="clear" w:color="auto" w:fill="auto"/>
            <w:noWrap/>
            <w:hideMark/>
          </w:tcPr>
          <w:p w14:paraId="1D925B96"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CODEINE</w:t>
            </w:r>
          </w:p>
        </w:tc>
        <w:tc>
          <w:tcPr>
            <w:tcW w:w="791" w:type="dxa"/>
            <w:tcBorders>
              <w:top w:val="single" w:sz="4" w:space="0" w:color="auto"/>
            </w:tcBorders>
          </w:tcPr>
          <w:p w14:paraId="12D05207"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5063L</w:t>
            </w:r>
          </w:p>
        </w:tc>
        <w:tc>
          <w:tcPr>
            <w:tcW w:w="2119" w:type="dxa"/>
            <w:tcBorders>
              <w:top w:val="single" w:sz="4" w:space="0" w:color="auto"/>
            </w:tcBorders>
            <w:shd w:val="clear" w:color="auto" w:fill="auto"/>
            <w:noWrap/>
            <w:hideMark/>
          </w:tcPr>
          <w:p w14:paraId="5CE7836C"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Tablet containing codeine phosphate hemihydrate 30 mg</w:t>
            </w:r>
          </w:p>
        </w:tc>
        <w:tc>
          <w:tcPr>
            <w:tcW w:w="790" w:type="dxa"/>
            <w:tcBorders>
              <w:top w:val="single" w:sz="4" w:space="0" w:color="auto"/>
            </w:tcBorders>
            <w:shd w:val="clear" w:color="auto" w:fill="auto"/>
            <w:noWrap/>
            <w:hideMark/>
          </w:tcPr>
          <w:p w14:paraId="38A9BEDF" w14:textId="77777777" w:rsidR="00F33674" w:rsidRPr="00F33674" w:rsidRDefault="00F33674" w:rsidP="00F33674">
            <w:pPr>
              <w:ind w:right="21"/>
              <w:jc w:val="righ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10</w:t>
            </w:r>
          </w:p>
        </w:tc>
        <w:tc>
          <w:tcPr>
            <w:tcW w:w="623" w:type="dxa"/>
            <w:tcBorders>
              <w:top w:val="single" w:sz="4" w:space="0" w:color="auto"/>
            </w:tcBorders>
            <w:shd w:val="clear" w:color="auto" w:fill="auto"/>
            <w:noWrap/>
            <w:hideMark/>
          </w:tcPr>
          <w:p w14:paraId="630C356B" w14:textId="77777777" w:rsidR="00F33674" w:rsidRPr="00F33674" w:rsidRDefault="00F33674" w:rsidP="00F33674">
            <w:pPr>
              <w:jc w:val="righ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0</w:t>
            </w:r>
          </w:p>
        </w:tc>
        <w:tc>
          <w:tcPr>
            <w:tcW w:w="1794" w:type="dxa"/>
            <w:tcBorders>
              <w:top w:val="single" w:sz="4" w:space="0" w:color="auto"/>
            </w:tcBorders>
            <w:shd w:val="clear" w:color="auto" w:fill="auto"/>
            <w:noWrap/>
            <w:hideMark/>
          </w:tcPr>
          <w:p w14:paraId="666A43DA"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Aspen Pharma Pty Ltd</w:t>
            </w:r>
          </w:p>
        </w:tc>
        <w:tc>
          <w:tcPr>
            <w:tcW w:w="1580" w:type="dxa"/>
            <w:tcBorders>
              <w:top w:val="single" w:sz="4" w:space="0" w:color="auto"/>
            </w:tcBorders>
            <w:shd w:val="clear" w:color="auto" w:fill="auto"/>
            <w:noWrap/>
            <w:hideMark/>
          </w:tcPr>
          <w:p w14:paraId="15B9F750"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Aspen Pharma Pty Ltd</w:t>
            </w:r>
          </w:p>
        </w:tc>
      </w:tr>
      <w:tr w:rsidR="00F33674" w:rsidRPr="00F33674" w14:paraId="271B01B1" w14:textId="77777777" w:rsidTr="00F33674">
        <w:trPr>
          <w:trHeight w:val="300"/>
        </w:trPr>
        <w:tc>
          <w:tcPr>
            <w:tcW w:w="1329" w:type="dxa"/>
            <w:shd w:val="clear" w:color="auto" w:fill="auto"/>
            <w:noWrap/>
          </w:tcPr>
          <w:p w14:paraId="400A8524" w14:textId="77777777" w:rsidR="00F33674" w:rsidRPr="00F33674" w:rsidRDefault="00F33674" w:rsidP="00F33674">
            <w:pPr>
              <w:jc w:val="left"/>
              <w:rPr>
                <w:rFonts w:ascii="Arial Narrow" w:hAnsi="Arial Narrow" w:cs="Calibri"/>
                <w:color w:val="000000"/>
                <w:sz w:val="20"/>
                <w:szCs w:val="20"/>
                <w:lang w:eastAsia="en-AU"/>
              </w:rPr>
            </w:pPr>
          </w:p>
        </w:tc>
        <w:tc>
          <w:tcPr>
            <w:tcW w:w="791" w:type="dxa"/>
          </w:tcPr>
          <w:p w14:paraId="6EA29995"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3316M</w:t>
            </w:r>
          </w:p>
        </w:tc>
        <w:tc>
          <w:tcPr>
            <w:tcW w:w="2119" w:type="dxa"/>
            <w:vMerge w:val="restart"/>
            <w:shd w:val="clear" w:color="auto" w:fill="auto"/>
            <w:noWrap/>
          </w:tcPr>
          <w:p w14:paraId="6EEACB5B"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Tablet containing codeine phosphate hemihydrate 30 mg with paracetamol 500 mg</w:t>
            </w:r>
          </w:p>
        </w:tc>
        <w:tc>
          <w:tcPr>
            <w:tcW w:w="790" w:type="dxa"/>
            <w:shd w:val="clear" w:color="auto" w:fill="auto"/>
            <w:noWrap/>
          </w:tcPr>
          <w:p w14:paraId="4088675B" w14:textId="77777777" w:rsidR="00F33674" w:rsidRPr="00F33674" w:rsidRDefault="00F33674" w:rsidP="00F33674">
            <w:pPr>
              <w:ind w:right="21"/>
              <w:jc w:val="righ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10</w:t>
            </w:r>
          </w:p>
        </w:tc>
        <w:tc>
          <w:tcPr>
            <w:tcW w:w="623" w:type="dxa"/>
            <w:shd w:val="clear" w:color="auto" w:fill="auto"/>
            <w:noWrap/>
          </w:tcPr>
          <w:p w14:paraId="4BF1ED4B" w14:textId="77777777" w:rsidR="00F33674" w:rsidRPr="00F33674" w:rsidRDefault="00F33674" w:rsidP="00F33674">
            <w:pPr>
              <w:jc w:val="righ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0</w:t>
            </w:r>
          </w:p>
        </w:tc>
        <w:tc>
          <w:tcPr>
            <w:tcW w:w="1794" w:type="dxa"/>
            <w:shd w:val="clear" w:color="auto" w:fill="auto"/>
            <w:noWrap/>
          </w:tcPr>
          <w:p w14:paraId="1B292AEB"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APO- Paracetamol/Codeine 500/30</w:t>
            </w:r>
          </w:p>
        </w:tc>
        <w:tc>
          <w:tcPr>
            <w:tcW w:w="1580" w:type="dxa"/>
            <w:shd w:val="clear" w:color="auto" w:fill="auto"/>
            <w:noWrap/>
          </w:tcPr>
          <w:p w14:paraId="15603697"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Apotex Pty Ltd</w:t>
            </w:r>
          </w:p>
        </w:tc>
      </w:tr>
      <w:tr w:rsidR="00F33674" w:rsidRPr="00F33674" w14:paraId="0DD6E4E0" w14:textId="77777777" w:rsidTr="00F33674">
        <w:trPr>
          <w:trHeight w:val="300"/>
        </w:trPr>
        <w:tc>
          <w:tcPr>
            <w:tcW w:w="1329" w:type="dxa"/>
            <w:shd w:val="clear" w:color="auto" w:fill="auto"/>
            <w:noWrap/>
          </w:tcPr>
          <w:p w14:paraId="521CBE0A" w14:textId="77777777" w:rsidR="00F33674" w:rsidRPr="00F33674" w:rsidRDefault="00F33674" w:rsidP="00F33674">
            <w:pPr>
              <w:jc w:val="left"/>
              <w:rPr>
                <w:rFonts w:ascii="Arial Narrow" w:hAnsi="Arial Narrow" w:cs="Calibri"/>
                <w:color w:val="000000"/>
                <w:sz w:val="20"/>
                <w:szCs w:val="20"/>
                <w:lang w:eastAsia="en-AU"/>
              </w:rPr>
            </w:pPr>
          </w:p>
        </w:tc>
        <w:tc>
          <w:tcPr>
            <w:tcW w:w="791" w:type="dxa"/>
          </w:tcPr>
          <w:p w14:paraId="33B35E33" w14:textId="77777777" w:rsidR="00F33674" w:rsidRPr="00F33674" w:rsidRDefault="00F33674" w:rsidP="00F33674">
            <w:pPr>
              <w:jc w:val="left"/>
              <w:rPr>
                <w:rFonts w:ascii="Arial Narrow" w:hAnsi="Arial Narrow" w:cs="Calibri"/>
                <w:color w:val="000000"/>
                <w:sz w:val="20"/>
                <w:szCs w:val="20"/>
                <w:lang w:eastAsia="en-AU"/>
              </w:rPr>
            </w:pPr>
          </w:p>
        </w:tc>
        <w:tc>
          <w:tcPr>
            <w:tcW w:w="2119" w:type="dxa"/>
            <w:vMerge/>
            <w:shd w:val="clear" w:color="auto" w:fill="auto"/>
            <w:noWrap/>
          </w:tcPr>
          <w:p w14:paraId="033198D5" w14:textId="77777777" w:rsidR="00F33674" w:rsidRPr="00F33674" w:rsidRDefault="00F33674" w:rsidP="00F33674">
            <w:pPr>
              <w:jc w:val="left"/>
              <w:rPr>
                <w:rFonts w:ascii="Arial Narrow" w:hAnsi="Arial Narrow" w:cs="Calibri"/>
                <w:color w:val="000000"/>
                <w:sz w:val="20"/>
                <w:szCs w:val="20"/>
                <w:lang w:eastAsia="en-AU"/>
              </w:rPr>
            </w:pPr>
          </w:p>
        </w:tc>
        <w:tc>
          <w:tcPr>
            <w:tcW w:w="790" w:type="dxa"/>
            <w:shd w:val="clear" w:color="auto" w:fill="auto"/>
            <w:noWrap/>
          </w:tcPr>
          <w:p w14:paraId="20C0CFBD" w14:textId="77777777" w:rsidR="00F33674" w:rsidRPr="00F33674" w:rsidRDefault="00F33674" w:rsidP="00F33674">
            <w:pPr>
              <w:ind w:right="21"/>
              <w:jc w:val="right"/>
              <w:rPr>
                <w:rFonts w:ascii="Arial Narrow" w:hAnsi="Arial Narrow" w:cs="Calibri"/>
                <w:color w:val="000000"/>
                <w:sz w:val="20"/>
                <w:szCs w:val="20"/>
                <w:lang w:eastAsia="en-AU"/>
              </w:rPr>
            </w:pPr>
          </w:p>
        </w:tc>
        <w:tc>
          <w:tcPr>
            <w:tcW w:w="623" w:type="dxa"/>
            <w:shd w:val="clear" w:color="auto" w:fill="auto"/>
            <w:noWrap/>
          </w:tcPr>
          <w:p w14:paraId="1FEE4D85" w14:textId="77777777" w:rsidR="00F33674" w:rsidRPr="00F33674" w:rsidRDefault="00F33674" w:rsidP="00F33674">
            <w:pPr>
              <w:jc w:val="right"/>
              <w:rPr>
                <w:rFonts w:ascii="Arial Narrow" w:hAnsi="Arial Narrow" w:cs="Calibri"/>
                <w:color w:val="000000"/>
                <w:sz w:val="20"/>
                <w:szCs w:val="20"/>
                <w:lang w:eastAsia="en-AU"/>
              </w:rPr>
            </w:pPr>
          </w:p>
        </w:tc>
        <w:tc>
          <w:tcPr>
            <w:tcW w:w="1794" w:type="dxa"/>
            <w:shd w:val="clear" w:color="auto" w:fill="auto"/>
            <w:noWrap/>
          </w:tcPr>
          <w:p w14:paraId="1420B937"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Codalgin Forte</w:t>
            </w:r>
          </w:p>
        </w:tc>
        <w:tc>
          <w:tcPr>
            <w:tcW w:w="1580" w:type="dxa"/>
            <w:shd w:val="clear" w:color="auto" w:fill="auto"/>
            <w:noWrap/>
          </w:tcPr>
          <w:p w14:paraId="466E3AE9"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Alphapharm Pty Ltd</w:t>
            </w:r>
          </w:p>
        </w:tc>
      </w:tr>
      <w:tr w:rsidR="00F33674" w:rsidRPr="00F33674" w14:paraId="455ABDEA" w14:textId="77777777" w:rsidTr="00F33674">
        <w:trPr>
          <w:trHeight w:val="300"/>
        </w:trPr>
        <w:tc>
          <w:tcPr>
            <w:tcW w:w="1329" w:type="dxa"/>
            <w:shd w:val="clear" w:color="auto" w:fill="auto"/>
            <w:noWrap/>
          </w:tcPr>
          <w:p w14:paraId="08170BE4" w14:textId="77777777" w:rsidR="00F33674" w:rsidRPr="00F33674" w:rsidRDefault="00F33674" w:rsidP="00F33674">
            <w:pPr>
              <w:jc w:val="left"/>
              <w:rPr>
                <w:rFonts w:ascii="Arial Narrow" w:hAnsi="Arial Narrow" w:cs="Calibri"/>
                <w:color w:val="000000"/>
                <w:sz w:val="20"/>
                <w:szCs w:val="20"/>
                <w:lang w:eastAsia="en-AU"/>
              </w:rPr>
            </w:pPr>
          </w:p>
        </w:tc>
        <w:tc>
          <w:tcPr>
            <w:tcW w:w="791" w:type="dxa"/>
          </w:tcPr>
          <w:p w14:paraId="772FEB3D" w14:textId="77777777" w:rsidR="00F33674" w:rsidRPr="00F33674" w:rsidRDefault="00F33674" w:rsidP="00F33674">
            <w:pPr>
              <w:jc w:val="left"/>
              <w:rPr>
                <w:rFonts w:ascii="Arial Narrow" w:hAnsi="Arial Narrow" w:cs="Calibri"/>
                <w:color w:val="000000"/>
                <w:sz w:val="20"/>
                <w:szCs w:val="20"/>
                <w:lang w:eastAsia="en-AU"/>
              </w:rPr>
            </w:pPr>
          </w:p>
        </w:tc>
        <w:tc>
          <w:tcPr>
            <w:tcW w:w="2119" w:type="dxa"/>
            <w:vMerge/>
            <w:shd w:val="clear" w:color="auto" w:fill="auto"/>
            <w:noWrap/>
          </w:tcPr>
          <w:p w14:paraId="046072F5" w14:textId="77777777" w:rsidR="00F33674" w:rsidRPr="00F33674" w:rsidRDefault="00F33674" w:rsidP="00F33674">
            <w:pPr>
              <w:jc w:val="left"/>
              <w:rPr>
                <w:rFonts w:ascii="Arial Narrow" w:hAnsi="Arial Narrow" w:cs="Calibri"/>
                <w:color w:val="000000"/>
                <w:sz w:val="20"/>
                <w:szCs w:val="20"/>
                <w:lang w:eastAsia="en-AU"/>
              </w:rPr>
            </w:pPr>
          </w:p>
        </w:tc>
        <w:tc>
          <w:tcPr>
            <w:tcW w:w="790" w:type="dxa"/>
            <w:shd w:val="clear" w:color="auto" w:fill="auto"/>
            <w:noWrap/>
          </w:tcPr>
          <w:p w14:paraId="0326D4C9" w14:textId="77777777" w:rsidR="00F33674" w:rsidRPr="00F33674" w:rsidRDefault="00F33674" w:rsidP="00F33674">
            <w:pPr>
              <w:ind w:right="21"/>
              <w:jc w:val="right"/>
              <w:rPr>
                <w:rFonts w:ascii="Arial Narrow" w:hAnsi="Arial Narrow" w:cs="Calibri"/>
                <w:color w:val="000000"/>
                <w:sz w:val="20"/>
                <w:szCs w:val="20"/>
                <w:lang w:eastAsia="en-AU"/>
              </w:rPr>
            </w:pPr>
          </w:p>
        </w:tc>
        <w:tc>
          <w:tcPr>
            <w:tcW w:w="623" w:type="dxa"/>
            <w:shd w:val="clear" w:color="auto" w:fill="auto"/>
            <w:noWrap/>
          </w:tcPr>
          <w:p w14:paraId="03BDC3D8" w14:textId="77777777" w:rsidR="00F33674" w:rsidRPr="00F33674" w:rsidRDefault="00F33674" w:rsidP="00F33674">
            <w:pPr>
              <w:jc w:val="right"/>
              <w:rPr>
                <w:rFonts w:ascii="Arial Narrow" w:hAnsi="Arial Narrow" w:cs="Calibri"/>
                <w:color w:val="000000"/>
                <w:sz w:val="20"/>
                <w:szCs w:val="20"/>
                <w:lang w:eastAsia="en-AU"/>
              </w:rPr>
            </w:pPr>
          </w:p>
        </w:tc>
        <w:tc>
          <w:tcPr>
            <w:tcW w:w="1794" w:type="dxa"/>
            <w:shd w:val="clear" w:color="auto" w:fill="auto"/>
            <w:noWrap/>
          </w:tcPr>
          <w:p w14:paraId="220ED804"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Codapane Forte 500/30</w:t>
            </w:r>
          </w:p>
        </w:tc>
        <w:tc>
          <w:tcPr>
            <w:tcW w:w="1580" w:type="dxa"/>
            <w:shd w:val="clear" w:color="auto" w:fill="auto"/>
            <w:noWrap/>
          </w:tcPr>
          <w:p w14:paraId="2E81D1CF"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Alphapharm Pty Ltd</w:t>
            </w:r>
          </w:p>
        </w:tc>
      </w:tr>
      <w:tr w:rsidR="00F33674" w:rsidRPr="00F33674" w14:paraId="1FD5F1BF" w14:textId="77777777" w:rsidTr="00F33674">
        <w:trPr>
          <w:trHeight w:val="300"/>
        </w:trPr>
        <w:tc>
          <w:tcPr>
            <w:tcW w:w="1329" w:type="dxa"/>
            <w:shd w:val="clear" w:color="auto" w:fill="auto"/>
            <w:noWrap/>
          </w:tcPr>
          <w:p w14:paraId="453495AF" w14:textId="77777777" w:rsidR="00F33674" w:rsidRPr="00F33674" w:rsidRDefault="00F33674" w:rsidP="00F33674">
            <w:pPr>
              <w:jc w:val="left"/>
              <w:rPr>
                <w:rFonts w:ascii="Arial Narrow" w:hAnsi="Arial Narrow" w:cs="Calibri"/>
                <w:color w:val="000000"/>
                <w:sz w:val="20"/>
                <w:szCs w:val="20"/>
                <w:lang w:eastAsia="en-AU"/>
              </w:rPr>
            </w:pPr>
          </w:p>
        </w:tc>
        <w:tc>
          <w:tcPr>
            <w:tcW w:w="791" w:type="dxa"/>
          </w:tcPr>
          <w:p w14:paraId="0D5F2A4D" w14:textId="77777777" w:rsidR="00F33674" w:rsidRPr="00F33674" w:rsidRDefault="00F33674" w:rsidP="00F33674">
            <w:pPr>
              <w:jc w:val="left"/>
              <w:rPr>
                <w:rFonts w:ascii="Arial Narrow" w:hAnsi="Arial Narrow" w:cs="Calibri"/>
                <w:color w:val="000000"/>
                <w:sz w:val="20"/>
                <w:szCs w:val="20"/>
                <w:lang w:eastAsia="en-AU"/>
              </w:rPr>
            </w:pPr>
          </w:p>
        </w:tc>
        <w:tc>
          <w:tcPr>
            <w:tcW w:w="2119" w:type="dxa"/>
            <w:vMerge/>
            <w:shd w:val="clear" w:color="auto" w:fill="auto"/>
            <w:noWrap/>
          </w:tcPr>
          <w:p w14:paraId="16E689A4" w14:textId="77777777" w:rsidR="00F33674" w:rsidRPr="00F33674" w:rsidRDefault="00F33674" w:rsidP="00F33674">
            <w:pPr>
              <w:jc w:val="left"/>
              <w:rPr>
                <w:rFonts w:ascii="Arial Narrow" w:hAnsi="Arial Narrow" w:cs="Calibri"/>
                <w:color w:val="000000"/>
                <w:sz w:val="20"/>
                <w:szCs w:val="20"/>
                <w:lang w:eastAsia="en-AU"/>
              </w:rPr>
            </w:pPr>
          </w:p>
        </w:tc>
        <w:tc>
          <w:tcPr>
            <w:tcW w:w="790" w:type="dxa"/>
            <w:shd w:val="clear" w:color="auto" w:fill="auto"/>
            <w:noWrap/>
          </w:tcPr>
          <w:p w14:paraId="253B1EDD" w14:textId="77777777" w:rsidR="00F33674" w:rsidRPr="00F33674" w:rsidRDefault="00F33674" w:rsidP="00F33674">
            <w:pPr>
              <w:ind w:right="21"/>
              <w:jc w:val="right"/>
              <w:rPr>
                <w:rFonts w:ascii="Arial Narrow" w:hAnsi="Arial Narrow" w:cs="Calibri"/>
                <w:color w:val="000000"/>
                <w:sz w:val="20"/>
                <w:szCs w:val="20"/>
                <w:lang w:eastAsia="en-AU"/>
              </w:rPr>
            </w:pPr>
          </w:p>
        </w:tc>
        <w:tc>
          <w:tcPr>
            <w:tcW w:w="623" w:type="dxa"/>
            <w:shd w:val="clear" w:color="auto" w:fill="auto"/>
            <w:noWrap/>
          </w:tcPr>
          <w:p w14:paraId="681BC64B" w14:textId="77777777" w:rsidR="00F33674" w:rsidRPr="00F33674" w:rsidRDefault="00F33674" w:rsidP="00F33674">
            <w:pPr>
              <w:jc w:val="right"/>
              <w:rPr>
                <w:rFonts w:ascii="Arial Narrow" w:hAnsi="Arial Narrow" w:cs="Calibri"/>
                <w:color w:val="000000"/>
                <w:sz w:val="20"/>
                <w:szCs w:val="20"/>
                <w:lang w:eastAsia="en-AU"/>
              </w:rPr>
            </w:pPr>
          </w:p>
        </w:tc>
        <w:tc>
          <w:tcPr>
            <w:tcW w:w="1794" w:type="dxa"/>
            <w:shd w:val="clear" w:color="auto" w:fill="auto"/>
            <w:noWrap/>
          </w:tcPr>
          <w:p w14:paraId="0C932C6D"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Comfarol Forte</w:t>
            </w:r>
          </w:p>
        </w:tc>
        <w:tc>
          <w:tcPr>
            <w:tcW w:w="1580" w:type="dxa"/>
            <w:shd w:val="clear" w:color="auto" w:fill="auto"/>
            <w:noWrap/>
          </w:tcPr>
          <w:p w14:paraId="051C0AC6"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Sandoz Pty Ltd</w:t>
            </w:r>
          </w:p>
        </w:tc>
      </w:tr>
      <w:tr w:rsidR="00F33674" w:rsidRPr="00F33674" w14:paraId="2B00D562" w14:textId="77777777" w:rsidTr="00F33674">
        <w:trPr>
          <w:trHeight w:val="300"/>
        </w:trPr>
        <w:tc>
          <w:tcPr>
            <w:tcW w:w="1329" w:type="dxa"/>
            <w:shd w:val="clear" w:color="auto" w:fill="auto"/>
            <w:noWrap/>
          </w:tcPr>
          <w:p w14:paraId="6DA7FF7B" w14:textId="77777777" w:rsidR="00F33674" w:rsidRPr="00F33674" w:rsidRDefault="00F33674" w:rsidP="00F33674">
            <w:pPr>
              <w:jc w:val="left"/>
              <w:rPr>
                <w:rFonts w:ascii="Arial Narrow" w:hAnsi="Arial Narrow" w:cs="Calibri"/>
                <w:color w:val="000000"/>
                <w:sz w:val="20"/>
                <w:szCs w:val="20"/>
                <w:lang w:eastAsia="en-AU"/>
              </w:rPr>
            </w:pPr>
          </w:p>
        </w:tc>
        <w:tc>
          <w:tcPr>
            <w:tcW w:w="791" w:type="dxa"/>
          </w:tcPr>
          <w:p w14:paraId="6100FC61" w14:textId="77777777" w:rsidR="00F33674" w:rsidRPr="00F33674" w:rsidRDefault="00F33674" w:rsidP="00F33674">
            <w:pPr>
              <w:jc w:val="left"/>
              <w:rPr>
                <w:rFonts w:ascii="Arial Narrow" w:hAnsi="Arial Narrow" w:cs="Calibri"/>
                <w:color w:val="000000"/>
                <w:sz w:val="20"/>
                <w:szCs w:val="20"/>
                <w:lang w:eastAsia="en-AU"/>
              </w:rPr>
            </w:pPr>
          </w:p>
        </w:tc>
        <w:tc>
          <w:tcPr>
            <w:tcW w:w="2119" w:type="dxa"/>
            <w:vMerge/>
            <w:shd w:val="clear" w:color="auto" w:fill="auto"/>
            <w:noWrap/>
          </w:tcPr>
          <w:p w14:paraId="7DDF0840" w14:textId="77777777" w:rsidR="00F33674" w:rsidRPr="00F33674" w:rsidRDefault="00F33674" w:rsidP="00F33674">
            <w:pPr>
              <w:jc w:val="left"/>
              <w:rPr>
                <w:rFonts w:ascii="Arial Narrow" w:hAnsi="Arial Narrow" w:cs="Calibri"/>
                <w:color w:val="000000"/>
                <w:sz w:val="20"/>
                <w:szCs w:val="20"/>
                <w:lang w:eastAsia="en-AU"/>
              </w:rPr>
            </w:pPr>
          </w:p>
        </w:tc>
        <w:tc>
          <w:tcPr>
            <w:tcW w:w="790" w:type="dxa"/>
            <w:shd w:val="clear" w:color="auto" w:fill="auto"/>
            <w:noWrap/>
          </w:tcPr>
          <w:p w14:paraId="704C787B" w14:textId="77777777" w:rsidR="00F33674" w:rsidRPr="00F33674" w:rsidRDefault="00F33674" w:rsidP="00F33674">
            <w:pPr>
              <w:ind w:right="21"/>
              <w:jc w:val="right"/>
              <w:rPr>
                <w:rFonts w:ascii="Arial Narrow" w:hAnsi="Arial Narrow" w:cs="Calibri"/>
                <w:color w:val="000000"/>
                <w:sz w:val="20"/>
                <w:szCs w:val="20"/>
                <w:lang w:eastAsia="en-AU"/>
              </w:rPr>
            </w:pPr>
          </w:p>
        </w:tc>
        <w:tc>
          <w:tcPr>
            <w:tcW w:w="623" w:type="dxa"/>
            <w:shd w:val="clear" w:color="auto" w:fill="auto"/>
            <w:noWrap/>
          </w:tcPr>
          <w:p w14:paraId="40B702FD" w14:textId="77777777" w:rsidR="00F33674" w:rsidRPr="00F33674" w:rsidRDefault="00F33674" w:rsidP="00F33674">
            <w:pPr>
              <w:jc w:val="right"/>
              <w:rPr>
                <w:rFonts w:ascii="Arial Narrow" w:hAnsi="Arial Narrow" w:cs="Calibri"/>
                <w:color w:val="000000"/>
                <w:sz w:val="20"/>
                <w:szCs w:val="20"/>
                <w:lang w:eastAsia="en-AU"/>
              </w:rPr>
            </w:pPr>
          </w:p>
        </w:tc>
        <w:tc>
          <w:tcPr>
            <w:tcW w:w="1794" w:type="dxa"/>
            <w:shd w:val="clear" w:color="auto" w:fill="auto"/>
            <w:noWrap/>
          </w:tcPr>
          <w:p w14:paraId="47FA8AF0"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Panadeine Forte</w:t>
            </w:r>
          </w:p>
        </w:tc>
        <w:tc>
          <w:tcPr>
            <w:tcW w:w="1580" w:type="dxa"/>
            <w:shd w:val="clear" w:color="auto" w:fill="auto"/>
            <w:noWrap/>
          </w:tcPr>
          <w:p w14:paraId="71B0E9A8"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sanofi-aventis Australia Pty Ltd</w:t>
            </w:r>
          </w:p>
        </w:tc>
      </w:tr>
      <w:tr w:rsidR="00F33674" w:rsidRPr="00F33674" w14:paraId="501AFC97" w14:textId="77777777" w:rsidTr="00F33674">
        <w:trPr>
          <w:trHeight w:val="300"/>
        </w:trPr>
        <w:tc>
          <w:tcPr>
            <w:tcW w:w="1329" w:type="dxa"/>
            <w:shd w:val="clear" w:color="auto" w:fill="auto"/>
            <w:noWrap/>
          </w:tcPr>
          <w:p w14:paraId="5A06D41C" w14:textId="77777777" w:rsidR="00F33674" w:rsidRPr="00F33674" w:rsidRDefault="00F33674" w:rsidP="00F33674">
            <w:pPr>
              <w:jc w:val="left"/>
              <w:rPr>
                <w:rFonts w:ascii="Arial Narrow" w:hAnsi="Arial Narrow" w:cs="Calibri"/>
                <w:color w:val="000000"/>
                <w:sz w:val="20"/>
                <w:szCs w:val="20"/>
                <w:lang w:eastAsia="en-AU"/>
              </w:rPr>
            </w:pPr>
          </w:p>
        </w:tc>
        <w:tc>
          <w:tcPr>
            <w:tcW w:w="791" w:type="dxa"/>
          </w:tcPr>
          <w:p w14:paraId="53042943" w14:textId="77777777" w:rsidR="00F33674" w:rsidRPr="00F33674" w:rsidRDefault="00F33674" w:rsidP="00F33674">
            <w:pPr>
              <w:jc w:val="left"/>
              <w:rPr>
                <w:rFonts w:ascii="Arial Narrow" w:hAnsi="Arial Narrow" w:cs="Calibri"/>
                <w:color w:val="000000"/>
                <w:sz w:val="20"/>
                <w:szCs w:val="20"/>
                <w:lang w:eastAsia="en-AU"/>
              </w:rPr>
            </w:pPr>
          </w:p>
        </w:tc>
        <w:tc>
          <w:tcPr>
            <w:tcW w:w="2119" w:type="dxa"/>
            <w:vMerge/>
            <w:shd w:val="clear" w:color="auto" w:fill="auto"/>
            <w:noWrap/>
          </w:tcPr>
          <w:p w14:paraId="61AFC92D" w14:textId="77777777" w:rsidR="00F33674" w:rsidRPr="00F33674" w:rsidRDefault="00F33674" w:rsidP="00F33674">
            <w:pPr>
              <w:jc w:val="left"/>
              <w:rPr>
                <w:rFonts w:ascii="Arial Narrow" w:hAnsi="Arial Narrow" w:cs="Calibri"/>
                <w:color w:val="000000"/>
                <w:sz w:val="20"/>
                <w:szCs w:val="20"/>
                <w:lang w:eastAsia="en-AU"/>
              </w:rPr>
            </w:pPr>
          </w:p>
        </w:tc>
        <w:tc>
          <w:tcPr>
            <w:tcW w:w="790" w:type="dxa"/>
            <w:shd w:val="clear" w:color="auto" w:fill="auto"/>
            <w:noWrap/>
          </w:tcPr>
          <w:p w14:paraId="2FC5BB62" w14:textId="77777777" w:rsidR="00F33674" w:rsidRPr="00F33674" w:rsidRDefault="00F33674" w:rsidP="00F33674">
            <w:pPr>
              <w:ind w:right="21"/>
              <w:jc w:val="right"/>
              <w:rPr>
                <w:rFonts w:ascii="Arial Narrow" w:hAnsi="Arial Narrow" w:cs="Calibri"/>
                <w:color w:val="000000"/>
                <w:sz w:val="20"/>
                <w:szCs w:val="20"/>
                <w:lang w:eastAsia="en-AU"/>
              </w:rPr>
            </w:pPr>
          </w:p>
        </w:tc>
        <w:tc>
          <w:tcPr>
            <w:tcW w:w="623" w:type="dxa"/>
            <w:shd w:val="clear" w:color="auto" w:fill="auto"/>
            <w:noWrap/>
          </w:tcPr>
          <w:p w14:paraId="4FB277FE" w14:textId="77777777" w:rsidR="00F33674" w:rsidRPr="00F33674" w:rsidRDefault="00F33674" w:rsidP="00F33674">
            <w:pPr>
              <w:jc w:val="right"/>
              <w:rPr>
                <w:rFonts w:ascii="Arial Narrow" w:hAnsi="Arial Narrow" w:cs="Calibri"/>
                <w:color w:val="000000"/>
                <w:sz w:val="20"/>
                <w:szCs w:val="20"/>
                <w:lang w:eastAsia="en-AU"/>
              </w:rPr>
            </w:pPr>
          </w:p>
        </w:tc>
        <w:tc>
          <w:tcPr>
            <w:tcW w:w="1794" w:type="dxa"/>
            <w:shd w:val="clear" w:color="auto" w:fill="auto"/>
            <w:noWrap/>
          </w:tcPr>
          <w:p w14:paraId="0CB21981"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Paracetamol/Codeine GH 500/30</w:t>
            </w:r>
          </w:p>
        </w:tc>
        <w:tc>
          <w:tcPr>
            <w:tcW w:w="1580" w:type="dxa"/>
            <w:shd w:val="clear" w:color="auto" w:fill="auto"/>
            <w:noWrap/>
          </w:tcPr>
          <w:p w14:paraId="27890F41"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Generic Health Pty Ltd</w:t>
            </w:r>
          </w:p>
        </w:tc>
      </w:tr>
      <w:tr w:rsidR="00F33674" w:rsidRPr="00F33674" w14:paraId="331026C8" w14:textId="77777777" w:rsidTr="00F33674">
        <w:trPr>
          <w:trHeight w:val="300"/>
        </w:trPr>
        <w:tc>
          <w:tcPr>
            <w:tcW w:w="1329" w:type="dxa"/>
            <w:shd w:val="clear" w:color="auto" w:fill="auto"/>
            <w:noWrap/>
          </w:tcPr>
          <w:p w14:paraId="36590DBD" w14:textId="77777777" w:rsidR="00F33674" w:rsidRPr="00F33674" w:rsidRDefault="00F33674" w:rsidP="00F33674">
            <w:pPr>
              <w:jc w:val="left"/>
              <w:rPr>
                <w:rFonts w:ascii="Arial Narrow" w:hAnsi="Arial Narrow" w:cs="Calibri"/>
                <w:color w:val="000000"/>
                <w:sz w:val="20"/>
                <w:szCs w:val="20"/>
                <w:lang w:eastAsia="en-AU"/>
              </w:rPr>
            </w:pPr>
          </w:p>
        </w:tc>
        <w:tc>
          <w:tcPr>
            <w:tcW w:w="791" w:type="dxa"/>
          </w:tcPr>
          <w:p w14:paraId="1170E02F" w14:textId="77777777" w:rsidR="00F33674" w:rsidRPr="00F33674" w:rsidRDefault="00F33674" w:rsidP="00F33674">
            <w:pPr>
              <w:jc w:val="left"/>
              <w:rPr>
                <w:rFonts w:ascii="Arial Narrow" w:hAnsi="Arial Narrow" w:cs="Calibri"/>
                <w:color w:val="000000"/>
                <w:sz w:val="20"/>
                <w:szCs w:val="20"/>
                <w:lang w:eastAsia="en-AU"/>
              </w:rPr>
            </w:pPr>
          </w:p>
        </w:tc>
        <w:tc>
          <w:tcPr>
            <w:tcW w:w="2119" w:type="dxa"/>
            <w:vMerge/>
            <w:shd w:val="clear" w:color="auto" w:fill="auto"/>
            <w:noWrap/>
          </w:tcPr>
          <w:p w14:paraId="32551A5B" w14:textId="77777777" w:rsidR="00F33674" w:rsidRPr="00F33674" w:rsidRDefault="00F33674" w:rsidP="00F33674">
            <w:pPr>
              <w:jc w:val="left"/>
              <w:rPr>
                <w:rFonts w:ascii="Arial Narrow" w:hAnsi="Arial Narrow" w:cs="Calibri"/>
                <w:color w:val="000000"/>
                <w:sz w:val="20"/>
                <w:szCs w:val="20"/>
                <w:lang w:eastAsia="en-AU"/>
              </w:rPr>
            </w:pPr>
          </w:p>
        </w:tc>
        <w:tc>
          <w:tcPr>
            <w:tcW w:w="790" w:type="dxa"/>
            <w:shd w:val="clear" w:color="auto" w:fill="auto"/>
            <w:noWrap/>
          </w:tcPr>
          <w:p w14:paraId="05E0E024" w14:textId="77777777" w:rsidR="00F33674" w:rsidRPr="00F33674" w:rsidRDefault="00F33674" w:rsidP="00F33674">
            <w:pPr>
              <w:ind w:right="21"/>
              <w:jc w:val="right"/>
              <w:rPr>
                <w:rFonts w:ascii="Arial Narrow" w:hAnsi="Arial Narrow" w:cs="Calibri"/>
                <w:color w:val="000000"/>
                <w:sz w:val="20"/>
                <w:szCs w:val="20"/>
                <w:lang w:eastAsia="en-AU"/>
              </w:rPr>
            </w:pPr>
          </w:p>
        </w:tc>
        <w:tc>
          <w:tcPr>
            <w:tcW w:w="623" w:type="dxa"/>
            <w:shd w:val="clear" w:color="auto" w:fill="auto"/>
            <w:noWrap/>
          </w:tcPr>
          <w:p w14:paraId="1F0378B5" w14:textId="77777777" w:rsidR="00F33674" w:rsidRPr="00F33674" w:rsidRDefault="00F33674" w:rsidP="00F33674">
            <w:pPr>
              <w:jc w:val="right"/>
              <w:rPr>
                <w:rFonts w:ascii="Arial Narrow" w:hAnsi="Arial Narrow" w:cs="Calibri"/>
                <w:color w:val="000000"/>
                <w:sz w:val="20"/>
                <w:szCs w:val="20"/>
                <w:lang w:eastAsia="en-AU"/>
              </w:rPr>
            </w:pPr>
          </w:p>
        </w:tc>
        <w:tc>
          <w:tcPr>
            <w:tcW w:w="1794" w:type="dxa"/>
            <w:shd w:val="clear" w:color="auto" w:fill="auto"/>
            <w:noWrap/>
          </w:tcPr>
          <w:p w14:paraId="633A70FF"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Prodeine Forte</w:t>
            </w:r>
          </w:p>
        </w:tc>
        <w:tc>
          <w:tcPr>
            <w:tcW w:w="1580" w:type="dxa"/>
            <w:shd w:val="clear" w:color="auto" w:fill="auto"/>
            <w:noWrap/>
          </w:tcPr>
          <w:p w14:paraId="540DDE25"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sanofi-aventis Australia Pty Ltd</w:t>
            </w:r>
          </w:p>
        </w:tc>
      </w:tr>
      <w:tr w:rsidR="00F33674" w:rsidRPr="00F33674" w14:paraId="25DC0C83" w14:textId="77777777" w:rsidTr="00F33674">
        <w:trPr>
          <w:trHeight w:val="300"/>
        </w:trPr>
        <w:tc>
          <w:tcPr>
            <w:tcW w:w="1329" w:type="dxa"/>
            <w:shd w:val="clear" w:color="auto" w:fill="auto"/>
            <w:noWrap/>
            <w:hideMark/>
          </w:tcPr>
          <w:p w14:paraId="0DAC8B5E"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OXYCODONE</w:t>
            </w:r>
          </w:p>
        </w:tc>
        <w:tc>
          <w:tcPr>
            <w:tcW w:w="791" w:type="dxa"/>
          </w:tcPr>
          <w:p w14:paraId="2F6B5E48"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5197M</w:t>
            </w:r>
          </w:p>
        </w:tc>
        <w:tc>
          <w:tcPr>
            <w:tcW w:w="2119" w:type="dxa"/>
            <w:vMerge w:val="restart"/>
            <w:shd w:val="clear" w:color="auto" w:fill="auto"/>
            <w:noWrap/>
            <w:hideMark/>
          </w:tcPr>
          <w:p w14:paraId="450CAE6C"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Capsule containing oxycodone hydrochloride 10 mg</w:t>
            </w:r>
          </w:p>
        </w:tc>
        <w:tc>
          <w:tcPr>
            <w:tcW w:w="790" w:type="dxa"/>
            <w:shd w:val="clear" w:color="auto" w:fill="auto"/>
            <w:noWrap/>
            <w:hideMark/>
          </w:tcPr>
          <w:p w14:paraId="128C3CE7" w14:textId="77777777" w:rsidR="00F33674" w:rsidRPr="00F33674" w:rsidRDefault="00F33674" w:rsidP="00F33674">
            <w:pPr>
              <w:ind w:right="21"/>
              <w:jc w:val="righ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10</w:t>
            </w:r>
          </w:p>
        </w:tc>
        <w:tc>
          <w:tcPr>
            <w:tcW w:w="623" w:type="dxa"/>
            <w:shd w:val="clear" w:color="auto" w:fill="auto"/>
            <w:noWrap/>
            <w:hideMark/>
          </w:tcPr>
          <w:p w14:paraId="29093154" w14:textId="77777777" w:rsidR="00F33674" w:rsidRPr="00F33674" w:rsidRDefault="00F33674" w:rsidP="00F33674">
            <w:pPr>
              <w:jc w:val="righ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0</w:t>
            </w:r>
          </w:p>
        </w:tc>
        <w:tc>
          <w:tcPr>
            <w:tcW w:w="1794" w:type="dxa"/>
            <w:shd w:val="clear" w:color="auto" w:fill="auto"/>
            <w:noWrap/>
            <w:hideMark/>
          </w:tcPr>
          <w:p w14:paraId="60B61AF6"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OxyNorm</w:t>
            </w:r>
          </w:p>
        </w:tc>
        <w:tc>
          <w:tcPr>
            <w:tcW w:w="1580" w:type="dxa"/>
            <w:shd w:val="clear" w:color="auto" w:fill="auto"/>
            <w:noWrap/>
            <w:hideMark/>
          </w:tcPr>
          <w:p w14:paraId="45353917"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Mundipharma Pty Limited</w:t>
            </w:r>
          </w:p>
        </w:tc>
      </w:tr>
      <w:tr w:rsidR="00F33674" w:rsidRPr="00F33674" w14:paraId="35974058" w14:textId="77777777" w:rsidTr="00F33674">
        <w:trPr>
          <w:trHeight w:val="300"/>
        </w:trPr>
        <w:tc>
          <w:tcPr>
            <w:tcW w:w="1329" w:type="dxa"/>
            <w:shd w:val="clear" w:color="auto" w:fill="auto"/>
            <w:noWrap/>
          </w:tcPr>
          <w:p w14:paraId="05D8B950" w14:textId="77777777" w:rsidR="00F33674" w:rsidRPr="00F33674" w:rsidRDefault="00F33674" w:rsidP="00F33674">
            <w:pPr>
              <w:jc w:val="left"/>
              <w:rPr>
                <w:rFonts w:ascii="Arial Narrow" w:hAnsi="Arial Narrow" w:cs="Calibri"/>
                <w:color w:val="000000"/>
                <w:sz w:val="20"/>
                <w:szCs w:val="20"/>
                <w:lang w:eastAsia="en-AU"/>
              </w:rPr>
            </w:pPr>
          </w:p>
        </w:tc>
        <w:tc>
          <w:tcPr>
            <w:tcW w:w="791" w:type="dxa"/>
          </w:tcPr>
          <w:p w14:paraId="6649DC9F" w14:textId="77777777" w:rsidR="00F33674" w:rsidRPr="00F33674" w:rsidRDefault="00F33674" w:rsidP="00F33674">
            <w:pPr>
              <w:jc w:val="left"/>
              <w:rPr>
                <w:rFonts w:ascii="Arial Narrow" w:hAnsi="Arial Narrow" w:cs="Calibri"/>
                <w:color w:val="000000"/>
                <w:sz w:val="20"/>
                <w:szCs w:val="20"/>
                <w:lang w:eastAsia="en-AU"/>
              </w:rPr>
            </w:pPr>
          </w:p>
        </w:tc>
        <w:tc>
          <w:tcPr>
            <w:tcW w:w="2119" w:type="dxa"/>
            <w:vMerge/>
            <w:shd w:val="clear" w:color="auto" w:fill="auto"/>
            <w:noWrap/>
          </w:tcPr>
          <w:p w14:paraId="3AA1A032" w14:textId="77777777" w:rsidR="00F33674" w:rsidRPr="00F33674" w:rsidRDefault="00F33674" w:rsidP="00F33674">
            <w:pPr>
              <w:jc w:val="left"/>
              <w:rPr>
                <w:rFonts w:ascii="Arial Narrow" w:hAnsi="Arial Narrow" w:cs="Calibri"/>
                <w:color w:val="000000"/>
                <w:sz w:val="20"/>
                <w:szCs w:val="20"/>
                <w:lang w:eastAsia="en-AU"/>
              </w:rPr>
            </w:pPr>
          </w:p>
        </w:tc>
        <w:tc>
          <w:tcPr>
            <w:tcW w:w="790" w:type="dxa"/>
            <w:shd w:val="clear" w:color="auto" w:fill="auto"/>
            <w:noWrap/>
          </w:tcPr>
          <w:p w14:paraId="658B6F3C" w14:textId="77777777" w:rsidR="00F33674" w:rsidRPr="00F33674" w:rsidRDefault="00F33674" w:rsidP="00F33674">
            <w:pPr>
              <w:ind w:right="21"/>
              <w:jc w:val="right"/>
              <w:rPr>
                <w:rFonts w:ascii="Arial Narrow" w:hAnsi="Arial Narrow" w:cs="Calibri"/>
                <w:color w:val="000000"/>
                <w:sz w:val="20"/>
                <w:szCs w:val="20"/>
                <w:lang w:eastAsia="en-AU"/>
              </w:rPr>
            </w:pPr>
          </w:p>
        </w:tc>
        <w:tc>
          <w:tcPr>
            <w:tcW w:w="623" w:type="dxa"/>
            <w:shd w:val="clear" w:color="auto" w:fill="auto"/>
            <w:noWrap/>
          </w:tcPr>
          <w:p w14:paraId="31373F2B" w14:textId="77777777" w:rsidR="00F33674" w:rsidRPr="00F33674" w:rsidRDefault="00F33674" w:rsidP="00F33674">
            <w:pPr>
              <w:jc w:val="right"/>
              <w:rPr>
                <w:rFonts w:ascii="Arial Narrow" w:hAnsi="Arial Narrow" w:cs="Calibri"/>
                <w:color w:val="000000"/>
                <w:sz w:val="20"/>
                <w:szCs w:val="20"/>
                <w:lang w:eastAsia="en-AU"/>
              </w:rPr>
            </w:pPr>
          </w:p>
        </w:tc>
        <w:tc>
          <w:tcPr>
            <w:tcW w:w="1794" w:type="dxa"/>
            <w:shd w:val="clear" w:color="auto" w:fill="auto"/>
            <w:noWrap/>
            <w:hideMark/>
          </w:tcPr>
          <w:p w14:paraId="2F7F1D74"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Oxycodone BNM</w:t>
            </w:r>
          </w:p>
        </w:tc>
        <w:tc>
          <w:tcPr>
            <w:tcW w:w="1580" w:type="dxa"/>
            <w:shd w:val="clear" w:color="auto" w:fill="auto"/>
            <w:noWrap/>
            <w:hideMark/>
          </w:tcPr>
          <w:p w14:paraId="3A99B3E6"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Luminarie Pty Ltd</w:t>
            </w:r>
          </w:p>
        </w:tc>
      </w:tr>
      <w:tr w:rsidR="00F33674" w:rsidRPr="00F33674" w14:paraId="3E6F6EEB" w14:textId="77777777" w:rsidTr="00F33674">
        <w:trPr>
          <w:trHeight w:val="300"/>
        </w:trPr>
        <w:tc>
          <w:tcPr>
            <w:tcW w:w="1329" w:type="dxa"/>
            <w:shd w:val="clear" w:color="auto" w:fill="auto"/>
            <w:noWrap/>
          </w:tcPr>
          <w:p w14:paraId="068C35E1" w14:textId="77777777" w:rsidR="00F33674" w:rsidRPr="00F33674" w:rsidRDefault="00F33674" w:rsidP="00F33674">
            <w:pPr>
              <w:jc w:val="left"/>
              <w:rPr>
                <w:rFonts w:ascii="Arial Narrow" w:hAnsi="Arial Narrow" w:cs="Calibri"/>
                <w:color w:val="000000"/>
                <w:sz w:val="20"/>
                <w:szCs w:val="20"/>
                <w:lang w:eastAsia="en-AU"/>
              </w:rPr>
            </w:pPr>
          </w:p>
        </w:tc>
        <w:tc>
          <w:tcPr>
            <w:tcW w:w="791" w:type="dxa"/>
          </w:tcPr>
          <w:p w14:paraId="4BFBBE45"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5191F</w:t>
            </w:r>
          </w:p>
        </w:tc>
        <w:tc>
          <w:tcPr>
            <w:tcW w:w="2119" w:type="dxa"/>
            <w:vMerge w:val="restart"/>
            <w:shd w:val="clear" w:color="auto" w:fill="auto"/>
            <w:noWrap/>
            <w:hideMark/>
          </w:tcPr>
          <w:p w14:paraId="13BF4C7D"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Capsule containing oxycodone hydrochloride 5 mg</w:t>
            </w:r>
          </w:p>
        </w:tc>
        <w:tc>
          <w:tcPr>
            <w:tcW w:w="790" w:type="dxa"/>
            <w:shd w:val="clear" w:color="auto" w:fill="auto"/>
            <w:noWrap/>
            <w:hideMark/>
          </w:tcPr>
          <w:p w14:paraId="2CE60EB5" w14:textId="77777777" w:rsidR="00F33674" w:rsidRPr="00F33674" w:rsidRDefault="00F33674" w:rsidP="00F33674">
            <w:pPr>
              <w:ind w:right="21"/>
              <w:jc w:val="righ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10</w:t>
            </w:r>
          </w:p>
        </w:tc>
        <w:tc>
          <w:tcPr>
            <w:tcW w:w="623" w:type="dxa"/>
            <w:shd w:val="clear" w:color="auto" w:fill="auto"/>
            <w:noWrap/>
            <w:hideMark/>
          </w:tcPr>
          <w:p w14:paraId="10CF118B" w14:textId="77777777" w:rsidR="00F33674" w:rsidRPr="00F33674" w:rsidRDefault="00F33674" w:rsidP="00F33674">
            <w:pPr>
              <w:jc w:val="righ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0</w:t>
            </w:r>
          </w:p>
        </w:tc>
        <w:tc>
          <w:tcPr>
            <w:tcW w:w="1794" w:type="dxa"/>
            <w:shd w:val="clear" w:color="auto" w:fill="auto"/>
            <w:noWrap/>
            <w:hideMark/>
          </w:tcPr>
          <w:p w14:paraId="72E0C886"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OxyNorm</w:t>
            </w:r>
          </w:p>
        </w:tc>
        <w:tc>
          <w:tcPr>
            <w:tcW w:w="1580" w:type="dxa"/>
            <w:shd w:val="clear" w:color="auto" w:fill="auto"/>
            <w:noWrap/>
            <w:hideMark/>
          </w:tcPr>
          <w:p w14:paraId="3479C460"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Mundipharma Pty Limited</w:t>
            </w:r>
          </w:p>
        </w:tc>
      </w:tr>
      <w:tr w:rsidR="00F33674" w:rsidRPr="00F33674" w14:paraId="25B15826" w14:textId="77777777" w:rsidTr="00F33674">
        <w:trPr>
          <w:trHeight w:val="300"/>
        </w:trPr>
        <w:tc>
          <w:tcPr>
            <w:tcW w:w="1329" w:type="dxa"/>
            <w:shd w:val="clear" w:color="auto" w:fill="auto"/>
            <w:noWrap/>
          </w:tcPr>
          <w:p w14:paraId="53FEF141" w14:textId="77777777" w:rsidR="00F33674" w:rsidRPr="00F33674" w:rsidRDefault="00F33674" w:rsidP="00F33674">
            <w:pPr>
              <w:jc w:val="left"/>
              <w:rPr>
                <w:rFonts w:ascii="Arial Narrow" w:hAnsi="Arial Narrow" w:cs="Calibri"/>
                <w:color w:val="000000"/>
                <w:sz w:val="20"/>
                <w:szCs w:val="20"/>
                <w:lang w:eastAsia="en-AU"/>
              </w:rPr>
            </w:pPr>
          </w:p>
        </w:tc>
        <w:tc>
          <w:tcPr>
            <w:tcW w:w="791" w:type="dxa"/>
          </w:tcPr>
          <w:p w14:paraId="767A3A2E" w14:textId="77777777" w:rsidR="00F33674" w:rsidRPr="00F33674" w:rsidRDefault="00F33674" w:rsidP="00F33674">
            <w:pPr>
              <w:jc w:val="left"/>
              <w:rPr>
                <w:rFonts w:ascii="Arial Narrow" w:hAnsi="Arial Narrow" w:cs="Calibri"/>
                <w:color w:val="000000"/>
                <w:sz w:val="20"/>
                <w:szCs w:val="20"/>
                <w:lang w:eastAsia="en-AU"/>
              </w:rPr>
            </w:pPr>
          </w:p>
        </w:tc>
        <w:tc>
          <w:tcPr>
            <w:tcW w:w="2119" w:type="dxa"/>
            <w:vMerge/>
            <w:shd w:val="clear" w:color="auto" w:fill="auto"/>
            <w:noWrap/>
          </w:tcPr>
          <w:p w14:paraId="4A16E24F" w14:textId="77777777" w:rsidR="00F33674" w:rsidRPr="00F33674" w:rsidRDefault="00F33674" w:rsidP="00F33674">
            <w:pPr>
              <w:jc w:val="left"/>
              <w:rPr>
                <w:rFonts w:ascii="Arial Narrow" w:hAnsi="Arial Narrow" w:cs="Calibri"/>
                <w:color w:val="000000"/>
                <w:sz w:val="20"/>
                <w:szCs w:val="20"/>
                <w:lang w:eastAsia="en-AU"/>
              </w:rPr>
            </w:pPr>
          </w:p>
        </w:tc>
        <w:tc>
          <w:tcPr>
            <w:tcW w:w="790" w:type="dxa"/>
            <w:shd w:val="clear" w:color="auto" w:fill="auto"/>
            <w:noWrap/>
          </w:tcPr>
          <w:p w14:paraId="6AF4C43E" w14:textId="77777777" w:rsidR="00F33674" w:rsidRPr="00F33674" w:rsidRDefault="00F33674" w:rsidP="00F33674">
            <w:pPr>
              <w:ind w:right="21"/>
              <w:jc w:val="right"/>
              <w:rPr>
                <w:rFonts w:ascii="Arial Narrow" w:hAnsi="Arial Narrow" w:cs="Calibri"/>
                <w:color w:val="000000"/>
                <w:sz w:val="20"/>
                <w:szCs w:val="20"/>
                <w:lang w:eastAsia="en-AU"/>
              </w:rPr>
            </w:pPr>
          </w:p>
        </w:tc>
        <w:tc>
          <w:tcPr>
            <w:tcW w:w="623" w:type="dxa"/>
            <w:shd w:val="clear" w:color="auto" w:fill="auto"/>
            <w:noWrap/>
          </w:tcPr>
          <w:p w14:paraId="4B196CAB" w14:textId="77777777" w:rsidR="00F33674" w:rsidRPr="00F33674" w:rsidRDefault="00F33674" w:rsidP="00F33674">
            <w:pPr>
              <w:jc w:val="right"/>
              <w:rPr>
                <w:rFonts w:ascii="Arial Narrow" w:hAnsi="Arial Narrow" w:cs="Calibri"/>
                <w:color w:val="000000"/>
                <w:sz w:val="20"/>
                <w:szCs w:val="20"/>
                <w:lang w:eastAsia="en-AU"/>
              </w:rPr>
            </w:pPr>
          </w:p>
        </w:tc>
        <w:tc>
          <w:tcPr>
            <w:tcW w:w="1794" w:type="dxa"/>
            <w:shd w:val="clear" w:color="auto" w:fill="auto"/>
            <w:noWrap/>
            <w:hideMark/>
          </w:tcPr>
          <w:p w14:paraId="296AB690"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Oxycodone BNM</w:t>
            </w:r>
          </w:p>
        </w:tc>
        <w:tc>
          <w:tcPr>
            <w:tcW w:w="1580" w:type="dxa"/>
            <w:shd w:val="clear" w:color="auto" w:fill="auto"/>
            <w:noWrap/>
            <w:hideMark/>
          </w:tcPr>
          <w:p w14:paraId="7DEA6F00"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Luminarie Pty Ltd</w:t>
            </w:r>
          </w:p>
        </w:tc>
      </w:tr>
      <w:tr w:rsidR="00F33674" w:rsidRPr="00F33674" w14:paraId="0CDAE3B6" w14:textId="77777777" w:rsidTr="00F33674">
        <w:trPr>
          <w:trHeight w:val="300"/>
        </w:trPr>
        <w:tc>
          <w:tcPr>
            <w:tcW w:w="1329" w:type="dxa"/>
            <w:shd w:val="clear" w:color="auto" w:fill="auto"/>
            <w:noWrap/>
          </w:tcPr>
          <w:p w14:paraId="1F8F7B1B" w14:textId="77777777" w:rsidR="00F33674" w:rsidRPr="00F33674" w:rsidRDefault="00F33674" w:rsidP="00F33674">
            <w:pPr>
              <w:jc w:val="left"/>
              <w:rPr>
                <w:rFonts w:ascii="Arial Narrow" w:hAnsi="Arial Narrow" w:cs="Calibri"/>
                <w:color w:val="000000"/>
                <w:sz w:val="20"/>
                <w:szCs w:val="20"/>
                <w:lang w:eastAsia="en-AU"/>
              </w:rPr>
            </w:pPr>
          </w:p>
        </w:tc>
        <w:tc>
          <w:tcPr>
            <w:tcW w:w="791" w:type="dxa"/>
          </w:tcPr>
          <w:p w14:paraId="5E72715B"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5190E</w:t>
            </w:r>
          </w:p>
        </w:tc>
        <w:tc>
          <w:tcPr>
            <w:tcW w:w="2119" w:type="dxa"/>
            <w:shd w:val="clear" w:color="auto" w:fill="auto"/>
            <w:noWrap/>
            <w:hideMark/>
          </w:tcPr>
          <w:p w14:paraId="677392E3"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Oral solution containing oxycodone hydrochloride 1 mg per mL, 250 mL</w:t>
            </w:r>
          </w:p>
        </w:tc>
        <w:tc>
          <w:tcPr>
            <w:tcW w:w="790" w:type="dxa"/>
            <w:shd w:val="clear" w:color="auto" w:fill="auto"/>
            <w:noWrap/>
            <w:hideMark/>
          </w:tcPr>
          <w:p w14:paraId="57D6FEB5" w14:textId="77777777" w:rsidR="00F33674" w:rsidRPr="00F33674" w:rsidRDefault="00F33674" w:rsidP="00F33674">
            <w:pPr>
              <w:ind w:right="21"/>
              <w:jc w:val="righ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1</w:t>
            </w:r>
          </w:p>
        </w:tc>
        <w:tc>
          <w:tcPr>
            <w:tcW w:w="623" w:type="dxa"/>
            <w:shd w:val="clear" w:color="auto" w:fill="auto"/>
            <w:noWrap/>
            <w:hideMark/>
          </w:tcPr>
          <w:p w14:paraId="6DF64356" w14:textId="77777777" w:rsidR="00F33674" w:rsidRPr="00F33674" w:rsidRDefault="00F33674" w:rsidP="00F33674">
            <w:pPr>
              <w:jc w:val="righ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0</w:t>
            </w:r>
          </w:p>
        </w:tc>
        <w:tc>
          <w:tcPr>
            <w:tcW w:w="1794" w:type="dxa"/>
            <w:shd w:val="clear" w:color="auto" w:fill="auto"/>
            <w:noWrap/>
            <w:hideMark/>
          </w:tcPr>
          <w:p w14:paraId="1B82356D"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OxyNorm Liquid 1mg/mL</w:t>
            </w:r>
          </w:p>
        </w:tc>
        <w:tc>
          <w:tcPr>
            <w:tcW w:w="1580" w:type="dxa"/>
            <w:shd w:val="clear" w:color="auto" w:fill="auto"/>
            <w:noWrap/>
            <w:hideMark/>
          </w:tcPr>
          <w:p w14:paraId="6D4861C0"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Mundipharma Pty Limited</w:t>
            </w:r>
          </w:p>
        </w:tc>
      </w:tr>
      <w:tr w:rsidR="00F33674" w:rsidRPr="00F33674" w14:paraId="4E875F66" w14:textId="77777777" w:rsidTr="00F33674">
        <w:trPr>
          <w:trHeight w:val="300"/>
        </w:trPr>
        <w:tc>
          <w:tcPr>
            <w:tcW w:w="1329" w:type="dxa"/>
            <w:shd w:val="clear" w:color="auto" w:fill="auto"/>
            <w:noWrap/>
          </w:tcPr>
          <w:p w14:paraId="445E7264" w14:textId="77777777" w:rsidR="00F33674" w:rsidRPr="00F33674" w:rsidRDefault="00F33674" w:rsidP="00F33674">
            <w:pPr>
              <w:jc w:val="left"/>
              <w:rPr>
                <w:rFonts w:ascii="Arial Narrow" w:hAnsi="Arial Narrow" w:cs="Calibri"/>
                <w:color w:val="000000"/>
                <w:sz w:val="20"/>
                <w:szCs w:val="20"/>
                <w:lang w:eastAsia="en-AU"/>
              </w:rPr>
            </w:pPr>
          </w:p>
        </w:tc>
        <w:tc>
          <w:tcPr>
            <w:tcW w:w="791" w:type="dxa"/>
          </w:tcPr>
          <w:p w14:paraId="765745C9"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5195K</w:t>
            </w:r>
          </w:p>
        </w:tc>
        <w:tc>
          <w:tcPr>
            <w:tcW w:w="2119" w:type="dxa"/>
            <w:vMerge w:val="restart"/>
            <w:shd w:val="clear" w:color="auto" w:fill="auto"/>
            <w:noWrap/>
            <w:hideMark/>
          </w:tcPr>
          <w:p w14:paraId="0D1D1999"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Tablet containing oxycodone hydrochloride 5 mg</w:t>
            </w:r>
          </w:p>
        </w:tc>
        <w:tc>
          <w:tcPr>
            <w:tcW w:w="790" w:type="dxa"/>
            <w:shd w:val="clear" w:color="auto" w:fill="auto"/>
            <w:noWrap/>
            <w:hideMark/>
          </w:tcPr>
          <w:p w14:paraId="306BB383" w14:textId="77777777" w:rsidR="00F33674" w:rsidRPr="00F33674" w:rsidRDefault="00F33674" w:rsidP="00F33674">
            <w:pPr>
              <w:ind w:right="21"/>
              <w:jc w:val="righ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10</w:t>
            </w:r>
          </w:p>
        </w:tc>
        <w:tc>
          <w:tcPr>
            <w:tcW w:w="623" w:type="dxa"/>
            <w:shd w:val="clear" w:color="auto" w:fill="auto"/>
            <w:noWrap/>
            <w:hideMark/>
          </w:tcPr>
          <w:p w14:paraId="2ED27385" w14:textId="77777777" w:rsidR="00F33674" w:rsidRPr="00F33674" w:rsidRDefault="00F33674" w:rsidP="00F33674">
            <w:pPr>
              <w:jc w:val="righ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0</w:t>
            </w:r>
          </w:p>
        </w:tc>
        <w:tc>
          <w:tcPr>
            <w:tcW w:w="1794" w:type="dxa"/>
            <w:shd w:val="clear" w:color="auto" w:fill="auto"/>
            <w:noWrap/>
            <w:hideMark/>
          </w:tcPr>
          <w:p w14:paraId="5AA6815E"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Endone</w:t>
            </w:r>
          </w:p>
        </w:tc>
        <w:tc>
          <w:tcPr>
            <w:tcW w:w="1580" w:type="dxa"/>
            <w:shd w:val="clear" w:color="auto" w:fill="auto"/>
            <w:noWrap/>
            <w:hideMark/>
          </w:tcPr>
          <w:p w14:paraId="40BDDB00"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Alphapharm Pty Ltd</w:t>
            </w:r>
          </w:p>
        </w:tc>
      </w:tr>
      <w:tr w:rsidR="00F33674" w:rsidRPr="00F33674" w14:paraId="0FAF011E" w14:textId="77777777" w:rsidTr="00F33674">
        <w:trPr>
          <w:trHeight w:val="300"/>
        </w:trPr>
        <w:tc>
          <w:tcPr>
            <w:tcW w:w="1329" w:type="dxa"/>
            <w:shd w:val="clear" w:color="auto" w:fill="auto"/>
            <w:noWrap/>
          </w:tcPr>
          <w:p w14:paraId="3A63A213" w14:textId="77777777" w:rsidR="00F33674" w:rsidRPr="00F33674" w:rsidRDefault="00F33674" w:rsidP="00F33674">
            <w:pPr>
              <w:jc w:val="left"/>
              <w:rPr>
                <w:rFonts w:ascii="Arial Narrow" w:hAnsi="Arial Narrow" w:cs="Calibri"/>
                <w:color w:val="000000"/>
                <w:sz w:val="20"/>
                <w:szCs w:val="20"/>
                <w:lang w:eastAsia="en-AU"/>
              </w:rPr>
            </w:pPr>
          </w:p>
        </w:tc>
        <w:tc>
          <w:tcPr>
            <w:tcW w:w="791" w:type="dxa"/>
          </w:tcPr>
          <w:p w14:paraId="1B4D7A76" w14:textId="77777777" w:rsidR="00F33674" w:rsidRPr="00F33674" w:rsidRDefault="00F33674" w:rsidP="00F33674">
            <w:pPr>
              <w:jc w:val="left"/>
              <w:rPr>
                <w:rFonts w:ascii="Arial Narrow" w:hAnsi="Arial Narrow" w:cs="Calibri"/>
                <w:color w:val="000000"/>
                <w:sz w:val="20"/>
                <w:szCs w:val="20"/>
                <w:lang w:eastAsia="en-AU"/>
              </w:rPr>
            </w:pPr>
          </w:p>
        </w:tc>
        <w:tc>
          <w:tcPr>
            <w:tcW w:w="2119" w:type="dxa"/>
            <w:vMerge/>
            <w:shd w:val="clear" w:color="auto" w:fill="auto"/>
            <w:noWrap/>
          </w:tcPr>
          <w:p w14:paraId="065FC641" w14:textId="77777777" w:rsidR="00F33674" w:rsidRPr="00F33674" w:rsidRDefault="00F33674" w:rsidP="00F33674">
            <w:pPr>
              <w:jc w:val="left"/>
              <w:rPr>
                <w:rFonts w:ascii="Arial Narrow" w:hAnsi="Arial Narrow" w:cs="Calibri"/>
                <w:color w:val="000000"/>
                <w:sz w:val="20"/>
                <w:szCs w:val="20"/>
                <w:lang w:eastAsia="en-AU"/>
              </w:rPr>
            </w:pPr>
          </w:p>
        </w:tc>
        <w:tc>
          <w:tcPr>
            <w:tcW w:w="790" w:type="dxa"/>
            <w:shd w:val="clear" w:color="auto" w:fill="auto"/>
            <w:noWrap/>
          </w:tcPr>
          <w:p w14:paraId="234566BC" w14:textId="77777777" w:rsidR="00F33674" w:rsidRPr="00F33674" w:rsidRDefault="00F33674" w:rsidP="00F33674">
            <w:pPr>
              <w:ind w:right="21"/>
              <w:jc w:val="right"/>
              <w:rPr>
                <w:rFonts w:ascii="Arial Narrow" w:hAnsi="Arial Narrow" w:cs="Calibri"/>
                <w:color w:val="000000"/>
                <w:sz w:val="20"/>
                <w:szCs w:val="20"/>
                <w:lang w:eastAsia="en-AU"/>
              </w:rPr>
            </w:pPr>
          </w:p>
        </w:tc>
        <w:tc>
          <w:tcPr>
            <w:tcW w:w="623" w:type="dxa"/>
            <w:shd w:val="clear" w:color="auto" w:fill="auto"/>
            <w:noWrap/>
          </w:tcPr>
          <w:p w14:paraId="3882F9D6" w14:textId="77777777" w:rsidR="00F33674" w:rsidRPr="00F33674" w:rsidRDefault="00F33674" w:rsidP="00F33674">
            <w:pPr>
              <w:jc w:val="right"/>
              <w:rPr>
                <w:rFonts w:ascii="Arial Narrow" w:hAnsi="Arial Narrow" w:cs="Calibri"/>
                <w:color w:val="000000"/>
                <w:sz w:val="20"/>
                <w:szCs w:val="20"/>
                <w:lang w:eastAsia="en-AU"/>
              </w:rPr>
            </w:pPr>
          </w:p>
        </w:tc>
        <w:tc>
          <w:tcPr>
            <w:tcW w:w="1794" w:type="dxa"/>
            <w:shd w:val="clear" w:color="auto" w:fill="auto"/>
            <w:noWrap/>
            <w:hideMark/>
          </w:tcPr>
          <w:p w14:paraId="13B761C8"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Mayne Pharma Oxycodone IR</w:t>
            </w:r>
          </w:p>
        </w:tc>
        <w:tc>
          <w:tcPr>
            <w:tcW w:w="1580" w:type="dxa"/>
            <w:shd w:val="clear" w:color="auto" w:fill="auto"/>
            <w:noWrap/>
            <w:hideMark/>
          </w:tcPr>
          <w:p w14:paraId="7D2F03BA"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Mayne Pharma International Pty Ltd</w:t>
            </w:r>
          </w:p>
        </w:tc>
      </w:tr>
      <w:tr w:rsidR="00F33674" w:rsidRPr="00F33674" w14:paraId="1D44940C" w14:textId="77777777" w:rsidTr="00F33674">
        <w:trPr>
          <w:trHeight w:val="300"/>
        </w:trPr>
        <w:tc>
          <w:tcPr>
            <w:tcW w:w="1329" w:type="dxa"/>
            <w:shd w:val="clear" w:color="auto" w:fill="auto"/>
            <w:noWrap/>
          </w:tcPr>
          <w:p w14:paraId="47CA89D4" w14:textId="77777777" w:rsidR="00F33674" w:rsidRPr="00F33674" w:rsidRDefault="00F33674" w:rsidP="00F33674">
            <w:pPr>
              <w:jc w:val="left"/>
              <w:rPr>
                <w:rFonts w:ascii="Arial Narrow" w:hAnsi="Arial Narrow" w:cs="Calibri"/>
                <w:color w:val="000000"/>
                <w:sz w:val="20"/>
                <w:szCs w:val="20"/>
                <w:lang w:eastAsia="en-AU"/>
              </w:rPr>
            </w:pPr>
          </w:p>
        </w:tc>
        <w:tc>
          <w:tcPr>
            <w:tcW w:w="791" w:type="dxa"/>
          </w:tcPr>
          <w:p w14:paraId="4016711E" w14:textId="77777777" w:rsidR="00F33674" w:rsidRPr="00F33674" w:rsidRDefault="00F33674" w:rsidP="00F33674">
            <w:pPr>
              <w:jc w:val="left"/>
              <w:rPr>
                <w:rFonts w:ascii="Arial Narrow" w:hAnsi="Arial Narrow" w:cs="Calibri"/>
                <w:color w:val="000000"/>
                <w:sz w:val="20"/>
                <w:szCs w:val="20"/>
                <w:lang w:eastAsia="en-AU"/>
              </w:rPr>
            </w:pPr>
          </w:p>
        </w:tc>
        <w:tc>
          <w:tcPr>
            <w:tcW w:w="2119" w:type="dxa"/>
            <w:vMerge/>
            <w:shd w:val="clear" w:color="auto" w:fill="auto"/>
            <w:noWrap/>
          </w:tcPr>
          <w:p w14:paraId="37FE6357" w14:textId="77777777" w:rsidR="00F33674" w:rsidRPr="00F33674" w:rsidRDefault="00F33674" w:rsidP="00F33674">
            <w:pPr>
              <w:jc w:val="left"/>
              <w:rPr>
                <w:rFonts w:ascii="Arial Narrow" w:hAnsi="Arial Narrow" w:cs="Calibri"/>
                <w:color w:val="000000"/>
                <w:sz w:val="20"/>
                <w:szCs w:val="20"/>
                <w:lang w:eastAsia="en-AU"/>
              </w:rPr>
            </w:pPr>
          </w:p>
        </w:tc>
        <w:tc>
          <w:tcPr>
            <w:tcW w:w="790" w:type="dxa"/>
            <w:shd w:val="clear" w:color="auto" w:fill="auto"/>
            <w:noWrap/>
          </w:tcPr>
          <w:p w14:paraId="3535D979" w14:textId="77777777" w:rsidR="00F33674" w:rsidRPr="00F33674" w:rsidRDefault="00F33674" w:rsidP="00F33674">
            <w:pPr>
              <w:ind w:right="21"/>
              <w:jc w:val="right"/>
              <w:rPr>
                <w:rFonts w:ascii="Arial Narrow" w:hAnsi="Arial Narrow" w:cs="Calibri"/>
                <w:color w:val="000000"/>
                <w:sz w:val="20"/>
                <w:szCs w:val="20"/>
                <w:lang w:eastAsia="en-AU"/>
              </w:rPr>
            </w:pPr>
          </w:p>
        </w:tc>
        <w:tc>
          <w:tcPr>
            <w:tcW w:w="623" w:type="dxa"/>
            <w:shd w:val="clear" w:color="auto" w:fill="auto"/>
            <w:noWrap/>
          </w:tcPr>
          <w:p w14:paraId="6DE4BAC4" w14:textId="77777777" w:rsidR="00F33674" w:rsidRPr="00F33674" w:rsidRDefault="00F33674" w:rsidP="00F33674">
            <w:pPr>
              <w:jc w:val="right"/>
              <w:rPr>
                <w:rFonts w:ascii="Arial Narrow" w:hAnsi="Arial Narrow" w:cs="Calibri"/>
                <w:color w:val="000000"/>
                <w:sz w:val="20"/>
                <w:szCs w:val="20"/>
                <w:lang w:eastAsia="en-AU"/>
              </w:rPr>
            </w:pPr>
          </w:p>
        </w:tc>
        <w:tc>
          <w:tcPr>
            <w:tcW w:w="1794" w:type="dxa"/>
            <w:shd w:val="clear" w:color="auto" w:fill="auto"/>
            <w:noWrap/>
            <w:hideMark/>
          </w:tcPr>
          <w:p w14:paraId="7ADDD9CD"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Oxycodone Aspen</w:t>
            </w:r>
          </w:p>
        </w:tc>
        <w:tc>
          <w:tcPr>
            <w:tcW w:w="1580" w:type="dxa"/>
            <w:shd w:val="clear" w:color="auto" w:fill="auto"/>
            <w:noWrap/>
            <w:hideMark/>
          </w:tcPr>
          <w:p w14:paraId="2BF97D31"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Alphapharm Pty Ltd</w:t>
            </w:r>
          </w:p>
        </w:tc>
      </w:tr>
      <w:tr w:rsidR="00F33674" w:rsidRPr="00F33674" w14:paraId="4025AA44" w14:textId="77777777" w:rsidTr="00F33674">
        <w:trPr>
          <w:trHeight w:val="300"/>
        </w:trPr>
        <w:tc>
          <w:tcPr>
            <w:tcW w:w="1329" w:type="dxa"/>
            <w:shd w:val="clear" w:color="auto" w:fill="auto"/>
            <w:noWrap/>
            <w:hideMark/>
          </w:tcPr>
          <w:p w14:paraId="6AF062A1"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TRAMADOL</w:t>
            </w:r>
          </w:p>
        </w:tc>
        <w:tc>
          <w:tcPr>
            <w:tcW w:w="791" w:type="dxa"/>
          </w:tcPr>
          <w:p w14:paraId="2304A543"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5232J</w:t>
            </w:r>
          </w:p>
        </w:tc>
        <w:tc>
          <w:tcPr>
            <w:tcW w:w="2119" w:type="dxa"/>
            <w:vMerge w:val="restart"/>
            <w:shd w:val="clear" w:color="auto" w:fill="auto"/>
            <w:noWrap/>
            <w:hideMark/>
          </w:tcPr>
          <w:p w14:paraId="0444CF0A"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Capsule containing tramadol hydrochloride 50 mg</w:t>
            </w:r>
          </w:p>
        </w:tc>
        <w:tc>
          <w:tcPr>
            <w:tcW w:w="790" w:type="dxa"/>
            <w:shd w:val="clear" w:color="auto" w:fill="auto"/>
            <w:noWrap/>
            <w:hideMark/>
          </w:tcPr>
          <w:p w14:paraId="5EC761FC" w14:textId="77777777" w:rsidR="00F33674" w:rsidRPr="00F33674" w:rsidRDefault="00F33674" w:rsidP="00F33674">
            <w:pPr>
              <w:ind w:right="21"/>
              <w:jc w:val="righ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10</w:t>
            </w:r>
          </w:p>
        </w:tc>
        <w:tc>
          <w:tcPr>
            <w:tcW w:w="623" w:type="dxa"/>
            <w:shd w:val="clear" w:color="auto" w:fill="auto"/>
            <w:noWrap/>
            <w:hideMark/>
          </w:tcPr>
          <w:p w14:paraId="2206F8F5" w14:textId="77777777" w:rsidR="00F33674" w:rsidRPr="00F33674" w:rsidRDefault="00F33674" w:rsidP="00F33674">
            <w:pPr>
              <w:jc w:val="righ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0</w:t>
            </w:r>
          </w:p>
        </w:tc>
        <w:tc>
          <w:tcPr>
            <w:tcW w:w="1794" w:type="dxa"/>
            <w:shd w:val="clear" w:color="auto" w:fill="auto"/>
            <w:noWrap/>
            <w:hideMark/>
          </w:tcPr>
          <w:p w14:paraId="0089A4E0"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APO-Tramadol</w:t>
            </w:r>
          </w:p>
        </w:tc>
        <w:tc>
          <w:tcPr>
            <w:tcW w:w="1580" w:type="dxa"/>
            <w:shd w:val="clear" w:color="auto" w:fill="auto"/>
            <w:noWrap/>
            <w:hideMark/>
          </w:tcPr>
          <w:p w14:paraId="3B86DEFF"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Apotex Pty Ltd</w:t>
            </w:r>
          </w:p>
        </w:tc>
      </w:tr>
      <w:tr w:rsidR="00F33674" w:rsidRPr="00F33674" w14:paraId="782FC302" w14:textId="77777777" w:rsidTr="00F33674">
        <w:trPr>
          <w:trHeight w:val="300"/>
        </w:trPr>
        <w:tc>
          <w:tcPr>
            <w:tcW w:w="1329" w:type="dxa"/>
            <w:shd w:val="clear" w:color="auto" w:fill="auto"/>
            <w:noWrap/>
          </w:tcPr>
          <w:p w14:paraId="0001B88A" w14:textId="77777777" w:rsidR="00F33674" w:rsidRPr="00F33674" w:rsidRDefault="00F33674" w:rsidP="00F33674">
            <w:pPr>
              <w:jc w:val="left"/>
              <w:rPr>
                <w:rFonts w:ascii="Arial Narrow" w:hAnsi="Arial Narrow" w:cs="Calibri"/>
                <w:color w:val="000000"/>
                <w:sz w:val="20"/>
                <w:szCs w:val="20"/>
                <w:lang w:eastAsia="en-AU"/>
              </w:rPr>
            </w:pPr>
          </w:p>
        </w:tc>
        <w:tc>
          <w:tcPr>
            <w:tcW w:w="791" w:type="dxa"/>
          </w:tcPr>
          <w:p w14:paraId="5D1144B2" w14:textId="77777777" w:rsidR="00F33674" w:rsidRPr="00F33674" w:rsidRDefault="00F33674" w:rsidP="00F33674">
            <w:pPr>
              <w:jc w:val="left"/>
              <w:rPr>
                <w:rFonts w:ascii="Arial Narrow" w:hAnsi="Arial Narrow" w:cs="Calibri"/>
                <w:color w:val="000000"/>
                <w:sz w:val="20"/>
                <w:szCs w:val="20"/>
                <w:lang w:eastAsia="en-AU"/>
              </w:rPr>
            </w:pPr>
          </w:p>
        </w:tc>
        <w:tc>
          <w:tcPr>
            <w:tcW w:w="2119" w:type="dxa"/>
            <w:vMerge/>
            <w:shd w:val="clear" w:color="auto" w:fill="auto"/>
            <w:noWrap/>
          </w:tcPr>
          <w:p w14:paraId="7A855434" w14:textId="77777777" w:rsidR="00F33674" w:rsidRPr="00F33674" w:rsidRDefault="00F33674" w:rsidP="00F33674">
            <w:pPr>
              <w:jc w:val="left"/>
              <w:rPr>
                <w:rFonts w:ascii="Arial Narrow" w:hAnsi="Arial Narrow" w:cs="Calibri"/>
                <w:color w:val="000000"/>
                <w:sz w:val="20"/>
                <w:szCs w:val="20"/>
                <w:lang w:eastAsia="en-AU"/>
              </w:rPr>
            </w:pPr>
          </w:p>
        </w:tc>
        <w:tc>
          <w:tcPr>
            <w:tcW w:w="790" w:type="dxa"/>
            <w:shd w:val="clear" w:color="auto" w:fill="auto"/>
            <w:noWrap/>
          </w:tcPr>
          <w:p w14:paraId="67FC3A09" w14:textId="77777777" w:rsidR="00F33674" w:rsidRPr="00F33674" w:rsidRDefault="00F33674" w:rsidP="00F33674">
            <w:pPr>
              <w:ind w:right="21"/>
              <w:jc w:val="right"/>
              <w:rPr>
                <w:rFonts w:ascii="Arial Narrow" w:hAnsi="Arial Narrow" w:cs="Calibri"/>
                <w:color w:val="000000"/>
                <w:sz w:val="20"/>
                <w:szCs w:val="20"/>
                <w:lang w:eastAsia="en-AU"/>
              </w:rPr>
            </w:pPr>
          </w:p>
        </w:tc>
        <w:tc>
          <w:tcPr>
            <w:tcW w:w="623" w:type="dxa"/>
            <w:shd w:val="clear" w:color="auto" w:fill="auto"/>
            <w:noWrap/>
          </w:tcPr>
          <w:p w14:paraId="524B61E1" w14:textId="77777777" w:rsidR="00F33674" w:rsidRPr="00F33674" w:rsidRDefault="00F33674" w:rsidP="00F33674">
            <w:pPr>
              <w:jc w:val="right"/>
              <w:rPr>
                <w:rFonts w:ascii="Arial Narrow" w:hAnsi="Arial Narrow" w:cs="Calibri"/>
                <w:color w:val="000000"/>
                <w:sz w:val="20"/>
                <w:szCs w:val="20"/>
                <w:lang w:eastAsia="en-AU"/>
              </w:rPr>
            </w:pPr>
          </w:p>
        </w:tc>
        <w:tc>
          <w:tcPr>
            <w:tcW w:w="1794" w:type="dxa"/>
            <w:shd w:val="clear" w:color="auto" w:fill="auto"/>
            <w:noWrap/>
            <w:hideMark/>
          </w:tcPr>
          <w:p w14:paraId="30F6E32F"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Chem mart Tramadol</w:t>
            </w:r>
          </w:p>
        </w:tc>
        <w:tc>
          <w:tcPr>
            <w:tcW w:w="1580" w:type="dxa"/>
            <w:shd w:val="clear" w:color="auto" w:fill="auto"/>
            <w:noWrap/>
            <w:hideMark/>
          </w:tcPr>
          <w:p w14:paraId="0A7651E0"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Apotex Pty Ltd</w:t>
            </w:r>
          </w:p>
        </w:tc>
      </w:tr>
      <w:tr w:rsidR="00F33674" w:rsidRPr="00F33674" w14:paraId="37960CB5" w14:textId="77777777" w:rsidTr="00F33674">
        <w:trPr>
          <w:trHeight w:val="300"/>
        </w:trPr>
        <w:tc>
          <w:tcPr>
            <w:tcW w:w="1329" w:type="dxa"/>
            <w:shd w:val="clear" w:color="auto" w:fill="auto"/>
            <w:noWrap/>
          </w:tcPr>
          <w:p w14:paraId="5B590C40" w14:textId="77777777" w:rsidR="00F33674" w:rsidRPr="00F33674" w:rsidRDefault="00F33674" w:rsidP="00F33674">
            <w:pPr>
              <w:jc w:val="left"/>
              <w:rPr>
                <w:rFonts w:ascii="Arial Narrow" w:hAnsi="Arial Narrow" w:cs="Calibri"/>
                <w:color w:val="000000"/>
                <w:sz w:val="20"/>
                <w:szCs w:val="20"/>
                <w:lang w:eastAsia="en-AU"/>
              </w:rPr>
            </w:pPr>
          </w:p>
        </w:tc>
        <w:tc>
          <w:tcPr>
            <w:tcW w:w="791" w:type="dxa"/>
          </w:tcPr>
          <w:p w14:paraId="0237DC14" w14:textId="77777777" w:rsidR="00F33674" w:rsidRPr="00F33674" w:rsidRDefault="00F33674" w:rsidP="00F33674">
            <w:pPr>
              <w:jc w:val="left"/>
              <w:rPr>
                <w:rFonts w:ascii="Arial Narrow" w:hAnsi="Arial Narrow" w:cs="Calibri"/>
                <w:color w:val="000000"/>
                <w:sz w:val="20"/>
                <w:szCs w:val="20"/>
                <w:lang w:eastAsia="en-AU"/>
              </w:rPr>
            </w:pPr>
          </w:p>
        </w:tc>
        <w:tc>
          <w:tcPr>
            <w:tcW w:w="2119" w:type="dxa"/>
            <w:vMerge/>
            <w:shd w:val="clear" w:color="auto" w:fill="auto"/>
            <w:noWrap/>
          </w:tcPr>
          <w:p w14:paraId="3402A32A" w14:textId="77777777" w:rsidR="00F33674" w:rsidRPr="00F33674" w:rsidRDefault="00F33674" w:rsidP="00F33674">
            <w:pPr>
              <w:jc w:val="left"/>
              <w:rPr>
                <w:rFonts w:ascii="Arial Narrow" w:hAnsi="Arial Narrow" w:cs="Calibri"/>
                <w:color w:val="000000"/>
                <w:sz w:val="20"/>
                <w:szCs w:val="20"/>
                <w:lang w:eastAsia="en-AU"/>
              </w:rPr>
            </w:pPr>
          </w:p>
        </w:tc>
        <w:tc>
          <w:tcPr>
            <w:tcW w:w="790" w:type="dxa"/>
            <w:shd w:val="clear" w:color="auto" w:fill="auto"/>
            <w:noWrap/>
          </w:tcPr>
          <w:p w14:paraId="643A4911" w14:textId="77777777" w:rsidR="00F33674" w:rsidRPr="00F33674" w:rsidRDefault="00F33674" w:rsidP="00F33674">
            <w:pPr>
              <w:ind w:right="21"/>
              <w:jc w:val="right"/>
              <w:rPr>
                <w:rFonts w:ascii="Arial Narrow" w:hAnsi="Arial Narrow" w:cs="Calibri"/>
                <w:color w:val="000000"/>
                <w:sz w:val="20"/>
                <w:szCs w:val="20"/>
                <w:lang w:eastAsia="en-AU"/>
              </w:rPr>
            </w:pPr>
          </w:p>
        </w:tc>
        <w:tc>
          <w:tcPr>
            <w:tcW w:w="623" w:type="dxa"/>
            <w:shd w:val="clear" w:color="auto" w:fill="auto"/>
            <w:noWrap/>
          </w:tcPr>
          <w:p w14:paraId="2B11F49B" w14:textId="77777777" w:rsidR="00F33674" w:rsidRPr="00F33674" w:rsidRDefault="00F33674" w:rsidP="00F33674">
            <w:pPr>
              <w:jc w:val="right"/>
              <w:rPr>
                <w:rFonts w:ascii="Arial Narrow" w:hAnsi="Arial Narrow" w:cs="Calibri"/>
                <w:color w:val="000000"/>
                <w:sz w:val="20"/>
                <w:szCs w:val="20"/>
                <w:lang w:eastAsia="en-AU"/>
              </w:rPr>
            </w:pPr>
          </w:p>
        </w:tc>
        <w:tc>
          <w:tcPr>
            <w:tcW w:w="1794" w:type="dxa"/>
            <w:shd w:val="clear" w:color="auto" w:fill="auto"/>
            <w:noWrap/>
            <w:hideMark/>
          </w:tcPr>
          <w:p w14:paraId="6AE1B992"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Terry White Chemists Tramadol</w:t>
            </w:r>
          </w:p>
        </w:tc>
        <w:tc>
          <w:tcPr>
            <w:tcW w:w="1580" w:type="dxa"/>
            <w:shd w:val="clear" w:color="auto" w:fill="auto"/>
            <w:noWrap/>
            <w:hideMark/>
          </w:tcPr>
          <w:p w14:paraId="7098F904"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Apotex Pty Ltd</w:t>
            </w:r>
          </w:p>
        </w:tc>
      </w:tr>
      <w:tr w:rsidR="00F33674" w:rsidRPr="00F33674" w14:paraId="41D01243" w14:textId="77777777" w:rsidTr="00F33674">
        <w:trPr>
          <w:trHeight w:val="300"/>
        </w:trPr>
        <w:tc>
          <w:tcPr>
            <w:tcW w:w="1329" w:type="dxa"/>
            <w:shd w:val="clear" w:color="auto" w:fill="auto"/>
            <w:noWrap/>
          </w:tcPr>
          <w:p w14:paraId="12725825" w14:textId="77777777" w:rsidR="00F33674" w:rsidRPr="00F33674" w:rsidRDefault="00F33674" w:rsidP="00F33674">
            <w:pPr>
              <w:jc w:val="left"/>
              <w:rPr>
                <w:rFonts w:ascii="Arial Narrow" w:hAnsi="Arial Narrow" w:cs="Calibri"/>
                <w:color w:val="000000"/>
                <w:sz w:val="20"/>
                <w:szCs w:val="20"/>
                <w:lang w:eastAsia="en-AU"/>
              </w:rPr>
            </w:pPr>
          </w:p>
        </w:tc>
        <w:tc>
          <w:tcPr>
            <w:tcW w:w="791" w:type="dxa"/>
          </w:tcPr>
          <w:p w14:paraId="47AC357E" w14:textId="77777777" w:rsidR="00F33674" w:rsidRPr="00F33674" w:rsidRDefault="00F33674" w:rsidP="00F33674">
            <w:pPr>
              <w:jc w:val="left"/>
              <w:rPr>
                <w:rFonts w:ascii="Arial Narrow" w:hAnsi="Arial Narrow" w:cs="Calibri"/>
                <w:color w:val="000000"/>
                <w:sz w:val="20"/>
                <w:szCs w:val="20"/>
                <w:lang w:eastAsia="en-AU"/>
              </w:rPr>
            </w:pPr>
          </w:p>
        </w:tc>
        <w:tc>
          <w:tcPr>
            <w:tcW w:w="2119" w:type="dxa"/>
            <w:vMerge/>
            <w:shd w:val="clear" w:color="auto" w:fill="auto"/>
            <w:noWrap/>
          </w:tcPr>
          <w:p w14:paraId="348D0980" w14:textId="77777777" w:rsidR="00F33674" w:rsidRPr="00F33674" w:rsidRDefault="00F33674" w:rsidP="00F33674">
            <w:pPr>
              <w:jc w:val="left"/>
              <w:rPr>
                <w:rFonts w:ascii="Arial Narrow" w:hAnsi="Arial Narrow" w:cs="Calibri"/>
                <w:color w:val="000000"/>
                <w:sz w:val="20"/>
                <w:szCs w:val="20"/>
                <w:lang w:eastAsia="en-AU"/>
              </w:rPr>
            </w:pPr>
          </w:p>
        </w:tc>
        <w:tc>
          <w:tcPr>
            <w:tcW w:w="790" w:type="dxa"/>
            <w:shd w:val="clear" w:color="auto" w:fill="auto"/>
            <w:noWrap/>
          </w:tcPr>
          <w:p w14:paraId="21B24E77" w14:textId="77777777" w:rsidR="00F33674" w:rsidRPr="00F33674" w:rsidRDefault="00F33674" w:rsidP="00F33674">
            <w:pPr>
              <w:ind w:right="21"/>
              <w:jc w:val="right"/>
              <w:rPr>
                <w:rFonts w:ascii="Arial Narrow" w:hAnsi="Arial Narrow" w:cs="Calibri"/>
                <w:color w:val="000000"/>
                <w:sz w:val="20"/>
                <w:szCs w:val="20"/>
                <w:lang w:eastAsia="en-AU"/>
              </w:rPr>
            </w:pPr>
          </w:p>
        </w:tc>
        <w:tc>
          <w:tcPr>
            <w:tcW w:w="623" w:type="dxa"/>
            <w:shd w:val="clear" w:color="auto" w:fill="auto"/>
            <w:noWrap/>
          </w:tcPr>
          <w:p w14:paraId="5078F256" w14:textId="77777777" w:rsidR="00F33674" w:rsidRPr="00F33674" w:rsidRDefault="00F33674" w:rsidP="00F33674">
            <w:pPr>
              <w:jc w:val="right"/>
              <w:rPr>
                <w:rFonts w:ascii="Arial Narrow" w:hAnsi="Arial Narrow" w:cs="Calibri"/>
                <w:color w:val="000000"/>
                <w:sz w:val="20"/>
                <w:szCs w:val="20"/>
                <w:lang w:eastAsia="en-AU"/>
              </w:rPr>
            </w:pPr>
          </w:p>
        </w:tc>
        <w:tc>
          <w:tcPr>
            <w:tcW w:w="1794" w:type="dxa"/>
            <w:shd w:val="clear" w:color="auto" w:fill="auto"/>
            <w:noWrap/>
            <w:hideMark/>
          </w:tcPr>
          <w:p w14:paraId="4AF5B58B"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Tramadol AMNEAL</w:t>
            </w:r>
          </w:p>
        </w:tc>
        <w:tc>
          <w:tcPr>
            <w:tcW w:w="1580" w:type="dxa"/>
            <w:shd w:val="clear" w:color="auto" w:fill="auto"/>
            <w:noWrap/>
            <w:hideMark/>
          </w:tcPr>
          <w:p w14:paraId="4F426957"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Amneal Pharmaceuticals Pty Ltd</w:t>
            </w:r>
          </w:p>
        </w:tc>
      </w:tr>
      <w:tr w:rsidR="00F33674" w:rsidRPr="00F33674" w14:paraId="0E2BDBA3" w14:textId="77777777" w:rsidTr="00F33674">
        <w:trPr>
          <w:trHeight w:val="300"/>
        </w:trPr>
        <w:tc>
          <w:tcPr>
            <w:tcW w:w="1329" w:type="dxa"/>
            <w:shd w:val="clear" w:color="auto" w:fill="auto"/>
            <w:noWrap/>
          </w:tcPr>
          <w:p w14:paraId="66595E24" w14:textId="77777777" w:rsidR="00F33674" w:rsidRPr="00F33674" w:rsidRDefault="00F33674" w:rsidP="00F33674">
            <w:pPr>
              <w:jc w:val="left"/>
              <w:rPr>
                <w:rFonts w:ascii="Arial Narrow" w:hAnsi="Arial Narrow" w:cs="Calibri"/>
                <w:color w:val="000000"/>
                <w:sz w:val="20"/>
                <w:szCs w:val="20"/>
                <w:lang w:eastAsia="en-AU"/>
              </w:rPr>
            </w:pPr>
          </w:p>
        </w:tc>
        <w:tc>
          <w:tcPr>
            <w:tcW w:w="791" w:type="dxa"/>
          </w:tcPr>
          <w:p w14:paraId="0D7D8810" w14:textId="77777777" w:rsidR="00F33674" w:rsidRPr="00F33674" w:rsidRDefault="00F33674" w:rsidP="00F33674">
            <w:pPr>
              <w:jc w:val="left"/>
              <w:rPr>
                <w:rFonts w:ascii="Arial Narrow" w:hAnsi="Arial Narrow" w:cs="Calibri"/>
                <w:color w:val="000000"/>
                <w:sz w:val="20"/>
                <w:szCs w:val="20"/>
                <w:lang w:eastAsia="en-AU"/>
              </w:rPr>
            </w:pPr>
          </w:p>
        </w:tc>
        <w:tc>
          <w:tcPr>
            <w:tcW w:w="2119" w:type="dxa"/>
            <w:vMerge/>
            <w:shd w:val="clear" w:color="auto" w:fill="auto"/>
            <w:noWrap/>
          </w:tcPr>
          <w:p w14:paraId="23D98064" w14:textId="77777777" w:rsidR="00F33674" w:rsidRPr="00F33674" w:rsidRDefault="00F33674" w:rsidP="00F33674">
            <w:pPr>
              <w:jc w:val="left"/>
              <w:rPr>
                <w:rFonts w:ascii="Arial Narrow" w:hAnsi="Arial Narrow" w:cs="Calibri"/>
                <w:color w:val="000000"/>
                <w:sz w:val="20"/>
                <w:szCs w:val="20"/>
                <w:lang w:eastAsia="en-AU"/>
              </w:rPr>
            </w:pPr>
          </w:p>
        </w:tc>
        <w:tc>
          <w:tcPr>
            <w:tcW w:w="790" w:type="dxa"/>
            <w:shd w:val="clear" w:color="auto" w:fill="auto"/>
            <w:noWrap/>
          </w:tcPr>
          <w:p w14:paraId="6A1F471B" w14:textId="77777777" w:rsidR="00F33674" w:rsidRPr="00F33674" w:rsidRDefault="00F33674" w:rsidP="00F33674">
            <w:pPr>
              <w:ind w:right="21"/>
              <w:jc w:val="right"/>
              <w:rPr>
                <w:rFonts w:ascii="Arial Narrow" w:hAnsi="Arial Narrow" w:cs="Calibri"/>
                <w:color w:val="000000"/>
                <w:sz w:val="20"/>
                <w:szCs w:val="20"/>
                <w:lang w:eastAsia="en-AU"/>
              </w:rPr>
            </w:pPr>
          </w:p>
        </w:tc>
        <w:tc>
          <w:tcPr>
            <w:tcW w:w="623" w:type="dxa"/>
            <w:shd w:val="clear" w:color="auto" w:fill="auto"/>
            <w:noWrap/>
          </w:tcPr>
          <w:p w14:paraId="4CF7BB49" w14:textId="77777777" w:rsidR="00F33674" w:rsidRPr="00F33674" w:rsidRDefault="00F33674" w:rsidP="00F33674">
            <w:pPr>
              <w:jc w:val="right"/>
              <w:rPr>
                <w:rFonts w:ascii="Arial Narrow" w:hAnsi="Arial Narrow" w:cs="Calibri"/>
                <w:color w:val="000000"/>
                <w:sz w:val="20"/>
                <w:szCs w:val="20"/>
                <w:lang w:eastAsia="en-AU"/>
              </w:rPr>
            </w:pPr>
          </w:p>
        </w:tc>
        <w:tc>
          <w:tcPr>
            <w:tcW w:w="1794" w:type="dxa"/>
            <w:shd w:val="clear" w:color="auto" w:fill="auto"/>
            <w:noWrap/>
            <w:hideMark/>
          </w:tcPr>
          <w:p w14:paraId="56D8CF9C"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Tramadol AN</w:t>
            </w:r>
          </w:p>
        </w:tc>
        <w:tc>
          <w:tcPr>
            <w:tcW w:w="1580" w:type="dxa"/>
            <w:shd w:val="clear" w:color="auto" w:fill="auto"/>
            <w:noWrap/>
            <w:hideMark/>
          </w:tcPr>
          <w:p w14:paraId="56A189AF"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Amneal Pharmaceuticals Pty Ltd</w:t>
            </w:r>
          </w:p>
        </w:tc>
      </w:tr>
      <w:tr w:rsidR="00F33674" w:rsidRPr="00F33674" w14:paraId="00ABE866" w14:textId="77777777" w:rsidTr="00F33674">
        <w:trPr>
          <w:trHeight w:val="300"/>
        </w:trPr>
        <w:tc>
          <w:tcPr>
            <w:tcW w:w="1329" w:type="dxa"/>
            <w:shd w:val="clear" w:color="auto" w:fill="auto"/>
            <w:noWrap/>
          </w:tcPr>
          <w:p w14:paraId="4395C69E" w14:textId="77777777" w:rsidR="00F33674" w:rsidRPr="00F33674" w:rsidRDefault="00F33674" w:rsidP="00F33674">
            <w:pPr>
              <w:jc w:val="left"/>
              <w:rPr>
                <w:rFonts w:ascii="Arial Narrow" w:hAnsi="Arial Narrow" w:cs="Calibri"/>
                <w:color w:val="000000"/>
                <w:sz w:val="20"/>
                <w:szCs w:val="20"/>
                <w:lang w:eastAsia="en-AU"/>
              </w:rPr>
            </w:pPr>
          </w:p>
        </w:tc>
        <w:tc>
          <w:tcPr>
            <w:tcW w:w="791" w:type="dxa"/>
          </w:tcPr>
          <w:p w14:paraId="63F18366" w14:textId="77777777" w:rsidR="00F33674" w:rsidRPr="00F33674" w:rsidRDefault="00F33674" w:rsidP="00F33674">
            <w:pPr>
              <w:jc w:val="left"/>
              <w:rPr>
                <w:rFonts w:ascii="Arial Narrow" w:hAnsi="Arial Narrow" w:cs="Calibri"/>
                <w:color w:val="000000"/>
                <w:sz w:val="20"/>
                <w:szCs w:val="20"/>
                <w:lang w:eastAsia="en-AU"/>
              </w:rPr>
            </w:pPr>
          </w:p>
        </w:tc>
        <w:tc>
          <w:tcPr>
            <w:tcW w:w="2119" w:type="dxa"/>
            <w:vMerge/>
            <w:shd w:val="clear" w:color="auto" w:fill="auto"/>
            <w:noWrap/>
          </w:tcPr>
          <w:p w14:paraId="434ABE64" w14:textId="77777777" w:rsidR="00F33674" w:rsidRPr="00F33674" w:rsidRDefault="00F33674" w:rsidP="00F33674">
            <w:pPr>
              <w:jc w:val="left"/>
              <w:rPr>
                <w:rFonts w:ascii="Arial Narrow" w:hAnsi="Arial Narrow" w:cs="Calibri"/>
                <w:color w:val="000000"/>
                <w:sz w:val="20"/>
                <w:szCs w:val="20"/>
                <w:lang w:eastAsia="en-AU"/>
              </w:rPr>
            </w:pPr>
          </w:p>
        </w:tc>
        <w:tc>
          <w:tcPr>
            <w:tcW w:w="790" w:type="dxa"/>
            <w:shd w:val="clear" w:color="auto" w:fill="auto"/>
            <w:noWrap/>
          </w:tcPr>
          <w:p w14:paraId="2576D01B" w14:textId="77777777" w:rsidR="00F33674" w:rsidRPr="00F33674" w:rsidRDefault="00F33674" w:rsidP="00F33674">
            <w:pPr>
              <w:ind w:right="21"/>
              <w:jc w:val="right"/>
              <w:rPr>
                <w:rFonts w:ascii="Arial Narrow" w:hAnsi="Arial Narrow" w:cs="Calibri"/>
                <w:color w:val="000000"/>
                <w:sz w:val="20"/>
                <w:szCs w:val="20"/>
                <w:lang w:eastAsia="en-AU"/>
              </w:rPr>
            </w:pPr>
          </w:p>
        </w:tc>
        <w:tc>
          <w:tcPr>
            <w:tcW w:w="623" w:type="dxa"/>
            <w:shd w:val="clear" w:color="auto" w:fill="auto"/>
            <w:noWrap/>
          </w:tcPr>
          <w:p w14:paraId="5A1A641D" w14:textId="77777777" w:rsidR="00F33674" w:rsidRPr="00F33674" w:rsidRDefault="00F33674" w:rsidP="00F33674">
            <w:pPr>
              <w:jc w:val="right"/>
              <w:rPr>
                <w:rFonts w:ascii="Arial Narrow" w:hAnsi="Arial Narrow" w:cs="Calibri"/>
                <w:color w:val="000000"/>
                <w:sz w:val="20"/>
                <w:szCs w:val="20"/>
                <w:lang w:eastAsia="en-AU"/>
              </w:rPr>
            </w:pPr>
          </w:p>
        </w:tc>
        <w:tc>
          <w:tcPr>
            <w:tcW w:w="1794" w:type="dxa"/>
            <w:shd w:val="clear" w:color="auto" w:fill="auto"/>
            <w:noWrap/>
            <w:hideMark/>
          </w:tcPr>
          <w:p w14:paraId="417F913D"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Tramadol SCP</w:t>
            </w:r>
          </w:p>
        </w:tc>
        <w:tc>
          <w:tcPr>
            <w:tcW w:w="1580" w:type="dxa"/>
            <w:shd w:val="clear" w:color="auto" w:fill="auto"/>
            <w:noWrap/>
            <w:hideMark/>
          </w:tcPr>
          <w:p w14:paraId="55F3AFCB"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Pharmacor Pty Limited</w:t>
            </w:r>
          </w:p>
        </w:tc>
      </w:tr>
      <w:tr w:rsidR="00F33674" w:rsidRPr="00F33674" w14:paraId="28B1EECA" w14:textId="77777777" w:rsidTr="00F33674">
        <w:trPr>
          <w:trHeight w:val="300"/>
        </w:trPr>
        <w:tc>
          <w:tcPr>
            <w:tcW w:w="1329" w:type="dxa"/>
            <w:shd w:val="clear" w:color="auto" w:fill="auto"/>
            <w:noWrap/>
          </w:tcPr>
          <w:p w14:paraId="5DFF48E0" w14:textId="77777777" w:rsidR="00F33674" w:rsidRPr="00F33674" w:rsidRDefault="00F33674" w:rsidP="00F33674">
            <w:pPr>
              <w:jc w:val="left"/>
              <w:rPr>
                <w:rFonts w:ascii="Arial Narrow" w:hAnsi="Arial Narrow" w:cs="Calibri"/>
                <w:color w:val="000000"/>
                <w:sz w:val="20"/>
                <w:szCs w:val="20"/>
                <w:lang w:eastAsia="en-AU"/>
              </w:rPr>
            </w:pPr>
          </w:p>
        </w:tc>
        <w:tc>
          <w:tcPr>
            <w:tcW w:w="791" w:type="dxa"/>
          </w:tcPr>
          <w:p w14:paraId="259B9F95" w14:textId="77777777" w:rsidR="00F33674" w:rsidRPr="00F33674" w:rsidRDefault="00F33674" w:rsidP="00F33674">
            <w:pPr>
              <w:jc w:val="left"/>
              <w:rPr>
                <w:rFonts w:ascii="Arial Narrow" w:hAnsi="Arial Narrow" w:cs="Calibri"/>
                <w:color w:val="000000"/>
                <w:sz w:val="20"/>
                <w:szCs w:val="20"/>
                <w:lang w:eastAsia="en-AU"/>
              </w:rPr>
            </w:pPr>
          </w:p>
        </w:tc>
        <w:tc>
          <w:tcPr>
            <w:tcW w:w="2119" w:type="dxa"/>
            <w:vMerge/>
            <w:shd w:val="clear" w:color="auto" w:fill="auto"/>
            <w:noWrap/>
          </w:tcPr>
          <w:p w14:paraId="5E45CCC7" w14:textId="77777777" w:rsidR="00F33674" w:rsidRPr="00F33674" w:rsidRDefault="00F33674" w:rsidP="00F33674">
            <w:pPr>
              <w:jc w:val="left"/>
              <w:rPr>
                <w:rFonts w:ascii="Arial Narrow" w:hAnsi="Arial Narrow" w:cs="Calibri"/>
                <w:color w:val="000000"/>
                <w:sz w:val="20"/>
                <w:szCs w:val="20"/>
                <w:lang w:eastAsia="en-AU"/>
              </w:rPr>
            </w:pPr>
          </w:p>
        </w:tc>
        <w:tc>
          <w:tcPr>
            <w:tcW w:w="790" w:type="dxa"/>
            <w:shd w:val="clear" w:color="auto" w:fill="auto"/>
            <w:noWrap/>
          </w:tcPr>
          <w:p w14:paraId="36CDCA3B" w14:textId="77777777" w:rsidR="00F33674" w:rsidRPr="00F33674" w:rsidRDefault="00F33674" w:rsidP="00F33674">
            <w:pPr>
              <w:ind w:right="21"/>
              <w:jc w:val="right"/>
              <w:rPr>
                <w:rFonts w:ascii="Arial Narrow" w:hAnsi="Arial Narrow" w:cs="Calibri"/>
                <w:color w:val="000000"/>
                <w:sz w:val="20"/>
                <w:szCs w:val="20"/>
                <w:lang w:eastAsia="en-AU"/>
              </w:rPr>
            </w:pPr>
          </w:p>
        </w:tc>
        <w:tc>
          <w:tcPr>
            <w:tcW w:w="623" w:type="dxa"/>
            <w:shd w:val="clear" w:color="auto" w:fill="auto"/>
            <w:noWrap/>
          </w:tcPr>
          <w:p w14:paraId="0FD40E68" w14:textId="77777777" w:rsidR="00F33674" w:rsidRPr="00F33674" w:rsidRDefault="00F33674" w:rsidP="00F33674">
            <w:pPr>
              <w:jc w:val="right"/>
              <w:rPr>
                <w:rFonts w:ascii="Arial Narrow" w:hAnsi="Arial Narrow" w:cs="Calibri"/>
                <w:color w:val="000000"/>
                <w:sz w:val="20"/>
                <w:szCs w:val="20"/>
                <w:lang w:eastAsia="en-AU"/>
              </w:rPr>
            </w:pPr>
          </w:p>
        </w:tc>
        <w:tc>
          <w:tcPr>
            <w:tcW w:w="1794" w:type="dxa"/>
            <w:shd w:val="clear" w:color="auto" w:fill="auto"/>
            <w:noWrap/>
            <w:hideMark/>
          </w:tcPr>
          <w:p w14:paraId="55395E82"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Tramadol Sandoz</w:t>
            </w:r>
          </w:p>
        </w:tc>
        <w:tc>
          <w:tcPr>
            <w:tcW w:w="1580" w:type="dxa"/>
            <w:shd w:val="clear" w:color="auto" w:fill="auto"/>
            <w:noWrap/>
            <w:hideMark/>
          </w:tcPr>
          <w:p w14:paraId="14EB79F2"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Sandoz Pty Ltd</w:t>
            </w:r>
          </w:p>
        </w:tc>
      </w:tr>
      <w:tr w:rsidR="00F33674" w:rsidRPr="00F33674" w14:paraId="7BC588D8" w14:textId="77777777" w:rsidTr="00F33674">
        <w:trPr>
          <w:trHeight w:val="300"/>
        </w:trPr>
        <w:tc>
          <w:tcPr>
            <w:tcW w:w="1329" w:type="dxa"/>
            <w:shd w:val="clear" w:color="auto" w:fill="auto"/>
            <w:noWrap/>
          </w:tcPr>
          <w:p w14:paraId="4D2285DC" w14:textId="77777777" w:rsidR="00F33674" w:rsidRPr="00F33674" w:rsidRDefault="00F33674" w:rsidP="00F33674">
            <w:pPr>
              <w:jc w:val="left"/>
              <w:rPr>
                <w:rFonts w:ascii="Arial Narrow" w:hAnsi="Arial Narrow" w:cs="Calibri"/>
                <w:color w:val="000000"/>
                <w:sz w:val="20"/>
                <w:szCs w:val="20"/>
                <w:lang w:eastAsia="en-AU"/>
              </w:rPr>
            </w:pPr>
          </w:p>
        </w:tc>
        <w:tc>
          <w:tcPr>
            <w:tcW w:w="791" w:type="dxa"/>
          </w:tcPr>
          <w:p w14:paraId="407637E4" w14:textId="77777777" w:rsidR="00F33674" w:rsidRPr="00F33674" w:rsidRDefault="00F33674" w:rsidP="00F33674">
            <w:pPr>
              <w:jc w:val="left"/>
              <w:rPr>
                <w:rFonts w:ascii="Arial Narrow" w:hAnsi="Arial Narrow" w:cs="Calibri"/>
                <w:color w:val="000000"/>
                <w:sz w:val="20"/>
                <w:szCs w:val="20"/>
                <w:lang w:eastAsia="en-AU"/>
              </w:rPr>
            </w:pPr>
          </w:p>
        </w:tc>
        <w:tc>
          <w:tcPr>
            <w:tcW w:w="2119" w:type="dxa"/>
            <w:vMerge/>
            <w:shd w:val="clear" w:color="auto" w:fill="auto"/>
            <w:noWrap/>
          </w:tcPr>
          <w:p w14:paraId="124B000B" w14:textId="77777777" w:rsidR="00F33674" w:rsidRPr="00F33674" w:rsidRDefault="00F33674" w:rsidP="00F33674">
            <w:pPr>
              <w:jc w:val="left"/>
              <w:rPr>
                <w:rFonts w:ascii="Arial Narrow" w:hAnsi="Arial Narrow" w:cs="Calibri"/>
                <w:color w:val="000000"/>
                <w:sz w:val="20"/>
                <w:szCs w:val="20"/>
                <w:lang w:eastAsia="en-AU"/>
              </w:rPr>
            </w:pPr>
          </w:p>
        </w:tc>
        <w:tc>
          <w:tcPr>
            <w:tcW w:w="790" w:type="dxa"/>
            <w:shd w:val="clear" w:color="auto" w:fill="auto"/>
            <w:noWrap/>
          </w:tcPr>
          <w:p w14:paraId="624D7425" w14:textId="77777777" w:rsidR="00F33674" w:rsidRPr="00F33674" w:rsidRDefault="00F33674" w:rsidP="00F33674">
            <w:pPr>
              <w:ind w:right="21"/>
              <w:jc w:val="right"/>
              <w:rPr>
                <w:rFonts w:ascii="Arial Narrow" w:hAnsi="Arial Narrow" w:cs="Calibri"/>
                <w:color w:val="000000"/>
                <w:sz w:val="20"/>
                <w:szCs w:val="20"/>
                <w:lang w:eastAsia="en-AU"/>
              </w:rPr>
            </w:pPr>
          </w:p>
        </w:tc>
        <w:tc>
          <w:tcPr>
            <w:tcW w:w="623" w:type="dxa"/>
            <w:shd w:val="clear" w:color="auto" w:fill="auto"/>
            <w:noWrap/>
          </w:tcPr>
          <w:p w14:paraId="506D9A97" w14:textId="77777777" w:rsidR="00F33674" w:rsidRPr="00F33674" w:rsidRDefault="00F33674" w:rsidP="00F33674">
            <w:pPr>
              <w:jc w:val="right"/>
              <w:rPr>
                <w:rFonts w:ascii="Arial Narrow" w:hAnsi="Arial Narrow" w:cs="Calibri"/>
                <w:color w:val="000000"/>
                <w:sz w:val="20"/>
                <w:szCs w:val="20"/>
                <w:lang w:eastAsia="en-AU"/>
              </w:rPr>
            </w:pPr>
          </w:p>
        </w:tc>
        <w:tc>
          <w:tcPr>
            <w:tcW w:w="1794" w:type="dxa"/>
            <w:shd w:val="clear" w:color="auto" w:fill="auto"/>
            <w:noWrap/>
            <w:hideMark/>
          </w:tcPr>
          <w:p w14:paraId="17D062F5"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Tramal</w:t>
            </w:r>
          </w:p>
        </w:tc>
        <w:tc>
          <w:tcPr>
            <w:tcW w:w="1580" w:type="dxa"/>
            <w:shd w:val="clear" w:color="auto" w:fill="auto"/>
            <w:noWrap/>
            <w:hideMark/>
          </w:tcPr>
          <w:p w14:paraId="30710B26"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Seqirus (Australia) Pty Ltd</w:t>
            </w:r>
          </w:p>
        </w:tc>
      </w:tr>
      <w:tr w:rsidR="00F33674" w:rsidRPr="00F33674" w14:paraId="4E13235B" w14:textId="77777777" w:rsidTr="00F33674">
        <w:trPr>
          <w:trHeight w:val="300"/>
        </w:trPr>
        <w:tc>
          <w:tcPr>
            <w:tcW w:w="1329" w:type="dxa"/>
            <w:shd w:val="clear" w:color="auto" w:fill="auto"/>
            <w:noWrap/>
          </w:tcPr>
          <w:p w14:paraId="641FB0B7" w14:textId="77777777" w:rsidR="00F33674" w:rsidRPr="00F33674" w:rsidRDefault="00F33674" w:rsidP="00F33674">
            <w:pPr>
              <w:jc w:val="left"/>
              <w:rPr>
                <w:rFonts w:ascii="Arial Narrow" w:hAnsi="Arial Narrow" w:cs="Calibri"/>
                <w:color w:val="000000"/>
                <w:sz w:val="20"/>
                <w:szCs w:val="20"/>
                <w:lang w:eastAsia="en-AU"/>
              </w:rPr>
            </w:pPr>
          </w:p>
        </w:tc>
        <w:tc>
          <w:tcPr>
            <w:tcW w:w="791" w:type="dxa"/>
          </w:tcPr>
          <w:p w14:paraId="2ECB4C33" w14:textId="77777777" w:rsidR="00F33674" w:rsidRPr="00F33674" w:rsidRDefault="00F33674" w:rsidP="00F33674">
            <w:pPr>
              <w:jc w:val="left"/>
              <w:rPr>
                <w:rFonts w:ascii="Arial Narrow" w:hAnsi="Arial Narrow" w:cs="Calibri"/>
                <w:color w:val="000000"/>
                <w:sz w:val="20"/>
                <w:szCs w:val="20"/>
                <w:lang w:eastAsia="en-AU"/>
              </w:rPr>
            </w:pPr>
          </w:p>
        </w:tc>
        <w:tc>
          <w:tcPr>
            <w:tcW w:w="2119" w:type="dxa"/>
            <w:vMerge/>
            <w:shd w:val="clear" w:color="auto" w:fill="auto"/>
            <w:noWrap/>
          </w:tcPr>
          <w:p w14:paraId="483713B3" w14:textId="77777777" w:rsidR="00F33674" w:rsidRPr="00F33674" w:rsidRDefault="00F33674" w:rsidP="00F33674">
            <w:pPr>
              <w:jc w:val="left"/>
              <w:rPr>
                <w:rFonts w:ascii="Arial Narrow" w:hAnsi="Arial Narrow" w:cs="Calibri"/>
                <w:color w:val="000000"/>
                <w:sz w:val="20"/>
                <w:szCs w:val="20"/>
                <w:lang w:eastAsia="en-AU"/>
              </w:rPr>
            </w:pPr>
          </w:p>
        </w:tc>
        <w:tc>
          <w:tcPr>
            <w:tcW w:w="790" w:type="dxa"/>
            <w:shd w:val="clear" w:color="auto" w:fill="auto"/>
            <w:noWrap/>
          </w:tcPr>
          <w:p w14:paraId="03FB8556" w14:textId="77777777" w:rsidR="00F33674" w:rsidRPr="00F33674" w:rsidRDefault="00F33674" w:rsidP="00F33674">
            <w:pPr>
              <w:ind w:right="21"/>
              <w:jc w:val="right"/>
              <w:rPr>
                <w:rFonts w:ascii="Arial Narrow" w:hAnsi="Arial Narrow" w:cs="Calibri"/>
                <w:color w:val="000000"/>
                <w:sz w:val="20"/>
                <w:szCs w:val="20"/>
                <w:lang w:eastAsia="en-AU"/>
              </w:rPr>
            </w:pPr>
          </w:p>
        </w:tc>
        <w:tc>
          <w:tcPr>
            <w:tcW w:w="623" w:type="dxa"/>
            <w:shd w:val="clear" w:color="auto" w:fill="auto"/>
            <w:noWrap/>
          </w:tcPr>
          <w:p w14:paraId="6336D668" w14:textId="77777777" w:rsidR="00F33674" w:rsidRPr="00F33674" w:rsidRDefault="00F33674" w:rsidP="00F33674">
            <w:pPr>
              <w:jc w:val="right"/>
              <w:rPr>
                <w:rFonts w:ascii="Arial Narrow" w:hAnsi="Arial Narrow" w:cs="Calibri"/>
                <w:color w:val="000000"/>
                <w:sz w:val="20"/>
                <w:szCs w:val="20"/>
                <w:lang w:eastAsia="en-AU"/>
              </w:rPr>
            </w:pPr>
          </w:p>
        </w:tc>
        <w:tc>
          <w:tcPr>
            <w:tcW w:w="1794" w:type="dxa"/>
            <w:shd w:val="clear" w:color="auto" w:fill="auto"/>
            <w:noWrap/>
            <w:hideMark/>
          </w:tcPr>
          <w:p w14:paraId="49CC4D64"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Tramedo</w:t>
            </w:r>
          </w:p>
        </w:tc>
        <w:tc>
          <w:tcPr>
            <w:tcW w:w="1580" w:type="dxa"/>
            <w:shd w:val="clear" w:color="auto" w:fill="auto"/>
            <w:noWrap/>
            <w:hideMark/>
          </w:tcPr>
          <w:p w14:paraId="3DC1C79A"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Alphapharm Pty Ltd</w:t>
            </w:r>
          </w:p>
        </w:tc>
      </w:tr>
      <w:tr w:rsidR="00F33674" w:rsidRPr="00F33674" w14:paraId="2DB16E9A" w14:textId="77777777" w:rsidTr="00F33674">
        <w:trPr>
          <w:trHeight w:val="300"/>
        </w:trPr>
        <w:tc>
          <w:tcPr>
            <w:tcW w:w="1329" w:type="dxa"/>
            <w:shd w:val="clear" w:color="auto" w:fill="auto"/>
            <w:noWrap/>
          </w:tcPr>
          <w:p w14:paraId="4F402DAE" w14:textId="77777777" w:rsidR="00F33674" w:rsidRPr="00F33674" w:rsidRDefault="00F33674" w:rsidP="00F33674">
            <w:pPr>
              <w:jc w:val="left"/>
              <w:rPr>
                <w:rFonts w:ascii="Arial Narrow" w:hAnsi="Arial Narrow" w:cs="Calibri"/>
                <w:color w:val="000000"/>
                <w:sz w:val="20"/>
                <w:szCs w:val="20"/>
                <w:lang w:eastAsia="en-AU"/>
              </w:rPr>
            </w:pPr>
          </w:p>
        </w:tc>
        <w:tc>
          <w:tcPr>
            <w:tcW w:w="791" w:type="dxa"/>
          </w:tcPr>
          <w:p w14:paraId="6C253AF5" w14:textId="77777777" w:rsidR="00F33674" w:rsidRPr="00F33674" w:rsidRDefault="00F33674" w:rsidP="00F33674">
            <w:pPr>
              <w:jc w:val="left"/>
              <w:rPr>
                <w:rFonts w:ascii="Arial Narrow" w:hAnsi="Arial Narrow" w:cs="Calibri"/>
                <w:color w:val="000000"/>
                <w:sz w:val="20"/>
                <w:szCs w:val="20"/>
                <w:lang w:eastAsia="en-AU"/>
              </w:rPr>
            </w:pPr>
          </w:p>
        </w:tc>
        <w:tc>
          <w:tcPr>
            <w:tcW w:w="2119" w:type="dxa"/>
            <w:vMerge/>
            <w:shd w:val="clear" w:color="auto" w:fill="auto"/>
            <w:noWrap/>
          </w:tcPr>
          <w:p w14:paraId="6B53C588" w14:textId="77777777" w:rsidR="00F33674" w:rsidRPr="00F33674" w:rsidRDefault="00F33674" w:rsidP="00F33674">
            <w:pPr>
              <w:jc w:val="left"/>
              <w:rPr>
                <w:rFonts w:ascii="Arial Narrow" w:hAnsi="Arial Narrow" w:cs="Calibri"/>
                <w:color w:val="000000"/>
                <w:sz w:val="20"/>
                <w:szCs w:val="20"/>
                <w:lang w:eastAsia="en-AU"/>
              </w:rPr>
            </w:pPr>
          </w:p>
        </w:tc>
        <w:tc>
          <w:tcPr>
            <w:tcW w:w="790" w:type="dxa"/>
            <w:shd w:val="clear" w:color="auto" w:fill="auto"/>
            <w:noWrap/>
          </w:tcPr>
          <w:p w14:paraId="07CDEE6B" w14:textId="77777777" w:rsidR="00F33674" w:rsidRPr="00F33674" w:rsidRDefault="00F33674" w:rsidP="00F33674">
            <w:pPr>
              <w:ind w:right="21"/>
              <w:jc w:val="right"/>
              <w:rPr>
                <w:rFonts w:ascii="Arial Narrow" w:hAnsi="Arial Narrow" w:cs="Calibri"/>
                <w:color w:val="000000"/>
                <w:sz w:val="20"/>
                <w:szCs w:val="20"/>
                <w:lang w:eastAsia="en-AU"/>
              </w:rPr>
            </w:pPr>
          </w:p>
        </w:tc>
        <w:tc>
          <w:tcPr>
            <w:tcW w:w="623" w:type="dxa"/>
            <w:shd w:val="clear" w:color="auto" w:fill="auto"/>
            <w:noWrap/>
          </w:tcPr>
          <w:p w14:paraId="024023AA" w14:textId="77777777" w:rsidR="00F33674" w:rsidRPr="00F33674" w:rsidRDefault="00F33674" w:rsidP="00F33674">
            <w:pPr>
              <w:jc w:val="right"/>
              <w:rPr>
                <w:rFonts w:ascii="Arial Narrow" w:hAnsi="Arial Narrow" w:cs="Calibri"/>
                <w:color w:val="000000"/>
                <w:sz w:val="20"/>
                <w:szCs w:val="20"/>
                <w:lang w:eastAsia="en-AU"/>
              </w:rPr>
            </w:pPr>
          </w:p>
        </w:tc>
        <w:tc>
          <w:tcPr>
            <w:tcW w:w="1794" w:type="dxa"/>
            <w:shd w:val="clear" w:color="auto" w:fill="auto"/>
            <w:noWrap/>
            <w:hideMark/>
          </w:tcPr>
          <w:p w14:paraId="71A4EB59"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Zydol</w:t>
            </w:r>
          </w:p>
        </w:tc>
        <w:tc>
          <w:tcPr>
            <w:tcW w:w="1580" w:type="dxa"/>
            <w:shd w:val="clear" w:color="auto" w:fill="auto"/>
            <w:noWrap/>
            <w:hideMark/>
          </w:tcPr>
          <w:p w14:paraId="5EE5B72F"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Arrow Pharma Pty Ltd</w:t>
            </w:r>
          </w:p>
        </w:tc>
      </w:tr>
      <w:tr w:rsidR="00F33674" w:rsidRPr="00F33674" w14:paraId="290256D6" w14:textId="77777777" w:rsidTr="00F33674">
        <w:trPr>
          <w:trHeight w:val="300"/>
        </w:trPr>
        <w:tc>
          <w:tcPr>
            <w:tcW w:w="1329" w:type="dxa"/>
            <w:shd w:val="clear" w:color="auto" w:fill="auto"/>
            <w:noWrap/>
            <w:hideMark/>
          </w:tcPr>
          <w:p w14:paraId="0AECCC56" w14:textId="77777777" w:rsidR="00F33674" w:rsidRPr="00F33674" w:rsidRDefault="00F33674" w:rsidP="00F33674">
            <w:pPr>
              <w:jc w:val="left"/>
              <w:rPr>
                <w:rFonts w:ascii="Arial Narrow" w:hAnsi="Arial Narrow" w:cs="Calibri"/>
                <w:color w:val="000000"/>
                <w:sz w:val="20"/>
                <w:szCs w:val="20"/>
                <w:lang w:eastAsia="en-AU"/>
              </w:rPr>
            </w:pPr>
          </w:p>
        </w:tc>
        <w:tc>
          <w:tcPr>
            <w:tcW w:w="791" w:type="dxa"/>
          </w:tcPr>
          <w:p w14:paraId="3967B02C"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5150C</w:t>
            </w:r>
          </w:p>
        </w:tc>
        <w:tc>
          <w:tcPr>
            <w:tcW w:w="2119" w:type="dxa"/>
            <w:shd w:val="clear" w:color="auto" w:fill="auto"/>
            <w:noWrap/>
            <w:hideMark/>
          </w:tcPr>
          <w:p w14:paraId="59DE52E9"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Oral drops containing tramadol hydrochloride 100 mg per mL, 10 mL</w:t>
            </w:r>
          </w:p>
        </w:tc>
        <w:tc>
          <w:tcPr>
            <w:tcW w:w="790" w:type="dxa"/>
            <w:shd w:val="clear" w:color="auto" w:fill="auto"/>
            <w:noWrap/>
            <w:hideMark/>
          </w:tcPr>
          <w:p w14:paraId="411FA70F" w14:textId="77777777" w:rsidR="00F33674" w:rsidRPr="00F33674" w:rsidRDefault="00F33674" w:rsidP="00F33674">
            <w:pPr>
              <w:ind w:right="21"/>
              <w:jc w:val="righ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1</w:t>
            </w:r>
          </w:p>
        </w:tc>
        <w:tc>
          <w:tcPr>
            <w:tcW w:w="623" w:type="dxa"/>
            <w:shd w:val="clear" w:color="auto" w:fill="auto"/>
            <w:noWrap/>
            <w:hideMark/>
          </w:tcPr>
          <w:p w14:paraId="7658D24C" w14:textId="77777777" w:rsidR="00F33674" w:rsidRPr="00F33674" w:rsidRDefault="00F33674" w:rsidP="00F33674">
            <w:pPr>
              <w:jc w:val="righ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0</w:t>
            </w:r>
          </w:p>
        </w:tc>
        <w:tc>
          <w:tcPr>
            <w:tcW w:w="1794" w:type="dxa"/>
            <w:shd w:val="clear" w:color="auto" w:fill="auto"/>
            <w:noWrap/>
            <w:hideMark/>
          </w:tcPr>
          <w:p w14:paraId="4888A45F"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Tramal</w:t>
            </w:r>
          </w:p>
        </w:tc>
        <w:tc>
          <w:tcPr>
            <w:tcW w:w="1580" w:type="dxa"/>
            <w:shd w:val="clear" w:color="auto" w:fill="auto"/>
            <w:noWrap/>
            <w:hideMark/>
          </w:tcPr>
          <w:p w14:paraId="3D16A69B"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Seqirus (Australia) Pty Ltd</w:t>
            </w:r>
          </w:p>
        </w:tc>
      </w:tr>
    </w:tbl>
    <w:p w14:paraId="59CA1101" w14:textId="77777777" w:rsidR="00F33674" w:rsidRPr="00F33674" w:rsidRDefault="00F33674" w:rsidP="00F33674">
      <w:pPr>
        <w:ind w:left="360" w:hanging="360"/>
        <w:contextualSpacing/>
        <w:jc w:val="left"/>
      </w:pPr>
    </w:p>
    <w:tbl>
      <w:tblPr>
        <w:tblW w:w="9214" w:type="dxa"/>
        <w:tblInd w:w="-5" w:type="dxa"/>
        <w:tblLayout w:type="fixed"/>
        <w:tblLook w:val="0000" w:firstRow="0" w:lastRow="0" w:firstColumn="0" w:lastColumn="0" w:noHBand="0" w:noVBand="0"/>
      </w:tblPr>
      <w:tblGrid>
        <w:gridCol w:w="2835"/>
        <w:gridCol w:w="6379"/>
      </w:tblGrid>
      <w:tr w:rsidR="00F33674" w:rsidRPr="00F33674" w14:paraId="0FA4B102" w14:textId="77777777" w:rsidTr="00F33674">
        <w:trPr>
          <w:cantSplit/>
          <w:trHeight w:val="360"/>
        </w:trPr>
        <w:tc>
          <w:tcPr>
            <w:tcW w:w="2835" w:type="dxa"/>
            <w:tcBorders>
              <w:top w:val="single" w:sz="4" w:space="0" w:color="auto"/>
              <w:left w:val="single" w:sz="4" w:space="0" w:color="auto"/>
              <w:bottom w:val="single" w:sz="4" w:space="0" w:color="auto"/>
              <w:right w:val="single" w:sz="4" w:space="0" w:color="auto"/>
            </w:tcBorders>
          </w:tcPr>
          <w:p w14:paraId="37FB3538" w14:textId="77777777" w:rsidR="00F33674" w:rsidRPr="00F33674" w:rsidRDefault="00F33674" w:rsidP="00F33674">
            <w:pPr>
              <w:rPr>
                <w:rFonts w:ascii="Arial Narrow" w:hAnsi="Arial Narrow" w:cs="Arial"/>
                <w:b/>
                <w:sz w:val="20"/>
                <w:szCs w:val="20"/>
              </w:rPr>
            </w:pPr>
            <w:r w:rsidRPr="00F33674">
              <w:rPr>
                <w:rFonts w:ascii="Arial Narrow" w:hAnsi="Arial Narrow" w:cs="Arial"/>
                <w:b/>
                <w:sz w:val="20"/>
                <w:szCs w:val="20"/>
              </w:rPr>
              <w:t>Category / Program:</w:t>
            </w:r>
          </w:p>
        </w:tc>
        <w:tc>
          <w:tcPr>
            <w:tcW w:w="6379" w:type="dxa"/>
            <w:tcBorders>
              <w:top w:val="single" w:sz="4" w:space="0" w:color="auto"/>
              <w:left w:val="single" w:sz="4" w:space="0" w:color="auto"/>
              <w:bottom w:val="single" w:sz="4" w:space="0" w:color="auto"/>
              <w:right w:val="single" w:sz="4" w:space="0" w:color="auto"/>
            </w:tcBorders>
          </w:tcPr>
          <w:p w14:paraId="3B3587BA" w14:textId="77777777" w:rsidR="00F33674" w:rsidRPr="00F33674" w:rsidRDefault="00F33674" w:rsidP="00F33674">
            <w:pPr>
              <w:rPr>
                <w:rFonts w:ascii="Arial Narrow" w:hAnsi="Arial Narrow" w:cs="Arial"/>
                <w:sz w:val="20"/>
                <w:szCs w:val="20"/>
              </w:rPr>
            </w:pPr>
            <w:r w:rsidRPr="00F33674">
              <w:rPr>
                <w:rFonts w:ascii="Arial Narrow" w:hAnsi="Arial Narrow" w:cs="Arial"/>
                <w:sz w:val="20"/>
                <w:szCs w:val="20"/>
              </w:rPr>
              <w:t>GENERAL – General Schedule (Code GE)</w:t>
            </w:r>
          </w:p>
        </w:tc>
      </w:tr>
      <w:tr w:rsidR="00F33674" w:rsidRPr="00F33674" w14:paraId="420B3572" w14:textId="77777777" w:rsidTr="00F33674">
        <w:trPr>
          <w:cantSplit/>
          <w:trHeight w:val="360"/>
        </w:trPr>
        <w:tc>
          <w:tcPr>
            <w:tcW w:w="2835" w:type="dxa"/>
            <w:tcBorders>
              <w:top w:val="single" w:sz="4" w:space="0" w:color="auto"/>
              <w:left w:val="single" w:sz="4" w:space="0" w:color="auto"/>
              <w:bottom w:val="single" w:sz="4" w:space="0" w:color="auto"/>
              <w:right w:val="single" w:sz="4" w:space="0" w:color="auto"/>
            </w:tcBorders>
          </w:tcPr>
          <w:p w14:paraId="3C274350" w14:textId="77777777" w:rsidR="00F33674" w:rsidRPr="00F33674" w:rsidRDefault="00F33674" w:rsidP="00F33674">
            <w:pPr>
              <w:rPr>
                <w:rFonts w:ascii="Arial Narrow" w:hAnsi="Arial Narrow" w:cs="Arial"/>
                <w:b/>
                <w:sz w:val="20"/>
                <w:szCs w:val="20"/>
              </w:rPr>
            </w:pPr>
            <w:r w:rsidRPr="00F33674">
              <w:rPr>
                <w:rFonts w:ascii="Arial Narrow" w:hAnsi="Arial Narrow" w:cs="Arial"/>
                <w:b/>
                <w:sz w:val="20"/>
                <w:szCs w:val="20"/>
              </w:rPr>
              <w:t>Prescriber type:</w:t>
            </w:r>
          </w:p>
          <w:p w14:paraId="494E26A2" w14:textId="77777777" w:rsidR="00F33674" w:rsidRPr="00F33674" w:rsidRDefault="00F33674" w:rsidP="00F33674">
            <w:pPr>
              <w:rPr>
                <w:rFonts w:ascii="Arial Narrow" w:hAnsi="Arial Narrow" w:cs="Arial"/>
                <w:b/>
                <w:sz w:val="20"/>
                <w:szCs w:val="20"/>
              </w:rPr>
            </w:pPr>
          </w:p>
        </w:tc>
        <w:tc>
          <w:tcPr>
            <w:tcW w:w="6379" w:type="dxa"/>
            <w:tcBorders>
              <w:top w:val="single" w:sz="4" w:space="0" w:color="auto"/>
              <w:left w:val="single" w:sz="4" w:space="0" w:color="auto"/>
              <w:bottom w:val="single" w:sz="4" w:space="0" w:color="auto"/>
              <w:right w:val="single" w:sz="4" w:space="0" w:color="auto"/>
            </w:tcBorders>
          </w:tcPr>
          <w:p w14:paraId="562CF522" w14:textId="3399CA0C" w:rsidR="00F33674" w:rsidRPr="00F33674" w:rsidRDefault="00F33674" w:rsidP="00F33674">
            <w:pPr>
              <w:rPr>
                <w:rFonts w:ascii="Arial Narrow" w:hAnsi="Arial Narrow" w:cs="Arial"/>
                <w:sz w:val="20"/>
                <w:szCs w:val="20"/>
              </w:rPr>
            </w:pPr>
            <w:r w:rsidRPr="00F33674">
              <w:rPr>
                <w:rFonts w:ascii="Arial Narrow" w:hAnsi="Arial Narrow" w:cs="Arial"/>
                <w:sz w:val="20"/>
                <w:szCs w:val="20"/>
              </w:rPr>
              <w:fldChar w:fldCharType="begin">
                <w:ffData>
                  <w:name w:val=""/>
                  <w:enabled/>
                  <w:calcOnExit w:val="0"/>
                  <w:checkBox>
                    <w:sizeAuto/>
                    <w:default w:val="1"/>
                  </w:checkBox>
                </w:ffData>
              </w:fldChar>
            </w:r>
            <w:r w:rsidRPr="00F33674">
              <w:rPr>
                <w:rFonts w:ascii="Arial Narrow" w:hAnsi="Arial Narrow" w:cs="Arial"/>
                <w:sz w:val="20"/>
                <w:szCs w:val="20"/>
              </w:rPr>
              <w:instrText xml:space="preserve"> FORMCHECKBOX </w:instrText>
            </w:r>
            <w:r w:rsidR="00233D13">
              <w:rPr>
                <w:rFonts w:ascii="Arial Narrow" w:hAnsi="Arial Narrow" w:cs="Arial"/>
                <w:sz w:val="20"/>
                <w:szCs w:val="20"/>
              </w:rPr>
            </w:r>
            <w:r w:rsidR="00233D13">
              <w:rPr>
                <w:rFonts w:ascii="Arial Narrow" w:hAnsi="Arial Narrow" w:cs="Arial"/>
                <w:sz w:val="20"/>
                <w:szCs w:val="20"/>
              </w:rPr>
              <w:fldChar w:fldCharType="separate"/>
            </w:r>
            <w:r w:rsidRPr="00F33674">
              <w:rPr>
                <w:rFonts w:ascii="Arial Narrow" w:hAnsi="Arial Narrow" w:cs="Arial"/>
                <w:sz w:val="20"/>
                <w:szCs w:val="20"/>
              </w:rPr>
              <w:fldChar w:fldCharType="end"/>
            </w:r>
            <w:r w:rsidRPr="00F33674">
              <w:rPr>
                <w:rFonts w:ascii="Arial Narrow" w:hAnsi="Arial Narrow" w:cs="Arial"/>
                <w:sz w:val="20"/>
                <w:szCs w:val="20"/>
              </w:rPr>
              <w:t>Dental</w:t>
            </w:r>
            <w:r w:rsidR="002C1329">
              <w:rPr>
                <w:rFonts w:ascii="Arial Narrow" w:hAnsi="Arial Narrow" w:cs="Arial"/>
                <w:sz w:val="20"/>
                <w:szCs w:val="20"/>
              </w:rPr>
              <w:t xml:space="preserve"> </w:t>
            </w:r>
            <w:r w:rsidRPr="00F33674">
              <w:rPr>
                <w:rFonts w:ascii="Arial Narrow" w:hAnsi="Arial Narrow" w:cs="Arial"/>
                <w:sz w:val="20"/>
                <w:szCs w:val="20"/>
              </w:rPr>
              <w:fldChar w:fldCharType="begin">
                <w:ffData>
                  <w:name w:val=""/>
                  <w:enabled/>
                  <w:calcOnExit w:val="0"/>
                  <w:checkBox>
                    <w:sizeAuto/>
                    <w:default w:val="0"/>
                  </w:checkBox>
                </w:ffData>
              </w:fldChar>
            </w:r>
            <w:r w:rsidRPr="00F33674">
              <w:rPr>
                <w:rFonts w:ascii="Arial Narrow" w:hAnsi="Arial Narrow" w:cs="Arial"/>
                <w:sz w:val="20"/>
                <w:szCs w:val="20"/>
              </w:rPr>
              <w:instrText xml:space="preserve"> FORMCHECKBOX </w:instrText>
            </w:r>
            <w:r w:rsidR="00233D13">
              <w:rPr>
                <w:rFonts w:ascii="Arial Narrow" w:hAnsi="Arial Narrow" w:cs="Arial"/>
                <w:sz w:val="20"/>
                <w:szCs w:val="20"/>
              </w:rPr>
            </w:r>
            <w:r w:rsidR="00233D13">
              <w:rPr>
                <w:rFonts w:ascii="Arial Narrow" w:hAnsi="Arial Narrow" w:cs="Arial"/>
                <w:sz w:val="20"/>
                <w:szCs w:val="20"/>
              </w:rPr>
              <w:fldChar w:fldCharType="separate"/>
            </w:r>
            <w:r w:rsidRPr="00F33674">
              <w:rPr>
                <w:rFonts w:ascii="Arial Narrow" w:hAnsi="Arial Narrow" w:cs="Arial"/>
                <w:sz w:val="20"/>
                <w:szCs w:val="20"/>
              </w:rPr>
              <w:fldChar w:fldCharType="end"/>
            </w:r>
            <w:r w:rsidRPr="00F33674">
              <w:rPr>
                <w:rFonts w:ascii="Arial Narrow" w:hAnsi="Arial Narrow" w:cs="Arial"/>
                <w:sz w:val="20"/>
                <w:szCs w:val="20"/>
              </w:rPr>
              <w:t>Medical Practitioners</w:t>
            </w:r>
            <w:r w:rsidR="002C1329">
              <w:rPr>
                <w:rFonts w:ascii="Arial Narrow" w:hAnsi="Arial Narrow" w:cs="Arial"/>
                <w:sz w:val="20"/>
                <w:szCs w:val="20"/>
              </w:rPr>
              <w:t xml:space="preserve"> </w:t>
            </w:r>
            <w:r w:rsidRPr="00F33674">
              <w:rPr>
                <w:rFonts w:ascii="Arial Narrow" w:hAnsi="Arial Narrow" w:cs="Arial"/>
                <w:sz w:val="20"/>
                <w:szCs w:val="20"/>
              </w:rPr>
              <w:fldChar w:fldCharType="begin">
                <w:ffData>
                  <w:name w:val=""/>
                  <w:enabled/>
                  <w:calcOnExit w:val="0"/>
                  <w:checkBox>
                    <w:sizeAuto/>
                    <w:default w:val="0"/>
                  </w:checkBox>
                </w:ffData>
              </w:fldChar>
            </w:r>
            <w:r w:rsidRPr="00F33674">
              <w:rPr>
                <w:rFonts w:ascii="Arial Narrow" w:hAnsi="Arial Narrow" w:cs="Arial"/>
                <w:sz w:val="20"/>
                <w:szCs w:val="20"/>
              </w:rPr>
              <w:instrText xml:space="preserve"> FORMCHECKBOX </w:instrText>
            </w:r>
            <w:r w:rsidR="00233D13">
              <w:rPr>
                <w:rFonts w:ascii="Arial Narrow" w:hAnsi="Arial Narrow" w:cs="Arial"/>
                <w:sz w:val="20"/>
                <w:szCs w:val="20"/>
              </w:rPr>
            </w:r>
            <w:r w:rsidR="00233D13">
              <w:rPr>
                <w:rFonts w:ascii="Arial Narrow" w:hAnsi="Arial Narrow" w:cs="Arial"/>
                <w:sz w:val="20"/>
                <w:szCs w:val="20"/>
              </w:rPr>
              <w:fldChar w:fldCharType="separate"/>
            </w:r>
            <w:r w:rsidRPr="00F33674">
              <w:rPr>
                <w:rFonts w:ascii="Arial Narrow" w:hAnsi="Arial Narrow" w:cs="Arial"/>
                <w:sz w:val="20"/>
                <w:szCs w:val="20"/>
              </w:rPr>
              <w:fldChar w:fldCharType="end"/>
            </w:r>
            <w:r w:rsidRPr="00F33674">
              <w:rPr>
                <w:rFonts w:ascii="Arial Narrow" w:hAnsi="Arial Narrow" w:cs="Arial"/>
                <w:sz w:val="20"/>
                <w:szCs w:val="20"/>
              </w:rPr>
              <w:t>Nurse practitioners</w:t>
            </w:r>
            <w:r w:rsidR="002C1329">
              <w:rPr>
                <w:rFonts w:ascii="Arial Narrow" w:hAnsi="Arial Narrow" w:cs="Arial"/>
                <w:sz w:val="20"/>
                <w:szCs w:val="20"/>
              </w:rPr>
              <w:t xml:space="preserve"> </w:t>
            </w:r>
            <w:r w:rsidRPr="00F33674">
              <w:rPr>
                <w:rFonts w:ascii="Arial Narrow" w:hAnsi="Arial Narrow" w:cs="Arial"/>
                <w:sz w:val="20"/>
                <w:szCs w:val="20"/>
              </w:rPr>
              <w:fldChar w:fldCharType="begin">
                <w:ffData>
                  <w:name w:val=""/>
                  <w:enabled/>
                  <w:calcOnExit w:val="0"/>
                  <w:checkBox>
                    <w:sizeAuto/>
                    <w:default w:val="0"/>
                  </w:checkBox>
                </w:ffData>
              </w:fldChar>
            </w:r>
            <w:r w:rsidRPr="00F33674">
              <w:rPr>
                <w:rFonts w:ascii="Arial Narrow" w:hAnsi="Arial Narrow" w:cs="Arial"/>
                <w:sz w:val="20"/>
                <w:szCs w:val="20"/>
              </w:rPr>
              <w:instrText xml:space="preserve"> FORMCHECKBOX </w:instrText>
            </w:r>
            <w:r w:rsidR="00233D13">
              <w:rPr>
                <w:rFonts w:ascii="Arial Narrow" w:hAnsi="Arial Narrow" w:cs="Arial"/>
                <w:sz w:val="20"/>
                <w:szCs w:val="20"/>
              </w:rPr>
            </w:r>
            <w:r w:rsidR="00233D13">
              <w:rPr>
                <w:rFonts w:ascii="Arial Narrow" w:hAnsi="Arial Narrow" w:cs="Arial"/>
                <w:sz w:val="20"/>
                <w:szCs w:val="20"/>
              </w:rPr>
              <w:fldChar w:fldCharType="separate"/>
            </w:r>
            <w:r w:rsidRPr="00F33674">
              <w:rPr>
                <w:rFonts w:ascii="Arial Narrow" w:hAnsi="Arial Narrow" w:cs="Arial"/>
                <w:sz w:val="20"/>
                <w:szCs w:val="20"/>
              </w:rPr>
              <w:fldChar w:fldCharType="end"/>
            </w:r>
            <w:r w:rsidRPr="00F33674">
              <w:rPr>
                <w:rFonts w:ascii="Arial Narrow" w:hAnsi="Arial Narrow" w:cs="Arial"/>
                <w:sz w:val="20"/>
                <w:szCs w:val="20"/>
              </w:rPr>
              <w:t>Optometrists</w:t>
            </w:r>
          </w:p>
          <w:p w14:paraId="15C502DA" w14:textId="77777777" w:rsidR="00F33674" w:rsidRPr="00F33674" w:rsidRDefault="00F33674" w:rsidP="00F33674">
            <w:pPr>
              <w:rPr>
                <w:rFonts w:ascii="Arial Narrow" w:hAnsi="Arial Narrow" w:cs="Arial"/>
                <w:sz w:val="20"/>
                <w:szCs w:val="20"/>
              </w:rPr>
            </w:pPr>
            <w:r w:rsidRPr="00F33674">
              <w:rPr>
                <w:rFonts w:ascii="Arial Narrow" w:hAnsi="Arial Narrow" w:cs="Arial"/>
                <w:sz w:val="20"/>
                <w:szCs w:val="20"/>
              </w:rPr>
              <w:fldChar w:fldCharType="begin">
                <w:ffData>
                  <w:name w:val="Check5"/>
                  <w:enabled/>
                  <w:calcOnExit w:val="0"/>
                  <w:checkBox>
                    <w:sizeAuto/>
                    <w:default w:val="0"/>
                  </w:checkBox>
                </w:ffData>
              </w:fldChar>
            </w:r>
            <w:r w:rsidRPr="00F33674">
              <w:rPr>
                <w:rFonts w:ascii="Arial Narrow" w:hAnsi="Arial Narrow" w:cs="Arial"/>
                <w:sz w:val="20"/>
                <w:szCs w:val="20"/>
              </w:rPr>
              <w:instrText xml:space="preserve"> FORMCHECKBOX </w:instrText>
            </w:r>
            <w:r w:rsidR="00233D13">
              <w:rPr>
                <w:rFonts w:ascii="Arial Narrow" w:hAnsi="Arial Narrow" w:cs="Arial"/>
                <w:sz w:val="20"/>
                <w:szCs w:val="20"/>
              </w:rPr>
            </w:r>
            <w:r w:rsidR="00233D13">
              <w:rPr>
                <w:rFonts w:ascii="Arial Narrow" w:hAnsi="Arial Narrow" w:cs="Arial"/>
                <w:sz w:val="20"/>
                <w:szCs w:val="20"/>
              </w:rPr>
              <w:fldChar w:fldCharType="separate"/>
            </w:r>
            <w:r w:rsidRPr="00F33674">
              <w:rPr>
                <w:rFonts w:ascii="Arial Narrow" w:hAnsi="Arial Narrow" w:cs="Arial"/>
                <w:sz w:val="20"/>
                <w:szCs w:val="20"/>
              </w:rPr>
              <w:fldChar w:fldCharType="end"/>
            </w:r>
            <w:r w:rsidRPr="00F33674">
              <w:rPr>
                <w:rFonts w:ascii="Arial Narrow" w:hAnsi="Arial Narrow" w:cs="Arial"/>
                <w:sz w:val="20"/>
                <w:szCs w:val="20"/>
              </w:rPr>
              <w:t>Midwives</w:t>
            </w:r>
          </w:p>
        </w:tc>
      </w:tr>
      <w:tr w:rsidR="00F33674" w:rsidRPr="00F33674" w14:paraId="23E764D3" w14:textId="77777777" w:rsidTr="00F33674">
        <w:trPr>
          <w:cantSplit/>
          <w:trHeight w:val="369"/>
        </w:trPr>
        <w:tc>
          <w:tcPr>
            <w:tcW w:w="2835" w:type="dxa"/>
            <w:tcBorders>
              <w:top w:val="single" w:sz="4" w:space="0" w:color="auto"/>
              <w:left w:val="single" w:sz="4" w:space="0" w:color="auto"/>
              <w:bottom w:val="single" w:sz="4" w:space="0" w:color="auto"/>
              <w:right w:val="single" w:sz="4" w:space="0" w:color="auto"/>
            </w:tcBorders>
          </w:tcPr>
          <w:p w14:paraId="430E1E7F" w14:textId="77777777" w:rsidR="00F33674" w:rsidRPr="00F33674" w:rsidRDefault="00F33674" w:rsidP="00F33674">
            <w:pPr>
              <w:rPr>
                <w:rFonts w:ascii="Arial Narrow" w:hAnsi="Arial Narrow" w:cs="Arial"/>
                <w:b/>
                <w:sz w:val="20"/>
                <w:szCs w:val="20"/>
              </w:rPr>
            </w:pPr>
            <w:r w:rsidRPr="00F33674">
              <w:rPr>
                <w:rFonts w:ascii="Arial Narrow" w:hAnsi="Arial Narrow" w:cs="Arial"/>
                <w:b/>
                <w:sz w:val="20"/>
                <w:szCs w:val="20"/>
              </w:rPr>
              <w:t>PBS indication:</w:t>
            </w:r>
          </w:p>
        </w:tc>
        <w:tc>
          <w:tcPr>
            <w:tcW w:w="6379" w:type="dxa"/>
            <w:tcBorders>
              <w:top w:val="single" w:sz="4" w:space="0" w:color="auto"/>
              <w:left w:val="single" w:sz="4" w:space="0" w:color="auto"/>
              <w:bottom w:val="single" w:sz="4" w:space="0" w:color="auto"/>
              <w:right w:val="single" w:sz="4" w:space="0" w:color="auto"/>
            </w:tcBorders>
          </w:tcPr>
          <w:p w14:paraId="0FB4BDF0" w14:textId="77777777" w:rsidR="00F33674" w:rsidRPr="00F33674" w:rsidRDefault="00F33674" w:rsidP="00F33674">
            <w:pPr>
              <w:rPr>
                <w:rFonts w:ascii="Arial Narrow" w:hAnsi="Arial Narrow" w:cs="Arial"/>
                <w:sz w:val="20"/>
                <w:szCs w:val="20"/>
              </w:rPr>
            </w:pPr>
            <w:r w:rsidRPr="00F33674">
              <w:rPr>
                <w:rFonts w:ascii="Arial Narrow" w:hAnsi="Arial Narrow" w:cs="Arial"/>
                <w:sz w:val="20"/>
                <w:szCs w:val="20"/>
              </w:rPr>
              <w:t>[7861] Severe pain</w:t>
            </w:r>
          </w:p>
        </w:tc>
      </w:tr>
      <w:tr w:rsidR="00F33674" w:rsidRPr="00F33674" w14:paraId="04F2B190" w14:textId="77777777" w:rsidTr="00F33674">
        <w:trPr>
          <w:cantSplit/>
          <w:trHeight w:val="360"/>
        </w:trPr>
        <w:tc>
          <w:tcPr>
            <w:tcW w:w="2835" w:type="dxa"/>
            <w:tcBorders>
              <w:top w:val="single" w:sz="4" w:space="0" w:color="auto"/>
              <w:left w:val="single" w:sz="4" w:space="0" w:color="auto"/>
              <w:bottom w:val="single" w:sz="4" w:space="0" w:color="auto"/>
              <w:right w:val="single" w:sz="4" w:space="0" w:color="auto"/>
            </w:tcBorders>
          </w:tcPr>
          <w:p w14:paraId="7F13B4CF" w14:textId="77777777" w:rsidR="00F33674" w:rsidRPr="00F33674" w:rsidRDefault="00F33674" w:rsidP="00F33674">
            <w:pPr>
              <w:rPr>
                <w:rFonts w:ascii="Arial Narrow" w:hAnsi="Arial Narrow" w:cs="Arial"/>
                <w:b/>
                <w:sz w:val="20"/>
                <w:szCs w:val="20"/>
              </w:rPr>
            </w:pPr>
            <w:r w:rsidRPr="00F33674">
              <w:rPr>
                <w:rFonts w:ascii="Arial Narrow" w:hAnsi="Arial Narrow" w:cs="Arial"/>
                <w:b/>
                <w:sz w:val="20"/>
                <w:szCs w:val="20"/>
              </w:rPr>
              <w:t>Restriction Level / Method:</w:t>
            </w:r>
          </w:p>
          <w:p w14:paraId="320C7850" w14:textId="77777777" w:rsidR="00F33674" w:rsidRPr="00F33674" w:rsidRDefault="00F33674" w:rsidP="00F33674">
            <w:pPr>
              <w:rPr>
                <w:rFonts w:ascii="Arial Narrow" w:hAnsi="Arial Narrow" w:cs="Arial"/>
                <w:i/>
                <w:sz w:val="20"/>
                <w:szCs w:val="20"/>
              </w:rPr>
            </w:pPr>
          </w:p>
          <w:p w14:paraId="23706C82" w14:textId="77777777" w:rsidR="00F33674" w:rsidRPr="00F33674" w:rsidRDefault="00F33674" w:rsidP="00F33674">
            <w:pPr>
              <w:rPr>
                <w:rFonts w:ascii="Arial Narrow" w:hAnsi="Arial Narrow" w:cs="Arial"/>
                <w:i/>
                <w:sz w:val="20"/>
                <w:szCs w:val="20"/>
              </w:rPr>
            </w:pPr>
          </w:p>
          <w:p w14:paraId="2AFF69BB" w14:textId="77777777" w:rsidR="00F33674" w:rsidRPr="00F33674" w:rsidRDefault="00F33674" w:rsidP="00F33674">
            <w:pPr>
              <w:rPr>
                <w:rFonts w:ascii="Arial Narrow" w:hAnsi="Arial Narrow" w:cs="Arial"/>
                <w:i/>
                <w:sz w:val="20"/>
                <w:szCs w:val="20"/>
              </w:rPr>
            </w:pPr>
          </w:p>
        </w:tc>
        <w:tc>
          <w:tcPr>
            <w:tcW w:w="6379" w:type="dxa"/>
            <w:tcBorders>
              <w:top w:val="single" w:sz="4" w:space="0" w:color="auto"/>
              <w:left w:val="single" w:sz="4" w:space="0" w:color="auto"/>
              <w:bottom w:val="single" w:sz="4" w:space="0" w:color="auto"/>
              <w:right w:val="single" w:sz="4" w:space="0" w:color="auto"/>
            </w:tcBorders>
          </w:tcPr>
          <w:p w14:paraId="2387EEBF" w14:textId="77777777" w:rsidR="00F33674" w:rsidRPr="00F33674" w:rsidRDefault="00F33674" w:rsidP="00F33674">
            <w:pPr>
              <w:rPr>
                <w:rFonts w:ascii="Arial Narrow" w:hAnsi="Arial Narrow" w:cs="Arial"/>
                <w:sz w:val="20"/>
                <w:szCs w:val="20"/>
              </w:rPr>
            </w:pPr>
            <w:r w:rsidRPr="00F33674">
              <w:rPr>
                <w:rFonts w:ascii="Arial Narrow" w:hAnsi="Arial Narrow" w:cs="Arial"/>
                <w:sz w:val="20"/>
                <w:szCs w:val="20"/>
              </w:rPr>
              <w:fldChar w:fldCharType="begin">
                <w:ffData>
                  <w:name w:val=""/>
                  <w:enabled/>
                  <w:calcOnExit w:val="0"/>
                  <w:checkBox>
                    <w:sizeAuto/>
                    <w:default w:val="0"/>
                  </w:checkBox>
                </w:ffData>
              </w:fldChar>
            </w:r>
            <w:r w:rsidRPr="00F33674">
              <w:rPr>
                <w:rFonts w:ascii="Arial Narrow" w:hAnsi="Arial Narrow" w:cs="Arial"/>
                <w:sz w:val="20"/>
                <w:szCs w:val="20"/>
              </w:rPr>
              <w:instrText xml:space="preserve"> FORMCHECKBOX </w:instrText>
            </w:r>
            <w:r w:rsidR="00233D13">
              <w:rPr>
                <w:rFonts w:ascii="Arial Narrow" w:hAnsi="Arial Narrow" w:cs="Arial"/>
                <w:sz w:val="20"/>
                <w:szCs w:val="20"/>
              </w:rPr>
            </w:r>
            <w:r w:rsidR="00233D13">
              <w:rPr>
                <w:rFonts w:ascii="Arial Narrow" w:hAnsi="Arial Narrow" w:cs="Arial"/>
                <w:sz w:val="20"/>
                <w:szCs w:val="20"/>
              </w:rPr>
              <w:fldChar w:fldCharType="separate"/>
            </w:r>
            <w:r w:rsidRPr="00F33674">
              <w:rPr>
                <w:rFonts w:ascii="Arial Narrow" w:hAnsi="Arial Narrow" w:cs="Arial"/>
                <w:sz w:val="20"/>
                <w:szCs w:val="20"/>
              </w:rPr>
              <w:fldChar w:fldCharType="end"/>
            </w:r>
            <w:r w:rsidRPr="00F33674">
              <w:rPr>
                <w:rFonts w:ascii="Arial Narrow" w:hAnsi="Arial Narrow" w:cs="Arial"/>
                <w:sz w:val="20"/>
                <w:szCs w:val="20"/>
              </w:rPr>
              <w:t>Unrestricted benefit</w:t>
            </w:r>
          </w:p>
          <w:p w14:paraId="30DED7A0" w14:textId="77777777" w:rsidR="00F33674" w:rsidRPr="00F33674" w:rsidRDefault="00F33674" w:rsidP="00F33674">
            <w:pPr>
              <w:rPr>
                <w:rFonts w:ascii="Arial Narrow" w:hAnsi="Arial Narrow" w:cs="Arial"/>
                <w:i/>
                <w:sz w:val="20"/>
                <w:szCs w:val="20"/>
              </w:rPr>
            </w:pPr>
            <w:r w:rsidRPr="00F33674">
              <w:rPr>
                <w:rFonts w:ascii="Arial Narrow" w:hAnsi="Arial Narrow" w:cs="Arial"/>
                <w:i/>
                <w:sz w:val="20"/>
                <w:szCs w:val="20"/>
              </w:rPr>
              <w:fldChar w:fldCharType="begin">
                <w:ffData>
                  <w:name w:val="Check1"/>
                  <w:enabled/>
                  <w:calcOnExit w:val="0"/>
                  <w:checkBox>
                    <w:sizeAuto/>
                    <w:default w:val="1"/>
                  </w:checkBox>
                </w:ffData>
              </w:fldChar>
            </w:r>
            <w:r w:rsidRPr="00F33674">
              <w:rPr>
                <w:rFonts w:ascii="Arial Narrow" w:hAnsi="Arial Narrow" w:cs="Arial"/>
                <w:i/>
                <w:sz w:val="20"/>
                <w:szCs w:val="20"/>
              </w:rPr>
              <w:instrText xml:space="preserve"> FORMCHECKBOX </w:instrText>
            </w:r>
            <w:r w:rsidR="00233D13">
              <w:rPr>
                <w:rFonts w:ascii="Arial Narrow" w:hAnsi="Arial Narrow" w:cs="Arial"/>
                <w:i/>
                <w:sz w:val="20"/>
                <w:szCs w:val="20"/>
              </w:rPr>
            </w:r>
            <w:r w:rsidR="00233D13">
              <w:rPr>
                <w:rFonts w:ascii="Arial Narrow" w:hAnsi="Arial Narrow" w:cs="Arial"/>
                <w:i/>
                <w:sz w:val="20"/>
                <w:szCs w:val="20"/>
              </w:rPr>
              <w:fldChar w:fldCharType="separate"/>
            </w:r>
            <w:r w:rsidRPr="00F33674">
              <w:rPr>
                <w:rFonts w:ascii="Arial Narrow" w:hAnsi="Arial Narrow" w:cs="Arial"/>
                <w:i/>
                <w:sz w:val="20"/>
                <w:szCs w:val="20"/>
              </w:rPr>
              <w:fldChar w:fldCharType="end"/>
            </w:r>
            <w:r w:rsidRPr="00F33674">
              <w:rPr>
                <w:rFonts w:ascii="Arial Narrow" w:hAnsi="Arial Narrow" w:cs="Arial"/>
                <w:sz w:val="20"/>
                <w:szCs w:val="20"/>
              </w:rPr>
              <w:t>Restricted benefit</w:t>
            </w:r>
          </w:p>
          <w:p w14:paraId="7002DE7A" w14:textId="77777777" w:rsidR="00F33674" w:rsidRPr="00F33674" w:rsidRDefault="00F33674" w:rsidP="00F33674">
            <w:pPr>
              <w:rPr>
                <w:rFonts w:ascii="Arial Narrow" w:hAnsi="Arial Narrow" w:cs="Arial"/>
                <w:sz w:val="20"/>
                <w:szCs w:val="20"/>
              </w:rPr>
            </w:pPr>
            <w:r w:rsidRPr="00F33674">
              <w:rPr>
                <w:rFonts w:ascii="Arial Narrow" w:hAnsi="Arial Narrow" w:cs="Arial"/>
                <w:sz w:val="20"/>
                <w:szCs w:val="20"/>
              </w:rPr>
              <w:fldChar w:fldCharType="begin">
                <w:ffData>
                  <w:name w:val=""/>
                  <w:enabled/>
                  <w:calcOnExit w:val="0"/>
                  <w:checkBox>
                    <w:sizeAuto/>
                    <w:default w:val="0"/>
                  </w:checkBox>
                </w:ffData>
              </w:fldChar>
            </w:r>
            <w:r w:rsidRPr="00F33674">
              <w:rPr>
                <w:rFonts w:ascii="Arial Narrow" w:hAnsi="Arial Narrow" w:cs="Arial"/>
                <w:sz w:val="20"/>
                <w:szCs w:val="20"/>
              </w:rPr>
              <w:instrText xml:space="preserve"> FORMCHECKBOX </w:instrText>
            </w:r>
            <w:r w:rsidR="00233D13">
              <w:rPr>
                <w:rFonts w:ascii="Arial Narrow" w:hAnsi="Arial Narrow" w:cs="Arial"/>
                <w:sz w:val="20"/>
                <w:szCs w:val="20"/>
              </w:rPr>
            </w:r>
            <w:r w:rsidR="00233D13">
              <w:rPr>
                <w:rFonts w:ascii="Arial Narrow" w:hAnsi="Arial Narrow" w:cs="Arial"/>
                <w:sz w:val="20"/>
                <w:szCs w:val="20"/>
              </w:rPr>
              <w:fldChar w:fldCharType="separate"/>
            </w:r>
            <w:r w:rsidRPr="00F33674">
              <w:rPr>
                <w:rFonts w:ascii="Arial Narrow" w:hAnsi="Arial Narrow" w:cs="Arial"/>
                <w:sz w:val="20"/>
                <w:szCs w:val="20"/>
              </w:rPr>
              <w:fldChar w:fldCharType="end"/>
            </w:r>
            <w:r w:rsidRPr="00F33674">
              <w:rPr>
                <w:rFonts w:ascii="Arial Narrow" w:hAnsi="Arial Narrow" w:cs="Arial"/>
                <w:sz w:val="20"/>
                <w:szCs w:val="20"/>
              </w:rPr>
              <w:t>Authority Required – In Writing</w:t>
            </w:r>
          </w:p>
          <w:p w14:paraId="391DE7DB" w14:textId="77777777" w:rsidR="00F33674" w:rsidRPr="00F33674" w:rsidRDefault="00F33674" w:rsidP="00F33674">
            <w:pPr>
              <w:rPr>
                <w:rFonts w:ascii="Arial Narrow" w:hAnsi="Arial Narrow" w:cs="Arial"/>
                <w:sz w:val="20"/>
                <w:szCs w:val="20"/>
              </w:rPr>
            </w:pPr>
            <w:r w:rsidRPr="00F33674">
              <w:rPr>
                <w:rFonts w:ascii="Arial Narrow" w:hAnsi="Arial Narrow" w:cs="Arial"/>
                <w:sz w:val="20"/>
                <w:szCs w:val="20"/>
              </w:rPr>
              <w:fldChar w:fldCharType="begin">
                <w:ffData>
                  <w:name w:val="Check3"/>
                  <w:enabled/>
                  <w:calcOnExit w:val="0"/>
                  <w:checkBox>
                    <w:sizeAuto/>
                    <w:default w:val="0"/>
                  </w:checkBox>
                </w:ffData>
              </w:fldChar>
            </w:r>
            <w:r w:rsidRPr="00F33674">
              <w:rPr>
                <w:rFonts w:ascii="Arial Narrow" w:hAnsi="Arial Narrow" w:cs="Arial"/>
                <w:sz w:val="20"/>
                <w:szCs w:val="20"/>
              </w:rPr>
              <w:instrText xml:space="preserve"> FORMCHECKBOX </w:instrText>
            </w:r>
            <w:r w:rsidR="00233D13">
              <w:rPr>
                <w:rFonts w:ascii="Arial Narrow" w:hAnsi="Arial Narrow" w:cs="Arial"/>
                <w:sz w:val="20"/>
                <w:szCs w:val="20"/>
              </w:rPr>
            </w:r>
            <w:r w:rsidR="00233D13">
              <w:rPr>
                <w:rFonts w:ascii="Arial Narrow" w:hAnsi="Arial Narrow" w:cs="Arial"/>
                <w:sz w:val="20"/>
                <w:szCs w:val="20"/>
              </w:rPr>
              <w:fldChar w:fldCharType="separate"/>
            </w:r>
            <w:r w:rsidRPr="00F33674">
              <w:rPr>
                <w:rFonts w:ascii="Arial Narrow" w:hAnsi="Arial Narrow" w:cs="Arial"/>
                <w:sz w:val="20"/>
                <w:szCs w:val="20"/>
              </w:rPr>
              <w:fldChar w:fldCharType="end"/>
            </w:r>
            <w:r w:rsidRPr="00F33674">
              <w:rPr>
                <w:rFonts w:ascii="Arial Narrow" w:hAnsi="Arial Narrow" w:cs="Arial"/>
                <w:sz w:val="20"/>
                <w:szCs w:val="20"/>
              </w:rPr>
              <w:t>Authority Required – Telephone/Electronic/Emergency</w:t>
            </w:r>
          </w:p>
          <w:p w14:paraId="4B548803" w14:textId="77777777" w:rsidR="00F33674" w:rsidRPr="00F33674" w:rsidRDefault="00F33674" w:rsidP="00F33674">
            <w:pPr>
              <w:rPr>
                <w:rFonts w:ascii="Arial Narrow" w:hAnsi="Arial Narrow" w:cs="Arial"/>
                <w:sz w:val="20"/>
                <w:szCs w:val="20"/>
              </w:rPr>
            </w:pPr>
            <w:r w:rsidRPr="00F33674">
              <w:rPr>
                <w:rFonts w:ascii="Arial Narrow" w:hAnsi="Arial Narrow" w:cs="Arial"/>
                <w:sz w:val="20"/>
                <w:szCs w:val="20"/>
              </w:rPr>
              <w:fldChar w:fldCharType="begin">
                <w:ffData>
                  <w:name w:val="Check5"/>
                  <w:enabled/>
                  <w:calcOnExit w:val="0"/>
                  <w:checkBox>
                    <w:sizeAuto/>
                    <w:default w:val="0"/>
                  </w:checkBox>
                </w:ffData>
              </w:fldChar>
            </w:r>
            <w:r w:rsidRPr="00F33674">
              <w:rPr>
                <w:rFonts w:ascii="Arial Narrow" w:hAnsi="Arial Narrow" w:cs="Arial"/>
                <w:sz w:val="20"/>
                <w:szCs w:val="20"/>
              </w:rPr>
              <w:instrText xml:space="preserve"> FORMCHECKBOX </w:instrText>
            </w:r>
            <w:r w:rsidR="00233D13">
              <w:rPr>
                <w:rFonts w:ascii="Arial Narrow" w:hAnsi="Arial Narrow" w:cs="Arial"/>
                <w:sz w:val="20"/>
                <w:szCs w:val="20"/>
              </w:rPr>
            </w:r>
            <w:r w:rsidR="00233D13">
              <w:rPr>
                <w:rFonts w:ascii="Arial Narrow" w:hAnsi="Arial Narrow" w:cs="Arial"/>
                <w:sz w:val="20"/>
                <w:szCs w:val="20"/>
              </w:rPr>
              <w:fldChar w:fldCharType="separate"/>
            </w:r>
            <w:r w:rsidRPr="00F33674">
              <w:rPr>
                <w:rFonts w:ascii="Arial Narrow" w:hAnsi="Arial Narrow" w:cs="Arial"/>
                <w:sz w:val="20"/>
                <w:szCs w:val="20"/>
              </w:rPr>
              <w:fldChar w:fldCharType="end"/>
            </w:r>
            <w:r w:rsidRPr="00F33674">
              <w:rPr>
                <w:rFonts w:ascii="Arial Narrow" w:hAnsi="Arial Narrow" w:cs="Arial"/>
                <w:sz w:val="20"/>
                <w:szCs w:val="20"/>
              </w:rPr>
              <w:t>Streamlined</w:t>
            </w:r>
          </w:p>
        </w:tc>
      </w:tr>
      <w:tr w:rsidR="00F33674" w:rsidRPr="00F33674" w14:paraId="5D373878" w14:textId="77777777" w:rsidTr="00F33674">
        <w:trPr>
          <w:cantSplit/>
          <w:trHeight w:val="360"/>
        </w:trPr>
        <w:tc>
          <w:tcPr>
            <w:tcW w:w="2835" w:type="dxa"/>
            <w:tcBorders>
              <w:top w:val="single" w:sz="4" w:space="0" w:color="auto"/>
              <w:left w:val="single" w:sz="4" w:space="0" w:color="auto"/>
              <w:bottom w:val="single" w:sz="4" w:space="0" w:color="auto"/>
              <w:right w:val="single" w:sz="4" w:space="0" w:color="auto"/>
            </w:tcBorders>
          </w:tcPr>
          <w:p w14:paraId="6D9285F3" w14:textId="77777777" w:rsidR="00F33674" w:rsidRPr="00F33674" w:rsidRDefault="00F33674" w:rsidP="00F33674">
            <w:pPr>
              <w:rPr>
                <w:rFonts w:ascii="Arial Narrow" w:hAnsi="Arial Narrow" w:cs="Arial"/>
                <w:b/>
                <w:sz w:val="20"/>
                <w:szCs w:val="20"/>
              </w:rPr>
            </w:pPr>
            <w:r w:rsidRPr="00F33674">
              <w:rPr>
                <w:rFonts w:ascii="Arial Narrow" w:hAnsi="Arial Narrow" w:cs="Arial"/>
                <w:b/>
                <w:sz w:val="20"/>
                <w:szCs w:val="20"/>
              </w:rPr>
              <w:t>Clinical criteria:</w:t>
            </w:r>
          </w:p>
        </w:tc>
        <w:tc>
          <w:tcPr>
            <w:tcW w:w="6379" w:type="dxa"/>
            <w:tcBorders>
              <w:top w:val="single" w:sz="4" w:space="0" w:color="auto"/>
              <w:left w:val="single" w:sz="4" w:space="0" w:color="auto"/>
              <w:bottom w:val="single" w:sz="4" w:space="0" w:color="auto"/>
              <w:right w:val="single" w:sz="4" w:space="0" w:color="auto"/>
            </w:tcBorders>
          </w:tcPr>
          <w:p w14:paraId="2929B4AA" w14:textId="77777777" w:rsidR="00F33674" w:rsidRPr="00F33674" w:rsidRDefault="00F33674" w:rsidP="00F33674">
            <w:pPr>
              <w:jc w:val="left"/>
              <w:rPr>
                <w:rFonts w:ascii="Arial Narrow" w:hAnsi="Arial Narrow" w:cs="Arial"/>
                <w:sz w:val="20"/>
                <w:szCs w:val="20"/>
              </w:rPr>
            </w:pPr>
            <w:r w:rsidRPr="00F33674">
              <w:rPr>
                <w:rFonts w:ascii="Arial Narrow" w:hAnsi="Arial Narrow" w:cs="Arial"/>
                <w:sz w:val="20"/>
                <w:szCs w:val="20"/>
              </w:rPr>
              <w:t>[new] The treatment must be for short term therapy of acute severe pain</w:t>
            </w:r>
          </w:p>
          <w:p w14:paraId="40049B20" w14:textId="77777777" w:rsidR="00F33674" w:rsidRPr="00F33674" w:rsidRDefault="00F33674" w:rsidP="00F33674">
            <w:pPr>
              <w:jc w:val="left"/>
              <w:rPr>
                <w:rFonts w:ascii="Arial Narrow" w:hAnsi="Arial Narrow" w:cs="Arial"/>
                <w:sz w:val="20"/>
                <w:szCs w:val="20"/>
              </w:rPr>
            </w:pPr>
          </w:p>
          <w:p w14:paraId="0BBFEB67" w14:textId="77777777" w:rsidR="00F33674" w:rsidRPr="00F33674" w:rsidRDefault="00F33674" w:rsidP="00F33674">
            <w:pPr>
              <w:jc w:val="left"/>
              <w:rPr>
                <w:rFonts w:ascii="Arial Narrow" w:hAnsi="Arial Narrow" w:cs="Arial"/>
                <w:sz w:val="20"/>
                <w:szCs w:val="20"/>
              </w:rPr>
            </w:pPr>
            <w:r w:rsidRPr="00F33674">
              <w:rPr>
                <w:rFonts w:ascii="Arial Narrow" w:hAnsi="Arial Narrow" w:cs="Arial"/>
                <w:sz w:val="20"/>
                <w:szCs w:val="20"/>
              </w:rPr>
              <w:t>AND</w:t>
            </w:r>
          </w:p>
          <w:p w14:paraId="5CB67A8D" w14:textId="77777777" w:rsidR="00F33674" w:rsidRPr="00F33674" w:rsidRDefault="00F33674" w:rsidP="00F33674">
            <w:pPr>
              <w:jc w:val="left"/>
              <w:rPr>
                <w:rFonts w:ascii="Arial Narrow" w:hAnsi="Arial Narrow" w:cs="Arial"/>
                <w:sz w:val="20"/>
                <w:szCs w:val="20"/>
              </w:rPr>
            </w:pPr>
          </w:p>
          <w:p w14:paraId="5F884C89" w14:textId="536E8F0F" w:rsidR="00F33674" w:rsidRPr="00F33674" w:rsidRDefault="00F33674" w:rsidP="00F33674">
            <w:pPr>
              <w:jc w:val="left"/>
              <w:rPr>
                <w:rFonts w:ascii="Arial Narrow" w:hAnsi="Arial Narrow" w:cs="Arial"/>
                <w:sz w:val="20"/>
                <w:szCs w:val="20"/>
              </w:rPr>
            </w:pPr>
            <w:r w:rsidRPr="00F33674">
              <w:rPr>
                <w:rFonts w:ascii="Arial Narrow" w:hAnsi="Arial Narrow" w:cs="Arial"/>
                <w:sz w:val="20"/>
                <w:szCs w:val="20"/>
              </w:rPr>
              <w:t xml:space="preserve">[new] Patient must have </w:t>
            </w:r>
            <w:r w:rsidR="007A2171">
              <w:rPr>
                <w:rFonts w:ascii="Arial Narrow" w:hAnsi="Arial Narrow" w:cs="Arial"/>
                <w:sz w:val="20"/>
                <w:szCs w:val="20"/>
              </w:rPr>
              <w:t>had or would have</w:t>
            </w:r>
            <w:r w:rsidRPr="00F33674">
              <w:rPr>
                <w:rFonts w:ascii="Arial Narrow" w:hAnsi="Arial Narrow" w:cs="Arial"/>
                <w:sz w:val="20"/>
                <w:szCs w:val="20"/>
              </w:rPr>
              <w:t xml:space="preserve"> inadequate </w:t>
            </w:r>
            <w:r w:rsidR="00C60AF9">
              <w:rPr>
                <w:rFonts w:ascii="Arial Narrow" w:hAnsi="Arial Narrow" w:cs="Arial"/>
                <w:sz w:val="20"/>
                <w:szCs w:val="20"/>
              </w:rPr>
              <w:t xml:space="preserve">pain </w:t>
            </w:r>
            <w:r w:rsidRPr="00F33674">
              <w:rPr>
                <w:rFonts w:ascii="Arial Narrow" w:hAnsi="Arial Narrow" w:cs="Arial"/>
                <w:sz w:val="20"/>
                <w:szCs w:val="20"/>
              </w:rPr>
              <w:t>management</w:t>
            </w:r>
            <w:r w:rsidR="00C60AF9">
              <w:rPr>
                <w:rFonts w:ascii="Arial Narrow" w:hAnsi="Arial Narrow" w:cs="Arial"/>
                <w:sz w:val="20"/>
                <w:szCs w:val="20"/>
              </w:rPr>
              <w:t xml:space="preserve"> with</w:t>
            </w:r>
            <w:r w:rsidRPr="00F33674">
              <w:rPr>
                <w:rFonts w:ascii="Arial Narrow" w:hAnsi="Arial Narrow" w:cs="Arial"/>
                <w:sz w:val="20"/>
                <w:szCs w:val="20"/>
              </w:rPr>
              <w:t xml:space="preserve"> maximum tolerated doses of non-opioid analgesics</w:t>
            </w:r>
          </w:p>
          <w:p w14:paraId="0AED1165" w14:textId="77777777" w:rsidR="00F33674" w:rsidRPr="00F33674" w:rsidRDefault="00F33674" w:rsidP="00F33674">
            <w:pPr>
              <w:jc w:val="left"/>
              <w:rPr>
                <w:rFonts w:ascii="Arial Narrow" w:hAnsi="Arial Narrow" w:cs="Arial"/>
                <w:sz w:val="20"/>
                <w:szCs w:val="20"/>
              </w:rPr>
            </w:pPr>
            <w:r w:rsidRPr="00F33674">
              <w:rPr>
                <w:rFonts w:ascii="Arial Narrow" w:hAnsi="Arial Narrow" w:cs="Arial"/>
                <w:sz w:val="20"/>
                <w:szCs w:val="20"/>
              </w:rPr>
              <w:t>OR</w:t>
            </w:r>
          </w:p>
          <w:p w14:paraId="7136C52D" w14:textId="45B88DEE" w:rsidR="00F33674" w:rsidRPr="00F33674" w:rsidRDefault="00F33674">
            <w:pPr>
              <w:jc w:val="left"/>
              <w:rPr>
                <w:rFonts w:ascii="Arial Narrow" w:hAnsi="Arial Narrow" w:cs="Arial"/>
                <w:i/>
                <w:color w:val="FF0000"/>
                <w:sz w:val="20"/>
                <w:szCs w:val="20"/>
              </w:rPr>
            </w:pPr>
            <w:r w:rsidRPr="00F33674">
              <w:rPr>
                <w:rFonts w:ascii="Arial Narrow" w:hAnsi="Arial Narrow" w:cs="Arial"/>
                <w:sz w:val="20"/>
                <w:szCs w:val="20"/>
              </w:rPr>
              <w:t>[new] Patient must be unable to use non-opioid analgesics due to contraindications or intolerance.</w:t>
            </w:r>
          </w:p>
        </w:tc>
      </w:tr>
      <w:tr w:rsidR="00F33674" w:rsidRPr="00F33674" w14:paraId="0214DCCC" w14:textId="77777777" w:rsidTr="00F33674">
        <w:trPr>
          <w:cantSplit/>
          <w:trHeight w:val="360"/>
        </w:trPr>
        <w:tc>
          <w:tcPr>
            <w:tcW w:w="2835" w:type="dxa"/>
            <w:tcBorders>
              <w:top w:val="single" w:sz="4" w:space="0" w:color="auto"/>
              <w:left w:val="single" w:sz="4" w:space="0" w:color="auto"/>
              <w:bottom w:val="single" w:sz="4" w:space="0" w:color="auto"/>
              <w:right w:val="single" w:sz="4" w:space="0" w:color="auto"/>
            </w:tcBorders>
          </w:tcPr>
          <w:p w14:paraId="2A7E4DCE" w14:textId="77777777" w:rsidR="00F33674" w:rsidRPr="00F33674" w:rsidRDefault="00F33674" w:rsidP="00F33674">
            <w:pPr>
              <w:rPr>
                <w:rFonts w:ascii="Arial Narrow" w:hAnsi="Arial Narrow" w:cs="Arial"/>
                <w:b/>
                <w:sz w:val="20"/>
                <w:szCs w:val="20"/>
              </w:rPr>
            </w:pPr>
            <w:r w:rsidRPr="00F33674">
              <w:rPr>
                <w:rFonts w:ascii="Arial Narrow" w:hAnsi="Arial Narrow" w:cs="Arial"/>
                <w:b/>
                <w:sz w:val="20"/>
                <w:szCs w:val="20"/>
              </w:rPr>
              <w:t>Administrative advice:</w:t>
            </w:r>
          </w:p>
        </w:tc>
        <w:tc>
          <w:tcPr>
            <w:tcW w:w="6379" w:type="dxa"/>
            <w:tcBorders>
              <w:top w:val="single" w:sz="4" w:space="0" w:color="auto"/>
              <w:left w:val="single" w:sz="4" w:space="0" w:color="auto"/>
              <w:bottom w:val="single" w:sz="4" w:space="0" w:color="auto"/>
              <w:right w:val="single" w:sz="4" w:space="0" w:color="auto"/>
            </w:tcBorders>
          </w:tcPr>
          <w:p w14:paraId="4A7B9521" w14:textId="77777777" w:rsidR="00F33674" w:rsidRPr="00F33674" w:rsidRDefault="00F33674" w:rsidP="00F33674">
            <w:pPr>
              <w:jc w:val="left"/>
              <w:rPr>
                <w:rFonts w:ascii="Arial Narrow" w:hAnsi="Arial Narrow" w:cs="Arial"/>
                <w:sz w:val="20"/>
                <w:szCs w:val="20"/>
              </w:rPr>
            </w:pPr>
            <w:r w:rsidRPr="00F33674">
              <w:rPr>
                <w:rFonts w:ascii="Arial Narrow" w:hAnsi="Arial Narrow" w:cs="Arial"/>
                <w:sz w:val="20"/>
                <w:szCs w:val="20"/>
              </w:rPr>
              <w:t xml:space="preserve">[13808] Prescribing of drugs of addiction by dentists </w:t>
            </w:r>
            <w:proofErr w:type="gramStart"/>
            <w:r w:rsidRPr="00F33674">
              <w:rPr>
                <w:rFonts w:ascii="Arial Narrow" w:hAnsi="Arial Narrow" w:cs="Arial"/>
                <w:sz w:val="20"/>
                <w:szCs w:val="20"/>
              </w:rPr>
              <w:t>is not permitted</w:t>
            </w:r>
            <w:proofErr w:type="gramEnd"/>
            <w:r w:rsidRPr="00F33674">
              <w:rPr>
                <w:rFonts w:ascii="Arial Narrow" w:hAnsi="Arial Narrow" w:cs="Arial"/>
                <w:sz w:val="20"/>
                <w:szCs w:val="20"/>
              </w:rPr>
              <w:t xml:space="preserve"> in some States/Territories.</w:t>
            </w:r>
          </w:p>
        </w:tc>
      </w:tr>
      <w:tr w:rsidR="00F33674" w:rsidRPr="00F33674" w14:paraId="1A8C875B" w14:textId="77777777" w:rsidTr="00F33674">
        <w:trPr>
          <w:cantSplit/>
          <w:trHeight w:val="360"/>
        </w:trPr>
        <w:tc>
          <w:tcPr>
            <w:tcW w:w="2835" w:type="dxa"/>
            <w:tcBorders>
              <w:top w:val="single" w:sz="4" w:space="0" w:color="auto"/>
              <w:left w:val="single" w:sz="4" w:space="0" w:color="auto"/>
              <w:bottom w:val="single" w:sz="4" w:space="0" w:color="auto"/>
              <w:right w:val="single" w:sz="4" w:space="0" w:color="auto"/>
            </w:tcBorders>
          </w:tcPr>
          <w:p w14:paraId="75672E5C" w14:textId="77777777" w:rsidR="00F33674" w:rsidRPr="00F33674" w:rsidRDefault="00F33674" w:rsidP="00F33674">
            <w:pPr>
              <w:rPr>
                <w:rFonts w:ascii="Arial Narrow" w:hAnsi="Arial Narrow" w:cs="Arial"/>
                <w:b/>
                <w:sz w:val="20"/>
                <w:szCs w:val="20"/>
              </w:rPr>
            </w:pPr>
            <w:r w:rsidRPr="00F33674">
              <w:rPr>
                <w:rFonts w:ascii="Arial Narrow" w:hAnsi="Arial Narrow" w:cs="Arial"/>
                <w:b/>
                <w:sz w:val="20"/>
                <w:szCs w:val="20"/>
              </w:rPr>
              <w:t>Cautions:</w:t>
            </w:r>
          </w:p>
        </w:tc>
        <w:tc>
          <w:tcPr>
            <w:tcW w:w="6379" w:type="dxa"/>
            <w:tcBorders>
              <w:top w:val="single" w:sz="4" w:space="0" w:color="auto"/>
              <w:left w:val="single" w:sz="4" w:space="0" w:color="auto"/>
              <w:bottom w:val="single" w:sz="4" w:space="0" w:color="auto"/>
              <w:right w:val="single" w:sz="4" w:space="0" w:color="auto"/>
            </w:tcBorders>
          </w:tcPr>
          <w:p w14:paraId="126A7EBB" w14:textId="77777777" w:rsidR="00F33674" w:rsidRPr="00F33674" w:rsidRDefault="00F33674" w:rsidP="00F33674">
            <w:pPr>
              <w:jc w:val="left"/>
              <w:rPr>
                <w:rFonts w:ascii="Arial Narrow" w:hAnsi="Arial Narrow" w:cs="Arial"/>
                <w:sz w:val="20"/>
                <w:szCs w:val="20"/>
              </w:rPr>
            </w:pPr>
            <w:r w:rsidRPr="00F33674">
              <w:rPr>
                <w:rFonts w:ascii="Arial Narrow" w:hAnsi="Arial Narrow" w:cs="Arial"/>
                <w:sz w:val="20"/>
                <w:szCs w:val="20"/>
              </w:rPr>
              <w:t>[6986] The risk of drug dependence is high.</w:t>
            </w:r>
          </w:p>
        </w:tc>
      </w:tr>
    </w:tbl>
    <w:p w14:paraId="1C31631C" w14:textId="77777777" w:rsidR="00F33674" w:rsidRPr="00F33674" w:rsidRDefault="00F33674" w:rsidP="00F33674">
      <w:pPr>
        <w:ind w:left="360" w:hanging="360"/>
        <w:contextualSpacing/>
        <w:jc w:val="left"/>
      </w:pPr>
    </w:p>
    <w:p w14:paraId="47408EE5" w14:textId="77777777" w:rsidR="00CB71CC" w:rsidRDefault="00CB71CC">
      <w:pPr>
        <w:jc w:val="left"/>
        <w:rPr>
          <w:rFonts w:asciiTheme="minorHAnsi" w:eastAsiaTheme="majorEastAsia" w:hAnsiTheme="minorHAnsi" w:cstheme="majorBidi"/>
          <w:b/>
          <w:i/>
          <w:spacing w:val="5"/>
          <w:kern w:val="28"/>
          <w:sz w:val="28"/>
          <w:szCs w:val="36"/>
        </w:rPr>
      </w:pPr>
      <w:bookmarkStart w:id="28" w:name="_Toc32300594"/>
      <w:r>
        <w:rPr>
          <w:rFonts w:asciiTheme="minorHAnsi" w:eastAsiaTheme="majorEastAsia" w:hAnsiTheme="minorHAnsi" w:cstheme="majorBidi"/>
          <w:b/>
          <w:i/>
          <w:spacing w:val="5"/>
          <w:kern w:val="28"/>
          <w:sz w:val="28"/>
          <w:szCs w:val="36"/>
        </w:rPr>
        <w:br w:type="page"/>
      </w:r>
    </w:p>
    <w:p w14:paraId="2DB3F3BA" w14:textId="394CBBED" w:rsidR="00F33674" w:rsidRPr="00F33674" w:rsidRDefault="00F33674" w:rsidP="00F33674">
      <w:pPr>
        <w:keepNext/>
        <w:jc w:val="left"/>
        <w:outlineLvl w:val="1"/>
        <w:rPr>
          <w:rFonts w:asciiTheme="minorHAnsi" w:eastAsiaTheme="majorEastAsia" w:hAnsiTheme="minorHAnsi" w:cstheme="majorBidi"/>
          <w:b/>
          <w:i/>
          <w:spacing w:val="5"/>
          <w:kern w:val="28"/>
          <w:sz w:val="28"/>
          <w:szCs w:val="36"/>
        </w:rPr>
      </w:pPr>
      <w:r w:rsidRPr="00F33674">
        <w:rPr>
          <w:rFonts w:asciiTheme="minorHAnsi" w:eastAsiaTheme="majorEastAsia" w:hAnsiTheme="minorHAnsi" w:cstheme="majorBidi"/>
          <w:b/>
          <w:i/>
          <w:spacing w:val="5"/>
          <w:kern w:val="28"/>
          <w:sz w:val="28"/>
          <w:szCs w:val="36"/>
        </w:rPr>
        <w:lastRenderedPageBreak/>
        <w:t xml:space="preserve">PBS restrictions for reduced pack sizes in </w:t>
      </w:r>
      <w:proofErr w:type="gramStart"/>
      <w:r w:rsidRPr="00F33674">
        <w:rPr>
          <w:rFonts w:asciiTheme="minorHAnsi" w:eastAsiaTheme="majorEastAsia" w:hAnsiTheme="minorHAnsi" w:cstheme="majorBidi"/>
          <w:b/>
          <w:i/>
          <w:spacing w:val="5"/>
          <w:kern w:val="28"/>
          <w:sz w:val="28"/>
          <w:szCs w:val="36"/>
        </w:rPr>
        <w:t>2</w:t>
      </w:r>
      <w:r w:rsidRPr="00F33674">
        <w:rPr>
          <w:rFonts w:asciiTheme="minorHAnsi" w:eastAsiaTheme="majorEastAsia" w:hAnsiTheme="minorHAnsi" w:cstheme="majorBidi"/>
          <w:b/>
          <w:i/>
          <w:spacing w:val="5"/>
          <w:kern w:val="28"/>
          <w:sz w:val="28"/>
          <w:szCs w:val="36"/>
          <w:vertAlign w:val="superscript"/>
        </w:rPr>
        <w:t>nd</w:t>
      </w:r>
      <w:proofErr w:type="gramEnd"/>
      <w:r w:rsidRPr="00F33674">
        <w:rPr>
          <w:rFonts w:asciiTheme="minorHAnsi" w:eastAsiaTheme="majorEastAsia" w:hAnsiTheme="minorHAnsi" w:cstheme="majorBidi"/>
          <w:b/>
          <w:i/>
          <w:spacing w:val="5"/>
          <w:kern w:val="28"/>
          <w:sz w:val="28"/>
          <w:szCs w:val="36"/>
        </w:rPr>
        <w:t xml:space="preserve"> line setting</w:t>
      </w:r>
      <w:bookmarkEnd w:id="28"/>
    </w:p>
    <w:p w14:paraId="6B99F624" w14:textId="77777777" w:rsidR="00F33674" w:rsidRPr="00F33674" w:rsidRDefault="00F33674" w:rsidP="00F33674">
      <w:pPr>
        <w:pStyle w:val="3-BodyText"/>
      </w:pPr>
      <w:r w:rsidRPr="00F33674">
        <w:t>Add new items:</w:t>
      </w:r>
    </w:p>
    <w:p w14:paraId="0C84BF8A" w14:textId="77777777" w:rsidR="00F33674" w:rsidRPr="00F33674" w:rsidRDefault="00F33674" w:rsidP="00F33674">
      <w:pPr>
        <w:keepNext/>
        <w:keepLines/>
        <w:spacing w:before="40"/>
        <w:jc w:val="left"/>
        <w:outlineLvl w:val="2"/>
        <w:rPr>
          <w:rFonts w:asciiTheme="minorHAnsi" w:eastAsiaTheme="majorEastAsia" w:hAnsiTheme="minorHAnsi" w:cstheme="majorBidi"/>
          <w:b/>
          <w:color w:val="000000" w:themeColor="text1"/>
        </w:rPr>
      </w:pPr>
      <w:bookmarkStart w:id="29" w:name="_Toc32300595"/>
      <w:r w:rsidRPr="00F33674">
        <w:rPr>
          <w:rFonts w:asciiTheme="minorHAnsi" w:eastAsiaTheme="majorEastAsia" w:hAnsiTheme="minorHAnsi" w:cstheme="majorBidi"/>
          <w:b/>
          <w:color w:val="000000" w:themeColor="text1"/>
        </w:rPr>
        <w:t xml:space="preserve">Listing 14: Restriction for short-term pain TGA indication in </w:t>
      </w:r>
      <w:proofErr w:type="gramStart"/>
      <w:r w:rsidRPr="00F33674">
        <w:rPr>
          <w:rFonts w:asciiTheme="minorHAnsi" w:eastAsiaTheme="majorEastAsia" w:hAnsiTheme="minorHAnsi" w:cstheme="majorBidi"/>
          <w:b/>
          <w:color w:val="000000" w:themeColor="text1"/>
        </w:rPr>
        <w:t>2</w:t>
      </w:r>
      <w:r w:rsidRPr="00F33674">
        <w:rPr>
          <w:rFonts w:asciiTheme="minorHAnsi" w:eastAsiaTheme="majorEastAsia" w:hAnsiTheme="minorHAnsi" w:cstheme="majorBidi"/>
          <w:b/>
          <w:color w:val="000000" w:themeColor="text1"/>
          <w:vertAlign w:val="superscript"/>
        </w:rPr>
        <w:t>nd</w:t>
      </w:r>
      <w:proofErr w:type="gramEnd"/>
      <w:r w:rsidRPr="00F33674">
        <w:rPr>
          <w:rFonts w:asciiTheme="minorHAnsi" w:eastAsiaTheme="majorEastAsia" w:hAnsiTheme="minorHAnsi" w:cstheme="majorBidi"/>
          <w:b/>
          <w:color w:val="000000" w:themeColor="text1"/>
        </w:rPr>
        <w:t xml:space="preserve"> line opioid setting:</w:t>
      </w:r>
      <w:bookmarkEnd w:id="29"/>
    </w:p>
    <w:p w14:paraId="5BB4B95E" w14:textId="77777777" w:rsidR="00F33674" w:rsidRPr="00F33674" w:rsidRDefault="00F33674" w:rsidP="00F33674">
      <w:pPr>
        <w:ind w:left="360" w:hanging="360"/>
        <w:contextualSpacing/>
        <w:jc w:val="left"/>
      </w:pPr>
    </w:p>
    <w:tbl>
      <w:tblPr>
        <w:tblW w:w="9529" w:type="dxa"/>
        <w:tblLook w:val="04A0" w:firstRow="1" w:lastRow="0" w:firstColumn="1" w:lastColumn="0" w:noHBand="0" w:noVBand="1"/>
      </w:tblPr>
      <w:tblGrid>
        <w:gridCol w:w="1774"/>
        <w:gridCol w:w="915"/>
        <w:gridCol w:w="2693"/>
        <w:gridCol w:w="836"/>
        <w:gridCol w:w="656"/>
        <w:gridCol w:w="1238"/>
        <w:gridCol w:w="1417"/>
      </w:tblGrid>
      <w:tr w:rsidR="00F33674" w:rsidRPr="00F33674" w14:paraId="25AD1399" w14:textId="77777777" w:rsidTr="00F33674">
        <w:trPr>
          <w:trHeight w:val="300"/>
        </w:trPr>
        <w:tc>
          <w:tcPr>
            <w:tcW w:w="1774" w:type="dxa"/>
            <w:tcBorders>
              <w:bottom w:val="single" w:sz="4" w:space="0" w:color="auto"/>
            </w:tcBorders>
            <w:shd w:val="clear" w:color="auto" w:fill="auto"/>
            <w:noWrap/>
            <w:hideMark/>
          </w:tcPr>
          <w:p w14:paraId="3F3839BE"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LI Drug</w:t>
            </w:r>
          </w:p>
        </w:tc>
        <w:tc>
          <w:tcPr>
            <w:tcW w:w="915" w:type="dxa"/>
            <w:tcBorders>
              <w:bottom w:val="single" w:sz="4" w:space="0" w:color="auto"/>
            </w:tcBorders>
            <w:shd w:val="clear" w:color="auto" w:fill="auto"/>
          </w:tcPr>
          <w:p w14:paraId="6B0C0BC2"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Existing Item Code</w:t>
            </w:r>
          </w:p>
        </w:tc>
        <w:tc>
          <w:tcPr>
            <w:tcW w:w="2693" w:type="dxa"/>
            <w:tcBorders>
              <w:bottom w:val="single" w:sz="4" w:space="0" w:color="auto"/>
            </w:tcBorders>
            <w:shd w:val="clear" w:color="auto" w:fill="auto"/>
            <w:noWrap/>
            <w:hideMark/>
          </w:tcPr>
          <w:p w14:paraId="482BF43B"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Legal Instrument Form</w:t>
            </w:r>
          </w:p>
        </w:tc>
        <w:tc>
          <w:tcPr>
            <w:tcW w:w="836" w:type="dxa"/>
            <w:tcBorders>
              <w:bottom w:val="single" w:sz="4" w:space="0" w:color="auto"/>
            </w:tcBorders>
            <w:shd w:val="clear" w:color="auto" w:fill="auto"/>
            <w:noWrap/>
            <w:hideMark/>
          </w:tcPr>
          <w:p w14:paraId="594564DB"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Max. Qty</w:t>
            </w:r>
          </w:p>
        </w:tc>
        <w:tc>
          <w:tcPr>
            <w:tcW w:w="656" w:type="dxa"/>
            <w:tcBorders>
              <w:bottom w:val="single" w:sz="4" w:space="0" w:color="auto"/>
            </w:tcBorders>
            <w:shd w:val="clear" w:color="auto" w:fill="auto"/>
            <w:noWrap/>
            <w:hideMark/>
          </w:tcPr>
          <w:p w14:paraId="563B1533"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No. Rpt</w:t>
            </w:r>
          </w:p>
        </w:tc>
        <w:tc>
          <w:tcPr>
            <w:tcW w:w="1238" w:type="dxa"/>
            <w:tcBorders>
              <w:bottom w:val="single" w:sz="4" w:space="0" w:color="auto"/>
            </w:tcBorders>
            <w:shd w:val="clear" w:color="auto" w:fill="auto"/>
            <w:noWrap/>
            <w:hideMark/>
          </w:tcPr>
          <w:p w14:paraId="33A93818"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Brand Name</w:t>
            </w:r>
          </w:p>
        </w:tc>
        <w:tc>
          <w:tcPr>
            <w:tcW w:w="1417" w:type="dxa"/>
            <w:tcBorders>
              <w:bottom w:val="single" w:sz="4" w:space="0" w:color="auto"/>
            </w:tcBorders>
            <w:shd w:val="clear" w:color="auto" w:fill="auto"/>
            <w:noWrap/>
            <w:hideMark/>
          </w:tcPr>
          <w:p w14:paraId="7DD9C024"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Responsible Person</w:t>
            </w:r>
          </w:p>
        </w:tc>
      </w:tr>
      <w:tr w:rsidR="00F33674" w:rsidRPr="00F33674" w14:paraId="4D5D8D4D" w14:textId="77777777" w:rsidTr="00F33674">
        <w:trPr>
          <w:trHeight w:val="300"/>
        </w:trPr>
        <w:tc>
          <w:tcPr>
            <w:tcW w:w="1774" w:type="dxa"/>
            <w:tcBorders>
              <w:top w:val="single" w:sz="4" w:space="0" w:color="auto"/>
            </w:tcBorders>
            <w:shd w:val="clear" w:color="auto" w:fill="auto"/>
            <w:noWrap/>
            <w:hideMark/>
          </w:tcPr>
          <w:p w14:paraId="7BD5AB6C"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HYDROMORPHONE</w:t>
            </w:r>
          </w:p>
        </w:tc>
        <w:tc>
          <w:tcPr>
            <w:tcW w:w="915" w:type="dxa"/>
            <w:tcBorders>
              <w:top w:val="single" w:sz="4" w:space="0" w:color="auto"/>
            </w:tcBorders>
            <w:shd w:val="clear" w:color="auto" w:fill="auto"/>
          </w:tcPr>
          <w:p w14:paraId="4F1E3C14"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11467M</w:t>
            </w:r>
          </w:p>
        </w:tc>
        <w:tc>
          <w:tcPr>
            <w:tcW w:w="2693" w:type="dxa"/>
            <w:tcBorders>
              <w:top w:val="single" w:sz="4" w:space="0" w:color="auto"/>
            </w:tcBorders>
            <w:shd w:val="clear" w:color="auto" w:fill="auto"/>
            <w:noWrap/>
            <w:hideMark/>
          </w:tcPr>
          <w:p w14:paraId="55F3B031"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Oral liquid containing hydromorphone hydrochloride 1 mg per mL, 200 mL</w:t>
            </w:r>
          </w:p>
        </w:tc>
        <w:tc>
          <w:tcPr>
            <w:tcW w:w="836" w:type="dxa"/>
            <w:tcBorders>
              <w:top w:val="single" w:sz="4" w:space="0" w:color="auto"/>
            </w:tcBorders>
            <w:shd w:val="clear" w:color="auto" w:fill="auto"/>
            <w:noWrap/>
            <w:hideMark/>
          </w:tcPr>
          <w:p w14:paraId="00BB3B58" w14:textId="77777777" w:rsidR="00F33674" w:rsidRPr="00F33674" w:rsidRDefault="00F33674" w:rsidP="00F33674">
            <w:pPr>
              <w:jc w:val="righ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1</w:t>
            </w:r>
          </w:p>
        </w:tc>
        <w:tc>
          <w:tcPr>
            <w:tcW w:w="656" w:type="dxa"/>
            <w:tcBorders>
              <w:top w:val="single" w:sz="4" w:space="0" w:color="auto"/>
            </w:tcBorders>
            <w:shd w:val="clear" w:color="auto" w:fill="auto"/>
            <w:noWrap/>
            <w:hideMark/>
          </w:tcPr>
          <w:p w14:paraId="29E055E5" w14:textId="77777777" w:rsidR="00F33674" w:rsidRPr="00F33674" w:rsidRDefault="00F33674" w:rsidP="00F33674">
            <w:pPr>
              <w:jc w:val="righ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0</w:t>
            </w:r>
          </w:p>
        </w:tc>
        <w:tc>
          <w:tcPr>
            <w:tcW w:w="1238" w:type="dxa"/>
            <w:tcBorders>
              <w:top w:val="single" w:sz="4" w:space="0" w:color="auto"/>
            </w:tcBorders>
            <w:shd w:val="clear" w:color="auto" w:fill="auto"/>
            <w:noWrap/>
            <w:hideMark/>
          </w:tcPr>
          <w:p w14:paraId="1E4BEB24"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Dilaudid</w:t>
            </w:r>
          </w:p>
        </w:tc>
        <w:tc>
          <w:tcPr>
            <w:tcW w:w="1417" w:type="dxa"/>
            <w:tcBorders>
              <w:top w:val="single" w:sz="4" w:space="0" w:color="auto"/>
            </w:tcBorders>
            <w:shd w:val="clear" w:color="auto" w:fill="auto"/>
            <w:noWrap/>
            <w:hideMark/>
          </w:tcPr>
          <w:p w14:paraId="618884DA"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Mundipharma Pty Limited</w:t>
            </w:r>
          </w:p>
        </w:tc>
      </w:tr>
      <w:tr w:rsidR="00F33674" w:rsidRPr="00F33674" w14:paraId="77B574EF" w14:textId="77777777" w:rsidTr="00F33674">
        <w:trPr>
          <w:trHeight w:val="300"/>
        </w:trPr>
        <w:tc>
          <w:tcPr>
            <w:tcW w:w="1774" w:type="dxa"/>
            <w:shd w:val="clear" w:color="auto" w:fill="auto"/>
            <w:noWrap/>
          </w:tcPr>
          <w:p w14:paraId="1902ACED" w14:textId="77777777" w:rsidR="00F33674" w:rsidRPr="00F33674" w:rsidRDefault="00F33674" w:rsidP="00F33674">
            <w:pPr>
              <w:jc w:val="left"/>
              <w:rPr>
                <w:rFonts w:ascii="Arial Narrow" w:hAnsi="Arial Narrow" w:cs="Calibri"/>
                <w:color w:val="000000"/>
                <w:sz w:val="20"/>
                <w:szCs w:val="20"/>
                <w:lang w:eastAsia="en-AU"/>
              </w:rPr>
            </w:pPr>
          </w:p>
        </w:tc>
        <w:tc>
          <w:tcPr>
            <w:tcW w:w="915" w:type="dxa"/>
            <w:shd w:val="clear" w:color="auto" w:fill="auto"/>
          </w:tcPr>
          <w:p w14:paraId="16B0AD6F"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8541M</w:t>
            </w:r>
          </w:p>
        </w:tc>
        <w:tc>
          <w:tcPr>
            <w:tcW w:w="2693" w:type="dxa"/>
            <w:shd w:val="clear" w:color="auto" w:fill="auto"/>
            <w:noWrap/>
            <w:hideMark/>
          </w:tcPr>
          <w:p w14:paraId="12FA2AAF"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Tablet containing hydromorphone hydrochloride 2 mg</w:t>
            </w:r>
          </w:p>
        </w:tc>
        <w:tc>
          <w:tcPr>
            <w:tcW w:w="836" w:type="dxa"/>
            <w:shd w:val="clear" w:color="auto" w:fill="auto"/>
            <w:noWrap/>
            <w:hideMark/>
          </w:tcPr>
          <w:p w14:paraId="22442742" w14:textId="77777777" w:rsidR="00F33674" w:rsidRPr="00F33674" w:rsidRDefault="00F33674" w:rsidP="00F33674">
            <w:pPr>
              <w:jc w:val="righ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10</w:t>
            </w:r>
          </w:p>
        </w:tc>
        <w:tc>
          <w:tcPr>
            <w:tcW w:w="656" w:type="dxa"/>
            <w:shd w:val="clear" w:color="auto" w:fill="auto"/>
            <w:noWrap/>
            <w:hideMark/>
          </w:tcPr>
          <w:p w14:paraId="2BA2E4D9" w14:textId="77777777" w:rsidR="00F33674" w:rsidRPr="00F33674" w:rsidRDefault="00F33674" w:rsidP="00F33674">
            <w:pPr>
              <w:jc w:val="righ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0</w:t>
            </w:r>
          </w:p>
        </w:tc>
        <w:tc>
          <w:tcPr>
            <w:tcW w:w="1238" w:type="dxa"/>
            <w:shd w:val="clear" w:color="auto" w:fill="auto"/>
            <w:noWrap/>
            <w:hideMark/>
          </w:tcPr>
          <w:p w14:paraId="23321274"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Dilaudid</w:t>
            </w:r>
          </w:p>
        </w:tc>
        <w:tc>
          <w:tcPr>
            <w:tcW w:w="1417" w:type="dxa"/>
            <w:shd w:val="clear" w:color="auto" w:fill="auto"/>
            <w:noWrap/>
            <w:hideMark/>
          </w:tcPr>
          <w:p w14:paraId="52FAB9C4"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Mundipharma Pty Limited</w:t>
            </w:r>
          </w:p>
        </w:tc>
      </w:tr>
      <w:tr w:rsidR="00F33674" w:rsidRPr="00F33674" w14:paraId="1A5D5734" w14:textId="77777777" w:rsidTr="00F33674">
        <w:trPr>
          <w:trHeight w:val="300"/>
        </w:trPr>
        <w:tc>
          <w:tcPr>
            <w:tcW w:w="1774" w:type="dxa"/>
            <w:shd w:val="clear" w:color="auto" w:fill="auto"/>
            <w:noWrap/>
          </w:tcPr>
          <w:p w14:paraId="0753E1C6" w14:textId="77777777" w:rsidR="00F33674" w:rsidRPr="00F33674" w:rsidRDefault="00F33674" w:rsidP="00F33674">
            <w:pPr>
              <w:jc w:val="left"/>
              <w:rPr>
                <w:rFonts w:ascii="Arial Narrow" w:hAnsi="Arial Narrow" w:cs="Calibri"/>
                <w:color w:val="000000"/>
                <w:sz w:val="20"/>
                <w:szCs w:val="20"/>
                <w:lang w:eastAsia="en-AU"/>
              </w:rPr>
            </w:pPr>
          </w:p>
        </w:tc>
        <w:tc>
          <w:tcPr>
            <w:tcW w:w="915" w:type="dxa"/>
            <w:shd w:val="clear" w:color="auto" w:fill="auto"/>
          </w:tcPr>
          <w:p w14:paraId="3809209A"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8542N</w:t>
            </w:r>
          </w:p>
        </w:tc>
        <w:tc>
          <w:tcPr>
            <w:tcW w:w="2693" w:type="dxa"/>
            <w:shd w:val="clear" w:color="auto" w:fill="auto"/>
            <w:noWrap/>
            <w:hideMark/>
          </w:tcPr>
          <w:p w14:paraId="51348C36"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Tablet containing hydromorphone hydrochloride 4 mg</w:t>
            </w:r>
          </w:p>
        </w:tc>
        <w:tc>
          <w:tcPr>
            <w:tcW w:w="836" w:type="dxa"/>
            <w:shd w:val="clear" w:color="auto" w:fill="auto"/>
            <w:noWrap/>
            <w:hideMark/>
          </w:tcPr>
          <w:p w14:paraId="67F3CC68" w14:textId="77777777" w:rsidR="00F33674" w:rsidRPr="00F33674" w:rsidRDefault="00F33674" w:rsidP="00F33674">
            <w:pPr>
              <w:jc w:val="righ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10</w:t>
            </w:r>
          </w:p>
        </w:tc>
        <w:tc>
          <w:tcPr>
            <w:tcW w:w="656" w:type="dxa"/>
            <w:shd w:val="clear" w:color="auto" w:fill="auto"/>
            <w:noWrap/>
            <w:hideMark/>
          </w:tcPr>
          <w:p w14:paraId="0EF594FD" w14:textId="77777777" w:rsidR="00F33674" w:rsidRPr="00F33674" w:rsidRDefault="00F33674" w:rsidP="00F33674">
            <w:pPr>
              <w:jc w:val="righ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0</w:t>
            </w:r>
          </w:p>
        </w:tc>
        <w:tc>
          <w:tcPr>
            <w:tcW w:w="1238" w:type="dxa"/>
            <w:shd w:val="clear" w:color="auto" w:fill="auto"/>
            <w:noWrap/>
            <w:hideMark/>
          </w:tcPr>
          <w:p w14:paraId="7E617444"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Dilaudid</w:t>
            </w:r>
          </w:p>
        </w:tc>
        <w:tc>
          <w:tcPr>
            <w:tcW w:w="1417" w:type="dxa"/>
            <w:shd w:val="clear" w:color="auto" w:fill="auto"/>
            <w:noWrap/>
            <w:hideMark/>
          </w:tcPr>
          <w:p w14:paraId="7BB6440B"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Mundipharma Pty Limited</w:t>
            </w:r>
          </w:p>
        </w:tc>
      </w:tr>
      <w:tr w:rsidR="00F33674" w:rsidRPr="00F33674" w14:paraId="4C224B82" w14:textId="77777777" w:rsidTr="00F33674">
        <w:trPr>
          <w:trHeight w:val="300"/>
        </w:trPr>
        <w:tc>
          <w:tcPr>
            <w:tcW w:w="1774" w:type="dxa"/>
            <w:shd w:val="clear" w:color="auto" w:fill="auto"/>
            <w:noWrap/>
          </w:tcPr>
          <w:p w14:paraId="09E72D73" w14:textId="77777777" w:rsidR="00F33674" w:rsidRPr="00F33674" w:rsidRDefault="00F33674" w:rsidP="00F33674">
            <w:pPr>
              <w:jc w:val="left"/>
              <w:rPr>
                <w:rFonts w:ascii="Arial Narrow" w:hAnsi="Arial Narrow" w:cs="Calibri"/>
                <w:color w:val="000000"/>
                <w:sz w:val="20"/>
                <w:szCs w:val="20"/>
                <w:lang w:eastAsia="en-AU"/>
              </w:rPr>
            </w:pPr>
          </w:p>
        </w:tc>
        <w:tc>
          <w:tcPr>
            <w:tcW w:w="915" w:type="dxa"/>
            <w:shd w:val="clear" w:color="auto" w:fill="auto"/>
          </w:tcPr>
          <w:p w14:paraId="04C75A2A"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8543P</w:t>
            </w:r>
          </w:p>
        </w:tc>
        <w:tc>
          <w:tcPr>
            <w:tcW w:w="2693" w:type="dxa"/>
            <w:shd w:val="clear" w:color="auto" w:fill="auto"/>
            <w:noWrap/>
            <w:hideMark/>
          </w:tcPr>
          <w:p w14:paraId="6EDAB860"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Tablet containing hydromorphone hydrochloride 8 mg</w:t>
            </w:r>
          </w:p>
        </w:tc>
        <w:tc>
          <w:tcPr>
            <w:tcW w:w="836" w:type="dxa"/>
            <w:shd w:val="clear" w:color="auto" w:fill="auto"/>
            <w:noWrap/>
            <w:hideMark/>
          </w:tcPr>
          <w:p w14:paraId="57E020C7" w14:textId="77777777" w:rsidR="00F33674" w:rsidRPr="00F33674" w:rsidRDefault="00F33674" w:rsidP="00F33674">
            <w:pPr>
              <w:jc w:val="righ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10</w:t>
            </w:r>
          </w:p>
        </w:tc>
        <w:tc>
          <w:tcPr>
            <w:tcW w:w="656" w:type="dxa"/>
            <w:shd w:val="clear" w:color="auto" w:fill="auto"/>
            <w:noWrap/>
            <w:hideMark/>
          </w:tcPr>
          <w:p w14:paraId="4C564D55" w14:textId="77777777" w:rsidR="00F33674" w:rsidRPr="00F33674" w:rsidRDefault="00F33674" w:rsidP="00F33674">
            <w:pPr>
              <w:jc w:val="righ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0</w:t>
            </w:r>
          </w:p>
        </w:tc>
        <w:tc>
          <w:tcPr>
            <w:tcW w:w="1238" w:type="dxa"/>
            <w:shd w:val="clear" w:color="auto" w:fill="auto"/>
            <w:noWrap/>
            <w:hideMark/>
          </w:tcPr>
          <w:p w14:paraId="25E183F5"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Dilaudid</w:t>
            </w:r>
          </w:p>
        </w:tc>
        <w:tc>
          <w:tcPr>
            <w:tcW w:w="1417" w:type="dxa"/>
            <w:shd w:val="clear" w:color="auto" w:fill="auto"/>
            <w:noWrap/>
            <w:hideMark/>
          </w:tcPr>
          <w:p w14:paraId="57900BD2"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Mundipharma Pty Limited</w:t>
            </w:r>
          </w:p>
        </w:tc>
      </w:tr>
      <w:tr w:rsidR="00F33674" w:rsidRPr="00F33674" w14:paraId="429BB93B" w14:textId="77777777" w:rsidTr="00F33674">
        <w:trPr>
          <w:trHeight w:val="300"/>
        </w:trPr>
        <w:tc>
          <w:tcPr>
            <w:tcW w:w="1774" w:type="dxa"/>
            <w:shd w:val="clear" w:color="auto" w:fill="auto"/>
            <w:noWrap/>
            <w:hideMark/>
          </w:tcPr>
          <w:p w14:paraId="5AB79A5C"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MORPHINE</w:t>
            </w:r>
          </w:p>
        </w:tc>
        <w:tc>
          <w:tcPr>
            <w:tcW w:w="915" w:type="dxa"/>
            <w:shd w:val="clear" w:color="auto" w:fill="auto"/>
          </w:tcPr>
          <w:p w14:paraId="50A996FC"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2124T</w:t>
            </w:r>
          </w:p>
        </w:tc>
        <w:tc>
          <w:tcPr>
            <w:tcW w:w="2693" w:type="dxa"/>
            <w:shd w:val="clear" w:color="auto" w:fill="auto"/>
            <w:noWrap/>
            <w:hideMark/>
          </w:tcPr>
          <w:p w14:paraId="15121A0A"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Oral solution containing morphine hydrochloride trihydrate 10 mg per mL, 200 mL</w:t>
            </w:r>
          </w:p>
        </w:tc>
        <w:tc>
          <w:tcPr>
            <w:tcW w:w="836" w:type="dxa"/>
            <w:shd w:val="clear" w:color="auto" w:fill="auto"/>
            <w:noWrap/>
            <w:hideMark/>
          </w:tcPr>
          <w:p w14:paraId="727DB8F6" w14:textId="77777777" w:rsidR="00F33674" w:rsidRPr="00F33674" w:rsidRDefault="00F33674" w:rsidP="00F33674">
            <w:pPr>
              <w:jc w:val="righ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1</w:t>
            </w:r>
          </w:p>
        </w:tc>
        <w:tc>
          <w:tcPr>
            <w:tcW w:w="656" w:type="dxa"/>
            <w:shd w:val="clear" w:color="auto" w:fill="auto"/>
            <w:noWrap/>
            <w:hideMark/>
          </w:tcPr>
          <w:p w14:paraId="5C2DB292" w14:textId="77777777" w:rsidR="00F33674" w:rsidRPr="00F33674" w:rsidRDefault="00F33674" w:rsidP="00F33674">
            <w:pPr>
              <w:jc w:val="righ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0</w:t>
            </w:r>
          </w:p>
        </w:tc>
        <w:tc>
          <w:tcPr>
            <w:tcW w:w="1238" w:type="dxa"/>
            <w:shd w:val="clear" w:color="auto" w:fill="auto"/>
            <w:noWrap/>
            <w:hideMark/>
          </w:tcPr>
          <w:p w14:paraId="602878F5"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Ordine 10</w:t>
            </w:r>
          </w:p>
        </w:tc>
        <w:tc>
          <w:tcPr>
            <w:tcW w:w="1417" w:type="dxa"/>
            <w:shd w:val="clear" w:color="auto" w:fill="auto"/>
            <w:noWrap/>
            <w:hideMark/>
          </w:tcPr>
          <w:p w14:paraId="0BB53AC1"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Mundipharma Pty Limited</w:t>
            </w:r>
          </w:p>
        </w:tc>
      </w:tr>
      <w:tr w:rsidR="00F33674" w:rsidRPr="00F33674" w14:paraId="16E359D4" w14:textId="77777777" w:rsidTr="00F33674">
        <w:trPr>
          <w:trHeight w:val="300"/>
        </w:trPr>
        <w:tc>
          <w:tcPr>
            <w:tcW w:w="1774" w:type="dxa"/>
            <w:shd w:val="clear" w:color="auto" w:fill="auto"/>
            <w:noWrap/>
          </w:tcPr>
          <w:p w14:paraId="6B1DF255" w14:textId="77777777" w:rsidR="00F33674" w:rsidRPr="00F33674" w:rsidRDefault="00F33674" w:rsidP="00F33674">
            <w:pPr>
              <w:jc w:val="left"/>
              <w:rPr>
                <w:rFonts w:ascii="Arial Narrow" w:hAnsi="Arial Narrow" w:cs="Calibri"/>
                <w:color w:val="000000"/>
                <w:sz w:val="20"/>
                <w:szCs w:val="20"/>
                <w:lang w:eastAsia="en-AU"/>
              </w:rPr>
            </w:pPr>
          </w:p>
        </w:tc>
        <w:tc>
          <w:tcPr>
            <w:tcW w:w="915" w:type="dxa"/>
            <w:shd w:val="clear" w:color="auto" w:fill="auto"/>
          </w:tcPr>
          <w:p w14:paraId="76E6A847"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2122Q</w:t>
            </w:r>
          </w:p>
        </w:tc>
        <w:tc>
          <w:tcPr>
            <w:tcW w:w="2693" w:type="dxa"/>
            <w:shd w:val="clear" w:color="auto" w:fill="auto"/>
            <w:noWrap/>
            <w:hideMark/>
          </w:tcPr>
          <w:p w14:paraId="09D2A04F"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Oral solution containing morphine hydrochloride trihydrate 2 mg per mL, 200 mL</w:t>
            </w:r>
          </w:p>
        </w:tc>
        <w:tc>
          <w:tcPr>
            <w:tcW w:w="836" w:type="dxa"/>
            <w:shd w:val="clear" w:color="auto" w:fill="auto"/>
            <w:noWrap/>
            <w:hideMark/>
          </w:tcPr>
          <w:p w14:paraId="705CBB8E" w14:textId="77777777" w:rsidR="00F33674" w:rsidRPr="00F33674" w:rsidRDefault="00F33674" w:rsidP="00F33674">
            <w:pPr>
              <w:jc w:val="righ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1</w:t>
            </w:r>
          </w:p>
        </w:tc>
        <w:tc>
          <w:tcPr>
            <w:tcW w:w="656" w:type="dxa"/>
            <w:shd w:val="clear" w:color="auto" w:fill="auto"/>
            <w:noWrap/>
            <w:hideMark/>
          </w:tcPr>
          <w:p w14:paraId="30943404" w14:textId="77777777" w:rsidR="00F33674" w:rsidRPr="00F33674" w:rsidRDefault="00F33674" w:rsidP="00F33674">
            <w:pPr>
              <w:jc w:val="righ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0</w:t>
            </w:r>
          </w:p>
        </w:tc>
        <w:tc>
          <w:tcPr>
            <w:tcW w:w="1238" w:type="dxa"/>
            <w:shd w:val="clear" w:color="auto" w:fill="auto"/>
            <w:noWrap/>
            <w:hideMark/>
          </w:tcPr>
          <w:p w14:paraId="409C59FD"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Ordine 2</w:t>
            </w:r>
          </w:p>
        </w:tc>
        <w:tc>
          <w:tcPr>
            <w:tcW w:w="1417" w:type="dxa"/>
            <w:shd w:val="clear" w:color="auto" w:fill="auto"/>
            <w:noWrap/>
            <w:hideMark/>
          </w:tcPr>
          <w:p w14:paraId="49352543"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Mundipharma Pty Limited</w:t>
            </w:r>
          </w:p>
        </w:tc>
      </w:tr>
      <w:tr w:rsidR="00F33674" w:rsidRPr="00F33674" w14:paraId="385FCDD2" w14:textId="77777777" w:rsidTr="00F33674">
        <w:trPr>
          <w:trHeight w:val="300"/>
        </w:trPr>
        <w:tc>
          <w:tcPr>
            <w:tcW w:w="1774" w:type="dxa"/>
            <w:shd w:val="clear" w:color="auto" w:fill="auto"/>
            <w:noWrap/>
          </w:tcPr>
          <w:p w14:paraId="2AF9CF5E" w14:textId="77777777" w:rsidR="00F33674" w:rsidRPr="00F33674" w:rsidRDefault="00F33674" w:rsidP="00F33674">
            <w:pPr>
              <w:jc w:val="left"/>
              <w:rPr>
                <w:rFonts w:ascii="Arial Narrow" w:hAnsi="Arial Narrow" w:cs="Calibri"/>
                <w:color w:val="000000"/>
                <w:sz w:val="20"/>
                <w:szCs w:val="20"/>
                <w:lang w:eastAsia="en-AU"/>
              </w:rPr>
            </w:pPr>
          </w:p>
        </w:tc>
        <w:tc>
          <w:tcPr>
            <w:tcW w:w="915" w:type="dxa"/>
            <w:shd w:val="clear" w:color="auto" w:fill="auto"/>
          </w:tcPr>
          <w:p w14:paraId="4C950936"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2123R</w:t>
            </w:r>
          </w:p>
        </w:tc>
        <w:tc>
          <w:tcPr>
            <w:tcW w:w="2693" w:type="dxa"/>
            <w:shd w:val="clear" w:color="auto" w:fill="auto"/>
            <w:noWrap/>
            <w:hideMark/>
          </w:tcPr>
          <w:p w14:paraId="0C8F4213"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Oral solution containing morphine hydrochloride trihydrate 5 mg per mL, 200 mL</w:t>
            </w:r>
          </w:p>
        </w:tc>
        <w:tc>
          <w:tcPr>
            <w:tcW w:w="836" w:type="dxa"/>
            <w:shd w:val="clear" w:color="auto" w:fill="auto"/>
            <w:noWrap/>
            <w:hideMark/>
          </w:tcPr>
          <w:p w14:paraId="6EE68421" w14:textId="77777777" w:rsidR="00F33674" w:rsidRPr="00F33674" w:rsidRDefault="00F33674" w:rsidP="00F33674">
            <w:pPr>
              <w:jc w:val="righ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1</w:t>
            </w:r>
          </w:p>
        </w:tc>
        <w:tc>
          <w:tcPr>
            <w:tcW w:w="656" w:type="dxa"/>
            <w:shd w:val="clear" w:color="auto" w:fill="auto"/>
            <w:noWrap/>
            <w:hideMark/>
          </w:tcPr>
          <w:p w14:paraId="1C67CCCB" w14:textId="77777777" w:rsidR="00F33674" w:rsidRPr="00F33674" w:rsidRDefault="00F33674" w:rsidP="00F33674">
            <w:pPr>
              <w:jc w:val="righ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0</w:t>
            </w:r>
          </w:p>
        </w:tc>
        <w:tc>
          <w:tcPr>
            <w:tcW w:w="1238" w:type="dxa"/>
            <w:shd w:val="clear" w:color="auto" w:fill="auto"/>
            <w:noWrap/>
            <w:hideMark/>
          </w:tcPr>
          <w:p w14:paraId="55284350"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Ordine 5</w:t>
            </w:r>
          </w:p>
        </w:tc>
        <w:tc>
          <w:tcPr>
            <w:tcW w:w="1417" w:type="dxa"/>
            <w:shd w:val="clear" w:color="auto" w:fill="auto"/>
            <w:noWrap/>
            <w:hideMark/>
          </w:tcPr>
          <w:p w14:paraId="04AB3D6A"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Mundipharma Pty Limited</w:t>
            </w:r>
          </w:p>
        </w:tc>
      </w:tr>
      <w:tr w:rsidR="00F33674" w:rsidRPr="00F33674" w14:paraId="7A1DEB9D" w14:textId="77777777" w:rsidTr="00F33674">
        <w:trPr>
          <w:trHeight w:val="300"/>
        </w:trPr>
        <w:tc>
          <w:tcPr>
            <w:tcW w:w="1774" w:type="dxa"/>
            <w:shd w:val="clear" w:color="auto" w:fill="auto"/>
            <w:noWrap/>
          </w:tcPr>
          <w:p w14:paraId="4E67C19D" w14:textId="77777777" w:rsidR="00F33674" w:rsidRPr="00F33674" w:rsidRDefault="00F33674" w:rsidP="00F33674">
            <w:pPr>
              <w:jc w:val="left"/>
              <w:rPr>
                <w:rFonts w:ascii="Arial Narrow" w:hAnsi="Arial Narrow" w:cs="Calibri"/>
                <w:color w:val="000000"/>
                <w:sz w:val="20"/>
                <w:szCs w:val="20"/>
                <w:lang w:eastAsia="en-AU"/>
              </w:rPr>
            </w:pPr>
          </w:p>
        </w:tc>
        <w:tc>
          <w:tcPr>
            <w:tcW w:w="915" w:type="dxa"/>
            <w:shd w:val="clear" w:color="auto" w:fill="auto"/>
          </w:tcPr>
          <w:p w14:paraId="7D7B7315"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1646P</w:t>
            </w:r>
          </w:p>
        </w:tc>
        <w:tc>
          <w:tcPr>
            <w:tcW w:w="2693" w:type="dxa"/>
            <w:shd w:val="clear" w:color="auto" w:fill="auto"/>
            <w:noWrap/>
            <w:hideMark/>
          </w:tcPr>
          <w:p w14:paraId="03FADEAC"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Tablet containing morphine sulfate pentahydrate 30 mg</w:t>
            </w:r>
          </w:p>
        </w:tc>
        <w:tc>
          <w:tcPr>
            <w:tcW w:w="836" w:type="dxa"/>
            <w:shd w:val="clear" w:color="auto" w:fill="auto"/>
            <w:noWrap/>
            <w:hideMark/>
          </w:tcPr>
          <w:p w14:paraId="4A3D31A5" w14:textId="77777777" w:rsidR="00F33674" w:rsidRPr="00F33674" w:rsidRDefault="00F33674" w:rsidP="00F33674">
            <w:pPr>
              <w:jc w:val="righ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10</w:t>
            </w:r>
          </w:p>
        </w:tc>
        <w:tc>
          <w:tcPr>
            <w:tcW w:w="656" w:type="dxa"/>
            <w:shd w:val="clear" w:color="auto" w:fill="auto"/>
            <w:noWrap/>
            <w:hideMark/>
          </w:tcPr>
          <w:p w14:paraId="28A65385" w14:textId="77777777" w:rsidR="00F33674" w:rsidRPr="00F33674" w:rsidRDefault="00F33674" w:rsidP="00F33674">
            <w:pPr>
              <w:jc w:val="righ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0</w:t>
            </w:r>
          </w:p>
        </w:tc>
        <w:tc>
          <w:tcPr>
            <w:tcW w:w="1238" w:type="dxa"/>
            <w:shd w:val="clear" w:color="auto" w:fill="auto"/>
            <w:noWrap/>
            <w:hideMark/>
          </w:tcPr>
          <w:p w14:paraId="0FDEE139"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Anamorph</w:t>
            </w:r>
          </w:p>
        </w:tc>
        <w:tc>
          <w:tcPr>
            <w:tcW w:w="1417" w:type="dxa"/>
            <w:shd w:val="clear" w:color="auto" w:fill="auto"/>
            <w:noWrap/>
            <w:hideMark/>
          </w:tcPr>
          <w:p w14:paraId="7472FB41"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Arrow Pharma Pty Ltd</w:t>
            </w:r>
          </w:p>
        </w:tc>
      </w:tr>
    </w:tbl>
    <w:p w14:paraId="68E4E1BD" w14:textId="77777777" w:rsidR="00F33674" w:rsidRPr="00F33674" w:rsidRDefault="00F33674" w:rsidP="00F33674">
      <w:pPr>
        <w:ind w:left="360" w:hanging="360"/>
        <w:contextualSpacing/>
        <w:jc w:val="left"/>
      </w:pPr>
    </w:p>
    <w:tbl>
      <w:tblPr>
        <w:tblW w:w="9214" w:type="dxa"/>
        <w:tblInd w:w="-5" w:type="dxa"/>
        <w:tblLayout w:type="fixed"/>
        <w:tblLook w:val="0000" w:firstRow="0" w:lastRow="0" w:firstColumn="0" w:lastColumn="0" w:noHBand="0" w:noVBand="0"/>
      </w:tblPr>
      <w:tblGrid>
        <w:gridCol w:w="2835"/>
        <w:gridCol w:w="6379"/>
      </w:tblGrid>
      <w:tr w:rsidR="00F33674" w:rsidRPr="00F33674" w14:paraId="7F300083" w14:textId="77777777" w:rsidTr="00F33674">
        <w:trPr>
          <w:cantSplit/>
          <w:trHeight w:val="360"/>
        </w:trPr>
        <w:tc>
          <w:tcPr>
            <w:tcW w:w="2835" w:type="dxa"/>
            <w:tcBorders>
              <w:top w:val="single" w:sz="4" w:space="0" w:color="auto"/>
              <w:left w:val="single" w:sz="4" w:space="0" w:color="auto"/>
              <w:bottom w:val="single" w:sz="4" w:space="0" w:color="auto"/>
              <w:right w:val="single" w:sz="4" w:space="0" w:color="auto"/>
            </w:tcBorders>
          </w:tcPr>
          <w:p w14:paraId="2FB50BAB" w14:textId="77777777" w:rsidR="00F33674" w:rsidRPr="00F33674" w:rsidRDefault="00F33674" w:rsidP="00F33674">
            <w:pPr>
              <w:rPr>
                <w:rFonts w:ascii="Arial Narrow" w:hAnsi="Arial Narrow" w:cs="Arial"/>
                <w:b/>
                <w:sz w:val="20"/>
                <w:szCs w:val="20"/>
              </w:rPr>
            </w:pPr>
            <w:r w:rsidRPr="00F33674">
              <w:rPr>
                <w:rFonts w:ascii="Arial Narrow" w:hAnsi="Arial Narrow" w:cs="Arial"/>
                <w:b/>
                <w:sz w:val="20"/>
                <w:szCs w:val="20"/>
              </w:rPr>
              <w:t>Category / Program:</w:t>
            </w:r>
          </w:p>
        </w:tc>
        <w:tc>
          <w:tcPr>
            <w:tcW w:w="6379" w:type="dxa"/>
            <w:tcBorders>
              <w:top w:val="single" w:sz="4" w:space="0" w:color="auto"/>
              <w:left w:val="single" w:sz="4" w:space="0" w:color="auto"/>
              <w:bottom w:val="single" w:sz="4" w:space="0" w:color="auto"/>
              <w:right w:val="single" w:sz="4" w:space="0" w:color="auto"/>
            </w:tcBorders>
          </w:tcPr>
          <w:p w14:paraId="4F8D6A33" w14:textId="77777777" w:rsidR="00F33674" w:rsidRPr="00F33674" w:rsidRDefault="00F33674" w:rsidP="00F33674">
            <w:pPr>
              <w:rPr>
                <w:rFonts w:ascii="Arial Narrow" w:hAnsi="Arial Narrow" w:cs="Arial"/>
                <w:sz w:val="20"/>
                <w:szCs w:val="20"/>
              </w:rPr>
            </w:pPr>
            <w:r w:rsidRPr="00F33674">
              <w:rPr>
                <w:rFonts w:ascii="Arial Narrow" w:hAnsi="Arial Narrow" w:cs="Arial"/>
                <w:sz w:val="20"/>
                <w:szCs w:val="20"/>
              </w:rPr>
              <w:t>GENERAL – General Schedule (Code GE)</w:t>
            </w:r>
          </w:p>
        </w:tc>
      </w:tr>
      <w:tr w:rsidR="00F33674" w:rsidRPr="00F33674" w14:paraId="7A0843BA" w14:textId="77777777" w:rsidTr="00F33674">
        <w:trPr>
          <w:cantSplit/>
          <w:trHeight w:val="360"/>
        </w:trPr>
        <w:tc>
          <w:tcPr>
            <w:tcW w:w="2835" w:type="dxa"/>
            <w:tcBorders>
              <w:top w:val="single" w:sz="4" w:space="0" w:color="auto"/>
              <w:left w:val="single" w:sz="4" w:space="0" w:color="auto"/>
              <w:bottom w:val="single" w:sz="4" w:space="0" w:color="auto"/>
              <w:right w:val="single" w:sz="4" w:space="0" w:color="auto"/>
            </w:tcBorders>
          </w:tcPr>
          <w:p w14:paraId="6F90A78F" w14:textId="77777777" w:rsidR="00F33674" w:rsidRPr="00F33674" w:rsidRDefault="00F33674" w:rsidP="00F33674">
            <w:pPr>
              <w:rPr>
                <w:rFonts w:ascii="Arial Narrow" w:hAnsi="Arial Narrow" w:cs="Arial"/>
                <w:b/>
                <w:sz w:val="20"/>
                <w:szCs w:val="20"/>
              </w:rPr>
            </w:pPr>
            <w:r w:rsidRPr="00F33674">
              <w:rPr>
                <w:rFonts w:ascii="Arial Narrow" w:hAnsi="Arial Narrow" w:cs="Arial"/>
                <w:b/>
                <w:sz w:val="20"/>
                <w:szCs w:val="20"/>
              </w:rPr>
              <w:t>Prescriber type:</w:t>
            </w:r>
          </w:p>
          <w:p w14:paraId="1B791076" w14:textId="77777777" w:rsidR="00F33674" w:rsidRPr="00F33674" w:rsidRDefault="00F33674" w:rsidP="00F33674">
            <w:pPr>
              <w:rPr>
                <w:rFonts w:ascii="Arial Narrow" w:hAnsi="Arial Narrow" w:cs="Arial"/>
                <w:b/>
                <w:sz w:val="20"/>
                <w:szCs w:val="20"/>
              </w:rPr>
            </w:pPr>
          </w:p>
        </w:tc>
        <w:tc>
          <w:tcPr>
            <w:tcW w:w="6379" w:type="dxa"/>
            <w:tcBorders>
              <w:top w:val="single" w:sz="4" w:space="0" w:color="auto"/>
              <w:left w:val="single" w:sz="4" w:space="0" w:color="auto"/>
              <w:bottom w:val="single" w:sz="4" w:space="0" w:color="auto"/>
              <w:right w:val="single" w:sz="4" w:space="0" w:color="auto"/>
            </w:tcBorders>
          </w:tcPr>
          <w:p w14:paraId="0E794DEB" w14:textId="13EBF4A8" w:rsidR="00F33674" w:rsidRPr="00F33674" w:rsidRDefault="00F33674" w:rsidP="00F33674">
            <w:pPr>
              <w:rPr>
                <w:rFonts w:ascii="Arial Narrow" w:hAnsi="Arial Narrow" w:cs="Arial"/>
                <w:sz w:val="20"/>
                <w:szCs w:val="20"/>
              </w:rPr>
            </w:pPr>
            <w:r w:rsidRPr="00F33674">
              <w:rPr>
                <w:rFonts w:ascii="Arial Narrow" w:hAnsi="Arial Narrow" w:cs="Arial"/>
                <w:sz w:val="20"/>
                <w:szCs w:val="20"/>
              </w:rPr>
              <w:fldChar w:fldCharType="begin">
                <w:ffData>
                  <w:name w:val="Check1"/>
                  <w:enabled/>
                  <w:calcOnExit w:val="0"/>
                  <w:checkBox>
                    <w:sizeAuto/>
                    <w:default w:val="0"/>
                  </w:checkBox>
                </w:ffData>
              </w:fldChar>
            </w:r>
            <w:r w:rsidRPr="00F33674">
              <w:rPr>
                <w:rFonts w:ascii="Arial Narrow" w:hAnsi="Arial Narrow" w:cs="Arial"/>
                <w:sz w:val="20"/>
                <w:szCs w:val="20"/>
              </w:rPr>
              <w:instrText xml:space="preserve"> FORMCHECKBOX </w:instrText>
            </w:r>
            <w:r w:rsidR="00233D13">
              <w:rPr>
                <w:rFonts w:ascii="Arial Narrow" w:hAnsi="Arial Narrow" w:cs="Arial"/>
                <w:sz w:val="20"/>
                <w:szCs w:val="20"/>
              </w:rPr>
            </w:r>
            <w:r w:rsidR="00233D13">
              <w:rPr>
                <w:rFonts w:ascii="Arial Narrow" w:hAnsi="Arial Narrow" w:cs="Arial"/>
                <w:sz w:val="20"/>
                <w:szCs w:val="20"/>
              </w:rPr>
              <w:fldChar w:fldCharType="separate"/>
            </w:r>
            <w:r w:rsidRPr="00F33674">
              <w:rPr>
                <w:rFonts w:ascii="Arial Narrow" w:hAnsi="Arial Narrow" w:cs="Arial"/>
                <w:sz w:val="20"/>
                <w:szCs w:val="20"/>
              </w:rPr>
              <w:fldChar w:fldCharType="end"/>
            </w:r>
            <w:r w:rsidRPr="00F33674">
              <w:rPr>
                <w:rFonts w:ascii="Arial Narrow" w:hAnsi="Arial Narrow" w:cs="Arial"/>
                <w:sz w:val="20"/>
                <w:szCs w:val="20"/>
              </w:rPr>
              <w:t>Dental</w:t>
            </w:r>
            <w:r w:rsidR="002C1329">
              <w:rPr>
                <w:rFonts w:ascii="Arial Narrow" w:hAnsi="Arial Narrow" w:cs="Arial"/>
                <w:sz w:val="20"/>
                <w:szCs w:val="20"/>
              </w:rPr>
              <w:t xml:space="preserve"> </w:t>
            </w:r>
            <w:r w:rsidRPr="00F33674">
              <w:rPr>
                <w:rFonts w:ascii="Arial Narrow" w:hAnsi="Arial Narrow" w:cs="Arial"/>
                <w:sz w:val="20"/>
                <w:szCs w:val="20"/>
              </w:rPr>
              <w:fldChar w:fldCharType="begin">
                <w:ffData>
                  <w:name w:val=""/>
                  <w:enabled/>
                  <w:calcOnExit w:val="0"/>
                  <w:checkBox>
                    <w:sizeAuto/>
                    <w:default w:val="1"/>
                  </w:checkBox>
                </w:ffData>
              </w:fldChar>
            </w:r>
            <w:r w:rsidRPr="00F33674">
              <w:rPr>
                <w:rFonts w:ascii="Arial Narrow" w:hAnsi="Arial Narrow" w:cs="Arial"/>
                <w:sz w:val="20"/>
                <w:szCs w:val="20"/>
              </w:rPr>
              <w:instrText xml:space="preserve"> FORMCHECKBOX </w:instrText>
            </w:r>
            <w:r w:rsidR="00233D13">
              <w:rPr>
                <w:rFonts w:ascii="Arial Narrow" w:hAnsi="Arial Narrow" w:cs="Arial"/>
                <w:sz w:val="20"/>
                <w:szCs w:val="20"/>
              </w:rPr>
            </w:r>
            <w:r w:rsidR="00233D13">
              <w:rPr>
                <w:rFonts w:ascii="Arial Narrow" w:hAnsi="Arial Narrow" w:cs="Arial"/>
                <w:sz w:val="20"/>
                <w:szCs w:val="20"/>
              </w:rPr>
              <w:fldChar w:fldCharType="separate"/>
            </w:r>
            <w:r w:rsidRPr="00F33674">
              <w:rPr>
                <w:rFonts w:ascii="Arial Narrow" w:hAnsi="Arial Narrow" w:cs="Arial"/>
                <w:sz w:val="20"/>
                <w:szCs w:val="20"/>
              </w:rPr>
              <w:fldChar w:fldCharType="end"/>
            </w:r>
            <w:r w:rsidRPr="00F33674">
              <w:rPr>
                <w:rFonts w:ascii="Arial Narrow" w:hAnsi="Arial Narrow" w:cs="Arial"/>
                <w:sz w:val="20"/>
                <w:szCs w:val="20"/>
              </w:rPr>
              <w:t>Medical Practitioners</w:t>
            </w:r>
            <w:r w:rsidR="002C1329">
              <w:rPr>
                <w:rFonts w:ascii="Arial Narrow" w:hAnsi="Arial Narrow" w:cs="Arial"/>
                <w:sz w:val="20"/>
                <w:szCs w:val="20"/>
              </w:rPr>
              <w:t xml:space="preserve"> </w:t>
            </w:r>
            <w:r w:rsidRPr="00F33674">
              <w:rPr>
                <w:rFonts w:ascii="Arial Narrow" w:hAnsi="Arial Narrow" w:cs="Arial"/>
                <w:sz w:val="20"/>
                <w:szCs w:val="20"/>
              </w:rPr>
              <w:fldChar w:fldCharType="begin">
                <w:ffData>
                  <w:name w:val="Check3"/>
                  <w:enabled/>
                  <w:calcOnExit w:val="0"/>
                  <w:checkBox>
                    <w:sizeAuto/>
                    <w:default w:val="1"/>
                  </w:checkBox>
                </w:ffData>
              </w:fldChar>
            </w:r>
            <w:r w:rsidRPr="00F33674">
              <w:rPr>
                <w:rFonts w:ascii="Arial Narrow" w:hAnsi="Arial Narrow" w:cs="Arial"/>
                <w:sz w:val="20"/>
                <w:szCs w:val="20"/>
              </w:rPr>
              <w:instrText xml:space="preserve"> FORMCHECKBOX </w:instrText>
            </w:r>
            <w:r w:rsidR="00233D13">
              <w:rPr>
                <w:rFonts w:ascii="Arial Narrow" w:hAnsi="Arial Narrow" w:cs="Arial"/>
                <w:sz w:val="20"/>
                <w:szCs w:val="20"/>
              </w:rPr>
            </w:r>
            <w:r w:rsidR="00233D13">
              <w:rPr>
                <w:rFonts w:ascii="Arial Narrow" w:hAnsi="Arial Narrow" w:cs="Arial"/>
                <w:sz w:val="20"/>
                <w:szCs w:val="20"/>
              </w:rPr>
              <w:fldChar w:fldCharType="separate"/>
            </w:r>
            <w:r w:rsidRPr="00F33674">
              <w:rPr>
                <w:rFonts w:ascii="Arial Narrow" w:hAnsi="Arial Narrow" w:cs="Arial"/>
                <w:sz w:val="20"/>
                <w:szCs w:val="20"/>
              </w:rPr>
              <w:fldChar w:fldCharType="end"/>
            </w:r>
            <w:r w:rsidRPr="00F33674">
              <w:rPr>
                <w:rFonts w:ascii="Arial Narrow" w:hAnsi="Arial Narrow" w:cs="Arial"/>
                <w:sz w:val="20"/>
                <w:szCs w:val="20"/>
              </w:rPr>
              <w:t>Nurse practitioners</w:t>
            </w:r>
            <w:r w:rsidR="002C1329">
              <w:rPr>
                <w:rFonts w:ascii="Arial Narrow" w:hAnsi="Arial Narrow" w:cs="Arial"/>
                <w:sz w:val="20"/>
                <w:szCs w:val="20"/>
              </w:rPr>
              <w:t xml:space="preserve"> </w:t>
            </w:r>
            <w:r w:rsidRPr="00F33674">
              <w:rPr>
                <w:rFonts w:ascii="Arial Narrow" w:hAnsi="Arial Narrow" w:cs="Arial"/>
                <w:sz w:val="20"/>
                <w:szCs w:val="20"/>
              </w:rPr>
              <w:fldChar w:fldCharType="begin">
                <w:ffData>
                  <w:name w:val=""/>
                  <w:enabled/>
                  <w:calcOnExit w:val="0"/>
                  <w:checkBox>
                    <w:sizeAuto/>
                    <w:default w:val="0"/>
                  </w:checkBox>
                </w:ffData>
              </w:fldChar>
            </w:r>
            <w:r w:rsidRPr="00F33674">
              <w:rPr>
                <w:rFonts w:ascii="Arial Narrow" w:hAnsi="Arial Narrow" w:cs="Arial"/>
                <w:sz w:val="20"/>
                <w:szCs w:val="20"/>
              </w:rPr>
              <w:instrText xml:space="preserve"> FORMCHECKBOX </w:instrText>
            </w:r>
            <w:r w:rsidR="00233D13">
              <w:rPr>
                <w:rFonts w:ascii="Arial Narrow" w:hAnsi="Arial Narrow" w:cs="Arial"/>
                <w:sz w:val="20"/>
                <w:szCs w:val="20"/>
              </w:rPr>
            </w:r>
            <w:r w:rsidR="00233D13">
              <w:rPr>
                <w:rFonts w:ascii="Arial Narrow" w:hAnsi="Arial Narrow" w:cs="Arial"/>
                <w:sz w:val="20"/>
                <w:szCs w:val="20"/>
              </w:rPr>
              <w:fldChar w:fldCharType="separate"/>
            </w:r>
            <w:r w:rsidRPr="00F33674">
              <w:rPr>
                <w:rFonts w:ascii="Arial Narrow" w:hAnsi="Arial Narrow" w:cs="Arial"/>
                <w:sz w:val="20"/>
                <w:szCs w:val="20"/>
              </w:rPr>
              <w:fldChar w:fldCharType="end"/>
            </w:r>
            <w:r w:rsidRPr="00F33674">
              <w:rPr>
                <w:rFonts w:ascii="Arial Narrow" w:hAnsi="Arial Narrow" w:cs="Arial"/>
                <w:sz w:val="20"/>
                <w:szCs w:val="20"/>
              </w:rPr>
              <w:t>Optometrists</w:t>
            </w:r>
          </w:p>
          <w:p w14:paraId="5EAEFC0C" w14:textId="77777777" w:rsidR="00F33674" w:rsidRPr="00F33674" w:rsidRDefault="00F33674" w:rsidP="00F33674">
            <w:pPr>
              <w:rPr>
                <w:rFonts w:ascii="Arial Narrow" w:hAnsi="Arial Narrow" w:cs="Arial"/>
                <w:sz w:val="20"/>
                <w:szCs w:val="20"/>
              </w:rPr>
            </w:pPr>
            <w:r w:rsidRPr="00F33674">
              <w:rPr>
                <w:rFonts w:ascii="Arial Narrow" w:hAnsi="Arial Narrow" w:cs="Arial"/>
                <w:sz w:val="20"/>
                <w:szCs w:val="20"/>
              </w:rPr>
              <w:fldChar w:fldCharType="begin">
                <w:ffData>
                  <w:name w:val="Check5"/>
                  <w:enabled/>
                  <w:calcOnExit w:val="0"/>
                  <w:checkBox>
                    <w:sizeAuto/>
                    <w:default w:val="0"/>
                  </w:checkBox>
                </w:ffData>
              </w:fldChar>
            </w:r>
            <w:r w:rsidRPr="00F33674">
              <w:rPr>
                <w:rFonts w:ascii="Arial Narrow" w:hAnsi="Arial Narrow" w:cs="Arial"/>
                <w:sz w:val="20"/>
                <w:szCs w:val="20"/>
              </w:rPr>
              <w:instrText xml:space="preserve"> FORMCHECKBOX </w:instrText>
            </w:r>
            <w:r w:rsidR="00233D13">
              <w:rPr>
                <w:rFonts w:ascii="Arial Narrow" w:hAnsi="Arial Narrow" w:cs="Arial"/>
                <w:sz w:val="20"/>
                <w:szCs w:val="20"/>
              </w:rPr>
            </w:r>
            <w:r w:rsidR="00233D13">
              <w:rPr>
                <w:rFonts w:ascii="Arial Narrow" w:hAnsi="Arial Narrow" w:cs="Arial"/>
                <w:sz w:val="20"/>
                <w:szCs w:val="20"/>
              </w:rPr>
              <w:fldChar w:fldCharType="separate"/>
            </w:r>
            <w:r w:rsidRPr="00F33674">
              <w:rPr>
                <w:rFonts w:ascii="Arial Narrow" w:hAnsi="Arial Narrow" w:cs="Arial"/>
                <w:sz w:val="20"/>
                <w:szCs w:val="20"/>
              </w:rPr>
              <w:fldChar w:fldCharType="end"/>
            </w:r>
            <w:r w:rsidRPr="00F33674">
              <w:rPr>
                <w:rFonts w:ascii="Arial Narrow" w:hAnsi="Arial Narrow" w:cs="Arial"/>
                <w:sz w:val="20"/>
                <w:szCs w:val="20"/>
              </w:rPr>
              <w:t>Midwives</w:t>
            </w:r>
          </w:p>
        </w:tc>
      </w:tr>
      <w:tr w:rsidR="00F33674" w:rsidRPr="00F33674" w14:paraId="67585E0B" w14:textId="77777777" w:rsidTr="00F33674">
        <w:trPr>
          <w:cantSplit/>
          <w:trHeight w:val="369"/>
        </w:trPr>
        <w:tc>
          <w:tcPr>
            <w:tcW w:w="2835" w:type="dxa"/>
            <w:tcBorders>
              <w:top w:val="single" w:sz="4" w:space="0" w:color="auto"/>
              <w:left w:val="single" w:sz="4" w:space="0" w:color="auto"/>
              <w:bottom w:val="single" w:sz="4" w:space="0" w:color="auto"/>
              <w:right w:val="single" w:sz="4" w:space="0" w:color="auto"/>
            </w:tcBorders>
          </w:tcPr>
          <w:p w14:paraId="2A1B41F0" w14:textId="77777777" w:rsidR="00F33674" w:rsidRPr="00F33674" w:rsidRDefault="00F33674" w:rsidP="00F33674">
            <w:pPr>
              <w:rPr>
                <w:rFonts w:ascii="Arial Narrow" w:hAnsi="Arial Narrow" w:cs="Arial"/>
                <w:b/>
                <w:sz w:val="20"/>
                <w:szCs w:val="20"/>
              </w:rPr>
            </w:pPr>
            <w:r w:rsidRPr="00F33674">
              <w:rPr>
                <w:rFonts w:ascii="Arial Narrow" w:hAnsi="Arial Narrow" w:cs="Arial"/>
                <w:b/>
                <w:sz w:val="20"/>
                <w:szCs w:val="20"/>
              </w:rPr>
              <w:t>PBS indication:</w:t>
            </w:r>
          </w:p>
        </w:tc>
        <w:tc>
          <w:tcPr>
            <w:tcW w:w="6379" w:type="dxa"/>
            <w:tcBorders>
              <w:top w:val="single" w:sz="4" w:space="0" w:color="auto"/>
              <w:left w:val="single" w:sz="4" w:space="0" w:color="auto"/>
              <w:bottom w:val="single" w:sz="4" w:space="0" w:color="auto"/>
              <w:right w:val="single" w:sz="4" w:space="0" w:color="auto"/>
            </w:tcBorders>
          </w:tcPr>
          <w:p w14:paraId="72BD6854" w14:textId="77777777" w:rsidR="00F33674" w:rsidRPr="00F33674" w:rsidRDefault="00F33674" w:rsidP="00F33674">
            <w:pPr>
              <w:rPr>
                <w:rFonts w:ascii="Arial Narrow" w:hAnsi="Arial Narrow" w:cs="Arial"/>
                <w:sz w:val="20"/>
                <w:szCs w:val="20"/>
              </w:rPr>
            </w:pPr>
            <w:r w:rsidRPr="00F33674">
              <w:rPr>
                <w:rFonts w:ascii="Arial Narrow" w:hAnsi="Arial Narrow" w:cs="Arial"/>
                <w:sz w:val="20"/>
                <w:szCs w:val="20"/>
              </w:rPr>
              <w:t>[7861] Severe pain</w:t>
            </w:r>
          </w:p>
        </w:tc>
      </w:tr>
      <w:tr w:rsidR="00F33674" w:rsidRPr="00F33674" w14:paraId="4DF44446" w14:textId="77777777" w:rsidTr="00F33674">
        <w:trPr>
          <w:cantSplit/>
          <w:trHeight w:val="360"/>
        </w:trPr>
        <w:tc>
          <w:tcPr>
            <w:tcW w:w="2835" w:type="dxa"/>
            <w:tcBorders>
              <w:top w:val="single" w:sz="4" w:space="0" w:color="auto"/>
              <w:left w:val="single" w:sz="4" w:space="0" w:color="auto"/>
              <w:bottom w:val="single" w:sz="4" w:space="0" w:color="auto"/>
              <w:right w:val="single" w:sz="4" w:space="0" w:color="auto"/>
            </w:tcBorders>
          </w:tcPr>
          <w:p w14:paraId="441CABD4" w14:textId="77777777" w:rsidR="00F33674" w:rsidRPr="00F33674" w:rsidRDefault="00F33674" w:rsidP="00F33674">
            <w:pPr>
              <w:rPr>
                <w:rFonts w:ascii="Arial Narrow" w:hAnsi="Arial Narrow" w:cs="Arial"/>
                <w:b/>
                <w:sz w:val="20"/>
                <w:szCs w:val="20"/>
              </w:rPr>
            </w:pPr>
            <w:r w:rsidRPr="00F33674">
              <w:rPr>
                <w:rFonts w:ascii="Arial Narrow" w:hAnsi="Arial Narrow" w:cs="Arial"/>
                <w:b/>
                <w:sz w:val="20"/>
                <w:szCs w:val="20"/>
              </w:rPr>
              <w:t>Restriction Level / Method:</w:t>
            </w:r>
          </w:p>
          <w:p w14:paraId="1AF8CA12" w14:textId="77777777" w:rsidR="00F33674" w:rsidRPr="00F33674" w:rsidRDefault="00F33674" w:rsidP="00F33674">
            <w:pPr>
              <w:rPr>
                <w:rFonts w:ascii="Arial Narrow" w:hAnsi="Arial Narrow" w:cs="Arial"/>
                <w:i/>
                <w:sz w:val="20"/>
                <w:szCs w:val="20"/>
              </w:rPr>
            </w:pPr>
          </w:p>
          <w:p w14:paraId="556CD726" w14:textId="77777777" w:rsidR="00F33674" w:rsidRPr="00F33674" w:rsidRDefault="00F33674" w:rsidP="00F33674">
            <w:pPr>
              <w:rPr>
                <w:rFonts w:ascii="Arial Narrow" w:hAnsi="Arial Narrow" w:cs="Arial"/>
                <w:i/>
                <w:sz w:val="20"/>
                <w:szCs w:val="20"/>
              </w:rPr>
            </w:pPr>
          </w:p>
          <w:p w14:paraId="4B86B900" w14:textId="77777777" w:rsidR="00F33674" w:rsidRPr="00F33674" w:rsidRDefault="00F33674" w:rsidP="00F33674">
            <w:pPr>
              <w:rPr>
                <w:rFonts w:ascii="Arial Narrow" w:hAnsi="Arial Narrow" w:cs="Arial"/>
                <w:i/>
                <w:sz w:val="20"/>
                <w:szCs w:val="20"/>
              </w:rPr>
            </w:pPr>
          </w:p>
        </w:tc>
        <w:tc>
          <w:tcPr>
            <w:tcW w:w="6379" w:type="dxa"/>
            <w:tcBorders>
              <w:top w:val="single" w:sz="4" w:space="0" w:color="auto"/>
              <w:left w:val="single" w:sz="4" w:space="0" w:color="auto"/>
              <w:bottom w:val="single" w:sz="4" w:space="0" w:color="auto"/>
              <w:right w:val="single" w:sz="4" w:space="0" w:color="auto"/>
            </w:tcBorders>
          </w:tcPr>
          <w:p w14:paraId="0A7419EF" w14:textId="77777777" w:rsidR="00F33674" w:rsidRPr="00F33674" w:rsidRDefault="00F33674" w:rsidP="00F33674">
            <w:pPr>
              <w:rPr>
                <w:rFonts w:ascii="Arial Narrow" w:hAnsi="Arial Narrow" w:cs="Arial"/>
                <w:sz w:val="20"/>
                <w:szCs w:val="20"/>
              </w:rPr>
            </w:pPr>
            <w:r w:rsidRPr="00F33674">
              <w:rPr>
                <w:rFonts w:ascii="Arial Narrow" w:hAnsi="Arial Narrow" w:cs="Arial"/>
                <w:sz w:val="20"/>
                <w:szCs w:val="20"/>
              </w:rPr>
              <w:fldChar w:fldCharType="begin">
                <w:ffData>
                  <w:name w:val=""/>
                  <w:enabled/>
                  <w:calcOnExit w:val="0"/>
                  <w:checkBox>
                    <w:sizeAuto/>
                    <w:default w:val="0"/>
                  </w:checkBox>
                </w:ffData>
              </w:fldChar>
            </w:r>
            <w:r w:rsidRPr="00F33674">
              <w:rPr>
                <w:rFonts w:ascii="Arial Narrow" w:hAnsi="Arial Narrow" w:cs="Arial"/>
                <w:sz w:val="20"/>
                <w:szCs w:val="20"/>
              </w:rPr>
              <w:instrText xml:space="preserve"> FORMCHECKBOX </w:instrText>
            </w:r>
            <w:r w:rsidR="00233D13">
              <w:rPr>
                <w:rFonts w:ascii="Arial Narrow" w:hAnsi="Arial Narrow" w:cs="Arial"/>
                <w:sz w:val="20"/>
                <w:szCs w:val="20"/>
              </w:rPr>
            </w:r>
            <w:r w:rsidR="00233D13">
              <w:rPr>
                <w:rFonts w:ascii="Arial Narrow" w:hAnsi="Arial Narrow" w:cs="Arial"/>
                <w:sz w:val="20"/>
                <w:szCs w:val="20"/>
              </w:rPr>
              <w:fldChar w:fldCharType="separate"/>
            </w:r>
            <w:r w:rsidRPr="00F33674">
              <w:rPr>
                <w:rFonts w:ascii="Arial Narrow" w:hAnsi="Arial Narrow" w:cs="Arial"/>
                <w:sz w:val="20"/>
                <w:szCs w:val="20"/>
              </w:rPr>
              <w:fldChar w:fldCharType="end"/>
            </w:r>
            <w:r w:rsidRPr="00F33674">
              <w:rPr>
                <w:rFonts w:ascii="Arial Narrow" w:hAnsi="Arial Narrow" w:cs="Arial"/>
                <w:sz w:val="20"/>
                <w:szCs w:val="20"/>
              </w:rPr>
              <w:t>Unrestricted benefit</w:t>
            </w:r>
          </w:p>
          <w:p w14:paraId="23138CA4" w14:textId="77777777" w:rsidR="00F33674" w:rsidRPr="00F33674" w:rsidRDefault="00F33674" w:rsidP="00F33674">
            <w:pPr>
              <w:rPr>
                <w:rFonts w:ascii="Arial Narrow" w:hAnsi="Arial Narrow" w:cs="Arial"/>
                <w:i/>
                <w:sz w:val="20"/>
                <w:szCs w:val="20"/>
              </w:rPr>
            </w:pPr>
            <w:r w:rsidRPr="00F33674">
              <w:rPr>
                <w:rFonts w:ascii="Arial Narrow" w:hAnsi="Arial Narrow" w:cs="Arial"/>
                <w:i/>
                <w:sz w:val="20"/>
                <w:szCs w:val="20"/>
              </w:rPr>
              <w:fldChar w:fldCharType="begin">
                <w:ffData>
                  <w:name w:val="Check1"/>
                  <w:enabled/>
                  <w:calcOnExit w:val="0"/>
                  <w:checkBox>
                    <w:sizeAuto/>
                    <w:default w:val="1"/>
                  </w:checkBox>
                </w:ffData>
              </w:fldChar>
            </w:r>
            <w:r w:rsidRPr="00F33674">
              <w:rPr>
                <w:rFonts w:ascii="Arial Narrow" w:hAnsi="Arial Narrow" w:cs="Arial"/>
                <w:i/>
                <w:sz w:val="20"/>
                <w:szCs w:val="20"/>
              </w:rPr>
              <w:instrText xml:space="preserve"> FORMCHECKBOX </w:instrText>
            </w:r>
            <w:r w:rsidR="00233D13">
              <w:rPr>
                <w:rFonts w:ascii="Arial Narrow" w:hAnsi="Arial Narrow" w:cs="Arial"/>
                <w:i/>
                <w:sz w:val="20"/>
                <w:szCs w:val="20"/>
              </w:rPr>
            </w:r>
            <w:r w:rsidR="00233D13">
              <w:rPr>
                <w:rFonts w:ascii="Arial Narrow" w:hAnsi="Arial Narrow" w:cs="Arial"/>
                <w:i/>
                <w:sz w:val="20"/>
                <w:szCs w:val="20"/>
              </w:rPr>
              <w:fldChar w:fldCharType="separate"/>
            </w:r>
            <w:r w:rsidRPr="00F33674">
              <w:rPr>
                <w:rFonts w:ascii="Arial Narrow" w:hAnsi="Arial Narrow" w:cs="Arial"/>
                <w:i/>
                <w:sz w:val="20"/>
                <w:szCs w:val="20"/>
              </w:rPr>
              <w:fldChar w:fldCharType="end"/>
            </w:r>
            <w:r w:rsidRPr="00F33674">
              <w:rPr>
                <w:rFonts w:ascii="Arial Narrow" w:hAnsi="Arial Narrow" w:cs="Arial"/>
                <w:sz w:val="20"/>
                <w:szCs w:val="20"/>
              </w:rPr>
              <w:t>Restricted benefit</w:t>
            </w:r>
          </w:p>
          <w:p w14:paraId="40072680" w14:textId="77777777" w:rsidR="00F33674" w:rsidRPr="00F33674" w:rsidRDefault="00F33674" w:rsidP="00F33674">
            <w:pPr>
              <w:rPr>
                <w:rFonts w:ascii="Arial Narrow" w:hAnsi="Arial Narrow" w:cs="Arial"/>
                <w:sz w:val="20"/>
                <w:szCs w:val="20"/>
              </w:rPr>
            </w:pPr>
            <w:r w:rsidRPr="00F33674">
              <w:rPr>
                <w:rFonts w:ascii="Arial Narrow" w:hAnsi="Arial Narrow" w:cs="Arial"/>
                <w:sz w:val="20"/>
                <w:szCs w:val="20"/>
              </w:rPr>
              <w:fldChar w:fldCharType="begin">
                <w:ffData>
                  <w:name w:val=""/>
                  <w:enabled/>
                  <w:calcOnExit w:val="0"/>
                  <w:checkBox>
                    <w:sizeAuto/>
                    <w:default w:val="0"/>
                  </w:checkBox>
                </w:ffData>
              </w:fldChar>
            </w:r>
            <w:r w:rsidRPr="00F33674">
              <w:rPr>
                <w:rFonts w:ascii="Arial Narrow" w:hAnsi="Arial Narrow" w:cs="Arial"/>
                <w:sz w:val="20"/>
                <w:szCs w:val="20"/>
              </w:rPr>
              <w:instrText xml:space="preserve"> FORMCHECKBOX </w:instrText>
            </w:r>
            <w:r w:rsidR="00233D13">
              <w:rPr>
                <w:rFonts w:ascii="Arial Narrow" w:hAnsi="Arial Narrow" w:cs="Arial"/>
                <w:sz w:val="20"/>
                <w:szCs w:val="20"/>
              </w:rPr>
            </w:r>
            <w:r w:rsidR="00233D13">
              <w:rPr>
                <w:rFonts w:ascii="Arial Narrow" w:hAnsi="Arial Narrow" w:cs="Arial"/>
                <w:sz w:val="20"/>
                <w:szCs w:val="20"/>
              </w:rPr>
              <w:fldChar w:fldCharType="separate"/>
            </w:r>
            <w:r w:rsidRPr="00F33674">
              <w:rPr>
                <w:rFonts w:ascii="Arial Narrow" w:hAnsi="Arial Narrow" w:cs="Arial"/>
                <w:sz w:val="20"/>
                <w:szCs w:val="20"/>
              </w:rPr>
              <w:fldChar w:fldCharType="end"/>
            </w:r>
            <w:r w:rsidRPr="00F33674">
              <w:rPr>
                <w:rFonts w:ascii="Arial Narrow" w:hAnsi="Arial Narrow" w:cs="Arial"/>
                <w:sz w:val="20"/>
                <w:szCs w:val="20"/>
              </w:rPr>
              <w:t>Authority Required – In Writing</w:t>
            </w:r>
          </w:p>
          <w:p w14:paraId="6D5CDBCE" w14:textId="77777777" w:rsidR="00F33674" w:rsidRPr="00F33674" w:rsidRDefault="00F33674" w:rsidP="00F33674">
            <w:pPr>
              <w:rPr>
                <w:rFonts w:ascii="Arial Narrow" w:hAnsi="Arial Narrow" w:cs="Arial"/>
                <w:sz w:val="20"/>
                <w:szCs w:val="20"/>
              </w:rPr>
            </w:pPr>
            <w:r w:rsidRPr="00F33674">
              <w:rPr>
                <w:rFonts w:ascii="Arial Narrow" w:hAnsi="Arial Narrow" w:cs="Arial"/>
                <w:sz w:val="20"/>
                <w:szCs w:val="20"/>
              </w:rPr>
              <w:fldChar w:fldCharType="begin">
                <w:ffData>
                  <w:name w:val="Check3"/>
                  <w:enabled/>
                  <w:calcOnExit w:val="0"/>
                  <w:checkBox>
                    <w:sizeAuto/>
                    <w:default w:val="0"/>
                  </w:checkBox>
                </w:ffData>
              </w:fldChar>
            </w:r>
            <w:r w:rsidRPr="00F33674">
              <w:rPr>
                <w:rFonts w:ascii="Arial Narrow" w:hAnsi="Arial Narrow" w:cs="Arial"/>
                <w:sz w:val="20"/>
                <w:szCs w:val="20"/>
              </w:rPr>
              <w:instrText xml:space="preserve"> FORMCHECKBOX </w:instrText>
            </w:r>
            <w:r w:rsidR="00233D13">
              <w:rPr>
                <w:rFonts w:ascii="Arial Narrow" w:hAnsi="Arial Narrow" w:cs="Arial"/>
                <w:sz w:val="20"/>
                <w:szCs w:val="20"/>
              </w:rPr>
            </w:r>
            <w:r w:rsidR="00233D13">
              <w:rPr>
                <w:rFonts w:ascii="Arial Narrow" w:hAnsi="Arial Narrow" w:cs="Arial"/>
                <w:sz w:val="20"/>
                <w:szCs w:val="20"/>
              </w:rPr>
              <w:fldChar w:fldCharType="separate"/>
            </w:r>
            <w:r w:rsidRPr="00F33674">
              <w:rPr>
                <w:rFonts w:ascii="Arial Narrow" w:hAnsi="Arial Narrow" w:cs="Arial"/>
                <w:sz w:val="20"/>
                <w:szCs w:val="20"/>
              </w:rPr>
              <w:fldChar w:fldCharType="end"/>
            </w:r>
            <w:r w:rsidRPr="00F33674">
              <w:rPr>
                <w:rFonts w:ascii="Arial Narrow" w:hAnsi="Arial Narrow" w:cs="Arial"/>
                <w:sz w:val="20"/>
                <w:szCs w:val="20"/>
              </w:rPr>
              <w:t>Authority Required – Telephone/Electronic/Emergency</w:t>
            </w:r>
          </w:p>
          <w:p w14:paraId="1E696FD7" w14:textId="77777777" w:rsidR="00F33674" w:rsidRPr="00F33674" w:rsidRDefault="00F33674" w:rsidP="00F33674">
            <w:pPr>
              <w:rPr>
                <w:rFonts w:ascii="Arial Narrow" w:hAnsi="Arial Narrow" w:cs="Arial"/>
                <w:sz w:val="20"/>
                <w:szCs w:val="20"/>
              </w:rPr>
            </w:pPr>
            <w:r w:rsidRPr="00F33674">
              <w:rPr>
                <w:rFonts w:ascii="Arial Narrow" w:hAnsi="Arial Narrow" w:cs="Arial"/>
                <w:sz w:val="20"/>
                <w:szCs w:val="20"/>
              </w:rPr>
              <w:fldChar w:fldCharType="begin">
                <w:ffData>
                  <w:name w:val="Check5"/>
                  <w:enabled/>
                  <w:calcOnExit w:val="0"/>
                  <w:checkBox>
                    <w:sizeAuto/>
                    <w:default w:val="0"/>
                  </w:checkBox>
                </w:ffData>
              </w:fldChar>
            </w:r>
            <w:r w:rsidRPr="00F33674">
              <w:rPr>
                <w:rFonts w:ascii="Arial Narrow" w:hAnsi="Arial Narrow" w:cs="Arial"/>
                <w:sz w:val="20"/>
                <w:szCs w:val="20"/>
              </w:rPr>
              <w:instrText xml:space="preserve"> FORMCHECKBOX </w:instrText>
            </w:r>
            <w:r w:rsidR="00233D13">
              <w:rPr>
                <w:rFonts w:ascii="Arial Narrow" w:hAnsi="Arial Narrow" w:cs="Arial"/>
                <w:sz w:val="20"/>
                <w:szCs w:val="20"/>
              </w:rPr>
            </w:r>
            <w:r w:rsidR="00233D13">
              <w:rPr>
                <w:rFonts w:ascii="Arial Narrow" w:hAnsi="Arial Narrow" w:cs="Arial"/>
                <w:sz w:val="20"/>
                <w:szCs w:val="20"/>
              </w:rPr>
              <w:fldChar w:fldCharType="separate"/>
            </w:r>
            <w:r w:rsidRPr="00F33674">
              <w:rPr>
                <w:rFonts w:ascii="Arial Narrow" w:hAnsi="Arial Narrow" w:cs="Arial"/>
                <w:sz w:val="20"/>
                <w:szCs w:val="20"/>
              </w:rPr>
              <w:fldChar w:fldCharType="end"/>
            </w:r>
            <w:r w:rsidRPr="00F33674">
              <w:rPr>
                <w:rFonts w:ascii="Arial Narrow" w:hAnsi="Arial Narrow" w:cs="Arial"/>
                <w:sz w:val="20"/>
                <w:szCs w:val="20"/>
              </w:rPr>
              <w:t>Streamlined</w:t>
            </w:r>
          </w:p>
        </w:tc>
      </w:tr>
      <w:tr w:rsidR="00F33674" w:rsidRPr="00F33674" w14:paraId="13E4C200" w14:textId="77777777" w:rsidTr="00F33674">
        <w:trPr>
          <w:cantSplit/>
          <w:trHeight w:val="360"/>
        </w:trPr>
        <w:tc>
          <w:tcPr>
            <w:tcW w:w="2835" w:type="dxa"/>
            <w:tcBorders>
              <w:top w:val="single" w:sz="4" w:space="0" w:color="auto"/>
              <w:left w:val="single" w:sz="4" w:space="0" w:color="auto"/>
              <w:bottom w:val="single" w:sz="4" w:space="0" w:color="auto"/>
              <w:right w:val="single" w:sz="4" w:space="0" w:color="auto"/>
            </w:tcBorders>
          </w:tcPr>
          <w:p w14:paraId="2EEC21F9" w14:textId="77777777" w:rsidR="00F33674" w:rsidRPr="00F33674" w:rsidRDefault="00F33674" w:rsidP="00F33674">
            <w:pPr>
              <w:rPr>
                <w:rFonts w:ascii="Arial Narrow" w:hAnsi="Arial Narrow" w:cs="Arial"/>
                <w:b/>
                <w:sz w:val="20"/>
                <w:szCs w:val="20"/>
              </w:rPr>
            </w:pPr>
            <w:r w:rsidRPr="00F33674">
              <w:rPr>
                <w:rFonts w:ascii="Arial Narrow" w:hAnsi="Arial Narrow" w:cs="Arial"/>
                <w:b/>
                <w:sz w:val="20"/>
                <w:szCs w:val="20"/>
              </w:rPr>
              <w:t>Clinical criteria:</w:t>
            </w:r>
          </w:p>
        </w:tc>
        <w:tc>
          <w:tcPr>
            <w:tcW w:w="6379" w:type="dxa"/>
            <w:tcBorders>
              <w:top w:val="single" w:sz="4" w:space="0" w:color="auto"/>
              <w:left w:val="single" w:sz="4" w:space="0" w:color="auto"/>
              <w:bottom w:val="single" w:sz="4" w:space="0" w:color="auto"/>
              <w:right w:val="single" w:sz="4" w:space="0" w:color="auto"/>
            </w:tcBorders>
          </w:tcPr>
          <w:p w14:paraId="33E0208E" w14:textId="77777777" w:rsidR="00F33674" w:rsidRPr="00F33674" w:rsidRDefault="00F33674" w:rsidP="00F33674">
            <w:pPr>
              <w:jc w:val="left"/>
              <w:rPr>
                <w:rFonts w:ascii="Arial Narrow" w:hAnsi="Arial Narrow" w:cs="Arial"/>
                <w:sz w:val="20"/>
                <w:szCs w:val="20"/>
              </w:rPr>
            </w:pPr>
            <w:r w:rsidRPr="00F33674">
              <w:rPr>
                <w:rFonts w:ascii="Arial Narrow" w:hAnsi="Arial Narrow" w:cs="Arial"/>
                <w:sz w:val="20"/>
                <w:szCs w:val="20"/>
              </w:rPr>
              <w:t>[new] The treatment must be for short term therapy of acute severe pain</w:t>
            </w:r>
          </w:p>
          <w:p w14:paraId="384DABEC" w14:textId="77777777" w:rsidR="00F33674" w:rsidRPr="00F33674" w:rsidRDefault="00F33674" w:rsidP="00F33674">
            <w:pPr>
              <w:jc w:val="left"/>
              <w:rPr>
                <w:rFonts w:ascii="Arial Narrow" w:hAnsi="Arial Narrow" w:cs="Arial"/>
                <w:sz w:val="20"/>
                <w:szCs w:val="20"/>
              </w:rPr>
            </w:pPr>
          </w:p>
          <w:p w14:paraId="16C94964" w14:textId="77777777" w:rsidR="00F33674" w:rsidRPr="00F33674" w:rsidRDefault="00F33674" w:rsidP="00F33674">
            <w:pPr>
              <w:jc w:val="left"/>
              <w:rPr>
                <w:rFonts w:ascii="Arial Narrow" w:hAnsi="Arial Narrow" w:cs="Arial"/>
                <w:sz w:val="20"/>
                <w:szCs w:val="20"/>
              </w:rPr>
            </w:pPr>
            <w:r w:rsidRPr="00F33674">
              <w:rPr>
                <w:rFonts w:ascii="Arial Narrow" w:hAnsi="Arial Narrow" w:cs="Arial"/>
                <w:sz w:val="20"/>
                <w:szCs w:val="20"/>
              </w:rPr>
              <w:t>AND</w:t>
            </w:r>
          </w:p>
          <w:p w14:paraId="43112DD6" w14:textId="77777777" w:rsidR="00F33674" w:rsidRPr="00F33674" w:rsidRDefault="00F33674" w:rsidP="00F33674">
            <w:pPr>
              <w:jc w:val="left"/>
              <w:rPr>
                <w:rFonts w:ascii="Arial Narrow" w:hAnsi="Arial Narrow" w:cs="Arial"/>
                <w:sz w:val="20"/>
                <w:szCs w:val="20"/>
              </w:rPr>
            </w:pPr>
          </w:p>
          <w:p w14:paraId="0518408A" w14:textId="7AFF1B98" w:rsidR="00F33674" w:rsidRPr="00F33674" w:rsidRDefault="00F33674" w:rsidP="00F33674">
            <w:pPr>
              <w:jc w:val="left"/>
              <w:rPr>
                <w:rFonts w:ascii="Arial Narrow" w:hAnsi="Arial Narrow" w:cs="Arial"/>
                <w:sz w:val="20"/>
                <w:szCs w:val="20"/>
              </w:rPr>
            </w:pPr>
            <w:r w:rsidRPr="00F33674">
              <w:rPr>
                <w:rFonts w:ascii="Arial Narrow" w:hAnsi="Arial Narrow" w:cs="Arial"/>
                <w:sz w:val="20"/>
                <w:szCs w:val="20"/>
              </w:rPr>
              <w:t>[new] Patient must have</w:t>
            </w:r>
            <w:r w:rsidR="00F46416">
              <w:rPr>
                <w:rFonts w:ascii="Arial Narrow" w:hAnsi="Arial Narrow" w:cs="Arial"/>
                <w:sz w:val="20"/>
                <w:szCs w:val="20"/>
              </w:rPr>
              <w:t xml:space="preserve"> had or would have</w:t>
            </w:r>
            <w:r w:rsidRPr="00F33674">
              <w:rPr>
                <w:rFonts w:ascii="Arial Narrow" w:hAnsi="Arial Narrow" w:cs="Arial"/>
                <w:sz w:val="20"/>
                <w:szCs w:val="20"/>
              </w:rPr>
              <w:t xml:space="preserve"> inadequate </w:t>
            </w:r>
            <w:r w:rsidR="00F46416">
              <w:rPr>
                <w:rFonts w:ascii="Arial Narrow" w:hAnsi="Arial Narrow" w:cs="Arial"/>
                <w:sz w:val="20"/>
                <w:szCs w:val="20"/>
              </w:rPr>
              <w:t xml:space="preserve">pain </w:t>
            </w:r>
            <w:r w:rsidRPr="00F33674">
              <w:rPr>
                <w:rFonts w:ascii="Arial Narrow" w:hAnsi="Arial Narrow" w:cs="Arial"/>
                <w:sz w:val="20"/>
                <w:szCs w:val="20"/>
              </w:rPr>
              <w:t>management</w:t>
            </w:r>
            <w:r w:rsidR="00F46416">
              <w:rPr>
                <w:rFonts w:ascii="Arial Narrow" w:hAnsi="Arial Narrow" w:cs="Arial"/>
                <w:sz w:val="20"/>
                <w:szCs w:val="20"/>
              </w:rPr>
              <w:t xml:space="preserve"> with</w:t>
            </w:r>
            <w:r w:rsidRPr="00F33674">
              <w:rPr>
                <w:rFonts w:ascii="Arial Narrow" w:hAnsi="Arial Narrow" w:cs="Arial"/>
                <w:sz w:val="20"/>
                <w:szCs w:val="20"/>
              </w:rPr>
              <w:t xml:space="preserve"> maximum tolerated doses of non-opioid and other opioid analgesics</w:t>
            </w:r>
          </w:p>
          <w:p w14:paraId="0E70A0CA" w14:textId="77777777" w:rsidR="00F33674" w:rsidRPr="00F33674" w:rsidRDefault="00F33674" w:rsidP="00F33674">
            <w:pPr>
              <w:jc w:val="left"/>
              <w:rPr>
                <w:rFonts w:ascii="Arial Narrow" w:hAnsi="Arial Narrow" w:cs="Arial"/>
                <w:sz w:val="20"/>
                <w:szCs w:val="20"/>
              </w:rPr>
            </w:pPr>
            <w:r w:rsidRPr="00F33674">
              <w:rPr>
                <w:rFonts w:ascii="Arial Narrow" w:hAnsi="Arial Narrow" w:cs="Arial"/>
                <w:sz w:val="20"/>
                <w:szCs w:val="20"/>
              </w:rPr>
              <w:t>OR</w:t>
            </w:r>
          </w:p>
          <w:p w14:paraId="7BEED16A" w14:textId="293E08B4" w:rsidR="00F33674" w:rsidRPr="00F33674" w:rsidRDefault="00F33674">
            <w:pPr>
              <w:jc w:val="left"/>
              <w:rPr>
                <w:rFonts w:ascii="Arial Narrow" w:hAnsi="Arial Narrow" w:cs="Arial"/>
                <w:sz w:val="20"/>
                <w:szCs w:val="20"/>
              </w:rPr>
            </w:pPr>
            <w:r w:rsidRPr="00F33674">
              <w:rPr>
                <w:rFonts w:ascii="Arial Narrow" w:hAnsi="Arial Narrow" w:cs="Arial"/>
                <w:sz w:val="20"/>
                <w:szCs w:val="20"/>
              </w:rPr>
              <w:t>[new] Patient must be unable to use non-opioid and other opioid analgesics due to contraindications or intolerance.</w:t>
            </w:r>
          </w:p>
        </w:tc>
      </w:tr>
      <w:tr w:rsidR="00F33674" w:rsidRPr="00F33674" w14:paraId="127A27C3" w14:textId="77777777" w:rsidTr="00F33674">
        <w:trPr>
          <w:cantSplit/>
          <w:trHeight w:val="360"/>
        </w:trPr>
        <w:tc>
          <w:tcPr>
            <w:tcW w:w="2835" w:type="dxa"/>
            <w:tcBorders>
              <w:top w:val="single" w:sz="4" w:space="0" w:color="auto"/>
              <w:left w:val="single" w:sz="4" w:space="0" w:color="auto"/>
              <w:bottom w:val="single" w:sz="4" w:space="0" w:color="auto"/>
              <w:right w:val="single" w:sz="4" w:space="0" w:color="auto"/>
            </w:tcBorders>
          </w:tcPr>
          <w:p w14:paraId="49F34275" w14:textId="77777777" w:rsidR="00F33674" w:rsidRPr="00F33674" w:rsidRDefault="00F33674" w:rsidP="00F33674">
            <w:pPr>
              <w:rPr>
                <w:rFonts w:ascii="Arial Narrow" w:hAnsi="Arial Narrow" w:cs="Arial"/>
                <w:b/>
                <w:sz w:val="20"/>
                <w:szCs w:val="20"/>
              </w:rPr>
            </w:pPr>
            <w:r w:rsidRPr="00F33674">
              <w:rPr>
                <w:rFonts w:ascii="Arial Narrow" w:hAnsi="Arial Narrow" w:cs="Arial"/>
                <w:b/>
                <w:sz w:val="20"/>
                <w:szCs w:val="20"/>
              </w:rPr>
              <w:t>Administrative advice:</w:t>
            </w:r>
          </w:p>
        </w:tc>
        <w:tc>
          <w:tcPr>
            <w:tcW w:w="6379" w:type="dxa"/>
            <w:tcBorders>
              <w:top w:val="single" w:sz="4" w:space="0" w:color="auto"/>
              <w:left w:val="single" w:sz="4" w:space="0" w:color="auto"/>
              <w:bottom w:val="single" w:sz="4" w:space="0" w:color="auto"/>
              <w:right w:val="single" w:sz="4" w:space="0" w:color="auto"/>
            </w:tcBorders>
          </w:tcPr>
          <w:p w14:paraId="14494EC9" w14:textId="77777777" w:rsidR="00F33674" w:rsidRPr="00F33674" w:rsidRDefault="00F33674" w:rsidP="00F33674">
            <w:pPr>
              <w:jc w:val="left"/>
              <w:rPr>
                <w:rFonts w:ascii="Arial Narrow" w:hAnsi="Arial Narrow" w:cs="Arial"/>
                <w:sz w:val="20"/>
                <w:szCs w:val="20"/>
              </w:rPr>
            </w:pPr>
            <w:r w:rsidRPr="00F33674">
              <w:rPr>
                <w:rFonts w:ascii="Arial Narrow" w:hAnsi="Arial Narrow" w:cs="Arial"/>
                <w:sz w:val="20"/>
                <w:szCs w:val="20"/>
              </w:rPr>
              <w:t>[7606] No increase in the maximum quantity or number of units may be authorised.</w:t>
            </w:r>
          </w:p>
          <w:p w14:paraId="5B60250C" w14:textId="77777777" w:rsidR="00F33674" w:rsidRPr="00F33674" w:rsidRDefault="00F33674" w:rsidP="00F33674">
            <w:pPr>
              <w:jc w:val="left"/>
              <w:rPr>
                <w:rFonts w:ascii="Arial Narrow" w:hAnsi="Arial Narrow" w:cs="Arial"/>
                <w:sz w:val="20"/>
                <w:szCs w:val="20"/>
              </w:rPr>
            </w:pPr>
            <w:r w:rsidRPr="00F33674">
              <w:rPr>
                <w:rFonts w:ascii="Arial Narrow" w:hAnsi="Arial Narrow" w:cs="Arial"/>
                <w:sz w:val="20"/>
                <w:szCs w:val="20"/>
              </w:rPr>
              <w:t>[7607] No increase in the maximum number of repeats may be authorised.</w:t>
            </w:r>
          </w:p>
        </w:tc>
      </w:tr>
      <w:tr w:rsidR="00F33674" w:rsidRPr="00F33674" w14:paraId="7099C48E" w14:textId="77777777" w:rsidTr="00F33674">
        <w:trPr>
          <w:cantSplit/>
          <w:trHeight w:val="360"/>
        </w:trPr>
        <w:tc>
          <w:tcPr>
            <w:tcW w:w="2835" w:type="dxa"/>
            <w:tcBorders>
              <w:top w:val="single" w:sz="4" w:space="0" w:color="auto"/>
              <w:left w:val="single" w:sz="4" w:space="0" w:color="auto"/>
              <w:bottom w:val="single" w:sz="4" w:space="0" w:color="auto"/>
              <w:right w:val="single" w:sz="4" w:space="0" w:color="auto"/>
            </w:tcBorders>
          </w:tcPr>
          <w:p w14:paraId="7354149E" w14:textId="77777777" w:rsidR="00F33674" w:rsidRPr="00F33674" w:rsidRDefault="00F33674" w:rsidP="00F33674">
            <w:pPr>
              <w:rPr>
                <w:rFonts w:ascii="Arial Narrow" w:hAnsi="Arial Narrow" w:cs="Arial"/>
                <w:b/>
                <w:sz w:val="20"/>
                <w:szCs w:val="20"/>
              </w:rPr>
            </w:pPr>
            <w:r w:rsidRPr="00F33674">
              <w:rPr>
                <w:rFonts w:ascii="Arial Narrow" w:hAnsi="Arial Narrow" w:cs="Arial"/>
                <w:b/>
                <w:sz w:val="20"/>
                <w:szCs w:val="20"/>
              </w:rPr>
              <w:t>Cautions:</w:t>
            </w:r>
          </w:p>
        </w:tc>
        <w:tc>
          <w:tcPr>
            <w:tcW w:w="6379" w:type="dxa"/>
            <w:tcBorders>
              <w:top w:val="single" w:sz="4" w:space="0" w:color="auto"/>
              <w:left w:val="single" w:sz="4" w:space="0" w:color="auto"/>
              <w:bottom w:val="single" w:sz="4" w:space="0" w:color="auto"/>
              <w:right w:val="single" w:sz="4" w:space="0" w:color="auto"/>
            </w:tcBorders>
          </w:tcPr>
          <w:p w14:paraId="7BA7D4C0" w14:textId="77777777" w:rsidR="00F33674" w:rsidRPr="00F33674" w:rsidRDefault="00F33674" w:rsidP="00F33674">
            <w:pPr>
              <w:jc w:val="left"/>
              <w:rPr>
                <w:rFonts w:ascii="Arial Narrow" w:hAnsi="Arial Narrow" w:cs="Arial"/>
                <w:sz w:val="20"/>
                <w:szCs w:val="20"/>
              </w:rPr>
            </w:pPr>
            <w:r w:rsidRPr="00F33674">
              <w:rPr>
                <w:rFonts w:ascii="Arial Narrow" w:hAnsi="Arial Narrow" w:cs="Arial"/>
                <w:sz w:val="20"/>
                <w:szCs w:val="20"/>
              </w:rPr>
              <w:t>[6986] The risk of drug dependence is high.</w:t>
            </w:r>
          </w:p>
        </w:tc>
      </w:tr>
    </w:tbl>
    <w:p w14:paraId="561670B3" w14:textId="12B6D484" w:rsidR="00F33674" w:rsidRDefault="00F33674" w:rsidP="00F33674">
      <w:pPr>
        <w:ind w:left="360" w:hanging="360"/>
        <w:contextualSpacing/>
        <w:jc w:val="left"/>
      </w:pPr>
    </w:p>
    <w:p w14:paraId="0B037FF5" w14:textId="461EB24E" w:rsidR="00F46416" w:rsidRDefault="00F46416">
      <w:pPr>
        <w:jc w:val="left"/>
      </w:pPr>
      <w:r>
        <w:br w:type="page"/>
      </w:r>
    </w:p>
    <w:p w14:paraId="35EE5945" w14:textId="77777777" w:rsidR="00F33674" w:rsidRPr="00F33674" w:rsidRDefault="00F33674" w:rsidP="00F33674">
      <w:pPr>
        <w:pStyle w:val="3-BodyText"/>
      </w:pPr>
      <w:r w:rsidRPr="00F33674">
        <w:lastRenderedPageBreak/>
        <w:t>Add new items:</w:t>
      </w:r>
    </w:p>
    <w:p w14:paraId="13E38888" w14:textId="77777777" w:rsidR="00F33674" w:rsidRPr="00F33674" w:rsidRDefault="00F33674" w:rsidP="00F33674">
      <w:pPr>
        <w:keepNext/>
        <w:keepLines/>
        <w:spacing w:before="40"/>
        <w:jc w:val="left"/>
        <w:outlineLvl w:val="2"/>
        <w:rPr>
          <w:rFonts w:asciiTheme="minorHAnsi" w:eastAsiaTheme="majorEastAsia" w:hAnsiTheme="minorHAnsi" w:cstheme="majorBidi"/>
          <w:b/>
          <w:color w:val="000000" w:themeColor="text1"/>
        </w:rPr>
      </w:pPr>
      <w:bookmarkStart w:id="30" w:name="_Toc32300596"/>
      <w:r w:rsidRPr="00F33674">
        <w:rPr>
          <w:rFonts w:asciiTheme="minorHAnsi" w:eastAsiaTheme="majorEastAsia" w:hAnsiTheme="minorHAnsi" w:cstheme="majorBidi"/>
          <w:b/>
          <w:color w:val="000000" w:themeColor="text1"/>
        </w:rPr>
        <w:t xml:space="preserve">Listing 15: Dentists’ restriction for short-term pain TGA indication in </w:t>
      </w:r>
      <w:proofErr w:type="gramStart"/>
      <w:r w:rsidRPr="00F33674">
        <w:rPr>
          <w:rFonts w:asciiTheme="minorHAnsi" w:eastAsiaTheme="majorEastAsia" w:hAnsiTheme="minorHAnsi" w:cstheme="majorBidi"/>
          <w:b/>
          <w:color w:val="000000" w:themeColor="text1"/>
        </w:rPr>
        <w:t>2</w:t>
      </w:r>
      <w:r w:rsidRPr="00F33674">
        <w:rPr>
          <w:rFonts w:asciiTheme="minorHAnsi" w:eastAsiaTheme="majorEastAsia" w:hAnsiTheme="minorHAnsi" w:cstheme="majorBidi"/>
          <w:b/>
          <w:color w:val="000000" w:themeColor="text1"/>
          <w:vertAlign w:val="superscript"/>
        </w:rPr>
        <w:t>nd</w:t>
      </w:r>
      <w:proofErr w:type="gramEnd"/>
      <w:r w:rsidRPr="00F33674">
        <w:rPr>
          <w:rFonts w:asciiTheme="minorHAnsi" w:eastAsiaTheme="majorEastAsia" w:hAnsiTheme="minorHAnsi" w:cstheme="majorBidi"/>
          <w:b/>
          <w:color w:val="000000" w:themeColor="text1"/>
        </w:rPr>
        <w:t xml:space="preserve"> line opioid setting:</w:t>
      </w:r>
      <w:bookmarkEnd w:id="30"/>
    </w:p>
    <w:p w14:paraId="1AF9826E" w14:textId="77777777" w:rsidR="00F33674" w:rsidRPr="00F33674" w:rsidRDefault="00F33674" w:rsidP="00F33674">
      <w:pPr>
        <w:ind w:left="360" w:hanging="360"/>
        <w:contextualSpacing/>
        <w:jc w:val="left"/>
      </w:pPr>
    </w:p>
    <w:tbl>
      <w:tblPr>
        <w:tblW w:w="9399" w:type="dxa"/>
        <w:tblLook w:val="04A0" w:firstRow="1" w:lastRow="0" w:firstColumn="1" w:lastColumn="0" w:noHBand="0" w:noVBand="1"/>
      </w:tblPr>
      <w:tblGrid>
        <w:gridCol w:w="1774"/>
        <w:gridCol w:w="791"/>
        <w:gridCol w:w="2835"/>
        <w:gridCol w:w="661"/>
        <w:gridCol w:w="656"/>
        <w:gridCol w:w="1164"/>
        <w:gridCol w:w="1678"/>
      </w:tblGrid>
      <w:tr w:rsidR="00F33674" w:rsidRPr="00F33674" w14:paraId="0223AE82" w14:textId="77777777" w:rsidTr="00F33674">
        <w:trPr>
          <w:trHeight w:val="300"/>
        </w:trPr>
        <w:tc>
          <w:tcPr>
            <w:tcW w:w="1418" w:type="dxa"/>
            <w:tcBorders>
              <w:bottom w:val="single" w:sz="4" w:space="0" w:color="auto"/>
            </w:tcBorders>
            <w:shd w:val="clear" w:color="auto" w:fill="auto"/>
            <w:noWrap/>
            <w:hideMark/>
          </w:tcPr>
          <w:p w14:paraId="710D7233"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LI Drug</w:t>
            </w:r>
          </w:p>
        </w:tc>
        <w:tc>
          <w:tcPr>
            <w:tcW w:w="987" w:type="dxa"/>
            <w:tcBorders>
              <w:bottom w:val="single" w:sz="4" w:space="0" w:color="auto"/>
            </w:tcBorders>
            <w:shd w:val="clear" w:color="auto" w:fill="auto"/>
          </w:tcPr>
          <w:p w14:paraId="2BE3103B"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Existing Item Code</w:t>
            </w:r>
          </w:p>
        </w:tc>
        <w:tc>
          <w:tcPr>
            <w:tcW w:w="2835" w:type="dxa"/>
            <w:tcBorders>
              <w:bottom w:val="single" w:sz="4" w:space="0" w:color="auto"/>
            </w:tcBorders>
            <w:shd w:val="clear" w:color="auto" w:fill="auto"/>
            <w:noWrap/>
            <w:hideMark/>
          </w:tcPr>
          <w:p w14:paraId="40F26B18"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Legal Instrument Form</w:t>
            </w:r>
          </w:p>
        </w:tc>
        <w:tc>
          <w:tcPr>
            <w:tcW w:w="661" w:type="dxa"/>
            <w:tcBorders>
              <w:bottom w:val="single" w:sz="4" w:space="0" w:color="auto"/>
            </w:tcBorders>
            <w:shd w:val="clear" w:color="auto" w:fill="auto"/>
            <w:noWrap/>
            <w:hideMark/>
          </w:tcPr>
          <w:p w14:paraId="2F035262"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Max. Qty</w:t>
            </w:r>
          </w:p>
        </w:tc>
        <w:tc>
          <w:tcPr>
            <w:tcW w:w="656" w:type="dxa"/>
            <w:tcBorders>
              <w:bottom w:val="single" w:sz="4" w:space="0" w:color="auto"/>
            </w:tcBorders>
            <w:shd w:val="clear" w:color="auto" w:fill="auto"/>
            <w:noWrap/>
            <w:hideMark/>
          </w:tcPr>
          <w:p w14:paraId="2D7C4B33"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No. Rpt</w:t>
            </w:r>
          </w:p>
        </w:tc>
        <w:tc>
          <w:tcPr>
            <w:tcW w:w="1164" w:type="dxa"/>
            <w:tcBorders>
              <w:bottom w:val="single" w:sz="4" w:space="0" w:color="auto"/>
            </w:tcBorders>
            <w:shd w:val="clear" w:color="auto" w:fill="auto"/>
            <w:noWrap/>
            <w:hideMark/>
          </w:tcPr>
          <w:p w14:paraId="145DB5F4"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Brand Name</w:t>
            </w:r>
          </w:p>
        </w:tc>
        <w:tc>
          <w:tcPr>
            <w:tcW w:w="1678" w:type="dxa"/>
            <w:tcBorders>
              <w:bottom w:val="single" w:sz="4" w:space="0" w:color="auto"/>
            </w:tcBorders>
            <w:shd w:val="clear" w:color="auto" w:fill="auto"/>
            <w:noWrap/>
            <w:hideMark/>
          </w:tcPr>
          <w:p w14:paraId="6A19FD9F"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Responsible Person</w:t>
            </w:r>
          </w:p>
        </w:tc>
      </w:tr>
      <w:tr w:rsidR="00F33674" w:rsidRPr="00F33674" w14:paraId="7D6D010F" w14:textId="77777777" w:rsidTr="00F33674">
        <w:trPr>
          <w:trHeight w:val="300"/>
        </w:trPr>
        <w:tc>
          <w:tcPr>
            <w:tcW w:w="1418" w:type="dxa"/>
            <w:tcBorders>
              <w:top w:val="single" w:sz="4" w:space="0" w:color="auto"/>
            </w:tcBorders>
            <w:shd w:val="clear" w:color="auto" w:fill="auto"/>
            <w:noWrap/>
            <w:hideMark/>
          </w:tcPr>
          <w:p w14:paraId="2DEA5A5D"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HYDROMORPHONE</w:t>
            </w:r>
          </w:p>
        </w:tc>
        <w:tc>
          <w:tcPr>
            <w:tcW w:w="987" w:type="dxa"/>
            <w:tcBorders>
              <w:top w:val="single" w:sz="4" w:space="0" w:color="auto"/>
            </w:tcBorders>
            <w:shd w:val="clear" w:color="auto" w:fill="auto"/>
          </w:tcPr>
          <w:p w14:paraId="129970EA"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11479E</w:t>
            </w:r>
          </w:p>
        </w:tc>
        <w:tc>
          <w:tcPr>
            <w:tcW w:w="2835" w:type="dxa"/>
            <w:tcBorders>
              <w:top w:val="single" w:sz="4" w:space="0" w:color="auto"/>
            </w:tcBorders>
            <w:shd w:val="clear" w:color="auto" w:fill="auto"/>
            <w:noWrap/>
            <w:hideMark/>
          </w:tcPr>
          <w:p w14:paraId="238D844C"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Oral liquid containing hydromorphone hydrochloride 1 mg per mL, 200 mL</w:t>
            </w:r>
          </w:p>
        </w:tc>
        <w:tc>
          <w:tcPr>
            <w:tcW w:w="661" w:type="dxa"/>
            <w:tcBorders>
              <w:top w:val="single" w:sz="4" w:space="0" w:color="auto"/>
            </w:tcBorders>
            <w:shd w:val="clear" w:color="auto" w:fill="auto"/>
            <w:noWrap/>
            <w:hideMark/>
          </w:tcPr>
          <w:p w14:paraId="07190F6F" w14:textId="77777777" w:rsidR="00F33674" w:rsidRPr="00F33674" w:rsidRDefault="00F33674" w:rsidP="00F33674">
            <w:pPr>
              <w:jc w:val="righ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1</w:t>
            </w:r>
          </w:p>
        </w:tc>
        <w:tc>
          <w:tcPr>
            <w:tcW w:w="656" w:type="dxa"/>
            <w:tcBorders>
              <w:top w:val="single" w:sz="4" w:space="0" w:color="auto"/>
            </w:tcBorders>
            <w:shd w:val="clear" w:color="auto" w:fill="auto"/>
            <w:noWrap/>
            <w:hideMark/>
          </w:tcPr>
          <w:p w14:paraId="6771D529" w14:textId="77777777" w:rsidR="00F33674" w:rsidRPr="00F33674" w:rsidRDefault="00F33674" w:rsidP="00F33674">
            <w:pPr>
              <w:jc w:val="righ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0</w:t>
            </w:r>
          </w:p>
        </w:tc>
        <w:tc>
          <w:tcPr>
            <w:tcW w:w="1164" w:type="dxa"/>
            <w:tcBorders>
              <w:top w:val="single" w:sz="4" w:space="0" w:color="auto"/>
            </w:tcBorders>
            <w:shd w:val="clear" w:color="auto" w:fill="auto"/>
            <w:noWrap/>
            <w:hideMark/>
          </w:tcPr>
          <w:p w14:paraId="150B7CCF"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Dilaudid</w:t>
            </w:r>
          </w:p>
        </w:tc>
        <w:tc>
          <w:tcPr>
            <w:tcW w:w="1678" w:type="dxa"/>
            <w:tcBorders>
              <w:top w:val="single" w:sz="4" w:space="0" w:color="auto"/>
            </w:tcBorders>
            <w:shd w:val="clear" w:color="auto" w:fill="auto"/>
            <w:noWrap/>
            <w:hideMark/>
          </w:tcPr>
          <w:p w14:paraId="74BFCECA"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Mundipharma Pty Limited</w:t>
            </w:r>
          </w:p>
        </w:tc>
      </w:tr>
      <w:tr w:rsidR="00F33674" w:rsidRPr="00F33674" w14:paraId="377C229F" w14:textId="77777777" w:rsidTr="00F33674">
        <w:trPr>
          <w:trHeight w:val="300"/>
        </w:trPr>
        <w:tc>
          <w:tcPr>
            <w:tcW w:w="1418" w:type="dxa"/>
            <w:shd w:val="clear" w:color="auto" w:fill="auto"/>
            <w:noWrap/>
          </w:tcPr>
          <w:p w14:paraId="59CE8905" w14:textId="77777777" w:rsidR="00F33674" w:rsidRPr="00F33674" w:rsidRDefault="00F33674" w:rsidP="00F33674">
            <w:pPr>
              <w:jc w:val="left"/>
              <w:rPr>
                <w:rFonts w:ascii="Arial Narrow" w:hAnsi="Arial Narrow" w:cs="Calibri"/>
                <w:color w:val="000000"/>
                <w:sz w:val="20"/>
                <w:szCs w:val="20"/>
                <w:lang w:eastAsia="en-AU"/>
              </w:rPr>
            </w:pPr>
          </w:p>
        </w:tc>
        <w:tc>
          <w:tcPr>
            <w:tcW w:w="987" w:type="dxa"/>
            <w:shd w:val="clear" w:color="auto" w:fill="auto"/>
          </w:tcPr>
          <w:p w14:paraId="636B664C"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5115F</w:t>
            </w:r>
          </w:p>
        </w:tc>
        <w:tc>
          <w:tcPr>
            <w:tcW w:w="2835" w:type="dxa"/>
            <w:shd w:val="clear" w:color="auto" w:fill="auto"/>
            <w:noWrap/>
            <w:hideMark/>
          </w:tcPr>
          <w:p w14:paraId="2A405783"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Tablet containing hydromorphone hydrochloride 2 mg</w:t>
            </w:r>
          </w:p>
        </w:tc>
        <w:tc>
          <w:tcPr>
            <w:tcW w:w="661" w:type="dxa"/>
            <w:shd w:val="clear" w:color="auto" w:fill="auto"/>
            <w:noWrap/>
            <w:hideMark/>
          </w:tcPr>
          <w:p w14:paraId="016A17A2" w14:textId="77777777" w:rsidR="00F33674" w:rsidRPr="00F33674" w:rsidRDefault="00F33674" w:rsidP="00F33674">
            <w:pPr>
              <w:jc w:val="righ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10</w:t>
            </w:r>
          </w:p>
        </w:tc>
        <w:tc>
          <w:tcPr>
            <w:tcW w:w="656" w:type="dxa"/>
            <w:shd w:val="clear" w:color="auto" w:fill="auto"/>
            <w:noWrap/>
            <w:hideMark/>
          </w:tcPr>
          <w:p w14:paraId="5E194990" w14:textId="77777777" w:rsidR="00F33674" w:rsidRPr="00F33674" w:rsidRDefault="00F33674" w:rsidP="00F33674">
            <w:pPr>
              <w:jc w:val="righ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0</w:t>
            </w:r>
          </w:p>
        </w:tc>
        <w:tc>
          <w:tcPr>
            <w:tcW w:w="1164" w:type="dxa"/>
            <w:shd w:val="clear" w:color="auto" w:fill="auto"/>
            <w:noWrap/>
            <w:hideMark/>
          </w:tcPr>
          <w:p w14:paraId="0B27FD7F"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Dilaudid</w:t>
            </w:r>
          </w:p>
        </w:tc>
        <w:tc>
          <w:tcPr>
            <w:tcW w:w="1678" w:type="dxa"/>
            <w:shd w:val="clear" w:color="auto" w:fill="auto"/>
            <w:noWrap/>
            <w:hideMark/>
          </w:tcPr>
          <w:p w14:paraId="1834AA76"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Mundipharma Pty Limited</w:t>
            </w:r>
          </w:p>
        </w:tc>
      </w:tr>
      <w:tr w:rsidR="00F33674" w:rsidRPr="00F33674" w14:paraId="32AAF1A9" w14:textId="77777777" w:rsidTr="00F33674">
        <w:trPr>
          <w:trHeight w:val="300"/>
        </w:trPr>
        <w:tc>
          <w:tcPr>
            <w:tcW w:w="1418" w:type="dxa"/>
            <w:shd w:val="clear" w:color="auto" w:fill="auto"/>
            <w:noWrap/>
          </w:tcPr>
          <w:p w14:paraId="3048F89E" w14:textId="77777777" w:rsidR="00F33674" w:rsidRPr="00F33674" w:rsidRDefault="00F33674" w:rsidP="00F33674">
            <w:pPr>
              <w:jc w:val="left"/>
              <w:rPr>
                <w:rFonts w:ascii="Arial Narrow" w:hAnsi="Arial Narrow" w:cs="Calibri"/>
                <w:color w:val="000000"/>
                <w:sz w:val="20"/>
                <w:szCs w:val="20"/>
                <w:lang w:eastAsia="en-AU"/>
              </w:rPr>
            </w:pPr>
          </w:p>
        </w:tc>
        <w:tc>
          <w:tcPr>
            <w:tcW w:w="987" w:type="dxa"/>
            <w:shd w:val="clear" w:color="auto" w:fill="auto"/>
          </w:tcPr>
          <w:p w14:paraId="7A768A7B"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5116G</w:t>
            </w:r>
          </w:p>
        </w:tc>
        <w:tc>
          <w:tcPr>
            <w:tcW w:w="2835" w:type="dxa"/>
            <w:shd w:val="clear" w:color="auto" w:fill="auto"/>
            <w:noWrap/>
            <w:hideMark/>
          </w:tcPr>
          <w:p w14:paraId="30AB7CA8"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Tablet containing hydromorphone hydrochloride 4 mg</w:t>
            </w:r>
          </w:p>
        </w:tc>
        <w:tc>
          <w:tcPr>
            <w:tcW w:w="661" w:type="dxa"/>
            <w:shd w:val="clear" w:color="auto" w:fill="auto"/>
            <w:noWrap/>
            <w:hideMark/>
          </w:tcPr>
          <w:p w14:paraId="3DDA0921" w14:textId="77777777" w:rsidR="00F33674" w:rsidRPr="00F33674" w:rsidRDefault="00F33674" w:rsidP="00F33674">
            <w:pPr>
              <w:jc w:val="righ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10</w:t>
            </w:r>
          </w:p>
        </w:tc>
        <w:tc>
          <w:tcPr>
            <w:tcW w:w="656" w:type="dxa"/>
            <w:shd w:val="clear" w:color="auto" w:fill="auto"/>
            <w:noWrap/>
            <w:hideMark/>
          </w:tcPr>
          <w:p w14:paraId="709D177E" w14:textId="77777777" w:rsidR="00F33674" w:rsidRPr="00F33674" w:rsidRDefault="00F33674" w:rsidP="00F33674">
            <w:pPr>
              <w:jc w:val="righ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0</w:t>
            </w:r>
          </w:p>
        </w:tc>
        <w:tc>
          <w:tcPr>
            <w:tcW w:w="1164" w:type="dxa"/>
            <w:shd w:val="clear" w:color="auto" w:fill="auto"/>
            <w:noWrap/>
            <w:hideMark/>
          </w:tcPr>
          <w:p w14:paraId="559B3B2D"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Dilaudid</w:t>
            </w:r>
          </w:p>
        </w:tc>
        <w:tc>
          <w:tcPr>
            <w:tcW w:w="1678" w:type="dxa"/>
            <w:shd w:val="clear" w:color="auto" w:fill="auto"/>
            <w:noWrap/>
            <w:hideMark/>
          </w:tcPr>
          <w:p w14:paraId="3F3A17AC"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Mundipharma Pty Limited</w:t>
            </w:r>
          </w:p>
        </w:tc>
      </w:tr>
      <w:tr w:rsidR="00F33674" w:rsidRPr="00F33674" w14:paraId="35AC0FB4" w14:textId="77777777" w:rsidTr="00F33674">
        <w:trPr>
          <w:trHeight w:val="300"/>
        </w:trPr>
        <w:tc>
          <w:tcPr>
            <w:tcW w:w="1418" w:type="dxa"/>
            <w:shd w:val="clear" w:color="auto" w:fill="auto"/>
            <w:noWrap/>
          </w:tcPr>
          <w:p w14:paraId="6305A181" w14:textId="77777777" w:rsidR="00F33674" w:rsidRPr="00F33674" w:rsidRDefault="00F33674" w:rsidP="00F33674">
            <w:pPr>
              <w:jc w:val="left"/>
              <w:rPr>
                <w:rFonts w:ascii="Arial Narrow" w:hAnsi="Arial Narrow" w:cs="Calibri"/>
                <w:color w:val="000000"/>
                <w:sz w:val="20"/>
                <w:szCs w:val="20"/>
                <w:lang w:eastAsia="en-AU"/>
              </w:rPr>
            </w:pPr>
          </w:p>
        </w:tc>
        <w:tc>
          <w:tcPr>
            <w:tcW w:w="987" w:type="dxa"/>
            <w:shd w:val="clear" w:color="auto" w:fill="auto"/>
          </w:tcPr>
          <w:p w14:paraId="6A11CC25"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5117H</w:t>
            </w:r>
          </w:p>
        </w:tc>
        <w:tc>
          <w:tcPr>
            <w:tcW w:w="2835" w:type="dxa"/>
            <w:shd w:val="clear" w:color="auto" w:fill="auto"/>
            <w:noWrap/>
            <w:hideMark/>
          </w:tcPr>
          <w:p w14:paraId="47D19210"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Tablet containing hydromorphone hydrochloride 8 mg</w:t>
            </w:r>
          </w:p>
        </w:tc>
        <w:tc>
          <w:tcPr>
            <w:tcW w:w="661" w:type="dxa"/>
            <w:shd w:val="clear" w:color="auto" w:fill="auto"/>
            <w:noWrap/>
            <w:hideMark/>
          </w:tcPr>
          <w:p w14:paraId="4DDD5BDC" w14:textId="77777777" w:rsidR="00F33674" w:rsidRPr="00F33674" w:rsidRDefault="00F33674" w:rsidP="00F33674">
            <w:pPr>
              <w:jc w:val="righ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10</w:t>
            </w:r>
          </w:p>
        </w:tc>
        <w:tc>
          <w:tcPr>
            <w:tcW w:w="656" w:type="dxa"/>
            <w:shd w:val="clear" w:color="auto" w:fill="auto"/>
            <w:noWrap/>
            <w:hideMark/>
          </w:tcPr>
          <w:p w14:paraId="4019DDEA" w14:textId="77777777" w:rsidR="00F33674" w:rsidRPr="00F33674" w:rsidRDefault="00F33674" w:rsidP="00F33674">
            <w:pPr>
              <w:jc w:val="righ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0</w:t>
            </w:r>
          </w:p>
        </w:tc>
        <w:tc>
          <w:tcPr>
            <w:tcW w:w="1164" w:type="dxa"/>
            <w:shd w:val="clear" w:color="auto" w:fill="auto"/>
            <w:noWrap/>
            <w:hideMark/>
          </w:tcPr>
          <w:p w14:paraId="3B632F6D"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Dilaudid</w:t>
            </w:r>
          </w:p>
        </w:tc>
        <w:tc>
          <w:tcPr>
            <w:tcW w:w="1678" w:type="dxa"/>
            <w:shd w:val="clear" w:color="auto" w:fill="auto"/>
            <w:noWrap/>
            <w:hideMark/>
          </w:tcPr>
          <w:p w14:paraId="671F4522"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Mundipharma Pty Limited</w:t>
            </w:r>
          </w:p>
        </w:tc>
      </w:tr>
      <w:tr w:rsidR="00F33674" w:rsidRPr="00F33674" w14:paraId="418D067A" w14:textId="77777777" w:rsidTr="00F33674">
        <w:trPr>
          <w:trHeight w:val="300"/>
        </w:trPr>
        <w:tc>
          <w:tcPr>
            <w:tcW w:w="1418" w:type="dxa"/>
            <w:shd w:val="clear" w:color="auto" w:fill="auto"/>
            <w:noWrap/>
          </w:tcPr>
          <w:p w14:paraId="24E34AE1"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MORPHINE</w:t>
            </w:r>
          </w:p>
        </w:tc>
        <w:tc>
          <w:tcPr>
            <w:tcW w:w="987" w:type="dxa"/>
            <w:shd w:val="clear" w:color="auto" w:fill="auto"/>
          </w:tcPr>
          <w:p w14:paraId="3EBC4F16"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5239R</w:t>
            </w:r>
          </w:p>
        </w:tc>
        <w:tc>
          <w:tcPr>
            <w:tcW w:w="2835" w:type="dxa"/>
            <w:shd w:val="clear" w:color="auto" w:fill="auto"/>
            <w:noWrap/>
          </w:tcPr>
          <w:p w14:paraId="5932E56B"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Oral solution containing morphine hydrochloride trihydrate 10 mg per mL, 200 mL</w:t>
            </w:r>
          </w:p>
        </w:tc>
        <w:tc>
          <w:tcPr>
            <w:tcW w:w="661" w:type="dxa"/>
            <w:shd w:val="clear" w:color="auto" w:fill="auto"/>
            <w:noWrap/>
          </w:tcPr>
          <w:p w14:paraId="10981F54" w14:textId="77777777" w:rsidR="00F33674" w:rsidRPr="00F33674" w:rsidRDefault="00F33674" w:rsidP="00F33674">
            <w:pPr>
              <w:jc w:val="righ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1</w:t>
            </w:r>
          </w:p>
        </w:tc>
        <w:tc>
          <w:tcPr>
            <w:tcW w:w="656" w:type="dxa"/>
            <w:shd w:val="clear" w:color="auto" w:fill="auto"/>
            <w:noWrap/>
          </w:tcPr>
          <w:p w14:paraId="36F68ABF" w14:textId="77777777" w:rsidR="00F33674" w:rsidRPr="00F33674" w:rsidRDefault="00F33674" w:rsidP="00F33674">
            <w:pPr>
              <w:jc w:val="righ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0</w:t>
            </w:r>
          </w:p>
        </w:tc>
        <w:tc>
          <w:tcPr>
            <w:tcW w:w="1164" w:type="dxa"/>
            <w:shd w:val="clear" w:color="auto" w:fill="auto"/>
            <w:noWrap/>
          </w:tcPr>
          <w:p w14:paraId="2B3581D4"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Ordine 10</w:t>
            </w:r>
          </w:p>
        </w:tc>
        <w:tc>
          <w:tcPr>
            <w:tcW w:w="1678" w:type="dxa"/>
            <w:shd w:val="clear" w:color="auto" w:fill="auto"/>
            <w:noWrap/>
          </w:tcPr>
          <w:p w14:paraId="3EC25D96"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Mundipharma Pty Limited</w:t>
            </w:r>
          </w:p>
        </w:tc>
      </w:tr>
      <w:tr w:rsidR="00F33674" w:rsidRPr="00F33674" w14:paraId="2F69268B" w14:textId="77777777" w:rsidTr="00F33674">
        <w:trPr>
          <w:trHeight w:val="300"/>
        </w:trPr>
        <w:tc>
          <w:tcPr>
            <w:tcW w:w="1418" w:type="dxa"/>
            <w:shd w:val="clear" w:color="auto" w:fill="auto"/>
            <w:noWrap/>
          </w:tcPr>
          <w:p w14:paraId="5A3E5EFE" w14:textId="77777777" w:rsidR="00F33674" w:rsidRPr="00F33674" w:rsidRDefault="00F33674" w:rsidP="00F33674">
            <w:pPr>
              <w:jc w:val="left"/>
              <w:rPr>
                <w:rFonts w:ascii="Arial Narrow" w:hAnsi="Arial Narrow" w:cs="Calibri"/>
                <w:color w:val="000000"/>
                <w:sz w:val="20"/>
                <w:szCs w:val="20"/>
                <w:lang w:eastAsia="en-AU"/>
              </w:rPr>
            </w:pPr>
          </w:p>
        </w:tc>
        <w:tc>
          <w:tcPr>
            <w:tcW w:w="987" w:type="dxa"/>
            <w:shd w:val="clear" w:color="auto" w:fill="auto"/>
          </w:tcPr>
          <w:p w14:paraId="25CF2CF6"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5237P</w:t>
            </w:r>
          </w:p>
        </w:tc>
        <w:tc>
          <w:tcPr>
            <w:tcW w:w="2835" w:type="dxa"/>
            <w:shd w:val="clear" w:color="auto" w:fill="auto"/>
            <w:noWrap/>
          </w:tcPr>
          <w:p w14:paraId="17FCA86B"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Oral solution containing morphine hydrochloride trihydrate 2 mg per mL, 200 mL</w:t>
            </w:r>
          </w:p>
        </w:tc>
        <w:tc>
          <w:tcPr>
            <w:tcW w:w="661" w:type="dxa"/>
            <w:shd w:val="clear" w:color="auto" w:fill="auto"/>
            <w:noWrap/>
          </w:tcPr>
          <w:p w14:paraId="52D5DC8C" w14:textId="77777777" w:rsidR="00F33674" w:rsidRPr="00F33674" w:rsidRDefault="00F33674" w:rsidP="00F33674">
            <w:pPr>
              <w:jc w:val="righ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1</w:t>
            </w:r>
          </w:p>
        </w:tc>
        <w:tc>
          <w:tcPr>
            <w:tcW w:w="656" w:type="dxa"/>
            <w:shd w:val="clear" w:color="auto" w:fill="auto"/>
            <w:noWrap/>
          </w:tcPr>
          <w:p w14:paraId="717AD23B" w14:textId="77777777" w:rsidR="00F33674" w:rsidRPr="00F33674" w:rsidRDefault="00F33674" w:rsidP="00F33674">
            <w:pPr>
              <w:jc w:val="righ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0</w:t>
            </w:r>
          </w:p>
        </w:tc>
        <w:tc>
          <w:tcPr>
            <w:tcW w:w="1164" w:type="dxa"/>
            <w:shd w:val="clear" w:color="auto" w:fill="auto"/>
            <w:noWrap/>
          </w:tcPr>
          <w:p w14:paraId="0FE00671"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Ordine 2</w:t>
            </w:r>
          </w:p>
        </w:tc>
        <w:tc>
          <w:tcPr>
            <w:tcW w:w="1678" w:type="dxa"/>
            <w:shd w:val="clear" w:color="auto" w:fill="auto"/>
            <w:noWrap/>
          </w:tcPr>
          <w:p w14:paraId="2063CAD6"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Mundipharma Pty Limited</w:t>
            </w:r>
          </w:p>
        </w:tc>
      </w:tr>
      <w:tr w:rsidR="00F33674" w:rsidRPr="00F33674" w14:paraId="07779A77" w14:textId="77777777" w:rsidTr="00F33674">
        <w:trPr>
          <w:trHeight w:val="300"/>
        </w:trPr>
        <w:tc>
          <w:tcPr>
            <w:tcW w:w="1418" w:type="dxa"/>
            <w:shd w:val="clear" w:color="auto" w:fill="auto"/>
            <w:noWrap/>
          </w:tcPr>
          <w:p w14:paraId="6FF8822D" w14:textId="77777777" w:rsidR="00F33674" w:rsidRPr="00F33674" w:rsidRDefault="00F33674" w:rsidP="00F33674">
            <w:pPr>
              <w:jc w:val="left"/>
              <w:rPr>
                <w:rFonts w:ascii="Arial Narrow" w:hAnsi="Arial Narrow" w:cs="Calibri"/>
                <w:color w:val="000000"/>
                <w:sz w:val="20"/>
                <w:szCs w:val="20"/>
                <w:lang w:eastAsia="en-AU"/>
              </w:rPr>
            </w:pPr>
          </w:p>
        </w:tc>
        <w:tc>
          <w:tcPr>
            <w:tcW w:w="987" w:type="dxa"/>
            <w:shd w:val="clear" w:color="auto" w:fill="auto"/>
          </w:tcPr>
          <w:p w14:paraId="2BA6F6D4"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5238Q</w:t>
            </w:r>
          </w:p>
        </w:tc>
        <w:tc>
          <w:tcPr>
            <w:tcW w:w="2835" w:type="dxa"/>
            <w:shd w:val="clear" w:color="auto" w:fill="auto"/>
            <w:noWrap/>
          </w:tcPr>
          <w:p w14:paraId="3F57EDDF"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Oral solution containing morphine hydrochloride trihydrate 5 mg per mL, 200 mL</w:t>
            </w:r>
          </w:p>
        </w:tc>
        <w:tc>
          <w:tcPr>
            <w:tcW w:w="661" w:type="dxa"/>
            <w:shd w:val="clear" w:color="auto" w:fill="auto"/>
            <w:noWrap/>
          </w:tcPr>
          <w:p w14:paraId="2B4D4919" w14:textId="77777777" w:rsidR="00F33674" w:rsidRPr="00F33674" w:rsidRDefault="00F33674" w:rsidP="00F33674">
            <w:pPr>
              <w:jc w:val="righ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1</w:t>
            </w:r>
          </w:p>
        </w:tc>
        <w:tc>
          <w:tcPr>
            <w:tcW w:w="656" w:type="dxa"/>
            <w:shd w:val="clear" w:color="auto" w:fill="auto"/>
            <w:noWrap/>
          </w:tcPr>
          <w:p w14:paraId="4EFA09B1" w14:textId="77777777" w:rsidR="00F33674" w:rsidRPr="00F33674" w:rsidRDefault="00F33674" w:rsidP="00F33674">
            <w:pPr>
              <w:jc w:val="righ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0</w:t>
            </w:r>
          </w:p>
        </w:tc>
        <w:tc>
          <w:tcPr>
            <w:tcW w:w="1164" w:type="dxa"/>
            <w:shd w:val="clear" w:color="auto" w:fill="auto"/>
            <w:noWrap/>
          </w:tcPr>
          <w:p w14:paraId="69529B52"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Ordine 5</w:t>
            </w:r>
          </w:p>
        </w:tc>
        <w:tc>
          <w:tcPr>
            <w:tcW w:w="1678" w:type="dxa"/>
            <w:shd w:val="clear" w:color="auto" w:fill="auto"/>
            <w:noWrap/>
          </w:tcPr>
          <w:p w14:paraId="211D98B2"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Mundipharma Pty Limited</w:t>
            </w:r>
          </w:p>
        </w:tc>
      </w:tr>
      <w:tr w:rsidR="00F33674" w:rsidRPr="00F33674" w14:paraId="3C63A6CC" w14:textId="77777777" w:rsidTr="00F33674">
        <w:trPr>
          <w:trHeight w:val="300"/>
        </w:trPr>
        <w:tc>
          <w:tcPr>
            <w:tcW w:w="1418" w:type="dxa"/>
            <w:shd w:val="clear" w:color="auto" w:fill="auto"/>
            <w:noWrap/>
          </w:tcPr>
          <w:p w14:paraId="126D8ABE" w14:textId="77777777" w:rsidR="00F33674" w:rsidRPr="00F33674" w:rsidRDefault="00F33674" w:rsidP="00F33674">
            <w:pPr>
              <w:jc w:val="left"/>
              <w:rPr>
                <w:rFonts w:ascii="Arial Narrow" w:hAnsi="Arial Narrow" w:cs="Calibri"/>
                <w:color w:val="000000"/>
                <w:sz w:val="20"/>
                <w:szCs w:val="20"/>
                <w:lang w:eastAsia="en-AU"/>
              </w:rPr>
            </w:pPr>
          </w:p>
        </w:tc>
        <w:tc>
          <w:tcPr>
            <w:tcW w:w="987" w:type="dxa"/>
            <w:shd w:val="clear" w:color="auto" w:fill="auto"/>
          </w:tcPr>
          <w:p w14:paraId="0F7067C1"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5163R</w:t>
            </w:r>
          </w:p>
        </w:tc>
        <w:tc>
          <w:tcPr>
            <w:tcW w:w="2835" w:type="dxa"/>
            <w:shd w:val="clear" w:color="auto" w:fill="auto"/>
            <w:noWrap/>
          </w:tcPr>
          <w:p w14:paraId="66490A96"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Tablet containing morphine sulfate pentahydrate 30 mg</w:t>
            </w:r>
          </w:p>
        </w:tc>
        <w:tc>
          <w:tcPr>
            <w:tcW w:w="661" w:type="dxa"/>
            <w:shd w:val="clear" w:color="auto" w:fill="auto"/>
            <w:noWrap/>
          </w:tcPr>
          <w:p w14:paraId="1B281488" w14:textId="77777777" w:rsidR="00F33674" w:rsidRPr="00F33674" w:rsidRDefault="00F33674" w:rsidP="00F33674">
            <w:pPr>
              <w:jc w:val="righ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10</w:t>
            </w:r>
          </w:p>
        </w:tc>
        <w:tc>
          <w:tcPr>
            <w:tcW w:w="656" w:type="dxa"/>
            <w:shd w:val="clear" w:color="auto" w:fill="auto"/>
            <w:noWrap/>
          </w:tcPr>
          <w:p w14:paraId="6BA8586E" w14:textId="77777777" w:rsidR="00F33674" w:rsidRPr="00F33674" w:rsidRDefault="00F33674" w:rsidP="00F33674">
            <w:pPr>
              <w:jc w:val="righ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0</w:t>
            </w:r>
          </w:p>
        </w:tc>
        <w:tc>
          <w:tcPr>
            <w:tcW w:w="1164" w:type="dxa"/>
            <w:shd w:val="clear" w:color="auto" w:fill="auto"/>
            <w:noWrap/>
          </w:tcPr>
          <w:p w14:paraId="3455688D"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Anamorph</w:t>
            </w:r>
          </w:p>
        </w:tc>
        <w:tc>
          <w:tcPr>
            <w:tcW w:w="1678" w:type="dxa"/>
            <w:shd w:val="clear" w:color="auto" w:fill="auto"/>
            <w:noWrap/>
          </w:tcPr>
          <w:p w14:paraId="4B98B4FA"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Arrow Pharma Pty Ltd</w:t>
            </w:r>
          </w:p>
        </w:tc>
      </w:tr>
    </w:tbl>
    <w:p w14:paraId="5602C0FE" w14:textId="77777777" w:rsidR="00F33674" w:rsidRPr="00F33674" w:rsidRDefault="00F33674" w:rsidP="00F33674">
      <w:pPr>
        <w:contextualSpacing/>
        <w:jc w:val="left"/>
      </w:pPr>
    </w:p>
    <w:tbl>
      <w:tblPr>
        <w:tblW w:w="9214" w:type="dxa"/>
        <w:tblInd w:w="-5" w:type="dxa"/>
        <w:tblLayout w:type="fixed"/>
        <w:tblLook w:val="0000" w:firstRow="0" w:lastRow="0" w:firstColumn="0" w:lastColumn="0" w:noHBand="0" w:noVBand="0"/>
      </w:tblPr>
      <w:tblGrid>
        <w:gridCol w:w="2835"/>
        <w:gridCol w:w="6379"/>
      </w:tblGrid>
      <w:tr w:rsidR="00F33674" w:rsidRPr="00F33674" w14:paraId="02CF2869" w14:textId="77777777" w:rsidTr="00F33674">
        <w:trPr>
          <w:cantSplit/>
          <w:trHeight w:val="360"/>
        </w:trPr>
        <w:tc>
          <w:tcPr>
            <w:tcW w:w="2835" w:type="dxa"/>
            <w:tcBorders>
              <w:top w:val="single" w:sz="4" w:space="0" w:color="auto"/>
              <w:left w:val="single" w:sz="4" w:space="0" w:color="auto"/>
              <w:bottom w:val="single" w:sz="4" w:space="0" w:color="auto"/>
              <w:right w:val="single" w:sz="4" w:space="0" w:color="auto"/>
            </w:tcBorders>
          </w:tcPr>
          <w:p w14:paraId="42B2A4CB" w14:textId="77777777" w:rsidR="00F33674" w:rsidRPr="00F33674" w:rsidRDefault="00F33674" w:rsidP="00F33674">
            <w:pPr>
              <w:rPr>
                <w:rFonts w:ascii="Arial Narrow" w:hAnsi="Arial Narrow" w:cs="Arial"/>
                <w:b/>
                <w:sz w:val="20"/>
                <w:szCs w:val="20"/>
              </w:rPr>
            </w:pPr>
            <w:r w:rsidRPr="00F33674">
              <w:rPr>
                <w:rFonts w:ascii="Arial Narrow" w:hAnsi="Arial Narrow" w:cs="Arial"/>
                <w:b/>
                <w:sz w:val="20"/>
                <w:szCs w:val="20"/>
              </w:rPr>
              <w:t>Category / Program:</w:t>
            </w:r>
          </w:p>
        </w:tc>
        <w:tc>
          <w:tcPr>
            <w:tcW w:w="6379" w:type="dxa"/>
            <w:tcBorders>
              <w:top w:val="single" w:sz="4" w:space="0" w:color="auto"/>
              <w:left w:val="single" w:sz="4" w:space="0" w:color="auto"/>
              <w:bottom w:val="single" w:sz="4" w:space="0" w:color="auto"/>
              <w:right w:val="single" w:sz="4" w:space="0" w:color="auto"/>
            </w:tcBorders>
          </w:tcPr>
          <w:p w14:paraId="5A68D563" w14:textId="77777777" w:rsidR="00F33674" w:rsidRPr="00F33674" w:rsidRDefault="00F33674" w:rsidP="00F33674">
            <w:pPr>
              <w:rPr>
                <w:rFonts w:ascii="Arial Narrow" w:hAnsi="Arial Narrow" w:cs="Arial"/>
                <w:sz w:val="20"/>
                <w:szCs w:val="20"/>
              </w:rPr>
            </w:pPr>
            <w:r w:rsidRPr="00F33674">
              <w:rPr>
                <w:rFonts w:ascii="Arial Narrow" w:hAnsi="Arial Narrow" w:cs="Arial"/>
                <w:sz w:val="20"/>
                <w:szCs w:val="20"/>
              </w:rPr>
              <w:t>GENERAL – General Schedule (Code GE)</w:t>
            </w:r>
          </w:p>
        </w:tc>
      </w:tr>
      <w:tr w:rsidR="00F33674" w:rsidRPr="00F33674" w14:paraId="15AF1BAE" w14:textId="77777777" w:rsidTr="00F33674">
        <w:trPr>
          <w:cantSplit/>
          <w:trHeight w:val="360"/>
        </w:trPr>
        <w:tc>
          <w:tcPr>
            <w:tcW w:w="2835" w:type="dxa"/>
            <w:tcBorders>
              <w:top w:val="single" w:sz="4" w:space="0" w:color="auto"/>
              <w:left w:val="single" w:sz="4" w:space="0" w:color="auto"/>
              <w:bottom w:val="single" w:sz="4" w:space="0" w:color="auto"/>
              <w:right w:val="single" w:sz="4" w:space="0" w:color="auto"/>
            </w:tcBorders>
          </w:tcPr>
          <w:p w14:paraId="604DF7C5" w14:textId="77777777" w:rsidR="00F33674" w:rsidRPr="00F33674" w:rsidRDefault="00F33674" w:rsidP="00F33674">
            <w:pPr>
              <w:rPr>
                <w:rFonts w:ascii="Arial Narrow" w:hAnsi="Arial Narrow" w:cs="Arial"/>
                <w:b/>
                <w:sz w:val="20"/>
                <w:szCs w:val="20"/>
              </w:rPr>
            </w:pPr>
            <w:r w:rsidRPr="00F33674">
              <w:rPr>
                <w:rFonts w:ascii="Arial Narrow" w:hAnsi="Arial Narrow" w:cs="Arial"/>
                <w:b/>
                <w:sz w:val="20"/>
                <w:szCs w:val="20"/>
              </w:rPr>
              <w:t>Prescriber type:</w:t>
            </w:r>
          </w:p>
          <w:p w14:paraId="2A27202E" w14:textId="77777777" w:rsidR="00F33674" w:rsidRPr="00F33674" w:rsidRDefault="00F33674" w:rsidP="00F33674">
            <w:pPr>
              <w:rPr>
                <w:rFonts w:ascii="Arial Narrow" w:hAnsi="Arial Narrow" w:cs="Arial"/>
                <w:b/>
                <w:sz w:val="20"/>
                <w:szCs w:val="20"/>
              </w:rPr>
            </w:pPr>
          </w:p>
        </w:tc>
        <w:tc>
          <w:tcPr>
            <w:tcW w:w="6379" w:type="dxa"/>
            <w:tcBorders>
              <w:top w:val="single" w:sz="4" w:space="0" w:color="auto"/>
              <w:left w:val="single" w:sz="4" w:space="0" w:color="auto"/>
              <w:bottom w:val="single" w:sz="4" w:space="0" w:color="auto"/>
              <w:right w:val="single" w:sz="4" w:space="0" w:color="auto"/>
            </w:tcBorders>
          </w:tcPr>
          <w:p w14:paraId="3A0A4680" w14:textId="5B5C8AA7" w:rsidR="00F33674" w:rsidRPr="00F33674" w:rsidRDefault="00F33674" w:rsidP="00F33674">
            <w:pPr>
              <w:rPr>
                <w:rFonts w:ascii="Arial Narrow" w:hAnsi="Arial Narrow" w:cs="Arial"/>
                <w:sz w:val="20"/>
                <w:szCs w:val="20"/>
              </w:rPr>
            </w:pPr>
            <w:r w:rsidRPr="00F33674">
              <w:rPr>
                <w:rFonts w:ascii="Arial Narrow" w:hAnsi="Arial Narrow" w:cs="Arial"/>
                <w:sz w:val="20"/>
                <w:szCs w:val="20"/>
              </w:rPr>
              <w:fldChar w:fldCharType="begin">
                <w:ffData>
                  <w:name w:val=""/>
                  <w:enabled/>
                  <w:calcOnExit w:val="0"/>
                  <w:checkBox>
                    <w:sizeAuto/>
                    <w:default w:val="1"/>
                  </w:checkBox>
                </w:ffData>
              </w:fldChar>
            </w:r>
            <w:r w:rsidRPr="00F33674">
              <w:rPr>
                <w:rFonts w:ascii="Arial Narrow" w:hAnsi="Arial Narrow" w:cs="Arial"/>
                <w:sz w:val="20"/>
                <w:szCs w:val="20"/>
              </w:rPr>
              <w:instrText xml:space="preserve"> FORMCHECKBOX </w:instrText>
            </w:r>
            <w:r w:rsidR="00233D13">
              <w:rPr>
                <w:rFonts w:ascii="Arial Narrow" w:hAnsi="Arial Narrow" w:cs="Arial"/>
                <w:sz w:val="20"/>
                <w:szCs w:val="20"/>
              </w:rPr>
            </w:r>
            <w:r w:rsidR="00233D13">
              <w:rPr>
                <w:rFonts w:ascii="Arial Narrow" w:hAnsi="Arial Narrow" w:cs="Arial"/>
                <w:sz w:val="20"/>
                <w:szCs w:val="20"/>
              </w:rPr>
              <w:fldChar w:fldCharType="separate"/>
            </w:r>
            <w:r w:rsidRPr="00F33674">
              <w:rPr>
                <w:rFonts w:ascii="Arial Narrow" w:hAnsi="Arial Narrow" w:cs="Arial"/>
                <w:sz w:val="20"/>
                <w:szCs w:val="20"/>
              </w:rPr>
              <w:fldChar w:fldCharType="end"/>
            </w:r>
            <w:r w:rsidRPr="00F33674">
              <w:rPr>
                <w:rFonts w:ascii="Arial Narrow" w:hAnsi="Arial Narrow" w:cs="Arial"/>
                <w:sz w:val="20"/>
                <w:szCs w:val="20"/>
              </w:rPr>
              <w:t>Dental</w:t>
            </w:r>
            <w:r w:rsidR="002C1329">
              <w:rPr>
                <w:rFonts w:ascii="Arial Narrow" w:hAnsi="Arial Narrow" w:cs="Arial"/>
                <w:sz w:val="20"/>
                <w:szCs w:val="20"/>
              </w:rPr>
              <w:t xml:space="preserve"> </w:t>
            </w:r>
            <w:r w:rsidRPr="00F33674">
              <w:rPr>
                <w:rFonts w:ascii="Arial Narrow" w:hAnsi="Arial Narrow" w:cs="Arial"/>
                <w:sz w:val="20"/>
                <w:szCs w:val="20"/>
              </w:rPr>
              <w:fldChar w:fldCharType="begin">
                <w:ffData>
                  <w:name w:val=""/>
                  <w:enabled/>
                  <w:calcOnExit w:val="0"/>
                  <w:checkBox>
                    <w:sizeAuto/>
                    <w:default w:val="0"/>
                  </w:checkBox>
                </w:ffData>
              </w:fldChar>
            </w:r>
            <w:r w:rsidRPr="00F33674">
              <w:rPr>
                <w:rFonts w:ascii="Arial Narrow" w:hAnsi="Arial Narrow" w:cs="Arial"/>
                <w:sz w:val="20"/>
                <w:szCs w:val="20"/>
              </w:rPr>
              <w:instrText xml:space="preserve"> FORMCHECKBOX </w:instrText>
            </w:r>
            <w:r w:rsidR="00233D13">
              <w:rPr>
                <w:rFonts w:ascii="Arial Narrow" w:hAnsi="Arial Narrow" w:cs="Arial"/>
                <w:sz w:val="20"/>
                <w:szCs w:val="20"/>
              </w:rPr>
            </w:r>
            <w:r w:rsidR="00233D13">
              <w:rPr>
                <w:rFonts w:ascii="Arial Narrow" w:hAnsi="Arial Narrow" w:cs="Arial"/>
                <w:sz w:val="20"/>
                <w:szCs w:val="20"/>
              </w:rPr>
              <w:fldChar w:fldCharType="separate"/>
            </w:r>
            <w:r w:rsidRPr="00F33674">
              <w:rPr>
                <w:rFonts w:ascii="Arial Narrow" w:hAnsi="Arial Narrow" w:cs="Arial"/>
                <w:sz w:val="20"/>
                <w:szCs w:val="20"/>
              </w:rPr>
              <w:fldChar w:fldCharType="end"/>
            </w:r>
            <w:r w:rsidRPr="00F33674">
              <w:rPr>
                <w:rFonts w:ascii="Arial Narrow" w:hAnsi="Arial Narrow" w:cs="Arial"/>
                <w:sz w:val="20"/>
                <w:szCs w:val="20"/>
              </w:rPr>
              <w:t>Medical Practitioners</w:t>
            </w:r>
            <w:r w:rsidR="002C1329">
              <w:rPr>
                <w:rFonts w:ascii="Arial Narrow" w:hAnsi="Arial Narrow" w:cs="Arial"/>
                <w:sz w:val="20"/>
                <w:szCs w:val="20"/>
              </w:rPr>
              <w:t xml:space="preserve"> </w:t>
            </w:r>
            <w:r w:rsidRPr="00F33674">
              <w:rPr>
                <w:rFonts w:ascii="Arial Narrow" w:hAnsi="Arial Narrow" w:cs="Arial"/>
                <w:sz w:val="20"/>
                <w:szCs w:val="20"/>
              </w:rPr>
              <w:fldChar w:fldCharType="begin">
                <w:ffData>
                  <w:name w:val=""/>
                  <w:enabled/>
                  <w:calcOnExit w:val="0"/>
                  <w:checkBox>
                    <w:sizeAuto/>
                    <w:default w:val="0"/>
                  </w:checkBox>
                </w:ffData>
              </w:fldChar>
            </w:r>
            <w:r w:rsidRPr="00F33674">
              <w:rPr>
                <w:rFonts w:ascii="Arial Narrow" w:hAnsi="Arial Narrow" w:cs="Arial"/>
                <w:sz w:val="20"/>
                <w:szCs w:val="20"/>
              </w:rPr>
              <w:instrText xml:space="preserve"> FORMCHECKBOX </w:instrText>
            </w:r>
            <w:r w:rsidR="00233D13">
              <w:rPr>
                <w:rFonts w:ascii="Arial Narrow" w:hAnsi="Arial Narrow" w:cs="Arial"/>
                <w:sz w:val="20"/>
                <w:szCs w:val="20"/>
              </w:rPr>
            </w:r>
            <w:r w:rsidR="00233D13">
              <w:rPr>
                <w:rFonts w:ascii="Arial Narrow" w:hAnsi="Arial Narrow" w:cs="Arial"/>
                <w:sz w:val="20"/>
                <w:szCs w:val="20"/>
              </w:rPr>
              <w:fldChar w:fldCharType="separate"/>
            </w:r>
            <w:r w:rsidRPr="00F33674">
              <w:rPr>
                <w:rFonts w:ascii="Arial Narrow" w:hAnsi="Arial Narrow" w:cs="Arial"/>
                <w:sz w:val="20"/>
                <w:szCs w:val="20"/>
              </w:rPr>
              <w:fldChar w:fldCharType="end"/>
            </w:r>
            <w:r w:rsidRPr="00F33674">
              <w:rPr>
                <w:rFonts w:ascii="Arial Narrow" w:hAnsi="Arial Narrow" w:cs="Arial"/>
                <w:sz w:val="20"/>
                <w:szCs w:val="20"/>
              </w:rPr>
              <w:t>Nurse practitioners</w:t>
            </w:r>
            <w:r w:rsidR="002C1329">
              <w:rPr>
                <w:rFonts w:ascii="Arial Narrow" w:hAnsi="Arial Narrow" w:cs="Arial"/>
                <w:sz w:val="20"/>
                <w:szCs w:val="20"/>
              </w:rPr>
              <w:t xml:space="preserve"> </w:t>
            </w:r>
            <w:r w:rsidRPr="00F33674">
              <w:rPr>
                <w:rFonts w:ascii="Arial Narrow" w:hAnsi="Arial Narrow" w:cs="Arial"/>
                <w:sz w:val="20"/>
                <w:szCs w:val="20"/>
              </w:rPr>
              <w:fldChar w:fldCharType="begin">
                <w:ffData>
                  <w:name w:val=""/>
                  <w:enabled/>
                  <w:calcOnExit w:val="0"/>
                  <w:checkBox>
                    <w:sizeAuto/>
                    <w:default w:val="0"/>
                  </w:checkBox>
                </w:ffData>
              </w:fldChar>
            </w:r>
            <w:r w:rsidRPr="00F33674">
              <w:rPr>
                <w:rFonts w:ascii="Arial Narrow" w:hAnsi="Arial Narrow" w:cs="Arial"/>
                <w:sz w:val="20"/>
                <w:szCs w:val="20"/>
              </w:rPr>
              <w:instrText xml:space="preserve"> FORMCHECKBOX </w:instrText>
            </w:r>
            <w:r w:rsidR="00233D13">
              <w:rPr>
                <w:rFonts w:ascii="Arial Narrow" w:hAnsi="Arial Narrow" w:cs="Arial"/>
                <w:sz w:val="20"/>
                <w:szCs w:val="20"/>
              </w:rPr>
            </w:r>
            <w:r w:rsidR="00233D13">
              <w:rPr>
                <w:rFonts w:ascii="Arial Narrow" w:hAnsi="Arial Narrow" w:cs="Arial"/>
                <w:sz w:val="20"/>
                <w:szCs w:val="20"/>
              </w:rPr>
              <w:fldChar w:fldCharType="separate"/>
            </w:r>
            <w:r w:rsidRPr="00F33674">
              <w:rPr>
                <w:rFonts w:ascii="Arial Narrow" w:hAnsi="Arial Narrow" w:cs="Arial"/>
                <w:sz w:val="20"/>
                <w:szCs w:val="20"/>
              </w:rPr>
              <w:fldChar w:fldCharType="end"/>
            </w:r>
            <w:r w:rsidRPr="00F33674">
              <w:rPr>
                <w:rFonts w:ascii="Arial Narrow" w:hAnsi="Arial Narrow" w:cs="Arial"/>
                <w:sz w:val="20"/>
                <w:szCs w:val="20"/>
              </w:rPr>
              <w:t>Optometrists</w:t>
            </w:r>
          </w:p>
          <w:p w14:paraId="373F6269" w14:textId="77777777" w:rsidR="00F33674" w:rsidRPr="00F33674" w:rsidRDefault="00F33674" w:rsidP="00F33674">
            <w:pPr>
              <w:rPr>
                <w:rFonts w:ascii="Arial Narrow" w:hAnsi="Arial Narrow" w:cs="Arial"/>
                <w:sz w:val="20"/>
                <w:szCs w:val="20"/>
              </w:rPr>
            </w:pPr>
            <w:r w:rsidRPr="00F33674">
              <w:rPr>
                <w:rFonts w:ascii="Arial Narrow" w:hAnsi="Arial Narrow" w:cs="Arial"/>
                <w:sz w:val="20"/>
                <w:szCs w:val="20"/>
              </w:rPr>
              <w:fldChar w:fldCharType="begin">
                <w:ffData>
                  <w:name w:val="Check5"/>
                  <w:enabled/>
                  <w:calcOnExit w:val="0"/>
                  <w:checkBox>
                    <w:sizeAuto/>
                    <w:default w:val="0"/>
                  </w:checkBox>
                </w:ffData>
              </w:fldChar>
            </w:r>
            <w:r w:rsidRPr="00F33674">
              <w:rPr>
                <w:rFonts w:ascii="Arial Narrow" w:hAnsi="Arial Narrow" w:cs="Arial"/>
                <w:sz w:val="20"/>
                <w:szCs w:val="20"/>
              </w:rPr>
              <w:instrText xml:space="preserve"> FORMCHECKBOX </w:instrText>
            </w:r>
            <w:r w:rsidR="00233D13">
              <w:rPr>
                <w:rFonts w:ascii="Arial Narrow" w:hAnsi="Arial Narrow" w:cs="Arial"/>
                <w:sz w:val="20"/>
                <w:szCs w:val="20"/>
              </w:rPr>
            </w:r>
            <w:r w:rsidR="00233D13">
              <w:rPr>
                <w:rFonts w:ascii="Arial Narrow" w:hAnsi="Arial Narrow" w:cs="Arial"/>
                <w:sz w:val="20"/>
                <w:szCs w:val="20"/>
              </w:rPr>
              <w:fldChar w:fldCharType="separate"/>
            </w:r>
            <w:r w:rsidRPr="00F33674">
              <w:rPr>
                <w:rFonts w:ascii="Arial Narrow" w:hAnsi="Arial Narrow" w:cs="Arial"/>
                <w:sz w:val="20"/>
                <w:szCs w:val="20"/>
              </w:rPr>
              <w:fldChar w:fldCharType="end"/>
            </w:r>
            <w:r w:rsidRPr="00F33674">
              <w:rPr>
                <w:rFonts w:ascii="Arial Narrow" w:hAnsi="Arial Narrow" w:cs="Arial"/>
                <w:sz w:val="20"/>
                <w:szCs w:val="20"/>
              </w:rPr>
              <w:t>Midwives</w:t>
            </w:r>
          </w:p>
        </w:tc>
      </w:tr>
      <w:tr w:rsidR="00F33674" w:rsidRPr="00F33674" w14:paraId="7F0124B8" w14:textId="77777777" w:rsidTr="00F33674">
        <w:trPr>
          <w:cantSplit/>
          <w:trHeight w:val="369"/>
        </w:trPr>
        <w:tc>
          <w:tcPr>
            <w:tcW w:w="2835" w:type="dxa"/>
            <w:tcBorders>
              <w:top w:val="single" w:sz="4" w:space="0" w:color="auto"/>
              <w:left w:val="single" w:sz="4" w:space="0" w:color="auto"/>
              <w:bottom w:val="single" w:sz="4" w:space="0" w:color="auto"/>
              <w:right w:val="single" w:sz="4" w:space="0" w:color="auto"/>
            </w:tcBorders>
          </w:tcPr>
          <w:p w14:paraId="79C5AB43" w14:textId="77777777" w:rsidR="00F33674" w:rsidRPr="00F33674" w:rsidRDefault="00F33674" w:rsidP="00F33674">
            <w:pPr>
              <w:rPr>
                <w:rFonts w:ascii="Arial Narrow" w:hAnsi="Arial Narrow" w:cs="Arial"/>
                <w:b/>
                <w:sz w:val="20"/>
                <w:szCs w:val="20"/>
              </w:rPr>
            </w:pPr>
            <w:r w:rsidRPr="00F33674">
              <w:rPr>
                <w:rFonts w:ascii="Arial Narrow" w:hAnsi="Arial Narrow" w:cs="Arial"/>
                <w:b/>
                <w:sz w:val="20"/>
                <w:szCs w:val="20"/>
              </w:rPr>
              <w:t>PBS indication:</w:t>
            </w:r>
          </w:p>
        </w:tc>
        <w:tc>
          <w:tcPr>
            <w:tcW w:w="6379" w:type="dxa"/>
            <w:tcBorders>
              <w:top w:val="single" w:sz="4" w:space="0" w:color="auto"/>
              <w:left w:val="single" w:sz="4" w:space="0" w:color="auto"/>
              <w:bottom w:val="single" w:sz="4" w:space="0" w:color="auto"/>
              <w:right w:val="single" w:sz="4" w:space="0" w:color="auto"/>
            </w:tcBorders>
          </w:tcPr>
          <w:p w14:paraId="2F482D5D" w14:textId="77777777" w:rsidR="00F33674" w:rsidRPr="00F33674" w:rsidRDefault="00F33674" w:rsidP="00F33674">
            <w:pPr>
              <w:rPr>
                <w:rFonts w:ascii="Arial Narrow" w:hAnsi="Arial Narrow" w:cs="Arial"/>
                <w:sz w:val="20"/>
                <w:szCs w:val="20"/>
              </w:rPr>
            </w:pPr>
            <w:r w:rsidRPr="00F33674">
              <w:rPr>
                <w:rFonts w:ascii="Arial Narrow" w:hAnsi="Arial Narrow" w:cs="Arial"/>
                <w:sz w:val="20"/>
                <w:szCs w:val="20"/>
              </w:rPr>
              <w:t>[7861] Severe pain</w:t>
            </w:r>
          </w:p>
        </w:tc>
      </w:tr>
      <w:tr w:rsidR="00F33674" w:rsidRPr="00F33674" w14:paraId="4DDCBA03" w14:textId="77777777" w:rsidTr="00F33674">
        <w:trPr>
          <w:cantSplit/>
          <w:trHeight w:val="360"/>
        </w:trPr>
        <w:tc>
          <w:tcPr>
            <w:tcW w:w="2835" w:type="dxa"/>
            <w:tcBorders>
              <w:top w:val="single" w:sz="4" w:space="0" w:color="auto"/>
              <w:left w:val="single" w:sz="4" w:space="0" w:color="auto"/>
              <w:bottom w:val="single" w:sz="4" w:space="0" w:color="auto"/>
              <w:right w:val="single" w:sz="4" w:space="0" w:color="auto"/>
            </w:tcBorders>
          </w:tcPr>
          <w:p w14:paraId="69EAA22C" w14:textId="77777777" w:rsidR="00F33674" w:rsidRPr="00F33674" w:rsidRDefault="00F33674" w:rsidP="00F33674">
            <w:pPr>
              <w:rPr>
                <w:rFonts w:ascii="Arial Narrow" w:hAnsi="Arial Narrow" w:cs="Arial"/>
                <w:b/>
                <w:sz w:val="20"/>
                <w:szCs w:val="20"/>
              </w:rPr>
            </w:pPr>
            <w:r w:rsidRPr="00F33674">
              <w:rPr>
                <w:rFonts w:ascii="Arial Narrow" w:hAnsi="Arial Narrow" w:cs="Arial"/>
                <w:b/>
                <w:sz w:val="20"/>
                <w:szCs w:val="20"/>
              </w:rPr>
              <w:t>Restriction Level / Method:</w:t>
            </w:r>
          </w:p>
          <w:p w14:paraId="695C7196" w14:textId="77777777" w:rsidR="00F33674" w:rsidRPr="00F33674" w:rsidRDefault="00F33674" w:rsidP="00F33674">
            <w:pPr>
              <w:rPr>
                <w:rFonts w:ascii="Arial Narrow" w:hAnsi="Arial Narrow" w:cs="Arial"/>
                <w:i/>
                <w:sz w:val="20"/>
                <w:szCs w:val="20"/>
              </w:rPr>
            </w:pPr>
          </w:p>
          <w:p w14:paraId="1A7E6E26" w14:textId="77777777" w:rsidR="00F33674" w:rsidRPr="00F33674" w:rsidRDefault="00F33674" w:rsidP="00F33674">
            <w:pPr>
              <w:rPr>
                <w:rFonts w:ascii="Arial Narrow" w:hAnsi="Arial Narrow" w:cs="Arial"/>
                <w:i/>
                <w:sz w:val="20"/>
                <w:szCs w:val="20"/>
              </w:rPr>
            </w:pPr>
          </w:p>
          <w:p w14:paraId="7F54556F" w14:textId="77777777" w:rsidR="00F33674" w:rsidRPr="00F33674" w:rsidRDefault="00F33674" w:rsidP="00F33674">
            <w:pPr>
              <w:rPr>
                <w:rFonts w:ascii="Arial Narrow" w:hAnsi="Arial Narrow" w:cs="Arial"/>
                <w:i/>
                <w:sz w:val="20"/>
                <w:szCs w:val="20"/>
              </w:rPr>
            </w:pPr>
          </w:p>
        </w:tc>
        <w:tc>
          <w:tcPr>
            <w:tcW w:w="6379" w:type="dxa"/>
            <w:tcBorders>
              <w:top w:val="single" w:sz="4" w:space="0" w:color="auto"/>
              <w:left w:val="single" w:sz="4" w:space="0" w:color="auto"/>
              <w:bottom w:val="single" w:sz="4" w:space="0" w:color="auto"/>
              <w:right w:val="single" w:sz="4" w:space="0" w:color="auto"/>
            </w:tcBorders>
          </w:tcPr>
          <w:p w14:paraId="615E74EA" w14:textId="77777777" w:rsidR="00F33674" w:rsidRPr="00F33674" w:rsidRDefault="00F33674" w:rsidP="00F33674">
            <w:pPr>
              <w:rPr>
                <w:rFonts w:ascii="Arial Narrow" w:hAnsi="Arial Narrow" w:cs="Arial"/>
                <w:sz w:val="20"/>
                <w:szCs w:val="20"/>
              </w:rPr>
            </w:pPr>
            <w:r w:rsidRPr="00F33674">
              <w:rPr>
                <w:rFonts w:ascii="Arial Narrow" w:hAnsi="Arial Narrow" w:cs="Arial"/>
                <w:sz w:val="20"/>
                <w:szCs w:val="20"/>
              </w:rPr>
              <w:fldChar w:fldCharType="begin">
                <w:ffData>
                  <w:name w:val=""/>
                  <w:enabled/>
                  <w:calcOnExit w:val="0"/>
                  <w:checkBox>
                    <w:sizeAuto/>
                    <w:default w:val="0"/>
                  </w:checkBox>
                </w:ffData>
              </w:fldChar>
            </w:r>
            <w:r w:rsidRPr="00F33674">
              <w:rPr>
                <w:rFonts w:ascii="Arial Narrow" w:hAnsi="Arial Narrow" w:cs="Arial"/>
                <w:sz w:val="20"/>
                <w:szCs w:val="20"/>
              </w:rPr>
              <w:instrText xml:space="preserve"> FORMCHECKBOX </w:instrText>
            </w:r>
            <w:r w:rsidR="00233D13">
              <w:rPr>
                <w:rFonts w:ascii="Arial Narrow" w:hAnsi="Arial Narrow" w:cs="Arial"/>
                <w:sz w:val="20"/>
                <w:szCs w:val="20"/>
              </w:rPr>
            </w:r>
            <w:r w:rsidR="00233D13">
              <w:rPr>
                <w:rFonts w:ascii="Arial Narrow" w:hAnsi="Arial Narrow" w:cs="Arial"/>
                <w:sz w:val="20"/>
                <w:szCs w:val="20"/>
              </w:rPr>
              <w:fldChar w:fldCharType="separate"/>
            </w:r>
            <w:r w:rsidRPr="00F33674">
              <w:rPr>
                <w:rFonts w:ascii="Arial Narrow" w:hAnsi="Arial Narrow" w:cs="Arial"/>
                <w:sz w:val="20"/>
                <w:szCs w:val="20"/>
              </w:rPr>
              <w:fldChar w:fldCharType="end"/>
            </w:r>
            <w:r w:rsidRPr="00F33674">
              <w:rPr>
                <w:rFonts w:ascii="Arial Narrow" w:hAnsi="Arial Narrow" w:cs="Arial"/>
                <w:sz w:val="20"/>
                <w:szCs w:val="20"/>
              </w:rPr>
              <w:t>Unrestricted benefit</w:t>
            </w:r>
          </w:p>
          <w:p w14:paraId="7FB81CEE" w14:textId="77777777" w:rsidR="00F33674" w:rsidRPr="00F33674" w:rsidRDefault="00F33674" w:rsidP="00F33674">
            <w:pPr>
              <w:rPr>
                <w:rFonts w:ascii="Arial Narrow" w:hAnsi="Arial Narrow" w:cs="Arial"/>
                <w:i/>
                <w:sz w:val="20"/>
                <w:szCs w:val="20"/>
              </w:rPr>
            </w:pPr>
            <w:r w:rsidRPr="00F33674">
              <w:rPr>
                <w:rFonts w:ascii="Arial Narrow" w:hAnsi="Arial Narrow" w:cs="Arial"/>
                <w:i/>
                <w:sz w:val="20"/>
                <w:szCs w:val="20"/>
              </w:rPr>
              <w:fldChar w:fldCharType="begin">
                <w:ffData>
                  <w:name w:val="Check1"/>
                  <w:enabled/>
                  <w:calcOnExit w:val="0"/>
                  <w:checkBox>
                    <w:sizeAuto/>
                    <w:default w:val="1"/>
                  </w:checkBox>
                </w:ffData>
              </w:fldChar>
            </w:r>
            <w:r w:rsidRPr="00F33674">
              <w:rPr>
                <w:rFonts w:ascii="Arial Narrow" w:hAnsi="Arial Narrow" w:cs="Arial"/>
                <w:i/>
                <w:sz w:val="20"/>
                <w:szCs w:val="20"/>
              </w:rPr>
              <w:instrText xml:space="preserve"> FORMCHECKBOX </w:instrText>
            </w:r>
            <w:r w:rsidR="00233D13">
              <w:rPr>
                <w:rFonts w:ascii="Arial Narrow" w:hAnsi="Arial Narrow" w:cs="Arial"/>
                <w:i/>
                <w:sz w:val="20"/>
                <w:szCs w:val="20"/>
              </w:rPr>
            </w:r>
            <w:r w:rsidR="00233D13">
              <w:rPr>
                <w:rFonts w:ascii="Arial Narrow" w:hAnsi="Arial Narrow" w:cs="Arial"/>
                <w:i/>
                <w:sz w:val="20"/>
                <w:szCs w:val="20"/>
              </w:rPr>
              <w:fldChar w:fldCharType="separate"/>
            </w:r>
            <w:r w:rsidRPr="00F33674">
              <w:rPr>
                <w:rFonts w:ascii="Arial Narrow" w:hAnsi="Arial Narrow" w:cs="Arial"/>
                <w:i/>
                <w:sz w:val="20"/>
                <w:szCs w:val="20"/>
              </w:rPr>
              <w:fldChar w:fldCharType="end"/>
            </w:r>
            <w:r w:rsidRPr="00F33674">
              <w:rPr>
                <w:rFonts w:ascii="Arial Narrow" w:hAnsi="Arial Narrow" w:cs="Arial"/>
                <w:sz w:val="20"/>
                <w:szCs w:val="20"/>
              </w:rPr>
              <w:t>Restricted benefit</w:t>
            </w:r>
          </w:p>
          <w:p w14:paraId="553AD431" w14:textId="77777777" w:rsidR="00F33674" w:rsidRPr="00F33674" w:rsidRDefault="00F33674" w:rsidP="00F33674">
            <w:pPr>
              <w:rPr>
                <w:rFonts w:ascii="Arial Narrow" w:hAnsi="Arial Narrow" w:cs="Arial"/>
                <w:sz w:val="20"/>
                <w:szCs w:val="20"/>
              </w:rPr>
            </w:pPr>
            <w:r w:rsidRPr="00F33674">
              <w:rPr>
                <w:rFonts w:ascii="Arial Narrow" w:hAnsi="Arial Narrow" w:cs="Arial"/>
                <w:sz w:val="20"/>
                <w:szCs w:val="20"/>
              </w:rPr>
              <w:fldChar w:fldCharType="begin">
                <w:ffData>
                  <w:name w:val=""/>
                  <w:enabled/>
                  <w:calcOnExit w:val="0"/>
                  <w:checkBox>
                    <w:sizeAuto/>
                    <w:default w:val="0"/>
                  </w:checkBox>
                </w:ffData>
              </w:fldChar>
            </w:r>
            <w:r w:rsidRPr="00F33674">
              <w:rPr>
                <w:rFonts w:ascii="Arial Narrow" w:hAnsi="Arial Narrow" w:cs="Arial"/>
                <w:sz w:val="20"/>
                <w:szCs w:val="20"/>
              </w:rPr>
              <w:instrText xml:space="preserve"> FORMCHECKBOX </w:instrText>
            </w:r>
            <w:r w:rsidR="00233D13">
              <w:rPr>
                <w:rFonts w:ascii="Arial Narrow" w:hAnsi="Arial Narrow" w:cs="Arial"/>
                <w:sz w:val="20"/>
                <w:szCs w:val="20"/>
              </w:rPr>
            </w:r>
            <w:r w:rsidR="00233D13">
              <w:rPr>
                <w:rFonts w:ascii="Arial Narrow" w:hAnsi="Arial Narrow" w:cs="Arial"/>
                <w:sz w:val="20"/>
                <w:szCs w:val="20"/>
              </w:rPr>
              <w:fldChar w:fldCharType="separate"/>
            </w:r>
            <w:r w:rsidRPr="00F33674">
              <w:rPr>
                <w:rFonts w:ascii="Arial Narrow" w:hAnsi="Arial Narrow" w:cs="Arial"/>
                <w:sz w:val="20"/>
                <w:szCs w:val="20"/>
              </w:rPr>
              <w:fldChar w:fldCharType="end"/>
            </w:r>
            <w:r w:rsidRPr="00F33674">
              <w:rPr>
                <w:rFonts w:ascii="Arial Narrow" w:hAnsi="Arial Narrow" w:cs="Arial"/>
                <w:sz w:val="20"/>
                <w:szCs w:val="20"/>
              </w:rPr>
              <w:t>Authority Required – In Writing</w:t>
            </w:r>
          </w:p>
          <w:p w14:paraId="4CEB2DD9" w14:textId="77777777" w:rsidR="00F33674" w:rsidRPr="00F33674" w:rsidRDefault="00F33674" w:rsidP="00F33674">
            <w:pPr>
              <w:rPr>
                <w:rFonts w:ascii="Arial Narrow" w:hAnsi="Arial Narrow" w:cs="Arial"/>
                <w:sz w:val="20"/>
                <w:szCs w:val="20"/>
              </w:rPr>
            </w:pPr>
            <w:r w:rsidRPr="00F33674">
              <w:rPr>
                <w:rFonts w:ascii="Arial Narrow" w:hAnsi="Arial Narrow" w:cs="Arial"/>
                <w:sz w:val="20"/>
                <w:szCs w:val="20"/>
              </w:rPr>
              <w:fldChar w:fldCharType="begin">
                <w:ffData>
                  <w:name w:val="Check3"/>
                  <w:enabled/>
                  <w:calcOnExit w:val="0"/>
                  <w:checkBox>
                    <w:sizeAuto/>
                    <w:default w:val="0"/>
                  </w:checkBox>
                </w:ffData>
              </w:fldChar>
            </w:r>
            <w:r w:rsidRPr="00F33674">
              <w:rPr>
                <w:rFonts w:ascii="Arial Narrow" w:hAnsi="Arial Narrow" w:cs="Arial"/>
                <w:sz w:val="20"/>
                <w:szCs w:val="20"/>
              </w:rPr>
              <w:instrText xml:space="preserve"> FORMCHECKBOX </w:instrText>
            </w:r>
            <w:r w:rsidR="00233D13">
              <w:rPr>
                <w:rFonts w:ascii="Arial Narrow" w:hAnsi="Arial Narrow" w:cs="Arial"/>
                <w:sz w:val="20"/>
                <w:szCs w:val="20"/>
              </w:rPr>
            </w:r>
            <w:r w:rsidR="00233D13">
              <w:rPr>
                <w:rFonts w:ascii="Arial Narrow" w:hAnsi="Arial Narrow" w:cs="Arial"/>
                <w:sz w:val="20"/>
                <w:szCs w:val="20"/>
              </w:rPr>
              <w:fldChar w:fldCharType="separate"/>
            </w:r>
            <w:r w:rsidRPr="00F33674">
              <w:rPr>
                <w:rFonts w:ascii="Arial Narrow" w:hAnsi="Arial Narrow" w:cs="Arial"/>
                <w:sz w:val="20"/>
                <w:szCs w:val="20"/>
              </w:rPr>
              <w:fldChar w:fldCharType="end"/>
            </w:r>
            <w:r w:rsidRPr="00F33674">
              <w:rPr>
                <w:rFonts w:ascii="Arial Narrow" w:hAnsi="Arial Narrow" w:cs="Arial"/>
                <w:sz w:val="20"/>
                <w:szCs w:val="20"/>
              </w:rPr>
              <w:t>Authority Required – Telephone/Electronic/Emergency</w:t>
            </w:r>
          </w:p>
          <w:p w14:paraId="754AB3B2" w14:textId="77777777" w:rsidR="00F33674" w:rsidRPr="00F33674" w:rsidRDefault="00F33674" w:rsidP="00F33674">
            <w:pPr>
              <w:rPr>
                <w:rFonts w:ascii="Arial Narrow" w:hAnsi="Arial Narrow" w:cs="Arial"/>
                <w:sz w:val="20"/>
                <w:szCs w:val="20"/>
              </w:rPr>
            </w:pPr>
            <w:r w:rsidRPr="00F33674">
              <w:rPr>
                <w:rFonts w:ascii="Arial Narrow" w:hAnsi="Arial Narrow" w:cs="Arial"/>
                <w:sz w:val="20"/>
                <w:szCs w:val="20"/>
              </w:rPr>
              <w:fldChar w:fldCharType="begin">
                <w:ffData>
                  <w:name w:val="Check5"/>
                  <w:enabled/>
                  <w:calcOnExit w:val="0"/>
                  <w:checkBox>
                    <w:sizeAuto/>
                    <w:default w:val="0"/>
                  </w:checkBox>
                </w:ffData>
              </w:fldChar>
            </w:r>
            <w:r w:rsidRPr="00F33674">
              <w:rPr>
                <w:rFonts w:ascii="Arial Narrow" w:hAnsi="Arial Narrow" w:cs="Arial"/>
                <w:sz w:val="20"/>
                <w:szCs w:val="20"/>
              </w:rPr>
              <w:instrText xml:space="preserve"> FORMCHECKBOX </w:instrText>
            </w:r>
            <w:r w:rsidR="00233D13">
              <w:rPr>
                <w:rFonts w:ascii="Arial Narrow" w:hAnsi="Arial Narrow" w:cs="Arial"/>
                <w:sz w:val="20"/>
                <w:szCs w:val="20"/>
              </w:rPr>
            </w:r>
            <w:r w:rsidR="00233D13">
              <w:rPr>
                <w:rFonts w:ascii="Arial Narrow" w:hAnsi="Arial Narrow" w:cs="Arial"/>
                <w:sz w:val="20"/>
                <w:szCs w:val="20"/>
              </w:rPr>
              <w:fldChar w:fldCharType="separate"/>
            </w:r>
            <w:r w:rsidRPr="00F33674">
              <w:rPr>
                <w:rFonts w:ascii="Arial Narrow" w:hAnsi="Arial Narrow" w:cs="Arial"/>
                <w:sz w:val="20"/>
                <w:szCs w:val="20"/>
              </w:rPr>
              <w:fldChar w:fldCharType="end"/>
            </w:r>
            <w:r w:rsidRPr="00F33674">
              <w:rPr>
                <w:rFonts w:ascii="Arial Narrow" w:hAnsi="Arial Narrow" w:cs="Arial"/>
                <w:sz w:val="20"/>
                <w:szCs w:val="20"/>
              </w:rPr>
              <w:t>Streamlined</w:t>
            </w:r>
          </w:p>
        </w:tc>
      </w:tr>
      <w:tr w:rsidR="00F33674" w:rsidRPr="00F33674" w14:paraId="372DD1EB" w14:textId="77777777" w:rsidTr="00F33674">
        <w:trPr>
          <w:cantSplit/>
          <w:trHeight w:val="360"/>
        </w:trPr>
        <w:tc>
          <w:tcPr>
            <w:tcW w:w="2835" w:type="dxa"/>
            <w:tcBorders>
              <w:top w:val="single" w:sz="4" w:space="0" w:color="auto"/>
              <w:left w:val="single" w:sz="4" w:space="0" w:color="auto"/>
              <w:bottom w:val="single" w:sz="4" w:space="0" w:color="auto"/>
              <w:right w:val="single" w:sz="4" w:space="0" w:color="auto"/>
            </w:tcBorders>
          </w:tcPr>
          <w:p w14:paraId="27D8D2CB" w14:textId="77777777" w:rsidR="00F33674" w:rsidRPr="00F33674" w:rsidRDefault="00F33674" w:rsidP="00F33674">
            <w:pPr>
              <w:rPr>
                <w:rFonts w:ascii="Arial Narrow" w:hAnsi="Arial Narrow" w:cs="Arial"/>
                <w:b/>
                <w:sz w:val="20"/>
                <w:szCs w:val="20"/>
              </w:rPr>
            </w:pPr>
            <w:r w:rsidRPr="00F33674">
              <w:rPr>
                <w:rFonts w:ascii="Arial Narrow" w:hAnsi="Arial Narrow" w:cs="Arial"/>
                <w:b/>
                <w:sz w:val="20"/>
                <w:szCs w:val="20"/>
              </w:rPr>
              <w:t>Clinical criteria:</w:t>
            </w:r>
          </w:p>
        </w:tc>
        <w:tc>
          <w:tcPr>
            <w:tcW w:w="6379" w:type="dxa"/>
            <w:tcBorders>
              <w:top w:val="single" w:sz="4" w:space="0" w:color="auto"/>
              <w:left w:val="single" w:sz="4" w:space="0" w:color="auto"/>
              <w:bottom w:val="single" w:sz="4" w:space="0" w:color="auto"/>
              <w:right w:val="single" w:sz="4" w:space="0" w:color="auto"/>
            </w:tcBorders>
          </w:tcPr>
          <w:p w14:paraId="441B7715" w14:textId="77777777" w:rsidR="00F33674" w:rsidRPr="00F33674" w:rsidRDefault="00F33674" w:rsidP="00F33674">
            <w:pPr>
              <w:jc w:val="left"/>
              <w:rPr>
                <w:rFonts w:ascii="Arial Narrow" w:hAnsi="Arial Narrow" w:cs="Arial"/>
                <w:sz w:val="20"/>
                <w:szCs w:val="20"/>
              </w:rPr>
            </w:pPr>
            <w:r w:rsidRPr="00F33674">
              <w:rPr>
                <w:rFonts w:ascii="Arial Narrow" w:hAnsi="Arial Narrow" w:cs="Arial"/>
                <w:sz w:val="20"/>
                <w:szCs w:val="20"/>
              </w:rPr>
              <w:t>[new] The treatment must be for short term therapy of acute severe pain</w:t>
            </w:r>
          </w:p>
          <w:p w14:paraId="6CB44974" w14:textId="77777777" w:rsidR="00F33674" w:rsidRPr="00F33674" w:rsidRDefault="00F33674" w:rsidP="00F33674">
            <w:pPr>
              <w:jc w:val="left"/>
              <w:rPr>
                <w:rFonts w:ascii="Arial Narrow" w:hAnsi="Arial Narrow" w:cs="Arial"/>
                <w:sz w:val="20"/>
                <w:szCs w:val="20"/>
              </w:rPr>
            </w:pPr>
          </w:p>
          <w:p w14:paraId="5B72C566" w14:textId="77777777" w:rsidR="00F33674" w:rsidRPr="00F33674" w:rsidRDefault="00F33674" w:rsidP="00F33674">
            <w:pPr>
              <w:jc w:val="left"/>
              <w:rPr>
                <w:rFonts w:ascii="Arial Narrow" w:hAnsi="Arial Narrow" w:cs="Arial"/>
                <w:sz w:val="20"/>
                <w:szCs w:val="20"/>
              </w:rPr>
            </w:pPr>
            <w:r w:rsidRPr="00F33674">
              <w:rPr>
                <w:rFonts w:ascii="Arial Narrow" w:hAnsi="Arial Narrow" w:cs="Arial"/>
                <w:sz w:val="20"/>
                <w:szCs w:val="20"/>
              </w:rPr>
              <w:t>AND</w:t>
            </w:r>
          </w:p>
          <w:p w14:paraId="5D0BC760" w14:textId="77777777" w:rsidR="00F33674" w:rsidRPr="00F33674" w:rsidRDefault="00F33674" w:rsidP="00F33674">
            <w:pPr>
              <w:jc w:val="left"/>
              <w:rPr>
                <w:rFonts w:ascii="Arial Narrow" w:hAnsi="Arial Narrow" w:cs="Arial"/>
                <w:sz w:val="20"/>
                <w:szCs w:val="20"/>
              </w:rPr>
            </w:pPr>
          </w:p>
          <w:p w14:paraId="27EC883E" w14:textId="1EC077F5" w:rsidR="00F33674" w:rsidRPr="00F33674" w:rsidRDefault="00F33674" w:rsidP="00F33674">
            <w:pPr>
              <w:jc w:val="left"/>
              <w:rPr>
                <w:rFonts w:ascii="Arial Narrow" w:hAnsi="Arial Narrow" w:cs="Arial"/>
                <w:sz w:val="20"/>
                <w:szCs w:val="20"/>
              </w:rPr>
            </w:pPr>
            <w:r w:rsidRPr="00F33674">
              <w:rPr>
                <w:rFonts w:ascii="Arial Narrow" w:hAnsi="Arial Narrow" w:cs="Arial"/>
                <w:sz w:val="20"/>
                <w:szCs w:val="20"/>
              </w:rPr>
              <w:t xml:space="preserve">[new] Patient must have </w:t>
            </w:r>
            <w:r w:rsidR="006774FC">
              <w:rPr>
                <w:rFonts w:ascii="Arial Narrow" w:hAnsi="Arial Narrow" w:cs="Arial"/>
                <w:sz w:val="20"/>
                <w:szCs w:val="20"/>
              </w:rPr>
              <w:t>had or would have</w:t>
            </w:r>
            <w:r w:rsidRPr="00F33674">
              <w:rPr>
                <w:rFonts w:ascii="Arial Narrow" w:hAnsi="Arial Narrow" w:cs="Arial"/>
                <w:sz w:val="20"/>
                <w:szCs w:val="20"/>
              </w:rPr>
              <w:t xml:space="preserve"> inadequate</w:t>
            </w:r>
            <w:r w:rsidR="006774FC">
              <w:rPr>
                <w:rFonts w:ascii="Arial Narrow" w:hAnsi="Arial Narrow" w:cs="Arial"/>
                <w:sz w:val="20"/>
                <w:szCs w:val="20"/>
              </w:rPr>
              <w:t xml:space="preserve"> pain</w:t>
            </w:r>
            <w:r w:rsidRPr="00F33674">
              <w:rPr>
                <w:rFonts w:ascii="Arial Narrow" w:hAnsi="Arial Narrow" w:cs="Arial"/>
                <w:sz w:val="20"/>
                <w:szCs w:val="20"/>
              </w:rPr>
              <w:t xml:space="preserve"> management </w:t>
            </w:r>
            <w:r w:rsidR="006774FC">
              <w:rPr>
                <w:rFonts w:ascii="Arial Narrow" w:hAnsi="Arial Narrow" w:cs="Arial"/>
                <w:sz w:val="20"/>
                <w:szCs w:val="20"/>
              </w:rPr>
              <w:t>with</w:t>
            </w:r>
            <w:r w:rsidRPr="00F33674">
              <w:rPr>
                <w:rFonts w:ascii="Arial Narrow" w:hAnsi="Arial Narrow" w:cs="Arial"/>
                <w:sz w:val="20"/>
                <w:szCs w:val="20"/>
              </w:rPr>
              <w:t xml:space="preserve"> maximum tolerated doses of non-opioid and other opioid analgesics</w:t>
            </w:r>
          </w:p>
          <w:p w14:paraId="3833683F" w14:textId="77777777" w:rsidR="00F33674" w:rsidRPr="00F33674" w:rsidRDefault="00F33674" w:rsidP="00F33674">
            <w:pPr>
              <w:jc w:val="left"/>
              <w:rPr>
                <w:rFonts w:ascii="Arial Narrow" w:hAnsi="Arial Narrow" w:cs="Arial"/>
                <w:sz w:val="20"/>
                <w:szCs w:val="20"/>
              </w:rPr>
            </w:pPr>
            <w:r w:rsidRPr="00F33674">
              <w:rPr>
                <w:rFonts w:ascii="Arial Narrow" w:hAnsi="Arial Narrow" w:cs="Arial"/>
                <w:sz w:val="20"/>
                <w:szCs w:val="20"/>
              </w:rPr>
              <w:t>OR</w:t>
            </w:r>
          </w:p>
          <w:p w14:paraId="0BCF9FB0" w14:textId="61D29E64" w:rsidR="00F33674" w:rsidRPr="00F33674" w:rsidRDefault="00F33674">
            <w:pPr>
              <w:jc w:val="left"/>
              <w:rPr>
                <w:rFonts w:ascii="Arial Narrow" w:hAnsi="Arial Narrow" w:cs="Arial"/>
                <w:i/>
                <w:sz w:val="20"/>
                <w:szCs w:val="20"/>
              </w:rPr>
            </w:pPr>
            <w:r w:rsidRPr="00F33674">
              <w:rPr>
                <w:rFonts w:ascii="Arial Narrow" w:hAnsi="Arial Narrow" w:cs="Arial"/>
                <w:sz w:val="20"/>
                <w:szCs w:val="20"/>
              </w:rPr>
              <w:t>[new] Patient must be unable to use non-opioid and other opioid analgesics due to contraindications or intolerance.</w:t>
            </w:r>
          </w:p>
        </w:tc>
      </w:tr>
      <w:tr w:rsidR="00F33674" w:rsidRPr="00F33674" w14:paraId="25106F95" w14:textId="77777777" w:rsidTr="00F33674">
        <w:trPr>
          <w:cantSplit/>
          <w:trHeight w:val="360"/>
        </w:trPr>
        <w:tc>
          <w:tcPr>
            <w:tcW w:w="2835" w:type="dxa"/>
            <w:tcBorders>
              <w:top w:val="single" w:sz="4" w:space="0" w:color="auto"/>
              <w:left w:val="single" w:sz="4" w:space="0" w:color="auto"/>
              <w:bottom w:val="single" w:sz="4" w:space="0" w:color="auto"/>
              <w:right w:val="single" w:sz="4" w:space="0" w:color="auto"/>
            </w:tcBorders>
          </w:tcPr>
          <w:p w14:paraId="73DAF9F0" w14:textId="77777777" w:rsidR="00F33674" w:rsidRPr="00F33674" w:rsidRDefault="00F33674" w:rsidP="00F33674">
            <w:pPr>
              <w:rPr>
                <w:rFonts w:ascii="Arial Narrow" w:hAnsi="Arial Narrow" w:cs="Arial"/>
                <w:b/>
                <w:sz w:val="20"/>
                <w:szCs w:val="20"/>
              </w:rPr>
            </w:pPr>
            <w:r w:rsidRPr="00F33674">
              <w:rPr>
                <w:rFonts w:ascii="Arial Narrow" w:hAnsi="Arial Narrow" w:cs="Arial"/>
                <w:b/>
                <w:sz w:val="20"/>
                <w:szCs w:val="20"/>
              </w:rPr>
              <w:t>Administrative advice:</w:t>
            </w:r>
          </w:p>
        </w:tc>
        <w:tc>
          <w:tcPr>
            <w:tcW w:w="6379" w:type="dxa"/>
            <w:tcBorders>
              <w:top w:val="single" w:sz="4" w:space="0" w:color="auto"/>
              <w:left w:val="single" w:sz="4" w:space="0" w:color="auto"/>
              <w:bottom w:val="single" w:sz="4" w:space="0" w:color="auto"/>
              <w:right w:val="single" w:sz="4" w:space="0" w:color="auto"/>
            </w:tcBorders>
          </w:tcPr>
          <w:p w14:paraId="32B356A9" w14:textId="77777777" w:rsidR="00F33674" w:rsidRPr="00F33674" w:rsidRDefault="00F33674" w:rsidP="00F33674">
            <w:pPr>
              <w:jc w:val="left"/>
              <w:rPr>
                <w:rFonts w:ascii="Arial Narrow" w:hAnsi="Arial Narrow" w:cs="Arial"/>
                <w:sz w:val="20"/>
                <w:szCs w:val="20"/>
              </w:rPr>
            </w:pPr>
            <w:r w:rsidRPr="00F33674">
              <w:rPr>
                <w:rFonts w:ascii="Arial Narrow" w:hAnsi="Arial Narrow" w:cs="Arial"/>
                <w:sz w:val="20"/>
                <w:szCs w:val="20"/>
              </w:rPr>
              <w:t xml:space="preserve">[13808] Prescribing of drugs of addiction by dentists </w:t>
            </w:r>
            <w:proofErr w:type="gramStart"/>
            <w:r w:rsidRPr="00F33674">
              <w:rPr>
                <w:rFonts w:ascii="Arial Narrow" w:hAnsi="Arial Narrow" w:cs="Arial"/>
                <w:sz w:val="20"/>
                <w:szCs w:val="20"/>
              </w:rPr>
              <w:t>is not permitted</w:t>
            </w:r>
            <w:proofErr w:type="gramEnd"/>
            <w:r w:rsidRPr="00F33674">
              <w:rPr>
                <w:rFonts w:ascii="Arial Narrow" w:hAnsi="Arial Narrow" w:cs="Arial"/>
                <w:sz w:val="20"/>
                <w:szCs w:val="20"/>
              </w:rPr>
              <w:t xml:space="preserve"> in some States/Territories.</w:t>
            </w:r>
          </w:p>
        </w:tc>
      </w:tr>
      <w:tr w:rsidR="00F33674" w:rsidRPr="00F33674" w14:paraId="55045F89" w14:textId="77777777" w:rsidTr="00F33674">
        <w:trPr>
          <w:cantSplit/>
          <w:trHeight w:val="360"/>
        </w:trPr>
        <w:tc>
          <w:tcPr>
            <w:tcW w:w="2835" w:type="dxa"/>
            <w:tcBorders>
              <w:top w:val="single" w:sz="4" w:space="0" w:color="auto"/>
              <w:left w:val="single" w:sz="4" w:space="0" w:color="auto"/>
              <w:bottom w:val="single" w:sz="4" w:space="0" w:color="auto"/>
              <w:right w:val="single" w:sz="4" w:space="0" w:color="auto"/>
            </w:tcBorders>
          </w:tcPr>
          <w:p w14:paraId="029566F9" w14:textId="77777777" w:rsidR="00F33674" w:rsidRPr="00F33674" w:rsidRDefault="00F33674" w:rsidP="00F33674">
            <w:pPr>
              <w:rPr>
                <w:rFonts w:ascii="Arial Narrow" w:hAnsi="Arial Narrow" w:cs="Arial"/>
                <w:b/>
                <w:sz w:val="20"/>
                <w:szCs w:val="20"/>
              </w:rPr>
            </w:pPr>
            <w:r w:rsidRPr="00F33674">
              <w:rPr>
                <w:rFonts w:ascii="Arial Narrow" w:hAnsi="Arial Narrow" w:cs="Arial"/>
                <w:b/>
                <w:sz w:val="20"/>
                <w:szCs w:val="20"/>
              </w:rPr>
              <w:t>Cautions:</w:t>
            </w:r>
          </w:p>
        </w:tc>
        <w:tc>
          <w:tcPr>
            <w:tcW w:w="6379" w:type="dxa"/>
            <w:tcBorders>
              <w:top w:val="single" w:sz="4" w:space="0" w:color="auto"/>
              <w:left w:val="single" w:sz="4" w:space="0" w:color="auto"/>
              <w:bottom w:val="single" w:sz="4" w:space="0" w:color="auto"/>
              <w:right w:val="single" w:sz="4" w:space="0" w:color="auto"/>
            </w:tcBorders>
          </w:tcPr>
          <w:p w14:paraId="389C08A4" w14:textId="77777777" w:rsidR="00F33674" w:rsidRPr="00F33674" w:rsidRDefault="00F33674" w:rsidP="00F33674">
            <w:pPr>
              <w:jc w:val="left"/>
              <w:rPr>
                <w:rFonts w:ascii="Arial Narrow" w:hAnsi="Arial Narrow" w:cs="Arial"/>
                <w:sz w:val="20"/>
                <w:szCs w:val="20"/>
              </w:rPr>
            </w:pPr>
            <w:r w:rsidRPr="00F33674">
              <w:rPr>
                <w:rFonts w:ascii="Arial Narrow" w:hAnsi="Arial Narrow" w:cs="Arial"/>
                <w:sz w:val="20"/>
                <w:szCs w:val="20"/>
              </w:rPr>
              <w:t>[6986] The risk of drug dependence is high.</w:t>
            </w:r>
          </w:p>
        </w:tc>
      </w:tr>
    </w:tbl>
    <w:p w14:paraId="23D1E117" w14:textId="77777777" w:rsidR="00F33674" w:rsidRPr="00F33674" w:rsidRDefault="00F33674" w:rsidP="00F33674">
      <w:pPr>
        <w:jc w:val="left"/>
      </w:pPr>
    </w:p>
    <w:p w14:paraId="4DA6B57A" w14:textId="77777777" w:rsidR="00CB71CC" w:rsidRDefault="00CB71CC">
      <w:pPr>
        <w:jc w:val="left"/>
        <w:rPr>
          <w:rFonts w:asciiTheme="minorHAnsi" w:eastAsiaTheme="majorEastAsia" w:hAnsiTheme="minorHAnsi" w:cstheme="majorBidi"/>
          <w:b/>
          <w:i/>
          <w:spacing w:val="5"/>
          <w:kern w:val="28"/>
          <w:sz w:val="28"/>
          <w:szCs w:val="36"/>
        </w:rPr>
      </w:pPr>
      <w:bookmarkStart w:id="31" w:name="_Toc32300597"/>
      <w:r>
        <w:rPr>
          <w:rFonts w:asciiTheme="minorHAnsi" w:eastAsiaTheme="majorEastAsia" w:hAnsiTheme="minorHAnsi" w:cstheme="majorBidi"/>
          <w:b/>
          <w:i/>
          <w:spacing w:val="5"/>
          <w:kern w:val="28"/>
          <w:sz w:val="28"/>
          <w:szCs w:val="36"/>
        </w:rPr>
        <w:br w:type="page"/>
      </w:r>
    </w:p>
    <w:p w14:paraId="45B4EC6C" w14:textId="3F624DBA" w:rsidR="00F33674" w:rsidRPr="00F33674" w:rsidRDefault="00F33674" w:rsidP="00F33674">
      <w:pPr>
        <w:keepNext/>
        <w:jc w:val="left"/>
        <w:outlineLvl w:val="1"/>
        <w:rPr>
          <w:rFonts w:asciiTheme="minorHAnsi" w:eastAsiaTheme="majorEastAsia" w:hAnsiTheme="minorHAnsi" w:cstheme="majorBidi"/>
          <w:b/>
          <w:i/>
          <w:spacing w:val="5"/>
          <w:kern w:val="28"/>
          <w:sz w:val="28"/>
          <w:szCs w:val="36"/>
        </w:rPr>
      </w:pPr>
      <w:r w:rsidRPr="00F33674">
        <w:rPr>
          <w:rFonts w:asciiTheme="minorHAnsi" w:eastAsiaTheme="majorEastAsia" w:hAnsiTheme="minorHAnsi" w:cstheme="majorBidi"/>
          <w:b/>
          <w:i/>
          <w:spacing w:val="5"/>
          <w:kern w:val="28"/>
          <w:sz w:val="28"/>
          <w:szCs w:val="36"/>
        </w:rPr>
        <w:lastRenderedPageBreak/>
        <w:t xml:space="preserve">TGA long-term pain indication: PBS restrictions in </w:t>
      </w:r>
      <w:proofErr w:type="gramStart"/>
      <w:r w:rsidRPr="00F33674">
        <w:rPr>
          <w:rFonts w:asciiTheme="minorHAnsi" w:eastAsiaTheme="majorEastAsia" w:hAnsiTheme="minorHAnsi" w:cstheme="majorBidi"/>
          <w:b/>
          <w:i/>
          <w:spacing w:val="5"/>
          <w:kern w:val="28"/>
          <w:sz w:val="28"/>
          <w:szCs w:val="36"/>
        </w:rPr>
        <w:t>1</w:t>
      </w:r>
      <w:r w:rsidRPr="00F33674">
        <w:rPr>
          <w:rFonts w:asciiTheme="minorHAnsi" w:eastAsiaTheme="majorEastAsia" w:hAnsiTheme="minorHAnsi" w:cstheme="majorBidi"/>
          <w:b/>
          <w:i/>
          <w:spacing w:val="5"/>
          <w:kern w:val="28"/>
          <w:sz w:val="28"/>
          <w:szCs w:val="36"/>
          <w:vertAlign w:val="superscript"/>
        </w:rPr>
        <w:t>st</w:t>
      </w:r>
      <w:proofErr w:type="gramEnd"/>
      <w:r w:rsidRPr="00F33674">
        <w:rPr>
          <w:rFonts w:asciiTheme="minorHAnsi" w:eastAsiaTheme="majorEastAsia" w:hAnsiTheme="minorHAnsi" w:cstheme="majorBidi"/>
          <w:b/>
          <w:i/>
          <w:spacing w:val="5"/>
          <w:kern w:val="28"/>
          <w:sz w:val="28"/>
          <w:szCs w:val="36"/>
        </w:rPr>
        <w:t xml:space="preserve"> line setting</w:t>
      </w:r>
      <w:bookmarkEnd w:id="31"/>
    </w:p>
    <w:p w14:paraId="48DEC67F" w14:textId="77777777" w:rsidR="00F33674" w:rsidRPr="00F33674" w:rsidRDefault="00F33674" w:rsidP="00F33674">
      <w:pPr>
        <w:pStyle w:val="3-BodyText"/>
      </w:pPr>
      <w:r w:rsidRPr="00F33674">
        <w:t>Amend items:</w:t>
      </w:r>
    </w:p>
    <w:p w14:paraId="2571D91E" w14:textId="77777777" w:rsidR="00F33674" w:rsidRPr="00F33674" w:rsidRDefault="00F33674" w:rsidP="00F33674">
      <w:pPr>
        <w:keepNext/>
        <w:keepLines/>
        <w:spacing w:before="40"/>
        <w:jc w:val="left"/>
        <w:outlineLvl w:val="2"/>
        <w:rPr>
          <w:rFonts w:asciiTheme="minorHAnsi" w:eastAsiaTheme="majorEastAsia" w:hAnsiTheme="minorHAnsi" w:cstheme="majorBidi"/>
          <w:b/>
          <w:color w:val="000000" w:themeColor="text1"/>
        </w:rPr>
      </w:pPr>
      <w:bookmarkStart w:id="32" w:name="_Toc32300598"/>
      <w:r w:rsidRPr="00F33674">
        <w:rPr>
          <w:rFonts w:asciiTheme="minorHAnsi" w:eastAsiaTheme="majorEastAsia" w:hAnsiTheme="minorHAnsi" w:cstheme="majorBidi"/>
          <w:b/>
          <w:color w:val="000000" w:themeColor="text1"/>
        </w:rPr>
        <w:t xml:space="preserve">Listing 16: Restriction for long-term pain TGA indication in </w:t>
      </w:r>
      <w:proofErr w:type="gramStart"/>
      <w:r w:rsidRPr="00F33674">
        <w:rPr>
          <w:rFonts w:asciiTheme="minorHAnsi" w:eastAsiaTheme="majorEastAsia" w:hAnsiTheme="minorHAnsi" w:cstheme="majorBidi"/>
          <w:b/>
          <w:color w:val="000000" w:themeColor="text1"/>
        </w:rPr>
        <w:t>1</w:t>
      </w:r>
      <w:r w:rsidRPr="00F33674">
        <w:rPr>
          <w:rFonts w:asciiTheme="minorHAnsi" w:eastAsiaTheme="majorEastAsia" w:hAnsiTheme="minorHAnsi" w:cstheme="majorBidi"/>
          <w:b/>
          <w:color w:val="000000" w:themeColor="text1"/>
          <w:vertAlign w:val="superscript"/>
        </w:rPr>
        <w:t>st</w:t>
      </w:r>
      <w:proofErr w:type="gramEnd"/>
      <w:r w:rsidRPr="00F33674">
        <w:rPr>
          <w:rFonts w:asciiTheme="minorHAnsi" w:eastAsiaTheme="majorEastAsia" w:hAnsiTheme="minorHAnsi" w:cstheme="majorBidi"/>
          <w:b/>
          <w:color w:val="000000" w:themeColor="text1"/>
        </w:rPr>
        <w:t xml:space="preserve"> line opioid setting (excluding morphine 200 mg forms and oxycodone):</w:t>
      </w:r>
      <w:bookmarkEnd w:id="32"/>
    </w:p>
    <w:p w14:paraId="1BA32BB8" w14:textId="77777777" w:rsidR="00F33674" w:rsidRPr="00F33674" w:rsidRDefault="00F33674" w:rsidP="00F33674">
      <w:pPr>
        <w:ind w:left="360" w:hanging="360"/>
        <w:contextualSpacing/>
        <w:jc w:val="left"/>
      </w:pPr>
    </w:p>
    <w:tbl>
      <w:tblPr>
        <w:tblW w:w="9697" w:type="dxa"/>
        <w:tblLook w:val="04A0" w:firstRow="1" w:lastRow="0" w:firstColumn="1" w:lastColumn="0" w:noHBand="0" w:noVBand="1"/>
      </w:tblPr>
      <w:tblGrid>
        <w:gridCol w:w="1647"/>
        <w:gridCol w:w="827"/>
        <w:gridCol w:w="2693"/>
        <w:gridCol w:w="661"/>
        <w:gridCol w:w="871"/>
        <w:gridCol w:w="1569"/>
        <w:gridCol w:w="1429"/>
      </w:tblGrid>
      <w:tr w:rsidR="00F33674" w:rsidRPr="00F33674" w14:paraId="24712DA4" w14:textId="77777777" w:rsidTr="00F33674">
        <w:trPr>
          <w:trHeight w:val="300"/>
        </w:trPr>
        <w:tc>
          <w:tcPr>
            <w:tcW w:w="1647" w:type="dxa"/>
            <w:tcBorders>
              <w:bottom w:val="single" w:sz="4" w:space="0" w:color="auto"/>
            </w:tcBorders>
            <w:shd w:val="clear" w:color="auto" w:fill="auto"/>
            <w:noWrap/>
            <w:hideMark/>
          </w:tcPr>
          <w:p w14:paraId="5DD0E0D3"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LI Drug</w:t>
            </w:r>
          </w:p>
        </w:tc>
        <w:tc>
          <w:tcPr>
            <w:tcW w:w="827" w:type="dxa"/>
            <w:tcBorders>
              <w:bottom w:val="single" w:sz="4" w:space="0" w:color="auto"/>
            </w:tcBorders>
            <w:shd w:val="clear" w:color="auto" w:fill="auto"/>
          </w:tcPr>
          <w:p w14:paraId="314DD439"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Item Code</w:t>
            </w:r>
          </w:p>
        </w:tc>
        <w:tc>
          <w:tcPr>
            <w:tcW w:w="2693" w:type="dxa"/>
            <w:tcBorders>
              <w:bottom w:val="single" w:sz="4" w:space="0" w:color="auto"/>
            </w:tcBorders>
            <w:shd w:val="clear" w:color="auto" w:fill="auto"/>
            <w:noWrap/>
            <w:hideMark/>
          </w:tcPr>
          <w:p w14:paraId="11D352D2"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Legal Instrument Form</w:t>
            </w:r>
          </w:p>
        </w:tc>
        <w:tc>
          <w:tcPr>
            <w:tcW w:w="661" w:type="dxa"/>
            <w:tcBorders>
              <w:bottom w:val="single" w:sz="4" w:space="0" w:color="auto"/>
            </w:tcBorders>
            <w:shd w:val="clear" w:color="auto" w:fill="auto"/>
            <w:noWrap/>
            <w:hideMark/>
          </w:tcPr>
          <w:p w14:paraId="731CFA08"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Max. Qty</w:t>
            </w:r>
          </w:p>
        </w:tc>
        <w:tc>
          <w:tcPr>
            <w:tcW w:w="871" w:type="dxa"/>
            <w:tcBorders>
              <w:bottom w:val="single" w:sz="4" w:space="0" w:color="auto"/>
            </w:tcBorders>
            <w:shd w:val="clear" w:color="auto" w:fill="auto"/>
            <w:noWrap/>
            <w:hideMark/>
          </w:tcPr>
          <w:p w14:paraId="39B10A81"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No. Rpt</w:t>
            </w:r>
          </w:p>
        </w:tc>
        <w:tc>
          <w:tcPr>
            <w:tcW w:w="1569" w:type="dxa"/>
            <w:tcBorders>
              <w:bottom w:val="single" w:sz="4" w:space="0" w:color="auto"/>
            </w:tcBorders>
            <w:shd w:val="clear" w:color="auto" w:fill="auto"/>
            <w:noWrap/>
            <w:hideMark/>
          </w:tcPr>
          <w:p w14:paraId="57ECCB9B"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Brand Name</w:t>
            </w:r>
          </w:p>
        </w:tc>
        <w:tc>
          <w:tcPr>
            <w:tcW w:w="1429" w:type="dxa"/>
            <w:tcBorders>
              <w:bottom w:val="single" w:sz="4" w:space="0" w:color="auto"/>
            </w:tcBorders>
            <w:shd w:val="clear" w:color="auto" w:fill="auto"/>
            <w:noWrap/>
            <w:hideMark/>
          </w:tcPr>
          <w:p w14:paraId="324BE3DC"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Responsible Person</w:t>
            </w:r>
          </w:p>
        </w:tc>
      </w:tr>
      <w:tr w:rsidR="00F33674" w:rsidRPr="00F33674" w14:paraId="4A2B6459" w14:textId="77777777" w:rsidTr="00F33674">
        <w:trPr>
          <w:trHeight w:val="300"/>
        </w:trPr>
        <w:tc>
          <w:tcPr>
            <w:tcW w:w="1647" w:type="dxa"/>
            <w:tcBorders>
              <w:top w:val="single" w:sz="4" w:space="0" w:color="auto"/>
            </w:tcBorders>
            <w:shd w:val="clear" w:color="auto" w:fill="auto"/>
            <w:noWrap/>
            <w:hideMark/>
          </w:tcPr>
          <w:p w14:paraId="24F0A154"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BUPRENORPHINE</w:t>
            </w:r>
          </w:p>
        </w:tc>
        <w:tc>
          <w:tcPr>
            <w:tcW w:w="827" w:type="dxa"/>
            <w:tcBorders>
              <w:top w:val="single" w:sz="4" w:space="0" w:color="auto"/>
            </w:tcBorders>
          </w:tcPr>
          <w:p w14:paraId="3E69E88F"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8866P</w:t>
            </w:r>
          </w:p>
        </w:tc>
        <w:tc>
          <w:tcPr>
            <w:tcW w:w="2693" w:type="dxa"/>
            <w:vMerge w:val="restart"/>
            <w:tcBorders>
              <w:top w:val="single" w:sz="4" w:space="0" w:color="auto"/>
            </w:tcBorders>
            <w:shd w:val="clear" w:color="auto" w:fill="auto"/>
            <w:noWrap/>
            <w:hideMark/>
          </w:tcPr>
          <w:p w14:paraId="000B9603"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Transdermal patch 10 mg</w:t>
            </w:r>
          </w:p>
        </w:tc>
        <w:tc>
          <w:tcPr>
            <w:tcW w:w="661" w:type="dxa"/>
            <w:tcBorders>
              <w:top w:val="single" w:sz="4" w:space="0" w:color="auto"/>
            </w:tcBorders>
            <w:shd w:val="clear" w:color="auto" w:fill="auto"/>
            <w:noWrap/>
            <w:hideMark/>
          </w:tcPr>
          <w:p w14:paraId="57869F52" w14:textId="77777777" w:rsidR="00F33674" w:rsidRPr="00F33674" w:rsidRDefault="00F33674" w:rsidP="00F33674">
            <w:pPr>
              <w:jc w:val="righ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2</w:t>
            </w:r>
          </w:p>
        </w:tc>
        <w:tc>
          <w:tcPr>
            <w:tcW w:w="871" w:type="dxa"/>
            <w:tcBorders>
              <w:top w:val="single" w:sz="4" w:space="0" w:color="auto"/>
            </w:tcBorders>
            <w:shd w:val="clear" w:color="auto" w:fill="auto"/>
            <w:noWrap/>
            <w:hideMark/>
          </w:tcPr>
          <w:p w14:paraId="629AE966" w14:textId="77777777" w:rsidR="00F33674" w:rsidRPr="00F33674" w:rsidRDefault="00F33674" w:rsidP="00F33674">
            <w:pPr>
              <w:jc w:val="righ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0</w:t>
            </w:r>
          </w:p>
        </w:tc>
        <w:tc>
          <w:tcPr>
            <w:tcW w:w="1569" w:type="dxa"/>
            <w:tcBorders>
              <w:top w:val="single" w:sz="4" w:space="0" w:color="auto"/>
            </w:tcBorders>
            <w:shd w:val="clear" w:color="auto" w:fill="auto"/>
            <w:noWrap/>
            <w:hideMark/>
          </w:tcPr>
          <w:p w14:paraId="6BF8E902"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Bupredermal</w:t>
            </w:r>
          </w:p>
        </w:tc>
        <w:tc>
          <w:tcPr>
            <w:tcW w:w="1429" w:type="dxa"/>
            <w:tcBorders>
              <w:top w:val="single" w:sz="4" w:space="0" w:color="auto"/>
            </w:tcBorders>
            <w:shd w:val="clear" w:color="auto" w:fill="auto"/>
            <w:noWrap/>
            <w:hideMark/>
          </w:tcPr>
          <w:p w14:paraId="470FF4B3"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Apotex Pty Ltd</w:t>
            </w:r>
          </w:p>
        </w:tc>
      </w:tr>
      <w:tr w:rsidR="00F33674" w:rsidRPr="00F33674" w14:paraId="25719663" w14:textId="77777777" w:rsidTr="00F33674">
        <w:trPr>
          <w:trHeight w:val="300"/>
        </w:trPr>
        <w:tc>
          <w:tcPr>
            <w:tcW w:w="1647" w:type="dxa"/>
            <w:shd w:val="clear" w:color="auto" w:fill="auto"/>
            <w:noWrap/>
          </w:tcPr>
          <w:p w14:paraId="7DB584B1" w14:textId="77777777" w:rsidR="00F33674" w:rsidRPr="00F33674" w:rsidRDefault="00F33674" w:rsidP="00F33674">
            <w:pPr>
              <w:jc w:val="left"/>
              <w:rPr>
                <w:rFonts w:ascii="Arial Narrow" w:hAnsi="Arial Narrow" w:cs="Calibri"/>
                <w:color w:val="000000"/>
                <w:sz w:val="20"/>
                <w:szCs w:val="20"/>
                <w:lang w:eastAsia="en-AU"/>
              </w:rPr>
            </w:pPr>
          </w:p>
        </w:tc>
        <w:tc>
          <w:tcPr>
            <w:tcW w:w="827" w:type="dxa"/>
          </w:tcPr>
          <w:p w14:paraId="37B07CC0" w14:textId="77777777" w:rsidR="00F33674" w:rsidRPr="00F33674" w:rsidRDefault="00F33674" w:rsidP="00F33674">
            <w:pPr>
              <w:jc w:val="left"/>
              <w:rPr>
                <w:rFonts w:ascii="Arial Narrow" w:hAnsi="Arial Narrow" w:cs="Calibri"/>
                <w:color w:val="000000"/>
                <w:sz w:val="20"/>
                <w:szCs w:val="20"/>
                <w:lang w:eastAsia="en-AU"/>
              </w:rPr>
            </w:pPr>
          </w:p>
        </w:tc>
        <w:tc>
          <w:tcPr>
            <w:tcW w:w="2693" w:type="dxa"/>
            <w:vMerge/>
            <w:shd w:val="clear" w:color="auto" w:fill="auto"/>
            <w:noWrap/>
          </w:tcPr>
          <w:p w14:paraId="08AEB4BC" w14:textId="77777777" w:rsidR="00F33674" w:rsidRPr="00F33674" w:rsidRDefault="00F33674" w:rsidP="00F33674">
            <w:pPr>
              <w:jc w:val="left"/>
              <w:rPr>
                <w:rFonts w:ascii="Arial Narrow" w:hAnsi="Arial Narrow" w:cs="Calibri"/>
                <w:color w:val="000000"/>
                <w:sz w:val="20"/>
                <w:szCs w:val="20"/>
                <w:lang w:eastAsia="en-AU"/>
              </w:rPr>
            </w:pPr>
          </w:p>
        </w:tc>
        <w:tc>
          <w:tcPr>
            <w:tcW w:w="661" w:type="dxa"/>
            <w:shd w:val="clear" w:color="auto" w:fill="auto"/>
            <w:noWrap/>
          </w:tcPr>
          <w:p w14:paraId="315841C0" w14:textId="77777777" w:rsidR="00F33674" w:rsidRPr="00F33674" w:rsidRDefault="00F33674" w:rsidP="00F33674">
            <w:pPr>
              <w:jc w:val="right"/>
              <w:rPr>
                <w:rFonts w:ascii="Arial Narrow" w:hAnsi="Arial Narrow" w:cs="Calibri"/>
                <w:color w:val="000000"/>
                <w:sz w:val="20"/>
                <w:szCs w:val="20"/>
                <w:lang w:eastAsia="en-AU"/>
              </w:rPr>
            </w:pPr>
          </w:p>
        </w:tc>
        <w:tc>
          <w:tcPr>
            <w:tcW w:w="871" w:type="dxa"/>
            <w:shd w:val="clear" w:color="auto" w:fill="auto"/>
            <w:noWrap/>
          </w:tcPr>
          <w:p w14:paraId="21DF3818" w14:textId="77777777" w:rsidR="00F33674" w:rsidRPr="00F33674" w:rsidRDefault="00F33674" w:rsidP="00F33674">
            <w:pPr>
              <w:jc w:val="right"/>
              <w:rPr>
                <w:rFonts w:ascii="Arial Narrow" w:hAnsi="Arial Narrow" w:cs="Calibri"/>
                <w:color w:val="000000"/>
                <w:sz w:val="20"/>
                <w:szCs w:val="20"/>
                <w:lang w:eastAsia="en-AU"/>
              </w:rPr>
            </w:pPr>
          </w:p>
        </w:tc>
        <w:tc>
          <w:tcPr>
            <w:tcW w:w="1569" w:type="dxa"/>
            <w:shd w:val="clear" w:color="auto" w:fill="auto"/>
            <w:noWrap/>
            <w:hideMark/>
          </w:tcPr>
          <w:p w14:paraId="0B77C64A"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Buprenorphine Sandoz</w:t>
            </w:r>
          </w:p>
        </w:tc>
        <w:tc>
          <w:tcPr>
            <w:tcW w:w="1429" w:type="dxa"/>
            <w:shd w:val="clear" w:color="auto" w:fill="auto"/>
            <w:noWrap/>
            <w:hideMark/>
          </w:tcPr>
          <w:p w14:paraId="0CFEC8FF"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Sandoz Pty Ltd</w:t>
            </w:r>
          </w:p>
        </w:tc>
      </w:tr>
      <w:tr w:rsidR="00F33674" w:rsidRPr="00F33674" w14:paraId="09844B24" w14:textId="77777777" w:rsidTr="00F33674">
        <w:trPr>
          <w:trHeight w:val="300"/>
        </w:trPr>
        <w:tc>
          <w:tcPr>
            <w:tcW w:w="1647" w:type="dxa"/>
            <w:shd w:val="clear" w:color="auto" w:fill="auto"/>
            <w:noWrap/>
          </w:tcPr>
          <w:p w14:paraId="11A30CD7" w14:textId="77777777" w:rsidR="00F33674" w:rsidRPr="00F33674" w:rsidRDefault="00F33674" w:rsidP="00F33674">
            <w:pPr>
              <w:jc w:val="left"/>
              <w:rPr>
                <w:rFonts w:ascii="Arial Narrow" w:hAnsi="Arial Narrow" w:cs="Calibri"/>
                <w:color w:val="000000"/>
                <w:sz w:val="20"/>
                <w:szCs w:val="20"/>
                <w:lang w:eastAsia="en-AU"/>
              </w:rPr>
            </w:pPr>
          </w:p>
        </w:tc>
        <w:tc>
          <w:tcPr>
            <w:tcW w:w="827" w:type="dxa"/>
          </w:tcPr>
          <w:p w14:paraId="37304269" w14:textId="77777777" w:rsidR="00F33674" w:rsidRPr="00F33674" w:rsidRDefault="00F33674" w:rsidP="00F33674">
            <w:pPr>
              <w:jc w:val="left"/>
              <w:rPr>
                <w:rFonts w:ascii="Arial Narrow" w:hAnsi="Arial Narrow" w:cs="Calibri"/>
                <w:color w:val="000000"/>
                <w:sz w:val="20"/>
                <w:szCs w:val="20"/>
                <w:lang w:eastAsia="en-AU"/>
              </w:rPr>
            </w:pPr>
          </w:p>
        </w:tc>
        <w:tc>
          <w:tcPr>
            <w:tcW w:w="2693" w:type="dxa"/>
            <w:vMerge/>
            <w:shd w:val="clear" w:color="auto" w:fill="auto"/>
            <w:noWrap/>
          </w:tcPr>
          <w:p w14:paraId="517099B9" w14:textId="77777777" w:rsidR="00F33674" w:rsidRPr="00F33674" w:rsidRDefault="00F33674" w:rsidP="00F33674">
            <w:pPr>
              <w:jc w:val="left"/>
              <w:rPr>
                <w:rFonts w:ascii="Arial Narrow" w:hAnsi="Arial Narrow" w:cs="Calibri"/>
                <w:color w:val="000000"/>
                <w:sz w:val="20"/>
                <w:szCs w:val="20"/>
                <w:lang w:eastAsia="en-AU"/>
              </w:rPr>
            </w:pPr>
          </w:p>
        </w:tc>
        <w:tc>
          <w:tcPr>
            <w:tcW w:w="661" w:type="dxa"/>
            <w:shd w:val="clear" w:color="auto" w:fill="auto"/>
            <w:noWrap/>
          </w:tcPr>
          <w:p w14:paraId="67C63767" w14:textId="77777777" w:rsidR="00F33674" w:rsidRPr="00F33674" w:rsidRDefault="00F33674" w:rsidP="00F33674">
            <w:pPr>
              <w:jc w:val="right"/>
              <w:rPr>
                <w:rFonts w:ascii="Arial Narrow" w:hAnsi="Arial Narrow" w:cs="Calibri"/>
                <w:color w:val="000000"/>
                <w:sz w:val="20"/>
                <w:szCs w:val="20"/>
                <w:lang w:eastAsia="en-AU"/>
              </w:rPr>
            </w:pPr>
          </w:p>
        </w:tc>
        <w:tc>
          <w:tcPr>
            <w:tcW w:w="871" w:type="dxa"/>
            <w:shd w:val="clear" w:color="auto" w:fill="auto"/>
            <w:noWrap/>
          </w:tcPr>
          <w:p w14:paraId="3A486B85" w14:textId="77777777" w:rsidR="00F33674" w:rsidRPr="00F33674" w:rsidRDefault="00F33674" w:rsidP="00F33674">
            <w:pPr>
              <w:jc w:val="right"/>
              <w:rPr>
                <w:rFonts w:ascii="Arial Narrow" w:hAnsi="Arial Narrow" w:cs="Calibri"/>
                <w:color w:val="000000"/>
                <w:sz w:val="20"/>
                <w:szCs w:val="20"/>
                <w:lang w:eastAsia="en-AU"/>
              </w:rPr>
            </w:pPr>
          </w:p>
        </w:tc>
        <w:tc>
          <w:tcPr>
            <w:tcW w:w="1569" w:type="dxa"/>
            <w:shd w:val="clear" w:color="auto" w:fill="auto"/>
            <w:noWrap/>
            <w:hideMark/>
          </w:tcPr>
          <w:p w14:paraId="0751A5E3"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Norspan</w:t>
            </w:r>
          </w:p>
        </w:tc>
        <w:tc>
          <w:tcPr>
            <w:tcW w:w="1429" w:type="dxa"/>
            <w:shd w:val="clear" w:color="auto" w:fill="auto"/>
            <w:noWrap/>
            <w:hideMark/>
          </w:tcPr>
          <w:p w14:paraId="62559D66"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Mundipharma Pty Limited</w:t>
            </w:r>
          </w:p>
        </w:tc>
      </w:tr>
      <w:tr w:rsidR="00F33674" w:rsidRPr="00F33674" w14:paraId="1C22E924" w14:textId="77777777" w:rsidTr="00F33674">
        <w:trPr>
          <w:trHeight w:val="300"/>
        </w:trPr>
        <w:tc>
          <w:tcPr>
            <w:tcW w:w="1647" w:type="dxa"/>
            <w:shd w:val="clear" w:color="auto" w:fill="auto"/>
            <w:noWrap/>
          </w:tcPr>
          <w:p w14:paraId="33436BEF" w14:textId="77777777" w:rsidR="00F33674" w:rsidRPr="00F33674" w:rsidRDefault="00F33674" w:rsidP="00F33674">
            <w:pPr>
              <w:jc w:val="left"/>
              <w:rPr>
                <w:rFonts w:ascii="Arial Narrow" w:hAnsi="Arial Narrow" w:cs="Calibri"/>
                <w:color w:val="000000"/>
                <w:sz w:val="20"/>
                <w:szCs w:val="20"/>
                <w:lang w:eastAsia="en-AU"/>
              </w:rPr>
            </w:pPr>
          </w:p>
        </w:tc>
        <w:tc>
          <w:tcPr>
            <w:tcW w:w="827" w:type="dxa"/>
          </w:tcPr>
          <w:p w14:paraId="3C909115"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10770W</w:t>
            </w:r>
          </w:p>
        </w:tc>
        <w:tc>
          <w:tcPr>
            <w:tcW w:w="2693" w:type="dxa"/>
            <w:vMerge w:val="restart"/>
            <w:shd w:val="clear" w:color="auto" w:fill="auto"/>
            <w:noWrap/>
            <w:hideMark/>
          </w:tcPr>
          <w:p w14:paraId="111AA3A1"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Transdermal patch 15 mg</w:t>
            </w:r>
          </w:p>
        </w:tc>
        <w:tc>
          <w:tcPr>
            <w:tcW w:w="661" w:type="dxa"/>
            <w:shd w:val="clear" w:color="auto" w:fill="auto"/>
            <w:noWrap/>
            <w:hideMark/>
          </w:tcPr>
          <w:p w14:paraId="46041887" w14:textId="77777777" w:rsidR="00F33674" w:rsidRPr="00F33674" w:rsidRDefault="00F33674" w:rsidP="00F33674">
            <w:pPr>
              <w:jc w:val="righ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2</w:t>
            </w:r>
          </w:p>
        </w:tc>
        <w:tc>
          <w:tcPr>
            <w:tcW w:w="871" w:type="dxa"/>
            <w:shd w:val="clear" w:color="auto" w:fill="auto"/>
            <w:noWrap/>
            <w:hideMark/>
          </w:tcPr>
          <w:p w14:paraId="262DBFFF" w14:textId="77777777" w:rsidR="00F33674" w:rsidRPr="00F33674" w:rsidRDefault="00F33674" w:rsidP="00F33674">
            <w:pPr>
              <w:jc w:val="righ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0</w:t>
            </w:r>
          </w:p>
        </w:tc>
        <w:tc>
          <w:tcPr>
            <w:tcW w:w="1569" w:type="dxa"/>
            <w:shd w:val="clear" w:color="auto" w:fill="auto"/>
            <w:noWrap/>
            <w:hideMark/>
          </w:tcPr>
          <w:p w14:paraId="442B6204"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Buprenorphine Sandoz</w:t>
            </w:r>
          </w:p>
        </w:tc>
        <w:tc>
          <w:tcPr>
            <w:tcW w:w="1429" w:type="dxa"/>
            <w:shd w:val="clear" w:color="auto" w:fill="auto"/>
            <w:noWrap/>
            <w:hideMark/>
          </w:tcPr>
          <w:p w14:paraId="4F5C1F20"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Sandoz Pty Ltd</w:t>
            </w:r>
          </w:p>
        </w:tc>
      </w:tr>
      <w:tr w:rsidR="00F33674" w:rsidRPr="00F33674" w14:paraId="1FF50A02" w14:textId="77777777" w:rsidTr="00F33674">
        <w:trPr>
          <w:trHeight w:val="300"/>
        </w:trPr>
        <w:tc>
          <w:tcPr>
            <w:tcW w:w="1647" w:type="dxa"/>
            <w:shd w:val="clear" w:color="auto" w:fill="auto"/>
            <w:noWrap/>
          </w:tcPr>
          <w:p w14:paraId="0256CDBE" w14:textId="77777777" w:rsidR="00F33674" w:rsidRPr="00F33674" w:rsidRDefault="00F33674" w:rsidP="00F33674">
            <w:pPr>
              <w:jc w:val="left"/>
              <w:rPr>
                <w:rFonts w:ascii="Arial Narrow" w:hAnsi="Arial Narrow" w:cs="Calibri"/>
                <w:color w:val="000000"/>
                <w:sz w:val="20"/>
                <w:szCs w:val="20"/>
                <w:lang w:eastAsia="en-AU"/>
              </w:rPr>
            </w:pPr>
          </w:p>
        </w:tc>
        <w:tc>
          <w:tcPr>
            <w:tcW w:w="827" w:type="dxa"/>
          </w:tcPr>
          <w:p w14:paraId="571FA653" w14:textId="77777777" w:rsidR="00F33674" w:rsidRPr="00F33674" w:rsidRDefault="00F33674" w:rsidP="00F33674">
            <w:pPr>
              <w:jc w:val="left"/>
              <w:rPr>
                <w:rFonts w:ascii="Arial Narrow" w:hAnsi="Arial Narrow" w:cs="Calibri"/>
                <w:color w:val="000000"/>
                <w:sz w:val="20"/>
                <w:szCs w:val="20"/>
                <w:lang w:eastAsia="en-AU"/>
              </w:rPr>
            </w:pPr>
          </w:p>
        </w:tc>
        <w:tc>
          <w:tcPr>
            <w:tcW w:w="2693" w:type="dxa"/>
            <w:vMerge/>
            <w:shd w:val="clear" w:color="auto" w:fill="auto"/>
            <w:noWrap/>
          </w:tcPr>
          <w:p w14:paraId="743C8FC0" w14:textId="77777777" w:rsidR="00F33674" w:rsidRPr="00F33674" w:rsidRDefault="00F33674" w:rsidP="00F33674">
            <w:pPr>
              <w:jc w:val="left"/>
              <w:rPr>
                <w:rFonts w:ascii="Arial Narrow" w:hAnsi="Arial Narrow" w:cs="Calibri"/>
                <w:color w:val="000000"/>
                <w:sz w:val="20"/>
                <w:szCs w:val="20"/>
                <w:lang w:eastAsia="en-AU"/>
              </w:rPr>
            </w:pPr>
          </w:p>
        </w:tc>
        <w:tc>
          <w:tcPr>
            <w:tcW w:w="661" w:type="dxa"/>
            <w:shd w:val="clear" w:color="auto" w:fill="auto"/>
            <w:noWrap/>
          </w:tcPr>
          <w:p w14:paraId="5263A22C" w14:textId="77777777" w:rsidR="00F33674" w:rsidRPr="00F33674" w:rsidRDefault="00F33674" w:rsidP="00F33674">
            <w:pPr>
              <w:jc w:val="right"/>
              <w:rPr>
                <w:rFonts w:ascii="Arial Narrow" w:hAnsi="Arial Narrow" w:cs="Calibri"/>
                <w:color w:val="000000"/>
                <w:sz w:val="20"/>
                <w:szCs w:val="20"/>
                <w:lang w:eastAsia="en-AU"/>
              </w:rPr>
            </w:pPr>
          </w:p>
        </w:tc>
        <w:tc>
          <w:tcPr>
            <w:tcW w:w="871" w:type="dxa"/>
            <w:shd w:val="clear" w:color="auto" w:fill="auto"/>
            <w:noWrap/>
          </w:tcPr>
          <w:p w14:paraId="535161B4" w14:textId="77777777" w:rsidR="00F33674" w:rsidRPr="00F33674" w:rsidRDefault="00F33674" w:rsidP="00F33674">
            <w:pPr>
              <w:jc w:val="right"/>
              <w:rPr>
                <w:rFonts w:ascii="Arial Narrow" w:hAnsi="Arial Narrow" w:cs="Calibri"/>
                <w:color w:val="000000"/>
                <w:sz w:val="20"/>
                <w:szCs w:val="20"/>
                <w:lang w:eastAsia="en-AU"/>
              </w:rPr>
            </w:pPr>
          </w:p>
        </w:tc>
        <w:tc>
          <w:tcPr>
            <w:tcW w:w="1569" w:type="dxa"/>
            <w:shd w:val="clear" w:color="auto" w:fill="auto"/>
            <w:noWrap/>
            <w:hideMark/>
          </w:tcPr>
          <w:p w14:paraId="741E098F"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Norspan</w:t>
            </w:r>
          </w:p>
        </w:tc>
        <w:tc>
          <w:tcPr>
            <w:tcW w:w="1429" w:type="dxa"/>
            <w:shd w:val="clear" w:color="auto" w:fill="auto"/>
            <w:noWrap/>
            <w:hideMark/>
          </w:tcPr>
          <w:p w14:paraId="3F61A49E"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Mundipharma Pty Limited</w:t>
            </w:r>
          </w:p>
        </w:tc>
      </w:tr>
      <w:tr w:rsidR="00F33674" w:rsidRPr="00F33674" w14:paraId="4DEAE849" w14:textId="77777777" w:rsidTr="00F33674">
        <w:trPr>
          <w:trHeight w:val="300"/>
        </w:trPr>
        <w:tc>
          <w:tcPr>
            <w:tcW w:w="1647" w:type="dxa"/>
            <w:shd w:val="clear" w:color="auto" w:fill="auto"/>
            <w:noWrap/>
          </w:tcPr>
          <w:p w14:paraId="168DA294" w14:textId="77777777" w:rsidR="00F33674" w:rsidRPr="00F33674" w:rsidRDefault="00F33674" w:rsidP="00F33674">
            <w:pPr>
              <w:jc w:val="left"/>
              <w:rPr>
                <w:rFonts w:ascii="Arial Narrow" w:hAnsi="Arial Narrow" w:cs="Calibri"/>
                <w:color w:val="000000"/>
                <w:sz w:val="20"/>
                <w:szCs w:val="20"/>
                <w:lang w:eastAsia="en-AU"/>
              </w:rPr>
            </w:pPr>
          </w:p>
        </w:tc>
        <w:tc>
          <w:tcPr>
            <w:tcW w:w="827" w:type="dxa"/>
          </w:tcPr>
          <w:p w14:paraId="52A2D5EA"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8867Q</w:t>
            </w:r>
          </w:p>
        </w:tc>
        <w:tc>
          <w:tcPr>
            <w:tcW w:w="2693" w:type="dxa"/>
            <w:vMerge w:val="restart"/>
            <w:shd w:val="clear" w:color="auto" w:fill="auto"/>
            <w:noWrap/>
            <w:hideMark/>
          </w:tcPr>
          <w:p w14:paraId="4BF55D28"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Transdermal patch 20 mg</w:t>
            </w:r>
          </w:p>
        </w:tc>
        <w:tc>
          <w:tcPr>
            <w:tcW w:w="661" w:type="dxa"/>
            <w:shd w:val="clear" w:color="auto" w:fill="auto"/>
            <w:noWrap/>
            <w:hideMark/>
          </w:tcPr>
          <w:p w14:paraId="1F0397A2" w14:textId="77777777" w:rsidR="00F33674" w:rsidRPr="00F33674" w:rsidRDefault="00F33674" w:rsidP="00F33674">
            <w:pPr>
              <w:jc w:val="righ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2</w:t>
            </w:r>
          </w:p>
        </w:tc>
        <w:tc>
          <w:tcPr>
            <w:tcW w:w="871" w:type="dxa"/>
            <w:shd w:val="clear" w:color="auto" w:fill="auto"/>
            <w:noWrap/>
            <w:hideMark/>
          </w:tcPr>
          <w:p w14:paraId="67DCDBFE" w14:textId="77777777" w:rsidR="00F33674" w:rsidRPr="00F33674" w:rsidRDefault="00F33674" w:rsidP="00F33674">
            <w:pPr>
              <w:jc w:val="righ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0</w:t>
            </w:r>
          </w:p>
        </w:tc>
        <w:tc>
          <w:tcPr>
            <w:tcW w:w="1569" w:type="dxa"/>
            <w:shd w:val="clear" w:color="auto" w:fill="auto"/>
            <w:noWrap/>
            <w:hideMark/>
          </w:tcPr>
          <w:p w14:paraId="1EF09DAE"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Bupredermal</w:t>
            </w:r>
          </w:p>
        </w:tc>
        <w:tc>
          <w:tcPr>
            <w:tcW w:w="1429" w:type="dxa"/>
            <w:shd w:val="clear" w:color="auto" w:fill="auto"/>
            <w:noWrap/>
            <w:hideMark/>
          </w:tcPr>
          <w:p w14:paraId="0FDDE019"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Apotex Pty Ltd</w:t>
            </w:r>
          </w:p>
        </w:tc>
      </w:tr>
      <w:tr w:rsidR="00F33674" w:rsidRPr="00F33674" w14:paraId="2E5529BB" w14:textId="77777777" w:rsidTr="00F33674">
        <w:trPr>
          <w:trHeight w:val="300"/>
        </w:trPr>
        <w:tc>
          <w:tcPr>
            <w:tcW w:w="1647" w:type="dxa"/>
            <w:shd w:val="clear" w:color="auto" w:fill="auto"/>
            <w:noWrap/>
          </w:tcPr>
          <w:p w14:paraId="47DE241E" w14:textId="77777777" w:rsidR="00F33674" w:rsidRPr="00F33674" w:rsidRDefault="00F33674" w:rsidP="00F33674">
            <w:pPr>
              <w:jc w:val="left"/>
              <w:rPr>
                <w:rFonts w:ascii="Arial Narrow" w:hAnsi="Arial Narrow" w:cs="Calibri"/>
                <w:color w:val="000000"/>
                <w:sz w:val="20"/>
                <w:szCs w:val="20"/>
                <w:lang w:eastAsia="en-AU"/>
              </w:rPr>
            </w:pPr>
          </w:p>
        </w:tc>
        <w:tc>
          <w:tcPr>
            <w:tcW w:w="827" w:type="dxa"/>
          </w:tcPr>
          <w:p w14:paraId="301C6672" w14:textId="77777777" w:rsidR="00F33674" w:rsidRPr="00F33674" w:rsidRDefault="00F33674" w:rsidP="00F33674">
            <w:pPr>
              <w:jc w:val="left"/>
              <w:rPr>
                <w:rFonts w:ascii="Arial Narrow" w:hAnsi="Arial Narrow" w:cs="Calibri"/>
                <w:color w:val="000000"/>
                <w:sz w:val="20"/>
                <w:szCs w:val="20"/>
                <w:lang w:eastAsia="en-AU"/>
              </w:rPr>
            </w:pPr>
          </w:p>
        </w:tc>
        <w:tc>
          <w:tcPr>
            <w:tcW w:w="2693" w:type="dxa"/>
            <w:vMerge/>
            <w:shd w:val="clear" w:color="auto" w:fill="auto"/>
            <w:noWrap/>
          </w:tcPr>
          <w:p w14:paraId="4C92EB32" w14:textId="77777777" w:rsidR="00F33674" w:rsidRPr="00F33674" w:rsidRDefault="00F33674" w:rsidP="00F33674">
            <w:pPr>
              <w:jc w:val="left"/>
              <w:rPr>
                <w:rFonts w:ascii="Arial Narrow" w:hAnsi="Arial Narrow" w:cs="Calibri"/>
                <w:color w:val="000000"/>
                <w:sz w:val="20"/>
                <w:szCs w:val="20"/>
                <w:lang w:eastAsia="en-AU"/>
              </w:rPr>
            </w:pPr>
          </w:p>
        </w:tc>
        <w:tc>
          <w:tcPr>
            <w:tcW w:w="661" w:type="dxa"/>
            <w:shd w:val="clear" w:color="auto" w:fill="auto"/>
            <w:noWrap/>
          </w:tcPr>
          <w:p w14:paraId="3B55B774" w14:textId="77777777" w:rsidR="00F33674" w:rsidRPr="00F33674" w:rsidRDefault="00F33674" w:rsidP="00F33674">
            <w:pPr>
              <w:jc w:val="right"/>
              <w:rPr>
                <w:rFonts w:ascii="Arial Narrow" w:hAnsi="Arial Narrow" w:cs="Calibri"/>
                <w:color w:val="000000"/>
                <w:sz w:val="20"/>
                <w:szCs w:val="20"/>
                <w:lang w:eastAsia="en-AU"/>
              </w:rPr>
            </w:pPr>
          </w:p>
        </w:tc>
        <w:tc>
          <w:tcPr>
            <w:tcW w:w="871" w:type="dxa"/>
            <w:shd w:val="clear" w:color="auto" w:fill="auto"/>
            <w:noWrap/>
          </w:tcPr>
          <w:p w14:paraId="626BB242" w14:textId="77777777" w:rsidR="00F33674" w:rsidRPr="00F33674" w:rsidRDefault="00F33674" w:rsidP="00F33674">
            <w:pPr>
              <w:jc w:val="right"/>
              <w:rPr>
                <w:rFonts w:ascii="Arial Narrow" w:hAnsi="Arial Narrow" w:cs="Calibri"/>
                <w:color w:val="000000"/>
                <w:sz w:val="20"/>
                <w:szCs w:val="20"/>
                <w:lang w:eastAsia="en-AU"/>
              </w:rPr>
            </w:pPr>
          </w:p>
        </w:tc>
        <w:tc>
          <w:tcPr>
            <w:tcW w:w="1569" w:type="dxa"/>
            <w:shd w:val="clear" w:color="auto" w:fill="auto"/>
            <w:noWrap/>
            <w:hideMark/>
          </w:tcPr>
          <w:p w14:paraId="58A27500"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Buprenorphine Sandoz</w:t>
            </w:r>
          </w:p>
        </w:tc>
        <w:tc>
          <w:tcPr>
            <w:tcW w:w="1429" w:type="dxa"/>
            <w:shd w:val="clear" w:color="auto" w:fill="auto"/>
            <w:noWrap/>
            <w:hideMark/>
          </w:tcPr>
          <w:p w14:paraId="6B6F77D5"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Sandoz Pty Ltd</w:t>
            </w:r>
          </w:p>
        </w:tc>
      </w:tr>
      <w:tr w:rsidR="00F33674" w:rsidRPr="00F33674" w14:paraId="29402091" w14:textId="77777777" w:rsidTr="00F33674">
        <w:trPr>
          <w:trHeight w:val="300"/>
        </w:trPr>
        <w:tc>
          <w:tcPr>
            <w:tcW w:w="1647" w:type="dxa"/>
            <w:shd w:val="clear" w:color="auto" w:fill="auto"/>
            <w:noWrap/>
          </w:tcPr>
          <w:p w14:paraId="142EAE72" w14:textId="77777777" w:rsidR="00F33674" w:rsidRPr="00F33674" w:rsidRDefault="00F33674" w:rsidP="00F33674">
            <w:pPr>
              <w:jc w:val="left"/>
              <w:rPr>
                <w:rFonts w:ascii="Arial Narrow" w:hAnsi="Arial Narrow" w:cs="Calibri"/>
                <w:color w:val="000000"/>
                <w:sz w:val="20"/>
                <w:szCs w:val="20"/>
                <w:lang w:eastAsia="en-AU"/>
              </w:rPr>
            </w:pPr>
          </w:p>
        </w:tc>
        <w:tc>
          <w:tcPr>
            <w:tcW w:w="827" w:type="dxa"/>
          </w:tcPr>
          <w:p w14:paraId="5DE71824" w14:textId="77777777" w:rsidR="00F33674" w:rsidRPr="00F33674" w:rsidRDefault="00F33674" w:rsidP="00F33674">
            <w:pPr>
              <w:jc w:val="left"/>
              <w:rPr>
                <w:rFonts w:ascii="Arial Narrow" w:hAnsi="Arial Narrow" w:cs="Calibri"/>
                <w:color w:val="000000"/>
                <w:sz w:val="20"/>
                <w:szCs w:val="20"/>
                <w:lang w:eastAsia="en-AU"/>
              </w:rPr>
            </w:pPr>
          </w:p>
        </w:tc>
        <w:tc>
          <w:tcPr>
            <w:tcW w:w="2693" w:type="dxa"/>
            <w:vMerge/>
            <w:shd w:val="clear" w:color="auto" w:fill="auto"/>
            <w:noWrap/>
          </w:tcPr>
          <w:p w14:paraId="0595F6EC" w14:textId="77777777" w:rsidR="00F33674" w:rsidRPr="00F33674" w:rsidRDefault="00F33674" w:rsidP="00F33674">
            <w:pPr>
              <w:jc w:val="left"/>
              <w:rPr>
                <w:rFonts w:ascii="Arial Narrow" w:hAnsi="Arial Narrow" w:cs="Calibri"/>
                <w:color w:val="000000"/>
                <w:sz w:val="20"/>
                <w:szCs w:val="20"/>
                <w:lang w:eastAsia="en-AU"/>
              </w:rPr>
            </w:pPr>
          </w:p>
        </w:tc>
        <w:tc>
          <w:tcPr>
            <w:tcW w:w="661" w:type="dxa"/>
            <w:shd w:val="clear" w:color="auto" w:fill="auto"/>
            <w:noWrap/>
          </w:tcPr>
          <w:p w14:paraId="652E670A" w14:textId="77777777" w:rsidR="00F33674" w:rsidRPr="00F33674" w:rsidRDefault="00F33674" w:rsidP="00F33674">
            <w:pPr>
              <w:jc w:val="right"/>
              <w:rPr>
                <w:rFonts w:ascii="Arial Narrow" w:hAnsi="Arial Narrow" w:cs="Calibri"/>
                <w:color w:val="000000"/>
                <w:sz w:val="20"/>
                <w:szCs w:val="20"/>
                <w:lang w:eastAsia="en-AU"/>
              </w:rPr>
            </w:pPr>
          </w:p>
        </w:tc>
        <w:tc>
          <w:tcPr>
            <w:tcW w:w="871" w:type="dxa"/>
            <w:shd w:val="clear" w:color="auto" w:fill="auto"/>
            <w:noWrap/>
          </w:tcPr>
          <w:p w14:paraId="4033EA63" w14:textId="77777777" w:rsidR="00F33674" w:rsidRPr="00F33674" w:rsidRDefault="00F33674" w:rsidP="00F33674">
            <w:pPr>
              <w:jc w:val="right"/>
              <w:rPr>
                <w:rFonts w:ascii="Arial Narrow" w:hAnsi="Arial Narrow" w:cs="Calibri"/>
                <w:color w:val="000000"/>
                <w:sz w:val="20"/>
                <w:szCs w:val="20"/>
                <w:lang w:eastAsia="en-AU"/>
              </w:rPr>
            </w:pPr>
          </w:p>
        </w:tc>
        <w:tc>
          <w:tcPr>
            <w:tcW w:w="1569" w:type="dxa"/>
            <w:shd w:val="clear" w:color="auto" w:fill="auto"/>
            <w:noWrap/>
            <w:hideMark/>
          </w:tcPr>
          <w:p w14:paraId="22B3A631"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Norspan</w:t>
            </w:r>
          </w:p>
        </w:tc>
        <w:tc>
          <w:tcPr>
            <w:tcW w:w="1429" w:type="dxa"/>
            <w:shd w:val="clear" w:color="auto" w:fill="auto"/>
            <w:noWrap/>
            <w:hideMark/>
          </w:tcPr>
          <w:p w14:paraId="60FB718D"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Mundipharma Pty Limited</w:t>
            </w:r>
          </w:p>
        </w:tc>
      </w:tr>
      <w:tr w:rsidR="00F33674" w:rsidRPr="00F33674" w14:paraId="4256DE61" w14:textId="77777777" w:rsidTr="00F33674">
        <w:trPr>
          <w:trHeight w:val="300"/>
        </w:trPr>
        <w:tc>
          <w:tcPr>
            <w:tcW w:w="1647" w:type="dxa"/>
            <w:shd w:val="clear" w:color="auto" w:fill="auto"/>
            <w:noWrap/>
          </w:tcPr>
          <w:p w14:paraId="1C2E1533" w14:textId="77777777" w:rsidR="00F33674" w:rsidRPr="00F33674" w:rsidRDefault="00F33674" w:rsidP="00F33674">
            <w:pPr>
              <w:jc w:val="left"/>
              <w:rPr>
                <w:rFonts w:ascii="Arial Narrow" w:hAnsi="Arial Narrow" w:cs="Calibri"/>
                <w:color w:val="000000"/>
                <w:sz w:val="20"/>
                <w:szCs w:val="20"/>
                <w:lang w:eastAsia="en-AU"/>
              </w:rPr>
            </w:pPr>
          </w:p>
        </w:tc>
        <w:tc>
          <w:tcPr>
            <w:tcW w:w="827" w:type="dxa"/>
          </w:tcPr>
          <w:p w14:paraId="2EEFF3AF"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10756D</w:t>
            </w:r>
          </w:p>
        </w:tc>
        <w:tc>
          <w:tcPr>
            <w:tcW w:w="2693" w:type="dxa"/>
            <w:shd w:val="clear" w:color="auto" w:fill="auto"/>
            <w:noWrap/>
            <w:hideMark/>
          </w:tcPr>
          <w:p w14:paraId="46645638"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Transdermal patch 25 mg</w:t>
            </w:r>
          </w:p>
        </w:tc>
        <w:tc>
          <w:tcPr>
            <w:tcW w:w="661" w:type="dxa"/>
            <w:shd w:val="clear" w:color="auto" w:fill="auto"/>
            <w:noWrap/>
            <w:hideMark/>
          </w:tcPr>
          <w:p w14:paraId="124C6D6D" w14:textId="77777777" w:rsidR="00F33674" w:rsidRPr="00F33674" w:rsidRDefault="00F33674" w:rsidP="00F33674">
            <w:pPr>
              <w:jc w:val="righ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2</w:t>
            </w:r>
          </w:p>
        </w:tc>
        <w:tc>
          <w:tcPr>
            <w:tcW w:w="871" w:type="dxa"/>
            <w:shd w:val="clear" w:color="auto" w:fill="auto"/>
            <w:noWrap/>
            <w:hideMark/>
          </w:tcPr>
          <w:p w14:paraId="190EA23A" w14:textId="77777777" w:rsidR="00F33674" w:rsidRPr="00F33674" w:rsidRDefault="00F33674" w:rsidP="00F33674">
            <w:pPr>
              <w:jc w:val="righ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0</w:t>
            </w:r>
          </w:p>
        </w:tc>
        <w:tc>
          <w:tcPr>
            <w:tcW w:w="1569" w:type="dxa"/>
            <w:shd w:val="clear" w:color="auto" w:fill="auto"/>
            <w:noWrap/>
            <w:hideMark/>
          </w:tcPr>
          <w:p w14:paraId="61724450"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Norspan</w:t>
            </w:r>
          </w:p>
        </w:tc>
        <w:tc>
          <w:tcPr>
            <w:tcW w:w="1429" w:type="dxa"/>
            <w:shd w:val="clear" w:color="auto" w:fill="auto"/>
            <w:noWrap/>
            <w:hideMark/>
          </w:tcPr>
          <w:p w14:paraId="77B3A892"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Mundipharma Pty Limited</w:t>
            </w:r>
          </w:p>
        </w:tc>
      </w:tr>
      <w:tr w:rsidR="00F33674" w:rsidRPr="00F33674" w14:paraId="5D94B551" w14:textId="77777777" w:rsidTr="00F33674">
        <w:trPr>
          <w:trHeight w:val="300"/>
        </w:trPr>
        <w:tc>
          <w:tcPr>
            <w:tcW w:w="1647" w:type="dxa"/>
            <w:shd w:val="clear" w:color="auto" w:fill="auto"/>
            <w:noWrap/>
          </w:tcPr>
          <w:p w14:paraId="199DF41A" w14:textId="77777777" w:rsidR="00F33674" w:rsidRPr="00F33674" w:rsidRDefault="00F33674" w:rsidP="00F33674">
            <w:pPr>
              <w:jc w:val="left"/>
              <w:rPr>
                <w:rFonts w:ascii="Arial Narrow" w:hAnsi="Arial Narrow" w:cs="Calibri"/>
                <w:color w:val="000000"/>
                <w:sz w:val="20"/>
                <w:szCs w:val="20"/>
                <w:lang w:eastAsia="en-AU"/>
              </w:rPr>
            </w:pPr>
          </w:p>
        </w:tc>
        <w:tc>
          <w:tcPr>
            <w:tcW w:w="827" w:type="dxa"/>
          </w:tcPr>
          <w:p w14:paraId="5BAA3A26"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10755C</w:t>
            </w:r>
          </w:p>
        </w:tc>
        <w:tc>
          <w:tcPr>
            <w:tcW w:w="2693" w:type="dxa"/>
            <w:shd w:val="clear" w:color="auto" w:fill="auto"/>
            <w:noWrap/>
            <w:hideMark/>
          </w:tcPr>
          <w:p w14:paraId="2C85A031"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Transdermal patch 30 mg</w:t>
            </w:r>
          </w:p>
        </w:tc>
        <w:tc>
          <w:tcPr>
            <w:tcW w:w="661" w:type="dxa"/>
            <w:shd w:val="clear" w:color="auto" w:fill="auto"/>
            <w:noWrap/>
            <w:hideMark/>
          </w:tcPr>
          <w:p w14:paraId="1D5F5038" w14:textId="77777777" w:rsidR="00F33674" w:rsidRPr="00F33674" w:rsidRDefault="00F33674" w:rsidP="00F33674">
            <w:pPr>
              <w:jc w:val="righ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2</w:t>
            </w:r>
          </w:p>
        </w:tc>
        <w:tc>
          <w:tcPr>
            <w:tcW w:w="871" w:type="dxa"/>
            <w:shd w:val="clear" w:color="auto" w:fill="auto"/>
            <w:noWrap/>
            <w:hideMark/>
          </w:tcPr>
          <w:p w14:paraId="6C9534B4" w14:textId="77777777" w:rsidR="00F33674" w:rsidRPr="00F33674" w:rsidRDefault="00F33674" w:rsidP="00F33674">
            <w:pPr>
              <w:jc w:val="righ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0</w:t>
            </w:r>
          </w:p>
        </w:tc>
        <w:tc>
          <w:tcPr>
            <w:tcW w:w="1569" w:type="dxa"/>
            <w:shd w:val="clear" w:color="auto" w:fill="auto"/>
            <w:noWrap/>
            <w:hideMark/>
          </w:tcPr>
          <w:p w14:paraId="3313DEB8"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Norspan</w:t>
            </w:r>
          </w:p>
        </w:tc>
        <w:tc>
          <w:tcPr>
            <w:tcW w:w="1429" w:type="dxa"/>
            <w:shd w:val="clear" w:color="auto" w:fill="auto"/>
            <w:noWrap/>
            <w:hideMark/>
          </w:tcPr>
          <w:p w14:paraId="1C54001A"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Mundipharma Pty Limited</w:t>
            </w:r>
          </w:p>
        </w:tc>
      </w:tr>
      <w:tr w:rsidR="00F33674" w:rsidRPr="00F33674" w14:paraId="7FBB1D97" w14:textId="77777777" w:rsidTr="00F33674">
        <w:trPr>
          <w:trHeight w:val="300"/>
        </w:trPr>
        <w:tc>
          <w:tcPr>
            <w:tcW w:w="1647" w:type="dxa"/>
            <w:shd w:val="clear" w:color="auto" w:fill="auto"/>
            <w:noWrap/>
          </w:tcPr>
          <w:p w14:paraId="2CFCD665" w14:textId="77777777" w:rsidR="00F33674" w:rsidRPr="00F33674" w:rsidRDefault="00F33674" w:rsidP="00F33674">
            <w:pPr>
              <w:jc w:val="left"/>
              <w:rPr>
                <w:rFonts w:ascii="Arial Narrow" w:hAnsi="Arial Narrow" w:cs="Calibri"/>
                <w:color w:val="000000"/>
                <w:sz w:val="20"/>
                <w:szCs w:val="20"/>
                <w:lang w:eastAsia="en-AU"/>
              </w:rPr>
            </w:pPr>
          </w:p>
        </w:tc>
        <w:tc>
          <w:tcPr>
            <w:tcW w:w="827" w:type="dxa"/>
          </w:tcPr>
          <w:p w14:paraId="7AB99EBB"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10746N</w:t>
            </w:r>
          </w:p>
        </w:tc>
        <w:tc>
          <w:tcPr>
            <w:tcW w:w="2693" w:type="dxa"/>
            <w:shd w:val="clear" w:color="auto" w:fill="auto"/>
            <w:noWrap/>
            <w:hideMark/>
          </w:tcPr>
          <w:p w14:paraId="3E0B550F"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Transdermal patch 40 mg</w:t>
            </w:r>
          </w:p>
        </w:tc>
        <w:tc>
          <w:tcPr>
            <w:tcW w:w="661" w:type="dxa"/>
            <w:shd w:val="clear" w:color="auto" w:fill="auto"/>
            <w:noWrap/>
            <w:hideMark/>
          </w:tcPr>
          <w:p w14:paraId="53CAF44B" w14:textId="77777777" w:rsidR="00F33674" w:rsidRPr="00F33674" w:rsidRDefault="00F33674" w:rsidP="00F33674">
            <w:pPr>
              <w:jc w:val="righ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2</w:t>
            </w:r>
          </w:p>
        </w:tc>
        <w:tc>
          <w:tcPr>
            <w:tcW w:w="871" w:type="dxa"/>
            <w:shd w:val="clear" w:color="auto" w:fill="auto"/>
            <w:noWrap/>
            <w:hideMark/>
          </w:tcPr>
          <w:p w14:paraId="2C0AC4E7" w14:textId="77777777" w:rsidR="00F33674" w:rsidRPr="00F33674" w:rsidRDefault="00F33674" w:rsidP="00F33674">
            <w:pPr>
              <w:jc w:val="righ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0</w:t>
            </w:r>
          </w:p>
        </w:tc>
        <w:tc>
          <w:tcPr>
            <w:tcW w:w="1569" w:type="dxa"/>
            <w:shd w:val="clear" w:color="auto" w:fill="auto"/>
            <w:noWrap/>
            <w:hideMark/>
          </w:tcPr>
          <w:p w14:paraId="34309BB9"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Norspan</w:t>
            </w:r>
          </w:p>
        </w:tc>
        <w:tc>
          <w:tcPr>
            <w:tcW w:w="1429" w:type="dxa"/>
            <w:shd w:val="clear" w:color="auto" w:fill="auto"/>
            <w:noWrap/>
            <w:hideMark/>
          </w:tcPr>
          <w:p w14:paraId="47D2DED3"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Mundipharma Pty Limited</w:t>
            </w:r>
          </w:p>
        </w:tc>
      </w:tr>
      <w:tr w:rsidR="00F33674" w:rsidRPr="00F33674" w14:paraId="520FFC67" w14:textId="77777777" w:rsidTr="00F33674">
        <w:trPr>
          <w:trHeight w:val="300"/>
        </w:trPr>
        <w:tc>
          <w:tcPr>
            <w:tcW w:w="1647" w:type="dxa"/>
            <w:shd w:val="clear" w:color="auto" w:fill="auto"/>
            <w:noWrap/>
          </w:tcPr>
          <w:p w14:paraId="486B1AFF" w14:textId="77777777" w:rsidR="00F33674" w:rsidRPr="00F33674" w:rsidRDefault="00F33674" w:rsidP="00F33674">
            <w:pPr>
              <w:jc w:val="left"/>
              <w:rPr>
                <w:rFonts w:ascii="Arial Narrow" w:hAnsi="Arial Narrow" w:cs="Calibri"/>
                <w:color w:val="000000"/>
                <w:sz w:val="20"/>
                <w:szCs w:val="20"/>
                <w:lang w:eastAsia="en-AU"/>
              </w:rPr>
            </w:pPr>
          </w:p>
        </w:tc>
        <w:tc>
          <w:tcPr>
            <w:tcW w:w="827" w:type="dxa"/>
          </w:tcPr>
          <w:p w14:paraId="4FF78D44"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8865N</w:t>
            </w:r>
          </w:p>
        </w:tc>
        <w:tc>
          <w:tcPr>
            <w:tcW w:w="2693" w:type="dxa"/>
            <w:vMerge w:val="restart"/>
            <w:shd w:val="clear" w:color="auto" w:fill="auto"/>
            <w:noWrap/>
            <w:hideMark/>
          </w:tcPr>
          <w:p w14:paraId="66F3415E"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Transdermal patch 5 mg</w:t>
            </w:r>
          </w:p>
        </w:tc>
        <w:tc>
          <w:tcPr>
            <w:tcW w:w="661" w:type="dxa"/>
            <w:shd w:val="clear" w:color="auto" w:fill="auto"/>
            <w:noWrap/>
            <w:hideMark/>
          </w:tcPr>
          <w:p w14:paraId="1D1FA0EC" w14:textId="77777777" w:rsidR="00F33674" w:rsidRPr="00F33674" w:rsidRDefault="00F33674" w:rsidP="00F33674">
            <w:pPr>
              <w:jc w:val="righ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2</w:t>
            </w:r>
          </w:p>
        </w:tc>
        <w:tc>
          <w:tcPr>
            <w:tcW w:w="871" w:type="dxa"/>
            <w:shd w:val="clear" w:color="auto" w:fill="auto"/>
            <w:noWrap/>
            <w:hideMark/>
          </w:tcPr>
          <w:p w14:paraId="616D352E" w14:textId="77777777" w:rsidR="00F33674" w:rsidRPr="00F33674" w:rsidRDefault="00F33674" w:rsidP="00F33674">
            <w:pPr>
              <w:jc w:val="righ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0</w:t>
            </w:r>
          </w:p>
        </w:tc>
        <w:tc>
          <w:tcPr>
            <w:tcW w:w="1569" w:type="dxa"/>
            <w:shd w:val="clear" w:color="auto" w:fill="auto"/>
            <w:noWrap/>
            <w:hideMark/>
          </w:tcPr>
          <w:p w14:paraId="359E0F70"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Bupredermal</w:t>
            </w:r>
          </w:p>
        </w:tc>
        <w:tc>
          <w:tcPr>
            <w:tcW w:w="1429" w:type="dxa"/>
            <w:shd w:val="clear" w:color="auto" w:fill="auto"/>
            <w:noWrap/>
            <w:hideMark/>
          </w:tcPr>
          <w:p w14:paraId="0BC2FA7B"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Apotex Pty Ltd</w:t>
            </w:r>
          </w:p>
        </w:tc>
      </w:tr>
      <w:tr w:rsidR="00F33674" w:rsidRPr="00F33674" w14:paraId="548DF82C" w14:textId="77777777" w:rsidTr="00F33674">
        <w:trPr>
          <w:trHeight w:val="300"/>
        </w:trPr>
        <w:tc>
          <w:tcPr>
            <w:tcW w:w="1647" w:type="dxa"/>
            <w:shd w:val="clear" w:color="auto" w:fill="auto"/>
            <w:noWrap/>
          </w:tcPr>
          <w:p w14:paraId="4A52CC57" w14:textId="77777777" w:rsidR="00F33674" w:rsidRPr="00F33674" w:rsidRDefault="00F33674" w:rsidP="00F33674">
            <w:pPr>
              <w:jc w:val="left"/>
              <w:rPr>
                <w:rFonts w:ascii="Arial Narrow" w:hAnsi="Arial Narrow" w:cs="Calibri"/>
                <w:color w:val="000000"/>
                <w:sz w:val="20"/>
                <w:szCs w:val="20"/>
                <w:lang w:eastAsia="en-AU"/>
              </w:rPr>
            </w:pPr>
          </w:p>
        </w:tc>
        <w:tc>
          <w:tcPr>
            <w:tcW w:w="827" w:type="dxa"/>
          </w:tcPr>
          <w:p w14:paraId="65760609" w14:textId="77777777" w:rsidR="00F33674" w:rsidRPr="00F33674" w:rsidRDefault="00F33674" w:rsidP="00F33674">
            <w:pPr>
              <w:jc w:val="left"/>
              <w:rPr>
                <w:rFonts w:ascii="Arial Narrow" w:hAnsi="Arial Narrow" w:cs="Calibri"/>
                <w:color w:val="000000"/>
                <w:sz w:val="20"/>
                <w:szCs w:val="20"/>
                <w:lang w:eastAsia="en-AU"/>
              </w:rPr>
            </w:pPr>
          </w:p>
        </w:tc>
        <w:tc>
          <w:tcPr>
            <w:tcW w:w="2693" w:type="dxa"/>
            <w:vMerge/>
            <w:shd w:val="clear" w:color="auto" w:fill="auto"/>
            <w:noWrap/>
          </w:tcPr>
          <w:p w14:paraId="7BD27EB4" w14:textId="77777777" w:rsidR="00F33674" w:rsidRPr="00F33674" w:rsidRDefault="00F33674" w:rsidP="00F33674">
            <w:pPr>
              <w:jc w:val="left"/>
              <w:rPr>
                <w:rFonts w:ascii="Arial Narrow" w:hAnsi="Arial Narrow" w:cs="Calibri"/>
                <w:color w:val="000000"/>
                <w:sz w:val="20"/>
                <w:szCs w:val="20"/>
                <w:lang w:eastAsia="en-AU"/>
              </w:rPr>
            </w:pPr>
          </w:p>
        </w:tc>
        <w:tc>
          <w:tcPr>
            <w:tcW w:w="661" w:type="dxa"/>
            <w:shd w:val="clear" w:color="auto" w:fill="auto"/>
            <w:noWrap/>
          </w:tcPr>
          <w:p w14:paraId="5553ADC2" w14:textId="77777777" w:rsidR="00F33674" w:rsidRPr="00F33674" w:rsidRDefault="00F33674" w:rsidP="00F33674">
            <w:pPr>
              <w:jc w:val="right"/>
              <w:rPr>
                <w:rFonts w:ascii="Arial Narrow" w:hAnsi="Arial Narrow" w:cs="Calibri"/>
                <w:color w:val="000000"/>
                <w:sz w:val="20"/>
                <w:szCs w:val="20"/>
                <w:lang w:eastAsia="en-AU"/>
              </w:rPr>
            </w:pPr>
          </w:p>
        </w:tc>
        <w:tc>
          <w:tcPr>
            <w:tcW w:w="871" w:type="dxa"/>
            <w:shd w:val="clear" w:color="auto" w:fill="auto"/>
            <w:noWrap/>
          </w:tcPr>
          <w:p w14:paraId="063DDAC0" w14:textId="77777777" w:rsidR="00F33674" w:rsidRPr="00F33674" w:rsidRDefault="00F33674" w:rsidP="00F33674">
            <w:pPr>
              <w:jc w:val="right"/>
              <w:rPr>
                <w:rFonts w:ascii="Arial Narrow" w:hAnsi="Arial Narrow" w:cs="Calibri"/>
                <w:color w:val="000000"/>
                <w:sz w:val="20"/>
                <w:szCs w:val="20"/>
                <w:lang w:eastAsia="en-AU"/>
              </w:rPr>
            </w:pPr>
          </w:p>
        </w:tc>
        <w:tc>
          <w:tcPr>
            <w:tcW w:w="1569" w:type="dxa"/>
            <w:shd w:val="clear" w:color="auto" w:fill="auto"/>
            <w:noWrap/>
            <w:hideMark/>
          </w:tcPr>
          <w:p w14:paraId="0DFDA11D"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Buprenorphine Sandoz</w:t>
            </w:r>
          </w:p>
        </w:tc>
        <w:tc>
          <w:tcPr>
            <w:tcW w:w="1429" w:type="dxa"/>
            <w:shd w:val="clear" w:color="auto" w:fill="auto"/>
            <w:noWrap/>
            <w:hideMark/>
          </w:tcPr>
          <w:p w14:paraId="561A9333"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Sandoz Pty Ltd</w:t>
            </w:r>
          </w:p>
        </w:tc>
      </w:tr>
      <w:tr w:rsidR="00F33674" w:rsidRPr="00F33674" w14:paraId="5792A3DF" w14:textId="77777777" w:rsidTr="00F33674">
        <w:trPr>
          <w:trHeight w:val="300"/>
        </w:trPr>
        <w:tc>
          <w:tcPr>
            <w:tcW w:w="1647" w:type="dxa"/>
            <w:shd w:val="clear" w:color="auto" w:fill="auto"/>
            <w:noWrap/>
          </w:tcPr>
          <w:p w14:paraId="6576985C" w14:textId="77777777" w:rsidR="00F33674" w:rsidRPr="00F33674" w:rsidRDefault="00F33674" w:rsidP="00F33674">
            <w:pPr>
              <w:jc w:val="left"/>
              <w:rPr>
                <w:rFonts w:ascii="Arial Narrow" w:hAnsi="Arial Narrow" w:cs="Calibri"/>
                <w:color w:val="000000"/>
                <w:sz w:val="20"/>
                <w:szCs w:val="20"/>
                <w:lang w:eastAsia="en-AU"/>
              </w:rPr>
            </w:pPr>
          </w:p>
        </w:tc>
        <w:tc>
          <w:tcPr>
            <w:tcW w:w="827" w:type="dxa"/>
          </w:tcPr>
          <w:p w14:paraId="11BFDC3D" w14:textId="77777777" w:rsidR="00F33674" w:rsidRPr="00F33674" w:rsidRDefault="00F33674" w:rsidP="00F33674">
            <w:pPr>
              <w:jc w:val="left"/>
              <w:rPr>
                <w:rFonts w:ascii="Arial Narrow" w:hAnsi="Arial Narrow" w:cs="Calibri"/>
                <w:color w:val="000000"/>
                <w:sz w:val="20"/>
                <w:szCs w:val="20"/>
                <w:lang w:eastAsia="en-AU"/>
              </w:rPr>
            </w:pPr>
          </w:p>
        </w:tc>
        <w:tc>
          <w:tcPr>
            <w:tcW w:w="2693" w:type="dxa"/>
            <w:vMerge/>
            <w:shd w:val="clear" w:color="auto" w:fill="auto"/>
            <w:noWrap/>
          </w:tcPr>
          <w:p w14:paraId="0870C956" w14:textId="77777777" w:rsidR="00F33674" w:rsidRPr="00F33674" w:rsidRDefault="00F33674" w:rsidP="00F33674">
            <w:pPr>
              <w:jc w:val="left"/>
              <w:rPr>
                <w:rFonts w:ascii="Arial Narrow" w:hAnsi="Arial Narrow" w:cs="Calibri"/>
                <w:color w:val="000000"/>
                <w:sz w:val="20"/>
                <w:szCs w:val="20"/>
                <w:lang w:eastAsia="en-AU"/>
              </w:rPr>
            </w:pPr>
          </w:p>
        </w:tc>
        <w:tc>
          <w:tcPr>
            <w:tcW w:w="661" w:type="dxa"/>
            <w:shd w:val="clear" w:color="auto" w:fill="auto"/>
            <w:noWrap/>
          </w:tcPr>
          <w:p w14:paraId="69E88C0E" w14:textId="77777777" w:rsidR="00F33674" w:rsidRPr="00F33674" w:rsidRDefault="00F33674" w:rsidP="00F33674">
            <w:pPr>
              <w:jc w:val="right"/>
              <w:rPr>
                <w:rFonts w:ascii="Arial Narrow" w:hAnsi="Arial Narrow" w:cs="Calibri"/>
                <w:color w:val="000000"/>
                <w:sz w:val="20"/>
                <w:szCs w:val="20"/>
                <w:lang w:eastAsia="en-AU"/>
              </w:rPr>
            </w:pPr>
          </w:p>
        </w:tc>
        <w:tc>
          <w:tcPr>
            <w:tcW w:w="871" w:type="dxa"/>
            <w:shd w:val="clear" w:color="auto" w:fill="auto"/>
            <w:noWrap/>
          </w:tcPr>
          <w:p w14:paraId="1951EE8C" w14:textId="77777777" w:rsidR="00F33674" w:rsidRPr="00F33674" w:rsidRDefault="00F33674" w:rsidP="00F33674">
            <w:pPr>
              <w:jc w:val="right"/>
              <w:rPr>
                <w:rFonts w:ascii="Arial Narrow" w:hAnsi="Arial Narrow" w:cs="Calibri"/>
                <w:color w:val="000000"/>
                <w:sz w:val="20"/>
                <w:szCs w:val="20"/>
                <w:lang w:eastAsia="en-AU"/>
              </w:rPr>
            </w:pPr>
          </w:p>
        </w:tc>
        <w:tc>
          <w:tcPr>
            <w:tcW w:w="1569" w:type="dxa"/>
            <w:shd w:val="clear" w:color="auto" w:fill="auto"/>
            <w:noWrap/>
            <w:hideMark/>
          </w:tcPr>
          <w:p w14:paraId="77393531"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Norspan</w:t>
            </w:r>
          </w:p>
        </w:tc>
        <w:tc>
          <w:tcPr>
            <w:tcW w:w="1429" w:type="dxa"/>
            <w:shd w:val="clear" w:color="auto" w:fill="auto"/>
            <w:noWrap/>
            <w:hideMark/>
          </w:tcPr>
          <w:p w14:paraId="68BA8BD0"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Mundipharma Pty Limited</w:t>
            </w:r>
          </w:p>
        </w:tc>
      </w:tr>
      <w:tr w:rsidR="00F33674" w:rsidRPr="00F33674" w14:paraId="1A21D42A" w14:textId="77777777" w:rsidTr="00F33674">
        <w:trPr>
          <w:trHeight w:val="300"/>
        </w:trPr>
        <w:tc>
          <w:tcPr>
            <w:tcW w:w="1647" w:type="dxa"/>
            <w:shd w:val="clear" w:color="auto" w:fill="auto"/>
            <w:noWrap/>
            <w:hideMark/>
          </w:tcPr>
          <w:p w14:paraId="2FA57EC6"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MORPHINE</w:t>
            </w:r>
          </w:p>
        </w:tc>
        <w:tc>
          <w:tcPr>
            <w:tcW w:w="827" w:type="dxa"/>
          </w:tcPr>
          <w:p w14:paraId="7AFD46D2"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8349K</w:t>
            </w:r>
          </w:p>
        </w:tc>
        <w:tc>
          <w:tcPr>
            <w:tcW w:w="2693" w:type="dxa"/>
            <w:shd w:val="clear" w:color="auto" w:fill="auto"/>
            <w:noWrap/>
            <w:hideMark/>
          </w:tcPr>
          <w:p w14:paraId="6192DEC6"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Capsule containing morphine sulfate pentahydrate 10 mg (containing sustained release pellets)</w:t>
            </w:r>
          </w:p>
        </w:tc>
        <w:tc>
          <w:tcPr>
            <w:tcW w:w="661" w:type="dxa"/>
            <w:shd w:val="clear" w:color="auto" w:fill="auto"/>
            <w:noWrap/>
            <w:hideMark/>
          </w:tcPr>
          <w:p w14:paraId="5A792EC4" w14:textId="77777777" w:rsidR="00F33674" w:rsidRPr="00F33674" w:rsidRDefault="00F33674" w:rsidP="00F33674">
            <w:pPr>
              <w:jc w:val="righ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28</w:t>
            </w:r>
          </w:p>
        </w:tc>
        <w:tc>
          <w:tcPr>
            <w:tcW w:w="871" w:type="dxa"/>
            <w:shd w:val="clear" w:color="auto" w:fill="auto"/>
            <w:noWrap/>
            <w:hideMark/>
          </w:tcPr>
          <w:p w14:paraId="7603F110" w14:textId="77777777" w:rsidR="00F33674" w:rsidRPr="00F33674" w:rsidRDefault="00F33674" w:rsidP="00F33674">
            <w:pPr>
              <w:jc w:val="righ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0</w:t>
            </w:r>
          </w:p>
        </w:tc>
        <w:tc>
          <w:tcPr>
            <w:tcW w:w="1569" w:type="dxa"/>
            <w:shd w:val="clear" w:color="auto" w:fill="auto"/>
            <w:noWrap/>
            <w:hideMark/>
          </w:tcPr>
          <w:p w14:paraId="1043E72E"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Kapanol</w:t>
            </w:r>
          </w:p>
        </w:tc>
        <w:tc>
          <w:tcPr>
            <w:tcW w:w="1429" w:type="dxa"/>
            <w:shd w:val="clear" w:color="auto" w:fill="auto"/>
            <w:noWrap/>
            <w:hideMark/>
          </w:tcPr>
          <w:p w14:paraId="180886A3"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Mayne Pharma International Pty Ltd</w:t>
            </w:r>
          </w:p>
        </w:tc>
      </w:tr>
      <w:tr w:rsidR="00F33674" w:rsidRPr="00F33674" w14:paraId="275D5839" w14:textId="77777777" w:rsidTr="00F33674">
        <w:trPr>
          <w:trHeight w:val="300"/>
        </w:trPr>
        <w:tc>
          <w:tcPr>
            <w:tcW w:w="1647" w:type="dxa"/>
            <w:shd w:val="clear" w:color="auto" w:fill="auto"/>
            <w:noWrap/>
          </w:tcPr>
          <w:p w14:paraId="1ED50489" w14:textId="77777777" w:rsidR="00F33674" w:rsidRPr="00F33674" w:rsidRDefault="00F33674" w:rsidP="00F33674">
            <w:pPr>
              <w:jc w:val="left"/>
              <w:rPr>
                <w:rFonts w:ascii="Arial Narrow" w:hAnsi="Arial Narrow" w:cs="Calibri"/>
                <w:color w:val="000000"/>
                <w:sz w:val="20"/>
                <w:szCs w:val="20"/>
                <w:lang w:eastAsia="en-AU"/>
              </w:rPr>
            </w:pPr>
          </w:p>
        </w:tc>
        <w:tc>
          <w:tcPr>
            <w:tcW w:w="827" w:type="dxa"/>
          </w:tcPr>
          <w:p w14:paraId="6D1BB4DD"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2841M</w:t>
            </w:r>
          </w:p>
        </w:tc>
        <w:tc>
          <w:tcPr>
            <w:tcW w:w="2693" w:type="dxa"/>
            <w:shd w:val="clear" w:color="auto" w:fill="auto"/>
            <w:noWrap/>
            <w:hideMark/>
          </w:tcPr>
          <w:p w14:paraId="5AF66BDC"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Capsule containing morphine sulfate pentahydrate 100 mg (containing sustained release pellets)</w:t>
            </w:r>
          </w:p>
        </w:tc>
        <w:tc>
          <w:tcPr>
            <w:tcW w:w="661" w:type="dxa"/>
            <w:shd w:val="clear" w:color="auto" w:fill="auto"/>
            <w:noWrap/>
            <w:hideMark/>
          </w:tcPr>
          <w:p w14:paraId="3A94AE37" w14:textId="77777777" w:rsidR="00F33674" w:rsidRPr="00F33674" w:rsidRDefault="00F33674" w:rsidP="00F33674">
            <w:pPr>
              <w:jc w:val="righ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28</w:t>
            </w:r>
          </w:p>
        </w:tc>
        <w:tc>
          <w:tcPr>
            <w:tcW w:w="871" w:type="dxa"/>
            <w:shd w:val="clear" w:color="auto" w:fill="auto"/>
            <w:noWrap/>
            <w:hideMark/>
          </w:tcPr>
          <w:p w14:paraId="74EC3EE8" w14:textId="77777777" w:rsidR="00F33674" w:rsidRPr="00F33674" w:rsidRDefault="00F33674" w:rsidP="00F33674">
            <w:pPr>
              <w:jc w:val="righ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0</w:t>
            </w:r>
          </w:p>
        </w:tc>
        <w:tc>
          <w:tcPr>
            <w:tcW w:w="1569" w:type="dxa"/>
            <w:shd w:val="clear" w:color="auto" w:fill="auto"/>
            <w:noWrap/>
            <w:hideMark/>
          </w:tcPr>
          <w:p w14:paraId="26363CB3"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Kapanol</w:t>
            </w:r>
          </w:p>
        </w:tc>
        <w:tc>
          <w:tcPr>
            <w:tcW w:w="1429" w:type="dxa"/>
            <w:shd w:val="clear" w:color="auto" w:fill="auto"/>
            <w:noWrap/>
            <w:hideMark/>
          </w:tcPr>
          <w:p w14:paraId="09C36098"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Mayne Pharma International Pty Ltd</w:t>
            </w:r>
          </w:p>
        </w:tc>
      </w:tr>
      <w:tr w:rsidR="00F33674" w:rsidRPr="00F33674" w14:paraId="662F5F1D" w14:textId="77777777" w:rsidTr="00F33674">
        <w:trPr>
          <w:trHeight w:val="300"/>
        </w:trPr>
        <w:tc>
          <w:tcPr>
            <w:tcW w:w="1647" w:type="dxa"/>
            <w:shd w:val="clear" w:color="auto" w:fill="auto"/>
            <w:noWrap/>
          </w:tcPr>
          <w:p w14:paraId="430E549B" w14:textId="77777777" w:rsidR="00F33674" w:rsidRPr="00F33674" w:rsidRDefault="00F33674" w:rsidP="00F33674">
            <w:pPr>
              <w:jc w:val="left"/>
              <w:rPr>
                <w:rFonts w:ascii="Arial Narrow" w:hAnsi="Arial Narrow" w:cs="Calibri"/>
                <w:color w:val="000000"/>
                <w:sz w:val="20"/>
                <w:szCs w:val="20"/>
                <w:lang w:eastAsia="en-AU"/>
              </w:rPr>
            </w:pPr>
          </w:p>
        </w:tc>
        <w:tc>
          <w:tcPr>
            <w:tcW w:w="827" w:type="dxa"/>
          </w:tcPr>
          <w:p w14:paraId="17D0863E"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8494C</w:t>
            </w:r>
          </w:p>
        </w:tc>
        <w:tc>
          <w:tcPr>
            <w:tcW w:w="2693" w:type="dxa"/>
            <w:shd w:val="clear" w:color="auto" w:fill="auto"/>
            <w:noWrap/>
            <w:hideMark/>
          </w:tcPr>
          <w:p w14:paraId="35BABA63"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Capsule containing morphine sulfate pentahydrate 120 mg (controlled release)</w:t>
            </w:r>
          </w:p>
        </w:tc>
        <w:tc>
          <w:tcPr>
            <w:tcW w:w="661" w:type="dxa"/>
            <w:shd w:val="clear" w:color="auto" w:fill="auto"/>
            <w:noWrap/>
            <w:hideMark/>
          </w:tcPr>
          <w:p w14:paraId="578D34D7" w14:textId="77777777" w:rsidR="00F33674" w:rsidRPr="00F33674" w:rsidRDefault="00F33674" w:rsidP="00F33674">
            <w:pPr>
              <w:jc w:val="righ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14</w:t>
            </w:r>
          </w:p>
        </w:tc>
        <w:tc>
          <w:tcPr>
            <w:tcW w:w="871" w:type="dxa"/>
            <w:shd w:val="clear" w:color="auto" w:fill="auto"/>
            <w:noWrap/>
            <w:hideMark/>
          </w:tcPr>
          <w:p w14:paraId="5F3103E1" w14:textId="77777777" w:rsidR="00F33674" w:rsidRPr="00F33674" w:rsidRDefault="00F33674" w:rsidP="00F33674">
            <w:pPr>
              <w:jc w:val="righ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0</w:t>
            </w:r>
          </w:p>
        </w:tc>
        <w:tc>
          <w:tcPr>
            <w:tcW w:w="1569" w:type="dxa"/>
            <w:shd w:val="clear" w:color="auto" w:fill="auto"/>
            <w:noWrap/>
            <w:hideMark/>
          </w:tcPr>
          <w:p w14:paraId="766EBE87"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MS Mono</w:t>
            </w:r>
          </w:p>
        </w:tc>
        <w:tc>
          <w:tcPr>
            <w:tcW w:w="1429" w:type="dxa"/>
            <w:shd w:val="clear" w:color="auto" w:fill="auto"/>
            <w:noWrap/>
            <w:hideMark/>
          </w:tcPr>
          <w:p w14:paraId="1190418C"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Mundipharma Pty Limited</w:t>
            </w:r>
          </w:p>
        </w:tc>
      </w:tr>
      <w:tr w:rsidR="00F33674" w:rsidRPr="00F33674" w14:paraId="540CB023" w14:textId="77777777" w:rsidTr="00F33674">
        <w:trPr>
          <w:trHeight w:val="300"/>
        </w:trPr>
        <w:tc>
          <w:tcPr>
            <w:tcW w:w="1647" w:type="dxa"/>
            <w:shd w:val="clear" w:color="auto" w:fill="auto"/>
            <w:noWrap/>
          </w:tcPr>
          <w:p w14:paraId="4260D1C6" w14:textId="77777777" w:rsidR="00F33674" w:rsidRPr="00F33674" w:rsidRDefault="00F33674" w:rsidP="00F33674">
            <w:pPr>
              <w:jc w:val="left"/>
              <w:rPr>
                <w:rFonts w:ascii="Arial Narrow" w:hAnsi="Arial Narrow" w:cs="Calibri"/>
                <w:color w:val="000000"/>
                <w:sz w:val="20"/>
                <w:szCs w:val="20"/>
                <w:lang w:eastAsia="en-AU"/>
              </w:rPr>
            </w:pPr>
          </w:p>
        </w:tc>
        <w:tc>
          <w:tcPr>
            <w:tcW w:w="827" w:type="dxa"/>
          </w:tcPr>
          <w:p w14:paraId="175C6489"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2839K</w:t>
            </w:r>
          </w:p>
        </w:tc>
        <w:tc>
          <w:tcPr>
            <w:tcW w:w="2693" w:type="dxa"/>
            <w:shd w:val="clear" w:color="auto" w:fill="auto"/>
            <w:noWrap/>
            <w:hideMark/>
          </w:tcPr>
          <w:p w14:paraId="4E8999CF"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Capsule containing morphine sulfate pentahydrate 20 mg (containing sustained release pellets)</w:t>
            </w:r>
          </w:p>
        </w:tc>
        <w:tc>
          <w:tcPr>
            <w:tcW w:w="661" w:type="dxa"/>
            <w:shd w:val="clear" w:color="auto" w:fill="auto"/>
            <w:noWrap/>
            <w:hideMark/>
          </w:tcPr>
          <w:p w14:paraId="0FDE8354" w14:textId="77777777" w:rsidR="00F33674" w:rsidRPr="00F33674" w:rsidRDefault="00F33674" w:rsidP="00F33674">
            <w:pPr>
              <w:jc w:val="righ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28</w:t>
            </w:r>
          </w:p>
        </w:tc>
        <w:tc>
          <w:tcPr>
            <w:tcW w:w="871" w:type="dxa"/>
            <w:shd w:val="clear" w:color="auto" w:fill="auto"/>
            <w:noWrap/>
            <w:hideMark/>
          </w:tcPr>
          <w:p w14:paraId="6660DAEC" w14:textId="77777777" w:rsidR="00F33674" w:rsidRPr="00F33674" w:rsidRDefault="00F33674" w:rsidP="00F33674">
            <w:pPr>
              <w:jc w:val="righ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0</w:t>
            </w:r>
          </w:p>
        </w:tc>
        <w:tc>
          <w:tcPr>
            <w:tcW w:w="1569" w:type="dxa"/>
            <w:shd w:val="clear" w:color="auto" w:fill="auto"/>
            <w:noWrap/>
            <w:hideMark/>
          </w:tcPr>
          <w:p w14:paraId="2CBB6C6C"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Kapanol</w:t>
            </w:r>
          </w:p>
        </w:tc>
        <w:tc>
          <w:tcPr>
            <w:tcW w:w="1429" w:type="dxa"/>
            <w:shd w:val="clear" w:color="auto" w:fill="auto"/>
            <w:noWrap/>
            <w:hideMark/>
          </w:tcPr>
          <w:p w14:paraId="2D3B3929"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Mayne Pharma International Pty Ltd</w:t>
            </w:r>
          </w:p>
        </w:tc>
      </w:tr>
      <w:tr w:rsidR="00F33674" w:rsidRPr="00F33674" w14:paraId="309F575D" w14:textId="77777777" w:rsidTr="00F33674">
        <w:trPr>
          <w:trHeight w:val="300"/>
        </w:trPr>
        <w:tc>
          <w:tcPr>
            <w:tcW w:w="1647" w:type="dxa"/>
            <w:shd w:val="clear" w:color="auto" w:fill="auto"/>
            <w:noWrap/>
          </w:tcPr>
          <w:p w14:paraId="05CE0B2E" w14:textId="77777777" w:rsidR="00F33674" w:rsidRPr="00F33674" w:rsidRDefault="00F33674" w:rsidP="00F33674">
            <w:pPr>
              <w:jc w:val="left"/>
              <w:rPr>
                <w:rFonts w:ascii="Arial Narrow" w:hAnsi="Arial Narrow" w:cs="Calibri"/>
                <w:color w:val="000000"/>
                <w:sz w:val="20"/>
                <w:szCs w:val="20"/>
                <w:lang w:eastAsia="en-AU"/>
              </w:rPr>
            </w:pPr>
          </w:p>
        </w:tc>
        <w:tc>
          <w:tcPr>
            <w:tcW w:w="827" w:type="dxa"/>
          </w:tcPr>
          <w:p w14:paraId="4C8F9CBB"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8491X</w:t>
            </w:r>
          </w:p>
        </w:tc>
        <w:tc>
          <w:tcPr>
            <w:tcW w:w="2693" w:type="dxa"/>
            <w:shd w:val="clear" w:color="auto" w:fill="auto"/>
            <w:noWrap/>
            <w:hideMark/>
          </w:tcPr>
          <w:p w14:paraId="3C7C948A"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Capsule containing morphine sulfate pentahydrate 30 mg (controlled release)</w:t>
            </w:r>
          </w:p>
        </w:tc>
        <w:tc>
          <w:tcPr>
            <w:tcW w:w="661" w:type="dxa"/>
            <w:shd w:val="clear" w:color="auto" w:fill="auto"/>
            <w:noWrap/>
            <w:hideMark/>
          </w:tcPr>
          <w:p w14:paraId="125B4D79" w14:textId="77777777" w:rsidR="00F33674" w:rsidRPr="00F33674" w:rsidRDefault="00F33674" w:rsidP="00F33674">
            <w:pPr>
              <w:jc w:val="righ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14</w:t>
            </w:r>
          </w:p>
        </w:tc>
        <w:tc>
          <w:tcPr>
            <w:tcW w:w="871" w:type="dxa"/>
            <w:shd w:val="clear" w:color="auto" w:fill="auto"/>
            <w:noWrap/>
            <w:hideMark/>
          </w:tcPr>
          <w:p w14:paraId="53B7DE8B" w14:textId="77777777" w:rsidR="00F33674" w:rsidRPr="00F33674" w:rsidRDefault="00F33674" w:rsidP="00F33674">
            <w:pPr>
              <w:jc w:val="righ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0</w:t>
            </w:r>
          </w:p>
        </w:tc>
        <w:tc>
          <w:tcPr>
            <w:tcW w:w="1569" w:type="dxa"/>
            <w:shd w:val="clear" w:color="auto" w:fill="auto"/>
            <w:noWrap/>
            <w:hideMark/>
          </w:tcPr>
          <w:p w14:paraId="4FE14E31"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MS Mono</w:t>
            </w:r>
          </w:p>
        </w:tc>
        <w:tc>
          <w:tcPr>
            <w:tcW w:w="1429" w:type="dxa"/>
            <w:shd w:val="clear" w:color="auto" w:fill="auto"/>
            <w:noWrap/>
            <w:hideMark/>
          </w:tcPr>
          <w:p w14:paraId="11818386"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Mundipharma Pty Limited</w:t>
            </w:r>
          </w:p>
        </w:tc>
      </w:tr>
      <w:tr w:rsidR="00F33674" w:rsidRPr="00F33674" w14:paraId="3866AE67" w14:textId="77777777" w:rsidTr="00F33674">
        <w:trPr>
          <w:trHeight w:val="300"/>
        </w:trPr>
        <w:tc>
          <w:tcPr>
            <w:tcW w:w="1647" w:type="dxa"/>
            <w:shd w:val="clear" w:color="auto" w:fill="auto"/>
            <w:noWrap/>
          </w:tcPr>
          <w:p w14:paraId="6BE760A7" w14:textId="77777777" w:rsidR="00F33674" w:rsidRPr="00F33674" w:rsidRDefault="00F33674" w:rsidP="00F33674">
            <w:pPr>
              <w:jc w:val="left"/>
              <w:rPr>
                <w:rFonts w:ascii="Arial Narrow" w:hAnsi="Arial Narrow" w:cs="Calibri"/>
                <w:color w:val="000000"/>
                <w:sz w:val="20"/>
                <w:szCs w:val="20"/>
                <w:lang w:eastAsia="en-AU"/>
              </w:rPr>
            </w:pPr>
          </w:p>
        </w:tc>
        <w:tc>
          <w:tcPr>
            <w:tcW w:w="827" w:type="dxa"/>
          </w:tcPr>
          <w:p w14:paraId="2673C6A7"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2840L</w:t>
            </w:r>
          </w:p>
        </w:tc>
        <w:tc>
          <w:tcPr>
            <w:tcW w:w="2693" w:type="dxa"/>
            <w:shd w:val="clear" w:color="auto" w:fill="auto"/>
            <w:noWrap/>
            <w:hideMark/>
          </w:tcPr>
          <w:p w14:paraId="4298C25E"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Capsule containing morphine sulfate pentahydrate 50 mg (containing sustained release pellets)</w:t>
            </w:r>
          </w:p>
        </w:tc>
        <w:tc>
          <w:tcPr>
            <w:tcW w:w="661" w:type="dxa"/>
            <w:shd w:val="clear" w:color="auto" w:fill="auto"/>
            <w:noWrap/>
            <w:hideMark/>
          </w:tcPr>
          <w:p w14:paraId="796577D9" w14:textId="77777777" w:rsidR="00F33674" w:rsidRPr="00F33674" w:rsidRDefault="00F33674" w:rsidP="00F33674">
            <w:pPr>
              <w:jc w:val="righ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28</w:t>
            </w:r>
          </w:p>
        </w:tc>
        <w:tc>
          <w:tcPr>
            <w:tcW w:w="871" w:type="dxa"/>
            <w:shd w:val="clear" w:color="auto" w:fill="auto"/>
            <w:noWrap/>
            <w:hideMark/>
          </w:tcPr>
          <w:p w14:paraId="44B3A8A8" w14:textId="77777777" w:rsidR="00F33674" w:rsidRPr="00F33674" w:rsidRDefault="00F33674" w:rsidP="00F33674">
            <w:pPr>
              <w:jc w:val="righ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0</w:t>
            </w:r>
          </w:p>
        </w:tc>
        <w:tc>
          <w:tcPr>
            <w:tcW w:w="1569" w:type="dxa"/>
            <w:shd w:val="clear" w:color="auto" w:fill="auto"/>
            <w:noWrap/>
            <w:hideMark/>
          </w:tcPr>
          <w:p w14:paraId="3B5A135E"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Kapanol</w:t>
            </w:r>
          </w:p>
        </w:tc>
        <w:tc>
          <w:tcPr>
            <w:tcW w:w="1429" w:type="dxa"/>
            <w:shd w:val="clear" w:color="auto" w:fill="auto"/>
            <w:noWrap/>
            <w:hideMark/>
          </w:tcPr>
          <w:p w14:paraId="09A5CAED"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Mayne Pharma International Pty Ltd</w:t>
            </w:r>
          </w:p>
        </w:tc>
      </w:tr>
      <w:tr w:rsidR="00F33674" w:rsidRPr="00F33674" w14:paraId="1E21EDAC" w14:textId="77777777" w:rsidTr="00F33674">
        <w:trPr>
          <w:trHeight w:val="300"/>
        </w:trPr>
        <w:tc>
          <w:tcPr>
            <w:tcW w:w="1647" w:type="dxa"/>
            <w:shd w:val="clear" w:color="auto" w:fill="auto"/>
            <w:noWrap/>
          </w:tcPr>
          <w:p w14:paraId="563D8A1F" w14:textId="77777777" w:rsidR="00F33674" w:rsidRPr="00F33674" w:rsidRDefault="00F33674" w:rsidP="00F33674">
            <w:pPr>
              <w:jc w:val="left"/>
              <w:rPr>
                <w:rFonts w:ascii="Arial Narrow" w:hAnsi="Arial Narrow" w:cs="Calibri"/>
                <w:color w:val="000000"/>
                <w:sz w:val="20"/>
                <w:szCs w:val="20"/>
                <w:lang w:eastAsia="en-AU"/>
              </w:rPr>
            </w:pPr>
          </w:p>
        </w:tc>
        <w:tc>
          <w:tcPr>
            <w:tcW w:w="827" w:type="dxa"/>
          </w:tcPr>
          <w:p w14:paraId="11E8A5E6"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8492Y</w:t>
            </w:r>
          </w:p>
        </w:tc>
        <w:tc>
          <w:tcPr>
            <w:tcW w:w="2693" w:type="dxa"/>
            <w:shd w:val="clear" w:color="auto" w:fill="auto"/>
            <w:noWrap/>
            <w:hideMark/>
          </w:tcPr>
          <w:p w14:paraId="25312BD8"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Capsule containing morphine sulfate pentahydrate 60 mg (controlled release)</w:t>
            </w:r>
          </w:p>
        </w:tc>
        <w:tc>
          <w:tcPr>
            <w:tcW w:w="661" w:type="dxa"/>
            <w:shd w:val="clear" w:color="auto" w:fill="auto"/>
            <w:noWrap/>
            <w:hideMark/>
          </w:tcPr>
          <w:p w14:paraId="6A6BB54A" w14:textId="77777777" w:rsidR="00F33674" w:rsidRPr="00F33674" w:rsidRDefault="00F33674" w:rsidP="00F33674">
            <w:pPr>
              <w:jc w:val="righ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14</w:t>
            </w:r>
          </w:p>
        </w:tc>
        <w:tc>
          <w:tcPr>
            <w:tcW w:w="871" w:type="dxa"/>
            <w:shd w:val="clear" w:color="auto" w:fill="auto"/>
            <w:noWrap/>
            <w:hideMark/>
          </w:tcPr>
          <w:p w14:paraId="4116BE16" w14:textId="77777777" w:rsidR="00F33674" w:rsidRPr="00F33674" w:rsidRDefault="00F33674" w:rsidP="00F33674">
            <w:pPr>
              <w:jc w:val="righ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0</w:t>
            </w:r>
          </w:p>
        </w:tc>
        <w:tc>
          <w:tcPr>
            <w:tcW w:w="1569" w:type="dxa"/>
            <w:shd w:val="clear" w:color="auto" w:fill="auto"/>
            <w:noWrap/>
            <w:hideMark/>
          </w:tcPr>
          <w:p w14:paraId="2087228B"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MS Mono</w:t>
            </w:r>
          </w:p>
        </w:tc>
        <w:tc>
          <w:tcPr>
            <w:tcW w:w="1429" w:type="dxa"/>
            <w:shd w:val="clear" w:color="auto" w:fill="auto"/>
            <w:noWrap/>
            <w:hideMark/>
          </w:tcPr>
          <w:p w14:paraId="7B44EC15"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Mundipharma Pty Limited</w:t>
            </w:r>
          </w:p>
        </w:tc>
      </w:tr>
      <w:tr w:rsidR="00F33674" w:rsidRPr="00F33674" w14:paraId="20F66496" w14:textId="77777777" w:rsidTr="00F33674">
        <w:trPr>
          <w:trHeight w:val="300"/>
        </w:trPr>
        <w:tc>
          <w:tcPr>
            <w:tcW w:w="1647" w:type="dxa"/>
            <w:shd w:val="clear" w:color="auto" w:fill="auto"/>
            <w:noWrap/>
          </w:tcPr>
          <w:p w14:paraId="16A7A5B2" w14:textId="77777777" w:rsidR="00F33674" w:rsidRPr="00F33674" w:rsidRDefault="00F33674" w:rsidP="00F33674">
            <w:pPr>
              <w:jc w:val="left"/>
              <w:rPr>
                <w:rFonts w:ascii="Arial Narrow" w:hAnsi="Arial Narrow" w:cs="Calibri"/>
                <w:color w:val="000000"/>
                <w:sz w:val="20"/>
                <w:szCs w:val="20"/>
                <w:lang w:eastAsia="en-AU"/>
              </w:rPr>
            </w:pPr>
          </w:p>
        </w:tc>
        <w:tc>
          <w:tcPr>
            <w:tcW w:w="827" w:type="dxa"/>
          </w:tcPr>
          <w:p w14:paraId="388C58B5"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8493B</w:t>
            </w:r>
          </w:p>
        </w:tc>
        <w:tc>
          <w:tcPr>
            <w:tcW w:w="2693" w:type="dxa"/>
            <w:shd w:val="clear" w:color="auto" w:fill="auto"/>
            <w:noWrap/>
            <w:hideMark/>
          </w:tcPr>
          <w:p w14:paraId="7B33F6AF"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Capsule containing morphine sulfate pentahydrate 90 mg (controlled release)</w:t>
            </w:r>
          </w:p>
        </w:tc>
        <w:tc>
          <w:tcPr>
            <w:tcW w:w="661" w:type="dxa"/>
            <w:shd w:val="clear" w:color="auto" w:fill="auto"/>
            <w:noWrap/>
            <w:hideMark/>
          </w:tcPr>
          <w:p w14:paraId="138B9D19" w14:textId="77777777" w:rsidR="00F33674" w:rsidRPr="00F33674" w:rsidRDefault="00F33674" w:rsidP="00F33674">
            <w:pPr>
              <w:jc w:val="righ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14</w:t>
            </w:r>
          </w:p>
        </w:tc>
        <w:tc>
          <w:tcPr>
            <w:tcW w:w="871" w:type="dxa"/>
            <w:shd w:val="clear" w:color="auto" w:fill="auto"/>
            <w:noWrap/>
            <w:hideMark/>
          </w:tcPr>
          <w:p w14:paraId="6E1695EE" w14:textId="77777777" w:rsidR="00F33674" w:rsidRPr="00F33674" w:rsidRDefault="00F33674" w:rsidP="00F33674">
            <w:pPr>
              <w:jc w:val="righ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0</w:t>
            </w:r>
          </w:p>
        </w:tc>
        <w:tc>
          <w:tcPr>
            <w:tcW w:w="1569" w:type="dxa"/>
            <w:shd w:val="clear" w:color="auto" w:fill="auto"/>
            <w:noWrap/>
            <w:hideMark/>
          </w:tcPr>
          <w:p w14:paraId="7382C118"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MS Mono</w:t>
            </w:r>
          </w:p>
        </w:tc>
        <w:tc>
          <w:tcPr>
            <w:tcW w:w="1429" w:type="dxa"/>
            <w:shd w:val="clear" w:color="auto" w:fill="auto"/>
            <w:noWrap/>
            <w:hideMark/>
          </w:tcPr>
          <w:p w14:paraId="7A36BCD0"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Mundipharma Pty Limited</w:t>
            </w:r>
          </w:p>
        </w:tc>
      </w:tr>
      <w:tr w:rsidR="00F33674" w:rsidRPr="00F33674" w14:paraId="6B67575E" w14:textId="77777777" w:rsidTr="00F33674">
        <w:trPr>
          <w:trHeight w:val="300"/>
        </w:trPr>
        <w:tc>
          <w:tcPr>
            <w:tcW w:w="1647" w:type="dxa"/>
            <w:shd w:val="clear" w:color="auto" w:fill="auto"/>
            <w:noWrap/>
          </w:tcPr>
          <w:p w14:paraId="277D8D0F" w14:textId="77777777" w:rsidR="00F33674" w:rsidRPr="00F33674" w:rsidRDefault="00F33674" w:rsidP="00F33674">
            <w:pPr>
              <w:jc w:val="left"/>
              <w:rPr>
                <w:rFonts w:ascii="Arial Narrow" w:hAnsi="Arial Narrow" w:cs="Calibri"/>
                <w:color w:val="000000"/>
                <w:sz w:val="20"/>
                <w:szCs w:val="20"/>
                <w:lang w:eastAsia="en-AU"/>
              </w:rPr>
            </w:pPr>
          </w:p>
        </w:tc>
        <w:tc>
          <w:tcPr>
            <w:tcW w:w="827" w:type="dxa"/>
          </w:tcPr>
          <w:p w14:paraId="169945A1"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8306E</w:t>
            </w:r>
          </w:p>
        </w:tc>
        <w:tc>
          <w:tcPr>
            <w:tcW w:w="2693" w:type="dxa"/>
            <w:shd w:val="clear" w:color="auto" w:fill="auto"/>
            <w:noWrap/>
            <w:hideMark/>
          </w:tcPr>
          <w:p w14:paraId="1110E86A"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Sachet containing controlled release granules for oral suspension, containing morphine sulfate pentahydrate 100 mg per sachet</w:t>
            </w:r>
          </w:p>
        </w:tc>
        <w:tc>
          <w:tcPr>
            <w:tcW w:w="661" w:type="dxa"/>
            <w:shd w:val="clear" w:color="auto" w:fill="auto"/>
            <w:noWrap/>
            <w:hideMark/>
          </w:tcPr>
          <w:p w14:paraId="50B0E374" w14:textId="77777777" w:rsidR="00F33674" w:rsidRPr="00F33674" w:rsidRDefault="00F33674" w:rsidP="00F33674">
            <w:pPr>
              <w:jc w:val="righ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28</w:t>
            </w:r>
          </w:p>
        </w:tc>
        <w:tc>
          <w:tcPr>
            <w:tcW w:w="871" w:type="dxa"/>
            <w:shd w:val="clear" w:color="auto" w:fill="auto"/>
            <w:noWrap/>
            <w:hideMark/>
          </w:tcPr>
          <w:p w14:paraId="2D12B4C8" w14:textId="77777777" w:rsidR="00F33674" w:rsidRPr="00F33674" w:rsidRDefault="00F33674" w:rsidP="00F33674">
            <w:pPr>
              <w:jc w:val="righ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0</w:t>
            </w:r>
          </w:p>
        </w:tc>
        <w:tc>
          <w:tcPr>
            <w:tcW w:w="1569" w:type="dxa"/>
            <w:shd w:val="clear" w:color="auto" w:fill="auto"/>
            <w:noWrap/>
            <w:hideMark/>
          </w:tcPr>
          <w:p w14:paraId="41AE15C0"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MS Contin Suspension 100 mg</w:t>
            </w:r>
          </w:p>
        </w:tc>
        <w:tc>
          <w:tcPr>
            <w:tcW w:w="1429" w:type="dxa"/>
            <w:shd w:val="clear" w:color="auto" w:fill="auto"/>
            <w:noWrap/>
            <w:hideMark/>
          </w:tcPr>
          <w:p w14:paraId="4E855053"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Mundipharma Pty Limited</w:t>
            </w:r>
          </w:p>
        </w:tc>
      </w:tr>
      <w:tr w:rsidR="00F33674" w:rsidRPr="00F33674" w14:paraId="0B3BF09B" w14:textId="77777777" w:rsidTr="00F33674">
        <w:trPr>
          <w:trHeight w:val="300"/>
        </w:trPr>
        <w:tc>
          <w:tcPr>
            <w:tcW w:w="1647" w:type="dxa"/>
            <w:shd w:val="clear" w:color="auto" w:fill="auto"/>
            <w:noWrap/>
          </w:tcPr>
          <w:p w14:paraId="768F9B78" w14:textId="77777777" w:rsidR="00F33674" w:rsidRPr="00F33674" w:rsidRDefault="00F33674" w:rsidP="00F33674">
            <w:pPr>
              <w:jc w:val="left"/>
              <w:rPr>
                <w:rFonts w:ascii="Arial Narrow" w:hAnsi="Arial Narrow" w:cs="Calibri"/>
                <w:color w:val="000000"/>
                <w:sz w:val="20"/>
                <w:szCs w:val="20"/>
                <w:lang w:eastAsia="en-AU"/>
              </w:rPr>
            </w:pPr>
          </w:p>
        </w:tc>
        <w:tc>
          <w:tcPr>
            <w:tcW w:w="827" w:type="dxa"/>
          </w:tcPr>
          <w:p w14:paraId="7E4C4134"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8490W</w:t>
            </w:r>
          </w:p>
        </w:tc>
        <w:tc>
          <w:tcPr>
            <w:tcW w:w="2693" w:type="dxa"/>
            <w:shd w:val="clear" w:color="auto" w:fill="auto"/>
            <w:noWrap/>
            <w:hideMark/>
          </w:tcPr>
          <w:p w14:paraId="4E6E5669"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Sachet containing controlled release granules for oral suspension, containing morphine sulfate pentahydrate 20 mg per sachet</w:t>
            </w:r>
          </w:p>
        </w:tc>
        <w:tc>
          <w:tcPr>
            <w:tcW w:w="661" w:type="dxa"/>
            <w:shd w:val="clear" w:color="auto" w:fill="auto"/>
            <w:noWrap/>
            <w:hideMark/>
          </w:tcPr>
          <w:p w14:paraId="79F5D0FC" w14:textId="77777777" w:rsidR="00F33674" w:rsidRPr="00F33674" w:rsidRDefault="00F33674" w:rsidP="00F33674">
            <w:pPr>
              <w:jc w:val="righ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28</w:t>
            </w:r>
          </w:p>
        </w:tc>
        <w:tc>
          <w:tcPr>
            <w:tcW w:w="871" w:type="dxa"/>
            <w:shd w:val="clear" w:color="auto" w:fill="auto"/>
            <w:noWrap/>
            <w:hideMark/>
          </w:tcPr>
          <w:p w14:paraId="665F4164" w14:textId="77777777" w:rsidR="00F33674" w:rsidRPr="00F33674" w:rsidRDefault="00F33674" w:rsidP="00F33674">
            <w:pPr>
              <w:jc w:val="righ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0</w:t>
            </w:r>
          </w:p>
        </w:tc>
        <w:tc>
          <w:tcPr>
            <w:tcW w:w="1569" w:type="dxa"/>
            <w:shd w:val="clear" w:color="auto" w:fill="auto"/>
            <w:noWrap/>
            <w:hideMark/>
          </w:tcPr>
          <w:p w14:paraId="6F5C7E41"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MS Contin Suspension 20 mg</w:t>
            </w:r>
          </w:p>
        </w:tc>
        <w:tc>
          <w:tcPr>
            <w:tcW w:w="1429" w:type="dxa"/>
            <w:shd w:val="clear" w:color="auto" w:fill="auto"/>
            <w:noWrap/>
            <w:hideMark/>
          </w:tcPr>
          <w:p w14:paraId="4A647727"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Mundipharma Pty Limited</w:t>
            </w:r>
          </w:p>
        </w:tc>
      </w:tr>
      <w:tr w:rsidR="00F33674" w:rsidRPr="00F33674" w14:paraId="356732F1" w14:textId="77777777" w:rsidTr="00F33674">
        <w:trPr>
          <w:trHeight w:val="300"/>
        </w:trPr>
        <w:tc>
          <w:tcPr>
            <w:tcW w:w="1647" w:type="dxa"/>
            <w:shd w:val="clear" w:color="auto" w:fill="auto"/>
            <w:noWrap/>
          </w:tcPr>
          <w:p w14:paraId="158A3132" w14:textId="77777777" w:rsidR="00F33674" w:rsidRPr="00F33674" w:rsidRDefault="00F33674" w:rsidP="00F33674">
            <w:pPr>
              <w:jc w:val="left"/>
              <w:rPr>
                <w:rFonts w:ascii="Arial Narrow" w:hAnsi="Arial Narrow" w:cs="Calibri"/>
                <w:color w:val="000000"/>
                <w:sz w:val="20"/>
                <w:szCs w:val="20"/>
                <w:lang w:eastAsia="en-AU"/>
              </w:rPr>
            </w:pPr>
          </w:p>
        </w:tc>
        <w:tc>
          <w:tcPr>
            <w:tcW w:w="827" w:type="dxa"/>
          </w:tcPr>
          <w:p w14:paraId="718DF831"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8146R</w:t>
            </w:r>
          </w:p>
        </w:tc>
        <w:tc>
          <w:tcPr>
            <w:tcW w:w="2693" w:type="dxa"/>
            <w:shd w:val="clear" w:color="auto" w:fill="auto"/>
            <w:noWrap/>
            <w:hideMark/>
          </w:tcPr>
          <w:p w14:paraId="6E77765F"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Sachet containing controlled release granules for oral suspension, containing morphine sulfate pentahydrate 30 mg per sachet</w:t>
            </w:r>
          </w:p>
        </w:tc>
        <w:tc>
          <w:tcPr>
            <w:tcW w:w="661" w:type="dxa"/>
            <w:shd w:val="clear" w:color="auto" w:fill="auto"/>
            <w:noWrap/>
            <w:hideMark/>
          </w:tcPr>
          <w:p w14:paraId="7804FD0A" w14:textId="77777777" w:rsidR="00F33674" w:rsidRPr="00F33674" w:rsidRDefault="00F33674" w:rsidP="00F33674">
            <w:pPr>
              <w:jc w:val="righ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28</w:t>
            </w:r>
          </w:p>
        </w:tc>
        <w:tc>
          <w:tcPr>
            <w:tcW w:w="871" w:type="dxa"/>
            <w:shd w:val="clear" w:color="auto" w:fill="auto"/>
            <w:noWrap/>
            <w:hideMark/>
          </w:tcPr>
          <w:p w14:paraId="726C6370" w14:textId="77777777" w:rsidR="00F33674" w:rsidRPr="00F33674" w:rsidRDefault="00F33674" w:rsidP="00F33674">
            <w:pPr>
              <w:jc w:val="righ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0</w:t>
            </w:r>
          </w:p>
        </w:tc>
        <w:tc>
          <w:tcPr>
            <w:tcW w:w="1569" w:type="dxa"/>
            <w:shd w:val="clear" w:color="auto" w:fill="auto"/>
            <w:noWrap/>
            <w:hideMark/>
          </w:tcPr>
          <w:p w14:paraId="432FB4CD"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MS Contin Suspension 30 mg</w:t>
            </w:r>
          </w:p>
        </w:tc>
        <w:tc>
          <w:tcPr>
            <w:tcW w:w="1429" w:type="dxa"/>
            <w:shd w:val="clear" w:color="auto" w:fill="auto"/>
            <w:noWrap/>
            <w:hideMark/>
          </w:tcPr>
          <w:p w14:paraId="1837F2B8"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Mundipharma Pty Limited</w:t>
            </w:r>
          </w:p>
        </w:tc>
      </w:tr>
      <w:tr w:rsidR="00F33674" w:rsidRPr="00F33674" w14:paraId="23EAC2EC" w14:textId="77777777" w:rsidTr="00F33674">
        <w:trPr>
          <w:trHeight w:val="300"/>
        </w:trPr>
        <w:tc>
          <w:tcPr>
            <w:tcW w:w="1647" w:type="dxa"/>
            <w:shd w:val="clear" w:color="auto" w:fill="auto"/>
            <w:noWrap/>
          </w:tcPr>
          <w:p w14:paraId="531A26EF" w14:textId="77777777" w:rsidR="00F33674" w:rsidRPr="00F33674" w:rsidRDefault="00F33674" w:rsidP="00F33674">
            <w:pPr>
              <w:jc w:val="left"/>
              <w:rPr>
                <w:rFonts w:ascii="Arial Narrow" w:hAnsi="Arial Narrow" w:cs="Calibri"/>
                <w:color w:val="000000"/>
                <w:sz w:val="20"/>
                <w:szCs w:val="20"/>
                <w:lang w:eastAsia="en-AU"/>
              </w:rPr>
            </w:pPr>
          </w:p>
        </w:tc>
        <w:tc>
          <w:tcPr>
            <w:tcW w:w="827" w:type="dxa"/>
          </w:tcPr>
          <w:p w14:paraId="2D54816E"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8305D</w:t>
            </w:r>
          </w:p>
        </w:tc>
        <w:tc>
          <w:tcPr>
            <w:tcW w:w="2693" w:type="dxa"/>
            <w:shd w:val="clear" w:color="auto" w:fill="auto"/>
            <w:noWrap/>
            <w:hideMark/>
          </w:tcPr>
          <w:p w14:paraId="1DF6344D"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Sachet containing controlled release granules for oral suspension, containing morphine sulfate pentahydrate 60 mg per sachet</w:t>
            </w:r>
          </w:p>
        </w:tc>
        <w:tc>
          <w:tcPr>
            <w:tcW w:w="661" w:type="dxa"/>
            <w:shd w:val="clear" w:color="auto" w:fill="auto"/>
            <w:noWrap/>
            <w:hideMark/>
          </w:tcPr>
          <w:p w14:paraId="09413190" w14:textId="77777777" w:rsidR="00F33674" w:rsidRPr="00F33674" w:rsidRDefault="00F33674" w:rsidP="00F33674">
            <w:pPr>
              <w:jc w:val="righ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28</w:t>
            </w:r>
          </w:p>
        </w:tc>
        <w:tc>
          <w:tcPr>
            <w:tcW w:w="871" w:type="dxa"/>
            <w:shd w:val="clear" w:color="auto" w:fill="auto"/>
            <w:noWrap/>
            <w:hideMark/>
          </w:tcPr>
          <w:p w14:paraId="25170EA5" w14:textId="77777777" w:rsidR="00F33674" w:rsidRPr="00F33674" w:rsidRDefault="00F33674" w:rsidP="00F33674">
            <w:pPr>
              <w:jc w:val="righ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0</w:t>
            </w:r>
          </w:p>
        </w:tc>
        <w:tc>
          <w:tcPr>
            <w:tcW w:w="1569" w:type="dxa"/>
            <w:shd w:val="clear" w:color="auto" w:fill="auto"/>
            <w:noWrap/>
            <w:hideMark/>
          </w:tcPr>
          <w:p w14:paraId="0099A5AA"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MS Contin Suspension 60 mg</w:t>
            </w:r>
          </w:p>
        </w:tc>
        <w:tc>
          <w:tcPr>
            <w:tcW w:w="1429" w:type="dxa"/>
            <w:shd w:val="clear" w:color="auto" w:fill="auto"/>
            <w:noWrap/>
            <w:hideMark/>
          </w:tcPr>
          <w:p w14:paraId="21751671"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Mundipharma Pty Limited</w:t>
            </w:r>
          </w:p>
        </w:tc>
      </w:tr>
      <w:tr w:rsidR="00F33674" w:rsidRPr="00F33674" w14:paraId="09C1F165" w14:textId="77777777" w:rsidTr="00F33674">
        <w:trPr>
          <w:trHeight w:val="300"/>
        </w:trPr>
        <w:tc>
          <w:tcPr>
            <w:tcW w:w="1647" w:type="dxa"/>
            <w:shd w:val="clear" w:color="auto" w:fill="auto"/>
            <w:noWrap/>
          </w:tcPr>
          <w:p w14:paraId="00449CDC" w14:textId="77777777" w:rsidR="00F33674" w:rsidRPr="00F33674" w:rsidRDefault="00F33674" w:rsidP="00F33674">
            <w:pPr>
              <w:jc w:val="left"/>
              <w:rPr>
                <w:rFonts w:ascii="Arial Narrow" w:hAnsi="Arial Narrow" w:cs="Calibri"/>
                <w:color w:val="000000"/>
                <w:sz w:val="20"/>
                <w:szCs w:val="20"/>
                <w:lang w:eastAsia="en-AU"/>
              </w:rPr>
            </w:pPr>
          </w:p>
        </w:tc>
        <w:tc>
          <w:tcPr>
            <w:tcW w:w="827" w:type="dxa"/>
          </w:tcPr>
          <w:p w14:paraId="634259D5"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1653B</w:t>
            </w:r>
          </w:p>
        </w:tc>
        <w:tc>
          <w:tcPr>
            <w:tcW w:w="2693" w:type="dxa"/>
            <w:vMerge w:val="restart"/>
            <w:shd w:val="clear" w:color="auto" w:fill="auto"/>
            <w:noWrap/>
            <w:hideMark/>
          </w:tcPr>
          <w:p w14:paraId="037D2187"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Tablet containing morphine sulfate pentahydrate 10 mg (controlled release)</w:t>
            </w:r>
          </w:p>
        </w:tc>
        <w:tc>
          <w:tcPr>
            <w:tcW w:w="661" w:type="dxa"/>
            <w:shd w:val="clear" w:color="auto" w:fill="auto"/>
            <w:noWrap/>
            <w:hideMark/>
          </w:tcPr>
          <w:p w14:paraId="727BF9C1" w14:textId="77777777" w:rsidR="00F33674" w:rsidRPr="00F33674" w:rsidRDefault="00F33674" w:rsidP="00F33674">
            <w:pPr>
              <w:jc w:val="righ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28</w:t>
            </w:r>
          </w:p>
        </w:tc>
        <w:tc>
          <w:tcPr>
            <w:tcW w:w="871" w:type="dxa"/>
            <w:shd w:val="clear" w:color="auto" w:fill="auto"/>
            <w:noWrap/>
            <w:hideMark/>
          </w:tcPr>
          <w:p w14:paraId="1929466B" w14:textId="77777777" w:rsidR="00F33674" w:rsidRPr="00F33674" w:rsidRDefault="00F33674" w:rsidP="00F33674">
            <w:pPr>
              <w:jc w:val="righ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0</w:t>
            </w:r>
          </w:p>
        </w:tc>
        <w:tc>
          <w:tcPr>
            <w:tcW w:w="1569" w:type="dxa"/>
            <w:shd w:val="clear" w:color="auto" w:fill="auto"/>
            <w:noWrap/>
            <w:hideMark/>
          </w:tcPr>
          <w:p w14:paraId="5F7F4086"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MORPHINE MR APOTEX</w:t>
            </w:r>
          </w:p>
        </w:tc>
        <w:tc>
          <w:tcPr>
            <w:tcW w:w="1429" w:type="dxa"/>
            <w:shd w:val="clear" w:color="auto" w:fill="auto"/>
            <w:noWrap/>
            <w:hideMark/>
          </w:tcPr>
          <w:p w14:paraId="2FDB43BA"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Apotex Pty Ltd</w:t>
            </w:r>
          </w:p>
        </w:tc>
      </w:tr>
      <w:tr w:rsidR="00F33674" w:rsidRPr="00F33674" w14:paraId="1C9B5124" w14:textId="77777777" w:rsidTr="00F33674">
        <w:trPr>
          <w:trHeight w:val="300"/>
        </w:trPr>
        <w:tc>
          <w:tcPr>
            <w:tcW w:w="1647" w:type="dxa"/>
            <w:shd w:val="clear" w:color="auto" w:fill="auto"/>
            <w:noWrap/>
          </w:tcPr>
          <w:p w14:paraId="7056535B" w14:textId="77777777" w:rsidR="00F33674" w:rsidRPr="00F33674" w:rsidRDefault="00F33674" w:rsidP="00F33674">
            <w:pPr>
              <w:jc w:val="left"/>
              <w:rPr>
                <w:rFonts w:ascii="Arial Narrow" w:hAnsi="Arial Narrow" w:cs="Calibri"/>
                <w:color w:val="000000"/>
                <w:sz w:val="20"/>
                <w:szCs w:val="20"/>
                <w:lang w:eastAsia="en-AU"/>
              </w:rPr>
            </w:pPr>
          </w:p>
        </w:tc>
        <w:tc>
          <w:tcPr>
            <w:tcW w:w="827" w:type="dxa"/>
          </w:tcPr>
          <w:p w14:paraId="3AC8B595" w14:textId="77777777" w:rsidR="00F33674" w:rsidRPr="00F33674" w:rsidRDefault="00F33674" w:rsidP="00F33674">
            <w:pPr>
              <w:jc w:val="left"/>
              <w:rPr>
                <w:rFonts w:ascii="Arial Narrow" w:hAnsi="Arial Narrow" w:cs="Calibri"/>
                <w:color w:val="000000"/>
                <w:sz w:val="20"/>
                <w:szCs w:val="20"/>
                <w:lang w:eastAsia="en-AU"/>
              </w:rPr>
            </w:pPr>
          </w:p>
        </w:tc>
        <w:tc>
          <w:tcPr>
            <w:tcW w:w="2693" w:type="dxa"/>
            <w:vMerge/>
            <w:shd w:val="clear" w:color="auto" w:fill="auto"/>
            <w:noWrap/>
          </w:tcPr>
          <w:p w14:paraId="40EAE1C8" w14:textId="77777777" w:rsidR="00F33674" w:rsidRPr="00F33674" w:rsidRDefault="00F33674" w:rsidP="00F33674">
            <w:pPr>
              <w:jc w:val="left"/>
              <w:rPr>
                <w:rFonts w:ascii="Arial Narrow" w:hAnsi="Arial Narrow" w:cs="Calibri"/>
                <w:color w:val="000000"/>
                <w:sz w:val="20"/>
                <w:szCs w:val="20"/>
                <w:lang w:eastAsia="en-AU"/>
              </w:rPr>
            </w:pPr>
          </w:p>
        </w:tc>
        <w:tc>
          <w:tcPr>
            <w:tcW w:w="661" w:type="dxa"/>
            <w:shd w:val="clear" w:color="auto" w:fill="auto"/>
            <w:noWrap/>
          </w:tcPr>
          <w:p w14:paraId="0DE48888" w14:textId="77777777" w:rsidR="00F33674" w:rsidRPr="00F33674" w:rsidRDefault="00F33674" w:rsidP="00F33674">
            <w:pPr>
              <w:jc w:val="right"/>
              <w:rPr>
                <w:rFonts w:ascii="Arial Narrow" w:hAnsi="Arial Narrow" w:cs="Calibri"/>
                <w:color w:val="000000"/>
                <w:sz w:val="20"/>
                <w:szCs w:val="20"/>
                <w:lang w:eastAsia="en-AU"/>
              </w:rPr>
            </w:pPr>
          </w:p>
        </w:tc>
        <w:tc>
          <w:tcPr>
            <w:tcW w:w="871" w:type="dxa"/>
            <w:shd w:val="clear" w:color="auto" w:fill="auto"/>
            <w:noWrap/>
          </w:tcPr>
          <w:p w14:paraId="135678D7" w14:textId="77777777" w:rsidR="00F33674" w:rsidRPr="00F33674" w:rsidRDefault="00F33674" w:rsidP="00F33674">
            <w:pPr>
              <w:jc w:val="right"/>
              <w:rPr>
                <w:rFonts w:ascii="Arial Narrow" w:hAnsi="Arial Narrow" w:cs="Calibri"/>
                <w:color w:val="000000"/>
                <w:sz w:val="20"/>
                <w:szCs w:val="20"/>
                <w:lang w:eastAsia="en-AU"/>
              </w:rPr>
            </w:pPr>
          </w:p>
        </w:tc>
        <w:tc>
          <w:tcPr>
            <w:tcW w:w="1569" w:type="dxa"/>
            <w:shd w:val="clear" w:color="auto" w:fill="auto"/>
            <w:noWrap/>
            <w:hideMark/>
          </w:tcPr>
          <w:p w14:paraId="776682C1"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MS Contin</w:t>
            </w:r>
          </w:p>
        </w:tc>
        <w:tc>
          <w:tcPr>
            <w:tcW w:w="1429" w:type="dxa"/>
            <w:shd w:val="clear" w:color="auto" w:fill="auto"/>
            <w:noWrap/>
            <w:hideMark/>
          </w:tcPr>
          <w:p w14:paraId="32B31E39"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Mundipharma Pty Limited</w:t>
            </w:r>
          </w:p>
        </w:tc>
      </w:tr>
      <w:tr w:rsidR="00F33674" w:rsidRPr="00F33674" w14:paraId="0DC57856" w14:textId="77777777" w:rsidTr="00F33674">
        <w:trPr>
          <w:trHeight w:val="300"/>
        </w:trPr>
        <w:tc>
          <w:tcPr>
            <w:tcW w:w="1647" w:type="dxa"/>
            <w:shd w:val="clear" w:color="auto" w:fill="auto"/>
            <w:noWrap/>
          </w:tcPr>
          <w:p w14:paraId="0D84A327" w14:textId="77777777" w:rsidR="00F33674" w:rsidRPr="00F33674" w:rsidRDefault="00F33674" w:rsidP="00F33674">
            <w:pPr>
              <w:jc w:val="left"/>
              <w:rPr>
                <w:rFonts w:ascii="Arial Narrow" w:hAnsi="Arial Narrow" w:cs="Calibri"/>
                <w:color w:val="000000"/>
                <w:sz w:val="20"/>
                <w:szCs w:val="20"/>
                <w:lang w:eastAsia="en-AU"/>
              </w:rPr>
            </w:pPr>
          </w:p>
        </w:tc>
        <w:tc>
          <w:tcPr>
            <w:tcW w:w="827" w:type="dxa"/>
          </w:tcPr>
          <w:p w14:paraId="3473D72D" w14:textId="77777777" w:rsidR="00F33674" w:rsidRPr="00F33674" w:rsidRDefault="00F33674" w:rsidP="00F33674">
            <w:pPr>
              <w:jc w:val="left"/>
              <w:rPr>
                <w:rFonts w:ascii="Arial Narrow" w:hAnsi="Arial Narrow" w:cs="Calibri"/>
                <w:color w:val="000000"/>
                <w:sz w:val="20"/>
                <w:szCs w:val="20"/>
                <w:lang w:eastAsia="en-AU"/>
              </w:rPr>
            </w:pPr>
          </w:p>
        </w:tc>
        <w:tc>
          <w:tcPr>
            <w:tcW w:w="2693" w:type="dxa"/>
            <w:vMerge/>
            <w:shd w:val="clear" w:color="auto" w:fill="auto"/>
            <w:noWrap/>
          </w:tcPr>
          <w:p w14:paraId="5B12A22D" w14:textId="77777777" w:rsidR="00F33674" w:rsidRPr="00F33674" w:rsidRDefault="00F33674" w:rsidP="00F33674">
            <w:pPr>
              <w:jc w:val="left"/>
              <w:rPr>
                <w:rFonts w:ascii="Arial Narrow" w:hAnsi="Arial Narrow" w:cs="Calibri"/>
                <w:color w:val="000000"/>
                <w:sz w:val="20"/>
                <w:szCs w:val="20"/>
                <w:lang w:eastAsia="en-AU"/>
              </w:rPr>
            </w:pPr>
          </w:p>
        </w:tc>
        <w:tc>
          <w:tcPr>
            <w:tcW w:w="661" w:type="dxa"/>
            <w:shd w:val="clear" w:color="auto" w:fill="auto"/>
            <w:noWrap/>
          </w:tcPr>
          <w:p w14:paraId="74E48777" w14:textId="77777777" w:rsidR="00F33674" w:rsidRPr="00F33674" w:rsidRDefault="00F33674" w:rsidP="00F33674">
            <w:pPr>
              <w:jc w:val="right"/>
              <w:rPr>
                <w:rFonts w:ascii="Arial Narrow" w:hAnsi="Arial Narrow" w:cs="Calibri"/>
                <w:color w:val="000000"/>
                <w:sz w:val="20"/>
                <w:szCs w:val="20"/>
                <w:lang w:eastAsia="en-AU"/>
              </w:rPr>
            </w:pPr>
          </w:p>
        </w:tc>
        <w:tc>
          <w:tcPr>
            <w:tcW w:w="871" w:type="dxa"/>
            <w:shd w:val="clear" w:color="auto" w:fill="auto"/>
            <w:noWrap/>
          </w:tcPr>
          <w:p w14:paraId="7E2DC861" w14:textId="77777777" w:rsidR="00F33674" w:rsidRPr="00F33674" w:rsidRDefault="00F33674" w:rsidP="00F33674">
            <w:pPr>
              <w:jc w:val="right"/>
              <w:rPr>
                <w:rFonts w:ascii="Arial Narrow" w:hAnsi="Arial Narrow" w:cs="Calibri"/>
                <w:color w:val="000000"/>
                <w:sz w:val="20"/>
                <w:szCs w:val="20"/>
                <w:lang w:eastAsia="en-AU"/>
              </w:rPr>
            </w:pPr>
          </w:p>
        </w:tc>
        <w:tc>
          <w:tcPr>
            <w:tcW w:w="1569" w:type="dxa"/>
            <w:shd w:val="clear" w:color="auto" w:fill="auto"/>
            <w:noWrap/>
            <w:hideMark/>
          </w:tcPr>
          <w:p w14:paraId="3D6D1DA9"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Momex SR 10</w:t>
            </w:r>
          </w:p>
        </w:tc>
        <w:tc>
          <w:tcPr>
            <w:tcW w:w="1429" w:type="dxa"/>
            <w:shd w:val="clear" w:color="auto" w:fill="auto"/>
            <w:noWrap/>
            <w:hideMark/>
          </w:tcPr>
          <w:p w14:paraId="1E17AFF1"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Arrow Pharma Pty Ltd</w:t>
            </w:r>
          </w:p>
        </w:tc>
      </w:tr>
      <w:tr w:rsidR="00F33674" w:rsidRPr="00F33674" w14:paraId="7BA421CC" w14:textId="77777777" w:rsidTr="00F33674">
        <w:trPr>
          <w:trHeight w:val="300"/>
        </w:trPr>
        <w:tc>
          <w:tcPr>
            <w:tcW w:w="1647" w:type="dxa"/>
            <w:shd w:val="clear" w:color="auto" w:fill="auto"/>
            <w:noWrap/>
          </w:tcPr>
          <w:p w14:paraId="6BA62F2A" w14:textId="77777777" w:rsidR="00F33674" w:rsidRPr="00F33674" w:rsidRDefault="00F33674" w:rsidP="00F33674">
            <w:pPr>
              <w:jc w:val="left"/>
              <w:rPr>
                <w:rFonts w:ascii="Arial Narrow" w:hAnsi="Arial Narrow" w:cs="Calibri"/>
                <w:color w:val="000000"/>
                <w:sz w:val="20"/>
                <w:szCs w:val="20"/>
                <w:lang w:eastAsia="en-AU"/>
              </w:rPr>
            </w:pPr>
          </w:p>
        </w:tc>
        <w:tc>
          <w:tcPr>
            <w:tcW w:w="827" w:type="dxa"/>
          </w:tcPr>
          <w:p w14:paraId="616C59BD" w14:textId="77777777" w:rsidR="00F33674" w:rsidRPr="00F33674" w:rsidRDefault="00F33674" w:rsidP="00F33674">
            <w:pPr>
              <w:jc w:val="left"/>
              <w:rPr>
                <w:rFonts w:ascii="Arial Narrow" w:hAnsi="Arial Narrow" w:cs="Calibri"/>
                <w:color w:val="000000"/>
                <w:sz w:val="20"/>
                <w:szCs w:val="20"/>
                <w:lang w:eastAsia="en-AU"/>
              </w:rPr>
            </w:pPr>
          </w:p>
        </w:tc>
        <w:tc>
          <w:tcPr>
            <w:tcW w:w="2693" w:type="dxa"/>
            <w:vMerge/>
            <w:shd w:val="clear" w:color="auto" w:fill="auto"/>
            <w:noWrap/>
          </w:tcPr>
          <w:p w14:paraId="14BB8EB1" w14:textId="77777777" w:rsidR="00F33674" w:rsidRPr="00F33674" w:rsidRDefault="00F33674" w:rsidP="00F33674">
            <w:pPr>
              <w:jc w:val="left"/>
              <w:rPr>
                <w:rFonts w:ascii="Arial Narrow" w:hAnsi="Arial Narrow" w:cs="Calibri"/>
                <w:color w:val="000000"/>
                <w:sz w:val="20"/>
                <w:szCs w:val="20"/>
                <w:lang w:eastAsia="en-AU"/>
              </w:rPr>
            </w:pPr>
          </w:p>
        </w:tc>
        <w:tc>
          <w:tcPr>
            <w:tcW w:w="661" w:type="dxa"/>
            <w:shd w:val="clear" w:color="auto" w:fill="auto"/>
            <w:noWrap/>
          </w:tcPr>
          <w:p w14:paraId="7A5DC668" w14:textId="77777777" w:rsidR="00F33674" w:rsidRPr="00F33674" w:rsidRDefault="00F33674" w:rsidP="00F33674">
            <w:pPr>
              <w:jc w:val="right"/>
              <w:rPr>
                <w:rFonts w:ascii="Arial Narrow" w:hAnsi="Arial Narrow" w:cs="Calibri"/>
                <w:color w:val="000000"/>
                <w:sz w:val="20"/>
                <w:szCs w:val="20"/>
                <w:lang w:eastAsia="en-AU"/>
              </w:rPr>
            </w:pPr>
          </w:p>
        </w:tc>
        <w:tc>
          <w:tcPr>
            <w:tcW w:w="871" w:type="dxa"/>
            <w:shd w:val="clear" w:color="auto" w:fill="auto"/>
            <w:noWrap/>
          </w:tcPr>
          <w:p w14:paraId="7A918721" w14:textId="77777777" w:rsidR="00F33674" w:rsidRPr="00F33674" w:rsidRDefault="00F33674" w:rsidP="00F33674">
            <w:pPr>
              <w:jc w:val="right"/>
              <w:rPr>
                <w:rFonts w:ascii="Arial Narrow" w:hAnsi="Arial Narrow" w:cs="Calibri"/>
                <w:color w:val="000000"/>
                <w:sz w:val="20"/>
                <w:szCs w:val="20"/>
                <w:lang w:eastAsia="en-AU"/>
              </w:rPr>
            </w:pPr>
          </w:p>
        </w:tc>
        <w:tc>
          <w:tcPr>
            <w:tcW w:w="1569" w:type="dxa"/>
            <w:shd w:val="clear" w:color="auto" w:fill="auto"/>
            <w:noWrap/>
            <w:hideMark/>
          </w:tcPr>
          <w:p w14:paraId="3BF9E6DD"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Morphine MR AN</w:t>
            </w:r>
          </w:p>
        </w:tc>
        <w:tc>
          <w:tcPr>
            <w:tcW w:w="1429" w:type="dxa"/>
            <w:shd w:val="clear" w:color="auto" w:fill="auto"/>
            <w:noWrap/>
            <w:hideMark/>
          </w:tcPr>
          <w:p w14:paraId="7D1A7915"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Amneal Pharmaceuticals Pty Ltd</w:t>
            </w:r>
          </w:p>
        </w:tc>
      </w:tr>
      <w:tr w:rsidR="00F33674" w:rsidRPr="00F33674" w14:paraId="1AC777AF" w14:textId="77777777" w:rsidTr="00F33674">
        <w:trPr>
          <w:trHeight w:val="300"/>
        </w:trPr>
        <w:tc>
          <w:tcPr>
            <w:tcW w:w="1647" w:type="dxa"/>
            <w:shd w:val="clear" w:color="auto" w:fill="auto"/>
            <w:noWrap/>
          </w:tcPr>
          <w:p w14:paraId="62B18306" w14:textId="77777777" w:rsidR="00F33674" w:rsidRPr="00F33674" w:rsidRDefault="00F33674" w:rsidP="00F33674">
            <w:pPr>
              <w:jc w:val="left"/>
              <w:rPr>
                <w:rFonts w:ascii="Arial Narrow" w:hAnsi="Arial Narrow" w:cs="Calibri"/>
                <w:color w:val="000000"/>
                <w:sz w:val="20"/>
                <w:szCs w:val="20"/>
                <w:lang w:eastAsia="en-AU"/>
              </w:rPr>
            </w:pPr>
          </w:p>
        </w:tc>
        <w:tc>
          <w:tcPr>
            <w:tcW w:w="827" w:type="dxa"/>
          </w:tcPr>
          <w:p w14:paraId="4EFC5705" w14:textId="77777777" w:rsidR="00F33674" w:rsidRPr="00F33674" w:rsidRDefault="00F33674" w:rsidP="00F33674">
            <w:pPr>
              <w:jc w:val="left"/>
              <w:rPr>
                <w:rFonts w:ascii="Arial Narrow" w:hAnsi="Arial Narrow" w:cs="Calibri"/>
                <w:color w:val="000000"/>
                <w:sz w:val="20"/>
                <w:szCs w:val="20"/>
                <w:lang w:eastAsia="en-AU"/>
              </w:rPr>
            </w:pPr>
          </w:p>
        </w:tc>
        <w:tc>
          <w:tcPr>
            <w:tcW w:w="2693" w:type="dxa"/>
            <w:vMerge/>
            <w:shd w:val="clear" w:color="auto" w:fill="auto"/>
            <w:noWrap/>
          </w:tcPr>
          <w:p w14:paraId="41A32C7D" w14:textId="77777777" w:rsidR="00F33674" w:rsidRPr="00F33674" w:rsidRDefault="00F33674" w:rsidP="00F33674">
            <w:pPr>
              <w:jc w:val="left"/>
              <w:rPr>
                <w:rFonts w:ascii="Arial Narrow" w:hAnsi="Arial Narrow" w:cs="Calibri"/>
                <w:color w:val="000000"/>
                <w:sz w:val="20"/>
                <w:szCs w:val="20"/>
                <w:lang w:eastAsia="en-AU"/>
              </w:rPr>
            </w:pPr>
          </w:p>
        </w:tc>
        <w:tc>
          <w:tcPr>
            <w:tcW w:w="661" w:type="dxa"/>
            <w:shd w:val="clear" w:color="auto" w:fill="auto"/>
            <w:noWrap/>
          </w:tcPr>
          <w:p w14:paraId="2BEE90CD" w14:textId="77777777" w:rsidR="00F33674" w:rsidRPr="00F33674" w:rsidRDefault="00F33674" w:rsidP="00F33674">
            <w:pPr>
              <w:jc w:val="right"/>
              <w:rPr>
                <w:rFonts w:ascii="Arial Narrow" w:hAnsi="Arial Narrow" w:cs="Calibri"/>
                <w:color w:val="000000"/>
                <w:sz w:val="20"/>
                <w:szCs w:val="20"/>
                <w:lang w:eastAsia="en-AU"/>
              </w:rPr>
            </w:pPr>
          </w:p>
        </w:tc>
        <w:tc>
          <w:tcPr>
            <w:tcW w:w="871" w:type="dxa"/>
            <w:shd w:val="clear" w:color="auto" w:fill="auto"/>
            <w:noWrap/>
          </w:tcPr>
          <w:p w14:paraId="7A35D6B2" w14:textId="77777777" w:rsidR="00F33674" w:rsidRPr="00F33674" w:rsidRDefault="00F33674" w:rsidP="00F33674">
            <w:pPr>
              <w:jc w:val="right"/>
              <w:rPr>
                <w:rFonts w:ascii="Arial Narrow" w:hAnsi="Arial Narrow" w:cs="Calibri"/>
                <w:color w:val="000000"/>
                <w:sz w:val="20"/>
                <w:szCs w:val="20"/>
                <w:lang w:eastAsia="en-AU"/>
              </w:rPr>
            </w:pPr>
          </w:p>
        </w:tc>
        <w:tc>
          <w:tcPr>
            <w:tcW w:w="1569" w:type="dxa"/>
            <w:shd w:val="clear" w:color="auto" w:fill="auto"/>
            <w:noWrap/>
            <w:hideMark/>
          </w:tcPr>
          <w:p w14:paraId="7E7A5CC7"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Morphine MR Mylan</w:t>
            </w:r>
          </w:p>
        </w:tc>
        <w:tc>
          <w:tcPr>
            <w:tcW w:w="1429" w:type="dxa"/>
            <w:shd w:val="clear" w:color="auto" w:fill="auto"/>
            <w:noWrap/>
            <w:hideMark/>
          </w:tcPr>
          <w:p w14:paraId="374630B6"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Alphapharm Pty Ltd</w:t>
            </w:r>
          </w:p>
        </w:tc>
      </w:tr>
      <w:tr w:rsidR="00F33674" w:rsidRPr="00F33674" w14:paraId="510371EA" w14:textId="77777777" w:rsidTr="00F33674">
        <w:trPr>
          <w:trHeight w:val="300"/>
        </w:trPr>
        <w:tc>
          <w:tcPr>
            <w:tcW w:w="1647" w:type="dxa"/>
            <w:shd w:val="clear" w:color="auto" w:fill="auto"/>
            <w:noWrap/>
          </w:tcPr>
          <w:p w14:paraId="71472593" w14:textId="77777777" w:rsidR="00F33674" w:rsidRPr="00F33674" w:rsidRDefault="00F33674" w:rsidP="00F33674">
            <w:pPr>
              <w:jc w:val="left"/>
              <w:rPr>
                <w:rFonts w:ascii="Arial Narrow" w:hAnsi="Arial Narrow" w:cs="Calibri"/>
                <w:color w:val="000000"/>
                <w:sz w:val="20"/>
                <w:szCs w:val="20"/>
                <w:lang w:eastAsia="en-AU"/>
              </w:rPr>
            </w:pPr>
          </w:p>
        </w:tc>
        <w:tc>
          <w:tcPr>
            <w:tcW w:w="827" w:type="dxa"/>
          </w:tcPr>
          <w:p w14:paraId="517970A9"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1656E</w:t>
            </w:r>
          </w:p>
        </w:tc>
        <w:tc>
          <w:tcPr>
            <w:tcW w:w="2693" w:type="dxa"/>
            <w:vMerge w:val="restart"/>
            <w:shd w:val="clear" w:color="auto" w:fill="auto"/>
            <w:noWrap/>
            <w:hideMark/>
          </w:tcPr>
          <w:p w14:paraId="3AE3F1C4"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Tablet containing morphine sulfate pentahydrate 100 mg (controlled release)</w:t>
            </w:r>
          </w:p>
        </w:tc>
        <w:tc>
          <w:tcPr>
            <w:tcW w:w="661" w:type="dxa"/>
            <w:shd w:val="clear" w:color="auto" w:fill="auto"/>
            <w:noWrap/>
            <w:hideMark/>
          </w:tcPr>
          <w:p w14:paraId="55BEB508" w14:textId="77777777" w:rsidR="00F33674" w:rsidRPr="00F33674" w:rsidRDefault="00F33674" w:rsidP="00F33674">
            <w:pPr>
              <w:jc w:val="righ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28</w:t>
            </w:r>
          </w:p>
        </w:tc>
        <w:tc>
          <w:tcPr>
            <w:tcW w:w="871" w:type="dxa"/>
            <w:shd w:val="clear" w:color="auto" w:fill="auto"/>
            <w:noWrap/>
            <w:hideMark/>
          </w:tcPr>
          <w:p w14:paraId="1033E307" w14:textId="77777777" w:rsidR="00F33674" w:rsidRPr="00F33674" w:rsidRDefault="00F33674" w:rsidP="00F33674">
            <w:pPr>
              <w:jc w:val="righ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0</w:t>
            </w:r>
          </w:p>
        </w:tc>
        <w:tc>
          <w:tcPr>
            <w:tcW w:w="1569" w:type="dxa"/>
            <w:shd w:val="clear" w:color="auto" w:fill="auto"/>
            <w:noWrap/>
            <w:hideMark/>
          </w:tcPr>
          <w:p w14:paraId="31994555"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MORPHINE MR APOTEX</w:t>
            </w:r>
          </w:p>
        </w:tc>
        <w:tc>
          <w:tcPr>
            <w:tcW w:w="1429" w:type="dxa"/>
            <w:shd w:val="clear" w:color="auto" w:fill="auto"/>
            <w:noWrap/>
            <w:hideMark/>
          </w:tcPr>
          <w:p w14:paraId="600593C9"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Apotex Pty Ltd</w:t>
            </w:r>
          </w:p>
        </w:tc>
      </w:tr>
      <w:tr w:rsidR="00F33674" w:rsidRPr="00F33674" w14:paraId="20FC0310" w14:textId="77777777" w:rsidTr="00F33674">
        <w:trPr>
          <w:trHeight w:val="300"/>
        </w:trPr>
        <w:tc>
          <w:tcPr>
            <w:tcW w:w="1647" w:type="dxa"/>
            <w:shd w:val="clear" w:color="auto" w:fill="auto"/>
            <w:noWrap/>
          </w:tcPr>
          <w:p w14:paraId="0C360D6E" w14:textId="77777777" w:rsidR="00F33674" w:rsidRPr="00F33674" w:rsidRDefault="00F33674" w:rsidP="00F33674">
            <w:pPr>
              <w:jc w:val="left"/>
              <w:rPr>
                <w:rFonts w:ascii="Arial Narrow" w:hAnsi="Arial Narrow" w:cs="Calibri"/>
                <w:color w:val="000000"/>
                <w:sz w:val="20"/>
                <w:szCs w:val="20"/>
                <w:lang w:eastAsia="en-AU"/>
              </w:rPr>
            </w:pPr>
          </w:p>
        </w:tc>
        <w:tc>
          <w:tcPr>
            <w:tcW w:w="827" w:type="dxa"/>
          </w:tcPr>
          <w:p w14:paraId="10ADEC43" w14:textId="77777777" w:rsidR="00F33674" w:rsidRPr="00F33674" w:rsidRDefault="00F33674" w:rsidP="00F33674">
            <w:pPr>
              <w:jc w:val="left"/>
              <w:rPr>
                <w:rFonts w:ascii="Arial Narrow" w:hAnsi="Arial Narrow" w:cs="Calibri"/>
                <w:color w:val="000000"/>
                <w:sz w:val="20"/>
                <w:szCs w:val="20"/>
                <w:lang w:eastAsia="en-AU"/>
              </w:rPr>
            </w:pPr>
          </w:p>
        </w:tc>
        <w:tc>
          <w:tcPr>
            <w:tcW w:w="2693" w:type="dxa"/>
            <w:vMerge/>
            <w:shd w:val="clear" w:color="auto" w:fill="auto"/>
            <w:noWrap/>
          </w:tcPr>
          <w:p w14:paraId="7B4D7BC3" w14:textId="77777777" w:rsidR="00F33674" w:rsidRPr="00F33674" w:rsidRDefault="00F33674" w:rsidP="00F33674">
            <w:pPr>
              <w:jc w:val="left"/>
              <w:rPr>
                <w:rFonts w:ascii="Arial Narrow" w:hAnsi="Arial Narrow" w:cs="Calibri"/>
                <w:color w:val="000000"/>
                <w:sz w:val="20"/>
                <w:szCs w:val="20"/>
                <w:lang w:eastAsia="en-AU"/>
              </w:rPr>
            </w:pPr>
          </w:p>
        </w:tc>
        <w:tc>
          <w:tcPr>
            <w:tcW w:w="661" w:type="dxa"/>
            <w:shd w:val="clear" w:color="auto" w:fill="auto"/>
            <w:noWrap/>
          </w:tcPr>
          <w:p w14:paraId="6691D53C" w14:textId="77777777" w:rsidR="00F33674" w:rsidRPr="00F33674" w:rsidRDefault="00F33674" w:rsidP="00F33674">
            <w:pPr>
              <w:jc w:val="right"/>
              <w:rPr>
                <w:rFonts w:ascii="Arial Narrow" w:hAnsi="Arial Narrow" w:cs="Calibri"/>
                <w:color w:val="000000"/>
                <w:sz w:val="20"/>
                <w:szCs w:val="20"/>
                <w:lang w:eastAsia="en-AU"/>
              </w:rPr>
            </w:pPr>
          </w:p>
        </w:tc>
        <w:tc>
          <w:tcPr>
            <w:tcW w:w="871" w:type="dxa"/>
            <w:shd w:val="clear" w:color="auto" w:fill="auto"/>
            <w:noWrap/>
          </w:tcPr>
          <w:p w14:paraId="03AE4022" w14:textId="77777777" w:rsidR="00F33674" w:rsidRPr="00F33674" w:rsidRDefault="00F33674" w:rsidP="00F33674">
            <w:pPr>
              <w:jc w:val="right"/>
              <w:rPr>
                <w:rFonts w:ascii="Arial Narrow" w:hAnsi="Arial Narrow" w:cs="Calibri"/>
                <w:color w:val="000000"/>
                <w:sz w:val="20"/>
                <w:szCs w:val="20"/>
                <w:lang w:eastAsia="en-AU"/>
              </w:rPr>
            </w:pPr>
          </w:p>
        </w:tc>
        <w:tc>
          <w:tcPr>
            <w:tcW w:w="1569" w:type="dxa"/>
            <w:shd w:val="clear" w:color="auto" w:fill="auto"/>
            <w:noWrap/>
            <w:hideMark/>
          </w:tcPr>
          <w:p w14:paraId="4EDF09F4"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MS Contin</w:t>
            </w:r>
          </w:p>
        </w:tc>
        <w:tc>
          <w:tcPr>
            <w:tcW w:w="1429" w:type="dxa"/>
            <w:shd w:val="clear" w:color="auto" w:fill="auto"/>
            <w:noWrap/>
            <w:hideMark/>
          </w:tcPr>
          <w:p w14:paraId="5D8DB8EB"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Mundipharma Pty Limited</w:t>
            </w:r>
          </w:p>
        </w:tc>
      </w:tr>
      <w:tr w:rsidR="00F33674" w:rsidRPr="00F33674" w14:paraId="439AD5DB" w14:textId="77777777" w:rsidTr="00F33674">
        <w:trPr>
          <w:trHeight w:val="300"/>
        </w:trPr>
        <w:tc>
          <w:tcPr>
            <w:tcW w:w="1647" w:type="dxa"/>
            <w:shd w:val="clear" w:color="auto" w:fill="auto"/>
            <w:noWrap/>
          </w:tcPr>
          <w:p w14:paraId="7F0E41AB" w14:textId="77777777" w:rsidR="00F33674" w:rsidRPr="00F33674" w:rsidRDefault="00F33674" w:rsidP="00F33674">
            <w:pPr>
              <w:jc w:val="left"/>
              <w:rPr>
                <w:rFonts w:ascii="Arial Narrow" w:hAnsi="Arial Narrow" w:cs="Calibri"/>
                <w:color w:val="000000"/>
                <w:sz w:val="20"/>
                <w:szCs w:val="20"/>
                <w:lang w:eastAsia="en-AU"/>
              </w:rPr>
            </w:pPr>
          </w:p>
        </w:tc>
        <w:tc>
          <w:tcPr>
            <w:tcW w:w="827" w:type="dxa"/>
          </w:tcPr>
          <w:p w14:paraId="60FA3A8D" w14:textId="77777777" w:rsidR="00F33674" w:rsidRPr="00F33674" w:rsidRDefault="00F33674" w:rsidP="00F33674">
            <w:pPr>
              <w:jc w:val="left"/>
              <w:rPr>
                <w:rFonts w:ascii="Arial Narrow" w:hAnsi="Arial Narrow" w:cs="Calibri"/>
                <w:color w:val="000000"/>
                <w:sz w:val="20"/>
                <w:szCs w:val="20"/>
                <w:lang w:eastAsia="en-AU"/>
              </w:rPr>
            </w:pPr>
          </w:p>
        </w:tc>
        <w:tc>
          <w:tcPr>
            <w:tcW w:w="2693" w:type="dxa"/>
            <w:vMerge/>
            <w:shd w:val="clear" w:color="auto" w:fill="auto"/>
            <w:noWrap/>
          </w:tcPr>
          <w:p w14:paraId="7AA50FC1" w14:textId="77777777" w:rsidR="00F33674" w:rsidRPr="00F33674" w:rsidRDefault="00F33674" w:rsidP="00F33674">
            <w:pPr>
              <w:jc w:val="left"/>
              <w:rPr>
                <w:rFonts w:ascii="Arial Narrow" w:hAnsi="Arial Narrow" w:cs="Calibri"/>
                <w:color w:val="000000"/>
                <w:sz w:val="20"/>
                <w:szCs w:val="20"/>
                <w:lang w:eastAsia="en-AU"/>
              </w:rPr>
            </w:pPr>
          </w:p>
        </w:tc>
        <w:tc>
          <w:tcPr>
            <w:tcW w:w="661" w:type="dxa"/>
            <w:shd w:val="clear" w:color="auto" w:fill="auto"/>
            <w:noWrap/>
          </w:tcPr>
          <w:p w14:paraId="295A6BD5" w14:textId="77777777" w:rsidR="00F33674" w:rsidRPr="00F33674" w:rsidRDefault="00F33674" w:rsidP="00F33674">
            <w:pPr>
              <w:jc w:val="right"/>
              <w:rPr>
                <w:rFonts w:ascii="Arial Narrow" w:hAnsi="Arial Narrow" w:cs="Calibri"/>
                <w:color w:val="000000"/>
                <w:sz w:val="20"/>
                <w:szCs w:val="20"/>
                <w:lang w:eastAsia="en-AU"/>
              </w:rPr>
            </w:pPr>
          </w:p>
        </w:tc>
        <w:tc>
          <w:tcPr>
            <w:tcW w:w="871" w:type="dxa"/>
            <w:shd w:val="clear" w:color="auto" w:fill="auto"/>
            <w:noWrap/>
          </w:tcPr>
          <w:p w14:paraId="0CE782A7" w14:textId="77777777" w:rsidR="00F33674" w:rsidRPr="00F33674" w:rsidRDefault="00F33674" w:rsidP="00F33674">
            <w:pPr>
              <w:jc w:val="right"/>
              <w:rPr>
                <w:rFonts w:ascii="Arial Narrow" w:hAnsi="Arial Narrow" w:cs="Calibri"/>
                <w:color w:val="000000"/>
                <w:sz w:val="20"/>
                <w:szCs w:val="20"/>
                <w:lang w:eastAsia="en-AU"/>
              </w:rPr>
            </w:pPr>
          </w:p>
        </w:tc>
        <w:tc>
          <w:tcPr>
            <w:tcW w:w="1569" w:type="dxa"/>
            <w:shd w:val="clear" w:color="auto" w:fill="auto"/>
            <w:noWrap/>
            <w:hideMark/>
          </w:tcPr>
          <w:p w14:paraId="288C03F5"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Momex SR 100</w:t>
            </w:r>
          </w:p>
        </w:tc>
        <w:tc>
          <w:tcPr>
            <w:tcW w:w="1429" w:type="dxa"/>
            <w:shd w:val="clear" w:color="auto" w:fill="auto"/>
            <w:noWrap/>
            <w:hideMark/>
          </w:tcPr>
          <w:p w14:paraId="1E8085D4"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Arrow Pharma Pty Ltd</w:t>
            </w:r>
          </w:p>
        </w:tc>
      </w:tr>
      <w:tr w:rsidR="00F33674" w:rsidRPr="00F33674" w14:paraId="0F13E963" w14:textId="77777777" w:rsidTr="00F33674">
        <w:trPr>
          <w:trHeight w:val="300"/>
        </w:trPr>
        <w:tc>
          <w:tcPr>
            <w:tcW w:w="1647" w:type="dxa"/>
            <w:shd w:val="clear" w:color="auto" w:fill="auto"/>
            <w:noWrap/>
          </w:tcPr>
          <w:p w14:paraId="260B031C" w14:textId="77777777" w:rsidR="00F33674" w:rsidRPr="00F33674" w:rsidRDefault="00F33674" w:rsidP="00F33674">
            <w:pPr>
              <w:jc w:val="left"/>
              <w:rPr>
                <w:rFonts w:ascii="Arial Narrow" w:hAnsi="Arial Narrow" w:cs="Calibri"/>
                <w:color w:val="000000"/>
                <w:sz w:val="20"/>
                <w:szCs w:val="20"/>
                <w:lang w:eastAsia="en-AU"/>
              </w:rPr>
            </w:pPr>
          </w:p>
        </w:tc>
        <w:tc>
          <w:tcPr>
            <w:tcW w:w="827" w:type="dxa"/>
          </w:tcPr>
          <w:p w14:paraId="0F8306C4" w14:textId="77777777" w:rsidR="00F33674" w:rsidRPr="00F33674" w:rsidRDefault="00F33674" w:rsidP="00F33674">
            <w:pPr>
              <w:jc w:val="left"/>
              <w:rPr>
                <w:rFonts w:ascii="Arial Narrow" w:hAnsi="Arial Narrow" w:cs="Calibri"/>
                <w:color w:val="000000"/>
                <w:sz w:val="20"/>
                <w:szCs w:val="20"/>
                <w:lang w:eastAsia="en-AU"/>
              </w:rPr>
            </w:pPr>
          </w:p>
        </w:tc>
        <w:tc>
          <w:tcPr>
            <w:tcW w:w="2693" w:type="dxa"/>
            <w:vMerge/>
            <w:shd w:val="clear" w:color="auto" w:fill="auto"/>
            <w:noWrap/>
          </w:tcPr>
          <w:p w14:paraId="30A74C85" w14:textId="77777777" w:rsidR="00F33674" w:rsidRPr="00F33674" w:rsidRDefault="00F33674" w:rsidP="00F33674">
            <w:pPr>
              <w:jc w:val="left"/>
              <w:rPr>
                <w:rFonts w:ascii="Arial Narrow" w:hAnsi="Arial Narrow" w:cs="Calibri"/>
                <w:color w:val="000000"/>
                <w:sz w:val="20"/>
                <w:szCs w:val="20"/>
                <w:lang w:eastAsia="en-AU"/>
              </w:rPr>
            </w:pPr>
          </w:p>
        </w:tc>
        <w:tc>
          <w:tcPr>
            <w:tcW w:w="661" w:type="dxa"/>
            <w:shd w:val="clear" w:color="auto" w:fill="auto"/>
            <w:noWrap/>
          </w:tcPr>
          <w:p w14:paraId="1D2F5074" w14:textId="77777777" w:rsidR="00F33674" w:rsidRPr="00F33674" w:rsidRDefault="00F33674" w:rsidP="00F33674">
            <w:pPr>
              <w:jc w:val="right"/>
              <w:rPr>
                <w:rFonts w:ascii="Arial Narrow" w:hAnsi="Arial Narrow" w:cs="Calibri"/>
                <w:color w:val="000000"/>
                <w:sz w:val="20"/>
                <w:szCs w:val="20"/>
                <w:lang w:eastAsia="en-AU"/>
              </w:rPr>
            </w:pPr>
          </w:p>
        </w:tc>
        <w:tc>
          <w:tcPr>
            <w:tcW w:w="871" w:type="dxa"/>
            <w:shd w:val="clear" w:color="auto" w:fill="auto"/>
            <w:noWrap/>
          </w:tcPr>
          <w:p w14:paraId="3B2E2637" w14:textId="77777777" w:rsidR="00F33674" w:rsidRPr="00F33674" w:rsidRDefault="00F33674" w:rsidP="00F33674">
            <w:pPr>
              <w:jc w:val="right"/>
              <w:rPr>
                <w:rFonts w:ascii="Arial Narrow" w:hAnsi="Arial Narrow" w:cs="Calibri"/>
                <w:color w:val="000000"/>
                <w:sz w:val="20"/>
                <w:szCs w:val="20"/>
                <w:lang w:eastAsia="en-AU"/>
              </w:rPr>
            </w:pPr>
          </w:p>
        </w:tc>
        <w:tc>
          <w:tcPr>
            <w:tcW w:w="1569" w:type="dxa"/>
            <w:shd w:val="clear" w:color="auto" w:fill="auto"/>
            <w:noWrap/>
            <w:hideMark/>
          </w:tcPr>
          <w:p w14:paraId="747CEF08"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Morphine MR AN</w:t>
            </w:r>
          </w:p>
        </w:tc>
        <w:tc>
          <w:tcPr>
            <w:tcW w:w="1429" w:type="dxa"/>
            <w:shd w:val="clear" w:color="auto" w:fill="auto"/>
            <w:noWrap/>
            <w:hideMark/>
          </w:tcPr>
          <w:p w14:paraId="77EB0B0D"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Amneal Pharmaceuticals Pty Ltd</w:t>
            </w:r>
          </w:p>
        </w:tc>
      </w:tr>
      <w:tr w:rsidR="00F33674" w:rsidRPr="00F33674" w14:paraId="60F9E598" w14:textId="77777777" w:rsidTr="00F33674">
        <w:trPr>
          <w:trHeight w:val="300"/>
        </w:trPr>
        <w:tc>
          <w:tcPr>
            <w:tcW w:w="1647" w:type="dxa"/>
            <w:shd w:val="clear" w:color="auto" w:fill="auto"/>
            <w:noWrap/>
          </w:tcPr>
          <w:p w14:paraId="09ED3197" w14:textId="77777777" w:rsidR="00F33674" w:rsidRPr="00F33674" w:rsidRDefault="00F33674" w:rsidP="00F33674">
            <w:pPr>
              <w:jc w:val="left"/>
              <w:rPr>
                <w:rFonts w:ascii="Arial Narrow" w:hAnsi="Arial Narrow" w:cs="Calibri"/>
                <w:color w:val="000000"/>
                <w:sz w:val="20"/>
                <w:szCs w:val="20"/>
                <w:lang w:eastAsia="en-AU"/>
              </w:rPr>
            </w:pPr>
          </w:p>
        </w:tc>
        <w:tc>
          <w:tcPr>
            <w:tcW w:w="827" w:type="dxa"/>
          </w:tcPr>
          <w:p w14:paraId="6B94314A" w14:textId="77777777" w:rsidR="00F33674" w:rsidRPr="00F33674" w:rsidRDefault="00F33674" w:rsidP="00F33674">
            <w:pPr>
              <w:jc w:val="left"/>
              <w:rPr>
                <w:rFonts w:ascii="Arial Narrow" w:hAnsi="Arial Narrow" w:cs="Calibri"/>
                <w:color w:val="000000"/>
                <w:sz w:val="20"/>
                <w:szCs w:val="20"/>
                <w:lang w:eastAsia="en-AU"/>
              </w:rPr>
            </w:pPr>
          </w:p>
        </w:tc>
        <w:tc>
          <w:tcPr>
            <w:tcW w:w="2693" w:type="dxa"/>
            <w:vMerge/>
            <w:shd w:val="clear" w:color="auto" w:fill="auto"/>
            <w:noWrap/>
          </w:tcPr>
          <w:p w14:paraId="2F33D001" w14:textId="77777777" w:rsidR="00F33674" w:rsidRPr="00F33674" w:rsidRDefault="00F33674" w:rsidP="00F33674">
            <w:pPr>
              <w:jc w:val="left"/>
              <w:rPr>
                <w:rFonts w:ascii="Arial Narrow" w:hAnsi="Arial Narrow" w:cs="Calibri"/>
                <w:color w:val="000000"/>
                <w:sz w:val="20"/>
                <w:szCs w:val="20"/>
                <w:lang w:eastAsia="en-AU"/>
              </w:rPr>
            </w:pPr>
          </w:p>
        </w:tc>
        <w:tc>
          <w:tcPr>
            <w:tcW w:w="661" w:type="dxa"/>
            <w:shd w:val="clear" w:color="auto" w:fill="auto"/>
            <w:noWrap/>
          </w:tcPr>
          <w:p w14:paraId="71BF9465" w14:textId="77777777" w:rsidR="00F33674" w:rsidRPr="00F33674" w:rsidRDefault="00F33674" w:rsidP="00F33674">
            <w:pPr>
              <w:jc w:val="right"/>
              <w:rPr>
                <w:rFonts w:ascii="Arial Narrow" w:hAnsi="Arial Narrow" w:cs="Calibri"/>
                <w:color w:val="000000"/>
                <w:sz w:val="20"/>
                <w:szCs w:val="20"/>
                <w:lang w:eastAsia="en-AU"/>
              </w:rPr>
            </w:pPr>
          </w:p>
        </w:tc>
        <w:tc>
          <w:tcPr>
            <w:tcW w:w="871" w:type="dxa"/>
            <w:shd w:val="clear" w:color="auto" w:fill="auto"/>
            <w:noWrap/>
          </w:tcPr>
          <w:p w14:paraId="5DACE552" w14:textId="77777777" w:rsidR="00F33674" w:rsidRPr="00F33674" w:rsidRDefault="00F33674" w:rsidP="00F33674">
            <w:pPr>
              <w:jc w:val="right"/>
              <w:rPr>
                <w:rFonts w:ascii="Arial Narrow" w:hAnsi="Arial Narrow" w:cs="Calibri"/>
                <w:color w:val="000000"/>
                <w:sz w:val="20"/>
                <w:szCs w:val="20"/>
                <w:lang w:eastAsia="en-AU"/>
              </w:rPr>
            </w:pPr>
          </w:p>
        </w:tc>
        <w:tc>
          <w:tcPr>
            <w:tcW w:w="1569" w:type="dxa"/>
            <w:shd w:val="clear" w:color="auto" w:fill="auto"/>
            <w:noWrap/>
            <w:hideMark/>
          </w:tcPr>
          <w:p w14:paraId="4CE653BA"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Morphine MR Mylan</w:t>
            </w:r>
          </w:p>
        </w:tc>
        <w:tc>
          <w:tcPr>
            <w:tcW w:w="1429" w:type="dxa"/>
            <w:shd w:val="clear" w:color="auto" w:fill="auto"/>
            <w:noWrap/>
            <w:hideMark/>
          </w:tcPr>
          <w:p w14:paraId="3B26F7B6"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Alphapharm Pty Ltd</w:t>
            </w:r>
          </w:p>
        </w:tc>
      </w:tr>
      <w:tr w:rsidR="00F33674" w:rsidRPr="00F33674" w14:paraId="5206EAC7" w14:textId="77777777" w:rsidTr="00F33674">
        <w:trPr>
          <w:trHeight w:val="300"/>
        </w:trPr>
        <w:tc>
          <w:tcPr>
            <w:tcW w:w="1647" w:type="dxa"/>
            <w:shd w:val="clear" w:color="auto" w:fill="auto"/>
            <w:noWrap/>
          </w:tcPr>
          <w:p w14:paraId="6DE9E84F" w14:textId="77777777" w:rsidR="00F33674" w:rsidRPr="00F33674" w:rsidRDefault="00F33674" w:rsidP="00F33674">
            <w:pPr>
              <w:jc w:val="left"/>
              <w:rPr>
                <w:rFonts w:ascii="Arial Narrow" w:hAnsi="Arial Narrow" w:cs="Calibri"/>
                <w:color w:val="000000"/>
                <w:sz w:val="20"/>
                <w:szCs w:val="20"/>
                <w:lang w:eastAsia="en-AU"/>
              </w:rPr>
            </w:pPr>
          </w:p>
        </w:tc>
        <w:tc>
          <w:tcPr>
            <w:tcW w:w="827" w:type="dxa"/>
          </w:tcPr>
          <w:p w14:paraId="418214B6"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8489T</w:t>
            </w:r>
          </w:p>
        </w:tc>
        <w:tc>
          <w:tcPr>
            <w:tcW w:w="2693" w:type="dxa"/>
            <w:shd w:val="clear" w:color="auto" w:fill="auto"/>
            <w:noWrap/>
            <w:hideMark/>
          </w:tcPr>
          <w:p w14:paraId="36616741"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Tablet containing morphine sulfate pentahydrate 15 mg (controlled release)</w:t>
            </w:r>
          </w:p>
        </w:tc>
        <w:tc>
          <w:tcPr>
            <w:tcW w:w="661" w:type="dxa"/>
            <w:shd w:val="clear" w:color="auto" w:fill="auto"/>
            <w:noWrap/>
            <w:hideMark/>
          </w:tcPr>
          <w:p w14:paraId="51C2F9FC" w14:textId="77777777" w:rsidR="00F33674" w:rsidRPr="00F33674" w:rsidRDefault="00F33674" w:rsidP="00F33674">
            <w:pPr>
              <w:jc w:val="righ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28</w:t>
            </w:r>
          </w:p>
        </w:tc>
        <w:tc>
          <w:tcPr>
            <w:tcW w:w="871" w:type="dxa"/>
            <w:shd w:val="clear" w:color="auto" w:fill="auto"/>
            <w:noWrap/>
            <w:hideMark/>
          </w:tcPr>
          <w:p w14:paraId="3FFD1C6D" w14:textId="77777777" w:rsidR="00F33674" w:rsidRPr="00F33674" w:rsidRDefault="00F33674" w:rsidP="00F33674">
            <w:pPr>
              <w:jc w:val="righ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0</w:t>
            </w:r>
          </w:p>
        </w:tc>
        <w:tc>
          <w:tcPr>
            <w:tcW w:w="1569" w:type="dxa"/>
            <w:shd w:val="clear" w:color="auto" w:fill="auto"/>
            <w:noWrap/>
            <w:hideMark/>
          </w:tcPr>
          <w:p w14:paraId="6C38604E"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MS Contin</w:t>
            </w:r>
          </w:p>
        </w:tc>
        <w:tc>
          <w:tcPr>
            <w:tcW w:w="1429" w:type="dxa"/>
            <w:shd w:val="clear" w:color="auto" w:fill="auto"/>
            <w:noWrap/>
            <w:hideMark/>
          </w:tcPr>
          <w:p w14:paraId="49D380F4"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Mundipharma Pty Limited</w:t>
            </w:r>
          </w:p>
        </w:tc>
      </w:tr>
      <w:tr w:rsidR="00F33674" w:rsidRPr="00F33674" w14:paraId="6DD8DDE0" w14:textId="77777777" w:rsidTr="00F33674">
        <w:trPr>
          <w:trHeight w:val="300"/>
        </w:trPr>
        <w:tc>
          <w:tcPr>
            <w:tcW w:w="1647" w:type="dxa"/>
            <w:shd w:val="clear" w:color="auto" w:fill="auto"/>
            <w:noWrap/>
          </w:tcPr>
          <w:p w14:paraId="6E69C1D6" w14:textId="77777777" w:rsidR="00F33674" w:rsidRPr="00F33674" w:rsidRDefault="00F33674" w:rsidP="00F33674">
            <w:pPr>
              <w:jc w:val="left"/>
              <w:rPr>
                <w:rFonts w:ascii="Arial Narrow" w:hAnsi="Arial Narrow" w:cs="Calibri"/>
                <w:color w:val="000000"/>
                <w:sz w:val="20"/>
                <w:szCs w:val="20"/>
                <w:lang w:eastAsia="en-AU"/>
              </w:rPr>
            </w:pPr>
          </w:p>
        </w:tc>
        <w:tc>
          <w:tcPr>
            <w:tcW w:w="827" w:type="dxa"/>
          </w:tcPr>
          <w:p w14:paraId="6A3E1E02"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1654C</w:t>
            </w:r>
          </w:p>
        </w:tc>
        <w:tc>
          <w:tcPr>
            <w:tcW w:w="2693" w:type="dxa"/>
            <w:vMerge w:val="restart"/>
            <w:shd w:val="clear" w:color="auto" w:fill="auto"/>
            <w:noWrap/>
            <w:hideMark/>
          </w:tcPr>
          <w:p w14:paraId="6C1228E3"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Tablet containing morphine sulfate pentahydrate 30 mg (controlled release)</w:t>
            </w:r>
          </w:p>
        </w:tc>
        <w:tc>
          <w:tcPr>
            <w:tcW w:w="661" w:type="dxa"/>
            <w:shd w:val="clear" w:color="auto" w:fill="auto"/>
            <w:noWrap/>
            <w:hideMark/>
          </w:tcPr>
          <w:p w14:paraId="0FB77777" w14:textId="77777777" w:rsidR="00F33674" w:rsidRPr="00F33674" w:rsidRDefault="00F33674" w:rsidP="00F33674">
            <w:pPr>
              <w:jc w:val="righ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28</w:t>
            </w:r>
          </w:p>
        </w:tc>
        <w:tc>
          <w:tcPr>
            <w:tcW w:w="871" w:type="dxa"/>
            <w:shd w:val="clear" w:color="auto" w:fill="auto"/>
            <w:noWrap/>
            <w:hideMark/>
          </w:tcPr>
          <w:p w14:paraId="0C6ED265" w14:textId="77777777" w:rsidR="00F33674" w:rsidRPr="00F33674" w:rsidRDefault="00F33674" w:rsidP="00F33674">
            <w:pPr>
              <w:jc w:val="righ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0</w:t>
            </w:r>
          </w:p>
        </w:tc>
        <w:tc>
          <w:tcPr>
            <w:tcW w:w="1569" w:type="dxa"/>
            <w:shd w:val="clear" w:color="auto" w:fill="auto"/>
            <w:noWrap/>
            <w:hideMark/>
          </w:tcPr>
          <w:p w14:paraId="128A2F15"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MORPHINE MR APOTEX</w:t>
            </w:r>
          </w:p>
        </w:tc>
        <w:tc>
          <w:tcPr>
            <w:tcW w:w="1429" w:type="dxa"/>
            <w:shd w:val="clear" w:color="auto" w:fill="auto"/>
            <w:noWrap/>
            <w:hideMark/>
          </w:tcPr>
          <w:p w14:paraId="5A3CE98E"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Apotex Pty Ltd</w:t>
            </w:r>
          </w:p>
        </w:tc>
      </w:tr>
      <w:tr w:rsidR="00F33674" w:rsidRPr="00F33674" w14:paraId="5E5A3E00" w14:textId="77777777" w:rsidTr="00F33674">
        <w:trPr>
          <w:trHeight w:val="300"/>
        </w:trPr>
        <w:tc>
          <w:tcPr>
            <w:tcW w:w="1647" w:type="dxa"/>
            <w:shd w:val="clear" w:color="auto" w:fill="auto"/>
            <w:noWrap/>
          </w:tcPr>
          <w:p w14:paraId="33C4CCCB" w14:textId="77777777" w:rsidR="00F33674" w:rsidRPr="00F33674" w:rsidRDefault="00F33674" w:rsidP="00F33674">
            <w:pPr>
              <w:jc w:val="left"/>
              <w:rPr>
                <w:rFonts w:ascii="Arial Narrow" w:hAnsi="Arial Narrow" w:cs="Calibri"/>
                <w:color w:val="000000"/>
                <w:sz w:val="20"/>
                <w:szCs w:val="20"/>
                <w:lang w:eastAsia="en-AU"/>
              </w:rPr>
            </w:pPr>
          </w:p>
        </w:tc>
        <w:tc>
          <w:tcPr>
            <w:tcW w:w="827" w:type="dxa"/>
          </w:tcPr>
          <w:p w14:paraId="1FF14950" w14:textId="77777777" w:rsidR="00F33674" w:rsidRPr="00F33674" w:rsidRDefault="00F33674" w:rsidP="00F33674">
            <w:pPr>
              <w:jc w:val="left"/>
              <w:rPr>
                <w:rFonts w:ascii="Arial Narrow" w:hAnsi="Arial Narrow" w:cs="Calibri"/>
                <w:color w:val="000000"/>
                <w:sz w:val="20"/>
                <w:szCs w:val="20"/>
                <w:lang w:eastAsia="en-AU"/>
              </w:rPr>
            </w:pPr>
          </w:p>
        </w:tc>
        <w:tc>
          <w:tcPr>
            <w:tcW w:w="2693" w:type="dxa"/>
            <w:vMerge/>
            <w:shd w:val="clear" w:color="auto" w:fill="auto"/>
            <w:noWrap/>
          </w:tcPr>
          <w:p w14:paraId="06963312" w14:textId="77777777" w:rsidR="00F33674" w:rsidRPr="00F33674" w:rsidRDefault="00F33674" w:rsidP="00F33674">
            <w:pPr>
              <w:jc w:val="left"/>
              <w:rPr>
                <w:rFonts w:ascii="Arial Narrow" w:hAnsi="Arial Narrow" w:cs="Calibri"/>
                <w:color w:val="000000"/>
                <w:sz w:val="20"/>
                <w:szCs w:val="20"/>
                <w:lang w:eastAsia="en-AU"/>
              </w:rPr>
            </w:pPr>
          </w:p>
        </w:tc>
        <w:tc>
          <w:tcPr>
            <w:tcW w:w="661" w:type="dxa"/>
            <w:shd w:val="clear" w:color="auto" w:fill="auto"/>
            <w:noWrap/>
          </w:tcPr>
          <w:p w14:paraId="4B31E512" w14:textId="77777777" w:rsidR="00F33674" w:rsidRPr="00F33674" w:rsidRDefault="00F33674" w:rsidP="00F33674">
            <w:pPr>
              <w:jc w:val="right"/>
              <w:rPr>
                <w:rFonts w:ascii="Arial Narrow" w:hAnsi="Arial Narrow" w:cs="Calibri"/>
                <w:color w:val="000000"/>
                <w:sz w:val="20"/>
                <w:szCs w:val="20"/>
                <w:lang w:eastAsia="en-AU"/>
              </w:rPr>
            </w:pPr>
          </w:p>
        </w:tc>
        <w:tc>
          <w:tcPr>
            <w:tcW w:w="871" w:type="dxa"/>
            <w:shd w:val="clear" w:color="auto" w:fill="auto"/>
            <w:noWrap/>
          </w:tcPr>
          <w:p w14:paraId="542DD1D5" w14:textId="77777777" w:rsidR="00F33674" w:rsidRPr="00F33674" w:rsidRDefault="00F33674" w:rsidP="00F33674">
            <w:pPr>
              <w:jc w:val="right"/>
              <w:rPr>
                <w:rFonts w:ascii="Arial Narrow" w:hAnsi="Arial Narrow" w:cs="Calibri"/>
                <w:color w:val="000000"/>
                <w:sz w:val="20"/>
                <w:szCs w:val="20"/>
                <w:lang w:eastAsia="en-AU"/>
              </w:rPr>
            </w:pPr>
          </w:p>
        </w:tc>
        <w:tc>
          <w:tcPr>
            <w:tcW w:w="1569" w:type="dxa"/>
            <w:shd w:val="clear" w:color="auto" w:fill="auto"/>
            <w:noWrap/>
            <w:hideMark/>
          </w:tcPr>
          <w:p w14:paraId="7CD7C09A"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MS Contin</w:t>
            </w:r>
          </w:p>
        </w:tc>
        <w:tc>
          <w:tcPr>
            <w:tcW w:w="1429" w:type="dxa"/>
            <w:shd w:val="clear" w:color="auto" w:fill="auto"/>
            <w:noWrap/>
            <w:hideMark/>
          </w:tcPr>
          <w:p w14:paraId="7C04C72F"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Mundipharma Pty Limited</w:t>
            </w:r>
          </w:p>
        </w:tc>
      </w:tr>
      <w:tr w:rsidR="00F33674" w:rsidRPr="00F33674" w14:paraId="0AD2C582" w14:textId="77777777" w:rsidTr="00F33674">
        <w:trPr>
          <w:trHeight w:val="300"/>
        </w:trPr>
        <w:tc>
          <w:tcPr>
            <w:tcW w:w="1647" w:type="dxa"/>
            <w:shd w:val="clear" w:color="auto" w:fill="auto"/>
            <w:noWrap/>
          </w:tcPr>
          <w:p w14:paraId="47095D71" w14:textId="77777777" w:rsidR="00F33674" w:rsidRPr="00F33674" w:rsidRDefault="00F33674" w:rsidP="00F33674">
            <w:pPr>
              <w:jc w:val="left"/>
              <w:rPr>
                <w:rFonts w:ascii="Arial Narrow" w:hAnsi="Arial Narrow" w:cs="Calibri"/>
                <w:color w:val="000000"/>
                <w:sz w:val="20"/>
                <w:szCs w:val="20"/>
                <w:lang w:eastAsia="en-AU"/>
              </w:rPr>
            </w:pPr>
          </w:p>
        </w:tc>
        <w:tc>
          <w:tcPr>
            <w:tcW w:w="827" w:type="dxa"/>
          </w:tcPr>
          <w:p w14:paraId="4D5290EA" w14:textId="77777777" w:rsidR="00F33674" w:rsidRPr="00F33674" w:rsidRDefault="00F33674" w:rsidP="00F33674">
            <w:pPr>
              <w:jc w:val="left"/>
              <w:rPr>
                <w:rFonts w:ascii="Arial Narrow" w:hAnsi="Arial Narrow" w:cs="Calibri"/>
                <w:color w:val="000000"/>
                <w:sz w:val="20"/>
                <w:szCs w:val="20"/>
                <w:lang w:eastAsia="en-AU"/>
              </w:rPr>
            </w:pPr>
          </w:p>
        </w:tc>
        <w:tc>
          <w:tcPr>
            <w:tcW w:w="2693" w:type="dxa"/>
            <w:vMerge/>
            <w:shd w:val="clear" w:color="auto" w:fill="auto"/>
            <w:noWrap/>
          </w:tcPr>
          <w:p w14:paraId="738E4B2E" w14:textId="77777777" w:rsidR="00F33674" w:rsidRPr="00F33674" w:rsidRDefault="00F33674" w:rsidP="00F33674">
            <w:pPr>
              <w:jc w:val="left"/>
              <w:rPr>
                <w:rFonts w:ascii="Arial Narrow" w:hAnsi="Arial Narrow" w:cs="Calibri"/>
                <w:color w:val="000000"/>
                <w:sz w:val="20"/>
                <w:szCs w:val="20"/>
                <w:lang w:eastAsia="en-AU"/>
              </w:rPr>
            </w:pPr>
          </w:p>
        </w:tc>
        <w:tc>
          <w:tcPr>
            <w:tcW w:w="661" w:type="dxa"/>
            <w:shd w:val="clear" w:color="auto" w:fill="auto"/>
            <w:noWrap/>
          </w:tcPr>
          <w:p w14:paraId="34E70C50" w14:textId="77777777" w:rsidR="00F33674" w:rsidRPr="00F33674" w:rsidRDefault="00F33674" w:rsidP="00F33674">
            <w:pPr>
              <w:jc w:val="right"/>
              <w:rPr>
                <w:rFonts w:ascii="Arial Narrow" w:hAnsi="Arial Narrow" w:cs="Calibri"/>
                <w:color w:val="000000"/>
                <w:sz w:val="20"/>
                <w:szCs w:val="20"/>
                <w:lang w:eastAsia="en-AU"/>
              </w:rPr>
            </w:pPr>
          </w:p>
        </w:tc>
        <w:tc>
          <w:tcPr>
            <w:tcW w:w="871" w:type="dxa"/>
            <w:shd w:val="clear" w:color="auto" w:fill="auto"/>
            <w:noWrap/>
          </w:tcPr>
          <w:p w14:paraId="1ED0226B" w14:textId="77777777" w:rsidR="00F33674" w:rsidRPr="00F33674" w:rsidRDefault="00F33674" w:rsidP="00F33674">
            <w:pPr>
              <w:jc w:val="right"/>
              <w:rPr>
                <w:rFonts w:ascii="Arial Narrow" w:hAnsi="Arial Narrow" w:cs="Calibri"/>
                <w:color w:val="000000"/>
                <w:sz w:val="20"/>
                <w:szCs w:val="20"/>
                <w:lang w:eastAsia="en-AU"/>
              </w:rPr>
            </w:pPr>
          </w:p>
        </w:tc>
        <w:tc>
          <w:tcPr>
            <w:tcW w:w="1569" w:type="dxa"/>
            <w:shd w:val="clear" w:color="auto" w:fill="auto"/>
            <w:noWrap/>
            <w:hideMark/>
          </w:tcPr>
          <w:p w14:paraId="31C5360B"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Momex SR 30</w:t>
            </w:r>
          </w:p>
        </w:tc>
        <w:tc>
          <w:tcPr>
            <w:tcW w:w="1429" w:type="dxa"/>
            <w:shd w:val="clear" w:color="auto" w:fill="auto"/>
            <w:noWrap/>
            <w:hideMark/>
          </w:tcPr>
          <w:p w14:paraId="75B70F4C"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Arrow Pharma Pty Ltd</w:t>
            </w:r>
          </w:p>
        </w:tc>
      </w:tr>
      <w:tr w:rsidR="00F33674" w:rsidRPr="00F33674" w14:paraId="046001F1" w14:textId="77777777" w:rsidTr="00F33674">
        <w:trPr>
          <w:trHeight w:val="300"/>
        </w:trPr>
        <w:tc>
          <w:tcPr>
            <w:tcW w:w="1647" w:type="dxa"/>
            <w:shd w:val="clear" w:color="auto" w:fill="auto"/>
            <w:noWrap/>
          </w:tcPr>
          <w:p w14:paraId="52EFB91C" w14:textId="77777777" w:rsidR="00F33674" w:rsidRPr="00F33674" w:rsidRDefault="00F33674" w:rsidP="00F33674">
            <w:pPr>
              <w:jc w:val="left"/>
              <w:rPr>
                <w:rFonts w:ascii="Arial Narrow" w:hAnsi="Arial Narrow" w:cs="Calibri"/>
                <w:color w:val="000000"/>
                <w:sz w:val="20"/>
                <w:szCs w:val="20"/>
                <w:lang w:eastAsia="en-AU"/>
              </w:rPr>
            </w:pPr>
          </w:p>
        </w:tc>
        <w:tc>
          <w:tcPr>
            <w:tcW w:w="827" w:type="dxa"/>
          </w:tcPr>
          <w:p w14:paraId="519D3971" w14:textId="77777777" w:rsidR="00F33674" w:rsidRPr="00F33674" w:rsidRDefault="00F33674" w:rsidP="00F33674">
            <w:pPr>
              <w:jc w:val="left"/>
              <w:rPr>
                <w:rFonts w:ascii="Arial Narrow" w:hAnsi="Arial Narrow" w:cs="Calibri"/>
                <w:color w:val="000000"/>
                <w:sz w:val="20"/>
                <w:szCs w:val="20"/>
                <w:lang w:eastAsia="en-AU"/>
              </w:rPr>
            </w:pPr>
          </w:p>
        </w:tc>
        <w:tc>
          <w:tcPr>
            <w:tcW w:w="2693" w:type="dxa"/>
            <w:vMerge/>
            <w:shd w:val="clear" w:color="auto" w:fill="auto"/>
            <w:noWrap/>
          </w:tcPr>
          <w:p w14:paraId="17B18ED4" w14:textId="77777777" w:rsidR="00F33674" w:rsidRPr="00F33674" w:rsidRDefault="00F33674" w:rsidP="00F33674">
            <w:pPr>
              <w:jc w:val="left"/>
              <w:rPr>
                <w:rFonts w:ascii="Arial Narrow" w:hAnsi="Arial Narrow" w:cs="Calibri"/>
                <w:color w:val="000000"/>
                <w:sz w:val="20"/>
                <w:szCs w:val="20"/>
                <w:lang w:eastAsia="en-AU"/>
              </w:rPr>
            </w:pPr>
          </w:p>
        </w:tc>
        <w:tc>
          <w:tcPr>
            <w:tcW w:w="661" w:type="dxa"/>
            <w:shd w:val="clear" w:color="auto" w:fill="auto"/>
            <w:noWrap/>
          </w:tcPr>
          <w:p w14:paraId="11C10847" w14:textId="77777777" w:rsidR="00F33674" w:rsidRPr="00F33674" w:rsidRDefault="00F33674" w:rsidP="00F33674">
            <w:pPr>
              <w:jc w:val="right"/>
              <w:rPr>
                <w:rFonts w:ascii="Arial Narrow" w:hAnsi="Arial Narrow" w:cs="Calibri"/>
                <w:color w:val="000000"/>
                <w:sz w:val="20"/>
                <w:szCs w:val="20"/>
                <w:lang w:eastAsia="en-AU"/>
              </w:rPr>
            </w:pPr>
          </w:p>
        </w:tc>
        <w:tc>
          <w:tcPr>
            <w:tcW w:w="871" w:type="dxa"/>
            <w:shd w:val="clear" w:color="auto" w:fill="auto"/>
            <w:noWrap/>
          </w:tcPr>
          <w:p w14:paraId="3567342E" w14:textId="77777777" w:rsidR="00F33674" w:rsidRPr="00F33674" w:rsidRDefault="00F33674" w:rsidP="00F33674">
            <w:pPr>
              <w:jc w:val="right"/>
              <w:rPr>
                <w:rFonts w:ascii="Arial Narrow" w:hAnsi="Arial Narrow" w:cs="Calibri"/>
                <w:color w:val="000000"/>
                <w:sz w:val="20"/>
                <w:szCs w:val="20"/>
                <w:lang w:eastAsia="en-AU"/>
              </w:rPr>
            </w:pPr>
          </w:p>
        </w:tc>
        <w:tc>
          <w:tcPr>
            <w:tcW w:w="1569" w:type="dxa"/>
            <w:shd w:val="clear" w:color="auto" w:fill="auto"/>
            <w:noWrap/>
            <w:hideMark/>
          </w:tcPr>
          <w:p w14:paraId="53499EE1"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Morphine MR AN</w:t>
            </w:r>
          </w:p>
        </w:tc>
        <w:tc>
          <w:tcPr>
            <w:tcW w:w="1429" w:type="dxa"/>
            <w:shd w:val="clear" w:color="auto" w:fill="auto"/>
            <w:noWrap/>
            <w:hideMark/>
          </w:tcPr>
          <w:p w14:paraId="4A60F33B"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Amneal Pharmaceuticals Pty Ltd</w:t>
            </w:r>
          </w:p>
        </w:tc>
      </w:tr>
      <w:tr w:rsidR="00F33674" w:rsidRPr="00F33674" w14:paraId="506BEA96" w14:textId="77777777" w:rsidTr="00F33674">
        <w:trPr>
          <w:trHeight w:val="300"/>
        </w:trPr>
        <w:tc>
          <w:tcPr>
            <w:tcW w:w="1647" w:type="dxa"/>
            <w:shd w:val="clear" w:color="auto" w:fill="auto"/>
            <w:noWrap/>
          </w:tcPr>
          <w:p w14:paraId="7237366A" w14:textId="77777777" w:rsidR="00F33674" w:rsidRPr="00F33674" w:rsidRDefault="00F33674" w:rsidP="00F33674">
            <w:pPr>
              <w:jc w:val="left"/>
              <w:rPr>
                <w:rFonts w:ascii="Arial Narrow" w:hAnsi="Arial Narrow" w:cs="Calibri"/>
                <w:color w:val="000000"/>
                <w:sz w:val="20"/>
                <w:szCs w:val="20"/>
                <w:lang w:eastAsia="en-AU"/>
              </w:rPr>
            </w:pPr>
          </w:p>
        </w:tc>
        <w:tc>
          <w:tcPr>
            <w:tcW w:w="827" w:type="dxa"/>
          </w:tcPr>
          <w:p w14:paraId="4B2F85BB" w14:textId="77777777" w:rsidR="00F33674" w:rsidRPr="00F33674" w:rsidRDefault="00F33674" w:rsidP="00F33674">
            <w:pPr>
              <w:jc w:val="left"/>
              <w:rPr>
                <w:rFonts w:ascii="Arial Narrow" w:hAnsi="Arial Narrow" w:cs="Calibri"/>
                <w:color w:val="000000"/>
                <w:sz w:val="20"/>
                <w:szCs w:val="20"/>
                <w:lang w:eastAsia="en-AU"/>
              </w:rPr>
            </w:pPr>
          </w:p>
        </w:tc>
        <w:tc>
          <w:tcPr>
            <w:tcW w:w="2693" w:type="dxa"/>
            <w:vMerge/>
            <w:shd w:val="clear" w:color="auto" w:fill="auto"/>
            <w:noWrap/>
          </w:tcPr>
          <w:p w14:paraId="792A2F45" w14:textId="77777777" w:rsidR="00F33674" w:rsidRPr="00F33674" w:rsidRDefault="00F33674" w:rsidP="00F33674">
            <w:pPr>
              <w:jc w:val="left"/>
              <w:rPr>
                <w:rFonts w:ascii="Arial Narrow" w:hAnsi="Arial Narrow" w:cs="Calibri"/>
                <w:color w:val="000000"/>
                <w:sz w:val="20"/>
                <w:szCs w:val="20"/>
                <w:lang w:eastAsia="en-AU"/>
              </w:rPr>
            </w:pPr>
          </w:p>
        </w:tc>
        <w:tc>
          <w:tcPr>
            <w:tcW w:w="661" w:type="dxa"/>
            <w:shd w:val="clear" w:color="auto" w:fill="auto"/>
            <w:noWrap/>
          </w:tcPr>
          <w:p w14:paraId="62647030" w14:textId="77777777" w:rsidR="00F33674" w:rsidRPr="00F33674" w:rsidRDefault="00F33674" w:rsidP="00F33674">
            <w:pPr>
              <w:jc w:val="right"/>
              <w:rPr>
                <w:rFonts w:ascii="Arial Narrow" w:hAnsi="Arial Narrow" w:cs="Calibri"/>
                <w:color w:val="000000"/>
                <w:sz w:val="20"/>
                <w:szCs w:val="20"/>
                <w:lang w:eastAsia="en-AU"/>
              </w:rPr>
            </w:pPr>
          </w:p>
        </w:tc>
        <w:tc>
          <w:tcPr>
            <w:tcW w:w="871" w:type="dxa"/>
            <w:shd w:val="clear" w:color="auto" w:fill="auto"/>
            <w:noWrap/>
          </w:tcPr>
          <w:p w14:paraId="4230C0AC" w14:textId="77777777" w:rsidR="00F33674" w:rsidRPr="00F33674" w:rsidRDefault="00F33674" w:rsidP="00F33674">
            <w:pPr>
              <w:jc w:val="right"/>
              <w:rPr>
                <w:rFonts w:ascii="Arial Narrow" w:hAnsi="Arial Narrow" w:cs="Calibri"/>
                <w:color w:val="000000"/>
                <w:sz w:val="20"/>
                <w:szCs w:val="20"/>
                <w:lang w:eastAsia="en-AU"/>
              </w:rPr>
            </w:pPr>
          </w:p>
        </w:tc>
        <w:tc>
          <w:tcPr>
            <w:tcW w:w="1569" w:type="dxa"/>
            <w:shd w:val="clear" w:color="auto" w:fill="auto"/>
            <w:noWrap/>
            <w:hideMark/>
          </w:tcPr>
          <w:p w14:paraId="635C5B27"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Morphine MR Mylan</w:t>
            </w:r>
          </w:p>
        </w:tc>
        <w:tc>
          <w:tcPr>
            <w:tcW w:w="1429" w:type="dxa"/>
            <w:shd w:val="clear" w:color="auto" w:fill="auto"/>
            <w:noWrap/>
            <w:hideMark/>
          </w:tcPr>
          <w:p w14:paraId="6921CABF"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Alphapharm Pty Ltd</w:t>
            </w:r>
          </w:p>
        </w:tc>
      </w:tr>
      <w:tr w:rsidR="00F33674" w:rsidRPr="00F33674" w14:paraId="30AD0259" w14:textId="77777777" w:rsidTr="00F33674">
        <w:trPr>
          <w:trHeight w:val="300"/>
        </w:trPr>
        <w:tc>
          <w:tcPr>
            <w:tcW w:w="1647" w:type="dxa"/>
            <w:shd w:val="clear" w:color="auto" w:fill="auto"/>
            <w:noWrap/>
          </w:tcPr>
          <w:p w14:paraId="5713573B" w14:textId="77777777" w:rsidR="00F33674" w:rsidRPr="00F33674" w:rsidRDefault="00F33674" w:rsidP="00F33674">
            <w:pPr>
              <w:jc w:val="left"/>
              <w:rPr>
                <w:rFonts w:ascii="Arial Narrow" w:hAnsi="Arial Narrow" w:cs="Calibri"/>
                <w:color w:val="000000"/>
                <w:sz w:val="20"/>
                <w:szCs w:val="20"/>
                <w:lang w:eastAsia="en-AU"/>
              </w:rPr>
            </w:pPr>
          </w:p>
        </w:tc>
        <w:tc>
          <w:tcPr>
            <w:tcW w:w="827" w:type="dxa"/>
          </w:tcPr>
          <w:p w14:paraId="1C064B00"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8035X</w:t>
            </w:r>
          </w:p>
        </w:tc>
        <w:tc>
          <w:tcPr>
            <w:tcW w:w="2693" w:type="dxa"/>
            <w:shd w:val="clear" w:color="auto" w:fill="auto"/>
            <w:noWrap/>
            <w:hideMark/>
          </w:tcPr>
          <w:p w14:paraId="38780D4D"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Tablet containing morphine sulfate pentahydrate 5 mg (controlled release)</w:t>
            </w:r>
          </w:p>
        </w:tc>
        <w:tc>
          <w:tcPr>
            <w:tcW w:w="661" w:type="dxa"/>
            <w:shd w:val="clear" w:color="auto" w:fill="auto"/>
            <w:noWrap/>
            <w:hideMark/>
          </w:tcPr>
          <w:p w14:paraId="70A315B1" w14:textId="77777777" w:rsidR="00F33674" w:rsidRPr="00F33674" w:rsidRDefault="00F33674" w:rsidP="00F33674">
            <w:pPr>
              <w:jc w:val="righ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28</w:t>
            </w:r>
          </w:p>
        </w:tc>
        <w:tc>
          <w:tcPr>
            <w:tcW w:w="871" w:type="dxa"/>
            <w:shd w:val="clear" w:color="auto" w:fill="auto"/>
            <w:noWrap/>
            <w:hideMark/>
          </w:tcPr>
          <w:p w14:paraId="3B841585" w14:textId="77777777" w:rsidR="00F33674" w:rsidRPr="00F33674" w:rsidRDefault="00F33674" w:rsidP="00F33674">
            <w:pPr>
              <w:jc w:val="righ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0</w:t>
            </w:r>
          </w:p>
        </w:tc>
        <w:tc>
          <w:tcPr>
            <w:tcW w:w="1569" w:type="dxa"/>
            <w:shd w:val="clear" w:color="auto" w:fill="auto"/>
            <w:noWrap/>
            <w:hideMark/>
          </w:tcPr>
          <w:p w14:paraId="553A70A6"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MS Contin</w:t>
            </w:r>
          </w:p>
        </w:tc>
        <w:tc>
          <w:tcPr>
            <w:tcW w:w="1429" w:type="dxa"/>
            <w:shd w:val="clear" w:color="auto" w:fill="auto"/>
            <w:noWrap/>
            <w:hideMark/>
          </w:tcPr>
          <w:p w14:paraId="3E006845"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Mundipharma Pty Limited</w:t>
            </w:r>
          </w:p>
        </w:tc>
      </w:tr>
      <w:tr w:rsidR="00F33674" w:rsidRPr="00F33674" w14:paraId="639E6BC3" w14:textId="77777777" w:rsidTr="00F33674">
        <w:trPr>
          <w:trHeight w:val="300"/>
        </w:trPr>
        <w:tc>
          <w:tcPr>
            <w:tcW w:w="1647" w:type="dxa"/>
            <w:shd w:val="clear" w:color="auto" w:fill="auto"/>
            <w:noWrap/>
          </w:tcPr>
          <w:p w14:paraId="783FDDA8" w14:textId="77777777" w:rsidR="00F33674" w:rsidRPr="00F33674" w:rsidRDefault="00F33674" w:rsidP="00F33674">
            <w:pPr>
              <w:jc w:val="left"/>
              <w:rPr>
                <w:rFonts w:ascii="Arial Narrow" w:hAnsi="Arial Narrow" w:cs="Calibri"/>
                <w:color w:val="000000"/>
                <w:sz w:val="20"/>
                <w:szCs w:val="20"/>
                <w:lang w:eastAsia="en-AU"/>
              </w:rPr>
            </w:pPr>
          </w:p>
        </w:tc>
        <w:tc>
          <w:tcPr>
            <w:tcW w:w="827" w:type="dxa"/>
          </w:tcPr>
          <w:p w14:paraId="45276141"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1655D</w:t>
            </w:r>
          </w:p>
        </w:tc>
        <w:tc>
          <w:tcPr>
            <w:tcW w:w="2693" w:type="dxa"/>
            <w:vMerge w:val="restart"/>
            <w:shd w:val="clear" w:color="auto" w:fill="auto"/>
            <w:noWrap/>
            <w:hideMark/>
          </w:tcPr>
          <w:p w14:paraId="12CAD1C2"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Tablet containing morphine sulfate pentahydrate 60 mg (controlled release)</w:t>
            </w:r>
          </w:p>
        </w:tc>
        <w:tc>
          <w:tcPr>
            <w:tcW w:w="661" w:type="dxa"/>
            <w:shd w:val="clear" w:color="auto" w:fill="auto"/>
            <w:noWrap/>
            <w:hideMark/>
          </w:tcPr>
          <w:p w14:paraId="09DDBC79" w14:textId="77777777" w:rsidR="00F33674" w:rsidRPr="00F33674" w:rsidRDefault="00F33674" w:rsidP="00F33674">
            <w:pPr>
              <w:jc w:val="righ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28</w:t>
            </w:r>
          </w:p>
        </w:tc>
        <w:tc>
          <w:tcPr>
            <w:tcW w:w="871" w:type="dxa"/>
            <w:shd w:val="clear" w:color="auto" w:fill="auto"/>
            <w:noWrap/>
            <w:hideMark/>
          </w:tcPr>
          <w:p w14:paraId="1A941BE4" w14:textId="77777777" w:rsidR="00F33674" w:rsidRPr="00F33674" w:rsidRDefault="00F33674" w:rsidP="00F33674">
            <w:pPr>
              <w:jc w:val="righ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0</w:t>
            </w:r>
          </w:p>
        </w:tc>
        <w:tc>
          <w:tcPr>
            <w:tcW w:w="1569" w:type="dxa"/>
            <w:shd w:val="clear" w:color="auto" w:fill="auto"/>
            <w:noWrap/>
            <w:hideMark/>
          </w:tcPr>
          <w:p w14:paraId="3EFEBA91"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MORPHINE MR APOTEX</w:t>
            </w:r>
          </w:p>
        </w:tc>
        <w:tc>
          <w:tcPr>
            <w:tcW w:w="1429" w:type="dxa"/>
            <w:shd w:val="clear" w:color="auto" w:fill="auto"/>
            <w:noWrap/>
            <w:hideMark/>
          </w:tcPr>
          <w:p w14:paraId="4D48241E"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Apotex Pty Ltd</w:t>
            </w:r>
          </w:p>
        </w:tc>
      </w:tr>
      <w:tr w:rsidR="00F33674" w:rsidRPr="00F33674" w14:paraId="3469F3FE" w14:textId="77777777" w:rsidTr="00F33674">
        <w:trPr>
          <w:trHeight w:val="300"/>
        </w:trPr>
        <w:tc>
          <w:tcPr>
            <w:tcW w:w="1647" w:type="dxa"/>
            <w:shd w:val="clear" w:color="auto" w:fill="auto"/>
            <w:noWrap/>
          </w:tcPr>
          <w:p w14:paraId="4F990203" w14:textId="77777777" w:rsidR="00F33674" w:rsidRPr="00F33674" w:rsidRDefault="00F33674" w:rsidP="00F33674">
            <w:pPr>
              <w:jc w:val="left"/>
              <w:rPr>
                <w:rFonts w:ascii="Arial Narrow" w:hAnsi="Arial Narrow" w:cs="Calibri"/>
                <w:color w:val="000000"/>
                <w:sz w:val="20"/>
                <w:szCs w:val="20"/>
                <w:lang w:eastAsia="en-AU"/>
              </w:rPr>
            </w:pPr>
          </w:p>
        </w:tc>
        <w:tc>
          <w:tcPr>
            <w:tcW w:w="827" w:type="dxa"/>
          </w:tcPr>
          <w:p w14:paraId="3BEF15B1" w14:textId="77777777" w:rsidR="00F33674" w:rsidRPr="00F33674" w:rsidRDefault="00F33674" w:rsidP="00F33674">
            <w:pPr>
              <w:jc w:val="left"/>
              <w:rPr>
                <w:rFonts w:ascii="Arial Narrow" w:hAnsi="Arial Narrow" w:cs="Calibri"/>
                <w:color w:val="000000"/>
                <w:sz w:val="20"/>
                <w:szCs w:val="20"/>
                <w:lang w:eastAsia="en-AU"/>
              </w:rPr>
            </w:pPr>
          </w:p>
        </w:tc>
        <w:tc>
          <w:tcPr>
            <w:tcW w:w="2693" w:type="dxa"/>
            <w:vMerge/>
            <w:shd w:val="clear" w:color="auto" w:fill="auto"/>
            <w:noWrap/>
          </w:tcPr>
          <w:p w14:paraId="5E1FF0A7" w14:textId="77777777" w:rsidR="00F33674" w:rsidRPr="00F33674" w:rsidRDefault="00F33674" w:rsidP="00F33674">
            <w:pPr>
              <w:jc w:val="left"/>
              <w:rPr>
                <w:rFonts w:ascii="Arial Narrow" w:hAnsi="Arial Narrow" w:cs="Calibri"/>
                <w:color w:val="000000"/>
                <w:sz w:val="20"/>
                <w:szCs w:val="20"/>
                <w:lang w:eastAsia="en-AU"/>
              </w:rPr>
            </w:pPr>
          </w:p>
        </w:tc>
        <w:tc>
          <w:tcPr>
            <w:tcW w:w="661" w:type="dxa"/>
            <w:shd w:val="clear" w:color="auto" w:fill="auto"/>
            <w:noWrap/>
          </w:tcPr>
          <w:p w14:paraId="0A603035" w14:textId="77777777" w:rsidR="00F33674" w:rsidRPr="00F33674" w:rsidRDefault="00F33674" w:rsidP="00F33674">
            <w:pPr>
              <w:jc w:val="right"/>
              <w:rPr>
                <w:rFonts w:ascii="Arial Narrow" w:hAnsi="Arial Narrow" w:cs="Calibri"/>
                <w:color w:val="000000"/>
                <w:sz w:val="20"/>
                <w:szCs w:val="20"/>
                <w:lang w:eastAsia="en-AU"/>
              </w:rPr>
            </w:pPr>
          </w:p>
        </w:tc>
        <w:tc>
          <w:tcPr>
            <w:tcW w:w="871" w:type="dxa"/>
            <w:shd w:val="clear" w:color="auto" w:fill="auto"/>
            <w:noWrap/>
          </w:tcPr>
          <w:p w14:paraId="27260632" w14:textId="77777777" w:rsidR="00F33674" w:rsidRPr="00F33674" w:rsidRDefault="00F33674" w:rsidP="00F33674">
            <w:pPr>
              <w:jc w:val="right"/>
              <w:rPr>
                <w:rFonts w:ascii="Arial Narrow" w:hAnsi="Arial Narrow" w:cs="Calibri"/>
                <w:color w:val="000000"/>
                <w:sz w:val="20"/>
                <w:szCs w:val="20"/>
                <w:lang w:eastAsia="en-AU"/>
              </w:rPr>
            </w:pPr>
          </w:p>
        </w:tc>
        <w:tc>
          <w:tcPr>
            <w:tcW w:w="1569" w:type="dxa"/>
            <w:shd w:val="clear" w:color="auto" w:fill="auto"/>
            <w:noWrap/>
            <w:hideMark/>
          </w:tcPr>
          <w:p w14:paraId="78C874B1"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MS Contin</w:t>
            </w:r>
          </w:p>
        </w:tc>
        <w:tc>
          <w:tcPr>
            <w:tcW w:w="1429" w:type="dxa"/>
            <w:shd w:val="clear" w:color="auto" w:fill="auto"/>
            <w:noWrap/>
            <w:hideMark/>
          </w:tcPr>
          <w:p w14:paraId="3D31A3E9"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Mundipharma Pty Limited</w:t>
            </w:r>
          </w:p>
        </w:tc>
      </w:tr>
      <w:tr w:rsidR="00F33674" w:rsidRPr="00F33674" w14:paraId="420119D4" w14:textId="77777777" w:rsidTr="00F33674">
        <w:trPr>
          <w:trHeight w:val="300"/>
        </w:trPr>
        <w:tc>
          <w:tcPr>
            <w:tcW w:w="1647" w:type="dxa"/>
            <w:shd w:val="clear" w:color="auto" w:fill="auto"/>
            <w:noWrap/>
          </w:tcPr>
          <w:p w14:paraId="5FC222A6" w14:textId="77777777" w:rsidR="00F33674" w:rsidRPr="00F33674" w:rsidRDefault="00F33674" w:rsidP="00F33674">
            <w:pPr>
              <w:jc w:val="left"/>
              <w:rPr>
                <w:rFonts w:ascii="Arial Narrow" w:hAnsi="Arial Narrow" w:cs="Calibri"/>
                <w:color w:val="000000"/>
                <w:sz w:val="20"/>
                <w:szCs w:val="20"/>
                <w:lang w:eastAsia="en-AU"/>
              </w:rPr>
            </w:pPr>
          </w:p>
        </w:tc>
        <w:tc>
          <w:tcPr>
            <w:tcW w:w="827" w:type="dxa"/>
          </w:tcPr>
          <w:p w14:paraId="35B8302B" w14:textId="77777777" w:rsidR="00F33674" w:rsidRPr="00F33674" w:rsidRDefault="00F33674" w:rsidP="00F33674">
            <w:pPr>
              <w:jc w:val="left"/>
              <w:rPr>
                <w:rFonts w:ascii="Arial Narrow" w:hAnsi="Arial Narrow" w:cs="Calibri"/>
                <w:color w:val="000000"/>
                <w:sz w:val="20"/>
                <w:szCs w:val="20"/>
                <w:lang w:eastAsia="en-AU"/>
              </w:rPr>
            </w:pPr>
          </w:p>
        </w:tc>
        <w:tc>
          <w:tcPr>
            <w:tcW w:w="2693" w:type="dxa"/>
            <w:vMerge/>
            <w:shd w:val="clear" w:color="auto" w:fill="auto"/>
            <w:noWrap/>
          </w:tcPr>
          <w:p w14:paraId="761CB0BE" w14:textId="77777777" w:rsidR="00F33674" w:rsidRPr="00F33674" w:rsidRDefault="00F33674" w:rsidP="00F33674">
            <w:pPr>
              <w:jc w:val="left"/>
              <w:rPr>
                <w:rFonts w:ascii="Arial Narrow" w:hAnsi="Arial Narrow" w:cs="Calibri"/>
                <w:color w:val="000000"/>
                <w:sz w:val="20"/>
                <w:szCs w:val="20"/>
                <w:lang w:eastAsia="en-AU"/>
              </w:rPr>
            </w:pPr>
          </w:p>
        </w:tc>
        <w:tc>
          <w:tcPr>
            <w:tcW w:w="661" w:type="dxa"/>
            <w:shd w:val="clear" w:color="auto" w:fill="auto"/>
            <w:noWrap/>
          </w:tcPr>
          <w:p w14:paraId="45B56208" w14:textId="77777777" w:rsidR="00F33674" w:rsidRPr="00F33674" w:rsidRDefault="00F33674" w:rsidP="00F33674">
            <w:pPr>
              <w:jc w:val="right"/>
              <w:rPr>
                <w:rFonts w:ascii="Arial Narrow" w:hAnsi="Arial Narrow" w:cs="Calibri"/>
                <w:color w:val="000000"/>
                <w:sz w:val="20"/>
                <w:szCs w:val="20"/>
                <w:lang w:eastAsia="en-AU"/>
              </w:rPr>
            </w:pPr>
          </w:p>
        </w:tc>
        <w:tc>
          <w:tcPr>
            <w:tcW w:w="871" w:type="dxa"/>
            <w:shd w:val="clear" w:color="auto" w:fill="auto"/>
            <w:noWrap/>
          </w:tcPr>
          <w:p w14:paraId="5A7EB43B" w14:textId="77777777" w:rsidR="00F33674" w:rsidRPr="00F33674" w:rsidRDefault="00F33674" w:rsidP="00F33674">
            <w:pPr>
              <w:jc w:val="right"/>
              <w:rPr>
                <w:rFonts w:ascii="Arial Narrow" w:hAnsi="Arial Narrow" w:cs="Calibri"/>
                <w:color w:val="000000"/>
                <w:sz w:val="20"/>
                <w:szCs w:val="20"/>
                <w:lang w:eastAsia="en-AU"/>
              </w:rPr>
            </w:pPr>
          </w:p>
        </w:tc>
        <w:tc>
          <w:tcPr>
            <w:tcW w:w="1569" w:type="dxa"/>
            <w:shd w:val="clear" w:color="auto" w:fill="auto"/>
            <w:noWrap/>
            <w:hideMark/>
          </w:tcPr>
          <w:p w14:paraId="49D527C8"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Momex SR 60</w:t>
            </w:r>
          </w:p>
        </w:tc>
        <w:tc>
          <w:tcPr>
            <w:tcW w:w="1429" w:type="dxa"/>
            <w:shd w:val="clear" w:color="auto" w:fill="auto"/>
            <w:noWrap/>
            <w:hideMark/>
          </w:tcPr>
          <w:p w14:paraId="1163F029"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Arrow Pharma Pty Ltd</w:t>
            </w:r>
          </w:p>
        </w:tc>
      </w:tr>
      <w:tr w:rsidR="00F33674" w:rsidRPr="00F33674" w14:paraId="665B16CE" w14:textId="77777777" w:rsidTr="00F33674">
        <w:trPr>
          <w:trHeight w:val="300"/>
        </w:trPr>
        <w:tc>
          <w:tcPr>
            <w:tcW w:w="1647" w:type="dxa"/>
            <w:shd w:val="clear" w:color="auto" w:fill="auto"/>
            <w:noWrap/>
          </w:tcPr>
          <w:p w14:paraId="3F48B80D" w14:textId="77777777" w:rsidR="00F33674" w:rsidRPr="00F33674" w:rsidRDefault="00F33674" w:rsidP="00F33674">
            <w:pPr>
              <w:jc w:val="left"/>
              <w:rPr>
                <w:rFonts w:ascii="Arial Narrow" w:hAnsi="Arial Narrow" w:cs="Calibri"/>
                <w:color w:val="000000"/>
                <w:sz w:val="20"/>
                <w:szCs w:val="20"/>
                <w:lang w:eastAsia="en-AU"/>
              </w:rPr>
            </w:pPr>
          </w:p>
        </w:tc>
        <w:tc>
          <w:tcPr>
            <w:tcW w:w="827" w:type="dxa"/>
          </w:tcPr>
          <w:p w14:paraId="63C9A2FC" w14:textId="77777777" w:rsidR="00F33674" w:rsidRPr="00F33674" w:rsidRDefault="00F33674" w:rsidP="00F33674">
            <w:pPr>
              <w:jc w:val="left"/>
              <w:rPr>
                <w:rFonts w:ascii="Arial Narrow" w:hAnsi="Arial Narrow" w:cs="Calibri"/>
                <w:color w:val="000000"/>
                <w:sz w:val="20"/>
                <w:szCs w:val="20"/>
                <w:lang w:eastAsia="en-AU"/>
              </w:rPr>
            </w:pPr>
          </w:p>
        </w:tc>
        <w:tc>
          <w:tcPr>
            <w:tcW w:w="2693" w:type="dxa"/>
            <w:vMerge/>
            <w:shd w:val="clear" w:color="auto" w:fill="auto"/>
            <w:noWrap/>
          </w:tcPr>
          <w:p w14:paraId="497E9CB3" w14:textId="77777777" w:rsidR="00F33674" w:rsidRPr="00F33674" w:rsidRDefault="00F33674" w:rsidP="00F33674">
            <w:pPr>
              <w:jc w:val="left"/>
              <w:rPr>
                <w:rFonts w:ascii="Arial Narrow" w:hAnsi="Arial Narrow" w:cs="Calibri"/>
                <w:color w:val="000000"/>
                <w:sz w:val="20"/>
                <w:szCs w:val="20"/>
                <w:lang w:eastAsia="en-AU"/>
              </w:rPr>
            </w:pPr>
          </w:p>
        </w:tc>
        <w:tc>
          <w:tcPr>
            <w:tcW w:w="661" w:type="dxa"/>
            <w:shd w:val="clear" w:color="auto" w:fill="auto"/>
            <w:noWrap/>
          </w:tcPr>
          <w:p w14:paraId="194E623C" w14:textId="77777777" w:rsidR="00F33674" w:rsidRPr="00F33674" w:rsidRDefault="00F33674" w:rsidP="00F33674">
            <w:pPr>
              <w:jc w:val="right"/>
              <w:rPr>
                <w:rFonts w:ascii="Arial Narrow" w:hAnsi="Arial Narrow" w:cs="Calibri"/>
                <w:color w:val="000000"/>
                <w:sz w:val="20"/>
                <w:szCs w:val="20"/>
                <w:lang w:eastAsia="en-AU"/>
              </w:rPr>
            </w:pPr>
          </w:p>
        </w:tc>
        <w:tc>
          <w:tcPr>
            <w:tcW w:w="871" w:type="dxa"/>
            <w:shd w:val="clear" w:color="auto" w:fill="auto"/>
            <w:noWrap/>
          </w:tcPr>
          <w:p w14:paraId="6F1B5E27" w14:textId="77777777" w:rsidR="00F33674" w:rsidRPr="00F33674" w:rsidRDefault="00F33674" w:rsidP="00F33674">
            <w:pPr>
              <w:jc w:val="right"/>
              <w:rPr>
                <w:rFonts w:ascii="Arial Narrow" w:hAnsi="Arial Narrow" w:cs="Calibri"/>
                <w:color w:val="000000"/>
                <w:sz w:val="20"/>
                <w:szCs w:val="20"/>
                <w:lang w:eastAsia="en-AU"/>
              </w:rPr>
            </w:pPr>
          </w:p>
        </w:tc>
        <w:tc>
          <w:tcPr>
            <w:tcW w:w="1569" w:type="dxa"/>
            <w:shd w:val="clear" w:color="auto" w:fill="auto"/>
            <w:noWrap/>
            <w:hideMark/>
          </w:tcPr>
          <w:p w14:paraId="07F7ED84"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Morphine MR AN</w:t>
            </w:r>
          </w:p>
        </w:tc>
        <w:tc>
          <w:tcPr>
            <w:tcW w:w="1429" w:type="dxa"/>
            <w:shd w:val="clear" w:color="auto" w:fill="auto"/>
            <w:noWrap/>
            <w:hideMark/>
          </w:tcPr>
          <w:p w14:paraId="4D5F916E"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Amneal Pharmaceuticals Pty Ltd</w:t>
            </w:r>
          </w:p>
        </w:tc>
      </w:tr>
      <w:tr w:rsidR="00F33674" w:rsidRPr="00F33674" w14:paraId="5370E29C" w14:textId="77777777" w:rsidTr="00F33674">
        <w:trPr>
          <w:trHeight w:val="300"/>
        </w:trPr>
        <w:tc>
          <w:tcPr>
            <w:tcW w:w="1647" w:type="dxa"/>
            <w:shd w:val="clear" w:color="auto" w:fill="auto"/>
            <w:noWrap/>
          </w:tcPr>
          <w:p w14:paraId="4F86C19D" w14:textId="77777777" w:rsidR="00F33674" w:rsidRPr="00F33674" w:rsidRDefault="00F33674" w:rsidP="00F33674">
            <w:pPr>
              <w:jc w:val="left"/>
              <w:rPr>
                <w:rFonts w:ascii="Arial Narrow" w:hAnsi="Arial Narrow" w:cs="Calibri"/>
                <w:color w:val="000000"/>
                <w:sz w:val="20"/>
                <w:szCs w:val="20"/>
                <w:lang w:eastAsia="en-AU"/>
              </w:rPr>
            </w:pPr>
          </w:p>
        </w:tc>
        <w:tc>
          <w:tcPr>
            <w:tcW w:w="827" w:type="dxa"/>
          </w:tcPr>
          <w:p w14:paraId="7FBE89A2" w14:textId="77777777" w:rsidR="00F33674" w:rsidRPr="00F33674" w:rsidRDefault="00F33674" w:rsidP="00F33674">
            <w:pPr>
              <w:jc w:val="left"/>
              <w:rPr>
                <w:rFonts w:ascii="Arial Narrow" w:hAnsi="Arial Narrow" w:cs="Calibri"/>
                <w:color w:val="000000"/>
                <w:sz w:val="20"/>
                <w:szCs w:val="20"/>
                <w:lang w:eastAsia="en-AU"/>
              </w:rPr>
            </w:pPr>
          </w:p>
        </w:tc>
        <w:tc>
          <w:tcPr>
            <w:tcW w:w="2693" w:type="dxa"/>
            <w:vMerge/>
            <w:shd w:val="clear" w:color="auto" w:fill="auto"/>
            <w:noWrap/>
          </w:tcPr>
          <w:p w14:paraId="4BB317BE" w14:textId="77777777" w:rsidR="00F33674" w:rsidRPr="00F33674" w:rsidRDefault="00F33674" w:rsidP="00F33674">
            <w:pPr>
              <w:jc w:val="left"/>
              <w:rPr>
                <w:rFonts w:ascii="Arial Narrow" w:hAnsi="Arial Narrow" w:cs="Calibri"/>
                <w:color w:val="000000"/>
                <w:sz w:val="20"/>
                <w:szCs w:val="20"/>
                <w:lang w:eastAsia="en-AU"/>
              </w:rPr>
            </w:pPr>
          </w:p>
        </w:tc>
        <w:tc>
          <w:tcPr>
            <w:tcW w:w="661" w:type="dxa"/>
            <w:shd w:val="clear" w:color="auto" w:fill="auto"/>
            <w:noWrap/>
          </w:tcPr>
          <w:p w14:paraId="30A2B2A9" w14:textId="77777777" w:rsidR="00F33674" w:rsidRPr="00F33674" w:rsidRDefault="00F33674" w:rsidP="00F33674">
            <w:pPr>
              <w:jc w:val="right"/>
              <w:rPr>
                <w:rFonts w:ascii="Arial Narrow" w:hAnsi="Arial Narrow" w:cs="Calibri"/>
                <w:color w:val="000000"/>
                <w:sz w:val="20"/>
                <w:szCs w:val="20"/>
                <w:lang w:eastAsia="en-AU"/>
              </w:rPr>
            </w:pPr>
          </w:p>
        </w:tc>
        <w:tc>
          <w:tcPr>
            <w:tcW w:w="871" w:type="dxa"/>
            <w:shd w:val="clear" w:color="auto" w:fill="auto"/>
            <w:noWrap/>
          </w:tcPr>
          <w:p w14:paraId="6CACC0AE" w14:textId="77777777" w:rsidR="00F33674" w:rsidRPr="00F33674" w:rsidRDefault="00F33674" w:rsidP="00F33674">
            <w:pPr>
              <w:jc w:val="right"/>
              <w:rPr>
                <w:rFonts w:ascii="Arial Narrow" w:hAnsi="Arial Narrow" w:cs="Calibri"/>
                <w:color w:val="000000"/>
                <w:sz w:val="20"/>
                <w:szCs w:val="20"/>
                <w:lang w:eastAsia="en-AU"/>
              </w:rPr>
            </w:pPr>
          </w:p>
        </w:tc>
        <w:tc>
          <w:tcPr>
            <w:tcW w:w="1569" w:type="dxa"/>
            <w:shd w:val="clear" w:color="auto" w:fill="auto"/>
            <w:noWrap/>
            <w:hideMark/>
          </w:tcPr>
          <w:p w14:paraId="3A68B165"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Morphine MR Mylan</w:t>
            </w:r>
          </w:p>
        </w:tc>
        <w:tc>
          <w:tcPr>
            <w:tcW w:w="1429" w:type="dxa"/>
            <w:shd w:val="clear" w:color="auto" w:fill="auto"/>
            <w:noWrap/>
            <w:hideMark/>
          </w:tcPr>
          <w:p w14:paraId="5D6A55F8"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Alphapharm Pty Ltd</w:t>
            </w:r>
          </w:p>
        </w:tc>
      </w:tr>
      <w:tr w:rsidR="00F33674" w:rsidRPr="00F33674" w14:paraId="3E0B9300" w14:textId="77777777" w:rsidTr="00F33674">
        <w:trPr>
          <w:trHeight w:val="300"/>
        </w:trPr>
        <w:tc>
          <w:tcPr>
            <w:tcW w:w="1647" w:type="dxa"/>
            <w:shd w:val="clear" w:color="auto" w:fill="auto"/>
            <w:noWrap/>
            <w:hideMark/>
          </w:tcPr>
          <w:p w14:paraId="2CB25A82"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OXYCODONE WITH NALOXONE</w:t>
            </w:r>
          </w:p>
        </w:tc>
        <w:tc>
          <w:tcPr>
            <w:tcW w:w="827" w:type="dxa"/>
          </w:tcPr>
          <w:p w14:paraId="5146ECEA"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8934F</w:t>
            </w:r>
          </w:p>
        </w:tc>
        <w:tc>
          <w:tcPr>
            <w:tcW w:w="2693" w:type="dxa"/>
            <w:shd w:val="clear" w:color="auto" w:fill="auto"/>
            <w:noWrap/>
            <w:hideMark/>
          </w:tcPr>
          <w:p w14:paraId="28FBB5FC"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Tablet (controlled release) containing oxycodone hydrochloride 10 mg with naloxone hydrochloride 5 mg</w:t>
            </w:r>
          </w:p>
        </w:tc>
        <w:tc>
          <w:tcPr>
            <w:tcW w:w="661" w:type="dxa"/>
            <w:shd w:val="clear" w:color="auto" w:fill="auto"/>
            <w:noWrap/>
            <w:hideMark/>
          </w:tcPr>
          <w:p w14:paraId="5B814A61" w14:textId="77777777" w:rsidR="00F33674" w:rsidRPr="00F33674" w:rsidRDefault="00F33674" w:rsidP="00F33674">
            <w:pPr>
              <w:jc w:val="righ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28</w:t>
            </w:r>
          </w:p>
        </w:tc>
        <w:tc>
          <w:tcPr>
            <w:tcW w:w="871" w:type="dxa"/>
            <w:shd w:val="clear" w:color="auto" w:fill="auto"/>
            <w:noWrap/>
            <w:hideMark/>
          </w:tcPr>
          <w:p w14:paraId="0A0F502C" w14:textId="77777777" w:rsidR="00F33674" w:rsidRPr="00F33674" w:rsidRDefault="00F33674" w:rsidP="00F33674">
            <w:pPr>
              <w:jc w:val="righ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0</w:t>
            </w:r>
          </w:p>
        </w:tc>
        <w:tc>
          <w:tcPr>
            <w:tcW w:w="1569" w:type="dxa"/>
            <w:shd w:val="clear" w:color="auto" w:fill="auto"/>
            <w:noWrap/>
            <w:hideMark/>
          </w:tcPr>
          <w:p w14:paraId="08834ECD"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Targin 10/5mg</w:t>
            </w:r>
          </w:p>
        </w:tc>
        <w:tc>
          <w:tcPr>
            <w:tcW w:w="1429" w:type="dxa"/>
            <w:shd w:val="clear" w:color="auto" w:fill="auto"/>
            <w:noWrap/>
            <w:hideMark/>
          </w:tcPr>
          <w:p w14:paraId="3072C565"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Mundipharma Pty Limited</w:t>
            </w:r>
          </w:p>
        </w:tc>
      </w:tr>
      <w:tr w:rsidR="00F33674" w:rsidRPr="00F33674" w14:paraId="517F0E32" w14:textId="77777777" w:rsidTr="00F33674">
        <w:trPr>
          <w:trHeight w:val="300"/>
        </w:trPr>
        <w:tc>
          <w:tcPr>
            <w:tcW w:w="1647" w:type="dxa"/>
            <w:shd w:val="clear" w:color="auto" w:fill="auto"/>
            <w:noWrap/>
          </w:tcPr>
          <w:p w14:paraId="5D1342A3" w14:textId="77777777" w:rsidR="00F33674" w:rsidRPr="00F33674" w:rsidRDefault="00F33674" w:rsidP="00F33674">
            <w:pPr>
              <w:jc w:val="left"/>
              <w:rPr>
                <w:rFonts w:ascii="Arial Narrow" w:hAnsi="Arial Narrow" w:cs="Calibri"/>
                <w:color w:val="000000"/>
                <w:sz w:val="20"/>
                <w:szCs w:val="20"/>
                <w:lang w:eastAsia="en-AU"/>
              </w:rPr>
            </w:pPr>
          </w:p>
        </w:tc>
        <w:tc>
          <w:tcPr>
            <w:tcW w:w="827" w:type="dxa"/>
          </w:tcPr>
          <w:p w14:paraId="46F046AC"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10757E</w:t>
            </w:r>
          </w:p>
        </w:tc>
        <w:tc>
          <w:tcPr>
            <w:tcW w:w="2693" w:type="dxa"/>
            <w:shd w:val="clear" w:color="auto" w:fill="auto"/>
            <w:noWrap/>
            <w:hideMark/>
          </w:tcPr>
          <w:p w14:paraId="0AD41E10"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Tablet (controlled release) containing oxycodone hydrochloride 15 mg with naloxone hydrochloride 7.5 mg</w:t>
            </w:r>
          </w:p>
        </w:tc>
        <w:tc>
          <w:tcPr>
            <w:tcW w:w="661" w:type="dxa"/>
            <w:shd w:val="clear" w:color="auto" w:fill="auto"/>
            <w:noWrap/>
            <w:hideMark/>
          </w:tcPr>
          <w:p w14:paraId="0691FCAB" w14:textId="77777777" w:rsidR="00F33674" w:rsidRPr="00F33674" w:rsidRDefault="00F33674" w:rsidP="00F33674">
            <w:pPr>
              <w:jc w:val="righ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28</w:t>
            </w:r>
          </w:p>
        </w:tc>
        <w:tc>
          <w:tcPr>
            <w:tcW w:w="871" w:type="dxa"/>
            <w:shd w:val="clear" w:color="auto" w:fill="auto"/>
            <w:noWrap/>
            <w:hideMark/>
          </w:tcPr>
          <w:p w14:paraId="2996F015" w14:textId="77777777" w:rsidR="00F33674" w:rsidRPr="00F33674" w:rsidRDefault="00F33674" w:rsidP="00F33674">
            <w:pPr>
              <w:jc w:val="righ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0</w:t>
            </w:r>
          </w:p>
        </w:tc>
        <w:tc>
          <w:tcPr>
            <w:tcW w:w="1569" w:type="dxa"/>
            <w:shd w:val="clear" w:color="auto" w:fill="auto"/>
            <w:noWrap/>
            <w:hideMark/>
          </w:tcPr>
          <w:p w14:paraId="1E8525CE"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Targin 15/7.5mg</w:t>
            </w:r>
          </w:p>
        </w:tc>
        <w:tc>
          <w:tcPr>
            <w:tcW w:w="1429" w:type="dxa"/>
            <w:shd w:val="clear" w:color="auto" w:fill="auto"/>
            <w:noWrap/>
            <w:hideMark/>
          </w:tcPr>
          <w:p w14:paraId="750810F2"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Mundipharma Pty Limited</w:t>
            </w:r>
          </w:p>
        </w:tc>
      </w:tr>
      <w:tr w:rsidR="00F33674" w:rsidRPr="00F33674" w14:paraId="03B2D144" w14:textId="77777777" w:rsidTr="00F33674">
        <w:trPr>
          <w:trHeight w:val="300"/>
        </w:trPr>
        <w:tc>
          <w:tcPr>
            <w:tcW w:w="1647" w:type="dxa"/>
            <w:shd w:val="clear" w:color="auto" w:fill="auto"/>
            <w:noWrap/>
          </w:tcPr>
          <w:p w14:paraId="12507ECA" w14:textId="77777777" w:rsidR="00F33674" w:rsidRPr="00F33674" w:rsidRDefault="00F33674" w:rsidP="00F33674">
            <w:pPr>
              <w:jc w:val="left"/>
              <w:rPr>
                <w:rFonts w:ascii="Arial Narrow" w:hAnsi="Arial Narrow" w:cs="Calibri"/>
                <w:color w:val="000000"/>
                <w:sz w:val="20"/>
                <w:szCs w:val="20"/>
                <w:lang w:eastAsia="en-AU"/>
              </w:rPr>
            </w:pPr>
          </w:p>
        </w:tc>
        <w:tc>
          <w:tcPr>
            <w:tcW w:w="827" w:type="dxa"/>
          </w:tcPr>
          <w:p w14:paraId="351CD111"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10776E</w:t>
            </w:r>
          </w:p>
        </w:tc>
        <w:tc>
          <w:tcPr>
            <w:tcW w:w="2693" w:type="dxa"/>
            <w:shd w:val="clear" w:color="auto" w:fill="auto"/>
            <w:noWrap/>
            <w:hideMark/>
          </w:tcPr>
          <w:p w14:paraId="2D8D502B"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Tablet (controlled release) containing oxycodone hydrochloride 2.5 mg with naloxone hydrochloride 1.25 mg</w:t>
            </w:r>
          </w:p>
        </w:tc>
        <w:tc>
          <w:tcPr>
            <w:tcW w:w="661" w:type="dxa"/>
            <w:shd w:val="clear" w:color="auto" w:fill="auto"/>
            <w:noWrap/>
            <w:hideMark/>
          </w:tcPr>
          <w:p w14:paraId="2149570B" w14:textId="77777777" w:rsidR="00F33674" w:rsidRPr="00F33674" w:rsidRDefault="00F33674" w:rsidP="00F33674">
            <w:pPr>
              <w:jc w:val="righ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28</w:t>
            </w:r>
          </w:p>
        </w:tc>
        <w:tc>
          <w:tcPr>
            <w:tcW w:w="871" w:type="dxa"/>
            <w:shd w:val="clear" w:color="auto" w:fill="auto"/>
            <w:noWrap/>
            <w:hideMark/>
          </w:tcPr>
          <w:p w14:paraId="159CF72C" w14:textId="77777777" w:rsidR="00F33674" w:rsidRPr="00F33674" w:rsidRDefault="00F33674" w:rsidP="00F33674">
            <w:pPr>
              <w:jc w:val="righ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0</w:t>
            </w:r>
          </w:p>
        </w:tc>
        <w:tc>
          <w:tcPr>
            <w:tcW w:w="1569" w:type="dxa"/>
            <w:shd w:val="clear" w:color="auto" w:fill="auto"/>
            <w:noWrap/>
            <w:hideMark/>
          </w:tcPr>
          <w:p w14:paraId="41C312F9"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Targin 2.5/1.25 mg</w:t>
            </w:r>
          </w:p>
        </w:tc>
        <w:tc>
          <w:tcPr>
            <w:tcW w:w="1429" w:type="dxa"/>
            <w:shd w:val="clear" w:color="auto" w:fill="auto"/>
            <w:noWrap/>
            <w:hideMark/>
          </w:tcPr>
          <w:p w14:paraId="73BBB8F0"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Mundipharma Pty Limited</w:t>
            </w:r>
          </w:p>
        </w:tc>
      </w:tr>
      <w:tr w:rsidR="00F33674" w:rsidRPr="00F33674" w14:paraId="481E8913" w14:textId="77777777" w:rsidTr="00F33674">
        <w:trPr>
          <w:trHeight w:val="300"/>
        </w:trPr>
        <w:tc>
          <w:tcPr>
            <w:tcW w:w="1647" w:type="dxa"/>
            <w:shd w:val="clear" w:color="auto" w:fill="auto"/>
            <w:noWrap/>
          </w:tcPr>
          <w:p w14:paraId="7E12DDC3" w14:textId="77777777" w:rsidR="00F33674" w:rsidRPr="00F33674" w:rsidRDefault="00F33674" w:rsidP="00F33674">
            <w:pPr>
              <w:jc w:val="left"/>
              <w:rPr>
                <w:rFonts w:ascii="Arial Narrow" w:hAnsi="Arial Narrow" w:cs="Calibri"/>
                <w:color w:val="000000"/>
                <w:sz w:val="20"/>
                <w:szCs w:val="20"/>
                <w:lang w:eastAsia="en-AU"/>
              </w:rPr>
            </w:pPr>
          </w:p>
        </w:tc>
        <w:tc>
          <w:tcPr>
            <w:tcW w:w="827" w:type="dxa"/>
          </w:tcPr>
          <w:p w14:paraId="34D28DA8"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8935G</w:t>
            </w:r>
          </w:p>
        </w:tc>
        <w:tc>
          <w:tcPr>
            <w:tcW w:w="2693" w:type="dxa"/>
            <w:shd w:val="clear" w:color="auto" w:fill="auto"/>
            <w:noWrap/>
            <w:hideMark/>
          </w:tcPr>
          <w:p w14:paraId="0C913DC7"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Tablet (controlled release) containing oxycodone hydrochloride 20 mg with naloxone hydrochloride 10 mg</w:t>
            </w:r>
          </w:p>
        </w:tc>
        <w:tc>
          <w:tcPr>
            <w:tcW w:w="661" w:type="dxa"/>
            <w:shd w:val="clear" w:color="auto" w:fill="auto"/>
            <w:noWrap/>
            <w:hideMark/>
          </w:tcPr>
          <w:p w14:paraId="3AFBA34E" w14:textId="77777777" w:rsidR="00F33674" w:rsidRPr="00F33674" w:rsidRDefault="00F33674" w:rsidP="00F33674">
            <w:pPr>
              <w:jc w:val="righ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28</w:t>
            </w:r>
          </w:p>
        </w:tc>
        <w:tc>
          <w:tcPr>
            <w:tcW w:w="871" w:type="dxa"/>
            <w:shd w:val="clear" w:color="auto" w:fill="auto"/>
            <w:noWrap/>
            <w:hideMark/>
          </w:tcPr>
          <w:p w14:paraId="62B4C106" w14:textId="77777777" w:rsidR="00F33674" w:rsidRPr="00F33674" w:rsidRDefault="00F33674" w:rsidP="00F33674">
            <w:pPr>
              <w:jc w:val="righ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0</w:t>
            </w:r>
          </w:p>
        </w:tc>
        <w:tc>
          <w:tcPr>
            <w:tcW w:w="1569" w:type="dxa"/>
            <w:shd w:val="clear" w:color="auto" w:fill="auto"/>
            <w:noWrap/>
            <w:hideMark/>
          </w:tcPr>
          <w:p w14:paraId="4B5DED47"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Targin 20/10mg</w:t>
            </w:r>
          </w:p>
        </w:tc>
        <w:tc>
          <w:tcPr>
            <w:tcW w:w="1429" w:type="dxa"/>
            <w:shd w:val="clear" w:color="auto" w:fill="auto"/>
            <w:noWrap/>
            <w:hideMark/>
          </w:tcPr>
          <w:p w14:paraId="6D649E6C"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Mundipharma Pty Limited</w:t>
            </w:r>
          </w:p>
        </w:tc>
      </w:tr>
      <w:tr w:rsidR="00F33674" w:rsidRPr="00F33674" w14:paraId="6BD5C6D3" w14:textId="77777777" w:rsidTr="00F33674">
        <w:trPr>
          <w:trHeight w:val="300"/>
        </w:trPr>
        <w:tc>
          <w:tcPr>
            <w:tcW w:w="1647" w:type="dxa"/>
            <w:shd w:val="clear" w:color="auto" w:fill="auto"/>
            <w:noWrap/>
          </w:tcPr>
          <w:p w14:paraId="567D70D9" w14:textId="77777777" w:rsidR="00F33674" w:rsidRPr="00F33674" w:rsidRDefault="00F33674" w:rsidP="00F33674">
            <w:pPr>
              <w:jc w:val="left"/>
              <w:rPr>
                <w:rFonts w:ascii="Arial Narrow" w:hAnsi="Arial Narrow" w:cs="Calibri"/>
                <w:color w:val="000000"/>
                <w:sz w:val="20"/>
                <w:szCs w:val="20"/>
                <w:lang w:eastAsia="en-AU"/>
              </w:rPr>
            </w:pPr>
          </w:p>
        </w:tc>
        <w:tc>
          <w:tcPr>
            <w:tcW w:w="827" w:type="dxa"/>
          </w:tcPr>
          <w:p w14:paraId="255F1198"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10758F</w:t>
            </w:r>
          </w:p>
        </w:tc>
        <w:tc>
          <w:tcPr>
            <w:tcW w:w="2693" w:type="dxa"/>
            <w:shd w:val="clear" w:color="auto" w:fill="auto"/>
            <w:noWrap/>
            <w:hideMark/>
          </w:tcPr>
          <w:p w14:paraId="4B32C91D"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Tablet (controlled release) containing oxycodone hydrochloride 30 mg with naloxone hydrochloride 15 mg</w:t>
            </w:r>
          </w:p>
        </w:tc>
        <w:tc>
          <w:tcPr>
            <w:tcW w:w="661" w:type="dxa"/>
            <w:shd w:val="clear" w:color="auto" w:fill="auto"/>
            <w:noWrap/>
            <w:hideMark/>
          </w:tcPr>
          <w:p w14:paraId="765A2FA7" w14:textId="77777777" w:rsidR="00F33674" w:rsidRPr="00F33674" w:rsidRDefault="00F33674" w:rsidP="00F33674">
            <w:pPr>
              <w:jc w:val="righ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28</w:t>
            </w:r>
          </w:p>
        </w:tc>
        <w:tc>
          <w:tcPr>
            <w:tcW w:w="871" w:type="dxa"/>
            <w:shd w:val="clear" w:color="auto" w:fill="auto"/>
            <w:noWrap/>
            <w:hideMark/>
          </w:tcPr>
          <w:p w14:paraId="7CE31CDD" w14:textId="77777777" w:rsidR="00F33674" w:rsidRPr="00F33674" w:rsidRDefault="00F33674" w:rsidP="00F33674">
            <w:pPr>
              <w:jc w:val="righ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0</w:t>
            </w:r>
          </w:p>
        </w:tc>
        <w:tc>
          <w:tcPr>
            <w:tcW w:w="1569" w:type="dxa"/>
            <w:shd w:val="clear" w:color="auto" w:fill="auto"/>
            <w:noWrap/>
            <w:hideMark/>
          </w:tcPr>
          <w:p w14:paraId="2FD74C96"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Targin 30/15 mg</w:t>
            </w:r>
          </w:p>
        </w:tc>
        <w:tc>
          <w:tcPr>
            <w:tcW w:w="1429" w:type="dxa"/>
            <w:shd w:val="clear" w:color="auto" w:fill="auto"/>
            <w:noWrap/>
            <w:hideMark/>
          </w:tcPr>
          <w:p w14:paraId="71A1EB88"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Mundipharma Pty Limited</w:t>
            </w:r>
          </w:p>
        </w:tc>
      </w:tr>
      <w:tr w:rsidR="00F33674" w:rsidRPr="00F33674" w14:paraId="5E6D681C" w14:textId="77777777" w:rsidTr="00F33674">
        <w:trPr>
          <w:trHeight w:val="300"/>
        </w:trPr>
        <w:tc>
          <w:tcPr>
            <w:tcW w:w="1647" w:type="dxa"/>
            <w:shd w:val="clear" w:color="auto" w:fill="auto"/>
            <w:noWrap/>
          </w:tcPr>
          <w:p w14:paraId="033987C3" w14:textId="77777777" w:rsidR="00F33674" w:rsidRPr="00F33674" w:rsidRDefault="00F33674" w:rsidP="00F33674">
            <w:pPr>
              <w:jc w:val="left"/>
              <w:rPr>
                <w:rFonts w:ascii="Arial Narrow" w:hAnsi="Arial Narrow" w:cs="Calibri"/>
                <w:color w:val="000000"/>
                <w:sz w:val="20"/>
                <w:szCs w:val="20"/>
                <w:lang w:eastAsia="en-AU"/>
              </w:rPr>
            </w:pPr>
          </w:p>
        </w:tc>
        <w:tc>
          <w:tcPr>
            <w:tcW w:w="827" w:type="dxa"/>
          </w:tcPr>
          <w:p w14:paraId="511A0819"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8936H</w:t>
            </w:r>
          </w:p>
        </w:tc>
        <w:tc>
          <w:tcPr>
            <w:tcW w:w="2693" w:type="dxa"/>
            <w:shd w:val="clear" w:color="auto" w:fill="auto"/>
            <w:noWrap/>
            <w:hideMark/>
          </w:tcPr>
          <w:p w14:paraId="6EB59321"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Tablet (controlled release) containing oxycodone hydrochloride 40 mg with naloxone hydrochloride 20 mg</w:t>
            </w:r>
          </w:p>
        </w:tc>
        <w:tc>
          <w:tcPr>
            <w:tcW w:w="661" w:type="dxa"/>
            <w:shd w:val="clear" w:color="auto" w:fill="auto"/>
            <w:noWrap/>
            <w:hideMark/>
          </w:tcPr>
          <w:p w14:paraId="46DA46FC" w14:textId="77777777" w:rsidR="00F33674" w:rsidRPr="00F33674" w:rsidRDefault="00F33674" w:rsidP="00F33674">
            <w:pPr>
              <w:jc w:val="righ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28</w:t>
            </w:r>
          </w:p>
        </w:tc>
        <w:tc>
          <w:tcPr>
            <w:tcW w:w="871" w:type="dxa"/>
            <w:shd w:val="clear" w:color="auto" w:fill="auto"/>
            <w:noWrap/>
            <w:hideMark/>
          </w:tcPr>
          <w:p w14:paraId="3EE1FDE6" w14:textId="77777777" w:rsidR="00F33674" w:rsidRPr="00F33674" w:rsidRDefault="00F33674" w:rsidP="00F33674">
            <w:pPr>
              <w:jc w:val="righ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0</w:t>
            </w:r>
          </w:p>
        </w:tc>
        <w:tc>
          <w:tcPr>
            <w:tcW w:w="1569" w:type="dxa"/>
            <w:shd w:val="clear" w:color="auto" w:fill="auto"/>
            <w:noWrap/>
            <w:hideMark/>
          </w:tcPr>
          <w:p w14:paraId="7ED63DE9"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Targin 40/20mg</w:t>
            </w:r>
          </w:p>
        </w:tc>
        <w:tc>
          <w:tcPr>
            <w:tcW w:w="1429" w:type="dxa"/>
            <w:shd w:val="clear" w:color="auto" w:fill="auto"/>
            <w:noWrap/>
            <w:hideMark/>
          </w:tcPr>
          <w:p w14:paraId="7C122048"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Mundipharma Pty Limited</w:t>
            </w:r>
          </w:p>
        </w:tc>
      </w:tr>
      <w:tr w:rsidR="00F33674" w:rsidRPr="00F33674" w14:paraId="3761DEA4" w14:textId="77777777" w:rsidTr="00F33674">
        <w:trPr>
          <w:trHeight w:val="300"/>
        </w:trPr>
        <w:tc>
          <w:tcPr>
            <w:tcW w:w="1647" w:type="dxa"/>
            <w:shd w:val="clear" w:color="auto" w:fill="auto"/>
            <w:noWrap/>
          </w:tcPr>
          <w:p w14:paraId="263FE10D" w14:textId="77777777" w:rsidR="00F33674" w:rsidRPr="00F33674" w:rsidRDefault="00F33674" w:rsidP="00F33674">
            <w:pPr>
              <w:jc w:val="left"/>
              <w:rPr>
                <w:rFonts w:ascii="Arial Narrow" w:hAnsi="Arial Narrow" w:cs="Calibri"/>
                <w:color w:val="000000"/>
                <w:sz w:val="20"/>
                <w:szCs w:val="20"/>
                <w:lang w:eastAsia="en-AU"/>
              </w:rPr>
            </w:pPr>
          </w:p>
        </w:tc>
        <w:tc>
          <w:tcPr>
            <w:tcW w:w="827" w:type="dxa"/>
          </w:tcPr>
          <w:p w14:paraId="7BA97241"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8000C</w:t>
            </w:r>
          </w:p>
        </w:tc>
        <w:tc>
          <w:tcPr>
            <w:tcW w:w="2693" w:type="dxa"/>
            <w:shd w:val="clear" w:color="auto" w:fill="auto"/>
            <w:noWrap/>
            <w:hideMark/>
          </w:tcPr>
          <w:p w14:paraId="2E913335"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Tablet (controlled release) containing oxycodone hydrochloride 5 mg with naloxone hydrochloride 2.5 mg</w:t>
            </w:r>
          </w:p>
        </w:tc>
        <w:tc>
          <w:tcPr>
            <w:tcW w:w="661" w:type="dxa"/>
            <w:shd w:val="clear" w:color="auto" w:fill="auto"/>
            <w:noWrap/>
            <w:hideMark/>
          </w:tcPr>
          <w:p w14:paraId="13663B05" w14:textId="77777777" w:rsidR="00F33674" w:rsidRPr="00F33674" w:rsidRDefault="00F33674" w:rsidP="00F33674">
            <w:pPr>
              <w:jc w:val="righ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28</w:t>
            </w:r>
          </w:p>
        </w:tc>
        <w:tc>
          <w:tcPr>
            <w:tcW w:w="871" w:type="dxa"/>
            <w:shd w:val="clear" w:color="auto" w:fill="auto"/>
            <w:noWrap/>
            <w:hideMark/>
          </w:tcPr>
          <w:p w14:paraId="53F2DC39" w14:textId="77777777" w:rsidR="00F33674" w:rsidRPr="00F33674" w:rsidRDefault="00F33674" w:rsidP="00F33674">
            <w:pPr>
              <w:jc w:val="righ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0</w:t>
            </w:r>
          </w:p>
        </w:tc>
        <w:tc>
          <w:tcPr>
            <w:tcW w:w="1569" w:type="dxa"/>
            <w:shd w:val="clear" w:color="auto" w:fill="auto"/>
            <w:noWrap/>
            <w:hideMark/>
          </w:tcPr>
          <w:p w14:paraId="26F75365"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Targin 5/2.5mg</w:t>
            </w:r>
          </w:p>
        </w:tc>
        <w:tc>
          <w:tcPr>
            <w:tcW w:w="1429" w:type="dxa"/>
            <w:shd w:val="clear" w:color="auto" w:fill="auto"/>
            <w:noWrap/>
            <w:hideMark/>
          </w:tcPr>
          <w:p w14:paraId="7947179D"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Mundipharma Pty Limited</w:t>
            </w:r>
          </w:p>
        </w:tc>
      </w:tr>
      <w:tr w:rsidR="00F33674" w:rsidRPr="00F33674" w14:paraId="1D571B7E" w14:textId="77777777" w:rsidTr="00F33674">
        <w:trPr>
          <w:trHeight w:val="300"/>
        </w:trPr>
        <w:tc>
          <w:tcPr>
            <w:tcW w:w="1647" w:type="dxa"/>
            <w:shd w:val="clear" w:color="auto" w:fill="auto"/>
            <w:noWrap/>
          </w:tcPr>
          <w:p w14:paraId="40A7161D" w14:textId="77777777" w:rsidR="00F33674" w:rsidRPr="00F33674" w:rsidRDefault="00F33674" w:rsidP="00F33674">
            <w:pPr>
              <w:jc w:val="left"/>
              <w:rPr>
                <w:rFonts w:ascii="Arial Narrow" w:hAnsi="Arial Narrow" w:cs="Calibri"/>
                <w:color w:val="000000"/>
                <w:sz w:val="20"/>
                <w:szCs w:val="20"/>
                <w:lang w:eastAsia="en-AU"/>
              </w:rPr>
            </w:pPr>
          </w:p>
        </w:tc>
        <w:tc>
          <w:tcPr>
            <w:tcW w:w="827" w:type="dxa"/>
          </w:tcPr>
          <w:p w14:paraId="65083CE3"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11102H</w:t>
            </w:r>
          </w:p>
        </w:tc>
        <w:tc>
          <w:tcPr>
            <w:tcW w:w="2693" w:type="dxa"/>
            <w:shd w:val="clear" w:color="auto" w:fill="auto"/>
            <w:noWrap/>
            <w:hideMark/>
          </w:tcPr>
          <w:p w14:paraId="0814AEF4"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Tablet (controlled release) containing oxycodone hydrochloride 60 mg with naloxone hydrochloride 30 mg</w:t>
            </w:r>
          </w:p>
        </w:tc>
        <w:tc>
          <w:tcPr>
            <w:tcW w:w="661" w:type="dxa"/>
            <w:shd w:val="clear" w:color="auto" w:fill="auto"/>
            <w:noWrap/>
            <w:hideMark/>
          </w:tcPr>
          <w:p w14:paraId="1C887BFE" w14:textId="77777777" w:rsidR="00F33674" w:rsidRPr="00F33674" w:rsidRDefault="00F33674" w:rsidP="00F33674">
            <w:pPr>
              <w:jc w:val="righ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28</w:t>
            </w:r>
          </w:p>
        </w:tc>
        <w:tc>
          <w:tcPr>
            <w:tcW w:w="871" w:type="dxa"/>
            <w:shd w:val="clear" w:color="auto" w:fill="auto"/>
            <w:noWrap/>
            <w:hideMark/>
          </w:tcPr>
          <w:p w14:paraId="3B097F56" w14:textId="77777777" w:rsidR="00F33674" w:rsidRPr="00F33674" w:rsidRDefault="00F33674" w:rsidP="00F33674">
            <w:pPr>
              <w:jc w:val="righ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0</w:t>
            </w:r>
          </w:p>
        </w:tc>
        <w:tc>
          <w:tcPr>
            <w:tcW w:w="1569" w:type="dxa"/>
            <w:shd w:val="clear" w:color="auto" w:fill="auto"/>
            <w:noWrap/>
            <w:hideMark/>
          </w:tcPr>
          <w:p w14:paraId="7666EBB1"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Targin 60/30</w:t>
            </w:r>
          </w:p>
        </w:tc>
        <w:tc>
          <w:tcPr>
            <w:tcW w:w="1429" w:type="dxa"/>
            <w:shd w:val="clear" w:color="auto" w:fill="auto"/>
            <w:noWrap/>
            <w:hideMark/>
          </w:tcPr>
          <w:p w14:paraId="656CE341"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Mundipharma Pty Limited</w:t>
            </w:r>
          </w:p>
        </w:tc>
      </w:tr>
      <w:tr w:rsidR="00F33674" w:rsidRPr="00F33674" w14:paraId="7777CC11" w14:textId="77777777" w:rsidTr="00F33674">
        <w:trPr>
          <w:trHeight w:val="300"/>
        </w:trPr>
        <w:tc>
          <w:tcPr>
            <w:tcW w:w="1647" w:type="dxa"/>
            <w:shd w:val="clear" w:color="auto" w:fill="auto"/>
            <w:noWrap/>
          </w:tcPr>
          <w:p w14:paraId="31C67350" w14:textId="77777777" w:rsidR="00F33674" w:rsidRPr="00F33674" w:rsidRDefault="00F33674" w:rsidP="00F33674">
            <w:pPr>
              <w:jc w:val="left"/>
              <w:rPr>
                <w:rFonts w:ascii="Arial Narrow" w:hAnsi="Arial Narrow" w:cs="Calibri"/>
                <w:color w:val="000000"/>
                <w:sz w:val="20"/>
                <w:szCs w:val="20"/>
                <w:lang w:eastAsia="en-AU"/>
              </w:rPr>
            </w:pPr>
          </w:p>
        </w:tc>
        <w:tc>
          <w:tcPr>
            <w:tcW w:w="827" w:type="dxa"/>
          </w:tcPr>
          <w:p w14:paraId="254282EE"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11111T</w:t>
            </w:r>
          </w:p>
        </w:tc>
        <w:tc>
          <w:tcPr>
            <w:tcW w:w="2693" w:type="dxa"/>
            <w:shd w:val="clear" w:color="auto" w:fill="auto"/>
            <w:noWrap/>
            <w:hideMark/>
          </w:tcPr>
          <w:p w14:paraId="03A5A727"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Tablet (controlled release) containing oxycodone hydrochloride 80 mg with naloxone hydrochloride 40 mg</w:t>
            </w:r>
          </w:p>
        </w:tc>
        <w:tc>
          <w:tcPr>
            <w:tcW w:w="661" w:type="dxa"/>
            <w:shd w:val="clear" w:color="auto" w:fill="auto"/>
            <w:noWrap/>
            <w:hideMark/>
          </w:tcPr>
          <w:p w14:paraId="050A299C" w14:textId="77777777" w:rsidR="00F33674" w:rsidRPr="00F33674" w:rsidRDefault="00F33674" w:rsidP="00F33674">
            <w:pPr>
              <w:jc w:val="righ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28</w:t>
            </w:r>
          </w:p>
        </w:tc>
        <w:tc>
          <w:tcPr>
            <w:tcW w:w="871" w:type="dxa"/>
            <w:shd w:val="clear" w:color="auto" w:fill="auto"/>
            <w:noWrap/>
            <w:hideMark/>
          </w:tcPr>
          <w:p w14:paraId="71EB001D" w14:textId="77777777" w:rsidR="00F33674" w:rsidRPr="00F33674" w:rsidRDefault="00F33674" w:rsidP="00F33674">
            <w:pPr>
              <w:jc w:val="righ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0</w:t>
            </w:r>
          </w:p>
        </w:tc>
        <w:tc>
          <w:tcPr>
            <w:tcW w:w="1569" w:type="dxa"/>
            <w:shd w:val="clear" w:color="auto" w:fill="auto"/>
            <w:noWrap/>
            <w:hideMark/>
          </w:tcPr>
          <w:p w14:paraId="5F704C73"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Targin 80/40</w:t>
            </w:r>
          </w:p>
        </w:tc>
        <w:tc>
          <w:tcPr>
            <w:tcW w:w="1429" w:type="dxa"/>
            <w:shd w:val="clear" w:color="auto" w:fill="auto"/>
            <w:noWrap/>
            <w:hideMark/>
          </w:tcPr>
          <w:p w14:paraId="7231B19D"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Mundipharma Pty Limited</w:t>
            </w:r>
          </w:p>
        </w:tc>
      </w:tr>
      <w:tr w:rsidR="00F33674" w:rsidRPr="00F33674" w14:paraId="0958D8B3" w14:textId="77777777" w:rsidTr="00F33674">
        <w:trPr>
          <w:trHeight w:val="300"/>
        </w:trPr>
        <w:tc>
          <w:tcPr>
            <w:tcW w:w="1647" w:type="dxa"/>
            <w:shd w:val="clear" w:color="auto" w:fill="auto"/>
            <w:noWrap/>
            <w:hideMark/>
          </w:tcPr>
          <w:p w14:paraId="49DCA814"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TAPENTADOL</w:t>
            </w:r>
          </w:p>
        </w:tc>
        <w:tc>
          <w:tcPr>
            <w:tcW w:w="827" w:type="dxa"/>
          </w:tcPr>
          <w:p w14:paraId="3128E381"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10094G</w:t>
            </w:r>
          </w:p>
        </w:tc>
        <w:tc>
          <w:tcPr>
            <w:tcW w:w="2693" w:type="dxa"/>
            <w:shd w:val="clear" w:color="auto" w:fill="auto"/>
            <w:noWrap/>
            <w:hideMark/>
          </w:tcPr>
          <w:p w14:paraId="08AC9659"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Tablet (modified release) 100 mg (as hydrochloride)</w:t>
            </w:r>
          </w:p>
        </w:tc>
        <w:tc>
          <w:tcPr>
            <w:tcW w:w="661" w:type="dxa"/>
            <w:shd w:val="clear" w:color="auto" w:fill="auto"/>
            <w:noWrap/>
            <w:hideMark/>
          </w:tcPr>
          <w:p w14:paraId="60107693" w14:textId="77777777" w:rsidR="00F33674" w:rsidRPr="00F33674" w:rsidRDefault="00F33674" w:rsidP="00F33674">
            <w:pPr>
              <w:jc w:val="righ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28</w:t>
            </w:r>
          </w:p>
        </w:tc>
        <w:tc>
          <w:tcPr>
            <w:tcW w:w="871" w:type="dxa"/>
            <w:shd w:val="clear" w:color="auto" w:fill="auto"/>
            <w:noWrap/>
            <w:hideMark/>
          </w:tcPr>
          <w:p w14:paraId="72A1BF9D" w14:textId="77777777" w:rsidR="00F33674" w:rsidRPr="00F33674" w:rsidRDefault="00F33674" w:rsidP="00F33674">
            <w:pPr>
              <w:jc w:val="righ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0</w:t>
            </w:r>
          </w:p>
        </w:tc>
        <w:tc>
          <w:tcPr>
            <w:tcW w:w="1569" w:type="dxa"/>
            <w:shd w:val="clear" w:color="auto" w:fill="auto"/>
            <w:noWrap/>
            <w:hideMark/>
          </w:tcPr>
          <w:p w14:paraId="4240DE8D"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Palexia SR</w:t>
            </w:r>
          </w:p>
        </w:tc>
        <w:tc>
          <w:tcPr>
            <w:tcW w:w="1429" w:type="dxa"/>
            <w:shd w:val="clear" w:color="auto" w:fill="auto"/>
            <w:noWrap/>
            <w:hideMark/>
          </w:tcPr>
          <w:p w14:paraId="4DA68C15"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Seqirus (Australia) Pty Ltd</w:t>
            </w:r>
          </w:p>
        </w:tc>
      </w:tr>
      <w:tr w:rsidR="00F33674" w:rsidRPr="00F33674" w14:paraId="0F9B45B6" w14:textId="77777777" w:rsidTr="00F33674">
        <w:trPr>
          <w:trHeight w:val="300"/>
        </w:trPr>
        <w:tc>
          <w:tcPr>
            <w:tcW w:w="1647" w:type="dxa"/>
            <w:shd w:val="clear" w:color="auto" w:fill="auto"/>
            <w:noWrap/>
          </w:tcPr>
          <w:p w14:paraId="307E010D" w14:textId="77777777" w:rsidR="00F33674" w:rsidRPr="00F33674" w:rsidRDefault="00F33674" w:rsidP="00F33674">
            <w:pPr>
              <w:jc w:val="left"/>
              <w:rPr>
                <w:rFonts w:ascii="Arial Narrow" w:hAnsi="Arial Narrow" w:cs="Calibri"/>
                <w:color w:val="000000"/>
                <w:sz w:val="20"/>
                <w:szCs w:val="20"/>
                <w:lang w:eastAsia="en-AU"/>
              </w:rPr>
            </w:pPr>
          </w:p>
        </w:tc>
        <w:tc>
          <w:tcPr>
            <w:tcW w:w="827" w:type="dxa"/>
          </w:tcPr>
          <w:p w14:paraId="6CFB2823"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10100N</w:t>
            </w:r>
          </w:p>
        </w:tc>
        <w:tc>
          <w:tcPr>
            <w:tcW w:w="2693" w:type="dxa"/>
            <w:shd w:val="clear" w:color="auto" w:fill="auto"/>
            <w:noWrap/>
            <w:hideMark/>
          </w:tcPr>
          <w:p w14:paraId="7A3FAD70"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Tablet (modified release) 150 mg (as hydrochloride)</w:t>
            </w:r>
          </w:p>
        </w:tc>
        <w:tc>
          <w:tcPr>
            <w:tcW w:w="661" w:type="dxa"/>
            <w:shd w:val="clear" w:color="auto" w:fill="auto"/>
            <w:noWrap/>
            <w:hideMark/>
          </w:tcPr>
          <w:p w14:paraId="77EDA316" w14:textId="77777777" w:rsidR="00F33674" w:rsidRPr="00F33674" w:rsidRDefault="00F33674" w:rsidP="00F33674">
            <w:pPr>
              <w:jc w:val="righ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28</w:t>
            </w:r>
          </w:p>
        </w:tc>
        <w:tc>
          <w:tcPr>
            <w:tcW w:w="871" w:type="dxa"/>
            <w:shd w:val="clear" w:color="auto" w:fill="auto"/>
            <w:noWrap/>
            <w:hideMark/>
          </w:tcPr>
          <w:p w14:paraId="72967781" w14:textId="77777777" w:rsidR="00F33674" w:rsidRPr="00F33674" w:rsidRDefault="00F33674" w:rsidP="00F33674">
            <w:pPr>
              <w:jc w:val="righ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0</w:t>
            </w:r>
          </w:p>
        </w:tc>
        <w:tc>
          <w:tcPr>
            <w:tcW w:w="1569" w:type="dxa"/>
            <w:shd w:val="clear" w:color="auto" w:fill="auto"/>
            <w:noWrap/>
            <w:hideMark/>
          </w:tcPr>
          <w:p w14:paraId="11737B17"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Palexia SR</w:t>
            </w:r>
          </w:p>
        </w:tc>
        <w:tc>
          <w:tcPr>
            <w:tcW w:w="1429" w:type="dxa"/>
            <w:shd w:val="clear" w:color="auto" w:fill="auto"/>
            <w:noWrap/>
            <w:hideMark/>
          </w:tcPr>
          <w:p w14:paraId="1645D223"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Seqirus (Australia) Pty Ltd</w:t>
            </w:r>
          </w:p>
        </w:tc>
      </w:tr>
      <w:tr w:rsidR="00F33674" w:rsidRPr="00F33674" w14:paraId="322C97F9" w14:textId="77777777" w:rsidTr="00F33674">
        <w:trPr>
          <w:trHeight w:val="300"/>
        </w:trPr>
        <w:tc>
          <w:tcPr>
            <w:tcW w:w="1647" w:type="dxa"/>
            <w:shd w:val="clear" w:color="auto" w:fill="auto"/>
            <w:noWrap/>
          </w:tcPr>
          <w:p w14:paraId="52CE050C" w14:textId="77777777" w:rsidR="00F33674" w:rsidRPr="00F33674" w:rsidRDefault="00F33674" w:rsidP="00F33674">
            <w:pPr>
              <w:jc w:val="left"/>
              <w:rPr>
                <w:rFonts w:ascii="Arial Narrow" w:hAnsi="Arial Narrow" w:cs="Calibri"/>
                <w:color w:val="000000"/>
                <w:sz w:val="20"/>
                <w:szCs w:val="20"/>
                <w:lang w:eastAsia="en-AU"/>
              </w:rPr>
            </w:pPr>
          </w:p>
        </w:tc>
        <w:tc>
          <w:tcPr>
            <w:tcW w:w="827" w:type="dxa"/>
          </w:tcPr>
          <w:p w14:paraId="44A48476"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10091D</w:t>
            </w:r>
          </w:p>
        </w:tc>
        <w:tc>
          <w:tcPr>
            <w:tcW w:w="2693" w:type="dxa"/>
            <w:shd w:val="clear" w:color="auto" w:fill="auto"/>
            <w:noWrap/>
            <w:hideMark/>
          </w:tcPr>
          <w:p w14:paraId="767A7A4E"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Tablet (modified release) 200 mg (as hydrochloride)</w:t>
            </w:r>
          </w:p>
        </w:tc>
        <w:tc>
          <w:tcPr>
            <w:tcW w:w="661" w:type="dxa"/>
            <w:shd w:val="clear" w:color="auto" w:fill="auto"/>
            <w:noWrap/>
            <w:hideMark/>
          </w:tcPr>
          <w:p w14:paraId="53B30190" w14:textId="77777777" w:rsidR="00F33674" w:rsidRPr="00F33674" w:rsidRDefault="00F33674" w:rsidP="00F33674">
            <w:pPr>
              <w:jc w:val="righ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28</w:t>
            </w:r>
          </w:p>
        </w:tc>
        <w:tc>
          <w:tcPr>
            <w:tcW w:w="871" w:type="dxa"/>
            <w:shd w:val="clear" w:color="auto" w:fill="auto"/>
            <w:noWrap/>
            <w:hideMark/>
          </w:tcPr>
          <w:p w14:paraId="154FDBA4" w14:textId="77777777" w:rsidR="00F33674" w:rsidRPr="00F33674" w:rsidRDefault="00F33674" w:rsidP="00F33674">
            <w:pPr>
              <w:jc w:val="righ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0</w:t>
            </w:r>
          </w:p>
        </w:tc>
        <w:tc>
          <w:tcPr>
            <w:tcW w:w="1569" w:type="dxa"/>
            <w:shd w:val="clear" w:color="auto" w:fill="auto"/>
            <w:noWrap/>
            <w:hideMark/>
          </w:tcPr>
          <w:p w14:paraId="33A9CC64"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Palexia SR</w:t>
            </w:r>
          </w:p>
        </w:tc>
        <w:tc>
          <w:tcPr>
            <w:tcW w:w="1429" w:type="dxa"/>
            <w:shd w:val="clear" w:color="auto" w:fill="auto"/>
            <w:noWrap/>
            <w:hideMark/>
          </w:tcPr>
          <w:p w14:paraId="1412D972"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Seqirus (Australia) Pty Ltd</w:t>
            </w:r>
          </w:p>
        </w:tc>
      </w:tr>
      <w:tr w:rsidR="00F33674" w:rsidRPr="00F33674" w14:paraId="3450AD02" w14:textId="77777777" w:rsidTr="00F33674">
        <w:trPr>
          <w:trHeight w:val="300"/>
        </w:trPr>
        <w:tc>
          <w:tcPr>
            <w:tcW w:w="1647" w:type="dxa"/>
            <w:shd w:val="clear" w:color="auto" w:fill="auto"/>
            <w:noWrap/>
          </w:tcPr>
          <w:p w14:paraId="73CEEFB7" w14:textId="77777777" w:rsidR="00F33674" w:rsidRPr="00F33674" w:rsidRDefault="00F33674" w:rsidP="00F33674">
            <w:pPr>
              <w:jc w:val="left"/>
              <w:rPr>
                <w:rFonts w:ascii="Arial Narrow" w:hAnsi="Arial Narrow" w:cs="Calibri"/>
                <w:color w:val="000000"/>
                <w:sz w:val="20"/>
                <w:szCs w:val="20"/>
                <w:lang w:eastAsia="en-AU"/>
              </w:rPr>
            </w:pPr>
          </w:p>
        </w:tc>
        <w:tc>
          <w:tcPr>
            <w:tcW w:w="827" w:type="dxa"/>
          </w:tcPr>
          <w:p w14:paraId="64CF2B86"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10092E</w:t>
            </w:r>
          </w:p>
        </w:tc>
        <w:tc>
          <w:tcPr>
            <w:tcW w:w="2693" w:type="dxa"/>
            <w:shd w:val="clear" w:color="auto" w:fill="auto"/>
            <w:noWrap/>
            <w:hideMark/>
          </w:tcPr>
          <w:p w14:paraId="7AC5B12E"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Tablet (modified release) 250 mg (as hydrochloride)</w:t>
            </w:r>
          </w:p>
        </w:tc>
        <w:tc>
          <w:tcPr>
            <w:tcW w:w="661" w:type="dxa"/>
            <w:shd w:val="clear" w:color="auto" w:fill="auto"/>
            <w:noWrap/>
            <w:hideMark/>
          </w:tcPr>
          <w:p w14:paraId="0D2B3B6F" w14:textId="77777777" w:rsidR="00F33674" w:rsidRPr="00F33674" w:rsidRDefault="00F33674" w:rsidP="00F33674">
            <w:pPr>
              <w:jc w:val="righ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28</w:t>
            </w:r>
          </w:p>
        </w:tc>
        <w:tc>
          <w:tcPr>
            <w:tcW w:w="871" w:type="dxa"/>
            <w:shd w:val="clear" w:color="auto" w:fill="auto"/>
            <w:noWrap/>
            <w:hideMark/>
          </w:tcPr>
          <w:p w14:paraId="4E93BF68" w14:textId="77777777" w:rsidR="00F33674" w:rsidRPr="00F33674" w:rsidRDefault="00F33674" w:rsidP="00F33674">
            <w:pPr>
              <w:jc w:val="righ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0</w:t>
            </w:r>
          </w:p>
        </w:tc>
        <w:tc>
          <w:tcPr>
            <w:tcW w:w="1569" w:type="dxa"/>
            <w:shd w:val="clear" w:color="auto" w:fill="auto"/>
            <w:noWrap/>
            <w:hideMark/>
          </w:tcPr>
          <w:p w14:paraId="1522C775"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Palexia SR</w:t>
            </w:r>
          </w:p>
        </w:tc>
        <w:tc>
          <w:tcPr>
            <w:tcW w:w="1429" w:type="dxa"/>
            <w:shd w:val="clear" w:color="auto" w:fill="auto"/>
            <w:noWrap/>
            <w:hideMark/>
          </w:tcPr>
          <w:p w14:paraId="724AA2B3"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Seqirus (Australia) Pty Ltd</w:t>
            </w:r>
          </w:p>
        </w:tc>
      </w:tr>
      <w:tr w:rsidR="00F33674" w:rsidRPr="00F33674" w14:paraId="7C638CE0" w14:textId="77777777" w:rsidTr="00F33674">
        <w:trPr>
          <w:trHeight w:val="300"/>
        </w:trPr>
        <w:tc>
          <w:tcPr>
            <w:tcW w:w="1647" w:type="dxa"/>
            <w:shd w:val="clear" w:color="auto" w:fill="auto"/>
            <w:noWrap/>
          </w:tcPr>
          <w:p w14:paraId="1609E27F" w14:textId="77777777" w:rsidR="00F33674" w:rsidRPr="00F33674" w:rsidRDefault="00F33674" w:rsidP="00F33674">
            <w:pPr>
              <w:jc w:val="left"/>
              <w:rPr>
                <w:rFonts w:ascii="Arial Narrow" w:hAnsi="Arial Narrow" w:cs="Calibri"/>
                <w:color w:val="000000"/>
                <w:sz w:val="20"/>
                <w:szCs w:val="20"/>
                <w:lang w:eastAsia="en-AU"/>
              </w:rPr>
            </w:pPr>
          </w:p>
        </w:tc>
        <w:tc>
          <w:tcPr>
            <w:tcW w:w="827" w:type="dxa"/>
          </w:tcPr>
          <w:p w14:paraId="1442E187"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10096J</w:t>
            </w:r>
          </w:p>
        </w:tc>
        <w:tc>
          <w:tcPr>
            <w:tcW w:w="2693" w:type="dxa"/>
            <w:shd w:val="clear" w:color="auto" w:fill="auto"/>
            <w:noWrap/>
            <w:hideMark/>
          </w:tcPr>
          <w:p w14:paraId="64D2C524"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Tablet (modified release) 50 mg (as hydrochloride)</w:t>
            </w:r>
          </w:p>
        </w:tc>
        <w:tc>
          <w:tcPr>
            <w:tcW w:w="661" w:type="dxa"/>
            <w:shd w:val="clear" w:color="auto" w:fill="auto"/>
            <w:noWrap/>
            <w:hideMark/>
          </w:tcPr>
          <w:p w14:paraId="04E1F2C3" w14:textId="77777777" w:rsidR="00F33674" w:rsidRPr="00F33674" w:rsidRDefault="00F33674" w:rsidP="00F33674">
            <w:pPr>
              <w:jc w:val="righ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28</w:t>
            </w:r>
          </w:p>
        </w:tc>
        <w:tc>
          <w:tcPr>
            <w:tcW w:w="871" w:type="dxa"/>
            <w:shd w:val="clear" w:color="auto" w:fill="auto"/>
            <w:noWrap/>
            <w:hideMark/>
          </w:tcPr>
          <w:p w14:paraId="6B2ADFE7" w14:textId="77777777" w:rsidR="00F33674" w:rsidRPr="00F33674" w:rsidRDefault="00F33674" w:rsidP="00F33674">
            <w:pPr>
              <w:jc w:val="righ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0</w:t>
            </w:r>
          </w:p>
        </w:tc>
        <w:tc>
          <w:tcPr>
            <w:tcW w:w="1569" w:type="dxa"/>
            <w:shd w:val="clear" w:color="auto" w:fill="auto"/>
            <w:noWrap/>
            <w:hideMark/>
          </w:tcPr>
          <w:p w14:paraId="66DCA28B"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Palexia SR</w:t>
            </w:r>
          </w:p>
        </w:tc>
        <w:tc>
          <w:tcPr>
            <w:tcW w:w="1429" w:type="dxa"/>
            <w:shd w:val="clear" w:color="auto" w:fill="auto"/>
            <w:noWrap/>
            <w:hideMark/>
          </w:tcPr>
          <w:p w14:paraId="395491A1"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Seqirus (Australia) Pty Ltd</w:t>
            </w:r>
          </w:p>
        </w:tc>
      </w:tr>
      <w:tr w:rsidR="00F33674" w:rsidRPr="00F33674" w14:paraId="7C67D1CA" w14:textId="77777777" w:rsidTr="00F33674">
        <w:trPr>
          <w:trHeight w:val="300"/>
        </w:trPr>
        <w:tc>
          <w:tcPr>
            <w:tcW w:w="1647" w:type="dxa"/>
            <w:shd w:val="clear" w:color="auto" w:fill="auto"/>
            <w:noWrap/>
          </w:tcPr>
          <w:p w14:paraId="122060D8"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TRAMADOL</w:t>
            </w:r>
          </w:p>
        </w:tc>
        <w:tc>
          <w:tcPr>
            <w:tcW w:w="827" w:type="dxa"/>
          </w:tcPr>
          <w:p w14:paraId="7F2FEE7F"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8523N</w:t>
            </w:r>
          </w:p>
        </w:tc>
        <w:tc>
          <w:tcPr>
            <w:tcW w:w="2693" w:type="dxa"/>
            <w:vMerge w:val="restart"/>
            <w:shd w:val="clear" w:color="auto" w:fill="auto"/>
            <w:noWrap/>
            <w:hideMark/>
          </w:tcPr>
          <w:p w14:paraId="6CDD6888"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Tablet (sustained release) containing tramadol hydrochloride 100 mg</w:t>
            </w:r>
          </w:p>
        </w:tc>
        <w:tc>
          <w:tcPr>
            <w:tcW w:w="661" w:type="dxa"/>
            <w:shd w:val="clear" w:color="auto" w:fill="auto"/>
            <w:noWrap/>
            <w:hideMark/>
          </w:tcPr>
          <w:p w14:paraId="050026EA" w14:textId="77777777" w:rsidR="00F33674" w:rsidRPr="00F33674" w:rsidRDefault="00F33674" w:rsidP="00F33674">
            <w:pPr>
              <w:jc w:val="righ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20</w:t>
            </w:r>
          </w:p>
        </w:tc>
        <w:tc>
          <w:tcPr>
            <w:tcW w:w="871" w:type="dxa"/>
            <w:shd w:val="clear" w:color="auto" w:fill="auto"/>
            <w:noWrap/>
            <w:hideMark/>
          </w:tcPr>
          <w:p w14:paraId="71E19C12" w14:textId="77777777" w:rsidR="00F33674" w:rsidRPr="00F33674" w:rsidRDefault="00F33674" w:rsidP="00F33674">
            <w:pPr>
              <w:jc w:val="righ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0</w:t>
            </w:r>
          </w:p>
        </w:tc>
        <w:tc>
          <w:tcPr>
            <w:tcW w:w="1569" w:type="dxa"/>
            <w:shd w:val="clear" w:color="auto" w:fill="auto"/>
            <w:noWrap/>
            <w:hideMark/>
          </w:tcPr>
          <w:p w14:paraId="772D6029"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APO-Tramadol SR</w:t>
            </w:r>
          </w:p>
        </w:tc>
        <w:tc>
          <w:tcPr>
            <w:tcW w:w="1429" w:type="dxa"/>
            <w:shd w:val="clear" w:color="auto" w:fill="auto"/>
            <w:noWrap/>
            <w:hideMark/>
          </w:tcPr>
          <w:p w14:paraId="22CF0E64"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Apotex Pty Ltd</w:t>
            </w:r>
          </w:p>
        </w:tc>
      </w:tr>
      <w:tr w:rsidR="00F33674" w:rsidRPr="00F33674" w14:paraId="210B1AF1" w14:textId="77777777" w:rsidTr="00F33674">
        <w:trPr>
          <w:trHeight w:val="300"/>
        </w:trPr>
        <w:tc>
          <w:tcPr>
            <w:tcW w:w="1647" w:type="dxa"/>
            <w:shd w:val="clear" w:color="auto" w:fill="auto"/>
            <w:noWrap/>
          </w:tcPr>
          <w:p w14:paraId="35E82CD1" w14:textId="77777777" w:rsidR="00F33674" w:rsidRPr="00F33674" w:rsidRDefault="00F33674" w:rsidP="00F33674">
            <w:pPr>
              <w:jc w:val="left"/>
              <w:rPr>
                <w:rFonts w:ascii="Arial Narrow" w:hAnsi="Arial Narrow" w:cs="Calibri"/>
                <w:color w:val="000000"/>
                <w:sz w:val="20"/>
                <w:szCs w:val="20"/>
                <w:lang w:eastAsia="en-AU"/>
              </w:rPr>
            </w:pPr>
          </w:p>
        </w:tc>
        <w:tc>
          <w:tcPr>
            <w:tcW w:w="827" w:type="dxa"/>
          </w:tcPr>
          <w:p w14:paraId="270C2046" w14:textId="77777777" w:rsidR="00F33674" w:rsidRPr="00F33674" w:rsidRDefault="00F33674" w:rsidP="00F33674">
            <w:pPr>
              <w:jc w:val="left"/>
              <w:rPr>
                <w:rFonts w:ascii="Arial Narrow" w:hAnsi="Arial Narrow" w:cs="Calibri"/>
                <w:color w:val="000000"/>
                <w:sz w:val="20"/>
                <w:szCs w:val="20"/>
                <w:lang w:eastAsia="en-AU"/>
              </w:rPr>
            </w:pPr>
          </w:p>
        </w:tc>
        <w:tc>
          <w:tcPr>
            <w:tcW w:w="2693" w:type="dxa"/>
            <w:vMerge/>
            <w:shd w:val="clear" w:color="auto" w:fill="auto"/>
            <w:noWrap/>
          </w:tcPr>
          <w:p w14:paraId="173EE8CF" w14:textId="77777777" w:rsidR="00F33674" w:rsidRPr="00F33674" w:rsidRDefault="00F33674" w:rsidP="00F33674">
            <w:pPr>
              <w:jc w:val="left"/>
              <w:rPr>
                <w:rFonts w:ascii="Arial Narrow" w:hAnsi="Arial Narrow" w:cs="Calibri"/>
                <w:color w:val="000000"/>
                <w:sz w:val="20"/>
                <w:szCs w:val="20"/>
                <w:lang w:eastAsia="en-AU"/>
              </w:rPr>
            </w:pPr>
          </w:p>
        </w:tc>
        <w:tc>
          <w:tcPr>
            <w:tcW w:w="661" w:type="dxa"/>
            <w:shd w:val="clear" w:color="auto" w:fill="auto"/>
            <w:noWrap/>
          </w:tcPr>
          <w:p w14:paraId="63761CB2" w14:textId="77777777" w:rsidR="00F33674" w:rsidRPr="00F33674" w:rsidRDefault="00F33674" w:rsidP="00F33674">
            <w:pPr>
              <w:jc w:val="right"/>
              <w:rPr>
                <w:rFonts w:ascii="Arial Narrow" w:hAnsi="Arial Narrow" w:cs="Calibri"/>
                <w:color w:val="000000"/>
                <w:sz w:val="20"/>
                <w:szCs w:val="20"/>
                <w:lang w:eastAsia="en-AU"/>
              </w:rPr>
            </w:pPr>
          </w:p>
        </w:tc>
        <w:tc>
          <w:tcPr>
            <w:tcW w:w="871" w:type="dxa"/>
            <w:shd w:val="clear" w:color="auto" w:fill="auto"/>
            <w:noWrap/>
          </w:tcPr>
          <w:p w14:paraId="4537CE27" w14:textId="77777777" w:rsidR="00F33674" w:rsidRPr="00F33674" w:rsidRDefault="00F33674" w:rsidP="00F33674">
            <w:pPr>
              <w:jc w:val="right"/>
              <w:rPr>
                <w:rFonts w:ascii="Arial Narrow" w:hAnsi="Arial Narrow" w:cs="Calibri"/>
                <w:color w:val="000000"/>
                <w:sz w:val="20"/>
                <w:szCs w:val="20"/>
                <w:lang w:eastAsia="en-AU"/>
              </w:rPr>
            </w:pPr>
          </w:p>
        </w:tc>
        <w:tc>
          <w:tcPr>
            <w:tcW w:w="1569" w:type="dxa"/>
            <w:shd w:val="clear" w:color="auto" w:fill="auto"/>
            <w:noWrap/>
            <w:hideMark/>
          </w:tcPr>
          <w:p w14:paraId="08EC80D1"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Chem mart Tramadol SR</w:t>
            </w:r>
          </w:p>
        </w:tc>
        <w:tc>
          <w:tcPr>
            <w:tcW w:w="1429" w:type="dxa"/>
            <w:shd w:val="clear" w:color="auto" w:fill="auto"/>
            <w:noWrap/>
            <w:hideMark/>
          </w:tcPr>
          <w:p w14:paraId="741692D0"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Apotex Pty Ltd</w:t>
            </w:r>
          </w:p>
        </w:tc>
      </w:tr>
      <w:tr w:rsidR="00F33674" w:rsidRPr="00F33674" w14:paraId="51BF45FD" w14:textId="77777777" w:rsidTr="00F33674">
        <w:trPr>
          <w:trHeight w:val="300"/>
        </w:trPr>
        <w:tc>
          <w:tcPr>
            <w:tcW w:w="1647" w:type="dxa"/>
            <w:shd w:val="clear" w:color="auto" w:fill="auto"/>
            <w:noWrap/>
          </w:tcPr>
          <w:p w14:paraId="42156040" w14:textId="77777777" w:rsidR="00F33674" w:rsidRPr="00F33674" w:rsidRDefault="00F33674" w:rsidP="00F33674">
            <w:pPr>
              <w:jc w:val="left"/>
              <w:rPr>
                <w:rFonts w:ascii="Arial Narrow" w:hAnsi="Arial Narrow" w:cs="Calibri"/>
                <w:color w:val="000000"/>
                <w:sz w:val="20"/>
                <w:szCs w:val="20"/>
                <w:lang w:eastAsia="en-AU"/>
              </w:rPr>
            </w:pPr>
          </w:p>
        </w:tc>
        <w:tc>
          <w:tcPr>
            <w:tcW w:w="827" w:type="dxa"/>
          </w:tcPr>
          <w:p w14:paraId="491A42C7" w14:textId="77777777" w:rsidR="00F33674" w:rsidRPr="00F33674" w:rsidRDefault="00F33674" w:rsidP="00F33674">
            <w:pPr>
              <w:jc w:val="left"/>
              <w:rPr>
                <w:rFonts w:ascii="Arial Narrow" w:hAnsi="Arial Narrow" w:cs="Calibri"/>
                <w:color w:val="000000"/>
                <w:sz w:val="20"/>
                <w:szCs w:val="20"/>
                <w:lang w:eastAsia="en-AU"/>
              </w:rPr>
            </w:pPr>
          </w:p>
        </w:tc>
        <w:tc>
          <w:tcPr>
            <w:tcW w:w="2693" w:type="dxa"/>
            <w:vMerge/>
            <w:shd w:val="clear" w:color="auto" w:fill="auto"/>
            <w:noWrap/>
          </w:tcPr>
          <w:p w14:paraId="0F80A9BB" w14:textId="77777777" w:rsidR="00F33674" w:rsidRPr="00F33674" w:rsidRDefault="00F33674" w:rsidP="00F33674">
            <w:pPr>
              <w:jc w:val="left"/>
              <w:rPr>
                <w:rFonts w:ascii="Arial Narrow" w:hAnsi="Arial Narrow" w:cs="Calibri"/>
                <w:color w:val="000000"/>
                <w:sz w:val="20"/>
                <w:szCs w:val="20"/>
                <w:lang w:eastAsia="en-AU"/>
              </w:rPr>
            </w:pPr>
          </w:p>
        </w:tc>
        <w:tc>
          <w:tcPr>
            <w:tcW w:w="661" w:type="dxa"/>
            <w:shd w:val="clear" w:color="auto" w:fill="auto"/>
            <w:noWrap/>
          </w:tcPr>
          <w:p w14:paraId="55FC31D1" w14:textId="77777777" w:rsidR="00F33674" w:rsidRPr="00F33674" w:rsidRDefault="00F33674" w:rsidP="00F33674">
            <w:pPr>
              <w:jc w:val="right"/>
              <w:rPr>
                <w:rFonts w:ascii="Arial Narrow" w:hAnsi="Arial Narrow" w:cs="Calibri"/>
                <w:color w:val="000000"/>
                <w:sz w:val="20"/>
                <w:szCs w:val="20"/>
                <w:lang w:eastAsia="en-AU"/>
              </w:rPr>
            </w:pPr>
          </w:p>
        </w:tc>
        <w:tc>
          <w:tcPr>
            <w:tcW w:w="871" w:type="dxa"/>
            <w:shd w:val="clear" w:color="auto" w:fill="auto"/>
            <w:noWrap/>
          </w:tcPr>
          <w:p w14:paraId="470FF252" w14:textId="77777777" w:rsidR="00F33674" w:rsidRPr="00F33674" w:rsidRDefault="00F33674" w:rsidP="00F33674">
            <w:pPr>
              <w:jc w:val="right"/>
              <w:rPr>
                <w:rFonts w:ascii="Arial Narrow" w:hAnsi="Arial Narrow" w:cs="Calibri"/>
                <w:color w:val="000000"/>
                <w:sz w:val="20"/>
                <w:szCs w:val="20"/>
                <w:lang w:eastAsia="en-AU"/>
              </w:rPr>
            </w:pPr>
          </w:p>
        </w:tc>
        <w:tc>
          <w:tcPr>
            <w:tcW w:w="1569" w:type="dxa"/>
            <w:shd w:val="clear" w:color="auto" w:fill="auto"/>
            <w:noWrap/>
            <w:hideMark/>
          </w:tcPr>
          <w:p w14:paraId="49D013FF"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Terry White Chemists Tramadol SR</w:t>
            </w:r>
          </w:p>
        </w:tc>
        <w:tc>
          <w:tcPr>
            <w:tcW w:w="1429" w:type="dxa"/>
            <w:shd w:val="clear" w:color="auto" w:fill="auto"/>
            <w:noWrap/>
            <w:hideMark/>
          </w:tcPr>
          <w:p w14:paraId="4E9C002B"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Apotex Pty Ltd</w:t>
            </w:r>
          </w:p>
        </w:tc>
      </w:tr>
      <w:tr w:rsidR="00F33674" w:rsidRPr="00F33674" w14:paraId="528D4265" w14:textId="77777777" w:rsidTr="00F33674">
        <w:trPr>
          <w:trHeight w:val="300"/>
        </w:trPr>
        <w:tc>
          <w:tcPr>
            <w:tcW w:w="1647" w:type="dxa"/>
            <w:shd w:val="clear" w:color="auto" w:fill="auto"/>
            <w:noWrap/>
          </w:tcPr>
          <w:p w14:paraId="31ECE8FB" w14:textId="77777777" w:rsidR="00F33674" w:rsidRPr="00F33674" w:rsidRDefault="00F33674" w:rsidP="00F33674">
            <w:pPr>
              <w:jc w:val="left"/>
              <w:rPr>
                <w:rFonts w:ascii="Arial Narrow" w:hAnsi="Arial Narrow" w:cs="Calibri"/>
                <w:color w:val="000000"/>
                <w:sz w:val="20"/>
                <w:szCs w:val="20"/>
                <w:lang w:eastAsia="en-AU"/>
              </w:rPr>
            </w:pPr>
          </w:p>
        </w:tc>
        <w:tc>
          <w:tcPr>
            <w:tcW w:w="827" w:type="dxa"/>
          </w:tcPr>
          <w:p w14:paraId="68B2B880" w14:textId="77777777" w:rsidR="00F33674" w:rsidRPr="00F33674" w:rsidRDefault="00F33674" w:rsidP="00F33674">
            <w:pPr>
              <w:jc w:val="left"/>
              <w:rPr>
                <w:rFonts w:ascii="Arial Narrow" w:hAnsi="Arial Narrow" w:cs="Calibri"/>
                <w:color w:val="000000"/>
                <w:sz w:val="20"/>
                <w:szCs w:val="20"/>
                <w:lang w:eastAsia="en-AU"/>
              </w:rPr>
            </w:pPr>
          </w:p>
        </w:tc>
        <w:tc>
          <w:tcPr>
            <w:tcW w:w="2693" w:type="dxa"/>
            <w:vMerge/>
            <w:shd w:val="clear" w:color="auto" w:fill="auto"/>
            <w:noWrap/>
          </w:tcPr>
          <w:p w14:paraId="2B5D061B" w14:textId="77777777" w:rsidR="00F33674" w:rsidRPr="00F33674" w:rsidRDefault="00F33674" w:rsidP="00F33674">
            <w:pPr>
              <w:jc w:val="left"/>
              <w:rPr>
                <w:rFonts w:ascii="Arial Narrow" w:hAnsi="Arial Narrow" w:cs="Calibri"/>
                <w:color w:val="000000"/>
                <w:sz w:val="20"/>
                <w:szCs w:val="20"/>
                <w:lang w:eastAsia="en-AU"/>
              </w:rPr>
            </w:pPr>
          </w:p>
        </w:tc>
        <w:tc>
          <w:tcPr>
            <w:tcW w:w="661" w:type="dxa"/>
            <w:shd w:val="clear" w:color="auto" w:fill="auto"/>
            <w:noWrap/>
          </w:tcPr>
          <w:p w14:paraId="2ABFFA19" w14:textId="77777777" w:rsidR="00F33674" w:rsidRPr="00F33674" w:rsidRDefault="00F33674" w:rsidP="00F33674">
            <w:pPr>
              <w:jc w:val="right"/>
              <w:rPr>
                <w:rFonts w:ascii="Arial Narrow" w:hAnsi="Arial Narrow" w:cs="Calibri"/>
                <w:color w:val="000000"/>
                <w:sz w:val="20"/>
                <w:szCs w:val="20"/>
                <w:lang w:eastAsia="en-AU"/>
              </w:rPr>
            </w:pPr>
          </w:p>
        </w:tc>
        <w:tc>
          <w:tcPr>
            <w:tcW w:w="871" w:type="dxa"/>
            <w:shd w:val="clear" w:color="auto" w:fill="auto"/>
            <w:noWrap/>
          </w:tcPr>
          <w:p w14:paraId="21EA6514" w14:textId="77777777" w:rsidR="00F33674" w:rsidRPr="00F33674" w:rsidRDefault="00F33674" w:rsidP="00F33674">
            <w:pPr>
              <w:jc w:val="right"/>
              <w:rPr>
                <w:rFonts w:ascii="Arial Narrow" w:hAnsi="Arial Narrow" w:cs="Calibri"/>
                <w:color w:val="000000"/>
                <w:sz w:val="20"/>
                <w:szCs w:val="20"/>
                <w:lang w:eastAsia="en-AU"/>
              </w:rPr>
            </w:pPr>
          </w:p>
        </w:tc>
        <w:tc>
          <w:tcPr>
            <w:tcW w:w="1569" w:type="dxa"/>
            <w:shd w:val="clear" w:color="auto" w:fill="auto"/>
            <w:noWrap/>
            <w:hideMark/>
          </w:tcPr>
          <w:p w14:paraId="38347B7F"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Tramadol AN SR</w:t>
            </w:r>
          </w:p>
        </w:tc>
        <w:tc>
          <w:tcPr>
            <w:tcW w:w="1429" w:type="dxa"/>
            <w:shd w:val="clear" w:color="auto" w:fill="auto"/>
            <w:noWrap/>
            <w:hideMark/>
          </w:tcPr>
          <w:p w14:paraId="507278B3"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Amneal Pharmaceuticals Pty Ltd</w:t>
            </w:r>
          </w:p>
        </w:tc>
      </w:tr>
      <w:tr w:rsidR="00F33674" w:rsidRPr="00F33674" w14:paraId="40D39C15" w14:textId="77777777" w:rsidTr="00F33674">
        <w:trPr>
          <w:trHeight w:val="300"/>
        </w:trPr>
        <w:tc>
          <w:tcPr>
            <w:tcW w:w="1647" w:type="dxa"/>
            <w:shd w:val="clear" w:color="auto" w:fill="auto"/>
            <w:noWrap/>
          </w:tcPr>
          <w:p w14:paraId="1038EE97" w14:textId="77777777" w:rsidR="00F33674" w:rsidRPr="00F33674" w:rsidRDefault="00F33674" w:rsidP="00F33674">
            <w:pPr>
              <w:jc w:val="left"/>
              <w:rPr>
                <w:rFonts w:ascii="Arial Narrow" w:hAnsi="Arial Narrow" w:cs="Calibri"/>
                <w:color w:val="000000"/>
                <w:sz w:val="20"/>
                <w:szCs w:val="20"/>
                <w:lang w:eastAsia="en-AU"/>
              </w:rPr>
            </w:pPr>
          </w:p>
        </w:tc>
        <w:tc>
          <w:tcPr>
            <w:tcW w:w="827" w:type="dxa"/>
          </w:tcPr>
          <w:p w14:paraId="7325DEC9" w14:textId="77777777" w:rsidR="00F33674" w:rsidRPr="00F33674" w:rsidRDefault="00F33674" w:rsidP="00F33674">
            <w:pPr>
              <w:jc w:val="left"/>
              <w:rPr>
                <w:rFonts w:ascii="Arial Narrow" w:hAnsi="Arial Narrow" w:cs="Calibri"/>
                <w:color w:val="000000"/>
                <w:sz w:val="20"/>
                <w:szCs w:val="20"/>
                <w:lang w:eastAsia="en-AU"/>
              </w:rPr>
            </w:pPr>
          </w:p>
        </w:tc>
        <w:tc>
          <w:tcPr>
            <w:tcW w:w="2693" w:type="dxa"/>
            <w:vMerge/>
            <w:shd w:val="clear" w:color="auto" w:fill="auto"/>
            <w:noWrap/>
          </w:tcPr>
          <w:p w14:paraId="0EE0AD40" w14:textId="77777777" w:rsidR="00F33674" w:rsidRPr="00F33674" w:rsidRDefault="00F33674" w:rsidP="00F33674">
            <w:pPr>
              <w:jc w:val="left"/>
              <w:rPr>
                <w:rFonts w:ascii="Arial Narrow" w:hAnsi="Arial Narrow" w:cs="Calibri"/>
                <w:color w:val="000000"/>
                <w:sz w:val="20"/>
                <w:szCs w:val="20"/>
                <w:lang w:eastAsia="en-AU"/>
              </w:rPr>
            </w:pPr>
          </w:p>
        </w:tc>
        <w:tc>
          <w:tcPr>
            <w:tcW w:w="661" w:type="dxa"/>
            <w:shd w:val="clear" w:color="auto" w:fill="auto"/>
            <w:noWrap/>
          </w:tcPr>
          <w:p w14:paraId="5C6316D6" w14:textId="77777777" w:rsidR="00F33674" w:rsidRPr="00F33674" w:rsidRDefault="00F33674" w:rsidP="00F33674">
            <w:pPr>
              <w:jc w:val="right"/>
              <w:rPr>
                <w:rFonts w:ascii="Arial Narrow" w:hAnsi="Arial Narrow" w:cs="Calibri"/>
                <w:color w:val="000000"/>
                <w:sz w:val="20"/>
                <w:szCs w:val="20"/>
                <w:lang w:eastAsia="en-AU"/>
              </w:rPr>
            </w:pPr>
          </w:p>
        </w:tc>
        <w:tc>
          <w:tcPr>
            <w:tcW w:w="871" w:type="dxa"/>
            <w:shd w:val="clear" w:color="auto" w:fill="auto"/>
            <w:noWrap/>
          </w:tcPr>
          <w:p w14:paraId="606FFE7C" w14:textId="77777777" w:rsidR="00F33674" w:rsidRPr="00F33674" w:rsidRDefault="00F33674" w:rsidP="00F33674">
            <w:pPr>
              <w:jc w:val="right"/>
              <w:rPr>
                <w:rFonts w:ascii="Arial Narrow" w:hAnsi="Arial Narrow" w:cs="Calibri"/>
                <w:color w:val="000000"/>
                <w:sz w:val="20"/>
                <w:szCs w:val="20"/>
                <w:lang w:eastAsia="en-AU"/>
              </w:rPr>
            </w:pPr>
          </w:p>
        </w:tc>
        <w:tc>
          <w:tcPr>
            <w:tcW w:w="1569" w:type="dxa"/>
            <w:shd w:val="clear" w:color="auto" w:fill="auto"/>
            <w:noWrap/>
            <w:hideMark/>
          </w:tcPr>
          <w:p w14:paraId="4382C6B8"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Tramadol SR generichealth</w:t>
            </w:r>
          </w:p>
        </w:tc>
        <w:tc>
          <w:tcPr>
            <w:tcW w:w="1429" w:type="dxa"/>
            <w:shd w:val="clear" w:color="auto" w:fill="auto"/>
            <w:noWrap/>
            <w:hideMark/>
          </w:tcPr>
          <w:p w14:paraId="0B0E5B5C"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Generic Health Pty Ltd</w:t>
            </w:r>
          </w:p>
        </w:tc>
      </w:tr>
      <w:tr w:rsidR="00F33674" w:rsidRPr="00F33674" w14:paraId="3C77B467" w14:textId="77777777" w:rsidTr="00F33674">
        <w:trPr>
          <w:trHeight w:val="300"/>
        </w:trPr>
        <w:tc>
          <w:tcPr>
            <w:tcW w:w="1647" w:type="dxa"/>
            <w:shd w:val="clear" w:color="auto" w:fill="auto"/>
            <w:noWrap/>
          </w:tcPr>
          <w:p w14:paraId="1117AC4C" w14:textId="77777777" w:rsidR="00F33674" w:rsidRPr="00F33674" w:rsidRDefault="00F33674" w:rsidP="00F33674">
            <w:pPr>
              <w:jc w:val="left"/>
              <w:rPr>
                <w:rFonts w:ascii="Arial Narrow" w:hAnsi="Arial Narrow" w:cs="Calibri"/>
                <w:color w:val="000000"/>
                <w:sz w:val="20"/>
                <w:szCs w:val="20"/>
                <w:lang w:eastAsia="en-AU"/>
              </w:rPr>
            </w:pPr>
          </w:p>
        </w:tc>
        <w:tc>
          <w:tcPr>
            <w:tcW w:w="827" w:type="dxa"/>
          </w:tcPr>
          <w:p w14:paraId="54398AD8" w14:textId="77777777" w:rsidR="00F33674" w:rsidRPr="00F33674" w:rsidRDefault="00F33674" w:rsidP="00F33674">
            <w:pPr>
              <w:jc w:val="left"/>
              <w:rPr>
                <w:rFonts w:ascii="Arial Narrow" w:hAnsi="Arial Narrow" w:cs="Calibri"/>
                <w:color w:val="000000"/>
                <w:sz w:val="20"/>
                <w:szCs w:val="20"/>
                <w:lang w:eastAsia="en-AU"/>
              </w:rPr>
            </w:pPr>
          </w:p>
        </w:tc>
        <w:tc>
          <w:tcPr>
            <w:tcW w:w="2693" w:type="dxa"/>
            <w:vMerge/>
            <w:shd w:val="clear" w:color="auto" w:fill="auto"/>
            <w:noWrap/>
          </w:tcPr>
          <w:p w14:paraId="3E9052E4" w14:textId="77777777" w:rsidR="00F33674" w:rsidRPr="00F33674" w:rsidRDefault="00F33674" w:rsidP="00F33674">
            <w:pPr>
              <w:jc w:val="left"/>
              <w:rPr>
                <w:rFonts w:ascii="Arial Narrow" w:hAnsi="Arial Narrow" w:cs="Calibri"/>
                <w:color w:val="000000"/>
                <w:sz w:val="20"/>
                <w:szCs w:val="20"/>
                <w:lang w:eastAsia="en-AU"/>
              </w:rPr>
            </w:pPr>
          </w:p>
        </w:tc>
        <w:tc>
          <w:tcPr>
            <w:tcW w:w="661" w:type="dxa"/>
            <w:shd w:val="clear" w:color="auto" w:fill="auto"/>
            <w:noWrap/>
          </w:tcPr>
          <w:p w14:paraId="41C8C72D" w14:textId="77777777" w:rsidR="00F33674" w:rsidRPr="00F33674" w:rsidRDefault="00F33674" w:rsidP="00F33674">
            <w:pPr>
              <w:jc w:val="right"/>
              <w:rPr>
                <w:rFonts w:ascii="Arial Narrow" w:hAnsi="Arial Narrow" w:cs="Calibri"/>
                <w:color w:val="000000"/>
                <w:sz w:val="20"/>
                <w:szCs w:val="20"/>
                <w:lang w:eastAsia="en-AU"/>
              </w:rPr>
            </w:pPr>
          </w:p>
        </w:tc>
        <w:tc>
          <w:tcPr>
            <w:tcW w:w="871" w:type="dxa"/>
            <w:shd w:val="clear" w:color="auto" w:fill="auto"/>
            <w:noWrap/>
          </w:tcPr>
          <w:p w14:paraId="4E8DD4BA" w14:textId="77777777" w:rsidR="00F33674" w:rsidRPr="00F33674" w:rsidRDefault="00F33674" w:rsidP="00F33674">
            <w:pPr>
              <w:jc w:val="right"/>
              <w:rPr>
                <w:rFonts w:ascii="Arial Narrow" w:hAnsi="Arial Narrow" w:cs="Calibri"/>
                <w:color w:val="000000"/>
                <w:sz w:val="20"/>
                <w:szCs w:val="20"/>
                <w:lang w:eastAsia="en-AU"/>
              </w:rPr>
            </w:pPr>
          </w:p>
        </w:tc>
        <w:tc>
          <w:tcPr>
            <w:tcW w:w="1569" w:type="dxa"/>
            <w:shd w:val="clear" w:color="auto" w:fill="auto"/>
            <w:noWrap/>
            <w:hideMark/>
          </w:tcPr>
          <w:p w14:paraId="3226B312"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Tramadol Sandoz SR</w:t>
            </w:r>
          </w:p>
        </w:tc>
        <w:tc>
          <w:tcPr>
            <w:tcW w:w="1429" w:type="dxa"/>
            <w:shd w:val="clear" w:color="auto" w:fill="auto"/>
            <w:noWrap/>
            <w:hideMark/>
          </w:tcPr>
          <w:p w14:paraId="11B088AB"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Sandoz Pty Ltd</w:t>
            </w:r>
          </w:p>
        </w:tc>
      </w:tr>
      <w:tr w:rsidR="00F33674" w:rsidRPr="00F33674" w14:paraId="17FE8AEE" w14:textId="77777777" w:rsidTr="00F33674">
        <w:trPr>
          <w:trHeight w:val="300"/>
        </w:trPr>
        <w:tc>
          <w:tcPr>
            <w:tcW w:w="1647" w:type="dxa"/>
            <w:shd w:val="clear" w:color="auto" w:fill="auto"/>
            <w:noWrap/>
          </w:tcPr>
          <w:p w14:paraId="5750BAAB" w14:textId="77777777" w:rsidR="00F33674" w:rsidRPr="00F33674" w:rsidRDefault="00F33674" w:rsidP="00F33674">
            <w:pPr>
              <w:jc w:val="left"/>
              <w:rPr>
                <w:rFonts w:ascii="Arial Narrow" w:hAnsi="Arial Narrow" w:cs="Calibri"/>
                <w:color w:val="000000"/>
                <w:sz w:val="20"/>
                <w:szCs w:val="20"/>
                <w:lang w:eastAsia="en-AU"/>
              </w:rPr>
            </w:pPr>
          </w:p>
        </w:tc>
        <w:tc>
          <w:tcPr>
            <w:tcW w:w="827" w:type="dxa"/>
          </w:tcPr>
          <w:p w14:paraId="4F161780" w14:textId="77777777" w:rsidR="00F33674" w:rsidRPr="00F33674" w:rsidRDefault="00F33674" w:rsidP="00F33674">
            <w:pPr>
              <w:jc w:val="left"/>
              <w:rPr>
                <w:rFonts w:ascii="Arial Narrow" w:hAnsi="Arial Narrow" w:cs="Calibri"/>
                <w:color w:val="000000"/>
                <w:sz w:val="20"/>
                <w:szCs w:val="20"/>
                <w:lang w:eastAsia="en-AU"/>
              </w:rPr>
            </w:pPr>
          </w:p>
        </w:tc>
        <w:tc>
          <w:tcPr>
            <w:tcW w:w="2693" w:type="dxa"/>
            <w:vMerge/>
            <w:shd w:val="clear" w:color="auto" w:fill="auto"/>
            <w:noWrap/>
          </w:tcPr>
          <w:p w14:paraId="1D905A20" w14:textId="77777777" w:rsidR="00F33674" w:rsidRPr="00F33674" w:rsidRDefault="00F33674" w:rsidP="00F33674">
            <w:pPr>
              <w:jc w:val="left"/>
              <w:rPr>
                <w:rFonts w:ascii="Arial Narrow" w:hAnsi="Arial Narrow" w:cs="Calibri"/>
                <w:color w:val="000000"/>
                <w:sz w:val="20"/>
                <w:szCs w:val="20"/>
                <w:lang w:eastAsia="en-AU"/>
              </w:rPr>
            </w:pPr>
          </w:p>
        </w:tc>
        <w:tc>
          <w:tcPr>
            <w:tcW w:w="661" w:type="dxa"/>
            <w:shd w:val="clear" w:color="auto" w:fill="auto"/>
            <w:noWrap/>
          </w:tcPr>
          <w:p w14:paraId="45DE422F" w14:textId="77777777" w:rsidR="00F33674" w:rsidRPr="00F33674" w:rsidRDefault="00F33674" w:rsidP="00F33674">
            <w:pPr>
              <w:jc w:val="right"/>
              <w:rPr>
                <w:rFonts w:ascii="Arial Narrow" w:hAnsi="Arial Narrow" w:cs="Calibri"/>
                <w:color w:val="000000"/>
                <w:sz w:val="20"/>
                <w:szCs w:val="20"/>
                <w:lang w:eastAsia="en-AU"/>
              </w:rPr>
            </w:pPr>
          </w:p>
        </w:tc>
        <w:tc>
          <w:tcPr>
            <w:tcW w:w="871" w:type="dxa"/>
            <w:shd w:val="clear" w:color="auto" w:fill="auto"/>
            <w:noWrap/>
          </w:tcPr>
          <w:p w14:paraId="7A9DE6A1" w14:textId="77777777" w:rsidR="00F33674" w:rsidRPr="00F33674" w:rsidRDefault="00F33674" w:rsidP="00F33674">
            <w:pPr>
              <w:jc w:val="right"/>
              <w:rPr>
                <w:rFonts w:ascii="Arial Narrow" w:hAnsi="Arial Narrow" w:cs="Calibri"/>
                <w:color w:val="000000"/>
                <w:sz w:val="20"/>
                <w:szCs w:val="20"/>
                <w:lang w:eastAsia="en-AU"/>
              </w:rPr>
            </w:pPr>
          </w:p>
        </w:tc>
        <w:tc>
          <w:tcPr>
            <w:tcW w:w="1569" w:type="dxa"/>
            <w:shd w:val="clear" w:color="auto" w:fill="auto"/>
            <w:noWrap/>
            <w:hideMark/>
          </w:tcPr>
          <w:p w14:paraId="16A59B5D"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Tramal SR 100</w:t>
            </w:r>
          </w:p>
        </w:tc>
        <w:tc>
          <w:tcPr>
            <w:tcW w:w="1429" w:type="dxa"/>
            <w:shd w:val="clear" w:color="auto" w:fill="auto"/>
            <w:noWrap/>
            <w:hideMark/>
          </w:tcPr>
          <w:p w14:paraId="6A45EF69"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Seqirus (Australia) Pty Ltd</w:t>
            </w:r>
          </w:p>
        </w:tc>
      </w:tr>
      <w:tr w:rsidR="00F33674" w:rsidRPr="00F33674" w14:paraId="4D9E0D53" w14:textId="77777777" w:rsidTr="00F33674">
        <w:trPr>
          <w:trHeight w:val="300"/>
        </w:trPr>
        <w:tc>
          <w:tcPr>
            <w:tcW w:w="1647" w:type="dxa"/>
            <w:shd w:val="clear" w:color="auto" w:fill="auto"/>
            <w:noWrap/>
          </w:tcPr>
          <w:p w14:paraId="1B2482A3" w14:textId="77777777" w:rsidR="00F33674" w:rsidRPr="00F33674" w:rsidRDefault="00F33674" w:rsidP="00F33674">
            <w:pPr>
              <w:jc w:val="left"/>
              <w:rPr>
                <w:rFonts w:ascii="Arial Narrow" w:hAnsi="Arial Narrow" w:cs="Calibri"/>
                <w:color w:val="000000"/>
                <w:sz w:val="20"/>
                <w:szCs w:val="20"/>
                <w:lang w:eastAsia="en-AU"/>
              </w:rPr>
            </w:pPr>
          </w:p>
        </w:tc>
        <w:tc>
          <w:tcPr>
            <w:tcW w:w="827" w:type="dxa"/>
          </w:tcPr>
          <w:p w14:paraId="62B46734" w14:textId="77777777" w:rsidR="00F33674" w:rsidRPr="00F33674" w:rsidRDefault="00F33674" w:rsidP="00F33674">
            <w:pPr>
              <w:jc w:val="left"/>
              <w:rPr>
                <w:rFonts w:ascii="Arial Narrow" w:hAnsi="Arial Narrow" w:cs="Calibri"/>
                <w:color w:val="000000"/>
                <w:sz w:val="20"/>
                <w:szCs w:val="20"/>
                <w:lang w:eastAsia="en-AU"/>
              </w:rPr>
            </w:pPr>
          </w:p>
        </w:tc>
        <w:tc>
          <w:tcPr>
            <w:tcW w:w="2693" w:type="dxa"/>
            <w:vMerge/>
            <w:shd w:val="clear" w:color="auto" w:fill="auto"/>
            <w:noWrap/>
          </w:tcPr>
          <w:p w14:paraId="3DE81460" w14:textId="77777777" w:rsidR="00F33674" w:rsidRPr="00F33674" w:rsidRDefault="00F33674" w:rsidP="00F33674">
            <w:pPr>
              <w:jc w:val="left"/>
              <w:rPr>
                <w:rFonts w:ascii="Arial Narrow" w:hAnsi="Arial Narrow" w:cs="Calibri"/>
                <w:color w:val="000000"/>
                <w:sz w:val="20"/>
                <w:szCs w:val="20"/>
                <w:lang w:eastAsia="en-AU"/>
              </w:rPr>
            </w:pPr>
          </w:p>
        </w:tc>
        <w:tc>
          <w:tcPr>
            <w:tcW w:w="661" w:type="dxa"/>
            <w:shd w:val="clear" w:color="auto" w:fill="auto"/>
            <w:noWrap/>
          </w:tcPr>
          <w:p w14:paraId="0B628297" w14:textId="77777777" w:rsidR="00F33674" w:rsidRPr="00F33674" w:rsidRDefault="00F33674" w:rsidP="00F33674">
            <w:pPr>
              <w:jc w:val="right"/>
              <w:rPr>
                <w:rFonts w:ascii="Arial Narrow" w:hAnsi="Arial Narrow" w:cs="Calibri"/>
                <w:color w:val="000000"/>
                <w:sz w:val="20"/>
                <w:szCs w:val="20"/>
                <w:lang w:eastAsia="en-AU"/>
              </w:rPr>
            </w:pPr>
          </w:p>
        </w:tc>
        <w:tc>
          <w:tcPr>
            <w:tcW w:w="871" w:type="dxa"/>
            <w:shd w:val="clear" w:color="auto" w:fill="auto"/>
            <w:noWrap/>
          </w:tcPr>
          <w:p w14:paraId="5D389AEB" w14:textId="77777777" w:rsidR="00F33674" w:rsidRPr="00F33674" w:rsidRDefault="00F33674" w:rsidP="00F33674">
            <w:pPr>
              <w:jc w:val="right"/>
              <w:rPr>
                <w:rFonts w:ascii="Arial Narrow" w:hAnsi="Arial Narrow" w:cs="Calibri"/>
                <w:color w:val="000000"/>
                <w:sz w:val="20"/>
                <w:szCs w:val="20"/>
                <w:lang w:eastAsia="en-AU"/>
              </w:rPr>
            </w:pPr>
          </w:p>
        </w:tc>
        <w:tc>
          <w:tcPr>
            <w:tcW w:w="1569" w:type="dxa"/>
            <w:shd w:val="clear" w:color="auto" w:fill="auto"/>
            <w:noWrap/>
            <w:hideMark/>
          </w:tcPr>
          <w:p w14:paraId="5F9C0ED3"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Tramedo SR</w:t>
            </w:r>
          </w:p>
        </w:tc>
        <w:tc>
          <w:tcPr>
            <w:tcW w:w="1429" w:type="dxa"/>
            <w:shd w:val="clear" w:color="auto" w:fill="auto"/>
            <w:noWrap/>
            <w:hideMark/>
          </w:tcPr>
          <w:p w14:paraId="00F18C3F"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Alphapharm Pty Ltd</w:t>
            </w:r>
          </w:p>
        </w:tc>
      </w:tr>
      <w:tr w:rsidR="00F33674" w:rsidRPr="00F33674" w14:paraId="783AB092" w14:textId="77777777" w:rsidTr="00F33674">
        <w:trPr>
          <w:trHeight w:val="300"/>
        </w:trPr>
        <w:tc>
          <w:tcPr>
            <w:tcW w:w="1647" w:type="dxa"/>
            <w:shd w:val="clear" w:color="auto" w:fill="auto"/>
            <w:noWrap/>
          </w:tcPr>
          <w:p w14:paraId="43720B16" w14:textId="77777777" w:rsidR="00F33674" w:rsidRPr="00F33674" w:rsidRDefault="00F33674" w:rsidP="00F33674">
            <w:pPr>
              <w:jc w:val="left"/>
              <w:rPr>
                <w:rFonts w:ascii="Arial Narrow" w:hAnsi="Arial Narrow" w:cs="Calibri"/>
                <w:color w:val="000000"/>
                <w:sz w:val="20"/>
                <w:szCs w:val="20"/>
                <w:lang w:eastAsia="en-AU"/>
              </w:rPr>
            </w:pPr>
          </w:p>
        </w:tc>
        <w:tc>
          <w:tcPr>
            <w:tcW w:w="827" w:type="dxa"/>
          </w:tcPr>
          <w:p w14:paraId="09201972" w14:textId="77777777" w:rsidR="00F33674" w:rsidRPr="00F33674" w:rsidRDefault="00F33674" w:rsidP="00F33674">
            <w:pPr>
              <w:jc w:val="left"/>
              <w:rPr>
                <w:rFonts w:ascii="Arial Narrow" w:hAnsi="Arial Narrow" w:cs="Calibri"/>
                <w:color w:val="000000"/>
                <w:sz w:val="20"/>
                <w:szCs w:val="20"/>
                <w:lang w:eastAsia="en-AU"/>
              </w:rPr>
            </w:pPr>
          </w:p>
        </w:tc>
        <w:tc>
          <w:tcPr>
            <w:tcW w:w="2693" w:type="dxa"/>
            <w:vMerge/>
            <w:shd w:val="clear" w:color="auto" w:fill="auto"/>
            <w:noWrap/>
          </w:tcPr>
          <w:p w14:paraId="2F7CE4B6" w14:textId="77777777" w:rsidR="00F33674" w:rsidRPr="00F33674" w:rsidRDefault="00F33674" w:rsidP="00F33674">
            <w:pPr>
              <w:jc w:val="left"/>
              <w:rPr>
                <w:rFonts w:ascii="Arial Narrow" w:hAnsi="Arial Narrow" w:cs="Calibri"/>
                <w:color w:val="000000"/>
                <w:sz w:val="20"/>
                <w:szCs w:val="20"/>
                <w:lang w:eastAsia="en-AU"/>
              </w:rPr>
            </w:pPr>
          </w:p>
        </w:tc>
        <w:tc>
          <w:tcPr>
            <w:tcW w:w="661" w:type="dxa"/>
            <w:shd w:val="clear" w:color="auto" w:fill="auto"/>
            <w:noWrap/>
          </w:tcPr>
          <w:p w14:paraId="655ED9BB" w14:textId="77777777" w:rsidR="00F33674" w:rsidRPr="00F33674" w:rsidRDefault="00F33674" w:rsidP="00F33674">
            <w:pPr>
              <w:jc w:val="right"/>
              <w:rPr>
                <w:rFonts w:ascii="Arial Narrow" w:hAnsi="Arial Narrow" w:cs="Calibri"/>
                <w:color w:val="000000"/>
                <w:sz w:val="20"/>
                <w:szCs w:val="20"/>
                <w:lang w:eastAsia="en-AU"/>
              </w:rPr>
            </w:pPr>
          </w:p>
        </w:tc>
        <w:tc>
          <w:tcPr>
            <w:tcW w:w="871" w:type="dxa"/>
            <w:shd w:val="clear" w:color="auto" w:fill="auto"/>
            <w:noWrap/>
          </w:tcPr>
          <w:p w14:paraId="02D3BCF2" w14:textId="77777777" w:rsidR="00F33674" w:rsidRPr="00F33674" w:rsidRDefault="00F33674" w:rsidP="00F33674">
            <w:pPr>
              <w:jc w:val="right"/>
              <w:rPr>
                <w:rFonts w:ascii="Arial Narrow" w:hAnsi="Arial Narrow" w:cs="Calibri"/>
                <w:color w:val="000000"/>
                <w:sz w:val="20"/>
                <w:szCs w:val="20"/>
                <w:lang w:eastAsia="en-AU"/>
              </w:rPr>
            </w:pPr>
          </w:p>
        </w:tc>
        <w:tc>
          <w:tcPr>
            <w:tcW w:w="1569" w:type="dxa"/>
            <w:shd w:val="clear" w:color="auto" w:fill="auto"/>
            <w:noWrap/>
            <w:hideMark/>
          </w:tcPr>
          <w:p w14:paraId="10043382"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Zydol SR 100</w:t>
            </w:r>
          </w:p>
        </w:tc>
        <w:tc>
          <w:tcPr>
            <w:tcW w:w="1429" w:type="dxa"/>
            <w:shd w:val="clear" w:color="auto" w:fill="auto"/>
            <w:noWrap/>
            <w:hideMark/>
          </w:tcPr>
          <w:p w14:paraId="0C38C06C"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Arrow Pharma Pty Ltd</w:t>
            </w:r>
          </w:p>
        </w:tc>
      </w:tr>
      <w:tr w:rsidR="00F33674" w:rsidRPr="00F33674" w14:paraId="7E17BC8A" w14:textId="77777777" w:rsidTr="00F33674">
        <w:trPr>
          <w:trHeight w:val="300"/>
        </w:trPr>
        <w:tc>
          <w:tcPr>
            <w:tcW w:w="1647" w:type="dxa"/>
            <w:shd w:val="clear" w:color="auto" w:fill="auto"/>
            <w:noWrap/>
          </w:tcPr>
          <w:p w14:paraId="7E94B9DC" w14:textId="77777777" w:rsidR="00F33674" w:rsidRPr="00F33674" w:rsidRDefault="00F33674" w:rsidP="00F33674">
            <w:pPr>
              <w:jc w:val="left"/>
              <w:rPr>
                <w:rFonts w:ascii="Arial Narrow" w:hAnsi="Arial Narrow" w:cs="Calibri"/>
                <w:color w:val="000000"/>
                <w:sz w:val="20"/>
                <w:szCs w:val="20"/>
                <w:lang w:eastAsia="en-AU"/>
              </w:rPr>
            </w:pPr>
          </w:p>
        </w:tc>
        <w:tc>
          <w:tcPr>
            <w:tcW w:w="827" w:type="dxa"/>
          </w:tcPr>
          <w:p w14:paraId="2AAB319F"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8524P</w:t>
            </w:r>
          </w:p>
        </w:tc>
        <w:tc>
          <w:tcPr>
            <w:tcW w:w="2693" w:type="dxa"/>
            <w:vMerge w:val="restart"/>
            <w:shd w:val="clear" w:color="auto" w:fill="auto"/>
            <w:noWrap/>
            <w:hideMark/>
          </w:tcPr>
          <w:p w14:paraId="049B6E9E"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Tablet (sustained release) containing tramadol hydrochloride 150 mg</w:t>
            </w:r>
          </w:p>
        </w:tc>
        <w:tc>
          <w:tcPr>
            <w:tcW w:w="661" w:type="dxa"/>
            <w:shd w:val="clear" w:color="auto" w:fill="auto"/>
            <w:noWrap/>
            <w:hideMark/>
          </w:tcPr>
          <w:p w14:paraId="59EF4C4F" w14:textId="77777777" w:rsidR="00F33674" w:rsidRPr="00F33674" w:rsidRDefault="00F33674" w:rsidP="00F33674">
            <w:pPr>
              <w:jc w:val="righ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20</w:t>
            </w:r>
          </w:p>
        </w:tc>
        <w:tc>
          <w:tcPr>
            <w:tcW w:w="871" w:type="dxa"/>
            <w:shd w:val="clear" w:color="auto" w:fill="auto"/>
            <w:noWrap/>
            <w:hideMark/>
          </w:tcPr>
          <w:p w14:paraId="4C4F5348" w14:textId="77777777" w:rsidR="00F33674" w:rsidRPr="00F33674" w:rsidRDefault="00F33674" w:rsidP="00F33674">
            <w:pPr>
              <w:jc w:val="righ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0</w:t>
            </w:r>
          </w:p>
        </w:tc>
        <w:tc>
          <w:tcPr>
            <w:tcW w:w="1569" w:type="dxa"/>
            <w:shd w:val="clear" w:color="auto" w:fill="auto"/>
            <w:noWrap/>
            <w:hideMark/>
          </w:tcPr>
          <w:p w14:paraId="1A3AD02B"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APO-Tramadol SR</w:t>
            </w:r>
          </w:p>
        </w:tc>
        <w:tc>
          <w:tcPr>
            <w:tcW w:w="1429" w:type="dxa"/>
            <w:shd w:val="clear" w:color="auto" w:fill="auto"/>
            <w:noWrap/>
            <w:hideMark/>
          </w:tcPr>
          <w:p w14:paraId="5D50C162"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Apotex Pty Ltd</w:t>
            </w:r>
          </w:p>
        </w:tc>
      </w:tr>
      <w:tr w:rsidR="00F33674" w:rsidRPr="00F33674" w14:paraId="122A9AEA" w14:textId="77777777" w:rsidTr="00F33674">
        <w:trPr>
          <w:trHeight w:val="300"/>
        </w:trPr>
        <w:tc>
          <w:tcPr>
            <w:tcW w:w="1647" w:type="dxa"/>
            <w:shd w:val="clear" w:color="auto" w:fill="auto"/>
            <w:noWrap/>
          </w:tcPr>
          <w:p w14:paraId="6FA90892" w14:textId="77777777" w:rsidR="00F33674" w:rsidRPr="00F33674" w:rsidRDefault="00F33674" w:rsidP="00F33674">
            <w:pPr>
              <w:jc w:val="left"/>
              <w:rPr>
                <w:rFonts w:ascii="Arial Narrow" w:hAnsi="Arial Narrow" w:cs="Calibri"/>
                <w:color w:val="000000"/>
                <w:sz w:val="20"/>
                <w:szCs w:val="20"/>
                <w:lang w:eastAsia="en-AU"/>
              </w:rPr>
            </w:pPr>
          </w:p>
        </w:tc>
        <w:tc>
          <w:tcPr>
            <w:tcW w:w="827" w:type="dxa"/>
          </w:tcPr>
          <w:p w14:paraId="42BAAE6B" w14:textId="77777777" w:rsidR="00F33674" w:rsidRPr="00F33674" w:rsidRDefault="00F33674" w:rsidP="00F33674">
            <w:pPr>
              <w:jc w:val="left"/>
              <w:rPr>
                <w:rFonts w:ascii="Arial Narrow" w:hAnsi="Arial Narrow" w:cs="Calibri"/>
                <w:color w:val="000000"/>
                <w:sz w:val="20"/>
                <w:szCs w:val="20"/>
                <w:lang w:eastAsia="en-AU"/>
              </w:rPr>
            </w:pPr>
          </w:p>
        </w:tc>
        <w:tc>
          <w:tcPr>
            <w:tcW w:w="2693" w:type="dxa"/>
            <w:vMerge/>
            <w:shd w:val="clear" w:color="auto" w:fill="auto"/>
            <w:noWrap/>
          </w:tcPr>
          <w:p w14:paraId="0EC20F92" w14:textId="77777777" w:rsidR="00F33674" w:rsidRPr="00F33674" w:rsidRDefault="00F33674" w:rsidP="00F33674">
            <w:pPr>
              <w:jc w:val="left"/>
              <w:rPr>
                <w:rFonts w:ascii="Arial Narrow" w:hAnsi="Arial Narrow" w:cs="Calibri"/>
                <w:color w:val="000000"/>
                <w:sz w:val="20"/>
                <w:szCs w:val="20"/>
                <w:lang w:eastAsia="en-AU"/>
              </w:rPr>
            </w:pPr>
          </w:p>
        </w:tc>
        <w:tc>
          <w:tcPr>
            <w:tcW w:w="661" w:type="dxa"/>
            <w:shd w:val="clear" w:color="auto" w:fill="auto"/>
            <w:noWrap/>
          </w:tcPr>
          <w:p w14:paraId="45DC1F91" w14:textId="77777777" w:rsidR="00F33674" w:rsidRPr="00F33674" w:rsidRDefault="00F33674" w:rsidP="00F33674">
            <w:pPr>
              <w:jc w:val="right"/>
              <w:rPr>
                <w:rFonts w:ascii="Arial Narrow" w:hAnsi="Arial Narrow" w:cs="Calibri"/>
                <w:color w:val="000000"/>
                <w:sz w:val="20"/>
                <w:szCs w:val="20"/>
                <w:lang w:eastAsia="en-AU"/>
              </w:rPr>
            </w:pPr>
          </w:p>
        </w:tc>
        <w:tc>
          <w:tcPr>
            <w:tcW w:w="871" w:type="dxa"/>
            <w:shd w:val="clear" w:color="auto" w:fill="auto"/>
            <w:noWrap/>
          </w:tcPr>
          <w:p w14:paraId="28B3DB1D" w14:textId="77777777" w:rsidR="00F33674" w:rsidRPr="00F33674" w:rsidRDefault="00F33674" w:rsidP="00F33674">
            <w:pPr>
              <w:jc w:val="right"/>
              <w:rPr>
                <w:rFonts w:ascii="Arial Narrow" w:hAnsi="Arial Narrow" w:cs="Calibri"/>
                <w:color w:val="000000"/>
                <w:sz w:val="20"/>
                <w:szCs w:val="20"/>
                <w:lang w:eastAsia="en-AU"/>
              </w:rPr>
            </w:pPr>
          </w:p>
        </w:tc>
        <w:tc>
          <w:tcPr>
            <w:tcW w:w="1569" w:type="dxa"/>
            <w:shd w:val="clear" w:color="auto" w:fill="auto"/>
            <w:noWrap/>
            <w:hideMark/>
          </w:tcPr>
          <w:p w14:paraId="16E9AE6C"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Chem mart Tramadol SR</w:t>
            </w:r>
          </w:p>
        </w:tc>
        <w:tc>
          <w:tcPr>
            <w:tcW w:w="1429" w:type="dxa"/>
            <w:shd w:val="clear" w:color="auto" w:fill="auto"/>
            <w:noWrap/>
            <w:hideMark/>
          </w:tcPr>
          <w:p w14:paraId="1DD51245"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Apotex Pty Ltd</w:t>
            </w:r>
          </w:p>
        </w:tc>
      </w:tr>
      <w:tr w:rsidR="00F33674" w:rsidRPr="00F33674" w14:paraId="5852C4A8" w14:textId="77777777" w:rsidTr="00F33674">
        <w:trPr>
          <w:trHeight w:val="300"/>
        </w:trPr>
        <w:tc>
          <w:tcPr>
            <w:tcW w:w="1647" w:type="dxa"/>
            <w:shd w:val="clear" w:color="auto" w:fill="auto"/>
            <w:noWrap/>
          </w:tcPr>
          <w:p w14:paraId="0785BF2E" w14:textId="77777777" w:rsidR="00F33674" w:rsidRPr="00F33674" w:rsidRDefault="00F33674" w:rsidP="00F33674">
            <w:pPr>
              <w:jc w:val="left"/>
              <w:rPr>
                <w:rFonts w:ascii="Arial Narrow" w:hAnsi="Arial Narrow" w:cs="Calibri"/>
                <w:color w:val="000000"/>
                <w:sz w:val="20"/>
                <w:szCs w:val="20"/>
                <w:lang w:eastAsia="en-AU"/>
              </w:rPr>
            </w:pPr>
          </w:p>
        </w:tc>
        <w:tc>
          <w:tcPr>
            <w:tcW w:w="827" w:type="dxa"/>
          </w:tcPr>
          <w:p w14:paraId="3103F5B8" w14:textId="77777777" w:rsidR="00F33674" w:rsidRPr="00F33674" w:rsidRDefault="00F33674" w:rsidP="00F33674">
            <w:pPr>
              <w:jc w:val="left"/>
              <w:rPr>
                <w:rFonts w:ascii="Arial Narrow" w:hAnsi="Arial Narrow" w:cs="Calibri"/>
                <w:color w:val="000000"/>
                <w:sz w:val="20"/>
                <w:szCs w:val="20"/>
                <w:lang w:eastAsia="en-AU"/>
              </w:rPr>
            </w:pPr>
          </w:p>
        </w:tc>
        <w:tc>
          <w:tcPr>
            <w:tcW w:w="2693" w:type="dxa"/>
            <w:vMerge/>
            <w:shd w:val="clear" w:color="auto" w:fill="auto"/>
            <w:noWrap/>
          </w:tcPr>
          <w:p w14:paraId="7FF65B8C" w14:textId="77777777" w:rsidR="00F33674" w:rsidRPr="00F33674" w:rsidRDefault="00F33674" w:rsidP="00F33674">
            <w:pPr>
              <w:jc w:val="left"/>
              <w:rPr>
                <w:rFonts w:ascii="Arial Narrow" w:hAnsi="Arial Narrow" w:cs="Calibri"/>
                <w:color w:val="000000"/>
                <w:sz w:val="20"/>
                <w:szCs w:val="20"/>
                <w:lang w:eastAsia="en-AU"/>
              </w:rPr>
            </w:pPr>
          </w:p>
        </w:tc>
        <w:tc>
          <w:tcPr>
            <w:tcW w:w="661" w:type="dxa"/>
            <w:shd w:val="clear" w:color="auto" w:fill="auto"/>
            <w:noWrap/>
          </w:tcPr>
          <w:p w14:paraId="2923038B" w14:textId="77777777" w:rsidR="00F33674" w:rsidRPr="00F33674" w:rsidRDefault="00F33674" w:rsidP="00F33674">
            <w:pPr>
              <w:jc w:val="right"/>
              <w:rPr>
                <w:rFonts w:ascii="Arial Narrow" w:hAnsi="Arial Narrow" w:cs="Calibri"/>
                <w:color w:val="000000"/>
                <w:sz w:val="20"/>
                <w:szCs w:val="20"/>
                <w:lang w:eastAsia="en-AU"/>
              </w:rPr>
            </w:pPr>
          </w:p>
        </w:tc>
        <w:tc>
          <w:tcPr>
            <w:tcW w:w="871" w:type="dxa"/>
            <w:shd w:val="clear" w:color="auto" w:fill="auto"/>
            <w:noWrap/>
          </w:tcPr>
          <w:p w14:paraId="3F4BC4BC" w14:textId="77777777" w:rsidR="00F33674" w:rsidRPr="00F33674" w:rsidRDefault="00F33674" w:rsidP="00F33674">
            <w:pPr>
              <w:jc w:val="right"/>
              <w:rPr>
                <w:rFonts w:ascii="Arial Narrow" w:hAnsi="Arial Narrow" w:cs="Calibri"/>
                <w:color w:val="000000"/>
                <w:sz w:val="20"/>
                <w:szCs w:val="20"/>
                <w:lang w:eastAsia="en-AU"/>
              </w:rPr>
            </w:pPr>
          </w:p>
        </w:tc>
        <w:tc>
          <w:tcPr>
            <w:tcW w:w="1569" w:type="dxa"/>
            <w:shd w:val="clear" w:color="auto" w:fill="auto"/>
            <w:noWrap/>
            <w:hideMark/>
          </w:tcPr>
          <w:p w14:paraId="58C746F3"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Terry White Chemists Tramadol SR</w:t>
            </w:r>
          </w:p>
        </w:tc>
        <w:tc>
          <w:tcPr>
            <w:tcW w:w="1429" w:type="dxa"/>
            <w:shd w:val="clear" w:color="auto" w:fill="auto"/>
            <w:noWrap/>
            <w:hideMark/>
          </w:tcPr>
          <w:p w14:paraId="6FF9AC45"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Apotex Pty Ltd</w:t>
            </w:r>
          </w:p>
        </w:tc>
      </w:tr>
      <w:tr w:rsidR="00F33674" w:rsidRPr="00F33674" w14:paraId="2C6A560E" w14:textId="77777777" w:rsidTr="00F33674">
        <w:trPr>
          <w:trHeight w:val="300"/>
        </w:trPr>
        <w:tc>
          <w:tcPr>
            <w:tcW w:w="1647" w:type="dxa"/>
            <w:shd w:val="clear" w:color="auto" w:fill="auto"/>
            <w:noWrap/>
          </w:tcPr>
          <w:p w14:paraId="7A4F48F4" w14:textId="77777777" w:rsidR="00F33674" w:rsidRPr="00F33674" w:rsidRDefault="00F33674" w:rsidP="00F33674">
            <w:pPr>
              <w:jc w:val="left"/>
              <w:rPr>
                <w:rFonts w:ascii="Arial Narrow" w:hAnsi="Arial Narrow" w:cs="Calibri"/>
                <w:color w:val="000000"/>
                <w:sz w:val="20"/>
                <w:szCs w:val="20"/>
                <w:lang w:eastAsia="en-AU"/>
              </w:rPr>
            </w:pPr>
          </w:p>
        </w:tc>
        <w:tc>
          <w:tcPr>
            <w:tcW w:w="827" w:type="dxa"/>
          </w:tcPr>
          <w:p w14:paraId="4EAEB65F" w14:textId="77777777" w:rsidR="00F33674" w:rsidRPr="00F33674" w:rsidRDefault="00F33674" w:rsidP="00F33674">
            <w:pPr>
              <w:jc w:val="left"/>
              <w:rPr>
                <w:rFonts w:ascii="Arial Narrow" w:hAnsi="Arial Narrow" w:cs="Calibri"/>
                <w:color w:val="000000"/>
                <w:sz w:val="20"/>
                <w:szCs w:val="20"/>
                <w:lang w:eastAsia="en-AU"/>
              </w:rPr>
            </w:pPr>
          </w:p>
        </w:tc>
        <w:tc>
          <w:tcPr>
            <w:tcW w:w="2693" w:type="dxa"/>
            <w:vMerge/>
            <w:shd w:val="clear" w:color="auto" w:fill="auto"/>
            <w:noWrap/>
          </w:tcPr>
          <w:p w14:paraId="1F972C8F" w14:textId="77777777" w:rsidR="00F33674" w:rsidRPr="00F33674" w:rsidRDefault="00F33674" w:rsidP="00F33674">
            <w:pPr>
              <w:jc w:val="left"/>
              <w:rPr>
                <w:rFonts w:ascii="Arial Narrow" w:hAnsi="Arial Narrow" w:cs="Calibri"/>
                <w:color w:val="000000"/>
                <w:sz w:val="20"/>
                <w:szCs w:val="20"/>
                <w:lang w:eastAsia="en-AU"/>
              </w:rPr>
            </w:pPr>
          </w:p>
        </w:tc>
        <w:tc>
          <w:tcPr>
            <w:tcW w:w="661" w:type="dxa"/>
            <w:shd w:val="clear" w:color="auto" w:fill="auto"/>
            <w:noWrap/>
          </w:tcPr>
          <w:p w14:paraId="05953FD2" w14:textId="77777777" w:rsidR="00F33674" w:rsidRPr="00F33674" w:rsidRDefault="00F33674" w:rsidP="00F33674">
            <w:pPr>
              <w:jc w:val="right"/>
              <w:rPr>
                <w:rFonts w:ascii="Arial Narrow" w:hAnsi="Arial Narrow" w:cs="Calibri"/>
                <w:color w:val="000000"/>
                <w:sz w:val="20"/>
                <w:szCs w:val="20"/>
                <w:lang w:eastAsia="en-AU"/>
              </w:rPr>
            </w:pPr>
          </w:p>
        </w:tc>
        <w:tc>
          <w:tcPr>
            <w:tcW w:w="871" w:type="dxa"/>
            <w:shd w:val="clear" w:color="auto" w:fill="auto"/>
            <w:noWrap/>
          </w:tcPr>
          <w:p w14:paraId="49BE14E9" w14:textId="77777777" w:rsidR="00F33674" w:rsidRPr="00F33674" w:rsidRDefault="00F33674" w:rsidP="00F33674">
            <w:pPr>
              <w:jc w:val="right"/>
              <w:rPr>
                <w:rFonts w:ascii="Arial Narrow" w:hAnsi="Arial Narrow" w:cs="Calibri"/>
                <w:color w:val="000000"/>
                <w:sz w:val="20"/>
                <w:szCs w:val="20"/>
                <w:lang w:eastAsia="en-AU"/>
              </w:rPr>
            </w:pPr>
          </w:p>
        </w:tc>
        <w:tc>
          <w:tcPr>
            <w:tcW w:w="1569" w:type="dxa"/>
            <w:shd w:val="clear" w:color="auto" w:fill="auto"/>
            <w:noWrap/>
            <w:hideMark/>
          </w:tcPr>
          <w:p w14:paraId="1C34FC46"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Tramadol AN SR</w:t>
            </w:r>
          </w:p>
        </w:tc>
        <w:tc>
          <w:tcPr>
            <w:tcW w:w="1429" w:type="dxa"/>
            <w:shd w:val="clear" w:color="auto" w:fill="auto"/>
            <w:noWrap/>
            <w:hideMark/>
          </w:tcPr>
          <w:p w14:paraId="37BEC3CD"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Amneal Pharmaceuticals Pty Ltd</w:t>
            </w:r>
          </w:p>
        </w:tc>
      </w:tr>
      <w:tr w:rsidR="00F33674" w:rsidRPr="00F33674" w14:paraId="7D5FCDB1" w14:textId="77777777" w:rsidTr="00F33674">
        <w:trPr>
          <w:trHeight w:val="300"/>
        </w:trPr>
        <w:tc>
          <w:tcPr>
            <w:tcW w:w="1647" w:type="dxa"/>
            <w:shd w:val="clear" w:color="auto" w:fill="auto"/>
            <w:noWrap/>
          </w:tcPr>
          <w:p w14:paraId="067434FA" w14:textId="77777777" w:rsidR="00F33674" w:rsidRPr="00F33674" w:rsidRDefault="00F33674" w:rsidP="00F33674">
            <w:pPr>
              <w:jc w:val="left"/>
              <w:rPr>
                <w:rFonts w:ascii="Arial Narrow" w:hAnsi="Arial Narrow" w:cs="Calibri"/>
                <w:color w:val="000000"/>
                <w:sz w:val="20"/>
                <w:szCs w:val="20"/>
                <w:lang w:eastAsia="en-AU"/>
              </w:rPr>
            </w:pPr>
          </w:p>
        </w:tc>
        <w:tc>
          <w:tcPr>
            <w:tcW w:w="827" w:type="dxa"/>
          </w:tcPr>
          <w:p w14:paraId="3320FEC9" w14:textId="77777777" w:rsidR="00F33674" w:rsidRPr="00F33674" w:rsidRDefault="00F33674" w:rsidP="00F33674">
            <w:pPr>
              <w:jc w:val="left"/>
              <w:rPr>
                <w:rFonts w:ascii="Arial Narrow" w:hAnsi="Arial Narrow" w:cs="Calibri"/>
                <w:color w:val="000000"/>
                <w:sz w:val="20"/>
                <w:szCs w:val="20"/>
                <w:lang w:eastAsia="en-AU"/>
              </w:rPr>
            </w:pPr>
          </w:p>
        </w:tc>
        <w:tc>
          <w:tcPr>
            <w:tcW w:w="2693" w:type="dxa"/>
            <w:vMerge/>
            <w:shd w:val="clear" w:color="auto" w:fill="auto"/>
            <w:noWrap/>
          </w:tcPr>
          <w:p w14:paraId="13DB460E" w14:textId="77777777" w:rsidR="00F33674" w:rsidRPr="00F33674" w:rsidRDefault="00F33674" w:rsidP="00F33674">
            <w:pPr>
              <w:jc w:val="left"/>
              <w:rPr>
                <w:rFonts w:ascii="Arial Narrow" w:hAnsi="Arial Narrow" w:cs="Calibri"/>
                <w:color w:val="000000"/>
                <w:sz w:val="20"/>
                <w:szCs w:val="20"/>
                <w:lang w:eastAsia="en-AU"/>
              </w:rPr>
            </w:pPr>
          </w:p>
        </w:tc>
        <w:tc>
          <w:tcPr>
            <w:tcW w:w="661" w:type="dxa"/>
            <w:shd w:val="clear" w:color="auto" w:fill="auto"/>
            <w:noWrap/>
          </w:tcPr>
          <w:p w14:paraId="5E1B432D" w14:textId="77777777" w:rsidR="00F33674" w:rsidRPr="00F33674" w:rsidRDefault="00F33674" w:rsidP="00F33674">
            <w:pPr>
              <w:jc w:val="right"/>
              <w:rPr>
                <w:rFonts w:ascii="Arial Narrow" w:hAnsi="Arial Narrow" w:cs="Calibri"/>
                <w:color w:val="000000"/>
                <w:sz w:val="20"/>
                <w:szCs w:val="20"/>
                <w:lang w:eastAsia="en-AU"/>
              </w:rPr>
            </w:pPr>
          </w:p>
        </w:tc>
        <w:tc>
          <w:tcPr>
            <w:tcW w:w="871" w:type="dxa"/>
            <w:shd w:val="clear" w:color="auto" w:fill="auto"/>
            <w:noWrap/>
          </w:tcPr>
          <w:p w14:paraId="56ED091C" w14:textId="77777777" w:rsidR="00F33674" w:rsidRPr="00F33674" w:rsidRDefault="00F33674" w:rsidP="00F33674">
            <w:pPr>
              <w:jc w:val="right"/>
              <w:rPr>
                <w:rFonts w:ascii="Arial Narrow" w:hAnsi="Arial Narrow" w:cs="Calibri"/>
                <w:color w:val="000000"/>
                <w:sz w:val="20"/>
                <w:szCs w:val="20"/>
                <w:lang w:eastAsia="en-AU"/>
              </w:rPr>
            </w:pPr>
          </w:p>
        </w:tc>
        <w:tc>
          <w:tcPr>
            <w:tcW w:w="1569" w:type="dxa"/>
            <w:shd w:val="clear" w:color="auto" w:fill="auto"/>
            <w:noWrap/>
            <w:hideMark/>
          </w:tcPr>
          <w:p w14:paraId="5E83695C"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Tramadol SR generichealth</w:t>
            </w:r>
          </w:p>
        </w:tc>
        <w:tc>
          <w:tcPr>
            <w:tcW w:w="1429" w:type="dxa"/>
            <w:shd w:val="clear" w:color="auto" w:fill="auto"/>
            <w:noWrap/>
            <w:hideMark/>
          </w:tcPr>
          <w:p w14:paraId="726DE7BA"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Generic Health Pty Ltd</w:t>
            </w:r>
          </w:p>
        </w:tc>
      </w:tr>
      <w:tr w:rsidR="00F33674" w:rsidRPr="00F33674" w14:paraId="67D605AC" w14:textId="77777777" w:rsidTr="00F33674">
        <w:trPr>
          <w:trHeight w:val="300"/>
        </w:trPr>
        <w:tc>
          <w:tcPr>
            <w:tcW w:w="1647" w:type="dxa"/>
            <w:shd w:val="clear" w:color="auto" w:fill="auto"/>
            <w:noWrap/>
          </w:tcPr>
          <w:p w14:paraId="5F62FAB5" w14:textId="77777777" w:rsidR="00F33674" w:rsidRPr="00F33674" w:rsidRDefault="00F33674" w:rsidP="00F33674">
            <w:pPr>
              <w:jc w:val="left"/>
              <w:rPr>
                <w:rFonts w:ascii="Arial Narrow" w:hAnsi="Arial Narrow" w:cs="Calibri"/>
                <w:color w:val="000000"/>
                <w:sz w:val="20"/>
                <w:szCs w:val="20"/>
                <w:lang w:eastAsia="en-AU"/>
              </w:rPr>
            </w:pPr>
          </w:p>
        </w:tc>
        <w:tc>
          <w:tcPr>
            <w:tcW w:w="827" w:type="dxa"/>
          </w:tcPr>
          <w:p w14:paraId="7338D1E2" w14:textId="77777777" w:rsidR="00F33674" w:rsidRPr="00F33674" w:rsidRDefault="00F33674" w:rsidP="00F33674">
            <w:pPr>
              <w:jc w:val="left"/>
              <w:rPr>
                <w:rFonts w:ascii="Arial Narrow" w:hAnsi="Arial Narrow" w:cs="Calibri"/>
                <w:color w:val="000000"/>
                <w:sz w:val="20"/>
                <w:szCs w:val="20"/>
                <w:lang w:eastAsia="en-AU"/>
              </w:rPr>
            </w:pPr>
          </w:p>
        </w:tc>
        <w:tc>
          <w:tcPr>
            <w:tcW w:w="2693" w:type="dxa"/>
            <w:vMerge/>
            <w:shd w:val="clear" w:color="auto" w:fill="auto"/>
            <w:noWrap/>
          </w:tcPr>
          <w:p w14:paraId="65D8CD06" w14:textId="77777777" w:rsidR="00F33674" w:rsidRPr="00F33674" w:rsidRDefault="00F33674" w:rsidP="00F33674">
            <w:pPr>
              <w:jc w:val="left"/>
              <w:rPr>
                <w:rFonts w:ascii="Arial Narrow" w:hAnsi="Arial Narrow" w:cs="Calibri"/>
                <w:color w:val="000000"/>
                <w:sz w:val="20"/>
                <w:szCs w:val="20"/>
                <w:lang w:eastAsia="en-AU"/>
              </w:rPr>
            </w:pPr>
          </w:p>
        </w:tc>
        <w:tc>
          <w:tcPr>
            <w:tcW w:w="661" w:type="dxa"/>
            <w:shd w:val="clear" w:color="auto" w:fill="auto"/>
            <w:noWrap/>
          </w:tcPr>
          <w:p w14:paraId="493E5E2F" w14:textId="77777777" w:rsidR="00F33674" w:rsidRPr="00F33674" w:rsidRDefault="00F33674" w:rsidP="00F33674">
            <w:pPr>
              <w:jc w:val="right"/>
              <w:rPr>
                <w:rFonts w:ascii="Arial Narrow" w:hAnsi="Arial Narrow" w:cs="Calibri"/>
                <w:color w:val="000000"/>
                <w:sz w:val="20"/>
                <w:szCs w:val="20"/>
                <w:lang w:eastAsia="en-AU"/>
              </w:rPr>
            </w:pPr>
          </w:p>
        </w:tc>
        <w:tc>
          <w:tcPr>
            <w:tcW w:w="871" w:type="dxa"/>
            <w:shd w:val="clear" w:color="auto" w:fill="auto"/>
            <w:noWrap/>
          </w:tcPr>
          <w:p w14:paraId="78B00657" w14:textId="77777777" w:rsidR="00F33674" w:rsidRPr="00F33674" w:rsidRDefault="00F33674" w:rsidP="00F33674">
            <w:pPr>
              <w:jc w:val="right"/>
              <w:rPr>
                <w:rFonts w:ascii="Arial Narrow" w:hAnsi="Arial Narrow" w:cs="Calibri"/>
                <w:color w:val="000000"/>
                <w:sz w:val="20"/>
                <w:szCs w:val="20"/>
                <w:lang w:eastAsia="en-AU"/>
              </w:rPr>
            </w:pPr>
          </w:p>
        </w:tc>
        <w:tc>
          <w:tcPr>
            <w:tcW w:w="1569" w:type="dxa"/>
            <w:shd w:val="clear" w:color="auto" w:fill="auto"/>
            <w:noWrap/>
            <w:hideMark/>
          </w:tcPr>
          <w:p w14:paraId="13F02C92"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Tramadol Sandoz SR</w:t>
            </w:r>
          </w:p>
        </w:tc>
        <w:tc>
          <w:tcPr>
            <w:tcW w:w="1429" w:type="dxa"/>
            <w:shd w:val="clear" w:color="auto" w:fill="auto"/>
            <w:noWrap/>
            <w:hideMark/>
          </w:tcPr>
          <w:p w14:paraId="7FEAA557"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Sandoz Pty Ltd</w:t>
            </w:r>
          </w:p>
        </w:tc>
      </w:tr>
      <w:tr w:rsidR="00F33674" w:rsidRPr="00F33674" w14:paraId="5D7228A9" w14:textId="77777777" w:rsidTr="00F33674">
        <w:trPr>
          <w:trHeight w:val="300"/>
        </w:trPr>
        <w:tc>
          <w:tcPr>
            <w:tcW w:w="1647" w:type="dxa"/>
            <w:shd w:val="clear" w:color="auto" w:fill="auto"/>
            <w:noWrap/>
          </w:tcPr>
          <w:p w14:paraId="18A4761F" w14:textId="77777777" w:rsidR="00F33674" w:rsidRPr="00F33674" w:rsidRDefault="00F33674" w:rsidP="00F33674">
            <w:pPr>
              <w:jc w:val="left"/>
              <w:rPr>
                <w:rFonts w:ascii="Arial Narrow" w:hAnsi="Arial Narrow" w:cs="Calibri"/>
                <w:color w:val="000000"/>
                <w:sz w:val="20"/>
                <w:szCs w:val="20"/>
                <w:lang w:eastAsia="en-AU"/>
              </w:rPr>
            </w:pPr>
          </w:p>
        </w:tc>
        <w:tc>
          <w:tcPr>
            <w:tcW w:w="827" w:type="dxa"/>
          </w:tcPr>
          <w:p w14:paraId="7854468B" w14:textId="77777777" w:rsidR="00F33674" w:rsidRPr="00F33674" w:rsidRDefault="00F33674" w:rsidP="00F33674">
            <w:pPr>
              <w:jc w:val="left"/>
              <w:rPr>
                <w:rFonts w:ascii="Arial Narrow" w:hAnsi="Arial Narrow" w:cs="Calibri"/>
                <w:color w:val="000000"/>
                <w:sz w:val="20"/>
                <w:szCs w:val="20"/>
                <w:lang w:eastAsia="en-AU"/>
              </w:rPr>
            </w:pPr>
          </w:p>
        </w:tc>
        <w:tc>
          <w:tcPr>
            <w:tcW w:w="2693" w:type="dxa"/>
            <w:vMerge/>
            <w:shd w:val="clear" w:color="auto" w:fill="auto"/>
            <w:noWrap/>
          </w:tcPr>
          <w:p w14:paraId="5423470B" w14:textId="77777777" w:rsidR="00F33674" w:rsidRPr="00F33674" w:rsidRDefault="00F33674" w:rsidP="00F33674">
            <w:pPr>
              <w:jc w:val="left"/>
              <w:rPr>
                <w:rFonts w:ascii="Arial Narrow" w:hAnsi="Arial Narrow" w:cs="Calibri"/>
                <w:color w:val="000000"/>
                <w:sz w:val="20"/>
                <w:szCs w:val="20"/>
                <w:lang w:eastAsia="en-AU"/>
              </w:rPr>
            </w:pPr>
          </w:p>
        </w:tc>
        <w:tc>
          <w:tcPr>
            <w:tcW w:w="661" w:type="dxa"/>
            <w:shd w:val="clear" w:color="auto" w:fill="auto"/>
            <w:noWrap/>
          </w:tcPr>
          <w:p w14:paraId="68695745" w14:textId="77777777" w:rsidR="00F33674" w:rsidRPr="00F33674" w:rsidRDefault="00F33674" w:rsidP="00F33674">
            <w:pPr>
              <w:jc w:val="right"/>
              <w:rPr>
                <w:rFonts w:ascii="Arial Narrow" w:hAnsi="Arial Narrow" w:cs="Calibri"/>
                <w:color w:val="000000"/>
                <w:sz w:val="20"/>
                <w:szCs w:val="20"/>
                <w:lang w:eastAsia="en-AU"/>
              </w:rPr>
            </w:pPr>
          </w:p>
        </w:tc>
        <w:tc>
          <w:tcPr>
            <w:tcW w:w="871" w:type="dxa"/>
            <w:shd w:val="clear" w:color="auto" w:fill="auto"/>
            <w:noWrap/>
          </w:tcPr>
          <w:p w14:paraId="2C45EFF3" w14:textId="77777777" w:rsidR="00F33674" w:rsidRPr="00F33674" w:rsidRDefault="00F33674" w:rsidP="00F33674">
            <w:pPr>
              <w:jc w:val="right"/>
              <w:rPr>
                <w:rFonts w:ascii="Arial Narrow" w:hAnsi="Arial Narrow" w:cs="Calibri"/>
                <w:color w:val="000000"/>
                <w:sz w:val="20"/>
                <w:szCs w:val="20"/>
                <w:lang w:eastAsia="en-AU"/>
              </w:rPr>
            </w:pPr>
          </w:p>
        </w:tc>
        <w:tc>
          <w:tcPr>
            <w:tcW w:w="1569" w:type="dxa"/>
            <w:shd w:val="clear" w:color="auto" w:fill="auto"/>
            <w:noWrap/>
            <w:hideMark/>
          </w:tcPr>
          <w:p w14:paraId="1212F6C0"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Tramal SR 150</w:t>
            </w:r>
          </w:p>
        </w:tc>
        <w:tc>
          <w:tcPr>
            <w:tcW w:w="1429" w:type="dxa"/>
            <w:shd w:val="clear" w:color="auto" w:fill="auto"/>
            <w:noWrap/>
            <w:hideMark/>
          </w:tcPr>
          <w:p w14:paraId="7C90E370"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Seqirus (Australia) Pty Ltd</w:t>
            </w:r>
          </w:p>
        </w:tc>
      </w:tr>
      <w:tr w:rsidR="00F33674" w:rsidRPr="00F33674" w14:paraId="35A2BA69" w14:textId="77777777" w:rsidTr="00F33674">
        <w:trPr>
          <w:trHeight w:val="300"/>
        </w:trPr>
        <w:tc>
          <w:tcPr>
            <w:tcW w:w="1647" w:type="dxa"/>
            <w:shd w:val="clear" w:color="auto" w:fill="auto"/>
            <w:noWrap/>
          </w:tcPr>
          <w:p w14:paraId="7F8EC7AA" w14:textId="77777777" w:rsidR="00F33674" w:rsidRPr="00F33674" w:rsidRDefault="00F33674" w:rsidP="00F33674">
            <w:pPr>
              <w:jc w:val="left"/>
              <w:rPr>
                <w:rFonts w:ascii="Arial Narrow" w:hAnsi="Arial Narrow" w:cs="Calibri"/>
                <w:color w:val="000000"/>
                <w:sz w:val="20"/>
                <w:szCs w:val="20"/>
                <w:lang w:eastAsia="en-AU"/>
              </w:rPr>
            </w:pPr>
          </w:p>
        </w:tc>
        <w:tc>
          <w:tcPr>
            <w:tcW w:w="827" w:type="dxa"/>
          </w:tcPr>
          <w:p w14:paraId="238EB0A8" w14:textId="77777777" w:rsidR="00F33674" w:rsidRPr="00F33674" w:rsidRDefault="00F33674" w:rsidP="00F33674">
            <w:pPr>
              <w:jc w:val="left"/>
              <w:rPr>
                <w:rFonts w:ascii="Arial Narrow" w:hAnsi="Arial Narrow" w:cs="Calibri"/>
                <w:color w:val="000000"/>
                <w:sz w:val="20"/>
                <w:szCs w:val="20"/>
                <w:lang w:eastAsia="en-AU"/>
              </w:rPr>
            </w:pPr>
          </w:p>
        </w:tc>
        <w:tc>
          <w:tcPr>
            <w:tcW w:w="2693" w:type="dxa"/>
            <w:vMerge/>
            <w:shd w:val="clear" w:color="auto" w:fill="auto"/>
            <w:noWrap/>
          </w:tcPr>
          <w:p w14:paraId="341BE616" w14:textId="77777777" w:rsidR="00F33674" w:rsidRPr="00F33674" w:rsidRDefault="00F33674" w:rsidP="00F33674">
            <w:pPr>
              <w:jc w:val="left"/>
              <w:rPr>
                <w:rFonts w:ascii="Arial Narrow" w:hAnsi="Arial Narrow" w:cs="Calibri"/>
                <w:color w:val="000000"/>
                <w:sz w:val="20"/>
                <w:szCs w:val="20"/>
                <w:lang w:eastAsia="en-AU"/>
              </w:rPr>
            </w:pPr>
          </w:p>
        </w:tc>
        <w:tc>
          <w:tcPr>
            <w:tcW w:w="661" w:type="dxa"/>
            <w:shd w:val="clear" w:color="auto" w:fill="auto"/>
            <w:noWrap/>
          </w:tcPr>
          <w:p w14:paraId="2D56B7A7" w14:textId="77777777" w:rsidR="00F33674" w:rsidRPr="00F33674" w:rsidRDefault="00F33674" w:rsidP="00F33674">
            <w:pPr>
              <w:jc w:val="right"/>
              <w:rPr>
                <w:rFonts w:ascii="Arial Narrow" w:hAnsi="Arial Narrow" w:cs="Calibri"/>
                <w:color w:val="000000"/>
                <w:sz w:val="20"/>
                <w:szCs w:val="20"/>
                <w:lang w:eastAsia="en-AU"/>
              </w:rPr>
            </w:pPr>
          </w:p>
        </w:tc>
        <w:tc>
          <w:tcPr>
            <w:tcW w:w="871" w:type="dxa"/>
            <w:shd w:val="clear" w:color="auto" w:fill="auto"/>
            <w:noWrap/>
          </w:tcPr>
          <w:p w14:paraId="72D05D74" w14:textId="77777777" w:rsidR="00F33674" w:rsidRPr="00F33674" w:rsidRDefault="00F33674" w:rsidP="00F33674">
            <w:pPr>
              <w:jc w:val="right"/>
              <w:rPr>
                <w:rFonts w:ascii="Arial Narrow" w:hAnsi="Arial Narrow" w:cs="Calibri"/>
                <w:color w:val="000000"/>
                <w:sz w:val="20"/>
                <w:szCs w:val="20"/>
                <w:lang w:eastAsia="en-AU"/>
              </w:rPr>
            </w:pPr>
          </w:p>
        </w:tc>
        <w:tc>
          <w:tcPr>
            <w:tcW w:w="1569" w:type="dxa"/>
            <w:shd w:val="clear" w:color="auto" w:fill="auto"/>
            <w:noWrap/>
            <w:hideMark/>
          </w:tcPr>
          <w:p w14:paraId="3E9E1889"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Tramedo SR</w:t>
            </w:r>
          </w:p>
        </w:tc>
        <w:tc>
          <w:tcPr>
            <w:tcW w:w="1429" w:type="dxa"/>
            <w:shd w:val="clear" w:color="auto" w:fill="auto"/>
            <w:noWrap/>
            <w:hideMark/>
          </w:tcPr>
          <w:p w14:paraId="5220211A"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Alphapharm Pty Ltd</w:t>
            </w:r>
          </w:p>
        </w:tc>
      </w:tr>
      <w:tr w:rsidR="00F33674" w:rsidRPr="00F33674" w14:paraId="638F5563" w14:textId="77777777" w:rsidTr="00F33674">
        <w:trPr>
          <w:trHeight w:val="300"/>
        </w:trPr>
        <w:tc>
          <w:tcPr>
            <w:tcW w:w="1647" w:type="dxa"/>
            <w:shd w:val="clear" w:color="auto" w:fill="auto"/>
            <w:noWrap/>
          </w:tcPr>
          <w:p w14:paraId="3ED6316D" w14:textId="77777777" w:rsidR="00F33674" w:rsidRPr="00F33674" w:rsidRDefault="00F33674" w:rsidP="00F33674">
            <w:pPr>
              <w:jc w:val="left"/>
              <w:rPr>
                <w:rFonts w:ascii="Arial Narrow" w:hAnsi="Arial Narrow" w:cs="Calibri"/>
                <w:color w:val="000000"/>
                <w:sz w:val="20"/>
                <w:szCs w:val="20"/>
                <w:lang w:eastAsia="en-AU"/>
              </w:rPr>
            </w:pPr>
          </w:p>
        </w:tc>
        <w:tc>
          <w:tcPr>
            <w:tcW w:w="827" w:type="dxa"/>
          </w:tcPr>
          <w:p w14:paraId="3A32EFED" w14:textId="77777777" w:rsidR="00F33674" w:rsidRPr="00F33674" w:rsidRDefault="00F33674" w:rsidP="00F33674">
            <w:pPr>
              <w:jc w:val="left"/>
              <w:rPr>
                <w:rFonts w:ascii="Arial Narrow" w:hAnsi="Arial Narrow" w:cs="Calibri"/>
                <w:color w:val="000000"/>
                <w:sz w:val="20"/>
                <w:szCs w:val="20"/>
                <w:lang w:eastAsia="en-AU"/>
              </w:rPr>
            </w:pPr>
          </w:p>
        </w:tc>
        <w:tc>
          <w:tcPr>
            <w:tcW w:w="2693" w:type="dxa"/>
            <w:vMerge/>
            <w:shd w:val="clear" w:color="auto" w:fill="auto"/>
            <w:noWrap/>
          </w:tcPr>
          <w:p w14:paraId="4F2B1BF5" w14:textId="77777777" w:rsidR="00F33674" w:rsidRPr="00F33674" w:rsidRDefault="00F33674" w:rsidP="00F33674">
            <w:pPr>
              <w:jc w:val="left"/>
              <w:rPr>
                <w:rFonts w:ascii="Arial Narrow" w:hAnsi="Arial Narrow" w:cs="Calibri"/>
                <w:color w:val="000000"/>
                <w:sz w:val="20"/>
                <w:szCs w:val="20"/>
                <w:lang w:eastAsia="en-AU"/>
              </w:rPr>
            </w:pPr>
          </w:p>
        </w:tc>
        <w:tc>
          <w:tcPr>
            <w:tcW w:w="661" w:type="dxa"/>
            <w:shd w:val="clear" w:color="auto" w:fill="auto"/>
            <w:noWrap/>
          </w:tcPr>
          <w:p w14:paraId="43DC5D12" w14:textId="77777777" w:rsidR="00F33674" w:rsidRPr="00F33674" w:rsidRDefault="00F33674" w:rsidP="00F33674">
            <w:pPr>
              <w:jc w:val="right"/>
              <w:rPr>
                <w:rFonts w:ascii="Arial Narrow" w:hAnsi="Arial Narrow" w:cs="Calibri"/>
                <w:color w:val="000000"/>
                <w:sz w:val="20"/>
                <w:szCs w:val="20"/>
                <w:lang w:eastAsia="en-AU"/>
              </w:rPr>
            </w:pPr>
          </w:p>
        </w:tc>
        <w:tc>
          <w:tcPr>
            <w:tcW w:w="871" w:type="dxa"/>
            <w:shd w:val="clear" w:color="auto" w:fill="auto"/>
            <w:noWrap/>
          </w:tcPr>
          <w:p w14:paraId="77EB57EC" w14:textId="77777777" w:rsidR="00F33674" w:rsidRPr="00F33674" w:rsidRDefault="00F33674" w:rsidP="00F33674">
            <w:pPr>
              <w:jc w:val="right"/>
              <w:rPr>
                <w:rFonts w:ascii="Arial Narrow" w:hAnsi="Arial Narrow" w:cs="Calibri"/>
                <w:color w:val="000000"/>
                <w:sz w:val="20"/>
                <w:szCs w:val="20"/>
                <w:lang w:eastAsia="en-AU"/>
              </w:rPr>
            </w:pPr>
          </w:p>
        </w:tc>
        <w:tc>
          <w:tcPr>
            <w:tcW w:w="1569" w:type="dxa"/>
            <w:shd w:val="clear" w:color="auto" w:fill="auto"/>
            <w:noWrap/>
            <w:hideMark/>
          </w:tcPr>
          <w:p w14:paraId="1A98F784"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Zydol SR 150</w:t>
            </w:r>
          </w:p>
        </w:tc>
        <w:tc>
          <w:tcPr>
            <w:tcW w:w="1429" w:type="dxa"/>
            <w:shd w:val="clear" w:color="auto" w:fill="auto"/>
            <w:noWrap/>
            <w:hideMark/>
          </w:tcPr>
          <w:p w14:paraId="795C4350"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Arrow Pharma Pty Ltd</w:t>
            </w:r>
          </w:p>
        </w:tc>
      </w:tr>
      <w:tr w:rsidR="00F33674" w:rsidRPr="00F33674" w14:paraId="0F6A1B94" w14:textId="77777777" w:rsidTr="00F33674">
        <w:trPr>
          <w:trHeight w:val="300"/>
        </w:trPr>
        <w:tc>
          <w:tcPr>
            <w:tcW w:w="1647" w:type="dxa"/>
            <w:shd w:val="clear" w:color="auto" w:fill="auto"/>
            <w:noWrap/>
          </w:tcPr>
          <w:p w14:paraId="0CCBA497" w14:textId="77777777" w:rsidR="00F33674" w:rsidRPr="00F33674" w:rsidRDefault="00F33674" w:rsidP="00F33674">
            <w:pPr>
              <w:jc w:val="left"/>
              <w:rPr>
                <w:rFonts w:ascii="Arial Narrow" w:hAnsi="Arial Narrow" w:cs="Calibri"/>
                <w:color w:val="000000"/>
                <w:sz w:val="20"/>
                <w:szCs w:val="20"/>
                <w:lang w:eastAsia="en-AU"/>
              </w:rPr>
            </w:pPr>
          </w:p>
        </w:tc>
        <w:tc>
          <w:tcPr>
            <w:tcW w:w="827" w:type="dxa"/>
          </w:tcPr>
          <w:p w14:paraId="7B75DE5D"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8525Q</w:t>
            </w:r>
          </w:p>
        </w:tc>
        <w:tc>
          <w:tcPr>
            <w:tcW w:w="2693" w:type="dxa"/>
            <w:vMerge w:val="restart"/>
            <w:shd w:val="clear" w:color="auto" w:fill="auto"/>
            <w:noWrap/>
            <w:hideMark/>
          </w:tcPr>
          <w:p w14:paraId="73E087C0"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Tablet (sustained release) containing tramadol hydrochloride 200 mg</w:t>
            </w:r>
          </w:p>
        </w:tc>
        <w:tc>
          <w:tcPr>
            <w:tcW w:w="661" w:type="dxa"/>
            <w:shd w:val="clear" w:color="auto" w:fill="auto"/>
            <w:noWrap/>
            <w:hideMark/>
          </w:tcPr>
          <w:p w14:paraId="07C4B53C" w14:textId="77777777" w:rsidR="00F33674" w:rsidRPr="00F33674" w:rsidRDefault="00F33674" w:rsidP="00F33674">
            <w:pPr>
              <w:jc w:val="righ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20</w:t>
            </w:r>
          </w:p>
        </w:tc>
        <w:tc>
          <w:tcPr>
            <w:tcW w:w="871" w:type="dxa"/>
            <w:shd w:val="clear" w:color="auto" w:fill="auto"/>
            <w:noWrap/>
            <w:hideMark/>
          </w:tcPr>
          <w:p w14:paraId="2069623D" w14:textId="77777777" w:rsidR="00F33674" w:rsidRPr="00F33674" w:rsidRDefault="00F33674" w:rsidP="00F33674">
            <w:pPr>
              <w:jc w:val="righ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0</w:t>
            </w:r>
          </w:p>
        </w:tc>
        <w:tc>
          <w:tcPr>
            <w:tcW w:w="1569" w:type="dxa"/>
            <w:shd w:val="clear" w:color="auto" w:fill="auto"/>
            <w:noWrap/>
            <w:hideMark/>
          </w:tcPr>
          <w:p w14:paraId="05EA94C8"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APO-Tramadol SR</w:t>
            </w:r>
          </w:p>
        </w:tc>
        <w:tc>
          <w:tcPr>
            <w:tcW w:w="1429" w:type="dxa"/>
            <w:shd w:val="clear" w:color="auto" w:fill="auto"/>
            <w:noWrap/>
            <w:hideMark/>
          </w:tcPr>
          <w:p w14:paraId="135A6F3C"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Apotex Pty Ltd</w:t>
            </w:r>
          </w:p>
        </w:tc>
      </w:tr>
      <w:tr w:rsidR="00F33674" w:rsidRPr="00F33674" w14:paraId="2283AF93" w14:textId="77777777" w:rsidTr="00F33674">
        <w:trPr>
          <w:trHeight w:val="300"/>
        </w:trPr>
        <w:tc>
          <w:tcPr>
            <w:tcW w:w="1647" w:type="dxa"/>
            <w:shd w:val="clear" w:color="auto" w:fill="auto"/>
            <w:noWrap/>
          </w:tcPr>
          <w:p w14:paraId="74B0BAE1" w14:textId="77777777" w:rsidR="00F33674" w:rsidRPr="00F33674" w:rsidRDefault="00F33674" w:rsidP="00F33674">
            <w:pPr>
              <w:jc w:val="left"/>
              <w:rPr>
                <w:rFonts w:ascii="Arial Narrow" w:hAnsi="Arial Narrow" w:cs="Calibri"/>
                <w:color w:val="000000"/>
                <w:sz w:val="20"/>
                <w:szCs w:val="20"/>
                <w:lang w:eastAsia="en-AU"/>
              </w:rPr>
            </w:pPr>
          </w:p>
        </w:tc>
        <w:tc>
          <w:tcPr>
            <w:tcW w:w="827" w:type="dxa"/>
          </w:tcPr>
          <w:p w14:paraId="3AFE39D5" w14:textId="77777777" w:rsidR="00F33674" w:rsidRPr="00F33674" w:rsidRDefault="00F33674" w:rsidP="00F33674">
            <w:pPr>
              <w:jc w:val="left"/>
              <w:rPr>
                <w:rFonts w:ascii="Arial Narrow" w:hAnsi="Arial Narrow" w:cs="Calibri"/>
                <w:color w:val="000000"/>
                <w:sz w:val="20"/>
                <w:szCs w:val="20"/>
                <w:lang w:eastAsia="en-AU"/>
              </w:rPr>
            </w:pPr>
          </w:p>
        </w:tc>
        <w:tc>
          <w:tcPr>
            <w:tcW w:w="2693" w:type="dxa"/>
            <w:vMerge/>
            <w:shd w:val="clear" w:color="auto" w:fill="auto"/>
            <w:noWrap/>
          </w:tcPr>
          <w:p w14:paraId="45FD7007" w14:textId="77777777" w:rsidR="00F33674" w:rsidRPr="00F33674" w:rsidRDefault="00F33674" w:rsidP="00F33674">
            <w:pPr>
              <w:jc w:val="left"/>
              <w:rPr>
                <w:rFonts w:ascii="Arial Narrow" w:hAnsi="Arial Narrow" w:cs="Calibri"/>
                <w:color w:val="000000"/>
                <w:sz w:val="20"/>
                <w:szCs w:val="20"/>
                <w:lang w:eastAsia="en-AU"/>
              </w:rPr>
            </w:pPr>
          </w:p>
        </w:tc>
        <w:tc>
          <w:tcPr>
            <w:tcW w:w="661" w:type="dxa"/>
            <w:shd w:val="clear" w:color="auto" w:fill="auto"/>
            <w:noWrap/>
          </w:tcPr>
          <w:p w14:paraId="26BF999B" w14:textId="77777777" w:rsidR="00F33674" w:rsidRPr="00F33674" w:rsidRDefault="00F33674" w:rsidP="00F33674">
            <w:pPr>
              <w:jc w:val="right"/>
              <w:rPr>
                <w:rFonts w:ascii="Arial Narrow" w:hAnsi="Arial Narrow" w:cs="Calibri"/>
                <w:color w:val="000000"/>
                <w:sz w:val="20"/>
                <w:szCs w:val="20"/>
                <w:lang w:eastAsia="en-AU"/>
              </w:rPr>
            </w:pPr>
          </w:p>
        </w:tc>
        <w:tc>
          <w:tcPr>
            <w:tcW w:w="871" w:type="dxa"/>
            <w:shd w:val="clear" w:color="auto" w:fill="auto"/>
            <w:noWrap/>
          </w:tcPr>
          <w:p w14:paraId="1F7499B7" w14:textId="77777777" w:rsidR="00F33674" w:rsidRPr="00F33674" w:rsidRDefault="00F33674" w:rsidP="00F33674">
            <w:pPr>
              <w:jc w:val="right"/>
              <w:rPr>
                <w:rFonts w:ascii="Arial Narrow" w:hAnsi="Arial Narrow" w:cs="Calibri"/>
                <w:color w:val="000000"/>
                <w:sz w:val="20"/>
                <w:szCs w:val="20"/>
                <w:lang w:eastAsia="en-AU"/>
              </w:rPr>
            </w:pPr>
          </w:p>
        </w:tc>
        <w:tc>
          <w:tcPr>
            <w:tcW w:w="1569" w:type="dxa"/>
            <w:shd w:val="clear" w:color="auto" w:fill="auto"/>
            <w:noWrap/>
            <w:hideMark/>
          </w:tcPr>
          <w:p w14:paraId="5739C31E"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Chem mart Tramadol SR</w:t>
            </w:r>
          </w:p>
        </w:tc>
        <w:tc>
          <w:tcPr>
            <w:tcW w:w="1429" w:type="dxa"/>
            <w:shd w:val="clear" w:color="auto" w:fill="auto"/>
            <w:noWrap/>
            <w:hideMark/>
          </w:tcPr>
          <w:p w14:paraId="5DFF343B"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Apotex Pty Ltd</w:t>
            </w:r>
          </w:p>
        </w:tc>
      </w:tr>
      <w:tr w:rsidR="00F33674" w:rsidRPr="00F33674" w14:paraId="6F73C87C" w14:textId="77777777" w:rsidTr="00F33674">
        <w:trPr>
          <w:trHeight w:val="300"/>
        </w:trPr>
        <w:tc>
          <w:tcPr>
            <w:tcW w:w="1647" w:type="dxa"/>
            <w:shd w:val="clear" w:color="auto" w:fill="auto"/>
            <w:noWrap/>
          </w:tcPr>
          <w:p w14:paraId="30F362B6" w14:textId="77777777" w:rsidR="00F33674" w:rsidRPr="00F33674" w:rsidRDefault="00F33674" w:rsidP="00F33674">
            <w:pPr>
              <w:jc w:val="left"/>
              <w:rPr>
                <w:rFonts w:ascii="Arial Narrow" w:hAnsi="Arial Narrow" w:cs="Calibri"/>
                <w:color w:val="000000"/>
                <w:sz w:val="20"/>
                <w:szCs w:val="20"/>
                <w:lang w:eastAsia="en-AU"/>
              </w:rPr>
            </w:pPr>
          </w:p>
        </w:tc>
        <w:tc>
          <w:tcPr>
            <w:tcW w:w="827" w:type="dxa"/>
          </w:tcPr>
          <w:p w14:paraId="041E9E76" w14:textId="77777777" w:rsidR="00F33674" w:rsidRPr="00F33674" w:rsidRDefault="00F33674" w:rsidP="00F33674">
            <w:pPr>
              <w:jc w:val="left"/>
              <w:rPr>
                <w:rFonts w:ascii="Arial Narrow" w:hAnsi="Arial Narrow" w:cs="Calibri"/>
                <w:color w:val="000000"/>
                <w:sz w:val="20"/>
                <w:szCs w:val="20"/>
                <w:lang w:eastAsia="en-AU"/>
              </w:rPr>
            </w:pPr>
          </w:p>
        </w:tc>
        <w:tc>
          <w:tcPr>
            <w:tcW w:w="2693" w:type="dxa"/>
            <w:vMerge/>
            <w:shd w:val="clear" w:color="auto" w:fill="auto"/>
            <w:noWrap/>
          </w:tcPr>
          <w:p w14:paraId="25B1CD24" w14:textId="77777777" w:rsidR="00F33674" w:rsidRPr="00F33674" w:rsidRDefault="00F33674" w:rsidP="00F33674">
            <w:pPr>
              <w:jc w:val="left"/>
              <w:rPr>
                <w:rFonts w:ascii="Arial Narrow" w:hAnsi="Arial Narrow" w:cs="Calibri"/>
                <w:color w:val="000000"/>
                <w:sz w:val="20"/>
                <w:szCs w:val="20"/>
                <w:lang w:eastAsia="en-AU"/>
              </w:rPr>
            </w:pPr>
          </w:p>
        </w:tc>
        <w:tc>
          <w:tcPr>
            <w:tcW w:w="661" w:type="dxa"/>
            <w:shd w:val="clear" w:color="auto" w:fill="auto"/>
            <w:noWrap/>
          </w:tcPr>
          <w:p w14:paraId="3117A15D" w14:textId="77777777" w:rsidR="00F33674" w:rsidRPr="00F33674" w:rsidRDefault="00F33674" w:rsidP="00F33674">
            <w:pPr>
              <w:jc w:val="right"/>
              <w:rPr>
                <w:rFonts w:ascii="Arial Narrow" w:hAnsi="Arial Narrow" w:cs="Calibri"/>
                <w:color w:val="000000"/>
                <w:sz w:val="20"/>
                <w:szCs w:val="20"/>
                <w:lang w:eastAsia="en-AU"/>
              </w:rPr>
            </w:pPr>
          </w:p>
        </w:tc>
        <w:tc>
          <w:tcPr>
            <w:tcW w:w="871" w:type="dxa"/>
            <w:shd w:val="clear" w:color="auto" w:fill="auto"/>
            <w:noWrap/>
          </w:tcPr>
          <w:p w14:paraId="72964AF8" w14:textId="77777777" w:rsidR="00F33674" w:rsidRPr="00F33674" w:rsidRDefault="00F33674" w:rsidP="00F33674">
            <w:pPr>
              <w:jc w:val="right"/>
              <w:rPr>
                <w:rFonts w:ascii="Arial Narrow" w:hAnsi="Arial Narrow" w:cs="Calibri"/>
                <w:color w:val="000000"/>
                <w:sz w:val="20"/>
                <w:szCs w:val="20"/>
                <w:lang w:eastAsia="en-AU"/>
              </w:rPr>
            </w:pPr>
          </w:p>
        </w:tc>
        <w:tc>
          <w:tcPr>
            <w:tcW w:w="1569" w:type="dxa"/>
            <w:shd w:val="clear" w:color="auto" w:fill="auto"/>
            <w:noWrap/>
            <w:hideMark/>
          </w:tcPr>
          <w:p w14:paraId="0AC6F24D"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Terry White Chemists Tramadol SR</w:t>
            </w:r>
          </w:p>
        </w:tc>
        <w:tc>
          <w:tcPr>
            <w:tcW w:w="1429" w:type="dxa"/>
            <w:shd w:val="clear" w:color="auto" w:fill="auto"/>
            <w:noWrap/>
            <w:hideMark/>
          </w:tcPr>
          <w:p w14:paraId="0D4A1E29"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Apotex Pty Ltd</w:t>
            </w:r>
          </w:p>
        </w:tc>
      </w:tr>
      <w:tr w:rsidR="00F33674" w:rsidRPr="00F33674" w14:paraId="0F1B68D1" w14:textId="77777777" w:rsidTr="00F33674">
        <w:trPr>
          <w:trHeight w:val="300"/>
        </w:trPr>
        <w:tc>
          <w:tcPr>
            <w:tcW w:w="1647" w:type="dxa"/>
            <w:shd w:val="clear" w:color="auto" w:fill="auto"/>
            <w:noWrap/>
          </w:tcPr>
          <w:p w14:paraId="47DF22B9" w14:textId="77777777" w:rsidR="00F33674" w:rsidRPr="00F33674" w:rsidRDefault="00F33674" w:rsidP="00F33674">
            <w:pPr>
              <w:jc w:val="left"/>
              <w:rPr>
                <w:rFonts w:ascii="Arial Narrow" w:hAnsi="Arial Narrow" w:cs="Calibri"/>
                <w:color w:val="000000"/>
                <w:sz w:val="20"/>
                <w:szCs w:val="20"/>
                <w:lang w:eastAsia="en-AU"/>
              </w:rPr>
            </w:pPr>
          </w:p>
        </w:tc>
        <w:tc>
          <w:tcPr>
            <w:tcW w:w="827" w:type="dxa"/>
          </w:tcPr>
          <w:p w14:paraId="5643FFC7" w14:textId="77777777" w:rsidR="00F33674" w:rsidRPr="00F33674" w:rsidRDefault="00F33674" w:rsidP="00F33674">
            <w:pPr>
              <w:jc w:val="left"/>
              <w:rPr>
                <w:rFonts w:ascii="Arial Narrow" w:hAnsi="Arial Narrow" w:cs="Calibri"/>
                <w:color w:val="000000"/>
                <w:sz w:val="20"/>
                <w:szCs w:val="20"/>
                <w:lang w:eastAsia="en-AU"/>
              </w:rPr>
            </w:pPr>
          </w:p>
        </w:tc>
        <w:tc>
          <w:tcPr>
            <w:tcW w:w="2693" w:type="dxa"/>
            <w:vMerge/>
            <w:shd w:val="clear" w:color="auto" w:fill="auto"/>
            <w:noWrap/>
          </w:tcPr>
          <w:p w14:paraId="09B856B4" w14:textId="77777777" w:rsidR="00F33674" w:rsidRPr="00F33674" w:rsidRDefault="00F33674" w:rsidP="00F33674">
            <w:pPr>
              <w:jc w:val="left"/>
              <w:rPr>
                <w:rFonts w:ascii="Arial Narrow" w:hAnsi="Arial Narrow" w:cs="Calibri"/>
                <w:color w:val="000000"/>
                <w:sz w:val="20"/>
                <w:szCs w:val="20"/>
                <w:lang w:eastAsia="en-AU"/>
              </w:rPr>
            </w:pPr>
          </w:p>
        </w:tc>
        <w:tc>
          <w:tcPr>
            <w:tcW w:w="661" w:type="dxa"/>
            <w:shd w:val="clear" w:color="auto" w:fill="auto"/>
            <w:noWrap/>
          </w:tcPr>
          <w:p w14:paraId="7FE2EFF5" w14:textId="77777777" w:rsidR="00F33674" w:rsidRPr="00F33674" w:rsidRDefault="00F33674" w:rsidP="00F33674">
            <w:pPr>
              <w:jc w:val="right"/>
              <w:rPr>
                <w:rFonts w:ascii="Arial Narrow" w:hAnsi="Arial Narrow" w:cs="Calibri"/>
                <w:color w:val="000000"/>
                <w:sz w:val="20"/>
                <w:szCs w:val="20"/>
                <w:lang w:eastAsia="en-AU"/>
              </w:rPr>
            </w:pPr>
          </w:p>
        </w:tc>
        <w:tc>
          <w:tcPr>
            <w:tcW w:w="871" w:type="dxa"/>
            <w:shd w:val="clear" w:color="auto" w:fill="auto"/>
            <w:noWrap/>
          </w:tcPr>
          <w:p w14:paraId="401C8F87" w14:textId="77777777" w:rsidR="00F33674" w:rsidRPr="00F33674" w:rsidRDefault="00F33674" w:rsidP="00F33674">
            <w:pPr>
              <w:jc w:val="right"/>
              <w:rPr>
                <w:rFonts w:ascii="Arial Narrow" w:hAnsi="Arial Narrow" w:cs="Calibri"/>
                <w:color w:val="000000"/>
                <w:sz w:val="20"/>
                <w:szCs w:val="20"/>
                <w:lang w:eastAsia="en-AU"/>
              </w:rPr>
            </w:pPr>
          </w:p>
        </w:tc>
        <w:tc>
          <w:tcPr>
            <w:tcW w:w="1569" w:type="dxa"/>
            <w:shd w:val="clear" w:color="auto" w:fill="auto"/>
            <w:noWrap/>
            <w:hideMark/>
          </w:tcPr>
          <w:p w14:paraId="22BAFBE5"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Tramadol AN SR</w:t>
            </w:r>
          </w:p>
        </w:tc>
        <w:tc>
          <w:tcPr>
            <w:tcW w:w="1429" w:type="dxa"/>
            <w:shd w:val="clear" w:color="auto" w:fill="auto"/>
            <w:noWrap/>
            <w:hideMark/>
          </w:tcPr>
          <w:p w14:paraId="7A5E4F76"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Amneal Pharmaceuticals Pty Ltd</w:t>
            </w:r>
          </w:p>
        </w:tc>
      </w:tr>
      <w:tr w:rsidR="00F33674" w:rsidRPr="00F33674" w14:paraId="2AFD1879" w14:textId="77777777" w:rsidTr="00F33674">
        <w:trPr>
          <w:trHeight w:val="300"/>
        </w:trPr>
        <w:tc>
          <w:tcPr>
            <w:tcW w:w="1647" w:type="dxa"/>
            <w:shd w:val="clear" w:color="auto" w:fill="auto"/>
            <w:noWrap/>
          </w:tcPr>
          <w:p w14:paraId="2990D2A6" w14:textId="77777777" w:rsidR="00F33674" w:rsidRPr="00F33674" w:rsidRDefault="00F33674" w:rsidP="00F33674">
            <w:pPr>
              <w:jc w:val="left"/>
              <w:rPr>
                <w:rFonts w:ascii="Arial Narrow" w:hAnsi="Arial Narrow" w:cs="Calibri"/>
                <w:color w:val="000000"/>
                <w:sz w:val="20"/>
                <w:szCs w:val="20"/>
                <w:lang w:eastAsia="en-AU"/>
              </w:rPr>
            </w:pPr>
          </w:p>
        </w:tc>
        <w:tc>
          <w:tcPr>
            <w:tcW w:w="827" w:type="dxa"/>
          </w:tcPr>
          <w:p w14:paraId="33EDF10A" w14:textId="77777777" w:rsidR="00F33674" w:rsidRPr="00F33674" w:rsidRDefault="00F33674" w:rsidP="00F33674">
            <w:pPr>
              <w:jc w:val="left"/>
              <w:rPr>
                <w:rFonts w:ascii="Arial Narrow" w:hAnsi="Arial Narrow" w:cs="Calibri"/>
                <w:color w:val="000000"/>
                <w:sz w:val="20"/>
                <w:szCs w:val="20"/>
                <w:lang w:eastAsia="en-AU"/>
              </w:rPr>
            </w:pPr>
          </w:p>
        </w:tc>
        <w:tc>
          <w:tcPr>
            <w:tcW w:w="2693" w:type="dxa"/>
            <w:vMerge/>
            <w:shd w:val="clear" w:color="auto" w:fill="auto"/>
            <w:noWrap/>
          </w:tcPr>
          <w:p w14:paraId="4A44D217" w14:textId="77777777" w:rsidR="00F33674" w:rsidRPr="00F33674" w:rsidRDefault="00F33674" w:rsidP="00F33674">
            <w:pPr>
              <w:jc w:val="left"/>
              <w:rPr>
                <w:rFonts w:ascii="Arial Narrow" w:hAnsi="Arial Narrow" w:cs="Calibri"/>
                <w:color w:val="000000"/>
                <w:sz w:val="20"/>
                <w:szCs w:val="20"/>
                <w:lang w:eastAsia="en-AU"/>
              </w:rPr>
            </w:pPr>
          </w:p>
        </w:tc>
        <w:tc>
          <w:tcPr>
            <w:tcW w:w="661" w:type="dxa"/>
            <w:shd w:val="clear" w:color="auto" w:fill="auto"/>
            <w:noWrap/>
          </w:tcPr>
          <w:p w14:paraId="4D3CA4CE" w14:textId="77777777" w:rsidR="00F33674" w:rsidRPr="00F33674" w:rsidRDefault="00F33674" w:rsidP="00F33674">
            <w:pPr>
              <w:jc w:val="right"/>
              <w:rPr>
                <w:rFonts w:ascii="Arial Narrow" w:hAnsi="Arial Narrow" w:cs="Calibri"/>
                <w:color w:val="000000"/>
                <w:sz w:val="20"/>
                <w:szCs w:val="20"/>
                <w:lang w:eastAsia="en-AU"/>
              </w:rPr>
            </w:pPr>
          </w:p>
        </w:tc>
        <w:tc>
          <w:tcPr>
            <w:tcW w:w="871" w:type="dxa"/>
            <w:shd w:val="clear" w:color="auto" w:fill="auto"/>
            <w:noWrap/>
          </w:tcPr>
          <w:p w14:paraId="2A8B549E" w14:textId="77777777" w:rsidR="00F33674" w:rsidRPr="00F33674" w:rsidRDefault="00F33674" w:rsidP="00F33674">
            <w:pPr>
              <w:jc w:val="right"/>
              <w:rPr>
                <w:rFonts w:ascii="Arial Narrow" w:hAnsi="Arial Narrow" w:cs="Calibri"/>
                <w:color w:val="000000"/>
                <w:sz w:val="20"/>
                <w:szCs w:val="20"/>
                <w:lang w:eastAsia="en-AU"/>
              </w:rPr>
            </w:pPr>
          </w:p>
        </w:tc>
        <w:tc>
          <w:tcPr>
            <w:tcW w:w="1569" w:type="dxa"/>
            <w:shd w:val="clear" w:color="auto" w:fill="auto"/>
            <w:noWrap/>
            <w:hideMark/>
          </w:tcPr>
          <w:p w14:paraId="3E3A0CD0"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Tramadol SR generichealth</w:t>
            </w:r>
          </w:p>
        </w:tc>
        <w:tc>
          <w:tcPr>
            <w:tcW w:w="1429" w:type="dxa"/>
            <w:shd w:val="clear" w:color="auto" w:fill="auto"/>
            <w:noWrap/>
            <w:hideMark/>
          </w:tcPr>
          <w:p w14:paraId="540A521E"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Generic Health Pty Ltd</w:t>
            </w:r>
          </w:p>
        </w:tc>
      </w:tr>
      <w:tr w:rsidR="00F33674" w:rsidRPr="00F33674" w14:paraId="67D184E0" w14:textId="77777777" w:rsidTr="00F33674">
        <w:trPr>
          <w:trHeight w:val="300"/>
        </w:trPr>
        <w:tc>
          <w:tcPr>
            <w:tcW w:w="1647" w:type="dxa"/>
            <w:shd w:val="clear" w:color="auto" w:fill="auto"/>
            <w:noWrap/>
          </w:tcPr>
          <w:p w14:paraId="4AA0B00D" w14:textId="77777777" w:rsidR="00F33674" w:rsidRPr="00F33674" w:rsidRDefault="00F33674" w:rsidP="00F33674">
            <w:pPr>
              <w:jc w:val="left"/>
              <w:rPr>
                <w:rFonts w:ascii="Arial Narrow" w:hAnsi="Arial Narrow" w:cs="Calibri"/>
                <w:color w:val="000000"/>
                <w:sz w:val="20"/>
                <w:szCs w:val="20"/>
                <w:lang w:eastAsia="en-AU"/>
              </w:rPr>
            </w:pPr>
          </w:p>
        </w:tc>
        <w:tc>
          <w:tcPr>
            <w:tcW w:w="827" w:type="dxa"/>
          </w:tcPr>
          <w:p w14:paraId="118EB140" w14:textId="77777777" w:rsidR="00F33674" w:rsidRPr="00F33674" w:rsidRDefault="00F33674" w:rsidP="00F33674">
            <w:pPr>
              <w:jc w:val="left"/>
              <w:rPr>
                <w:rFonts w:ascii="Arial Narrow" w:hAnsi="Arial Narrow" w:cs="Calibri"/>
                <w:color w:val="000000"/>
                <w:sz w:val="20"/>
                <w:szCs w:val="20"/>
                <w:lang w:eastAsia="en-AU"/>
              </w:rPr>
            </w:pPr>
          </w:p>
        </w:tc>
        <w:tc>
          <w:tcPr>
            <w:tcW w:w="2693" w:type="dxa"/>
            <w:vMerge/>
            <w:shd w:val="clear" w:color="auto" w:fill="auto"/>
            <w:noWrap/>
          </w:tcPr>
          <w:p w14:paraId="2A32A584" w14:textId="77777777" w:rsidR="00F33674" w:rsidRPr="00F33674" w:rsidRDefault="00F33674" w:rsidP="00F33674">
            <w:pPr>
              <w:jc w:val="left"/>
              <w:rPr>
                <w:rFonts w:ascii="Arial Narrow" w:hAnsi="Arial Narrow" w:cs="Calibri"/>
                <w:color w:val="000000"/>
                <w:sz w:val="20"/>
                <w:szCs w:val="20"/>
                <w:lang w:eastAsia="en-AU"/>
              </w:rPr>
            </w:pPr>
          </w:p>
        </w:tc>
        <w:tc>
          <w:tcPr>
            <w:tcW w:w="661" w:type="dxa"/>
            <w:shd w:val="clear" w:color="auto" w:fill="auto"/>
            <w:noWrap/>
          </w:tcPr>
          <w:p w14:paraId="74047471" w14:textId="77777777" w:rsidR="00F33674" w:rsidRPr="00F33674" w:rsidRDefault="00F33674" w:rsidP="00F33674">
            <w:pPr>
              <w:jc w:val="right"/>
              <w:rPr>
                <w:rFonts w:ascii="Arial Narrow" w:hAnsi="Arial Narrow" w:cs="Calibri"/>
                <w:color w:val="000000"/>
                <w:sz w:val="20"/>
                <w:szCs w:val="20"/>
                <w:lang w:eastAsia="en-AU"/>
              </w:rPr>
            </w:pPr>
          </w:p>
        </w:tc>
        <w:tc>
          <w:tcPr>
            <w:tcW w:w="871" w:type="dxa"/>
            <w:shd w:val="clear" w:color="auto" w:fill="auto"/>
            <w:noWrap/>
          </w:tcPr>
          <w:p w14:paraId="69F41BCB" w14:textId="77777777" w:rsidR="00F33674" w:rsidRPr="00F33674" w:rsidRDefault="00F33674" w:rsidP="00F33674">
            <w:pPr>
              <w:jc w:val="right"/>
              <w:rPr>
                <w:rFonts w:ascii="Arial Narrow" w:hAnsi="Arial Narrow" w:cs="Calibri"/>
                <w:color w:val="000000"/>
                <w:sz w:val="20"/>
                <w:szCs w:val="20"/>
                <w:lang w:eastAsia="en-AU"/>
              </w:rPr>
            </w:pPr>
          </w:p>
        </w:tc>
        <w:tc>
          <w:tcPr>
            <w:tcW w:w="1569" w:type="dxa"/>
            <w:shd w:val="clear" w:color="auto" w:fill="auto"/>
            <w:noWrap/>
            <w:hideMark/>
          </w:tcPr>
          <w:p w14:paraId="54DB279E"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Tramadol Sandoz SR</w:t>
            </w:r>
          </w:p>
        </w:tc>
        <w:tc>
          <w:tcPr>
            <w:tcW w:w="1429" w:type="dxa"/>
            <w:shd w:val="clear" w:color="auto" w:fill="auto"/>
            <w:noWrap/>
            <w:hideMark/>
          </w:tcPr>
          <w:p w14:paraId="768BAF50"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Sandoz Pty Ltd</w:t>
            </w:r>
          </w:p>
        </w:tc>
      </w:tr>
      <w:tr w:rsidR="00F33674" w:rsidRPr="00F33674" w14:paraId="52E7A0BB" w14:textId="77777777" w:rsidTr="00F33674">
        <w:trPr>
          <w:trHeight w:val="300"/>
        </w:trPr>
        <w:tc>
          <w:tcPr>
            <w:tcW w:w="1647" w:type="dxa"/>
            <w:shd w:val="clear" w:color="auto" w:fill="auto"/>
            <w:noWrap/>
          </w:tcPr>
          <w:p w14:paraId="6BE3661B" w14:textId="77777777" w:rsidR="00F33674" w:rsidRPr="00F33674" w:rsidRDefault="00F33674" w:rsidP="00F33674">
            <w:pPr>
              <w:jc w:val="left"/>
              <w:rPr>
                <w:rFonts w:ascii="Arial Narrow" w:hAnsi="Arial Narrow" w:cs="Calibri"/>
                <w:color w:val="000000"/>
                <w:sz w:val="20"/>
                <w:szCs w:val="20"/>
                <w:lang w:eastAsia="en-AU"/>
              </w:rPr>
            </w:pPr>
          </w:p>
        </w:tc>
        <w:tc>
          <w:tcPr>
            <w:tcW w:w="827" w:type="dxa"/>
          </w:tcPr>
          <w:p w14:paraId="0DD106C2" w14:textId="77777777" w:rsidR="00F33674" w:rsidRPr="00F33674" w:rsidRDefault="00F33674" w:rsidP="00F33674">
            <w:pPr>
              <w:jc w:val="left"/>
              <w:rPr>
                <w:rFonts w:ascii="Arial Narrow" w:hAnsi="Arial Narrow" w:cs="Calibri"/>
                <w:color w:val="000000"/>
                <w:sz w:val="20"/>
                <w:szCs w:val="20"/>
                <w:lang w:eastAsia="en-AU"/>
              </w:rPr>
            </w:pPr>
          </w:p>
        </w:tc>
        <w:tc>
          <w:tcPr>
            <w:tcW w:w="2693" w:type="dxa"/>
            <w:vMerge/>
            <w:shd w:val="clear" w:color="auto" w:fill="auto"/>
            <w:noWrap/>
          </w:tcPr>
          <w:p w14:paraId="26FCF826" w14:textId="77777777" w:rsidR="00F33674" w:rsidRPr="00F33674" w:rsidRDefault="00F33674" w:rsidP="00F33674">
            <w:pPr>
              <w:jc w:val="left"/>
              <w:rPr>
                <w:rFonts w:ascii="Arial Narrow" w:hAnsi="Arial Narrow" w:cs="Calibri"/>
                <w:color w:val="000000"/>
                <w:sz w:val="20"/>
                <w:szCs w:val="20"/>
                <w:lang w:eastAsia="en-AU"/>
              </w:rPr>
            </w:pPr>
          </w:p>
        </w:tc>
        <w:tc>
          <w:tcPr>
            <w:tcW w:w="661" w:type="dxa"/>
            <w:shd w:val="clear" w:color="auto" w:fill="auto"/>
            <w:noWrap/>
          </w:tcPr>
          <w:p w14:paraId="51C8A212" w14:textId="77777777" w:rsidR="00F33674" w:rsidRPr="00F33674" w:rsidRDefault="00F33674" w:rsidP="00F33674">
            <w:pPr>
              <w:jc w:val="right"/>
              <w:rPr>
                <w:rFonts w:ascii="Arial Narrow" w:hAnsi="Arial Narrow" w:cs="Calibri"/>
                <w:color w:val="000000"/>
                <w:sz w:val="20"/>
                <w:szCs w:val="20"/>
                <w:lang w:eastAsia="en-AU"/>
              </w:rPr>
            </w:pPr>
          </w:p>
        </w:tc>
        <w:tc>
          <w:tcPr>
            <w:tcW w:w="871" w:type="dxa"/>
            <w:shd w:val="clear" w:color="auto" w:fill="auto"/>
            <w:noWrap/>
          </w:tcPr>
          <w:p w14:paraId="18FE6555" w14:textId="77777777" w:rsidR="00F33674" w:rsidRPr="00F33674" w:rsidRDefault="00F33674" w:rsidP="00F33674">
            <w:pPr>
              <w:jc w:val="right"/>
              <w:rPr>
                <w:rFonts w:ascii="Arial Narrow" w:hAnsi="Arial Narrow" w:cs="Calibri"/>
                <w:color w:val="000000"/>
                <w:sz w:val="20"/>
                <w:szCs w:val="20"/>
                <w:lang w:eastAsia="en-AU"/>
              </w:rPr>
            </w:pPr>
          </w:p>
        </w:tc>
        <w:tc>
          <w:tcPr>
            <w:tcW w:w="1569" w:type="dxa"/>
            <w:shd w:val="clear" w:color="auto" w:fill="auto"/>
            <w:noWrap/>
            <w:hideMark/>
          </w:tcPr>
          <w:p w14:paraId="72822AB8"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Tramal SR 200</w:t>
            </w:r>
          </w:p>
        </w:tc>
        <w:tc>
          <w:tcPr>
            <w:tcW w:w="1429" w:type="dxa"/>
            <w:shd w:val="clear" w:color="auto" w:fill="auto"/>
            <w:noWrap/>
            <w:hideMark/>
          </w:tcPr>
          <w:p w14:paraId="06ADC192"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Seqirus (Australia) Pty Ltd</w:t>
            </w:r>
          </w:p>
        </w:tc>
      </w:tr>
      <w:tr w:rsidR="00F33674" w:rsidRPr="00F33674" w14:paraId="7123B5B9" w14:textId="77777777" w:rsidTr="00F33674">
        <w:trPr>
          <w:trHeight w:val="300"/>
        </w:trPr>
        <w:tc>
          <w:tcPr>
            <w:tcW w:w="1647" w:type="dxa"/>
            <w:shd w:val="clear" w:color="auto" w:fill="auto"/>
            <w:noWrap/>
          </w:tcPr>
          <w:p w14:paraId="1B0E0399" w14:textId="77777777" w:rsidR="00F33674" w:rsidRPr="00F33674" w:rsidRDefault="00F33674" w:rsidP="00F33674">
            <w:pPr>
              <w:jc w:val="left"/>
              <w:rPr>
                <w:rFonts w:ascii="Arial Narrow" w:hAnsi="Arial Narrow" w:cs="Calibri"/>
                <w:color w:val="000000"/>
                <w:sz w:val="20"/>
                <w:szCs w:val="20"/>
                <w:lang w:eastAsia="en-AU"/>
              </w:rPr>
            </w:pPr>
          </w:p>
        </w:tc>
        <w:tc>
          <w:tcPr>
            <w:tcW w:w="827" w:type="dxa"/>
          </w:tcPr>
          <w:p w14:paraId="03ACBA03" w14:textId="77777777" w:rsidR="00F33674" w:rsidRPr="00F33674" w:rsidRDefault="00F33674" w:rsidP="00F33674">
            <w:pPr>
              <w:jc w:val="left"/>
              <w:rPr>
                <w:rFonts w:ascii="Arial Narrow" w:hAnsi="Arial Narrow" w:cs="Calibri"/>
                <w:color w:val="000000"/>
                <w:sz w:val="20"/>
                <w:szCs w:val="20"/>
                <w:lang w:eastAsia="en-AU"/>
              </w:rPr>
            </w:pPr>
          </w:p>
        </w:tc>
        <w:tc>
          <w:tcPr>
            <w:tcW w:w="2693" w:type="dxa"/>
            <w:vMerge/>
            <w:shd w:val="clear" w:color="auto" w:fill="auto"/>
            <w:noWrap/>
          </w:tcPr>
          <w:p w14:paraId="1468A5C3" w14:textId="77777777" w:rsidR="00F33674" w:rsidRPr="00F33674" w:rsidRDefault="00F33674" w:rsidP="00F33674">
            <w:pPr>
              <w:jc w:val="left"/>
              <w:rPr>
                <w:rFonts w:ascii="Arial Narrow" w:hAnsi="Arial Narrow" w:cs="Calibri"/>
                <w:color w:val="000000"/>
                <w:sz w:val="20"/>
                <w:szCs w:val="20"/>
                <w:lang w:eastAsia="en-AU"/>
              </w:rPr>
            </w:pPr>
          </w:p>
        </w:tc>
        <w:tc>
          <w:tcPr>
            <w:tcW w:w="661" w:type="dxa"/>
            <w:shd w:val="clear" w:color="auto" w:fill="auto"/>
            <w:noWrap/>
          </w:tcPr>
          <w:p w14:paraId="0DABE4D0" w14:textId="77777777" w:rsidR="00F33674" w:rsidRPr="00F33674" w:rsidRDefault="00F33674" w:rsidP="00F33674">
            <w:pPr>
              <w:jc w:val="right"/>
              <w:rPr>
                <w:rFonts w:ascii="Arial Narrow" w:hAnsi="Arial Narrow" w:cs="Calibri"/>
                <w:color w:val="000000"/>
                <w:sz w:val="20"/>
                <w:szCs w:val="20"/>
                <w:lang w:eastAsia="en-AU"/>
              </w:rPr>
            </w:pPr>
          </w:p>
        </w:tc>
        <w:tc>
          <w:tcPr>
            <w:tcW w:w="871" w:type="dxa"/>
            <w:shd w:val="clear" w:color="auto" w:fill="auto"/>
            <w:noWrap/>
          </w:tcPr>
          <w:p w14:paraId="1675B12B" w14:textId="77777777" w:rsidR="00F33674" w:rsidRPr="00F33674" w:rsidRDefault="00F33674" w:rsidP="00F33674">
            <w:pPr>
              <w:jc w:val="right"/>
              <w:rPr>
                <w:rFonts w:ascii="Arial Narrow" w:hAnsi="Arial Narrow" w:cs="Calibri"/>
                <w:color w:val="000000"/>
                <w:sz w:val="20"/>
                <w:szCs w:val="20"/>
                <w:lang w:eastAsia="en-AU"/>
              </w:rPr>
            </w:pPr>
          </w:p>
        </w:tc>
        <w:tc>
          <w:tcPr>
            <w:tcW w:w="1569" w:type="dxa"/>
            <w:shd w:val="clear" w:color="auto" w:fill="auto"/>
            <w:noWrap/>
            <w:hideMark/>
          </w:tcPr>
          <w:p w14:paraId="3C1A7B8A"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Tramedo SR</w:t>
            </w:r>
          </w:p>
        </w:tc>
        <w:tc>
          <w:tcPr>
            <w:tcW w:w="1429" w:type="dxa"/>
            <w:shd w:val="clear" w:color="auto" w:fill="auto"/>
            <w:noWrap/>
            <w:hideMark/>
          </w:tcPr>
          <w:p w14:paraId="5F022A75"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Alphapharm Pty Ltd</w:t>
            </w:r>
          </w:p>
        </w:tc>
      </w:tr>
      <w:tr w:rsidR="00F33674" w:rsidRPr="00F33674" w14:paraId="6FF92732" w14:textId="77777777" w:rsidTr="00F33674">
        <w:trPr>
          <w:trHeight w:val="300"/>
        </w:trPr>
        <w:tc>
          <w:tcPr>
            <w:tcW w:w="1647" w:type="dxa"/>
            <w:shd w:val="clear" w:color="auto" w:fill="auto"/>
            <w:noWrap/>
          </w:tcPr>
          <w:p w14:paraId="01FF77A4" w14:textId="77777777" w:rsidR="00F33674" w:rsidRPr="00F33674" w:rsidRDefault="00F33674" w:rsidP="00F33674">
            <w:pPr>
              <w:jc w:val="left"/>
              <w:rPr>
                <w:rFonts w:ascii="Arial Narrow" w:hAnsi="Arial Narrow" w:cs="Calibri"/>
                <w:color w:val="000000"/>
                <w:sz w:val="20"/>
                <w:szCs w:val="20"/>
                <w:lang w:eastAsia="en-AU"/>
              </w:rPr>
            </w:pPr>
          </w:p>
        </w:tc>
        <w:tc>
          <w:tcPr>
            <w:tcW w:w="827" w:type="dxa"/>
          </w:tcPr>
          <w:p w14:paraId="409D84C0" w14:textId="77777777" w:rsidR="00F33674" w:rsidRPr="00F33674" w:rsidRDefault="00F33674" w:rsidP="00F33674">
            <w:pPr>
              <w:jc w:val="left"/>
              <w:rPr>
                <w:rFonts w:ascii="Arial Narrow" w:hAnsi="Arial Narrow" w:cs="Calibri"/>
                <w:color w:val="000000"/>
                <w:sz w:val="20"/>
                <w:szCs w:val="20"/>
                <w:lang w:eastAsia="en-AU"/>
              </w:rPr>
            </w:pPr>
          </w:p>
        </w:tc>
        <w:tc>
          <w:tcPr>
            <w:tcW w:w="2693" w:type="dxa"/>
            <w:vMerge/>
            <w:shd w:val="clear" w:color="auto" w:fill="auto"/>
            <w:noWrap/>
          </w:tcPr>
          <w:p w14:paraId="75FAA01A" w14:textId="77777777" w:rsidR="00F33674" w:rsidRPr="00F33674" w:rsidRDefault="00F33674" w:rsidP="00F33674">
            <w:pPr>
              <w:jc w:val="left"/>
              <w:rPr>
                <w:rFonts w:ascii="Arial Narrow" w:hAnsi="Arial Narrow" w:cs="Calibri"/>
                <w:color w:val="000000"/>
                <w:sz w:val="20"/>
                <w:szCs w:val="20"/>
                <w:lang w:eastAsia="en-AU"/>
              </w:rPr>
            </w:pPr>
          </w:p>
        </w:tc>
        <w:tc>
          <w:tcPr>
            <w:tcW w:w="661" w:type="dxa"/>
            <w:shd w:val="clear" w:color="auto" w:fill="auto"/>
            <w:noWrap/>
          </w:tcPr>
          <w:p w14:paraId="2ADCFAEF" w14:textId="77777777" w:rsidR="00F33674" w:rsidRPr="00F33674" w:rsidRDefault="00F33674" w:rsidP="00F33674">
            <w:pPr>
              <w:jc w:val="right"/>
              <w:rPr>
                <w:rFonts w:ascii="Arial Narrow" w:hAnsi="Arial Narrow" w:cs="Calibri"/>
                <w:color w:val="000000"/>
                <w:sz w:val="20"/>
                <w:szCs w:val="20"/>
                <w:lang w:eastAsia="en-AU"/>
              </w:rPr>
            </w:pPr>
          </w:p>
        </w:tc>
        <w:tc>
          <w:tcPr>
            <w:tcW w:w="871" w:type="dxa"/>
            <w:shd w:val="clear" w:color="auto" w:fill="auto"/>
            <w:noWrap/>
          </w:tcPr>
          <w:p w14:paraId="7A937578" w14:textId="77777777" w:rsidR="00F33674" w:rsidRPr="00F33674" w:rsidRDefault="00F33674" w:rsidP="00F33674">
            <w:pPr>
              <w:jc w:val="right"/>
              <w:rPr>
                <w:rFonts w:ascii="Arial Narrow" w:hAnsi="Arial Narrow" w:cs="Calibri"/>
                <w:color w:val="000000"/>
                <w:sz w:val="20"/>
                <w:szCs w:val="20"/>
                <w:lang w:eastAsia="en-AU"/>
              </w:rPr>
            </w:pPr>
          </w:p>
        </w:tc>
        <w:tc>
          <w:tcPr>
            <w:tcW w:w="1569" w:type="dxa"/>
            <w:shd w:val="clear" w:color="auto" w:fill="auto"/>
            <w:noWrap/>
            <w:hideMark/>
          </w:tcPr>
          <w:p w14:paraId="060E63D9"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Zydol SR 200</w:t>
            </w:r>
          </w:p>
        </w:tc>
        <w:tc>
          <w:tcPr>
            <w:tcW w:w="1429" w:type="dxa"/>
            <w:shd w:val="clear" w:color="auto" w:fill="auto"/>
            <w:noWrap/>
            <w:hideMark/>
          </w:tcPr>
          <w:p w14:paraId="71193AFE"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Arrow Pharma Pty Ltd</w:t>
            </w:r>
          </w:p>
        </w:tc>
      </w:tr>
      <w:tr w:rsidR="00F33674" w:rsidRPr="00F33674" w14:paraId="71D9095A" w14:textId="77777777" w:rsidTr="00F33674">
        <w:trPr>
          <w:trHeight w:val="300"/>
        </w:trPr>
        <w:tc>
          <w:tcPr>
            <w:tcW w:w="1647" w:type="dxa"/>
            <w:shd w:val="clear" w:color="auto" w:fill="auto"/>
            <w:noWrap/>
          </w:tcPr>
          <w:p w14:paraId="44618BFF" w14:textId="77777777" w:rsidR="00F33674" w:rsidRPr="00F33674" w:rsidRDefault="00F33674" w:rsidP="00F33674">
            <w:pPr>
              <w:jc w:val="left"/>
              <w:rPr>
                <w:rFonts w:ascii="Arial Narrow" w:hAnsi="Arial Narrow" w:cs="Calibri"/>
                <w:color w:val="000000"/>
                <w:sz w:val="20"/>
                <w:szCs w:val="20"/>
                <w:lang w:eastAsia="en-AU"/>
              </w:rPr>
            </w:pPr>
          </w:p>
        </w:tc>
        <w:tc>
          <w:tcPr>
            <w:tcW w:w="827" w:type="dxa"/>
          </w:tcPr>
          <w:p w14:paraId="6D447F97"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2527B</w:t>
            </w:r>
          </w:p>
        </w:tc>
        <w:tc>
          <w:tcPr>
            <w:tcW w:w="2693" w:type="dxa"/>
            <w:shd w:val="clear" w:color="auto" w:fill="auto"/>
            <w:noWrap/>
            <w:hideMark/>
          </w:tcPr>
          <w:p w14:paraId="77DFA868"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Tablet (sustained release) containing tramadol hydrochloride 50 mg</w:t>
            </w:r>
          </w:p>
        </w:tc>
        <w:tc>
          <w:tcPr>
            <w:tcW w:w="661" w:type="dxa"/>
            <w:shd w:val="clear" w:color="auto" w:fill="auto"/>
            <w:noWrap/>
            <w:hideMark/>
          </w:tcPr>
          <w:p w14:paraId="5A4C94FE" w14:textId="77777777" w:rsidR="00F33674" w:rsidRPr="00F33674" w:rsidRDefault="00F33674" w:rsidP="00F33674">
            <w:pPr>
              <w:jc w:val="righ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20</w:t>
            </w:r>
          </w:p>
        </w:tc>
        <w:tc>
          <w:tcPr>
            <w:tcW w:w="871" w:type="dxa"/>
            <w:shd w:val="clear" w:color="auto" w:fill="auto"/>
            <w:noWrap/>
            <w:hideMark/>
          </w:tcPr>
          <w:p w14:paraId="46FCADD0" w14:textId="77777777" w:rsidR="00F33674" w:rsidRPr="00F33674" w:rsidRDefault="00F33674" w:rsidP="00F33674">
            <w:pPr>
              <w:jc w:val="righ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0</w:t>
            </w:r>
          </w:p>
        </w:tc>
        <w:tc>
          <w:tcPr>
            <w:tcW w:w="1569" w:type="dxa"/>
            <w:shd w:val="clear" w:color="auto" w:fill="auto"/>
            <w:noWrap/>
            <w:hideMark/>
          </w:tcPr>
          <w:p w14:paraId="66A4E0B9"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Tramal SR 50</w:t>
            </w:r>
          </w:p>
        </w:tc>
        <w:tc>
          <w:tcPr>
            <w:tcW w:w="1429" w:type="dxa"/>
            <w:shd w:val="clear" w:color="auto" w:fill="auto"/>
            <w:noWrap/>
            <w:hideMark/>
          </w:tcPr>
          <w:p w14:paraId="5E4E0314"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Seqirus (Australia) Pty Ltd</w:t>
            </w:r>
          </w:p>
        </w:tc>
      </w:tr>
    </w:tbl>
    <w:p w14:paraId="2E48C1E6" w14:textId="77777777" w:rsidR="00F33674" w:rsidRPr="00F33674" w:rsidRDefault="00F33674" w:rsidP="00F33674">
      <w:pPr>
        <w:ind w:left="360" w:hanging="360"/>
        <w:contextualSpacing/>
        <w:jc w:val="left"/>
      </w:pPr>
    </w:p>
    <w:tbl>
      <w:tblPr>
        <w:tblW w:w="9214" w:type="dxa"/>
        <w:tblInd w:w="-5" w:type="dxa"/>
        <w:tblLayout w:type="fixed"/>
        <w:tblLook w:val="0000" w:firstRow="0" w:lastRow="0" w:firstColumn="0" w:lastColumn="0" w:noHBand="0" w:noVBand="0"/>
      </w:tblPr>
      <w:tblGrid>
        <w:gridCol w:w="2835"/>
        <w:gridCol w:w="6379"/>
      </w:tblGrid>
      <w:tr w:rsidR="00F33674" w:rsidRPr="00F33674" w14:paraId="1BED1EFC" w14:textId="77777777" w:rsidTr="00F33674">
        <w:trPr>
          <w:cantSplit/>
          <w:trHeight w:val="360"/>
        </w:trPr>
        <w:tc>
          <w:tcPr>
            <w:tcW w:w="2835" w:type="dxa"/>
            <w:tcBorders>
              <w:top w:val="single" w:sz="4" w:space="0" w:color="auto"/>
              <w:left w:val="single" w:sz="4" w:space="0" w:color="auto"/>
              <w:bottom w:val="single" w:sz="4" w:space="0" w:color="auto"/>
              <w:right w:val="single" w:sz="4" w:space="0" w:color="auto"/>
            </w:tcBorders>
          </w:tcPr>
          <w:p w14:paraId="3843664D" w14:textId="77777777" w:rsidR="00F33674" w:rsidRPr="00F33674" w:rsidRDefault="00F33674" w:rsidP="00F33674">
            <w:pPr>
              <w:rPr>
                <w:rFonts w:ascii="Arial Narrow" w:hAnsi="Arial Narrow" w:cs="Arial"/>
                <w:b/>
                <w:sz w:val="20"/>
                <w:szCs w:val="20"/>
              </w:rPr>
            </w:pPr>
            <w:r w:rsidRPr="00F33674">
              <w:rPr>
                <w:rFonts w:ascii="Arial Narrow" w:hAnsi="Arial Narrow" w:cs="Arial"/>
                <w:b/>
                <w:sz w:val="20"/>
                <w:szCs w:val="20"/>
              </w:rPr>
              <w:t>Category / Program:</w:t>
            </w:r>
          </w:p>
        </w:tc>
        <w:tc>
          <w:tcPr>
            <w:tcW w:w="6379" w:type="dxa"/>
            <w:tcBorders>
              <w:top w:val="single" w:sz="4" w:space="0" w:color="auto"/>
              <w:left w:val="single" w:sz="4" w:space="0" w:color="auto"/>
              <w:bottom w:val="single" w:sz="4" w:space="0" w:color="auto"/>
              <w:right w:val="single" w:sz="4" w:space="0" w:color="auto"/>
            </w:tcBorders>
          </w:tcPr>
          <w:p w14:paraId="0CB87855" w14:textId="77777777" w:rsidR="00F33674" w:rsidRPr="00F33674" w:rsidRDefault="00F33674" w:rsidP="00F33674">
            <w:pPr>
              <w:rPr>
                <w:rFonts w:ascii="Arial Narrow" w:hAnsi="Arial Narrow" w:cs="Arial"/>
                <w:sz w:val="20"/>
                <w:szCs w:val="20"/>
              </w:rPr>
            </w:pPr>
            <w:r w:rsidRPr="00F33674">
              <w:rPr>
                <w:rFonts w:ascii="Arial Narrow" w:hAnsi="Arial Narrow" w:cs="Arial"/>
                <w:sz w:val="20"/>
                <w:szCs w:val="20"/>
              </w:rPr>
              <w:t>GENERAL – General Schedule (Code GE)</w:t>
            </w:r>
          </w:p>
        </w:tc>
      </w:tr>
      <w:tr w:rsidR="00F33674" w:rsidRPr="00F33674" w14:paraId="69B2DCE2" w14:textId="77777777" w:rsidTr="00F33674">
        <w:trPr>
          <w:cantSplit/>
          <w:trHeight w:val="360"/>
        </w:trPr>
        <w:tc>
          <w:tcPr>
            <w:tcW w:w="2835" w:type="dxa"/>
            <w:tcBorders>
              <w:top w:val="single" w:sz="4" w:space="0" w:color="auto"/>
              <w:left w:val="single" w:sz="4" w:space="0" w:color="auto"/>
              <w:bottom w:val="single" w:sz="4" w:space="0" w:color="auto"/>
              <w:right w:val="single" w:sz="4" w:space="0" w:color="auto"/>
            </w:tcBorders>
          </w:tcPr>
          <w:p w14:paraId="72CA75AC" w14:textId="77777777" w:rsidR="00F33674" w:rsidRPr="00F33674" w:rsidRDefault="00F33674" w:rsidP="00F33674">
            <w:pPr>
              <w:rPr>
                <w:rFonts w:ascii="Arial Narrow" w:hAnsi="Arial Narrow" w:cs="Arial"/>
                <w:b/>
                <w:sz w:val="20"/>
                <w:szCs w:val="20"/>
              </w:rPr>
            </w:pPr>
            <w:r w:rsidRPr="00F33674">
              <w:rPr>
                <w:rFonts w:ascii="Arial Narrow" w:hAnsi="Arial Narrow" w:cs="Arial"/>
                <w:b/>
                <w:sz w:val="20"/>
                <w:szCs w:val="20"/>
              </w:rPr>
              <w:t>Prescriber type:</w:t>
            </w:r>
          </w:p>
          <w:p w14:paraId="5C11364D" w14:textId="77777777" w:rsidR="00F33674" w:rsidRPr="00F33674" w:rsidRDefault="00F33674" w:rsidP="00F33674">
            <w:pPr>
              <w:rPr>
                <w:rFonts w:ascii="Arial Narrow" w:hAnsi="Arial Narrow" w:cs="Arial"/>
                <w:b/>
                <w:sz w:val="20"/>
                <w:szCs w:val="20"/>
              </w:rPr>
            </w:pPr>
          </w:p>
        </w:tc>
        <w:tc>
          <w:tcPr>
            <w:tcW w:w="6379" w:type="dxa"/>
            <w:tcBorders>
              <w:top w:val="single" w:sz="4" w:space="0" w:color="auto"/>
              <w:left w:val="single" w:sz="4" w:space="0" w:color="auto"/>
              <w:bottom w:val="single" w:sz="4" w:space="0" w:color="auto"/>
              <w:right w:val="single" w:sz="4" w:space="0" w:color="auto"/>
            </w:tcBorders>
          </w:tcPr>
          <w:p w14:paraId="1B5D1AB1" w14:textId="4955E0CB" w:rsidR="00F33674" w:rsidRPr="00F33674" w:rsidRDefault="00F33674" w:rsidP="00F33674">
            <w:pPr>
              <w:rPr>
                <w:rFonts w:ascii="Arial Narrow" w:hAnsi="Arial Narrow" w:cs="Arial"/>
                <w:sz w:val="20"/>
                <w:szCs w:val="20"/>
              </w:rPr>
            </w:pPr>
            <w:r w:rsidRPr="00F33674">
              <w:rPr>
                <w:rFonts w:ascii="Arial Narrow" w:hAnsi="Arial Narrow" w:cs="Arial"/>
                <w:sz w:val="20"/>
                <w:szCs w:val="20"/>
              </w:rPr>
              <w:fldChar w:fldCharType="begin">
                <w:ffData>
                  <w:name w:val="Check1"/>
                  <w:enabled/>
                  <w:calcOnExit w:val="0"/>
                  <w:checkBox>
                    <w:sizeAuto/>
                    <w:default w:val="0"/>
                  </w:checkBox>
                </w:ffData>
              </w:fldChar>
            </w:r>
            <w:r w:rsidRPr="00F33674">
              <w:rPr>
                <w:rFonts w:ascii="Arial Narrow" w:hAnsi="Arial Narrow" w:cs="Arial"/>
                <w:sz w:val="20"/>
                <w:szCs w:val="20"/>
              </w:rPr>
              <w:instrText xml:space="preserve"> FORMCHECKBOX </w:instrText>
            </w:r>
            <w:r w:rsidR="00233D13">
              <w:rPr>
                <w:rFonts w:ascii="Arial Narrow" w:hAnsi="Arial Narrow" w:cs="Arial"/>
                <w:sz w:val="20"/>
                <w:szCs w:val="20"/>
              </w:rPr>
            </w:r>
            <w:r w:rsidR="00233D13">
              <w:rPr>
                <w:rFonts w:ascii="Arial Narrow" w:hAnsi="Arial Narrow" w:cs="Arial"/>
                <w:sz w:val="20"/>
                <w:szCs w:val="20"/>
              </w:rPr>
              <w:fldChar w:fldCharType="separate"/>
            </w:r>
            <w:r w:rsidRPr="00F33674">
              <w:rPr>
                <w:rFonts w:ascii="Arial Narrow" w:hAnsi="Arial Narrow" w:cs="Arial"/>
                <w:sz w:val="20"/>
                <w:szCs w:val="20"/>
              </w:rPr>
              <w:fldChar w:fldCharType="end"/>
            </w:r>
            <w:r w:rsidRPr="00F33674">
              <w:rPr>
                <w:rFonts w:ascii="Arial Narrow" w:hAnsi="Arial Narrow" w:cs="Arial"/>
                <w:sz w:val="20"/>
                <w:szCs w:val="20"/>
              </w:rPr>
              <w:t>Dental</w:t>
            </w:r>
            <w:r w:rsidR="002C1329">
              <w:rPr>
                <w:rFonts w:ascii="Arial Narrow" w:hAnsi="Arial Narrow" w:cs="Arial"/>
                <w:sz w:val="20"/>
                <w:szCs w:val="20"/>
              </w:rPr>
              <w:t xml:space="preserve"> </w:t>
            </w:r>
            <w:r w:rsidRPr="00F33674">
              <w:rPr>
                <w:rFonts w:ascii="Arial Narrow" w:hAnsi="Arial Narrow" w:cs="Arial"/>
                <w:sz w:val="20"/>
                <w:szCs w:val="20"/>
              </w:rPr>
              <w:fldChar w:fldCharType="begin">
                <w:ffData>
                  <w:name w:val=""/>
                  <w:enabled/>
                  <w:calcOnExit w:val="0"/>
                  <w:checkBox>
                    <w:sizeAuto/>
                    <w:default w:val="1"/>
                  </w:checkBox>
                </w:ffData>
              </w:fldChar>
            </w:r>
            <w:r w:rsidRPr="00F33674">
              <w:rPr>
                <w:rFonts w:ascii="Arial Narrow" w:hAnsi="Arial Narrow" w:cs="Arial"/>
                <w:sz w:val="20"/>
                <w:szCs w:val="20"/>
              </w:rPr>
              <w:instrText xml:space="preserve"> FORMCHECKBOX </w:instrText>
            </w:r>
            <w:r w:rsidR="00233D13">
              <w:rPr>
                <w:rFonts w:ascii="Arial Narrow" w:hAnsi="Arial Narrow" w:cs="Arial"/>
                <w:sz w:val="20"/>
                <w:szCs w:val="20"/>
              </w:rPr>
            </w:r>
            <w:r w:rsidR="00233D13">
              <w:rPr>
                <w:rFonts w:ascii="Arial Narrow" w:hAnsi="Arial Narrow" w:cs="Arial"/>
                <w:sz w:val="20"/>
                <w:szCs w:val="20"/>
              </w:rPr>
              <w:fldChar w:fldCharType="separate"/>
            </w:r>
            <w:r w:rsidRPr="00F33674">
              <w:rPr>
                <w:rFonts w:ascii="Arial Narrow" w:hAnsi="Arial Narrow" w:cs="Arial"/>
                <w:sz w:val="20"/>
                <w:szCs w:val="20"/>
              </w:rPr>
              <w:fldChar w:fldCharType="end"/>
            </w:r>
            <w:r w:rsidRPr="00F33674">
              <w:rPr>
                <w:rFonts w:ascii="Arial Narrow" w:hAnsi="Arial Narrow" w:cs="Arial"/>
                <w:sz w:val="20"/>
                <w:szCs w:val="20"/>
              </w:rPr>
              <w:t>Medical Practitioners</w:t>
            </w:r>
            <w:r w:rsidR="002C1329">
              <w:rPr>
                <w:rFonts w:ascii="Arial Narrow" w:hAnsi="Arial Narrow" w:cs="Arial"/>
                <w:sz w:val="20"/>
                <w:szCs w:val="20"/>
              </w:rPr>
              <w:t xml:space="preserve"> </w:t>
            </w:r>
            <w:r w:rsidRPr="00F33674">
              <w:rPr>
                <w:rFonts w:ascii="Arial Narrow" w:hAnsi="Arial Narrow" w:cs="Arial"/>
                <w:sz w:val="20"/>
                <w:szCs w:val="20"/>
              </w:rPr>
              <w:fldChar w:fldCharType="begin">
                <w:ffData>
                  <w:name w:val="Check3"/>
                  <w:enabled/>
                  <w:calcOnExit w:val="0"/>
                  <w:checkBox>
                    <w:sizeAuto/>
                    <w:default w:val="1"/>
                  </w:checkBox>
                </w:ffData>
              </w:fldChar>
            </w:r>
            <w:r w:rsidRPr="00F33674">
              <w:rPr>
                <w:rFonts w:ascii="Arial Narrow" w:hAnsi="Arial Narrow" w:cs="Arial"/>
                <w:sz w:val="20"/>
                <w:szCs w:val="20"/>
              </w:rPr>
              <w:instrText xml:space="preserve"> FORMCHECKBOX </w:instrText>
            </w:r>
            <w:r w:rsidR="00233D13">
              <w:rPr>
                <w:rFonts w:ascii="Arial Narrow" w:hAnsi="Arial Narrow" w:cs="Arial"/>
                <w:sz w:val="20"/>
                <w:szCs w:val="20"/>
              </w:rPr>
            </w:r>
            <w:r w:rsidR="00233D13">
              <w:rPr>
                <w:rFonts w:ascii="Arial Narrow" w:hAnsi="Arial Narrow" w:cs="Arial"/>
                <w:sz w:val="20"/>
                <w:szCs w:val="20"/>
              </w:rPr>
              <w:fldChar w:fldCharType="separate"/>
            </w:r>
            <w:r w:rsidRPr="00F33674">
              <w:rPr>
                <w:rFonts w:ascii="Arial Narrow" w:hAnsi="Arial Narrow" w:cs="Arial"/>
                <w:sz w:val="20"/>
                <w:szCs w:val="20"/>
              </w:rPr>
              <w:fldChar w:fldCharType="end"/>
            </w:r>
            <w:r w:rsidRPr="00F33674">
              <w:rPr>
                <w:rFonts w:ascii="Arial Narrow" w:hAnsi="Arial Narrow" w:cs="Arial"/>
                <w:sz w:val="20"/>
                <w:szCs w:val="20"/>
              </w:rPr>
              <w:t>Nurse practitioners</w:t>
            </w:r>
            <w:r w:rsidR="002C1329">
              <w:rPr>
                <w:rFonts w:ascii="Arial Narrow" w:hAnsi="Arial Narrow" w:cs="Arial"/>
                <w:sz w:val="20"/>
                <w:szCs w:val="20"/>
              </w:rPr>
              <w:t xml:space="preserve"> </w:t>
            </w:r>
            <w:r w:rsidRPr="00F33674">
              <w:rPr>
                <w:rFonts w:ascii="Arial Narrow" w:hAnsi="Arial Narrow" w:cs="Arial"/>
                <w:sz w:val="20"/>
                <w:szCs w:val="20"/>
              </w:rPr>
              <w:fldChar w:fldCharType="begin">
                <w:ffData>
                  <w:name w:val=""/>
                  <w:enabled/>
                  <w:calcOnExit w:val="0"/>
                  <w:checkBox>
                    <w:sizeAuto/>
                    <w:default w:val="0"/>
                  </w:checkBox>
                </w:ffData>
              </w:fldChar>
            </w:r>
            <w:r w:rsidRPr="00F33674">
              <w:rPr>
                <w:rFonts w:ascii="Arial Narrow" w:hAnsi="Arial Narrow" w:cs="Arial"/>
                <w:sz w:val="20"/>
                <w:szCs w:val="20"/>
              </w:rPr>
              <w:instrText xml:space="preserve"> FORMCHECKBOX </w:instrText>
            </w:r>
            <w:r w:rsidR="00233D13">
              <w:rPr>
                <w:rFonts w:ascii="Arial Narrow" w:hAnsi="Arial Narrow" w:cs="Arial"/>
                <w:sz w:val="20"/>
                <w:szCs w:val="20"/>
              </w:rPr>
            </w:r>
            <w:r w:rsidR="00233D13">
              <w:rPr>
                <w:rFonts w:ascii="Arial Narrow" w:hAnsi="Arial Narrow" w:cs="Arial"/>
                <w:sz w:val="20"/>
                <w:szCs w:val="20"/>
              </w:rPr>
              <w:fldChar w:fldCharType="separate"/>
            </w:r>
            <w:r w:rsidRPr="00F33674">
              <w:rPr>
                <w:rFonts w:ascii="Arial Narrow" w:hAnsi="Arial Narrow" w:cs="Arial"/>
                <w:sz w:val="20"/>
                <w:szCs w:val="20"/>
              </w:rPr>
              <w:fldChar w:fldCharType="end"/>
            </w:r>
            <w:r w:rsidRPr="00F33674">
              <w:rPr>
                <w:rFonts w:ascii="Arial Narrow" w:hAnsi="Arial Narrow" w:cs="Arial"/>
                <w:sz w:val="20"/>
                <w:szCs w:val="20"/>
              </w:rPr>
              <w:t>Optometrists</w:t>
            </w:r>
          </w:p>
          <w:p w14:paraId="5DD5AF4C" w14:textId="77777777" w:rsidR="00F33674" w:rsidRPr="00F33674" w:rsidRDefault="00F33674" w:rsidP="00F33674">
            <w:pPr>
              <w:rPr>
                <w:rFonts w:ascii="Arial Narrow" w:hAnsi="Arial Narrow" w:cs="Arial"/>
                <w:sz w:val="20"/>
                <w:szCs w:val="20"/>
              </w:rPr>
            </w:pPr>
            <w:r w:rsidRPr="00F33674">
              <w:rPr>
                <w:rFonts w:ascii="Arial Narrow" w:hAnsi="Arial Narrow" w:cs="Arial"/>
                <w:sz w:val="20"/>
                <w:szCs w:val="20"/>
              </w:rPr>
              <w:fldChar w:fldCharType="begin">
                <w:ffData>
                  <w:name w:val="Check5"/>
                  <w:enabled/>
                  <w:calcOnExit w:val="0"/>
                  <w:checkBox>
                    <w:sizeAuto/>
                    <w:default w:val="0"/>
                  </w:checkBox>
                </w:ffData>
              </w:fldChar>
            </w:r>
            <w:r w:rsidRPr="00F33674">
              <w:rPr>
                <w:rFonts w:ascii="Arial Narrow" w:hAnsi="Arial Narrow" w:cs="Arial"/>
                <w:sz w:val="20"/>
                <w:szCs w:val="20"/>
              </w:rPr>
              <w:instrText xml:space="preserve"> FORMCHECKBOX </w:instrText>
            </w:r>
            <w:r w:rsidR="00233D13">
              <w:rPr>
                <w:rFonts w:ascii="Arial Narrow" w:hAnsi="Arial Narrow" w:cs="Arial"/>
                <w:sz w:val="20"/>
                <w:szCs w:val="20"/>
              </w:rPr>
            </w:r>
            <w:r w:rsidR="00233D13">
              <w:rPr>
                <w:rFonts w:ascii="Arial Narrow" w:hAnsi="Arial Narrow" w:cs="Arial"/>
                <w:sz w:val="20"/>
                <w:szCs w:val="20"/>
              </w:rPr>
              <w:fldChar w:fldCharType="separate"/>
            </w:r>
            <w:r w:rsidRPr="00F33674">
              <w:rPr>
                <w:rFonts w:ascii="Arial Narrow" w:hAnsi="Arial Narrow" w:cs="Arial"/>
                <w:sz w:val="20"/>
                <w:szCs w:val="20"/>
              </w:rPr>
              <w:fldChar w:fldCharType="end"/>
            </w:r>
            <w:r w:rsidRPr="00F33674">
              <w:rPr>
                <w:rFonts w:ascii="Arial Narrow" w:hAnsi="Arial Narrow" w:cs="Arial"/>
                <w:sz w:val="20"/>
                <w:szCs w:val="20"/>
              </w:rPr>
              <w:t>Midwives</w:t>
            </w:r>
          </w:p>
        </w:tc>
      </w:tr>
      <w:tr w:rsidR="00F33674" w:rsidRPr="00F33674" w14:paraId="6FCA2781" w14:textId="77777777" w:rsidTr="00F33674">
        <w:trPr>
          <w:cantSplit/>
          <w:trHeight w:val="369"/>
        </w:trPr>
        <w:tc>
          <w:tcPr>
            <w:tcW w:w="2835" w:type="dxa"/>
            <w:tcBorders>
              <w:top w:val="single" w:sz="4" w:space="0" w:color="auto"/>
              <w:left w:val="single" w:sz="4" w:space="0" w:color="auto"/>
              <w:bottom w:val="single" w:sz="4" w:space="0" w:color="auto"/>
              <w:right w:val="single" w:sz="4" w:space="0" w:color="auto"/>
            </w:tcBorders>
          </w:tcPr>
          <w:p w14:paraId="0DD0C7FC" w14:textId="77777777" w:rsidR="00F33674" w:rsidRPr="00F33674" w:rsidRDefault="00F33674" w:rsidP="00F33674">
            <w:pPr>
              <w:rPr>
                <w:rFonts w:ascii="Arial Narrow" w:hAnsi="Arial Narrow" w:cs="Arial"/>
                <w:b/>
                <w:sz w:val="20"/>
                <w:szCs w:val="20"/>
              </w:rPr>
            </w:pPr>
            <w:r w:rsidRPr="00F33674">
              <w:rPr>
                <w:rFonts w:ascii="Arial Narrow" w:hAnsi="Arial Narrow" w:cs="Arial"/>
                <w:b/>
                <w:sz w:val="20"/>
                <w:szCs w:val="20"/>
              </w:rPr>
              <w:t>PBS indication:</w:t>
            </w:r>
          </w:p>
        </w:tc>
        <w:tc>
          <w:tcPr>
            <w:tcW w:w="6379" w:type="dxa"/>
            <w:tcBorders>
              <w:top w:val="single" w:sz="4" w:space="0" w:color="auto"/>
              <w:left w:val="single" w:sz="4" w:space="0" w:color="auto"/>
              <w:bottom w:val="single" w:sz="4" w:space="0" w:color="auto"/>
              <w:right w:val="single" w:sz="4" w:space="0" w:color="auto"/>
            </w:tcBorders>
          </w:tcPr>
          <w:p w14:paraId="1D94C805" w14:textId="77777777" w:rsidR="00F33674" w:rsidRPr="00F33674" w:rsidRDefault="00F33674" w:rsidP="00F33674">
            <w:pPr>
              <w:rPr>
                <w:rFonts w:ascii="Arial Narrow" w:hAnsi="Arial Narrow" w:cs="Arial"/>
                <w:sz w:val="20"/>
                <w:szCs w:val="20"/>
              </w:rPr>
            </w:pPr>
            <w:r w:rsidRPr="00F33674">
              <w:rPr>
                <w:rFonts w:ascii="Arial Narrow" w:hAnsi="Arial Narrow" w:cs="Arial"/>
                <w:sz w:val="20"/>
                <w:szCs w:val="20"/>
              </w:rPr>
              <w:t>[new] Chronic severe pain</w:t>
            </w:r>
          </w:p>
        </w:tc>
      </w:tr>
      <w:tr w:rsidR="00F33674" w:rsidRPr="00F33674" w14:paraId="7E953E56" w14:textId="77777777" w:rsidTr="00F33674">
        <w:trPr>
          <w:cantSplit/>
          <w:trHeight w:val="360"/>
        </w:trPr>
        <w:tc>
          <w:tcPr>
            <w:tcW w:w="2835" w:type="dxa"/>
            <w:tcBorders>
              <w:top w:val="single" w:sz="4" w:space="0" w:color="auto"/>
              <w:left w:val="single" w:sz="4" w:space="0" w:color="auto"/>
              <w:bottom w:val="single" w:sz="4" w:space="0" w:color="auto"/>
              <w:right w:val="single" w:sz="4" w:space="0" w:color="auto"/>
            </w:tcBorders>
          </w:tcPr>
          <w:p w14:paraId="395A68D7" w14:textId="77777777" w:rsidR="00F33674" w:rsidRPr="00F33674" w:rsidRDefault="00F33674" w:rsidP="00F33674">
            <w:pPr>
              <w:rPr>
                <w:rFonts w:ascii="Arial Narrow" w:hAnsi="Arial Narrow" w:cs="Arial"/>
                <w:b/>
                <w:sz w:val="20"/>
                <w:szCs w:val="20"/>
              </w:rPr>
            </w:pPr>
            <w:r w:rsidRPr="00F33674">
              <w:rPr>
                <w:rFonts w:ascii="Arial Narrow" w:hAnsi="Arial Narrow" w:cs="Arial"/>
                <w:b/>
                <w:sz w:val="20"/>
                <w:szCs w:val="20"/>
              </w:rPr>
              <w:t>Restriction Level / Method:</w:t>
            </w:r>
          </w:p>
          <w:p w14:paraId="5C74C603" w14:textId="77777777" w:rsidR="00F33674" w:rsidRPr="00F33674" w:rsidRDefault="00F33674" w:rsidP="00F33674">
            <w:pPr>
              <w:rPr>
                <w:rFonts w:ascii="Arial Narrow" w:hAnsi="Arial Narrow" w:cs="Arial"/>
                <w:i/>
                <w:sz w:val="20"/>
                <w:szCs w:val="20"/>
              </w:rPr>
            </w:pPr>
          </w:p>
          <w:p w14:paraId="06DD4CFE" w14:textId="77777777" w:rsidR="00F33674" w:rsidRPr="00F33674" w:rsidRDefault="00F33674" w:rsidP="00F33674">
            <w:pPr>
              <w:rPr>
                <w:rFonts w:ascii="Arial Narrow" w:hAnsi="Arial Narrow" w:cs="Arial"/>
                <w:i/>
                <w:sz w:val="20"/>
                <w:szCs w:val="20"/>
              </w:rPr>
            </w:pPr>
          </w:p>
          <w:p w14:paraId="72DF4EF6" w14:textId="77777777" w:rsidR="00F33674" w:rsidRPr="00F33674" w:rsidRDefault="00F33674" w:rsidP="00F33674">
            <w:pPr>
              <w:rPr>
                <w:rFonts w:ascii="Arial Narrow" w:hAnsi="Arial Narrow" w:cs="Arial"/>
                <w:i/>
                <w:sz w:val="20"/>
                <w:szCs w:val="20"/>
              </w:rPr>
            </w:pPr>
          </w:p>
        </w:tc>
        <w:tc>
          <w:tcPr>
            <w:tcW w:w="6379" w:type="dxa"/>
            <w:tcBorders>
              <w:top w:val="single" w:sz="4" w:space="0" w:color="auto"/>
              <w:left w:val="single" w:sz="4" w:space="0" w:color="auto"/>
              <w:bottom w:val="single" w:sz="4" w:space="0" w:color="auto"/>
              <w:right w:val="single" w:sz="4" w:space="0" w:color="auto"/>
            </w:tcBorders>
          </w:tcPr>
          <w:p w14:paraId="7BE53763" w14:textId="77777777" w:rsidR="00F33674" w:rsidRPr="00F33674" w:rsidRDefault="00F33674" w:rsidP="00F33674">
            <w:pPr>
              <w:rPr>
                <w:rFonts w:ascii="Arial Narrow" w:hAnsi="Arial Narrow" w:cs="Arial"/>
                <w:sz w:val="20"/>
                <w:szCs w:val="20"/>
              </w:rPr>
            </w:pPr>
            <w:r w:rsidRPr="00F33674">
              <w:rPr>
                <w:rFonts w:ascii="Arial Narrow" w:hAnsi="Arial Narrow" w:cs="Arial"/>
                <w:sz w:val="20"/>
                <w:szCs w:val="20"/>
              </w:rPr>
              <w:fldChar w:fldCharType="begin">
                <w:ffData>
                  <w:name w:val=""/>
                  <w:enabled/>
                  <w:calcOnExit w:val="0"/>
                  <w:checkBox>
                    <w:sizeAuto/>
                    <w:default w:val="0"/>
                  </w:checkBox>
                </w:ffData>
              </w:fldChar>
            </w:r>
            <w:r w:rsidRPr="00F33674">
              <w:rPr>
                <w:rFonts w:ascii="Arial Narrow" w:hAnsi="Arial Narrow" w:cs="Arial"/>
                <w:sz w:val="20"/>
                <w:szCs w:val="20"/>
              </w:rPr>
              <w:instrText xml:space="preserve"> FORMCHECKBOX </w:instrText>
            </w:r>
            <w:r w:rsidR="00233D13">
              <w:rPr>
                <w:rFonts w:ascii="Arial Narrow" w:hAnsi="Arial Narrow" w:cs="Arial"/>
                <w:sz w:val="20"/>
                <w:szCs w:val="20"/>
              </w:rPr>
            </w:r>
            <w:r w:rsidR="00233D13">
              <w:rPr>
                <w:rFonts w:ascii="Arial Narrow" w:hAnsi="Arial Narrow" w:cs="Arial"/>
                <w:sz w:val="20"/>
                <w:szCs w:val="20"/>
              </w:rPr>
              <w:fldChar w:fldCharType="separate"/>
            </w:r>
            <w:r w:rsidRPr="00F33674">
              <w:rPr>
                <w:rFonts w:ascii="Arial Narrow" w:hAnsi="Arial Narrow" w:cs="Arial"/>
                <w:sz w:val="20"/>
                <w:szCs w:val="20"/>
              </w:rPr>
              <w:fldChar w:fldCharType="end"/>
            </w:r>
            <w:r w:rsidRPr="00F33674">
              <w:rPr>
                <w:rFonts w:ascii="Arial Narrow" w:hAnsi="Arial Narrow" w:cs="Arial"/>
                <w:sz w:val="20"/>
                <w:szCs w:val="20"/>
              </w:rPr>
              <w:t>Unrestricted benefit</w:t>
            </w:r>
          </w:p>
          <w:p w14:paraId="238AD344" w14:textId="77777777" w:rsidR="00F33674" w:rsidRPr="00F33674" w:rsidRDefault="00F33674" w:rsidP="00F33674">
            <w:pPr>
              <w:rPr>
                <w:rFonts w:ascii="Arial Narrow" w:hAnsi="Arial Narrow" w:cs="Arial"/>
                <w:i/>
                <w:sz w:val="20"/>
                <w:szCs w:val="20"/>
              </w:rPr>
            </w:pPr>
            <w:r w:rsidRPr="00F33674">
              <w:rPr>
                <w:rFonts w:ascii="Arial Narrow" w:hAnsi="Arial Narrow" w:cs="Arial"/>
                <w:i/>
                <w:sz w:val="20"/>
                <w:szCs w:val="20"/>
              </w:rPr>
              <w:fldChar w:fldCharType="begin">
                <w:ffData>
                  <w:name w:val=""/>
                  <w:enabled/>
                  <w:calcOnExit w:val="0"/>
                  <w:checkBox>
                    <w:sizeAuto/>
                    <w:default w:val="0"/>
                  </w:checkBox>
                </w:ffData>
              </w:fldChar>
            </w:r>
            <w:r w:rsidRPr="00F33674">
              <w:rPr>
                <w:rFonts w:ascii="Arial Narrow" w:hAnsi="Arial Narrow" w:cs="Arial"/>
                <w:i/>
                <w:sz w:val="20"/>
                <w:szCs w:val="20"/>
              </w:rPr>
              <w:instrText xml:space="preserve"> FORMCHECKBOX </w:instrText>
            </w:r>
            <w:r w:rsidR="00233D13">
              <w:rPr>
                <w:rFonts w:ascii="Arial Narrow" w:hAnsi="Arial Narrow" w:cs="Arial"/>
                <w:i/>
                <w:sz w:val="20"/>
                <w:szCs w:val="20"/>
              </w:rPr>
            </w:r>
            <w:r w:rsidR="00233D13">
              <w:rPr>
                <w:rFonts w:ascii="Arial Narrow" w:hAnsi="Arial Narrow" w:cs="Arial"/>
                <w:i/>
                <w:sz w:val="20"/>
                <w:szCs w:val="20"/>
              </w:rPr>
              <w:fldChar w:fldCharType="separate"/>
            </w:r>
            <w:r w:rsidRPr="00F33674">
              <w:rPr>
                <w:rFonts w:ascii="Arial Narrow" w:hAnsi="Arial Narrow" w:cs="Arial"/>
                <w:i/>
                <w:sz w:val="20"/>
                <w:szCs w:val="20"/>
              </w:rPr>
              <w:fldChar w:fldCharType="end"/>
            </w:r>
            <w:r w:rsidRPr="00F33674">
              <w:rPr>
                <w:rFonts w:ascii="Arial Narrow" w:hAnsi="Arial Narrow" w:cs="Arial"/>
                <w:sz w:val="20"/>
                <w:szCs w:val="20"/>
              </w:rPr>
              <w:t>Restricted benefit</w:t>
            </w:r>
          </w:p>
          <w:p w14:paraId="1FD7ACC0" w14:textId="77777777" w:rsidR="00F33674" w:rsidRPr="00F33674" w:rsidRDefault="00F33674" w:rsidP="00F33674">
            <w:pPr>
              <w:rPr>
                <w:rFonts w:ascii="Arial Narrow" w:hAnsi="Arial Narrow" w:cs="Arial"/>
                <w:sz w:val="20"/>
                <w:szCs w:val="20"/>
              </w:rPr>
            </w:pPr>
            <w:r w:rsidRPr="00F33674">
              <w:rPr>
                <w:rFonts w:ascii="Arial Narrow" w:hAnsi="Arial Narrow" w:cs="Arial"/>
                <w:sz w:val="20"/>
                <w:szCs w:val="20"/>
              </w:rPr>
              <w:fldChar w:fldCharType="begin">
                <w:ffData>
                  <w:name w:val=""/>
                  <w:enabled/>
                  <w:calcOnExit w:val="0"/>
                  <w:checkBox>
                    <w:sizeAuto/>
                    <w:default w:val="0"/>
                  </w:checkBox>
                </w:ffData>
              </w:fldChar>
            </w:r>
            <w:r w:rsidRPr="00F33674">
              <w:rPr>
                <w:rFonts w:ascii="Arial Narrow" w:hAnsi="Arial Narrow" w:cs="Arial"/>
                <w:sz w:val="20"/>
                <w:szCs w:val="20"/>
              </w:rPr>
              <w:instrText xml:space="preserve"> FORMCHECKBOX </w:instrText>
            </w:r>
            <w:r w:rsidR="00233D13">
              <w:rPr>
                <w:rFonts w:ascii="Arial Narrow" w:hAnsi="Arial Narrow" w:cs="Arial"/>
                <w:sz w:val="20"/>
                <w:szCs w:val="20"/>
              </w:rPr>
            </w:r>
            <w:r w:rsidR="00233D13">
              <w:rPr>
                <w:rFonts w:ascii="Arial Narrow" w:hAnsi="Arial Narrow" w:cs="Arial"/>
                <w:sz w:val="20"/>
                <w:szCs w:val="20"/>
              </w:rPr>
              <w:fldChar w:fldCharType="separate"/>
            </w:r>
            <w:r w:rsidRPr="00F33674">
              <w:rPr>
                <w:rFonts w:ascii="Arial Narrow" w:hAnsi="Arial Narrow" w:cs="Arial"/>
                <w:sz w:val="20"/>
                <w:szCs w:val="20"/>
              </w:rPr>
              <w:fldChar w:fldCharType="end"/>
            </w:r>
            <w:r w:rsidRPr="00F33674">
              <w:rPr>
                <w:rFonts w:ascii="Arial Narrow" w:hAnsi="Arial Narrow" w:cs="Arial"/>
                <w:sz w:val="20"/>
                <w:szCs w:val="20"/>
              </w:rPr>
              <w:t>Authority Required – In Writing</w:t>
            </w:r>
          </w:p>
          <w:p w14:paraId="300AFB72" w14:textId="77777777" w:rsidR="00F33674" w:rsidRPr="00F33674" w:rsidRDefault="00F33674" w:rsidP="00F33674">
            <w:pPr>
              <w:rPr>
                <w:rFonts w:ascii="Arial Narrow" w:hAnsi="Arial Narrow" w:cs="Arial"/>
                <w:sz w:val="20"/>
                <w:szCs w:val="20"/>
              </w:rPr>
            </w:pPr>
            <w:r w:rsidRPr="00F33674">
              <w:rPr>
                <w:rFonts w:ascii="Arial Narrow" w:hAnsi="Arial Narrow" w:cs="Arial"/>
                <w:sz w:val="20"/>
                <w:szCs w:val="20"/>
              </w:rPr>
              <w:fldChar w:fldCharType="begin">
                <w:ffData>
                  <w:name w:val="Check3"/>
                  <w:enabled/>
                  <w:calcOnExit w:val="0"/>
                  <w:checkBox>
                    <w:sizeAuto/>
                    <w:default w:val="0"/>
                  </w:checkBox>
                </w:ffData>
              </w:fldChar>
            </w:r>
            <w:r w:rsidRPr="00F33674">
              <w:rPr>
                <w:rFonts w:ascii="Arial Narrow" w:hAnsi="Arial Narrow" w:cs="Arial"/>
                <w:sz w:val="20"/>
                <w:szCs w:val="20"/>
              </w:rPr>
              <w:instrText xml:space="preserve"> FORMCHECKBOX </w:instrText>
            </w:r>
            <w:r w:rsidR="00233D13">
              <w:rPr>
                <w:rFonts w:ascii="Arial Narrow" w:hAnsi="Arial Narrow" w:cs="Arial"/>
                <w:sz w:val="20"/>
                <w:szCs w:val="20"/>
              </w:rPr>
            </w:r>
            <w:r w:rsidR="00233D13">
              <w:rPr>
                <w:rFonts w:ascii="Arial Narrow" w:hAnsi="Arial Narrow" w:cs="Arial"/>
                <w:sz w:val="20"/>
                <w:szCs w:val="20"/>
              </w:rPr>
              <w:fldChar w:fldCharType="separate"/>
            </w:r>
            <w:r w:rsidRPr="00F33674">
              <w:rPr>
                <w:rFonts w:ascii="Arial Narrow" w:hAnsi="Arial Narrow" w:cs="Arial"/>
                <w:sz w:val="20"/>
                <w:szCs w:val="20"/>
              </w:rPr>
              <w:fldChar w:fldCharType="end"/>
            </w:r>
            <w:r w:rsidRPr="00F33674">
              <w:rPr>
                <w:rFonts w:ascii="Arial Narrow" w:hAnsi="Arial Narrow" w:cs="Arial"/>
                <w:sz w:val="20"/>
                <w:szCs w:val="20"/>
              </w:rPr>
              <w:t>Authority Required – Telephone/Electronic/Emergency</w:t>
            </w:r>
          </w:p>
          <w:p w14:paraId="305D1902" w14:textId="77777777" w:rsidR="00F33674" w:rsidRPr="00F33674" w:rsidRDefault="00F33674" w:rsidP="00F33674">
            <w:pPr>
              <w:rPr>
                <w:rFonts w:ascii="Arial Narrow" w:hAnsi="Arial Narrow" w:cs="Arial"/>
                <w:sz w:val="20"/>
                <w:szCs w:val="20"/>
              </w:rPr>
            </w:pPr>
            <w:r w:rsidRPr="00F33674">
              <w:rPr>
                <w:rFonts w:ascii="Arial Narrow" w:hAnsi="Arial Narrow" w:cs="Arial"/>
                <w:sz w:val="20"/>
                <w:szCs w:val="20"/>
              </w:rPr>
              <w:fldChar w:fldCharType="begin">
                <w:ffData>
                  <w:name w:val=""/>
                  <w:enabled/>
                  <w:calcOnExit w:val="0"/>
                  <w:checkBox>
                    <w:sizeAuto/>
                    <w:default w:val="1"/>
                  </w:checkBox>
                </w:ffData>
              </w:fldChar>
            </w:r>
            <w:r w:rsidRPr="00F33674">
              <w:rPr>
                <w:rFonts w:ascii="Arial Narrow" w:hAnsi="Arial Narrow" w:cs="Arial"/>
                <w:sz w:val="20"/>
                <w:szCs w:val="20"/>
              </w:rPr>
              <w:instrText xml:space="preserve"> FORMCHECKBOX </w:instrText>
            </w:r>
            <w:r w:rsidR="00233D13">
              <w:rPr>
                <w:rFonts w:ascii="Arial Narrow" w:hAnsi="Arial Narrow" w:cs="Arial"/>
                <w:sz w:val="20"/>
                <w:szCs w:val="20"/>
              </w:rPr>
            </w:r>
            <w:r w:rsidR="00233D13">
              <w:rPr>
                <w:rFonts w:ascii="Arial Narrow" w:hAnsi="Arial Narrow" w:cs="Arial"/>
                <w:sz w:val="20"/>
                <w:szCs w:val="20"/>
              </w:rPr>
              <w:fldChar w:fldCharType="separate"/>
            </w:r>
            <w:r w:rsidRPr="00F33674">
              <w:rPr>
                <w:rFonts w:ascii="Arial Narrow" w:hAnsi="Arial Narrow" w:cs="Arial"/>
                <w:sz w:val="20"/>
                <w:szCs w:val="20"/>
              </w:rPr>
              <w:fldChar w:fldCharType="end"/>
            </w:r>
            <w:r w:rsidRPr="00F33674">
              <w:rPr>
                <w:rFonts w:ascii="Arial Narrow" w:hAnsi="Arial Narrow" w:cs="Arial"/>
                <w:sz w:val="20"/>
                <w:szCs w:val="20"/>
              </w:rPr>
              <w:t>Streamlined</w:t>
            </w:r>
          </w:p>
        </w:tc>
      </w:tr>
      <w:tr w:rsidR="002C1329" w:rsidRPr="00F33674" w14:paraId="4D4D78A1" w14:textId="77777777" w:rsidTr="00F33674">
        <w:trPr>
          <w:cantSplit/>
          <w:trHeight w:val="360"/>
        </w:trPr>
        <w:tc>
          <w:tcPr>
            <w:tcW w:w="2835" w:type="dxa"/>
            <w:tcBorders>
              <w:top w:val="single" w:sz="4" w:space="0" w:color="auto"/>
              <w:left w:val="single" w:sz="4" w:space="0" w:color="auto"/>
              <w:bottom w:val="single" w:sz="4" w:space="0" w:color="auto"/>
              <w:right w:val="single" w:sz="4" w:space="0" w:color="auto"/>
            </w:tcBorders>
          </w:tcPr>
          <w:p w14:paraId="277ABEA0" w14:textId="22B6038B" w:rsidR="002C1329" w:rsidRPr="00F33674" w:rsidRDefault="002C1329" w:rsidP="00F33674">
            <w:pPr>
              <w:rPr>
                <w:rFonts w:ascii="Arial Narrow" w:hAnsi="Arial Narrow" w:cs="Arial"/>
                <w:b/>
                <w:sz w:val="20"/>
                <w:szCs w:val="20"/>
              </w:rPr>
            </w:pPr>
            <w:r>
              <w:rPr>
                <w:rFonts w:ascii="Arial Narrow" w:hAnsi="Arial Narrow" w:cs="Arial"/>
                <w:b/>
                <w:sz w:val="20"/>
                <w:szCs w:val="20"/>
              </w:rPr>
              <w:t>Treatment phase:</w:t>
            </w:r>
          </w:p>
        </w:tc>
        <w:tc>
          <w:tcPr>
            <w:tcW w:w="6379" w:type="dxa"/>
            <w:tcBorders>
              <w:top w:val="single" w:sz="4" w:space="0" w:color="auto"/>
              <w:left w:val="single" w:sz="4" w:space="0" w:color="auto"/>
              <w:bottom w:val="single" w:sz="4" w:space="0" w:color="auto"/>
              <w:right w:val="single" w:sz="4" w:space="0" w:color="auto"/>
            </w:tcBorders>
          </w:tcPr>
          <w:p w14:paraId="2AEFD1B9" w14:textId="0244ED64" w:rsidR="002C1329" w:rsidRPr="00F33674" w:rsidRDefault="00265869" w:rsidP="00F33674">
            <w:pPr>
              <w:jc w:val="left"/>
              <w:rPr>
                <w:rFonts w:ascii="Arial Narrow" w:hAnsi="Arial Narrow" w:cs="Arial"/>
                <w:sz w:val="20"/>
                <w:szCs w:val="20"/>
              </w:rPr>
            </w:pPr>
            <w:r>
              <w:rPr>
                <w:rFonts w:ascii="Arial Narrow" w:hAnsi="Arial Narrow" w:cs="Arial"/>
                <w:sz w:val="20"/>
                <w:szCs w:val="20"/>
              </w:rPr>
              <w:t xml:space="preserve">Initial PBS treatment after 1 June 2020 where patient </w:t>
            </w:r>
            <w:proofErr w:type="gramStart"/>
            <w:r>
              <w:rPr>
                <w:rFonts w:ascii="Arial Narrow" w:hAnsi="Arial Narrow" w:cs="Arial"/>
                <w:sz w:val="20"/>
                <w:szCs w:val="20"/>
              </w:rPr>
              <w:t>has been treated</w:t>
            </w:r>
            <w:proofErr w:type="gramEnd"/>
            <w:r>
              <w:rPr>
                <w:rFonts w:ascii="Arial Narrow" w:hAnsi="Arial Narrow" w:cs="Arial"/>
                <w:sz w:val="20"/>
                <w:szCs w:val="20"/>
              </w:rPr>
              <w:t xml:space="preserve"> with opioids for less than 12 months.</w:t>
            </w:r>
          </w:p>
        </w:tc>
      </w:tr>
      <w:tr w:rsidR="00F33674" w:rsidRPr="00F33674" w14:paraId="4867236B" w14:textId="77777777" w:rsidTr="00F33674">
        <w:trPr>
          <w:cantSplit/>
          <w:trHeight w:val="360"/>
        </w:trPr>
        <w:tc>
          <w:tcPr>
            <w:tcW w:w="2835" w:type="dxa"/>
            <w:tcBorders>
              <w:top w:val="single" w:sz="4" w:space="0" w:color="auto"/>
              <w:left w:val="single" w:sz="4" w:space="0" w:color="auto"/>
              <w:bottom w:val="single" w:sz="4" w:space="0" w:color="auto"/>
              <w:right w:val="single" w:sz="4" w:space="0" w:color="auto"/>
            </w:tcBorders>
          </w:tcPr>
          <w:p w14:paraId="3E855690" w14:textId="77777777" w:rsidR="00F33674" w:rsidRPr="00F33674" w:rsidRDefault="00F33674" w:rsidP="00F33674">
            <w:pPr>
              <w:rPr>
                <w:rFonts w:ascii="Arial Narrow" w:hAnsi="Arial Narrow" w:cs="Arial"/>
                <w:b/>
                <w:sz w:val="20"/>
                <w:szCs w:val="20"/>
              </w:rPr>
            </w:pPr>
            <w:r w:rsidRPr="00F33674">
              <w:rPr>
                <w:rFonts w:ascii="Arial Narrow" w:hAnsi="Arial Narrow" w:cs="Arial"/>
                <w:b/>
                <w:sz w:val="20"/>
                <w:szCs w:val="20"/>
              </w:rPr>
              <w:t>Clinical criteria:</w:t>
            </w:r>
          </w:p>
        </w:tc>
        <w:tc>
          <w:tcPr>
            <w:tcW w:w="6379" w:type="dxa"/>
            <w:tcBorders>
              <w:top w:val="single" w:sz="4" w:space="0" w:color="auto"/>
              <w:left w:val="single" w:sz="4" w:space="0" w:color="auto"/>
              <w:bottom w:val="single" w:sz="4" w:space="0" w:color="auto"/>
              <w:right w:val="single" w:sz="4" w:space="0" w:color="auto"/>
            </w:tcBorders>
          </w:tcPr>
          <w:p w14:paraId="1C56ACC1" w14:textId="2953C44F" w:rsidR="00F33674" w:rsidRPr="00F33674" w:rsidRDefault="00F33674" w:rsidP="00F33674">
            <w:pPr>
              <w:jc w:val="left"/>
              <w:rPr>
                <w:rFonts w:ascii="Arial Narrow" w:hAnsi="Arial Narrow" w:cs="Arial"/>
                <w:sz w:val="20"/>
                <w:szCs w:val="20"/>
              </w:rPr>
            </w:pPr>
            <w:r w:rsidRPr="00F33674">
              <w:rPr>
                <w:rFonts w:ascii="Arial Narrow" w:hAnsi="Arial Narrow" w:cs="Arial"/>
                <w:sz w:val="20"/>
                <w:szCs w:val="20"/>
              </w:rPr>
              <w:t xml:space="preserve">[new] The condition must require daily, continuous, long term </w:t>
            </w:r>
            <w:r w:rsidR="00B82CCE">
              <w:rPr>
                <w:rFonts w:ascii="Arial Narrow" w:hAnsi="Arial Narrow" w:cs="Arial"/>
                <w:sz w:val="20"/>
                <w:szCs w:val="20"/>
              </w:rPr>
              <w:t>opioid</w:t>
            </w:r>
            <w:r w:rsidRPr="00F33674">
              <w:rPr>
                <w:rFonts w:ascii="Arial Narrow" w:hAnsi="Arial Narrow" w:cs="Arial"/>
                <w:sz w:val="20"/>
                <w:szCs w:val="20"/>
              </w:rPr>
              <w:t xml:space="preserve"> treatment</w:t>
            </w:r>
          </w:p>
          <w:p w14:paraId="442E24CE" w14:textId="77777777" w:rsidR="00F33674" w:rsidRPr="00F33674" w:rsidRDefault="00F33674" w:rsidP="00F33674">
            <w:pPr>
              <w:jc w:val="left"/>
              <w:rPr>
                <w:rFonts w:ascii="Arial Narrow" w:hAnsi="Arial Narrow" w:cs="Arial"/>
                <w:sz w:val="20"/>
                <w:szCs w:val="20"/>
              </w:rPr>
            </w:pPr>
          </w:p>
          <w:p w14:paraId="3946D19F" w14:textId="77777777" w:rsidR="00F33674" w:rsidRPr="00F33674" w:rsidRDefault="00F33674" w:rsidP="00F33674">
            <w:pPr>
              <w:jc w:val="left"/>
              <w:rPr>
                <w:rFonts w:ascii="Arial Narrow" w:hAnsi="Arial Narrow" w:cs="Arial"/>
                <w:sz w:val="20"/>
                <w:szCs w:val="20"/>
              </w:rPr>
            </w:pPr>
            <w:r w:rsidRPr="00F33674">
              <w:rPr>
                <w:rFonts w:ascii="Arial Narrow" w:hAnsi="Arial Narrow" w:cs="Arial"/>
                <w:sz w:val="20"/>
                <w:szCs w:val="20"/>
              </w:rPr>
              <w:t>AND</w:t>
            </w:r>
          </w:p>
          <w:p w14:paraId="6CE491FB" w14:textId="77777777" w:rsidR="00F33674" w:rsidRPr="00F33674" w:rsidRDefault="00F33674" w:rsidP="00F33674">
            <w:pPr>
              <w:jc w:val="left"/>
              <w:rPr>
                <w:rFonts w:ascii="Arial Narrow" w:hAnsi="Arial Narrow" w:cs="Arial"/>
                <w:sz w:val="20"/>
                <w:szCs w:val="20"/>
              </w:rPr>
            </w:pPr>
          </w:p>
          <w:p w14:paraId="17C1467E" w14:textId="0D9EE046" w:rsidR="00F33674" w:rsidRPr="00F33674" w:rsidRDefault="00F33674" w:rsidP="00F33674">
            <w:pPr>
              <w:jc w:val="left"/>
              <w:rPr>
                <w:rFonts w:ascii="Arial Narrow" w:hAnsi="Arial Narrow" w:cs="Arial"/>
                <w:sz w:val="20"/>
                <w:szCs w:val="20"/>
              </w:rPr>
            </w:pPr>
            <w:r w:rsidRPr="00F33674">
              <w:rPr>
                <w:rFonts w:ascii="Arial Narrow" w:hAnsi="Arial Narrow" w:cs="Arial"/>
                <w:sz w:val="20"/>
                <w:szCs w:val="20"/>
              </w:rPr>
              <w:t xml:space="preserve">[18096] Patient must </w:t>
            </w:r>
            <w:r w:rsidR="00987201">
              <w:rPr>
                <w:rFonts w:ascii="Arial Narrow" w:hAnsi="Arial Narrow" w:cs="Arial"/>
                <w:sz w:val="20"/>
                <w:szCs w:val="20"/>
              </w:rPr>
              <w:t xml:space="preserve">have </w:t>
            </w:r>
            <w:r w:rsidRPr="00F33674">
              <w:rPr>
                <w:rFonts w:ascii="Arial Narrow" w:hAnsi="Arial Narrow" w:cs="Arial"/>
                <w:sz w:val="20"/>
                <w:szCs w:val="20"/>
              </w:rPr>
              <w:t>cancer</w:t>
            </w:r>
            <w:r w:rsidR="00B82CCE">
              <w:rPr>
                <w:rFonts w:ascii="Arial Narrow" w:hAnsi="Arial Narrow" w:cs="Arial"/>
                <w:sz w:val="20"/>
                <w:szCs w:val="20"/>
              </w:rPr>
              <w:t xml:space="preserve"> pain</w:t>
            </w:r>
          </w:p>
          <w:p w14:paraId="6CBA106F" w14:textId="77777777" w:rsidR="00F33674" w:rsidRPr="00F33674" w:rsidRDefault="00F33674" w:rsidP="00F33674">
            <w:pPr>
              <w:jc w:val="left"/>
              <w:rPr>
                <w:rFonts w:ascii="Arial Narrow" w:hAnsi="Arial Narrow" w:cs="Arial"/>
                <w:sz w:val="20"/>
                <w:szCs w:val="20"/>
              </w:rPr>
            </w:pPr>
            <w:r w:rsidRPr="00F33674">
              <w:rPr>
                <w:rFonts w:ascii="Arial Narrow" w:hAnsi="Arial Narrow" w:cs="Arial"/>
                <w:sz w:val="20"/>
                <w:szCs w:val="20"/>
              </w:rPr>
              <w:t>OR</w:t>
            </w:r>
          </w:p>
          <w:p w14:paraId="39156929" w14:textId="010AC3C2" w:rsidR="00F33674" w:rsidRPr="00F33674" w:rsidRDefault="00F33674" w:rsidP="00F33674">
            <w:pPr>
              <w:jc w:val="left"/>
              <w:rPr>
                <w:rFonts w:ascii="Arial Narrow" w:hAnsi="Arial Narrow" w:cs="Arial"/>
                <w:sz w:val="20"/>
                <w:szCs w:val="20"/>
              </w:rPr>
            </w:pPr>
            <w:r w:rsidRPr="00F33674">
              <w:rPr>
                <w:rFonts w:ascii="Arial Narrow" w:hAnsi="Arial Narrow" w:cs="Arial"/>
                <w:sz w:val="20"/>
                <w:szCs w:val="20"/>
              </w:rPr>
              <w:t>[new] Patient must have</w:t>
            </w:r>
            <w:r w:rsidR="00B82CCE">
              <w:rPr>
                <w:rFonts w:ascii="Arial Narrow" w:hAnsi="Arial Narrow" w:cs="Arial"/>
                <w:sz w:val="20"/>
                <w:szCs w:val="20"/>
              </w:rPr>
              <w:t xml:space="preserve"> had or would have</w:t>
            </w:r>
            <w:r w:rsidRPr="00F33674">
              <w:rPr>
                <w:rFonts w:ascii="Arial Narrow" w:hAnsi="Arial Narrow" w:cs="Arial"/>
                <w:sz w:val="20"/>
                <w:szCs w:val="20"/>
              </w:rPr>
              <w:t xml:space="preserve"> inadequate </w:t>
            </w:r>
            <w:r w:rsidR="00B82CCE">
              <w:rPr>
                <w:rFonts w:ascii="Arial Narrow" w:hAnsi="Arial Narrow" w:cs="Arial"/>
                <w:sz w:val="20"/>
                <w:szCs w:val="20"/>
              </w:rPr>
              <w:t xml:space="preserve">pain </w:t>
            </w:r>
            <w:r w:rsidRPr="00F33674">
              <w:rPr>
                <w:rFonts w:ascii="Arial Narrow" w:hAnsi="Arial Narrow" w:cs="Arial"/>
                <w:sz w:val="20"/>
                <w:szCs w:val="20"/>
              </w:rPr>
              <w:t xml:space="preserve">management </w:t>
            </w:r>
            <w:r w:rsidR="00B82CCE">
              <w:rPr>
                <w:rFonts w:ascii="Arial Narrow" w:hAnsi="Arial Narrow" w:cs="Arial"/>
                <w:sz w:val="20"/>
                <w:szCs w:val="20"/>
              </w:rPr>
              <w:t>with</w:t>
            </w:r>
            <w:r w:rsidRPr="00F33674">
              <w:rPr>
                <w:rFonts w:ascii="Arial Narrow" w:hAnsi="Arial Narrow" w:cs="Arial"/>
                <w:sz w:val="20"/>
                <w:szCs w:val="20"/>
              </w:rPr>
              <w:t xml:space="preserve"> maximum tolerated doses of non-opioid or other opioid analgesics</w:t>
            </w:r>
          </w:p>
          <w:p w14:paraId="05702709" w14:textId="77777777" w:rsidR="00F33674" w:rsidRPr="00F33674" w:rsidRDefault="00F33674" w:rsidP="00F33674">
            <w:pPr>
              <w:jc w:val="left"/>
              <w:rPr>
                <w:rFonts w:ascii="Arial Narrow" w:hAnsi="Arial Narrow" w:cs="Arial"/>
                <w:sz w:val="20"/>
                <w:szCs w:val="20"/>
              </w:rPr>
            </w:pPr>
            <w:r w:rsidRPr="00F33674">
              <w:rPr>
                <w:rFonts w:ascii="Arial Narrow" w:hAnsi="Arial Narrow" w:cs="Arial"/>
                <w:sz w:val="20"/>
                <w:szCs w:val="20"/>
              </w:rPr>
              <w:t>OR</w:t>
            </w:r>
          </w:p>
          <w:p w14:paraId="625A9731" w14:textId="3A762962" w:rsidR="00F33674" w:rsidRPr="00F33674" w:rsidRDefault="00F33674">
            <w:pPr>
              <w:jc w:val="left"/>
              <w:rPr>
                <w:rFonts w:ascii="Arial Narrow" w:hAnsi="Arial Narrow" w:cs="Arial"/>
                <w:sz w:val="20"/>
                <w:szCs w:val="20"/>
              </w:rPr>
            </w:pPr>
            <w:r w:rsidRPr="00F33674">
              <w:rPr>
                <w:rFonts w:ascii="Arial Narrow" w:hAnsi="Arial Narrow" w:cs="Arial"/>
                <w:sz w:val="20"/>
                <w:szCs w:val="20"/>
              </w:rPr>
              <w:t>[new] Patient must be unable to use non-opioid or other opioid analgesics due to contraindications or intolerance.</w:t>
            </w:r>
          </w:p>
        </w:tc>
      </w:tr>
      <w:tr w:rsidR="00F33674" w:rsidRPr="00F33674" w14:paraId="2A40D7F9" w14:textId="77777777" w:rsidTr="00F33674">
        <w:trPr>
          <w:cantSplit/>
          <w:trHeight w:val="360"/>
        </w:trPr>
        <w:tc>
          <w:tcPr>
            <w:tcW w:w="2835" w:type="dxa"/>
            <w:tcBorders>
              <w:top w:val="single" w:sz="4" w:space="0" w:color="auto"/>
              <w:left w:val="single" w:sz="4" w:space="0" w:color="auto"/>
              <w:bottom w:val="single" w:sz="4" w:space="0" w:color="auto"/>
              <w:right w:val="single" w:sz="4" w:space="0" w:color="auto"/>
            </w:tcBorders>
          </w:tcPr>
          <w:p w14:paraId="37C699F0" w14:textId="77777777" w:rsidR="00F33674" w:rsidRPr="00F33674" w:rsidRDefault="00F33674" w:rsidP="00F33674">
            <w:pPr>
              <w:rPr>
                <w:rFonts w:ascii="Arial Narrow" w:hAnsi="Arial Narrow" w:cs="Arial"/>
                <w:b/>
                <w:sz w:val="20"/>
                <w:szCs w:val="20"/>
              </w:rPr>
            </w:pPr>
            <w:r w:rsidRPr="00F33674">
              <w:rPr>
                <w:rFonts w:ascii="Arial Narrow" w:hAnsi="Arial Narrow" w:cs="Arial"/>
                <w:b/>
                <w:sz w:val="20"/>
                <w:szCs w:val="20"/>
              </w:rPr>
              <w:t>Prescriber instruction:</w:t>
            </w:r>
          </w:p>
        </w:tc>
        <w:tc>
          <w:tcPr>
            <w:tcW w:w="6379" w:type="dxa"/>
            <w:tcBorders>
              <w:top w:val="single" w:sz="4" w:space="0" w:color="auto"/>
              <w:left w:val="single" w:sz="4" w:space="0" w:color="auto"/>
              <w:bottom w:val="single" w:sz="4" w:space="0" w:color="auto"/>
              <w:right w:val="single" w:sz="4" w:space="0" w:color="auto"/>
            </w:tcBorders>
          </w:tcPr>
          <w:p w14:paraId="46F28C64" w14:textId="4D47034A" w:rsidR="00F33674" w:rsidRPr="00F33674" w:rsidRDefault="00F33674" w:rsidP="00193259">
            <w:pPr>
              <w:jc w:val="left"/>
              <w:rPr>
                <w:rFonts w:ascii="Arial Narrow" w:hAnsi="Arial Narrow" w:cs="Arial"/>
                <w:sz w:val="20"/>
                <w:szCs w:val="20"/>
              </w:rPr>
            </w:pPr>
            <w:r w:rsidRPr="00F33674">
              <w:rPr>
                <w:rFonts w:ascii="Arial Narrow" w:hAnsi="Arial Narrow" w:cs="Arial"/>
                <w:sz w:val="20"/>
                <w:szCs w:val="20"/>
              </w:rPr>
              <w:t>[new] Authorities for increased maximum quantities and/or repeats</w:t>
            </w:r>
            <w:r w:rsidR="002C1329">
              <w:rPr>
                <w:rFonts w:ascii="Arial Narrow" w:hAnsi="Arial Narrow" w:cs="Arial"/>
                <w:sz w:val="20"/>
                <w:szCs w:val="20"/>
              </w:rPr>
              <w:t xml:space="preserve"> under this restriction</w:t>
            </w:r>
            <w:r w:rsidRPr="00F33674">
              <w:rPr>
                <w:rFonts w:ascii="Arial Narrow" w:hAnsi="Arial Narrow" w:cs="Arial"/>
                <w:sz w:val="20"/>
                <w:szCs w:val="20"/>
              </w:rPr>
              <w:t xml:space="preserve"> </w:t>
            </w:r>
            <w:proofErr w:type="gramStart"/>
            <w:r w:rsidRPr="00F33674">
              <w:rPr>
                <w:rFonts w:ascii="Arial Narrow" w:hAnsi="Arial Narrow" w:cs="Arial"/>
                <w:sz w:val="20"/>
                <w:szCs w:val="20"/>
              </w:rPr>
              <w:t>will be granted</w:t>
            </w:r>
            <w:proofErr w:type="gramEnd"/>
            <w:r w:rsidRPr="00F33674">
              <w:rPr>
                <w:rFonts w:ascii="Arial Narrow" w:hAnsi="Arial Narrow" w:cs="Arial"/>
                <w:sz w:val="20"/>
                <w:szCs w:val="20"/>
              </w:rPr>
              <w:t xml:space="preserve"> only for chronic severe disabling pain</w:t>
            </w:r>
            <w:r w:rsidR="002C1329">
              <w:rPr>
                <w:rFonts w:ascii="Arial Narrow" w:hAnsi="Arial Narrow" w:cs="Arial"/>
                <w:sz w:val="20"/>
                <w:szCs w:val="20"/>
              </w:rPr>
              <w:t xml:space="preserve"> </w:t>
            </w:r>
            <w:r w:rsidRPr="00F33674">
              <w:rPr>
                <w:rFonts w:ascii="Arial Narrow" w:hAnsi="Arial Narrow" w:cs="Arial"/>
                <w:sz w:val="20"/>
                <w:szCs w:val="20"/>
              </w:rPr>
              <w:t>where the total duration of non-PBS and PBS subsidised opioid analgesic treatment is less than 12 months.</w:t>
            </w:r>
          </w:p>
          <w:p w14:paraId="6200B337" w14:textId="77777777" w:rsidR="00F33674" w:rsidRPr="00F33674" w:rsidRDefault="00F33674" w:rsidP="00F33674">
            <w:pPr>
              <w:jc w:val="left"/>
              <w:rPr>
                <w:rFonts w:ascii="Arial Narrow" w:hAnsi="Arial Narrow" w:cs="Arial"/>
                <w:sz w:val="20"/>
                <w:szCs w:val="20"/>
              </w:rPr>
            </w:pPr>
          </w:p>
          <w:p w14:paraId="4FE82B7B" w14:textId="77777777" w:rsidR="00F33674" w:rsidRPr="00F33674" w:rsidRDefault="00F33674" w:rsidP="00F33674">
            <w:pPr>
              <w:jc w:val="left"/>
              <w:rPr>
                <w:rFonts w:ascii="Arial Narrow" w:hAnsi="Arial Narrow" w:cs="Arial"/>
                <w:sz w:val="20"/>
                <w:szCs w:val="20"/>
              </w:rPr>
            </w:pPr>
            <w:r w:rsidRPr="00F33674">
              <w:rPr>
                <w:rFonts w:ascii="Arial Narrow" w:hAnsi="Arial Narrow" w:cs="Arial"/>
                <w:sz w:val="20"/>
                <w:szCs w:val="20"/>
              </w:rPr>
              <w:t>[new] Authority requests extending treatment duration up to 1 month may be requested though the Online PBS Authorities system or by calling Services Australia.</w:t>
            </w:r>
          </w:p>
          <w:p w14:paraId="18D8FA1C" w14:textId="77777777" w:rsidR="00F33674" w:rsidRPr="00F33674" w:rsidRDefault="00F33674" w:rsidP="00F33674">
            <w:pPr>
              <w:jc w:val="left"/>
              <w:rPr>
                <w:rFonts w:ascii="Arial Narrow" w:hAnsi="Arial Narrow" w:cs="Arial"/>
                <w:sz w:val="20"/>
                <w:szCs w:val="20"/>
              </w:rPr>
            </w:pPr>
          </w:p>
          <w:p w14:paraId="56FFB147" w14:textId="38560ADF" w:rsidR="00F33674" w:rsidRPr="00F33674" w:rsidRDefault="00F33674">
            <w:pPr>
              <w:jc w:val="left"/>
              <w:rPr>
                <w:rFonts w:ascii="Arial Narrow" w:hAnsi="Arial Narrow" w:cs="Arial"/>
                <w:sz w:val="20"/>
                <w:szCs w:val="20"/>
              </w:rPr>
            </w:pPr>
            <w:r w:rsidRPr="00F33674">
              <w:rPr>
                <w:rFonts w:ascii="Arial Narrow" w:hAnsi="Arial Narrow" w:cs="Arial"/>
                <w:sz w:val="20"/>
                <w:szCs w:val="20"/>
              </w:rPr>
              <w:t xml:space="preserve">Authority requests extending treatment duration beyond 1 month </w:t>
            </w:r>
            <w:r w:rsidR="002C1329" w:rsidRPr="002C1329">
              <w:rPr>
                <w:rFonts w:ascii="Arial Narrow" w:hAnsi="Arial Narrow" w:cs="Arial"/>
                <w:sz w:val="20"/>
                <w:szCs w:val="20"/>
              </w:rPr>
              <w:t>may be requested through the Online PBS Authorities system</w:t>
            </w:r>
            <w:r w:rsidRPr="00F33674">
              <w:rPr>
                <w:rFonts w:ascii="Arial Narrow" w:hAnsi="Arial Narrow" w:cs="Arial"/>
                <w:sz w:val="20"/>
                <w:szCs w:val="20"/>
              </w:rPr>
              <w:t xml:space="preserve"> or in writing only and must not provide a treatment duration exceeding 3 months</w:t>
            </w:r>
            <w:r w:rsidR="002C1329">
              <w:rPr>
                <w:rFonts w:ascii="Arial Narrow" w:hAnsi="Arial Narrow" w:cs="Arial"/>
                <w:sz w:val="20"/>
                <w:szCs w:val="20"/>
              </w:rPr>
              <w:t xml:space="preserve"> (</w:t>
            </w:r>
            <w:r w:rsidR="002C1329" w:rsidRPr="002C1329">
              <w:rPr>
                <w:rFonts w:ascii="Arial Narrow" w:hAnsi="Arial Narrow" w:cs="Arial"/>
                <w:sz w:val="20"/>
                <w:szCs w:val="20"/>
              </w:rPr>
              <w:t xml:space="preserve">quantity sufficient for up to </w:t>
            </w:r>
            <w:proofErr w:type="gramStart"/>
            <w:r w:rsidR="002C1329" w:rsidRPr="002C1329">
              <w:rPr>
                <w:rFonts w:ascii="Arial Narrow" w:hAnsi="Arial Narrow" w:cs="Arial"/>
                <w:sz w:val="20"/>
                <w:szCs w:val="20"/>
              </w:rPr>
              <w:t>1 month</w:t>
            </w:r>
            <w:proofErr w:type="gramEnd"/>
            <w:r w:rsidR="002C1329" w:rsidRPr="002C1329">
              <w:rPr>
                <w:rFonts w:ascii="Arial Narrow" w:hAnsi="Arial Narrow" w:cs="Arial"/>
                <w:sz w:val="20"/>
                <w:szCs w:val="20"/>
              </w:rPr>
              <w:t xml:space="preserve"> treatment and sufficient repeats)</w:t>
            </w:r>
            <w:r w:rsidRPr="00F33674">
              <w:rPr>
                <w:rFonts w:ascii="Arial Narrow" w:hAnsi="Arial Narrow" w:cs="Arial"/>
                <w:sz w:val="20"/>
                <w:szCs w:val="20"/>
              </w:rPr>
              <w:t>.</w:t>
            </w:r>
          </w:p>
        </w:tc>
      </w:tr>
      <w:tr w:rsidR="00F33674" w:rsidRPr="00F33674" w14:paraId="00EAF4CD" w14:textId="77777777" w:rsidTr="00F33674">
        <w:trPr>
          <w:cantSplit/>
          <w:trHeight w:val="360"/>
        </w:trPr>
        <w:tc>
          <w:tcPr>
            <w:tcW w:w="2835" w:type="dxa"/>
            <w:tcBorders>
              <w:top w:val="single" w:sz="4" w:space="0" w:color="auto"/>
              <w:left w:val="single" w:sz="4" w:space="0" w:color="auto"/>
              <w:bottom w:val="single" w:sz="4" w:space="0" w:color="auto"/>
              <w:right w:val="single" w:sz="4" w:space="0" w:color="auto"/>
            </w:tcBorders>
          </w:tcPr>
          <w:p w14:paraId="14AA2382" w14:textId="77777777" w:rsidR="00F33674" w:rsidRPr="00F33674" w:rsidRDefault="00F33674" w:rsidP="00F33674">
            <w:pPr>
              <w:rPr>
                <w:rFonts w:ascii="Arial Narrow" w:hAnsi="Arial Narrow" w:cs="Arial"/>
                <w:b/>
                <w:sz w:val="20"/>
                <w:szCs w:val="20"/>
              </w:rPr>
            </w:pPr>
            <w:r w:rsidRPr="00F33674">
              <w:rPr>
                <w:rFonts w:ascii="Arial Narrow" w:hAnsi="Arial Narrow" w:cs="Arial"/>
                <w:b/>
                <w:sz w:val="20"/>
                <w:szCs w:val="20"/>
              </w:rPr>
              <w:lastRenderedPageBreak/>
              <w:t>Administrative advice:</w:t>
            </w:r>
          </w:p>
        </w:tc>
        <w:tc>
          <w:tcPr>
            <w:tcW w:w="6379" w:type="dxa"/>
            <w:tcBorders>
              <w:top w:val="single" w:sz="4" w:space="0" w:color="auto"/>
              <w:left w:val="single" w:sz="4" w:space="0" w:color="auto"/>
              <w:bottom w:val="single" w:sz="4" w:space="0" w:color="auto"/>
              <w:right w:val="single" w:sz="4" w:space="0" w:color="auto"/>
            </w:tcBorders>
          </w:tcPr>
          <w:p w14:paraId="5E20E09B" w14:textId="77777777" w:rsidR="00F33674" w:rsidRPr="00F33674" w:rsidRDefault="00F33674" w:rsidP="00F33674">
            <w:pPr>
              <w:jc w:val="left"/>
              <w:rPr>
                <w:rFonts w:ascii="Arial Narrow" w:hAnsi="Arial Narrow" w:cs="Arial"/>
                <w:sz w:val="20"/>
                <w:szCs w:val="20"/>
              </w:rPr>
            </w:pPr>
            <w:r w:rsidRPr="00F33674">
              <w:rPr>
                <w:rFonts w:ascii="Arial Narrow" w:hAnsi="Arial Narrow" w:cs="Arial"/>
                <w:sz w:val="20"/>
                <w:szCs w:val="20"/>
              </w:rPr>
              <w:t>[new] This treatment is not suitable for ‘as-required’ pain relief.</w:t>
            </w:r>
          </w:p>
          <w:p w14:paraId="2E5584DC" w14:textId="77777777" w:rsidR="00F33674" w:rsidRPr="00F33674" w:rsidRDefault="00F33674" w:rsidP="00F33674">
            <w:pPr>
              <w:jc w:val="left"/>
              <w:rPr>
                <w:rFonts w:ascii="Arial Narrow" w:hAnsi="Arial Narrow" w:cs="Arial"/>
                <w:sz w:val="20"/>
                <w:szCs w:val="20"/>
              </w:rPr>
            </w:pPr>
          </w:p>
          <w:p w14:paraId="21D6AAA4" w14:textId="77777777" w:rsidR="00F33674" w:rsidRPr="00F33674" w:rsidRDefault="00F33674" w:rsidP="00F33674">
            <w:pPr>
              <w:jc w:val="left"/>
              <w:rPr>
                <w:rFonts w:ascii="Arial Narrow" w:hAnsi="Arial Narrow" w:cs="Arial"/>
                <w:sz w:val="20"/>
                <w:szCs w:val="20"/>
              </w:rPr>
            </w:pPr>
            <w:r w:rsidRPr="00F33674">
              <w:rPr>
                <w:rFonts w:ascii="Arial Narrow" w:hAnsi="Arial Narrow" w:cs="Arial"/>
                <w:sz w:val="20"/>
                <w:szCs w:val="20"/>
              </w:rPr>
              <w:t xml:space="preserve">[7901] Shared Care Model: For prescribing by nurse practitioners where care of a patient </w:t>
            </w:r>
            <w:proofErr w:type="gramStart"/>
            <w:r w:rsidRPr="00F33674">
              <w:rPr>
                <w:rFonts w:ascii="Arial Narrow" w:hAnsi="Arial Narrow" w:cs="Arial"/>
                <w:sz w:val="20"/>
                <w:szCs w:val="20"/>
              </w:rPr>
              <w:t>is shared</w:t>
            </w:r>
            <w:proofErr w:type="gramEnd"/>
            <w:r w:rsidRPr="00F33674">
              <w:rPr>
                <w:rFonts w:ascii="Arial Narrow" w:hAnsi="Arial Narrow" w:cs="Arial"/>
                <w:sz w:val="20"/>
                <w:szCs w:val="20"/>
              </w:rPr>
              <w:t xml:space="preserve"> between a nurse practitioner and medical practitioner in a formalised arrangement with an agreed management plan. Further information </w:t>
            </w:r>
            <w:proofErr w:type="gramStart"/>
            <w:r w:rsidRPr="00F33674">
              <w:rPr>
                <w:rFonts w:ascii="Arial Narrow" w:hAnsi="Arial Narrow" w:cs="Arial"/>
                <w:sz w:val="20"/>
                <w:szCs w:val="20"/>
              </w:rPr>
              <w:t>can be found</w:t>
            </w:r>
            <w:proofErr w:type="gramEnd"/>
            <w:r w:rsidRPr="00F33674">
              <w:rPr>
                <w:rFonts w:ascii="Arial Narrow" w:hAnsi="Arial Narrow" w:cs="Arial"/>
                <w:sz w:val="20"/>
                <w:szCs w:val="20"/>
              </w:rPr>
              <w:t xml:space="preserve"> in the Explanatory Notes for Nurse Practitioners.</w:t>
            </w:r>
          </w:p>
          <w:p w14:paraId="435D0A54" w14:textId="77777777" w:rsidR="00F33674" w:rsidRPr="00F33674" w:rsidRDefault="00F33674" w:rsidP="00F33674">
            <w:pPr>
              <w:jc w:val="left"/>
              <w:rPr>
                <w:rFonts w:ascii="Arial Narrow" w:hAnsi="Arial Narrow" w:cs="Arial"/>
                <w:sz w:val="20"/>
                <w:szCs w:val="20"/>
              </w:rPr>
            </w:pPr>
          </w:p>
          <w:p w14:paraId="63620D8F" w14:textId="77777777" w:rsidR="00F33674" w:rsidRPr="00F33674" w:rsidRDefault="00F33674" w:rsidP="00F33674">
            <w:pPr>
              <w:jc w:val="left"/>
              <w:rPr>
                <w:rFonts w:ascii="Arial Narrow" w:hAnsi="Arial Narrow" w:cs="Arial"/>
                <w:sz w:val="20"/>
                <w:szCs w:val="20"/>
              </w:rPr>
            </w:pPr>
            <w:r w:rsidRPr="00F33674">
              <w:rPr>
                <w:rFonts w:ascii="Arial Narrow" w:hAnsi="Arial Narrow" w:cs="Arial"/>
                <w:sz w:val="20"/>
                <w:szCs w:val="20"/>
              </w:rPr>
              <w:t>[new] Real time online applications for increased maximum quantities/repeats may be made using the Online PBS Authorities system (see www.servicesaustralia.gov.au/organisations/health-professionals/services/medicare/hpos/services/request-authority-using-online-pbs-authorities-hpos)</w:t>
            </w:r>
          </w:p>
          <w:p w14:paraId="43AF0702" w14:textId="77777777" w:rsidR="00F33674" w:rsidRPr="00F33674" w:rsidRDefault="00F33674" w:rsidP="00F33674">
            <w:pPr>
              <w:jc w:val="left"/>
              <w:rPr>
                <w:rFonts w:ascii="Arial Narrow" w:hAnsi="Arial Narrow" w:cs="Arial"/>
                <w:sz w:val="20"/>
                <w:szCs w:val="20"/>
              </w:rPr>
            </w:pPr>
          </w:p>
          <w:p w14:paraId="2CACAC52" w14:textId="57EBD072" w:rsidR="00F33674" w:rsidRPr="00F33674" w:rsidRDefault="00F33674" w:rsidP="00F33674">
            <w:pPr>
              <w:jc w:val="left"/>
              <w:rPr>
                <w:rFonts w:ascii="Arial Narrow" w:hAnsi="Arial Narrow" w:cs="Arial"/>
                <w:sz w:val="20"/>
                <w:szCs w:val="20"/>
              </w:rPr>
            </w:pPr>
            <w:r w:rsidRPr="00F33674">
              <w:rPr>
                <w:rFonts w:ascii="Arial Narrow" w:hAnsi="Arial Narrow" w:cs="Arial"/>
                <w:sz w:val="20"/>
                <w:szCs w:val="20"/>
              </w:rPr>
              <w:t>Phone applications for increased maximum quantities/repeats may be made by calling 1800 888 333.</w:t>
            </w:r>
          </w:p>
          <w:p w14:paraId="775BA266" w14:textId="77777777" w:rsidR="00F33674" w:rsidRPr="00F33674" w:rsidRDefault="00F33674" w:rsidP="00F33674">
            <w:pPr>
              <w:jc w:val="left"/>
              <w:rPr>
                <w:rFonts w:ascii="Arial Narrow" w:hAnsi="Arial Narrow" w:cs="Arial"/>
                <w:sz w:val="20"/>
                <w:szCs w:val="20"/>
              </w:rPr>
            </w:pPr>
          </w:p>
          <w:p w14:paraId="11721061" w14:textId="77777777" w:rsidR="00F33674" w:rsidRPr="00F33674" w:rsidRDefault="00F33674" w:rsidP="00F33674">
            <w:pPr>
              <w:jc w:val="left"/>
              <w:rPr>
                <w:rFonts w:ascii="Arial Narrow" w:hAnsi="Arial Narrow" w:cs="Arial"/>
                <w:sz w:val="20"/>
                <w:szCs w:val="20"/>
              </w:rPr>
            </w:pPr>
            <w:r w:rsidRPr="00F33674">
              <w:rPr>
                <w:rFonts w:ascii="Arial Narrow" w:hAnsi="Arial Narrow" w:cs="Arial"/>
                <w:sz w:val="20"/>
                <w:szCs w:val="20"/>
              </w:rPr>
              <w:t>Written authority applications for increased maximum quantities/repeats can be uploaded online through HPOS form upload or mailed to:</w:t>
            </w:r>
          </w:p>
          <w:p w14:paraId="5FEB0D50" w14:textId="77777777" w:rsidR="00F33674" w:rsidRPr="00F33674" w:rsidRDefault="00F33674" w:rsidP="00F33674">
            <w:pPr>
              <w:jc w:val="left"/>
              <w:rPr>
                <w:rFonts w:ascii="Arial Narrow" w:hAnsi="Arial Narrow" w:cs="Arial"/>
                <w:sz w:val="20"/>
                <w:szCs w:val="20"/>
              </w:rPr>
            </w:pPr>
            <w:r w:rsidRPr="00F33674">
              <w:rPr>
                <w:rFonts w:ascii="Arial Narrow" w:hAnsi="Arial Narrow" w:cs="Arial"/>
                <w:sz w:val="20"/>
                <w:szCs w:val="20"/>
              </w:rPr>
              <w:t>Pharmaceutical Benefits Scheme</w:t>
            </w:r>
          </w:p>
          <w:p w14:paraId="576A991E" w14:textId="77777777" w:rsidR="00F33674" w:rsidRPr="00F33674" w:rsidRDefault="00F33674" w:rsidP="00F33674">
            <w:pPr>
              <w:jc w:val="left"/>
              <w:rPr>
                <w:rFonts w:ascii="Arial Narrow" w:hAnsi="Arial Narrow" w:cs="Arial"/>
                <w:sz w:val="20"/>
                <w:szCs w:val="20"/>
              </w:rPr>
            </w:pPr>
            <w:r w:rsidRPr="00F33674">
              <w:rPr>
                <w:rFonts w:ascii="Arial Narrow" w:hAnsi="Arial Narrow" w:cs="Arial"/>
                <w:sz w:val="20"/>
                <w:szCs w:val="20"/>
              </w:rPr>
              <w:t>Reply Paid 9857</w:t>
            </w:r>
          </w:p>
          <w:p w14:paraId="2F80F2AF" w14:textId="77777777" w:rsidR="00F33674" w:rsidRPr="00F33674" w:rsidRDefault="00F33674" w:rsidP="00F33674">
            <w:pPr>
              <w:jc w:val="left"/>
              <w:rPr>
                <w:rFonts w:ascii="Arial Narrow" w:hAnsi="Arial Narrow" w:cs="Arial"/>
                <w:i/>
                <w:sz w:val="20"/>
                <w:szCs w:val="20"/>
              </w:rPr>
            </w:pPr>
            <w:r w:rsidRPr="00F33674">
              <w:rPr>
                <w:rFonts w:ascii="Arial Narrow" w:hAnsi="Arial Narrow" w:cs="Arial"/>
                <w:sz w:val="20"/>
                <w:szCs w:val="20"/>
              </w:rPr>
              <w:t>[Your capital city]</w:t>
            </w:r>
          </w:p>
        </w:tc>
      </w:tr>
      <w:tr w:rsidR="00F33674" w:rsidRPr="00F33674" w14:paraId="4BD502D1" w14:textId="77777777" w:rsidTr="00F33674">
        <w:trPr>
          <w:cantSplit/>
          <w:trHeight w:val="360"/>
        </w:trPr>
        <w:tc>
          <w:tcPr>
            <w:tcW w:w="2835" w:type="dxa"/>
            <w:tcBorders>
              <w:top w:val="single" w:sz="4" w:space="0" w:color="auto"/>
              <w:left w:val="single" w:sz="4" w:space="0" w:color="auto"/>
              <w:bottom w:val="single" w:sz="4" w:space="0" w:color="auto"/>
              <w:right w:val="single" w:sz="4" w:space="0" w:color="auto"/>
            </w:tcBorders>
          </w:tcPr>
          <w:p w14:paraId="50BE0C0D" w14:textId="77777777" w:rsidR="00F33674" w:rsidRPr="00F33674" w:rsidRDefault="00F33674" w:rsidP="00F33674">
            <w:pPr>
              <w:rPr>
                <w:rFonts w:ascii="Arial Narrow" w:hAnsi="Arial Narrow" w:cs="Arial"/>
                <w:b/>
                <w:sz w:val="20"/>
                <w:szCs w:val="20"/>
              </w:rPr>
            </w:pPr>
            <w:r w:rsidRPr="00F33674">
              <w:rPr>
                <w:rFonts w:ascii="Arial Narrow" w:hAnsi="Arial Narrow" w:cs="Arial"/>
                <w:b/>
                <w:sz w:val="20"/>
                <w:szCs w:val="20"/>
              </w:rPr>
              <w:t>Cautions:</w:t>
            </w:r>
          </w:p>
        </w:tc>
        <w:tc>
          <w:tcPr>
            <w:tcW w:w="6379" w:type="dxa"/>
            <w:tcBorders>
              <w:top w:val="single" w:sz="4" w:space="0" w:color="auto"/>
              <w:left w:val="single" w:sz="4" w:space="0" w:color="auto"/>
              <w:bottom w:val="single" w:sz="4" w:space="0" w:color="auto"/>
              <w:right w:val="single" w:sz="4" w:space="0" w:color="auto"/>
            </w:tcBorders>
          </w:tcPr>
          <w:p w14:paraId="25E135AD" w14:textId="77777777" w:rsidR="00F33674" w:rsidRPr="00F33674" w:rsidRDefault="00F33674" w:rsidP="00F33674">
            <w:pPr>
              <w:jc w:val="left"/>
              <w:rPr>
                <w:rFonts w:ascii="Arial Narrow" w:hAnsi="Arial Narrow" w:cs="Arial"/>
                <w:sz w:val="20"/>
                <w:szCs w:val="20"/>
              </w:rPr>
            </w:pPr>
            <w:r w:rsidRPr="00F33674">
              <w:rPr>
                <w:rFonts w:ascii="Arial Narrow" w:hAnsi="Arial Narrow" w:cs="Arial"/>
                <w:sz w:val="20"/>
                <w:szCs w:val="20"/>
              </w:rPr>
              <w:t>[6986] The risk of drug dependence is high.</w:t>
            </w:r>
          </w:p>
        </w:tc>
      </w:tr>
    </w:tbl>
    <w:p w14:paraId="299A7D16" w14:textId="77777777" w:rsidR="00CB71CC" w:rsidRDefault="00CB71CC" w:rsidP="00CB71CC">
      <w:pPr>
        <w:pStyle w:val="3-BodyText"/>
        <w:numPr>
          <w:ilvl w:val="0"/>
          <w:numId w:val="0"/>
        </w:numPr>
        <w:ind w:left="720"/>
      </w:pPr>
    </w:p>
    <w:tbl>
      <w:tblPr>
        <w:tblW w:w="9214" w:type="dxa"/>
        <w:tblInd w:w="-5" w:type="dxa"/>
        <w:tblLayout w:type="fixed"/>
        <w:tblLook w:val="0000" w:firstRow="0" w:lastRow="0" w:firstColumn="0" w:lastColumn="0" w:noHBand="0" w:noVBand="0"/>
      </w:tblPr>
      <w:tblGrid>
        <w:gridCol w:w="2835"/>
        <w:gridCol w:w="6379"/>
      </w:tblGrid>
      <w:tr w:rsidR="002C1329" w:rsidRPr="00F33674" w14:paraId="20160FA3" w14:textId="77777777" w:rsidTr="00E41546">
        <w:trPr>
          <w:cantSplit/>
          <w:trHeight w:val="360"/>
        </w:trPr>
        <w:tc>
          <w:tcPr>
            <w:tcW w:w="2835" w:type="dxa"/>
            <w:tcBorders>
              <w:top w:val="single" w:sz="4" w:space="0" w:color="auto"/>
              <w:left w:val="single" w:sz="4" w:space="0" w:color="auto"/>
              <w:bottom w:val="single" w:sz="4" w:space="0" w:color="auto"/>
              <w:right w:val="single" w:sz="4" w:space="0" w:color="auto"/>
            </w:tcBorders>
          </w:tcPr>
          <w:p w14:paraId="42179F68" w14:textId="77777777" w:rsidR="002C1329" w:rsidRPr="00F33674" w:rsidRDefault="002C1329" w:rsidP="00E41546">
            <w:pPr>
              <w:rPr>
                <w:rFonts w:ascii="Arial Narrow" w:hAnsi="Arial Narrow" w:cs="Arial"/>
                <w:b/>
                <w:sz w:val="20"/>
                <w:szCs w:val="20"/>
              </w:rPr>
            </w:pPr>
            <w:r w:rsidRPr="00F33674">
              <w:rPr>
                <w:rFonts w:ascii="Arial Narrow" w:hAnsi="Arial Narrow" w:cs="Arial"/>
                <w:b/>
                <w:sz w:val="20"/>
                <w:szCs w:val="20"/>
              </w:rPr>
              <w:t>Category / Program:</w:t>
            </w:r>
          </w:p>
        </w:tc>
        <w:tc>
          <w:tcPr>
            <w:tcW w:w="6379" w:type="dxa"/>
            <w:tcBorders>
              <w:top w:val="single" w:sz="4" w:space="0" w:color="auto"/>
              <w:left w:val="single" w:sz="4" w:space="0" w:color="auto"/>
              <w:bottom w:val="single" w:sz="4" w:space="0" w:color="auto"/>
              <w:right w:val="single" w:sz="4" w:space="0" w:color="auto"/>
            </w:tcBorders>
          </w:tcPr>
          <w:p w14:paraId="1F4B1FF7" w14:textId="77777777" w:rsidR="002C1329" w:rsidRPr="00F33674" w:rsidRDefault="002C1329" w:rsidP="00E41546">
            <w:pPr>
              <w:rPr>
                <w:rFonts w:ascii="Arial Narrow" w:hAnsi="Arial Narrow" w:cs="Arial"/>
                <w:sz w:val="20"/>
                <w:szCs w:val="20"/>
              </w:rPr>
            </w:pPr>
            <w:r w:rsidRPr="00F33674">
              <w:rPr>
                <w:rFonts w:ascii="Arial Narrow" w:hAnsi="Arial Narrow" w:cs="Arial"/>
                <w:sz w:val="20"/>
                <w:szCs w:val="20"/>
              </w:rPr>
              <w:t>GENERAL – General Schedule (Code GE)</w:t>
            </w:r>
          </w:p>
        </w:tc>
      </w:tr>
      <w:tr w:rsidR="002C1329" w:rsidRPr="00F33674" w14:paraId="1CB84351" w14:textId="77777777" w:rsidTr="00E41546">
        <w:trPr>
          <w:cantSplit/>
          <w:trHeight w:val="360"/>
        </w:trPr>
        <w:tc>
          <w:tcPr>
            <w:tcW w:w="2835" w:type="dxa"/>
            <w:tcBorders>
              <w:top w:val="single" w:sz="4" w:space="0" w:color="auto"/>
              <w:left w:val="single" w:sz="4" w:space="0" w:color="auto"/>
              <w:bottom w:val="single" w:sz="4" w:space="0" w:color="auto"/>
              <w:right w:val="single" w:sz="4" w:space="0" w:color="auto"/>
            </w:tcBorders>
          </w:tcPr>
          <w:p w14:paraId="0962AFF1" w14:textId="77777777" w:rsidR="002C1329" w:rsidRPr="00F33674" w:rsidRDefault="002C1329" w:rsidP="00E41546">
            <w:pPr>
              <w:rPr>
                <w:rFonts w:ascii="Arial Narrow" w:hAnsi="Arial Narrow" w:cs="Arial"/>
                <w:b/>
                <w:sz w:val="20"/>
                <w:szCs w:val="20"/>
              </w:rPr>
            </w:pPr>
            <w:r w:rsidRPr="00F33674">
              <w:rPr>
                <w:rFonts w:ascii="Arial Narrow" w:hAnsi="Arial Narrow" w:cs="Arial"/>
                <w:b/>
                <w:sz w:val="20"/>
                <w:szCs w:val="20"/>
              </w:rPr>
              <w:t>Prescriber type:</w:t>
            </w:r>
          </w:p>
          <w:p w14:paraId="2A046E38" w14:textId="77777777" w:rsidR="002C1329" w:rsidRPr="00F33674" w:rsidRDefault="002C1329" w:rsidP="00E41546">
            <w:pPr>
              <w:rPr>
                <w:rFonts w:ascii="Arial Narrow" w:hAnsi="Arial Narrow" w:cs="Arial"/>
                <w:b/>
                <w:sz w:val="20"/>
                <w:szCs w:val="20"/>
              </w:rPr>
            </w:pPr>
          </w:p>
        </w:tc>
        <w:tc>
          <w:tcPr>
            <w:tcW w:w="6379" w:type="dxa"/>
            <w:tcBorders>
              <w:top w:val="single" w:sz="4" w:space="0" w:color="auto"/>
              <w:left w:val="single" w:sz="4" w:space="0" w:color="auto"/>
              <w:bottom w:val="single" w:sz="4" w:space="0" w:color="auto"/>
              <w:right w:val="single" w:sz="4" w:space="0" w:color="auto"/>
            </w:tcBorders>
          </w:tcPr>
          <w:p w14:paraId="070520A1" w14:textId="73F995E9" w:rsidR="002C1329" w:rsidRPr="00F33674" w:rsidRDefault="002C1329" w:rsidP="00E41546">
            <w:pPr>
              <w:rPr>
                <w:rFonts w:ascii="Arial Narrow" w:hAnsi="Arial Narrow" w:cs="Arial"/>
                <w:sz w:val="20"/>
                <w:szCs w:val="20"/>
              </w:rPr>
            </w:pPr>
            <w:r w:rsidRPr="00F33674">
              <w:rPr>
                <w:rFonts w:ascii="Arial Narrow" w:hAnsi="Arial Narrow" w:cs="Arial"/>
                <w:sz w:val="20"/>
                <w:szCs w:val="20"/>
              </w:rPr>
              <w:fldChar w:fldCharType="begin">
                <w:ffData>
                  <w:name w:val="Check1"/>
                  <w:enabled/>
                  <w:calcOnExit w:val="0"/>
                  <w:checkBox>
                    <w:sizeAuto/>
                    <w:default w:val="0"/>
                  </w:checkBox>
                </w:ffData>
              </w:fldChar>
            </w:r>
            <w:r w:rsidRPr="00F33674">
              <w:rPr>
                <w:rFonts w:ascii="Arial Narrow" w:hAnsi="Arial Narrow" w:cs="Arial"/>
                <w:sz w:val="20"/>
                <w:szCs w:val="20"/>
              </w:rPr>
              <w:instrText xml:space="preserve"> FORMCHECKBOX </w:instrText>
            </w:r>
            <w:r w:rsidR="00233D13">
              <w:rPr>
                <w:rFonts w:ascii="Arial Narrow" w:hAnsi="Arial Narrow" w:cs="Arial"/>
                <w:sz w:val="20"/>
                <w:szCs w:val="20"/>
              </w:rPr>
            </w:r>
            <w:r w:rsidR="00233D13">
              <w:rPr>
                <w:rFonts w:ascii="Arial Narrow" w:hAnsi="Arial Narrow" w:cs="Arial"/>
                <w:sz w:val="20"/>
                <w:szCs w:val="20"/>
              </w:rPr>
              <w:fldChar w:fldCharType="separate"/>
            </w:r>
            <w:r w:rsidRPr="00F33674">
              <w:rPr>
                <w:rFonts w:ascii="Arial Narrow" w:hAnsi="Arial Narrow" w:cs="Arial"/>
                <w:sz w:val="20"/>
                <w:szCs w:val="20"/>
              </w:rPr>
              <w:fldChar w:fldCharType="end"/>
            </w:r>
            <w:r w:rsidRPr="00F33674">
              <w:rPr>
                <w:rFonts w:ascii="Arial Narrow" w:hAnsi="Arial Narrow" w:cs="Arial"/>
                <w:sz w:val="20"/>
                <w:szCs w:val="20"/>
              </w:rPr>
              <w:t>Dental</w:t>
            </w:r>
            <w:r>
              <w:rPr>
                <w:rFonts w:ascii="Arial Narrow" w:hAnsi="Arial Narrow" w:cs="Arial"/>
                <w:sz w:val="20"/>
                <w:szCs w:val="20"/>
              </w:rPr>
              <w:t xml:space="preserve"> </w:t>
            </w:r>
            <w:r w:rsidRPr="00F33674">
              <w:rPr>
                <w:rFonts w:ascii="Arial Narrow" w:hAnsi="Arial Narrow" w:cs="Arial"/>
                <w:sz w:val="20"/>
                <w:szCs w:val="20"/>
              </w:rPr>
              <w:fldChar w:fldCharType="begin">
                <w:ffData>
                  <w:name w:val=""/>
                  <w:enabled/>
                  <w:calcOnExit w:val="0"/>
                  <w:checkBox>
                    <w:sizeAuto/>
                    <w:default w:val="1"/>
                  </w:checkBox>
                </w:ffData>
              </w:fldChar>
            </w:r>
            <w:r w:rsidRPr="00F33674">
              <w:rPr>
                <w:rFonts w:ascii="Arial Narrow" w:hAnsi="Arial Narrow" w:cs="Arial"/>
                <w:sz w:val="20"/>
                <w:szCs w:val="20"/>
              </w:rPr>
              <w:instrText xml:space="preserve"> FORMCHECKBOX </w:instrText>
            </w:r>
            <w:r w:rsidR="00233D13">
              <w:rPr>
                <w:rFonts w:ascii="Arial Narrow" w:hAnsi="Arial Narrow" w:cs="Arial"/>
                <w:sz w:val="20"/>
                <w:szCs w:val="20"/>
              </w:rPr>
            </w:r>
            <w:r w:rsidR="00233D13">
              <w:rPr>
                <w:rFonts w:ascii="Arial Narrow" w:hAnsi="Arial Narrow" w:cs="Arial"/>
                <w:sz w:val="20"/>
                <w:szCs w:val="20"/>
              </w:rPr>
              <w:fldChar w:fldCharType="separate"/>
            </w:r>
            <w:r w:rsidRPr="00F33674">
              <w:rPr>
                <w:rFonts w:ascii="Arial Narrow" w:hAnsi="Arial Narrow" w:cs="Arial"/>
                <w:sz w:val="20"/>
                <w:szCs w:val="20"/>
              </w:rPr>
              <w:fldChar w:fldCharType="end"/>
            </w:r>
            <w:r w:rsidRPr="00F33674">
              <w:rPr>
                <w:rFonts w:ascii="Arial Narrow" w:hAnsi="Arial Narrow" w:cs="Arial"/>
                <w:sz w:val="20"/>
                <w:szCs w:val="20"/>
              </w:rPr>
              <w:t>Medical Practitioners</w:t>
            </w:r>
            <w:r>
              <w:rPr>
                <w:rFonts w:ascii="Arial Narrow" w:hAnsi="Arial Narrow" w:cs="Arial"/>
                <w:sz w:val="20"/>
                <w:szCs w:val="20"/>
              </w:rPr>
              <w:t xml:space="preserve"> </w:t>
            </w:r>
            <w:r w:rsidRPr="00F33674">
              <w:rPr>
                <w:rFonts w:ascii="Arial Narrow" w:hAnsi="Arial Narrow" w:cs="Arial"/>
                <w:sz w:val="20"/>
                <w:szCs w:val="20"/>
              </w:rPr>
              <w:fldChar w:fldCharType="begin">
                <w:ffData>
                  <w:name w:val="Check3"/>
                  <w:enabled/>
                  <w:calcOnExit w:val="0"/>
                  <w:checkBox>
                    <w:sizeAuto/>
                    <w:default w:val="1"/>
                  </w:checkBox>
                </w:ffData>
              </w:fldChar>
            </w:r>
            <w:r w:rsidRPr="00F33674">
              <w:rPr>
                <w:rFonts w:ascii="Arial Narrow" w:hAnsi="Arial Narrow" w:cs="Arial"/>
                <w:sz w:val="20"/>
                <w:szCs w:val="20"/>
              </w:rPr>
              <w:instrText xml:space="preserve"> FORMCHECKBOX </w:instrText>
            </w:r>
            <w:r w:rsidR="00233D13">
              <w:rPr>
                <w:rFonts w:ascii="Arial Narrow" w:hAnsi="Arial Narrow" w:cs="Arial"/>
                <w:sz w:val="20"/>
                <w:szCs w:val="20"/>
              </w:rPr>
            </w:r>
            <w:r w:rsidR="00233D13">
              <w:rPr>
                <w:rFonts w:ascii="Arial Narrow" w:hAnsi="Arial Narrow" w:cs="Arial"/>
                <w:sz w:val="20"/>
                <w:szCs w:val="20"/>
              </w:rPr>
              <w:fldChar w:fldCharType="separate"/>
            </w:r>
            <w:r w:rsidRPr="00F33674">
              <w:rPr>
                <w:rFonts w:ascii="Arial Narrow" w:hAnsi="Arial Narrow" w:cs="Arial"/>
                <w:sz w:val="20"/>
                <w:szCs w:val="20"/>
              </w:rPr>
              <w:fldChar w:fldCharType="end"/>
            </w:r>
            <w:r w:rsidRPr="00F33674">
              <w:rPr>
                <w:rFonts w:ascii="Arial Narrow" w:hAnsi="Arial Narrow" w:cs="Arial"/>
                <w:sz w:val="20"/>
                <w:szCs w:val="20"/>
              </w:rPr>
              <w:t>Nurse practitioners</w:t>
            </w:r>
            <w:r>
              <w:rPr>
                <w:rFonts w:ascii="Arial Narrow" w:hAnsi="Arial Narrow" w:cs="Arial"/>
                <w:sz w:val="20"/>
                <w:szCs w:val="20"/>
              </w:rPr>
              <w:t xml:space="preserve"> </w:t>
            </w:r>
            <w:r w:rsidRPr="00F33674">
              <w:rPr>
                <w:rFonts w:ascii="Arial Narrow" w:hAnsi="Arial Narrow" w:cs="Arial"/>
                <w:sz w:val="20"/>
                <w:szCs w:val="20"/>
              </w:rPr>
              <w:fldChar w:fldCharType="begin">
                <w:ffData>
                  <w:name w:val=""/>
                  <w:enabled/>
                  <w:calcOnExit w:val="0"/>
                  <w:checkBox>
                    <w:sizeAuto/>
                    <w:default w:val="0"/>
                  </w:checkBox>
                </w:ffData>
              </w:fldChar>
            </w:r>
            <w:r w:rsidRPr="00F33674">
              <w:rPr>
                <w:rFonts w:ascii="Arial Narrow" w:hAnsi="Arial Narrow" w:cs="Arial"/>
                <w:sz w:val="20"/>
                <w:szCs w:val="20"/>
              </w:rPr>
              <w:instrText xml:space="preserve"> FORMCHECKBOX </w:instrText>
            </w:r>
            <w:r w:rsidR="00233D13">
              <w:rPr>
                <w:rFonts w:ascii="Arial Narrow" w:hAnsi="Arial Narrow" w:cs="Arial"/>
                <w:sz w:val="20"/>
                <w:szCs w:val="20"/>
              </w:rPr>
            </w:r>
            <w:r w:rsidR="00233D13">
              <w:rPr>
                <w:rFonts w:ascii="Arial Narrow" w:hAnsi="Arial Narrow" w:cs="Arial"/>
                <w:sz w:val="20"/>
                <w:szCs w:val="20"/>
              </w:rPr>
              <w:fldChar w:fldCharType="separate"/>
            </w:r>
            <w:r w:rsidRPr="00F33674">
              <w:rPr>
                <w:rFonts w:ascii="Arial Narrow" w:hAnsi="Arial Narrow" w:cs="Arial"/>
                <w:sz w:val="20"/>
                <w:szCs w:val="20"/>
              </w:rPr>
              <w:fldChar w:fldCharType="end"/>
            </w:r>
            <w:r w:rsidRPr="00F33674">
              <w:rPr>
                <w:rFonts w:ascii="Arial Narrow" w:hAnsi="Arial Narrow" w:cs="Arial"/>
                <w:sz w:val="20"/>
                <w:szCs w:val="20"/>
              </w:rPr>
              <w:t>Optometrists</w:t>
            </w:r>
          </w:p>
          <w:p w14:paraId="6AC1827F" w14:textId="77777777" w:rsidR="002C1329" w:rsidRPr="00F33674" w:rsidRDefault="002C1329" w:rsidP="00E41546">
            <w:pPr>
              <w:rPr>
                <w:rFonts w:ascii="Arial Narrow" w:hAnsi="Arial Narrow" w:cs="Arial"/>
                <w:sz w:val="20"/>
                <w:szCs w:val="20"/>
              </w:rPr>
            </w:pPr>
            <w:r w:rsidRPr="00F33674">
              <w:rPr>
                <w:rFonts w:ascii="Arial Narrow" w:hAnsi="Arial Narrow" w:cs="Arial"/>
                <w:sz w:val="20"/>
                <w:szCs w:val="20"/>
              </w:rPr>
              <w:fldChar w:fldCharType="begin">
                <w:ffData>
                  <w:name w:val="Check5"/>
                  <w:enabled/>
                  <w:calcOnExit w:val="0"/>
                  <w:checkBox>
                    <w:sizeAuto/>
                    <w:default w:val="0"/>
                  </w:checkBox>
                </w:ffData>
              </w:fldChar>
            </w:r>
            <w:r w:rsidRPr="00F33674">
              <w:rPr>
                <w:rFonts w:ascii="Arial Narrow" w:hAnsi="Arial Narrow" w:cs="Arial"/>
                <w:sz w:val="20"/>
                <w:szCs w:val="20"/>
              </w:rPr>
              <w:instrText xml:space="preserve"> FORMCHECKBOX </w:instrText>
            </w:r>
            <w:r w:rsidR="00233D13">
              <w:rPr>
                <w:rFonts w:ascii="Arial Narrow" w:hAnsi="Arial Narrow" w:cs="Arial"/>
                <w:sz w:val="20"/>
                <w:szCs w:val="20"/>
              </w:rPr>
            </w:r>
            <w:r w:rsidR="00233D13">
              <w:rPr>
                <w:rFonts w:ascii="Arial Narrow" w:hAnsi="Arial Narrow" w:cs="Arial"/>
                <w:sz w:val="20"/>
                <w:szCs w:val="20"/>
              </w:rPr>
              <w:fldChar w:fldCharType="separate"/>
            </w:r>
            <w:r w:rsidRPr="00F33674">
              <w:rPr>
                <w:rFonts w:ascii="Arial Narrow" w:hAnsi="Arial Narrow" w:cs="Arial"/>
                <w:sz w:val="20"/>
                <w:szCs w:val="20"/>
              </w:rPr>
              <w:fldChar w:fldCharType="end"/>
            </w:r>
            <w:r w:rsidRPr="00F33674">
              <w:rPr>
                <w:rFonts w:ascii="Arial Narrow" w:hAnsi="Arial Narrow" w:cs="Arial"/>
                <w:sz w:val="20"/>
                <w:szCs w:val="20"/>
              </w:rPr>
              <w:t>Midwives</w:t>
            </w:r>
          </w:p>
        </w:tc>
      </w:tr>
      <w:tr w:rsidR="002C1329" w:rsidRPr="00F33674" w14:paraId="462F91EF" w14:textId="77777777" w:rsidTr="00E41546">
        <w:trPr>
          <w:cantSplit/>
          <w:trHeight w:val="369"/>
        </w:trPr>
        <w:tc>
          <w:tcPr>
            <w:tcW w:w="2835" w:type="dxa"/>
            <w:tcBorders>
              <w:top w:val="single" w:sz="4" w:space="0" w:color="auto"/>
              <w:left w:val="single" w:sz="4" w:space="0" w:color="auto"/>
              <w:bottom w:val="single" w:sz="4" w:space="0" w:color="auto"/>
              <w:right w:val="single" w:sz="4" w:space="0" w:color="auto"/>
            </w:tcBorders>
          </w:tcPr>
          <w:p w14:paraId="63FB3398" w14:textId="77777777" w:rsidR="002C1329" w:rsidRPr="00F33674" w:rsidRDefault="002C1329" w:rsidP="00E41546">
            <w:pPr>
              <w:rPr>
                <w:rFonts w:ascii="Arial Narrow" w:hAnsi="Arial Narrow" w:cs="Arial"/>
                <w:b/>
                <w:sz w:val="20"/>
                <w:szCs w:val="20"/>
              </w:rPr>
            </w:pPr>
            <w:r w:rsidRPr="00F33674">
              <w:rPr>
                <w:rFonts w:ascii="Arial Narrow" w:hAnsi="Arial Narrow" w:cs="Arial"/>
                <w:b/>
                <w:sz w:val="20"/>
                <w:szCs w:val="20"/>
              </w:rPr>
              <w:t>PBS indication:</w:t>
            </w:r>
          </w:p>
        </w:tc>
        <w:tc>
          <w:tcPr>
            <w:tcW w:w="6379" w:type="dxa"/>
            <w:tcBorders>
              <w:top w:val="single" w:sz="4" w:space="0" w:color="auto"/>
              <w:left w:val="single" w:sz="4" w:space="0" w:color="auto"/>
              <w:bottom w:val="single" w:sz="4" w:space="0" w:color="auto"/>
              <w:right w:val="single" w:sz="4" w:space="0" w:color="auto"/>
            </w:tcBorders>
          </w:tcPr>
          <w:p w14:paraId="36F73EC3" w14:textId="77777777" w:rsidR="002C1329" w:rsidRPr="00F33674" w:rsidRDefault="002C1329" w:rsidP="00E41546">
            <w:pPr>
              <w:rPr>
                <w:rFonts w:ascii="Arial Narrow" w:hAnsi="Arial Narrow" w:cs="Arial"/>
                <w:sz w:val="20"/>
                <w:szCs w:val="20"/>
              </w:rPr>
            </w:pPr>
            <w:r w:rsidRPr="00F33674">
              <w:rPr>
                <w:rFonts w:ascii="Arial Narrow" w:hAnsi="Arial Narrow" w:cs="Arial"/>
                <w:sz w:val="20"/>
                <w:szCs w:val="20"/>
              </w:rPr>
              <w:t>[new] Chronic severe pain</w:t>
            </w:r>
          </w:p>
        </w:tc>
      </w:tr>
      <w:tr w:rsidR="002C1329" w:rsidRPr="00F33674" w14:paraId="1558C9A7" w14:textId="77777777" w:rsidTr="00E41546">
        <w:trPr>
          <w:cantSplit/>
          <w:trHeight w:val="360"/>
        </w:trPr>
        <w:tc>
          <w:tcPr>
            <w:tcW w:w="2835" w:type="dxa"/>
            <w:tcBorders>
              <w:top w:val="single" w:sz="4" w:space="0" w:color="auto"/>
              <w:left w:val="single" w:sz="4" w:space="0" w:color="auto"/>
              <w:bottom w:val="single" w:sz="4" w:space="0" w:color="auto"/>
              <w:right w:val="single" w:sz="4" w:space="0" w:color="auto"/>
            </w:tcBorders>
          </w:tcPr>
          <w:p w14:paraId="29FE6886" w14:textId="77777777" w:rsidR="002C1329" w:rsidRPr="00F33674" w:rsidRDefault="002C1329" w:rsidP="00E41546">
            <w:pPr>
              <w:rPr>
                <w:rFonts w:ascii="Arial Narrow" w:hAnsi="Arial Narrow" w:cs="Arial"/>
                <w:b/>
                <w:sz w:val="20"/>
                <w:szCs w:val="20"/>
              </w:rPr>
            </w:pPr>
            <w:r w:rsidRPr="00F33674">
              <w:rPr>
                <w:rFonts w:ascii="Arial Narrow" w:hAnsi="Arial Narrow" w:cs="Arial"/>
                <w:b/>
                <w:sz w:val="20"/>
                <w:szCs w:val="20"/>
              </w:rPr>
              <w:t>Restriction Level / Method:</w:t>
            </w:r>
          </w:p>
          <w:p w14:paraId="1FFCA955" w14:textId="77777777" w:rsidR="002C1329" w:rsidRPr="00F33674" w:rsidRDefault="002C1329" w:rsidP="00E41546">
            <w:pPr>
              <w:rPr>
                <w:rFonts w:ascii="Arial Narrow" w:hAnsi="Arial Narrow" w:cs="Arial"/>
                <w:i/>
                <w:sz w:val="20"/>
                <w:szCs w:val="20"/>
              </w:rPr>
            </w:pPr>
          </w:p>
          <w:p w14:paraId="3AF8F4C0" w14:textId="77777777" w:rsidR="002C1329" w:rsidRPr="00F33674" w:rsidRDefault="002C1329" w:rsidP="00E41546">
            <w:pPr>
              <w:rPr>
                <w:rFonts w:ascii="Arial Narrow" w:hAnsi="Arial Narrow" w:cs="Arial"/>
                <w:i/>
                <w:sz w:val="20"/>
                <w:szCs w:val="20"/>
              </w:rPr>
            </w:pPr>
          </w:p>
          <w:p w14:paraId="7BD23F8A" w14:textId="77777777" w:rsidR="002C1329" w:rsidRPr="00F33674" w:rsidRDefault="002C1329" w:rsidP="00E41546">
            <w:pPr>
              <w:rPr>
                <w:rFonts w:ascii="Arial Narrow" w:hAnsi="Arial Narrow" w:cs="Arial"/>
                <w:i/>
                <w:sz w:val="20"/>
                <w:szCs w:val="20"/>
              </w:rPr>
            </w:pPr>
          </w:p>
        </w:tc>
        <w:tc>
          <w:tcPr>
            <w:tcW w:w="6379" w:type="dxa"/>
            <w:tcBorders>
              <w:top w:val="single" w:sz="4" w:space="0" w:color="auto"/>
              <w:left w:val="single" w:sz="4" w:space="0" w:color="auto"/>
              <w:bottom w:val="single" w:sz="4" w:space="0" w:color="auto"/>
              <w:right w:val="single" w:sz="4" w:space="0" w:color="auto"/>
            </w:tcBorders>
          </w:tcPr>
          <w:p w14:paraId="4BDC9083" w14:textId="77777777" w:rsidR="002C1329" w:rsidRPr="00F33674" w:rsidRDefault="002C1329" w:rsidP="00E41546">
            <w:pPr>
              <w:rPr>
                <w:rFonts w:ascii="Arial Narrow" w:hAnsi="Arial Narrow" w:cs="Arial"/>
                <w:sz w:val="20"/>
                <w:szCs w:val="20"/>
              </w:rPr>
            </w:pPr>
            <w:r w:rsidRPr="00F33674">
              <w:rPr>
                <w:rFonts w:ascii="Arial Narrow" w:hAnsi="Arial Narrow" w:cs="Arial"/>
                <w:sz w:val="20"/>
                <w:szCs w:val="20"/>
              </w:rPr>
              <w:fldChar w:fldCharType="begin">
                <w:ffData>
                  <w:name w:val=""/>
                  <w:enabled/>
                  <w:calcOnExit w:val="0"/>
                  <w:checkBox>
                    <w:sizeAuto/>
                    <w:default w:val="0"/>
                  </w:checkBox>
                </w:ffData>
              </w:fldChar>
            </w:r>
            <w:r w:rsidRPr="00F33674">
              <w:rPr>
                <w:rFonts w:ascii="Arial Narrow" w:hAnsi="Arial Narrow" w:cs="Arial"/>
                <w:sz w:val="20"/>
                <w:szCs w:val="20"/>
              </w:rPr>
              <w:instrText xml:space="preserve"> FORMCHECKBOX </w:instrText>
            </w:r>
            <w:r w:rsidR="00233D13">
              <w:rPr>
                <w:rFonts w:ascii="Arial Narrow" w:hAnsi="Arial Narrow" w:cs="Arial"/>
                <w:sz w:val="20"/>
                <w:szCs w:val="20"/>
              </w:rPr>
            </w:r>
            <w:r w:rsidR="00233D13">
              <w:rPr>
                <w:rFonts w:ascii="Arial Narrow" w:hAnsi="Arial Narrow" w:cs="Arial"/>
                <w:sz w:val="20"/>
                <w:szCs w:val="20"/>
              </w:rPr>
              <w:fldChar w:fldCharType="separate"/>
            </w:r>
            <w:r w:rsidRPr="00F33674">
              <w:rPr>
                <w:rFonts w:ascii="Arial Narrow" w:hAnsi="Arial Narrow" w:cs="Arial"/>
                <w:sz w:val="20"/>
                <w:szCs w:val="20"/>
              </w:rPr>
              <w:fldChar w:fldCharType="end"/>
            </w:r>
            <w:r w:rsidRPr="00F33674">
              <w:rPr>
                <w:rFonts w:ascii="Arial Narrow" w:hAnsi="Arial Narrow" w:cs="Arial"/>
                <w:sz w:val="20"/>
                <w:szCs w:val="20"/>
              </w:rPr>
              <w:t>Unrestricted benefit</w:t>
            </w:r>
          </w:p>
          <w:p w14:paraId="67A0C356" w14:textId="77777777" w:rsidR="002C1329" w:rsidRPr="00F33674" w:rsidRDefault="002C1329" w:rsidP="00E41546">
            <w:pPr>
              <w:rPr>
                <w:rFonts w:ascii="Arial Narrow" w:hAnsi="Arial Narrow" w:cs="Arial"/>
                <w:i/>
                <w:sz w:val="20"/>
                <w:szCs w:val="20"/>
              </w:rPr>
            </w:pPr>
            <w:r w:rsidRPr="00F33674">
              <w:rPr>
                <w:rFonts w:ascii="Arial Narrow" w:hAnsi="Arial Narrow" w:cs="Arial"/>
                <w:i/>
                <w:sz w:val="20"/>
                <w:szCs w:val="20"/>
              </w:rPr>
              <w:fldChar w:fldCharType="begin">
                <w:ffData>
                  <w:name w:val=""/>
                  <w:enabled/>
                  <w:calcOnExit w:val="0"/>
                  <w:checkBox>
                    <w:sizeAuto/>
                    <w:default w:val="0"/>
                  </w:checkBox>
                </w:ffData>
              </w:fldChar>
            </w:r>
            <w:r w:rsidRPr="00F33674">
              <w:rPr>
                <w:rFonts w:ascii="Arial Narrow" w:hAnsi="Arial Narrow" w:cs="Arial"/>
                <w:i/>
                <w:sz w:val="20"/>
                <w:szCs w:val="20"/>
              </w:rPr>
              <w:instrText xml:space="preserve"> FORMCHECKBOX </w:instrText>
            </w:r>
            <w:r w:rsidR="00233D13">
              <w:rPr>
                <w:rFonts w:ascii="Arial Narrow" w:hAnsi="Arial Narrow" w:cs="Arial"/>
                <w:i/>
                <w:sz w:val="20"/>
                <w:szCs w:val="20"/>
              </w:rPr>
            </w:r>
            <w:r w:rsidR="00233D13">
              <w:rPr>
                <w:rFonts w:ascii="Arial Narrow" w:hAnsi="Arial Narrow" w:cs="Arial"/>
                <w:i/>
                <w:sz w:val="20"/>
                <w:szCs w:val="20"/>
              </w:rPr>
              <w:fldChar w:fldCharType="separate"/>
            </w:r>
            <w:r w:rsidRPr="00F33674">
              <w:rPr>
                <w:rFonts w:ascii="Arial Narrow" w:hAnsi="Arial Narrow" w:cs="Arial"/>
                <w:i/>
                <w:sz w:val="20"/>
                <w:szCs w:val="20"/>
              </w:rPr>
              <w:fldChar w:fldCharType="end"/>
            </w:r>
            <w:r w:rsidRPr="00F33674">
              <w:rPr>
                <w:rFonts w:ascii="Arial Narrow" w:hAnsi="Arial Narrow" w:cs="Arial"/>
                <w:sz w:val="20"/>
                <w:szCs w:val="20"/>
              </w:rPr>
              <w:t>Restricted benefit</w:t>
            </w:r>
          </w:p>
          <w:p w14:paraId="1D729A9A" w14:textId="77777777" w:rsidR="002C1329" w:rsidRPr="00F33674" w:rsidRDefault="002C1329" w:rsidP="00E41546">
            <w:pPr>
              <w:rPr>
                <w:rFonts w:ascii="Arial Narrow" w:hAnsi="Arial Narrow" w:cs="Arial"/>
                <w:sz w:val="20"/>
                <w:szCs w:val="20"/>
              </w:rPr>
            </w:pPr>
            <w:r w:rsidRPr="00F33674">
              <w:rPr>
                <w:rFonts w:ascii="Arial Narrow" w:hAnsi="Arial Narrow" w:cs="Arial"/>
                <w:sz w:val="20"/>
                <w:szCs w:val="20"/>
              </w:rPr>
              <w:fldChar w:fldCharType="begin">
                <w:ffData>
                  <w:name w:val=""/>
                  <w:enabled/>
                  <w:calcOnExit w:val="0"/>
                  <w:checkBox>
                    <w:sizeAuto/>
                    <w:default w:val="0"/>
                  </w:checkBox>
                </w:ffData>
              </w:fldChar>
            </w:r>
            <w:r w:rsidRPr="00F33674">
              <w:rPr>
                <w:rFonts w:ascii="Arial Narrow" w:hAnsi="Arial Narrow" w:cs="Arial"/>
                <w:sz w:val="20"/>
                <w:szCs w:val="20"/>
              </w:rPr>
              <w:instrText xml:space="preserve"> FORMCHECKBOX </w:instrText>
            </w:r>
            <w:r w:rsidR="00233D13">
              <w:rPr>
                <w:rFonts w:ascii="Arial Narrow" w:hAnsi="Arial Narrow" w:cs="Arial"/>
                <w:sz w:val="20"/>
                <w:szCs w:val="20"/>
              </w:rPr>
            </w:r>
            <w:r w:rsidR="00233D13">
              <w:rPr>
                <w:rFonts w:ascii="Arial Narrow" w:hAnsi="Arial Narrow" w:cs="Arial"/>
                <w:sz w:val="20"/>
                <w:szCs w:val="20"/>
              </w:rPr>
              <w:fldChar w:fldCharType="separate"/>
            </w:r>
            <w:r w:rsidRPr="00F33674">
              <w:rPr>
                <w:rFonts w:ascii="Arial Narrow" w:hAnsi="Arial Narrow" w:cs="Arial"/>
                <w:sz w:val="20"/>
                <w:szCs w:val="20"/>
              </w:rPr>
              <w:fldChar w:fldCharType="end"/>
            </w:r>
            <w:r w:rsidRPr="00F33674">
              <w:rPr>
                <w:rFonts w:ascii="Arial Narrow" w:hAnsi="Arial Narrow" w:cs="Arial"/>
                <w:sz w:val="20"/>
                <w:szCs w:val="20"/>
              </w:rPr>
              <w:t>Authority Required – In Writing</w:t>
            </w:r>
          </w:p>
          <w:p w14:paraId="50A1D00C" w14:textId="77777777" w:rsidR="002C1329" w:rsidRPr="00F33674" w:rsidRDefault="002C1329" w:rsidP="00E41546">
            <w:pPr>
              <w:rPr>
                <w:rFonts w:ascii="Arial Narrow" w:hAnsi="Arial Narrow" w:cs="Arial"/>
                <w:sz w:val="20"/>
                <w:szCs w:val="20"/>
              </w:rPr>
            </w:pPr>
            <w:r w:rsidRPr="00F33674">
              <w:rPr>
                <w:rFonts w:ascii="Arial Narrow" w:hAnsi="Arial Narrow" w:cs="Arial"/>
                <w:sz w:val="20"/>
                <w:szCs w:val="20"/>
              </w:rPr>
              <w:fldChar w:fldCharType="begin">
                <w:ffData>
                  <w:name w:val="Check3"/>
                  <w:enabled/>
                  <w:calcOnExit w:val="0"/>
                  <w:checkBox>
                    <w:sizeAuto/>
                    <w:default w:val="0"/>
                  </w:checkBox>
                </w:ffData>
              </w:fldChar>
            </w:r>
            <w:r w:rsidRPr="00F33674">
              <w:rPr>
                <w:rFonts w:ascii="Arial Narrow" w:hAnsi="Arial Narrow" w:cs="Arial"/>
                <w:sz w:val="20"/>
                <w:szCs w:val="20"/>
              </w:rPr>
              <w:instrText xml:space="preserve"> FORMCHECKBOX </w:instrText>
            </w:r>
            <w:r w:rsidR="00233D13">
              <w:rPr>
                <w:rFonts w:ascii="Arial Narrow" w:hAnsi="Arial Narrow" w:cs="Arial"/>
                <w:sz w:val="20"/>
                <w:szCs w:val="20"/>
              </w:rPr>
            </w:r>
            <w:r w:rsidR="00233D13">
              <w:rPr>
                <w:rFonts w:ascii="Arial Narrow" w:hAnsi="Arial Narrow" w:cs="Arial"/>
                <w:sz w:val="20"/>
                <w:szCs w:val="20"/>
              </w:rPr>
              <w:fldChar w:fldCharType="separate"/>
            </w:r>
            <w:r w:rsidRPr="00F33674">
              <w:rPr>
                <w:rFonts w:ascii="Arial Narrow" w:hAnsi="Arial Narrow" w:cs="Arial"/>
                <w:sz w:val="20"/>
                <w:szCs w:val="20"/>
              </w:rPr>
              <w:fldChar w:fldCharType="end"/>
            </w:r>
            <w:r w:rsidRPr="00F33674">
              <w:rPr>
                <w:rFonts w:ascii="Arial Narrow" w:hAnsi="Arial Narrow" w:cs="Arial"/>
                <w:sz w:val="20"/>
                <w:szCs w:val="20"/>
              </w:rPr>
              <w:t>Authority Required – Telephone/Electronic/Emergency</w:t>
            </w:r>
          </w:p>
          <w:p w14:paraId="6AB74ED9" w14:textId="77777777" w:rsidR="002C1329" w:rsidRPr="00F33674" w:rsidRDefault="002C1329" w:rsidP="00E41546">
            <w:pPr>
              <w:rPr>
                <w:rFonts w:ascii="Arial Narrow" w:hAnsi="Arial Narrow" w:cs="Arial"/>
                <w:sz w:val="20"/>
                <w:szCs w:val="20"/>
              </w:rPr>
            </w:pPr>
            <w:r w:rsidRPr="00F33674">
              <w:rPr>
                <w:rFonts w:ascii="Arial Narrow" w:hAnsi="Arial Narrow" w:cs="Arial"/>
                <w:sz w:val="20"/>
                <w:szCs w:val="20"/>
              </w:rPr>
              <w:fldChar w:fldCharType="begin">
                <w:ffData>
                  <w:name w:val=""/>
                  <w:enabled/>
                  <w:calcOnExit w:val="0"/>
                  <w:checkBox>
                    <w:sizeAuto/>
                    <w:default w:val="1"/>
                  </w:checkBox>
                </w:ffData>
              </w:fldChar>
            </w:r>
            <w:r w:rsidRPr="00F33674">
              <w:rPr>
                <w:rFonts w:ascii="Arial Narrow" w:hAnsi="Arial Narrow" w:cs="Arial"/>
                <w:sz w:val="20"/>
                <w:szCs w:val="20"/>
              </w:rPr>
              <w:instrText xml:space="preserve"> FORMCHECKBOX </w:instrText>
            </w:r>
            <w:r w:rsidR="00233D13">
              <w:rPr>
                <w:rFonts w:ascii="Arial Narrow" w:hAnsi="Arial Narrow" w:cs="Arial"/>
                <w:sz w:val="20"/>
                <w:szCs w:val="20"/>
              </w:rPr>
            </w:r>
            <w:r w:rsidR="00233D13">
              <w:rPr>
                <w:rFonts w:ascii="Arial Narrow" w:hAnsi="Arial Narrow" w:cs="Arial"/>
                <w:sz w:val="20"/>
                <w:szCs w:val="20"/>
              </w:rPr>
              <w:fldChar w:fldCharType="separate"/>
            </w:r>
            <w:r w:rsidRPr="00F33674">
              <w:rPr>
                <w:rFonts w:ascii="Arial Narrow" w:hAnsi="Arial Narrow" w:cs="Arial"/>
                <w:sz w:val="20"/>
                <w:szCs w:val="20"/>
              </w:rPr>
              <w:fldChar w:fldCharType="end"/>
            </w:r>
            <w:r w:rsidRPr="00F33674">
              <w:rPr>
                <w:rFonts w:ascii="Arial Narrow" w:hAnsi="Arial Narrow" w:cs="Arial"/>
                <w:sz w:val="20"/>
                <w:szCs w:val="20"/>
              </w:rPr>
              <w:t>Streamlined</w:t>
            </w:r>
          </w:p>
        </w:tc>
      </w:tr>
      <w:tr w:rsidR="002C1329" w:rsidRPr="00F33674" w14:paraId="234ADBBC" w14:textId="77777777" w:rsidTr="00E41546">
        <w:trPr>
          <w:cantSplit/>
          <w:trHeight w:val="360"/>
        </w:trPr>
        <w:tc>
          <w:tcPr>
            <w:tcW w:w="2835" w:type="dxa"/>
            <w:tcBorders>
              <w:top w:val="single" w:sz="4" w:space="0" w:color="auto"/>
              <w:left w:val="single" w:sz="4" w:space="0" w:color="auto"/>
              <w:bottom w:val="single" w:sz="4" w:space="0" w:color="auto"/>
              <w:right w:val="single" w:sz="4" w:space="0" w:color="auto"/>
            </w:tcBorders>
          </w:tcPr>
          <w:p w14:paraId="0A3CD7F3" w14:textId="77777777" w:rsidR="002C1329" w:rsidRPr="00F33674" w:rsidRDefault="002C1329" w:rsidP="00E41546">
            <w:pPr>
              <w:rPr>
                <w:rFonts w:ascii="Arial Narrow" w:hAnsi="Arial Narrow" w:cs="Arial"/>
                <w:b/>
                <w:sz w:val="20"/>
                <w:szCs w:val="20"/>
              </w:rPr>
            </w:pPr>
            <w:r>
              <w:rPr>
                <w:rFonts w:ascii="Arial Narrow" w:hAnsi="Arial Narrow" w:cs="Arial"/>
                <w:b/>
                <w:sz w:val="20"/>
                <w:szCs w:val="20"/>
              </w:rPr>
              <w:t>Treatment phase:</w:t>
            </w:r>
          </w:p>
        </w:tc>
        <w:tc>
          <w:tcPr>
            <w:tcW w:w="6379" w:type="dxa"/>
            <w:tcBorders>
              <w:top w:val="single" w:sz="4" w:space="0" w:color="auto"/>
              <w:left w:val="single" w:sz="4" w:space="0" w:color="auto"/>
              <w:bottom w:val="single" w:sz="4" w:space="0" w:color="auto"/>
              <w:right w:val="single" w:sz="4" w:space="0" w:color="auto"/>
            </w:tcBorders>
          </w:tcPr>
          <w:p w14:paraId="5B35354E" w14:textId="03FEF6F0" w:rsidR="002C1329" w:rsidRPr="00F33674" w:rsidRDefault="002C1329">
            <w:pPr>
              <w:jc w:val="left"/>
              <w:rPr>
                <w:rFonts w:ascii="Arial Narrow" w:hAnsi="Arial Narrow" w:cs="Arial"/>
                <w:sz w:val="20"/>
                <w:szCs w:val="20"/>
              </w:rPr>
            </w:pPr>
            <w:r w:rsidRPr="002C1329">
              <w:rPr>
                <w:rFonts w:ascii="Arial Narrow" w:hAnsi="Arial Narrow" w:cs="Arial"/>
                <w:sz w:val="20"/>
                <w:szCs w:val="20"/>
              </w:rPr>
              <w:t xml:space="preserve">Initial PBS treatment after 1 June 2020 where patient </w:t>
            </w:r>
            <w:proofErr w:type="gramStart"/>
            <w:r w:rsidRPr="002C1329">
              <w:rPr>
                <w:rFonts w:ascii="Arial Narrow" w:hAnsi="Arial Narrow" w:cs="Arial"/>
                <w:sz w:val="20"/>
                <w:szCs w:val="20"/>
              </w:rPr>
              <w:t>has been treated</w:t>
            </w:r>
            <w:proofErr w:type="gramEnd"/>
            <w:r w:rsidRPr="002C1329">
              <w:rPr>
                <w:rFonts w:ascii="Arial Narrow" w:hAnsi="Arial Narrow" w:cs="Arial"/>
                <w:sz w:val="20"/>
                <w:szCs w:val="20"/>
              </w:rPr>
              <w:t xml:space="preserve"> with opioids for </w:t>
            </w:r>
            <w:r>
              <w:rPr>
                <w:rFonts w:ascii="Arial Narrow" w:hAnsi="Arial Narrow" w:cs="Arial"/>
                <w:sz w:val="20"/>
                <w:szCs w:val="20"/>
              </w:rPr>
              <w:t>more</w:t>
            </w:r>
            <w:r w:rsidRPr="002C1329">
              <w:rPr>
                <w:rFonts w:ascii="Arial Narrow" w:hAnsi="Arial Narrow" w:cs="Arial"/>
                <w:sz w:val="20"/>
                <w:szCs w:val="20"/>
              </w:rPr>
              <w:t xml:space="preserve"> than 12 months</w:t>
            </w:r>
            <w:r>
              <w:rPr>
                <w:rFonts w:ascii="Arial Narrow" w:hAnsi="Arial Narrow" w:cs="Arial"/>
                <w:sz w:val="20"/>
                <w:szCs w:val="20"/>
              </w:rPr>
              <w:t>.</w:t>
            </w:r>
          </w:p>
        </w:tc>
      </w:tr>
      <w:tr w:rsidR="002C1329" w:rsidRPr="00F33674" w14:paraId="1B7F695C" w14:textId="77777777" w:rsidTr="00E41546">
        <w:trPr>
          <w:cantSplit/>
          <w:trHeight w:val="360"/>
        </w:trPr>
        <w:tc>
          <w:tcPr>
            <w:tcW w:w="2835" w:type="dxa"/>
            <w:tcBorders>
              <w:top w:val="single" w:sz="4" w:space="0" w:color="auto"/>
              <w:left w:val="single" w:sz="4" w:space="0" w:color="auto"/>
              <w:bottom w:val="single" w:sz="4" w:space="0" w:color="auto"/>
              <w:right w:val="single" w:sz="4" w:space="0" w:color="auto"/>
            </w:tcBorders>
          </w:tcPr>
          <w:p w14:paraId="09DC9271" w14:textId="77777777" w:rsidR="002C1329" w:rsidRPr="00F33674" w:rsidRDefault="002C1329" w:rsidP="00E41546">
            <w:pPr>
              <w:rPr>
                <w:rFonts w:ascii="Arial Narrow" w:hAnsi="Arial Narrow" w:cs="Arial"/>
                <w:b/>
                <w:sz w:val="20"/>
                <w:szCs w:val="20"/>
              </w:rPr>
            </w:pPr>
            <w:r w:rsidRPr="00F33674">
              <w:rPr>
                <w:rFonts w:ascii="Arial Narrow" w:hAnsi="Arial Narrow" w:cs="Arial"/>
                <w:b/>
                <w:sz w:val="20"/>
                <w:szCs w:val="20"/>
              </w:rPr>
              <w:t>Clinical criteria:</w:t>
            </w:r>
          </w:p>
        </w:tc>
        <w:tc>
          <w:tcPr>
            <w:tcW w:w="6379" w:type="dxa"/>
            <w:tcBorders>
              <w:top w:val="single" w:sz="4" w:space="0" w:color="auto"/>
              <w:left w:val="single" w:sz="4" w:space="0" w:color="auto"/>
              <w:bottom w:val="single" w:sz="4" w:space="0" w:color="auto"/>
              <w:right w:val="single" w:sz="4" w:space="0" w:color="auto"/>
            </w:tcBorders>
          </w:tcPr>
          <w:p w14:paraId="6DEAB60A" w14:textId="77777777" w:rsidR="002C1329" w:rsidRPr="00F33674" w:rsidRDefault="002C1329" w:rsidP="00E41546">
            <w:pPr>
              <w:jc w:val="left"/>
              <w:rPr>
                <w:rFonts w:ascii="Arial Narrow" w:hAnsi="Arial Narrow" w:cs="Arial"/>
                <w:sz w:val="20"/>
                <w:szCs w:val="20"/>
              </w:rPr>
            </w:pPr>
            <w:r w:rsidRPr="00F33674">
              <w:rPr>
                <w:rFonts w:ascii="Arial Narrow" w:hAnsi="Arial Narrow" w:cs="Arial"/>
                <w:sz w:val="20"/>
                <w:szCs w:val="20"/>
              </w:rPr>
              <w:t xml:space="preserve">[new] The condition must require daily, continuous, long term </w:t>
            </w:r>
            <w:r>
              <w:rPr>
                <w:rFonts w:ascii="Arial Narrow" w:hAnsi="Arial Narrow" w:cs="Arial"/>
                <w:sz w:val="20"/>
                <w:szCs w:val="20"/>
              </w:rPr>
              <w:t>opioid</w:t>
            </w:r>
            <w:r w:rsidRPr="00F33674">
              <w:rPr>
                <w:rFonts w:ascii="Arial Narrow" w:hAnsi="Arial Narrow" w:cs="Arial"/>
                <w:sz w:val="20"/>
                <w:szCs w:val="20"/>
              </w:rPr>
              <w:t xml:space="preserve"> treatment</w:t>
            </w:r>
          </w:p>
          <w:p w14:paraId="6056984A" w14:textId="77777777" w:rsidR="002C1329" w:rsidRPr="00F33674" w:rsidRDefault="002C1329" w:rsidP="00E41546">
            <w:pPr>
              <w:jc w:val="left"/>
              <w:rPr>
                <w:rFonts w:ascii="Arial Narrow" w:hAnsi="Arial Narrow" w:cs="Arial"/>
                <w:sz w:val="20"/>
                <w:szCs w:val="20"/>
              </w:rPr>
            </w:pPr>
          </w:p>
          <w:p w14:paraId="751D360E" w14:textId="77777777" w:rsidR="002C1329" w:rsidRPr="00F33674" w:rsidRDefault="002C1329" w:rsidP="00E41546">
            <w:pPr>
              <w:jc w:val="left"/>
              <w:rPr>
                <w:rFonts w:ascii="Arial Narrow" w:hAnsi="Arial Narrow" w:cs="Arial"/>
                <w:sz w:val="20"/>
                <w:szCs w:val="20"/>
              </w:rPr>
            </w:pPr>
            <w:r w:rsidRPr="00F33674">
              <w:rPr>
                <w:rFonts w:ascii="Arial Narrow" w:hAnsi="Arial Narrow" w:cs="Arial"/>
                <w:sz w:val="20"/>
                <w:szCs w:val="20"/>
              </w:rPr>
              <w:t>AND</w:t>
            </w:r>
          </w:p>
          <w:p w14:paraId="7CAFBBDB" w14:textId="77777777" w:rsidR="002C1329" w:rsidRPr="00F33674" w:rsidRDefault="002C1329" w:rsidP="00E41546">
            <w:pPr>
              <w:jc w:val="left"/>
              <w:rPr>
                <w:rFonts w:ascii="Arial Narrow" w:hAnsi="Arial Narrow" w:cs="Arial"/>
                <w:sz w:val="20"/>
                <w:szCs w:val="20"/>
              </w:rPr>
            </w:pPr>
          </w:p>
          <w:p w14:paraId="7CC6BBAA" w14:textId="7A358B02" w:rsidR="002C1329" w:rsidRPr="00F33674" w:rsidRDefault="002C1329" w:rsidP="00E41546">
            <w:pPr>
              <w:jc w:val="left"/>
              <w:rPr>
                <w:rFonts w:ascii="Arial Narrow" w:hAnsi="Arial Narrow" w:cs="Arial"/>
                <w:sz w:val="20"/>
                <w:szCs w:val="20"/>
              </w:rPr>
            </w:pPr>
            <w:r w:rsidRPr="00F33674">
              <w:rPr>
                <w:rFonts w:ascii="Arial Narrow" w:hAnsi="Arial Narrow" w:cs="Arial"/>
                <w:sz w:val="20"/>
                <w:szCs w:val="20"/>
              </w:rPr>
              <w:t xml:space="preserve">[18096] Patient must </w:t>
            </w:r>
            <w:r w:rsidR="00987201">
              <w:rPr>
                <w:rFonts w:ascii="Arial Narrow" w:hAnsi="Arial Narrow" w:cs="Arial"/>
                <w:sz w:val="20"/>
                <w:szCs w:val="20"/>
              </w:rPr>
              <w:t xml:space="preserve">have </w:t>
            </w:r>
            <w:r w:rsidRPr="00F33674">
              <w:rPr>
                <w:rFonts w:ascii="Arial Narrow" w:hAnsi="Arial Narrow" w:cs="Arial"/>
                <w:sz w:val="20"/>
                <w:szCs w:val="20"/>
              </w:rPr>
              <w:t>cancer</w:t>
            </w:r>
            <w:r>
              <w:rPr>
                <w:rFonts w:ascii="Arial Narrow" w:hAnsi="Arial Narrow" w:cs="Arial"/>
                <w:sz w:val="20"/>
                <w:szCs w:val="20"/>
              </w:rPr>
              <w:t xml:space="preserve"> pain</w:t>
            </w:r>
          </w:p>
          <w:p w14:paraId="6F1A5361" w14:textId="77777777" w:rsidR="002C1329" w:rsidRPr="00F33674" w:rsidRDefault="002C1329" w:rsidP="00E41546">
            <w:pPr>
              <w:jc w:val="left"/>
              <w:rPr>
                <w:rFonts w:ascii="Arial Narrow" w:hAnsi="Arial Narrow" w:cs="Arial"/>
                <w:sz w:val="20"/>
                <w:szCs w:val="20"/>
              </w:rPr>
            </w:pPr>
            <w:r w:rsidRPr="00F33674">
              <w:rPr>
                <w:rFonts w:ascii="Arial Narrow" w:hAnsi="Arial Narrow" w:cs="Arial"/>
                <w:sz w:val="20"/>
                <w:szCs w:val="20"/>
              </w:rPr>
              <w:t>OR</w:t>
            </w:r>
          </w:p>
          <w:p w14:paraId="5FFD9C5C" w14:textId="77777777" w:rsidR="002C1329" w:rsidRPr="00F33674" w:rsidRDefault="002C1329" w:rsidP="00E41546">
            <w:pPr>
              <w:jc w:val="left"/>
              <w:rPr>
                <w:rFonts w:ascii="Arial Narrow" w:hAnsi="Arial Narrow" w:cs="Arial"/>
                <w:sz w:val="20"/>
                <w:szCs w:val="20"/>
              </w:rPr>
            </w:pPr>
            <w:r w:rsidRPr="00F33674">
              <w:rPr>
                <w:rFonts w:ascii="Arial Narrow" w:hAnsi="Arial Narrow" w:cs="Arial"/>
                <w:sz w:val="20"/>
                <w:szCs w:val="20"/>
              </w:rPr>
              <w:t>[new] Patient must have</w:t>
            </w:r>
            <w:r>
              <w:rPr>
                <w:rFonts w:ascii="Arial Narrow" w:hAnsi="Arial Narrow" w:cs="Arial"/>
                <w:sz w:val="20"/>
                <w:szCs w:val="20"/>
              </w:rPr>
              <w:t xml:space="preserve"> had or would have</w:t>
            </w:r>
            <w:r w:rsidRPr="00F33674">
              <w:rPr>
                <w:rFonts w:ascii="Arial Narrow" w:hAnsi="Arial Narrow" w:cs="Arial"/>
                <w:sz w:val="20"/>
                <w:szCs w:val="20"/>
              </w:rPr>
              <w:t xml:space="preserve"> inadequate </w:t>
            </w:r>
            <w:r>
              <w:rPr>
                <w:rFonts w:ascii="Arial Narrow" w:hAnsi="Arial Narrow" w:cs="Arial"/>
                <w:sz w:val="20"/>
                <w:szCs w:val="20"/>
              </w:rPr>
              <w:t xml:space="preserve">pain </w:t>
            </w:r>
            <w:r w:rsidRPr="00F33674">
              <w:rPr>
                <w:rFonts w:ascii="Arial Narrow" w:hAnsi="Arial Narrow" w:cs="Arial"/>
                <w:sz w:val="20"/>
                <w:szCs w:val="20"/>
              </w:rPr>
              <w:t xml:space="preserve">management </w:t>
            </w:r>
            <w:r>
              <w:rPr>
                <w:rFonts w:ascii="Arial Narrow" w:hAnsi="Arial Narrow" w:cs="Arial"/>
                <w:sz w:val="20"/>
                <w:szCs w:val="20"/>
              </w:rPr>
              <w:t>with</w:t>
            </w:r>
            <w:r w:rsidRPr="00F33674">
              <w:rPr>
                <w:rFonts w:ascii="Arial Narrow" w:hAnsi="Arial Narrow" w:cs="Arial"/>
                <w:sz w:val="20"/>
                <w:szCs w:val="20"/>
              </w:rPr>
              <w:t xml:space="preserve"> maximum tolerated doses of non-opioid or other opioid analgesics</w:t>
            </w:r>
          </w:p>
          <w:p w14:paraId="1F645376" w14:textId="77777777" w:rsidR="002C1329" w:rsidRPr="00F33674" w:rsidRDefault="002C1329" w:rsidP="00E41546">
            <w:pPr>
              <w:jc w:val="left"/>
              <w:rPr>
                <w:rFonts w:ascii="Arial Narrow" w:hAnsi="Arial Narrow" w:cs="Arial"/>
                <w:sz w:val="20"/>
                <w:szCs w:val="20"/>
              </w:rPr>
            </w:pPr>
            <w:r w:rsidRPr="00F33674">
              <w:rPr>
                <w:rFonts w:ascii="Arial Narrow" w:hAnsi="Arial Narrow" w:cs="Arial"/>
                <w:sz w:val="20"/>
                <w:szCs w:val="20"/>
              </w:rPr>
              <w:t>OR</w:t>
            </w:r>
          </w:p>
          <w:p w14:paraId="66E287C4" w14:textId="77777777" w:rsidR="002C1329" w:rsidRPr="00F33674" w:rsidRDefault="002C1329" w:rsidP="00E41546">
            <w:pPr>
              <w:jc w:val="left"/>
              <w:rPr>
                <w:rFonts w:ascii="Arial Narrow" w:hAnsi="Arial Narrow" w:cs="Arial"/>
                <w:sz w:val="20"/>
                <w:szCs w:val="20"/>
              </w:rPr>
            </w:pPr>
            <w:r w:rsidRPr="00F33674">
              <w:rPr>
                <w:rFonts w:ascii="Arial Narrow" w:hAnsi="Arial Narrow" w:cs="Arial"/>
                <w:sz w:val="20"/>
                <w:szCs w:val="20"/>
              </w:rPr>
              <w:t>[new] Patient must be unable to use non-opioid or other opioid analgesics due to contraindications or intolerance.</w:t>
            </w:r>
          </w:p>
        </w:tc>
      </w:tr>
      <w:tr w:rsidR="002C1329" w:rsidRPr="00F33674" w14:paraId="22E2B944" w14:textId="77777777" w:rsidTr="00E41546">
        <w:trPr>
          <w:cantSplit/>
          <w:trHeight w:val="360"/>
        </w:trPr>
        <w:tc>
          <w:tcPr>
            <w:tcW w:w="2835" w:type="dxa"/>
            <w:tcBorders>
              <w:top w:val="single" w:sz="4" w:space="0" w:color="auto"/>
              <w:left w:val="single" w:sz="4" w:space="0" w:color="auto"/>
              <w:bottom w:val="single" w:sz="4" w:space="0" w:color="auto"/>
              <w:right w:val="single" w:sz="4" w:space="0" w:color="auto"/>
            </w:tcBorders>
          </w:tcPr>
          <w:p w14:paraId="01F9AB45" w14:textId="77777777" w:rsidR="002C1329" w:rsidRPr="00F33674" w:rsidRDefault="002C1329" w:rsidP="00E41546">
            <w:pPr>
              <w:rPr>
                <w:rFonts w:ascii="Arial Narrow" w:hAnsi="Arial Narrow" w:cs="Arial"/>
                <w:b/>
                <w:sz w:val="20"/>
                <w:szCs w:val="20"/>
              </w:rPr>
            </w:pPr>
            <w:r w:rsidRPr="00F33674">
              <w:rPr>
                <w:rFonts w:ascii="Arial Narrow" w:hAnsi="Arial Narrow" w:cs="Arial"/>
                <w:b/>
                <w:sz w:val="20"/>
                <w:szCs w:val="20"/>
              </w:rPr>
              <w:lastRenderedPageBreak/>
              <w:t>Prescriber instruction:</w:t>
            </w:r>
          </w:p>
        </w:tc>
        <w:tc>
          <w:tcPr>
            <w:tcW w:w="6379" w:type="dxa"/>
            <w:tcBorders>
              <w:top w:val="single" w:sz="4" w:space="0" w:color="auto"/>
              <w:left w:val="single" w:sz="4" w:space="0" w:color="auto"/>
              <w:bottom w:val="single" w:sz="4" w:space="0" w:color="auto"/>
              <w:right w:val="single" w:sz="4" w:space="0" w:color="auto"/>
            </w:tcBorders>
          </w:tcPr>
          <w:p w14:paraId="34106887" w14:textId="77777777" w:rsidR="002C1329" w:rsidRPr="002C1329" w:rsidRDefault="002C1329" w:rsidP="002C1329">
            <w:pPr>
              <w:jc w:val="left"/>
              <w:rPr>
                <w:rFonts w:ascii="Arial Narrow" w:hAnsi="Arial Narrow" w:cs="Arial"/>
                <w:sz w:val="20"/>
                <w:szCs w:val="20"/>
              </w:rPr>
            </w:pPr>
            <w:r w:rsidRPr="00F33674">
              <w:rPr>
                <w:rFonts w:ascii="Arial Narrow" w:hAnsi="Arial Narrow" w:cs="Arial"/>
                <w:sz w:val="20"/>
                <w:szCs w:val="20"/>
              </w:rPr>
              <w:t xml:space="preserve">[new] </w:t>
            </w:r>
            <w:r w:rsidRPr="002C1329">
              <w:rPr>
                <w:rFonts w:ascii="Arial Narrow" w:hAnsi="Arial Narrow" w:cs="Arial"/>
                <w:sz w:val="20"/>
                <w:szCs w:val="20"/>
              </w:rPr>
              <w:t>Authorities for increased maximum quantities and/or repeats must only be considered for chronic severe disabling pain where the total duration of non-PBS and PBS opioid analgesic treatment:</w:t>
            </w:r>
          </w:p>
          <w:p w14:paraId="7486BF82" w14:textId="77777777" w:rsidR="002C1329" w:rsidRPr="002C1329" w:rsidRDefault="002C1329" w:rsidP="002C1329">
            <w:pPr>
              <w:jc w:val="left"/>
              <w:rPr>
                <w:rFonts w:ascii="Arial Narrow" w:hAnsi="Arial Narrow" w:cs="Arial"/>
                <w:sz w:val="20"/>
                <w:szCs w:val="20"/>
              </w:rPr>
            </w:pPr>
            <w:r w:rsidRPr="002C1329">
              <w:rPr>
                <w:rFonts w:ascii="Arial Narrow" w:hAnsi="Arial Narrow" w:cs="Arial"/>
                <w:sz w:val="20"/>
                <w:szCs w:val="20"/>
              </w:rPr>
              <w:t>(i) exceeds 12 months and the palliative care patient is unable to have annual pain management review due to their clinical condition; or</w:t>
            </w:r>
          </w:p>
          <w:p w14:paraId="706DCE77" w14:textId="77777777" w:rsidR="002C1329" w:rsidRPr="002C1329" w:rsidRDefault="002C1329" w:rsidP="002C1329">
            <w:pPr>
              <w:jc w:val="left"/>
              <w:rPr>
                <w:rFonts w:ascii="Arial Narrow" w:hAnsi="Arial Narrow" w:cs="Arial"/>
                <w:sz w:val="20"/>
                <w:szCs w:val="20"/>
              </w:rPr>
            </w:pPr>
            <w:r w:rsidRPr="002C1329">
              <w:rPr>
                <w:rFonts w:ascii="Arial Narrow" w:hAnsi="Arial Narrow" w:cs="Arial"/>
                <w:sz w:val="20"/>
                <w:szCs w:val="20"/>
              </w:rPr>
              <w:t>(ii) exceeds 12 months and the patient's clinical need for continuing opioid treatment has been confirmed through consultation with the patient by another medical practitioner or a palliative care nurse practitioner in the past 12 months; or</w:t>
            </w:r>
          </w:p>
          <w:p w14:paraId="622C160F" w14:textId="12D10C59" w:rsidR="002C1329" w:rsidRDefault="002C1329" w:rsidP="002C1329">
            <w:pPr>
              <w:jc w:val="left"/>
              <w:rPr>
                <w:rFonts w:ascii="Arial Narrow" w:hAnsi="Arial Narrow" w:cs="Arial"/>
                <w:sz w:val="20"/>
                <w:szCs w:val="20"/>
              </w:rPr>
            </w:pPr>
            <w:r w:rsidRPr="002C1329">
              <w:rPr>
                <w:rFonts w:ascii="Arial Narrow" w:hAnsi="Arial Narrow" w:cs="Arial"/>
                <w:sz w:val="20"/>
                <w:szCs w:val="20"/>
              </w:rPr>
              <w:t xml:space="preserve">(iii) </w:t>
            </w:r>
            <w:proofErr w:type="gramStart"/>
            <w:r w:rsidRPr="002C1329">
              <w:rPr>
                <w:rFonts w:ascii="Arial Narrow" w:hAnsi="Arial Narrow" w:cs="Arial"/>
                <w:sz w:val="20"/>
                <w:szCs w:val="20"/>
              </w:rPr>
              <w:t>has</w:t>
            </w:r>
            <w:proofErr w:type="gramEnd"/>
            <w:r w:rsidRPr="002C1329">
              <w:rPr>
                <w:rFonts w:ascii="Arial Narrow" w:hAnsi="Arial Narrow" w:cs="Arial"/>
                <w:sz w:val="20"/>
                <w:szCs w:val="20"/>
              </w:rPr>
              <w:t xml:space="preserve"> exceeded 12 months prior to 1 June 2020 and the patient's clinical need for continuing opioid treatment has not been confirmed through consultation with the patient by another medical practitioner or a palliative care nurse practitioner in the past 12 months, but is planned in the next 3 months.</w:t>
            </w:r>
          </w:p>
          <w:p w14:paraId="78D37C35" w14:textId="64510133" w:rsidR="002C1329" w:rsidRDefault="002C1329" w:rsidP="002C1329">
            <w:pPr>
              <w:jc w:val="left"/>
              <w:rPr>
                <w:rFonts w:ascii="Arial Narrow" w:hAnsi="Arial Narrow" w:cs="Arial"/>
                <w:sz w:val="20"/>
                <w:szCs w:val="20"/>
              </w:rPr>
            </w:pPr>
          </w:p>
          <w:p w14:paraId="4C43AEDF" w14:textId="77777777" w:rsidR="002C1329" w:rsidRPr="00F33674" w:rsidRDefault="002C1329" w:rsidP="002C1329">
            <w:pPr>
              <w:jc w:val="left"/>
              <w:rPr>
                <w:rFonts w:ascii="Arial Narrow" w:hAnsi="Arial Narrow" w:cs="Arial"/>
                <w:sz w:val="20"/>
                <w:szCs w:val="20"/>
              </w:rPr>
            </w:pPr>
            <w:r>
              <w:rPr>
                <w:rFonts w:ascii="Arial Narrow" w:hAnsi="Arial Narrow" w:cs="Arial"/>
                <w:sz w:val="20"/>
                <w:szCs w:val="20"/>
              </w:rPr>
              <w:t xml:space="preserve">[new] </w:t>
            </w:r>
            <w:r w:rsidRPr="009F3089">
              <w:rPr>
                <w:rFonts w:ascii="Arial Narrow" w:hAnsi="Arial Narrow" w:cs="Arial"/>
                <w:sz w:val="20"/>
                <w:szCs w:val="20"/>
              </w:rPr>
              <w:t>Palliative care nurses may conduct annual review under this item for the treatment of palliative care patients only.</w:t>
            </w:r>
          </w:p>
          <w:p w14:paraId="50572CCB" w14:textId="77777777" w:rsidR="002C1329" w:rsidRPr="00F33674" w:rsidRDefault="002C1329" w:rsidP="00E41546">
            <w:pPr>
              <w:jc w:val="left"/>
              <w:rPr>
                <w:rFonts w:ascii="Arial Narrow" w:hAnsi="Arial Narrow" w:cs="Arial"/>
                <w:sz w:val="20"/>
                <w:szCs w:val="20"/>
              </w:rPr>
            </w:pPr>
          </w:p>
          <w:p w14:paraId="3B5E5571" w14:textId="77777777" w:rsidR="002C1329" w:rsidRPr="00F33674" w:rsidRDefault="002C1329" w:rsidP="00E41546">
            <w:pPr>
              <w:jc w:val="left"/>
              <w:rPr>
                <w:rFonts w:ascii="Arial Narrow" w:hAnsi="Arial Narrow" w:cs="Arial"/>
                <w:sz w:val="20"/>
                <w:szCs w:val="20"/>
              </w:rPr>
            </w:pPr>
            <w:r w:rsidRPr="00F33674">
              <w:rPr>
                <w:rFonts w:ascii="Arial Narrow" w:hAnsi="Arial Narrow" w:cs="Arial"/>
                <w:sz w:val="20"/>
                <w:szCs w:val="20"/>
              </w:rPr>
              <w:t>[new] Authority requests extending treatment duration up to 1 month may be requested though the Online PBS Authorities system or by calling Services Australia.</w:t>
            </w:r>
          </w:p>
          <w:p w14:paraId="2D00A6E5" w14:textId="77777777" w:rsidR="002C1329" w:rsidRPr="00F33674" w:rsidRDefault="002C1329" w:rsidP="00E41546">
            <w:pPr>
              <w:jc w:val="left"/>
              <w:rPr>
                <w:rFonts w:ascii="Arial Narrow" w:hAnsi="Arial Narrow" w:cs="Arial"/>
                <w:sz w:val="20"/>
                <w:szCs w:val="20"/>
              </w:rPr>
            </w:pPr>
          </w:p>
          <w:p w14:paraId="0D0F66AD" w14:textId="5B986F03" w:rsidR="002C1329" w:rsidRPr="00F33674" w:rsidRDefault="002C1329">
            <w:pPr>
              <w:jc w:val="left"/>
              <w:rPr>
                <w:rFonts w:ascii="Arial Narrow" w:hAnsi="Arial Narrow" w:cs="Arial"/>
                <w:sz w:val="20"/>
                <w:szCs w:val="20"/>
              </w:rPr>
            </w:pPr>
            <w:r w:rsidRPr="00F33674">
              <w:rPr>
                <w:rFonts w:ascii="Arial Narrow" w:hAnsi="Arial Narrow" w:cs="Arial"/>
                <w:sz w:val="20"/>
                <w:szCs w:val="20"/>
              </w:rPr>
              <w:t xml:space="preserve">Authority requests extending treatment duration beyond 1 month </w:t>
            </w:r>
            <w:r w:rsidRPr="002C1329">
              <w:rPr>
                <w:rFonts w:ascii="Arial Narrow" w:hAnsi="Arial Narrow" w:cs="Arial"/>
                <w:sz w:val="20"/>
                <w:szCs w:val="20"/>
              </w:rPr>
              <w:t>may be requested through the Online PBS Authorities system</w:t>
            </w:r>
            <w:r w:rsidRPr="00F33674">
              <w:rPr>
                <w:rFonts w:ascii="Arial Narrow" w:hAnsi="Arial Narrow" w:cs="Arial"/>
                <w:sz w:val="20"/>
                <w:szCs w:val="20"/>
              </w:rPr>
              <w:t xml:space="preserve"> or in writing only and must not provide a treatment duration exceeding 3 months</w:t>
            </w:r>
            <w:r>
              <w:rPr>
                <w:rFonts w:ascii="Arial Narrow" w:hAnsi="Arial Narrow" w:cs="Arial"/>
                <w:sz w:val="20"/>
                <w:szCs w:val="20"/>
              </w:rPr>
              <w:t xml:space="preserve"> (</w:t>
            </w:r>
            <w:r w:rsidRPr="002C1329">
              <w:rPr>
                <w:rFonts w:ascii="Arial Narrow" w:hAnsi="Arial Narrow" w:cs="Arial"/>
                <w:sz w:val="20"/>
                <w:szCs w:val="20"/>
              </w:rPr>
              <w:t xml:space="preserve">quantity sufficient for up to </w:t>
            </w:r>
            <w:proofErr w:type="gramStart"/>
            <w:r w:rsidRPr="002C1329">
              <w:rPr>
                <w:rFonts w:ascii="Arial Narrow" w:hAnsi="Arial Narrow" w:cs="Arial"/>
                <w:sz w:val="20"/>
                <w:szCs w:val="20"/>
              </w:rPr>
              <w:t>1 month</w:t>
            </w:r>
            <w:proofErr w:type="gramEnd"/>
            <w:r w:rsidRPr="002C1329">
              <w:rPr>
                <w:rFonts w:ascii="Arial Narrow" w:hAnsi="Arial Narrow" w:cs="Arial"/>
                <w:sz w:val="20"/>
                <w:szCs w:val="20"/>
              </w:rPr>
              <w:t xml:space="preserve"> treatment and sufficient repeats)</w:t>
            </w:r>
            <w:r w:rsidRPr="00F33674">
              <w:rPr>
                <w:rFonts w:ascii="Arial Narrow" w:hAnsi="Arial Narrow" w:cs="Arial"/>
                <w:sz w:val="20"/>
                <w:szCs w:val="20"/>
              </w:rPr>
              <w:t>.</w:t>
            </w:r>
          </w:p>
        </w:tc>
      </w:tr>
      <w:tr w:rsidR="002C1329" w:rsidRPr="00F33674" w14:paraId="67E4ADF1" w14:textId="77777777" w:rsidTr="00E41546">
        <w:trPr>
          <w:cantSplit/>
          <w:trHeight w:val="360"/>
        </w:trPr>
        <w:tc>
          <w:tcPr>
            <w:tcW w:w="2835" w:type="dxa"/>
            <w:tcBorders>
              <w:top w:val="single" w:sz="4" w:space="0" w:color="auto"/>
              <w:left w:val="single" w:sz="4" w:space="0" w:color="auto"/>
              <w:bottom w:val="single" w:sz="4" w:space="0" w:color="auto"/>
              <w:right w:val="single" w:sz="4" w:space="0" w:color="auto"/>
            </w:tcBorders>
          </w:tcPr>
          <w:p w14:paraId="6EEA24F1" w14:textId="77777777" w:rsidR="002C1329" w:rsidRPr="00F33674" w:rsidRDefault="002C1329" w:rsidP="00E41546">
            <w:pPr>
              <w:rPr>
                <w:rFonts w:ascii="Arial Narrow" w:hAnsi="Arial Narrow" w:cs="Arial"/>
                <w:b/>
                <w:sz w:val="20"/>
                <w:szCs w:val="20"/>
              </w:rPr>
            </w:pPr>
            <w:r w:rsidRPr="00F33674">
              <w:rPr>
                <w:rFonts w:ascii="Arial Narrow" w:hAnsi="Arial Narrow" w:cs="Arial"/>
                <w:b/>
                <w:sz w:val="20"/>
                <w:szCs w:val="20"/>
              </w:rPr>
              <w:t>Administrative advice:</w:t>
            </w:r>
          </w:p>
        </w:tc>
        <w:tc>
          <w:tcPr>
            <w:tcW w:w="6379" w:type="dxa"/>
            <w:tcBorders>
              <w:top w:val="single" w:sz="4" w:space="0" w:color="auto"/>
              <w:left w:val="single" w:sz="4" w:space="0" w:color="auto"/>
              <w:bottom w:val="single" w:sz="4" w:space="0" w:color="auto"/>
              <w:right w:val="single" w:sz="4" w:space="0" w:color="auto"/>
            </w:tcBorders>
          </w:tcPr>
          <w:p w14:paraId="27981715" w14:textId="77777777" w:rsidR="002C1329" w:rsidRPr="00F33674" w:rsidRDefault="002C1329" w:rsidP="00E41546">
            <w:pPr>
              <w:jc w:val="left"/>
              <w:rPr>
                <w:rFonts w:ascii="Arial Narrow" w:hAnsi="Arial Narrow" w:cs="Arial"/>
                <w:sz w:val="20"/>
                <w:szCs w:val="20"/>
              </w:rPr>
            </w:pPr>
            <w:r w:rsidRPr="00F33674">
              <w:rPr>
                <w:rFonts w:ascii="Arial Narrow" w:hAnsi="Arial Narrow" w:cs="Arial"/>
                <w:sz w:val="20"/>
                <w:szCs w:val="20"/>
              </w:rPr>
              <w:t>[new] This treatment is not suitable for ‘as-required’ pain relief.</w:t>
            </w:r>
          </w:p>
          <w:p w14:paraId="10BA38E7" w14:textId="77777777" w:rsidR="002C1329" w:rsidRPr="00F33674" w:rsidRDefault="002C1329" w:rsidP="00E41546">
            <w:pPr>
              <w:jc w:val="left"/>
              <w:rPr>
                <w:rFonts w:ascii="Arial Narrow" w:hAnsi="Arial Narrow" w:cs="Arial"/>
                <w:sz w:val="20"/>
                <w:szCs w:val="20"/>
              </w:rPr>
            </w:pPr>
          </w:p>
          <w:p w14:paraId="5325B934" w14:textId="77777777" w:rsidR="002C1329" w:rsidRPr="00F33674" w:rsidRDefault="002C1329" w:rsidP="00E41546">
            <w:pPr>
              <w:jc w:val="left"/>
              <w:rPr>
                <w:rFonts w:ascii="Arial Narrow" w:hAnsi="Arial Narrow" w:cs="Arial"/>
                <w:sz w:val="20"/>
                <w:szCs w:val="20"/>
              </w:rPr>
            </w:pPr>
            <w:r w:rsidRPr="00F33674">
              <w:rPr>
                <w:rFonts w:ascii="Arial Narrow" w:hAnsi="Arial Narrow" w:cs="Arial"/>
                <w:sz w:val="20"/>
                <w:szCs w:val="20"/>
              </w:rPr>
              <w:t xml:space="preserve">[7901] Shared Care Model: For prescribing by nurse practitioners where care of a patient </w:t>
            </w:r>
            <w:proofErr w:type="gramStart"/>
            <w:r w:rsidRPr="00F33674">
              <w:rPr>
                <w:rFonts w:ascii="Arial Narrow" w:hAnsi="Arial Narrow" w:cs="Arial"/>
                <w:sz w:val="20"/>
                <w:szCs w:val="20"/>
              </w:rPr>
              <w:t>is shared</w:t>
            </w:r>
            <w:proofErr w:type="gramEnd"/>
            <w:r w:rsidRPr="00F33674">
              <w:rPr>
                <w:rFonts w:ascii="Arial Narrow" w:hAnsi="Arial Narrow" w:cs="Arial"/>
                <w:sz w:val="20"/>
                <w:szCs w:val="20"/>
              </w:rPr>
              <w:t xml:space="preserve"> between a nurse practitioner and medical practitioner in a formalised arrangement with an agreed management plan. Further information </w:t>
            </w:r>
            <w:proofErr w:type="gramStart"/>
            <w:r w:rsidRPr="00F33674">
              <w:rPr>
                <w:rFonts w:ascii="Arial Narrow" w:hAnsi="Arial Narrow" w:cs="Arial"/>
                <w:sz w:val="20"/>
                <w:szCs w:val="20"/>
              </w:rPr>
              <w:t>can be found</w:t>
            </w:r>
            <w:proofErr w:type="gramEnd"/>
            <w:r w:rsidRPr="00F33674">
              <w:rPr>
                <w:rFonts w:ascii="Arial Narrow" w:hAnsi="Arial Narrow" w:cs="Arial"/>
                <w:sz w:val="20"/>
                <w:szCs w:val="20"/>
              </w:rPr>
              <w:t xml:space="preserve"> in the Explanatory Notes for Nurse Practitioners.</w:t>
            </w:r>
          </w:p>
          <w:p w14:paraId="693EDE13" w14:textId="77777777" w:rsidR="002C1329" w:rsidRPr="00F33674" w:rsidRDefault="002C1329" w:rsidP="00E41546">
            <w:pPr>
              <w:jc w:val="left"/>
              <w:rPr>
                <w:rFonts w:ascii="Arial Narrow" w:hAnsi="Arial Narrow" w:cs="Arial"/>
                <w:sz w:val="20"/>
                <w:szCs w:val="20"/>
              </w:rPr>
            </w:pPr>
          </w:p>
          <w:p w14:paraId="2BDA651B" w14:textId="77777777" w:rsidR="002C1329" w:rsidRPr="00F33674" w:rsidRDefault="002C1329" w:rsidP="00E41546">
            <w:pPr>
              <w:jc w:val="left"/>
              <w:rPr>
                <w:rFonts w:ascii="Arial Narrow" w:hAnsi="Arial Narrow" w:cs="Arial"/>
                <w:sz w:val="20"/>
                <w:szCs w:val="20"/>
              </w:rPr>
            </w:pPr>
            <w:r w:rsidRPr="00F33674">
              <w:rPr>
                <w:rFonts w:ascii="Arial Narrow" w:hAnsi="Arial Narrow" w:cs="Arial"/>
                <w:sz w:val="20"/>
                <w:szCs w:val="20"/>
              </w:rPr>
              <w:t>[new] Real time online applications for increased maximum quantities/repeats may be made using the Online PBS Authorities system (see www.servicesaustralia.gov.au/organisations/health-professionals/services/medicare/hpos/services/request-authority-using-online-pbs-authorities-hpos)</w:t>
            </w:r>
          </w:p>
          <w:p w14:paraId="74658D5B" w14:textId="77777777" w:rsidR="002C1329" w:rsidRPr="00F33674" w:rsidRDefault="002C1329" w:rsidP="00E41546">
            <w:pPr>
              <w:jc w:val="left"/>
              <w:rPr>
                <w:rFonts w:ascii="Arial Narrow" w:hAnsi="Arial Narrow" w:cs="Arial"/>
                <w:sz w:val="20"/>
                <w:szCs w:val="20"/>
              </w:rPr>
            </w:pPr>
          </w:p>
          <w:p w14:paraId="76ECC003" w14:textId="77777777" w:rsidR="002C1329" w:rsidRPr="00F33674" w:rsidRDefault="002C1329" w:rsidP="00E41546">
            <w:pPr>
              <w:jc w:val="left"/>
              <w:rPr>
                <w:rFonts w:ascii="Arial Narrow" w:hAnsi="Arial Narrow" w:cs="Arial"/>
                <w:sz w:val="20"/>
                <w:szCs w:val="20"/>
              </w:rPr>
            </w:pPr>
            <w:r w:rsidRPr="00F33674">
              <w:rPr>
                <w:rFonts w:ascii="Arial Narrow" w:hAnsi="Arial Narrow" w:cs="Arial"/>
                <w:sz w:val="20"/>
                <w:szCs w:val="20"/>
              </w:rPr>
              <w:t>Phone applications for increased maximum quantities/repeats may be made by calling 1800 888 333.</w:t>
            </w:r>
          </w:p>
          <w:p w14:paraId="738F18EA" w14:textId="77777777" w:rsidR="002C1329" w:rsidRPr="00F33674" w:rsidRDefault="002C1329" w:rsidP="00E41546">
            <w:pPr>
              <w:jc w:val="left"/>
              <w:rPr>
                <w:rFonts w:ascii="Arial Narrow" w:hAnsi="Arial Narrow" w:cs="Arial"/>
                <w:sz w:val="20"/>
                <w:szCs w:val="20"/>
              </w:rPr>
            </w:pPr>
          </w:p>
          <w:p w14:paraId="53BBC384" w14:textId="77777777" w:rsidR="002C1329" w:rsidRPr="00F33674" w:rsidRDefault="002C1329" w:rsidP="00E41546">
            <w:pPr>
              <w:jc w:val="left"/>
              <w:rPr>
                <w:rFonts w:ascii="Arial Narrow" w:hAnsi="Arial Narrow" w:cs="Arial"/>
                <w:sz w:val="20"/>
                <w:szCs w:val="20"/>
              </w:rPr>
            </w:pPr>
            <w:r w:rsidRPr="00F33674">
              <w:rPr>
                <w:rFonts w:ascii="Arial Narrow" w:hAnsi="Arial Narrow" w:cs="Arial"/>
                <w:sz w:val="20"/>
                <w:szCs w:val="20"/>
              </w:rPr>
              <w:t>Written authority applications for increased maximum quantities/repeats can be uploaded online through HPOS form upload or mailed to:</w:t>
            </w:r>
          </w:p>
          <w:p w14:paraId="65487831" w14:textId="77777777" w:rsidR="002C1329" w:rsidRPr="00F33674" w:rsidRDefault="002C1329" w:rsidP="00E41546">
            <w:pPr>
              <w:jc w:val="left"/>
              <w:rPr>
                <w:rFonts w:ascii="Arial Narrow" w:hAnsi="Arial Narrow" w:cs="Arial"/>
                <w:sz w:val="20"/>
                <w:szCs w:val="20"/>
              </w:rPr>
            </w:pPr>
            <w:r w:rsidRPr="00F33674">
              <w:rPr>
                <w:rFonts w:ascii="Arial Narrow" w:hAnsi="Arial Narrow" w:cs="Arial"/>
                <w:sz w:val="20"/>
                <w:szCs w:val="20"/>
              </w:rPr>
              <w:t>Pharmaceutical Benefits Scheme</w:t>
            </w:r>
          </w:p>
          <w:p w14:paraId="2837D674" w14:textId="77777777" w:rsidR="002C1329" w:rsidRPr="00F33674" w:rsidRDefault="002C1329" w:rsidP="00E41546">
            <w:pPr>
              <w:jc w:val="left"/>
              <w:rPr>
                <w:rFonts w:ascii="Arial Narrow" w:hAnsi="Arial Narrow" w:cs="Arial"/>
                <w:sz w:val="20"/>
                <w:szCs w:val="20"/>
              </w:rPr>
            </w:pPr>
            <w:r w:rsidRPr="00F33674">
              <w:rPr>
                <w:rFonts w:ascii="Arial Narrow" w:hAnsi="Arial Narrow" w:cs="Arial"/>
                <w:sz w:val="20"/>
                <w:szCs w:val="20"/>
              </w:rPr>
              <w:t>Reply Paid 9857</w:t>
            </w:r>
          </w:p>
          <w:p w14:paraId="012AF424" w14:textId="77777777" w:rsidR="002C1329" w:rsidRPr="00F33674" w:rsidRDefault="002C1329" w:rsidP="00E41546">
            <w:pPr>
              <w:jc w:val="left"/>
              <w:rPr>
                <w:rFonts w:ascii="Arial Narrow" w:hAnsi="Arial Narrow" w:cs="Arial"/>
                <w:i/>
                <w:sz w:val="20"/>
                <w:szCs w:val="20"/>
              </w:rPr>
            </w:pPr>
            <w:r w:rsidRPr="00F33674">
              <w:rPr>
                <w:rFonts w:ascii="Arial Narrow" w:hAnsi="Arial Narrow" w:cs="Arial"/>
                <w:sz w:val="20"/>
                <w:szCs w:val="20"/>
              </w:rPr>
              <w:t>[Your capital city]</w:t>
            </w:r>
          </w:p>
        </w:tc>
      </w:tr>
      <w:tr w:rsidR="002C1329" w:rsidRPr="00F33674" w14:paraId="20948F0D" w14:textId="77777777" w:rsidTr="00E41546">
        <w:trPr>
          <w:cantSplit/>
          <w:trHeight w:val="360"/>
        </w:trPr>
        <w:tc>
          <w:tcPr>
            <w:tcW w:w="2835" w:type="dxa"/>
            <w:tcBorders>
              <w:top w:val="single" w:sz="4" w:space="0" w:color="auto"/>
              <w:left w:val="single" w:sz="4" w:space="0" w:color="auto"/>
              <w:bottom w:val="single" w:sz="4" w:space="0" w:color="auto"/>
              <w:right w:val="single" w:sz="4" w:space="0" w:color="auto"/>
            </w:tcBorders>
          </w:tcPr>
          <w:p w14:paraId="4AF1DE7A" w14:textId="77777777" w:rsidR="002C1329" w:rsidRPr="00F33674" w:rsidRDefault="002C1329" w:rsidP="00E41546">
            <w:pPr>
              <w:rPr>
                <w:rFonts w:ascii="Arial Narrow" w:hAnsi="Arial Narrow" w:cs="Arial"/>
                <w:b/>
                <w:sz w:val="20"/>
                <w:szCs w:val="20"/>
              </w:rPr>
            </w:pPr>
            <w:r w:rsidRPr="00F33674">
              <w:rPr>
                <w:rFonts w:ascii="Arial Narrow" w:hAnsi="Arial Narrow" w:cs="Arial"/>
                <w:b/>
                <w:sz w:val="20"/>
                <w:szCs w:val="20"/>
              </w:rPr>
              <w:t>Cautions:</w:t>
            </w:r>
          </w:p>
        </w:tc>
        <w:tc>
          <w:tcPr>
            <w:tcW w:w="6379" w:type="dxa"/>
            <w:tcBorders>
              <w:top w:val="single" w:sz="4" w:space="0" w:color="auto"/>
              <w:left w:val="single" w:sz="4" w:space="0" w:color="auto"/>
              <w:bottom w:val="single" w:sz="4" w:space="0" w:color="auto"/>
              <w:right w:val="single" w:sz="4" w:space="0" w:color="auto"/>
            </w:tcBorders>
          </w:tcPr>
          <w:p w14:paraId="3BF0D127" w14:textId="77777777" w:rsidR="002C1329" w:rsidRPr="00F33674" w:rsidRDefault="002C1329" w:rsidP="00E41546">
            <w:pPr>
              <w:jc w:val="left"/>
              <w:rPr>
                <w:rFonts w:ascii="Arial Narrow" w:hAnsi="Arial Narrow" w:cs="Arial"/>
                <w:sz w:val="20"/>
                <w:szCs w:val="20"/>
              </w:rPr>
            </w:pPr>
            <w:r w:rsidRPr="00F33674">
              <w:rPr>
                <w:rFonts w:ascii="Arial Narrow" w:hAnsi="Arial Narrow" w:cs="Arial"/>
                <w:sz w:val="20"/>
                <w:szCs w:val="20"/>
              </w:rPr>
              <w:t>[6986] The risk of drug dependence is high.</w:t>
            </w:r>
          </w:p>
        </w:tc>
      </w:tr>
    </w:tbl>
    <w:p w14:paraId="753FB06C" w14:textId="77777777" w:rsidR="002C1329" w:rsidRDefault="002C1329">
      <w:pPr>
        <w:jc w:val="left"/>
      </w:pPr>
    </w:p>
    <w:tbl>
      <w:tblPr>
        <w:tblW w:w="9214" w:type="dxa"/>
        <w:tblInd w:w="-5" w:type="dxa"/>
        <w:tblLayout w:type="fixed"/>
        <w:tblLook w:val="0000" w:firstRow="0" w:lastRow="0" w:firstColumn="0" w:lastColumn="0" w:noHBand="0" w:noVBand="0"/>
      </w:tblPr>
      <w:tblGrid>
        <w:gridCol w:w="2835"/>
        <w:gridCol w:w="6379"/>
      </w:tblGrid>
      <w:tr w:rsidR="002C1329" w:rsidRPr="00F33674" w14:paraId="5A6D21D5" w14:textId="77777777" w:rsidTr="00E41546">
        <w:trPr>
          <w:cantSplit/>
          <w:trHeight w:val="360"/>
        </w:trPr>
        <w:tc>
          <w:tcPr>
            <w:tcW w:w="2835" w:type="dxa"/>
            <w:tcBorders>
              <w:top w:val="single" w:sz="4" w:space="0" w:color="auto"/>
              <w:left w:val="single" w:sz="4" w:space="0" w:color="auto"/>
              <w:bottom w:val="single" w:sz="4" w:space="0" w:color="auto"/>
              <w:right w:val="single" w:sz="4" w:space="0" w:color="auto"/>
            </w:tcBorders>
          </w:tcPr>
          <w:p w14:paraId="27601300" w14:textId="77777777" w:rsidR="002C1329" w:rsidRPr="00F33674" w:rsidRDefault="002C1329" w:rsidP="00E41546">
            <w:pPr>
              <w:rPr>
                <w:rFonts w:ascii="Arial Narrow" w:hAnsi="Arial Narrow" w:cs="Arial"/>
                <w:b/>
                <w:sz w:val="20"/>
                <w:szCs w:val="20"/>
              </w:rPr>
            </w:pPr>
            <w:r w:rsidRPr="00F33674">
              <w:rPr>
                <w:rFonts w:ascii="Arial Narrow" w:hAnsi="Arial Narrow" w:cs="Arial"/>
                <w:b/>
                <w:sz w:val="20"/>
                <w:szCs w:val="20"/>
              </w:rPr>
              <w:t>Category / Program:</w:t>
            </w:r>
          </w:p>
        </w:tc>
        <w:tc>
          <w:tcPr>
            <w:tcW w:w="6379" w:type="dxa"/>
            <w:tcBorders>
              <w:top w:val="single" w:sz="4" w:space="0" w:color="auto"/>
              <w:left w:val="single" w:sz="4" w:space="0" w:color="auto"/>
              <w:bottom w:val="single" w:sz="4" w:space="0" w:color="auto"/>
              <w:right w:val="single" w:sz="4" w:space="0" w:color="auto"/>
            </w:tcBorders>
          </w:tcPr>
          <w:p w14:paraId="2BC5B2E7" w14:textId="77777777" w:rsidR="002C1329" w:rsidRPr="00F33674" w:rsidRDefault="002C1329" w:rsidP="00E41546">
            <w:pPr>
              <w:rPr>
                <w:rFonts w:ascii="Arial Narrow" w:hAnsi="Arial Narrow" w:cs="Arial"/>
                <w:sz w:val="20"/>
                <w:szCs w:val="20"/>
              </w:rPr>
            </w:pPr>
            <w:r w:rsidRPr="00F33674">
              <w:rPr>
                <w:rFonts w:ascii="Arial Narrow" w:hAnsi="Arial Narrow" w:cs="Arial"/>
                <w:sz w:val="20"/>
                <w:szCs w:val="20"/>
              </w:rPr>
              <w:t>GENERAL – General Schedule (Code GE)</w:t>
            </w:r>
          </w:p>
        </w:tc>
      </w:tr>
      <w:tr w:rsidR="002C1329" w:rsidRPr="00F33674" w14:paraId="3570F083" w14:textId="77777777" w:rsidTr="00E41546">
        <w:trPr>
          <w:cantSplit/>
          <w:trHeight w:val="360"/>
        </w:trPr>
        <w:tc>
          <w:tcPr>
            <w:tcW w:w="2835" w:type="dxa"/>
            <w:tcBorders>
              <w:top w:val="single" w:sz="4" w:space="0" w:color="auto"/>
              <w:left w:val="single" w:sz="4" w:space="0" w:color="auto"/>
              <w:bottom w:val="single" w:sz="4" w:space="0" w:color="auto"/>
              <w:right w:val="single" w:sz="4" w:space="0" w:color="auto"/>
            </w:tcBorders>
          </w:tcPr>
          <w:p w14:paraId="27B7C105" w14:textId="77777777" w:rsidR="002C1329" w:rsidRPr="00F33674" w:rsidRDefault="002C1329" w:rsidP="00E41546">
            <w:pPr>
              <w:rPr>
                <w:rFonts w:ascii="Arial Narrow" w:hAnsi="Arial Narrow" w:cs="Arial"/>
                <w:b/>
                <w:sz w:val="20"/>
                <w:szCs w:val="20"/>
              </w:rPr>
            </w:pPr>
            <w:r w:rsidRPr="00F33674">
              <w:rPr>
                <w:rFonts w:ascii="Arial Narrow" w:hAnsi="Arial Narrow" w:cs="Arial"/>
                <w:b/>
                <w:sz w:val="20"/>
                <w:szCs w:val="20"/>
              </w:rPr>
              <w:t>Prescriber type:</w:t>
            </w:r>
          </w:p>
          <w:p w14:paraId="4F74B216" w14:textId="77777777" w:rsidR="002C1329" w:rsidRPr="00F33674" w:rsidRDefault="002C1329" w:rsidP="00E41546">
            <w:pPr>
              <w:rPr>
                <w:rFonts w:ascii="Arial Narrow" w:hAnsi="Arial Narrow" w:cs="Arial"/>
                <w:b/>
                <w:sz w:val="20"/>
                <w:szCs w:val="20"/>
              </w:rPr>
            </w:pPr>
          </w:p>
        </w:tc>
        <w:tc>
          <w:tcPr>
            <w:tcW w:w="6379" w:type="dxa"/>
            <w:tcBorders>
              <w:top w:val="single" w:sz="4" w:space="0" w:color="auto"/>
              <w:left w:val="single" w:sz="4" w:space="0" w:color="auto"/>
              <w:bottom w:val="single" w:sz="4" w:space="0" w:color="auto"/>
              <w:right w:val="single" w:sz="4" w:space="0" w:color="auto"/>
            </w:tcBorders>
          </w:tcPr>
          <w:p w14:paraId="4AE0C497" w14:textId="77777777" w:rsidR="002C1329" w:rsidRPr="00F33674" w:rsidRDefault="002C1329" w:rsidP="00E41546">
            <w:pPr>
              <w:rPr>
                <w:rFonts w:ascii="Arial Narrow" w:hAnsi="Arial Narrow" w:cs="Arial"/>
                <w:sz w:val="20"/>
                <w:szCs w:val="20"/>
              </w:rPr>
            </w:pPr>
            <w:r w:rsidRPr="00F33674">
              <w:rPr>
                <w:rFonts w:ascii="Arial Narrow" w:hAnsi="Arial Narrow" w:cs="Arial"/>
                <w:sz w:val="20"/>
                <w:szCs w:val="20"/>
              </w:rPr>
              <w:fldChar w:fldCharType="begin">
                <w:ffData>
                  <w:name w:val="Check1"/>
                  <w:enabled/>
                  <w:calcOnExit w:val="0"/>
                  <w:checkBox>
                    <w:sizeAuto/>
                    <w:default w:val="0"/>
                  </w:checkBox>
                </w:ffData>
              </w:fldChar>
            </w:r>
            <w:r w:rsidRPr="00F33674">
              <w:rPr>
                <w:rFonts w:ascii="Arial Narrow" w:hAnsi="Arial Narrow" w:cs="Arial"/>
                <w:sz w:val="20"/>
                <w:szCs w:val="20"/>
              </w:rPr>
              <w:instrText xml:space="preserve"> FORMCHECKBOX </w:instrText>
            </w:r>
            <w:r w:rsidR="00233D13">
              <w:rPr>
                <w:rFonts w:ascii="Arial Narrow" w:hAnsi="Arial Narrow" w:cs="Arial"/>
                <w:sz w:val="20"/>
                <w:szCs w:val="20"/>
              </w:rPr>
            </w:r>
            <w:r w:rsidR="00233D13">
              <w:rPr>
                <w:rFonts w:ascii="Arial Narrow" w:hAnsi="Arial Narrow" w:cs="Arial"/>
                <w:sz w:val="20"/>
                <w:szCs w:val="20"/>
              </w:rPr>
              <w:fldChar w:fldCharType="separate"/>
            </w:r>
            <w:r w:rsidRPr="00F33674">
              <w:rPr>
                <w:rFonts w:ascii="Arial Narrow" w:hAnsi="Arial Narrow" w:cs="Arial"/>
                <w:sz w:val="20"/>
                <w:szCs w:val="20"/>
              </w:rPr>
              <w:fldChar w:fldCharType="end"/>
            </w:r>
            <w:r w:rsidRPr="00F33674">
              <w:rPr>
                <w:rFonts w:ascii="Arial Narrow" w:hAnsi="Arial Narrow" w:cs="Arial"/>
                <w:sz w:val="20"/>
                <w:szCs w:val="20"/>
              </w:rPr>
              <w:t>Dental</w:t>
            </w:r>
            <w:r>
              <w:rPr>
                <w:rFonts w:ascii="Arial Narrow" w:hAnsi="Arial Narrow" w:cs="Arial"/>
                <w:sz w:val="20"/>
                <w:szCs w:val="20"/>
              </w:rPr>
              <w:t xml:space="preserve"> </w:t>
            </w:r>
            <w:r w:rsidRPr="00F33674">
              <w:rPr>
                <w:rFonts w:ascii="Arial Narrow" w:hAnsi="Arial Narrow" w:cs="Arial"/>
                <w:sz w:val="20"/>
                <w:szCs w:val="20"/>
              </w:rPr>
              <w:fldChar w:fldCharType="begin">
                <w:ffData>
                  <w:name w:val=""/>
                  <w:enabled/>
                  <w:calcOnExit w:val="0"/>
                  <w:checkBox>
                    <w:sizeAuto/>
                    <w:default w:val="1"/>
                  </w:checkBox>
                </w:ffData>
              </w:fldChar>
            </w:r>
            <w:r w:rsidRPr="00F33674">
              <w:rPr>
                <w:rFonts w:ascii="Arial Narrow" w:hAnsi="Arial Narrow" w:cs="Arial"/>
                <w:sz w:val="20"/>
                <w:szCs w:val="20"/>
              </w:rPr>
              <w:instrText xml:space="preserve"> FORMCHECKBOX </w:instrText>
            </w:r>
            <w:r w:rsidR="00233D13">
              <w:rPr>
                <w:rFonts w:ascii="Arial Narrow" w:hAnsi="Arial Narrow" w:cs="Arial"/>
                <w:sz w:val="20"/>
                <w:szCs w:val="20"/>
              </w:rPr>
            </w:r>
            <w:r w:rsidR="00233D13">
              <w:rPr>
                <w:rFonts w:ascii="Arial Narrow" w:hAnsi="Arial Narrow" w:cs="Arial"/>
                <w:sz w:val="20"/>
                <w:szCs w:val="20"/>
              </w:rPr>
              <w:fldChar w:fldCharType="separate"/>
            </w:r>
            <w:r w:rsidRPr="00F33674">
              <w:rPr>
                <w:rFonts w:ascii="Arial Narrow" w:hAnsi="Arial Narrow" w:cs="Arial"/>
                <w:sz w:val="20"/>
                <w:szCs w:val="20"/>
              </w:rPr>
              <w:fldChar w:fldCharType="end"/>
            </w:r>
            <w:r w:rsidRPr="00F33674">
              <w:rPr>
                <w:rFonts w:ascii="Arial Narrow" w:hAnsi="Arial Narrow" w:cs="Arial"/>
                <w:sz w:val="20"/>
                <w:szCs w:val="20"/>
              </w:rPr>
              <w:t>Medical Practitioners</w:t>
            </w:r>
            <w:r>
              <w:rPr>
                <w:rFonts w:ascii="Arial Narrow" w:hAnsi="Arial Narrow" w:cs="Arial"/>
                <w:sz w:val="20"/>
                <w:szCs w:val="20"/>
              </w:rPr>
              <w:t xml:space="preserve"> </w:t>
            </w:r>
            <w:r w:rsidRPr="00F33674">
              <w:rPr>
                <w:rFonts w:ascii="Arial Narrow" w:hAnsi="Arial Narrow" w:cs="Arial"/>
                <w:sz w:val="20"/>
                <w:szCs w:val="20"/>
              </w:rPr>
              <w:fldChar w:fldCharType="begin">
                <w:ffData>
                  <w:name w:val="Check3"/>
                  <w:enabled/>
                  <w:calcOnExit w:val="0"/>
                  <w:checkBox>
                    <w:sizeAuto/>
                    <w:default w:val="1"/>
                  </w:checkBox>
                </w:ffData>
              </w:fldChar>
            </w:r>
            <w:r w:rsidRPr="00F33674">
              <w:rPr>
                <w:rFonts w:ascii="Arial Narrow" w:hAnsi="Arial Narrow" w:cs="Arial"/>
                <w:sz w:val="20"/>
                <w:szCs w:val="20"/>
              </w:rPr>
              <w:instrText xml:space="preserve"> FORMCHECKBOX </w:instrText>
            </w:r>
            <w:r w:rsidR="00233D13">
              <w:rPr>
                <w:rFonts w:ascii="Arial Narrow" w:hAnsi="Arial Narrow" w:cs="Arial"/>
                <w:sz w:val="20"/>
                <w:szCs w:val="20"/>
              </w:rPr>
            </w:r>
            <w:r w:rsidR="00233D13">
              <w:rPr>
                <w:rFonts w:ascii="Arial Narrow" w:hAnsi="Arial Narrow" w:cs="Arial"/>
                <w:sz w:val="20"/>
                <w:szCs w:val="20"/>
              </w:rPr>
              <w:fldChar w:fldCharType="separate"/>
            </w:r>
            <w:r w:rsidRPr="00F33674">
              <w:rPr>
                <w:rFonts w:ascii="Arial Narrow" w:hAnsi="Arial Narrow" w:cs="Arial"/>
                <w:sz w:val="20"/>
                <w:szCs w:val="20"/>
              </w:rPr>
              <w:fldChar w:fldCharType="end"/>
            </w:r>
            <w:r w:rsidRPr="00F33674">
              <w:rPr>
                <w:rFonts w:ascii="Arial Narrow" w:hAnsi="Arial Narrow" w:cs="Arial"/>
                <w:sz w:val="20"/>
                <w:szCs w:val="20"/>
              </w:rPr>
              <w:t>Nurse practitioners</w:t>
            </w:r>
            <w:r>
              <w:rPr>
                <w:rFonts w:ascii="Arial Narrow" w:hAnsi="Arial Narrow" w:cs="Arial"/>
                <w:sz w:val="20"/>
                <w:szCs w:val="20"/>
              </w:rPr>
              <w:t xml:space="preserve"> </w:t>
            </w:r>
            <w:r w:rsidRPr="00F33674">
              <w:rPr>
                <w:rFonts w:ascii="Arial Narrow" w:hAnsi="Arial Narrow" w:cs="Arial"/>
                <w:sz w:val="20"/>
                <w:szCs w:val="20"/>
              </w:rPr>
              <w:fldChar w:fldCharType="begin">
                <w:ffData>
                  <w:name w:val=""/>
                  <w:enabled/>
                  <w:calcOnExit w:val="0"/>
                  <w:checkBox>
                    <w:sizeAuto/>
                    <w:default w:val="0"/>
                  </w:checkBox>
                </w:ffData>
              </w:fldChar>
            </w:r>
            <w:r w:rsidRPr="00F33674">
              <w:rPr>
                <w:rFonts w:ascii="Arial Narrow" w:hAnsi="Arial Narrow" w:cs="Arial"/>
                <w:sz w:val="20"/>
                <w:szCs w:val="20"/>
              </w:rPr>
              <w:instrText xml:space="preserve"> FORMCHECKBOX </w:instrText>
            </w:r>
            <w:r w:rsidR="00233D13">
              <w:rPr>
                <w:rFonts w:ascii="Arial Narrow" w:hAnsi="Arial Narrow" w:cs="Arial"/>
                <w:sz w:val="20"/>
                <w:szCs w:val="20"/>
              </w:rPr>
            </w:r>
            <w:r w:rsidR="00233D13">
              <w:rPr>
                <w:rFonts w:ascii="Arial Narrow" w:hAnsi="Arial Narrow" w:cs="Arial"/>
                <w:sz w:val="20"/>
                <w:szCs w:val="20"/>
              </w:rPr>
              <w:fldChar w:fldCharType="separate"/>
            </w:r>
            <w:r w:rsidRPr="00F33674">
              <w:rPr>
                <w:rFonts w:ascii="Arial Narrow" w:hAnsi="Arial Narrow" w:cs="Arial"/>
                <w:sz w:val="20"/>
                <w:szCs w:val="20"/>
              </w:rPr>
              <w:fldChar w:fldCharType="end"/>
            </w:r>
            <w:r w:rsidRPr="00F33674">
              <w:rPr>
                <w:rFonts w:ascii="Arial Narrow" w:hAnsi="Arial Narrow" w:cs="Arial"/>
                <w:sz w:val="20"/>
                <w:szCs w:val="20"/>
              </w:rPr>
              <w:t>Optometrists</w:t>
            </w:r>
          </w:p>
          <w:p w14:paraId="2BE2C374" w14:textId="77777777" w:rsidR="002C1329" w:rsidRPr="00F33674" w:rsidRDefault="002C1329" w:rsidP="00E41546">
            <w:pPr>
              <w:rPr>
                <w:rFonts w:ascii="Arial Narrow" w:hAnsi="Arial Narrow" w:cs="Arial"/>
                <w:sz w:val="20"/>
                <w:szCs w:val="20"/>
              </w:rPr>
            </w:pPr>
            <w:r w:rsidRPr="00F33674">
              <w:rPr>
                <w:rFonts w:ascii="Arial Narrow" w:hAnsi="Arial Narrow" w:cs="Arial"/>
                <w:sz w:val="20"/>
                <w:szCs w:val="20"/>
              </w:rPr>
              <w:fldChar w:fldCharType="begin">
                <w:ffData>
                  <w:name w:val="Check5"/>
                  <w:enabled/>
                  <w:calcOnExit w:val="0"/>
                  <w:checkBox>
                    <w:sizeAuto/>
                    <w:default w:val="0"/>
                  </w:checkBox>
                </w:ffData>
              </w:fldChar>
            </w:r>
            <w:r w:rsidRPr="00F33674">
              <w:rPr>
                <w:rFonts w:ascii="Arial Narrow" w:hAnsi="Arial Narrow" w:cs="Arial"/>
                <w:sz w:val="20"/>
                <w:szCs w:val="20"/>
              </w:rPr>
              <w:instrText xml:space="preserve"> FORMCHECKBOX </w:instrText>
            </w:r>
            <w:r w:rsidR="00233D13">
              <w:rPr>
                <w:rFonts w:ascii="Arial Narrow" w:hAnsi="Arial Narrow" w:cs="Arial"/>
                <w:sz w:val="20"/>
                <w:szCs w:val="20"/>
              </w:rPr>
            </w:r>
            <w:r w:rsidR="00233D13">
              <w:rPr>
                <w:rFonts w:ascii="Arial Narrow" w:hAnsi="Arial Narrow" w:cs="Arial"/>
                <w:sz w:val="20"/>
                <w:szCs w:val="20"/>
              </w:rPr>
              <w:fldChar w:fldCharType="separate"/>
            </w:r>
            <w:r w:rsidRPr="00F33674">
              <w:rPr>
                <w:rFonts w:ascii="Arial Narrow" w:hAnsi="Arial Narrow" w:cs="Arial"/>
                <w:sz w:val="20"/>
                <w:szCs w:val="20"/>
              </w:rPr>
              <w:fldChar w:fldCharType="end"/>
            </w:r>
            <w:r w:rsidRPr="00F33674">
              <w:rPr>
                <w:rFonts w:ascii="Arial Narrow" w:hAnsi="Arial Narrow" w:cs="Arial"/>
                <w:sz w:val="20"/>
                <w:szCs w:val="20"/>
              </w:rPr>
              <w:t>Midwives</w:t>
            </w:r>
          </w:p>
        </w:tc>
      </w:tr>
      <w:tr w:rsidR="002C1329" w:rsidRPr="00F33674" w14:paraId="33F7953B" w14:textId="77777777" w:rsidTr="00E41546">
        <w:trPr>
          <w:cantSplit/>
          <w:trHeight w:val="369"/>
        </w:trPr>
        <w:tc>
          <w:tcPr>
            <w:tcW w:w="2835" w:type="dxa"/>
            <w:tcBorders>
              <w:top w:val="single" w:sz="4" w:space="0" w:color="auto"/>
              <w:left w:val="single" w:sz="4" w:space="0" w:color="auto"/>
              <w:bottom w:val="single" w:sz="4" w:space="0" w:color="auto"/>
              <w:right w:val="single" w:sz="4" w:space="0" w:color="auto"/>
            </w:tcBorders>
          </w:tcPr>
          <w:p w14:paraId="48C7B458" w14:textId="77777777" w:rsidR="002C1329" w:rsidRPr="00F33674" w:rsidRDefault="002C1329" w:rsidP="00E41546">
            <w:pPr>
              <w:rPr>
                <w:rFonts w:ascii="Arial Narrow" w:hAnsi="Arial Narrow" w:cs="Arial"/>
                <w:b/>
                <w:sz w:val="20"/>
                <w:szCs w:val="20"/>
              </w:rPr>
            </w:pPr>
            <w:r w:rsidRPr="00F33674">
              <w:rPr>
                <w:rFonts w:ascii="Arial Narrow" w:hAnsi="Arial Narrow" w:cs="Arial"/>
                <w:b/>
                <w:sz w:val="20"/>
                <w:szCs w:val="20"/>
              </w:rPr>
              <w:t>PBS indication:</w:t>
            </w:r>
          </w:p>
        </w:tc>
        <w:tc>
          <w:tcPr>
            <w:tcW w:w="6379" w:type="dxa"/>
            <w:tcBorders>
              <w:top w:val="single" w:sz="4" w:space="0" w:color="auto"/>
              <w:left w:val="single" w:sz="4" w:space="0" w:color="auto"/>
              <w:bottom w:val="single" w:sz="4" w:space="0" w:color="auto"/>
              <w:right w:val="single" w:sz="4" w:space="0" w:color="auto"/>
            </w:tcBorders>
          </w:tcPr>
          <w:p w14:paraId="305E7D3F" w14:textId="77777777" w:rsidR="002C1329" w:rsidRPr="00F33674" w:rsidRDefault="002C1329" w:rsidP="00E41546">
            <w:pPr>
              <w:rPr>
                <w:rFonts w:ascii="Arial Narrow" w:hAnsi="Arial Narrow" w:cs="Arial"/>
                <w:sz w:val="20"/>
                <w:szCs w:val="20"/>
              </w:rPr>
            </w:pPr>
            <w:r w:rsidRPr="00F33674">
              <w:rPr>
                <w:rFonts w:ascii="Arial Narrow" w:hAnsi="Arial Narrow" w:cs="Arial"/>
                <w:sz w:val="20"/>
                <w:szCs w:val="20"/>
              </w:rPr>
              <w:t>[new] Chronic severe pain</w:t>
            </w:r>
          </w:p>
        </w:tc>
      </w:tr>
      <w:tr w:rsidR="002C1329" w:rsidRPr="00F33674" w14:paraId="70BEE90E" w14:textId="77777777" w:rsidTr="00E41546">
        <w:trPr>
          <w:cantSplit/>
          <w:trHeight w:val="360"/>
        </w:trPr>
        <w:tc>
          <w:tcPr>
            <w:tcW w:w="2835" w:type="dxa"/>
            <w:tcBorders>
              <w:top w:val="single" w:sz="4" w:space="0" w:color="auto"/>
              <w:left w:val="single" w:sz="4" w:space="0" w:color="auto"/>
              <w:bottom w:val="single" w:sz="4" w:space="0" w:color="auto"/>
              <w:right w:val="single" w:sz="4" w:space="0" w:color="auto"/>
            </w:tcBorders>
          </w:tcPr>
          <w:p w14:paraId="3C24CCE1" w14:textId="77777777" w:rsidR="002C1329" w:rsidRPr="00F33674" w:rsidRDefault="002C1329" w:rsidP="00E41546">
            <w:pPr>
              <w:rPr>
                <w:rFonts w:ascii="Arial Narrow" w:hAnsi="Arial Narrow" w:cs="Arial"/>
                <w:b/>
                <w:sz w:val="20"/>
                <w:szCs w:val="20"/>
              </w:rPr>
            </w:pPr>
            <w:r w:rsidRPr="00F33674">
              <w:rPr>
                <w:rFonts w:ascii="Arial Narrow" w:hAnsi="Arial Narrow" w:cs="Arial"/>
                <w:b/>
                <w:sz w:val="20"/>
                <w:szCs w:val="20"/>
              </w:rPr>
              <w:t>Restriction Level / Method:</w:t>
            </w:r>
          </w:p>
          <w:p w14:paraId="6AD4A269" w14:textId="77777777" w:rsidR="002C1329" w:rsidRPr="00F33674" w:rsidRDefault="002C1329" w:rsidP="00E41546">
            <w:pPr>
              <w:rPr>
                <w:rFonts w:ascii="Arial Narrow" w:hAnsi="Arial Narrow" w:cs="Arial"/>
                <w:i/>
                <w:sz w:val="20"/>
                <w:szCs w:val="20"/>
              </w:rPr>
            </w:pPr>
          </w:p>
          <w:p w14:paraId="7A678BB4" w14:textId="77777777" w:rsidR="002C1329" w:rsidRPr="00F33674" w:rsidRDefault="002C1329" w:rsidP="00E41546">
            <w:pPr>
              <w:rPr>
                <w:rFonts w:ascii="Arial Narrow" w:hAnsi="Arial Narrow" w:cs="Arial"/>
                <w:i/>
                <w:sz w:val="20"/>
                <w:szCs w:val="20"/>
              </w:rPr>
            </w:pPr>
          </w:p>
          <w:p w14:paraId="71677871" w14:textId="77777777" w:rsidR="002C1329" w:rsidRPr="00F33674" w:rsidRDefault="002C1329" w:rsidP="00E41546">
            <w:pPr>
              <w:rPr>
                <w:rFonts w:ascii="Arial Narrow" w:hAnsi="Arial Narrow" w:cs="Arial"/>
                <w:i/>
                <w:sz w:val="20"/>
                <w:szCs w:val="20"/>
              </w:rPr>
            </w:pPr>
          </w:p>
        </w:tc>
        <w:tc>
          <w:tcPr>
            <w:tcW w:w="6379" w:type="dxa"/>
            <w:tcBorders>
              <w:top w:val="single" w:sz="4" w:space="0" w:color="auto"/>
              <w:left w:val="single" w:sz="4" w:space="0" w:color="auto"/>
              <w:bottom w:val="single" w:sz="4" w:space="0" w:color="auto"/>
              <w:right w:val="single" w:sz="4" w:space="0" w:color="auto"/>
            </w:tcBorders>
          </w:tcPr>
          <w:p w14:paraId="2984713A" w14:textId="77777777" w:rsidR="002C1329" w:rsidRPr="00F33674" w:rsidRDefault="002C1329" w:rsidP="00E41546">
            <w:pPr>
              <w:rPr>
                <w:rFonts w:ascii="Arial Narrow" w:hAnsi="Arial Narrow" w:cs="Arial"/>
                <w:sz w:val="20"/>
                <w:szCs w:val="20"/>
              </w:rPr>
            </w:pPr>
            <w:r w:rsidRPr="00F33674">
              <w:rPr>
                <w:rFonts w:ascii="Arial Narrow" w:hAnsi="Arial Narrow" w:cs="Arial"/>
                <w:sz w:val="20"/>
                <w:szCs w:val="20"/>
              </w:rPr>
              <w:fldChar w:fldCharType="begin">
                <w:ffData>
                  <w:name w:val=""/>
                  <w:enabled/>
                  <w:calcOnExit w:val="0"/>
                  <w:checkBox>
                    <w:sizeAuto/>
                    <w:default w:val="0"/>
                  </w:checkBox>
                </w:ffData>
              </w:fldChar>
            </w:r>
            <w:r w:rsidRPr="00F33674">
              <w:rPr>
                <w:rFonts w:ascii="Arial Narrow" w:hAnsi="Arial Narrow" w:cs="Arial"/>
                <w:sz w:val="20"/>
                <w:szCs w:val="20"/>
              </w:rPr>
              <w:instrText xml:space="preserve"> FORMCHECKBOX </w:instrText>
            </w:r>
            <w:r w:rsidR="00233D13">
              <w:rPr>
                <w:rFonts w:ascii="Arial Narrow" w:hAnsi="Arial Narrow" w:cs="Arial"/>
                <w:sz w:val="20"/>
                <w:szCs w:val="20"/>
              </w:rPr>
            </w:r>
            <w:r w:rsidR="00233D13">
              <w:rPr>
                <w:rFonts w:ascii="Arial Narrow" w:hAnsi="Arial Narrow" w:cs="Arial"/>
                <w:sz w:val="20"/>
                <w:szCs w:val="20"/>
              </w:rPr>
              <w:fldChar w:fldCharType="separate"/>
            </w:r>
            <w:r w:rsidRPr="00F33674">
              <w:rPr>
                <w:rFonts w:ascii="Arial Narrow" w:hAnsi="Arial Narrow" w:cs="Arial"/>
                <w:sz w:val="20"/>
                <w:szCs w:val="20"/>
              </w:rPr>
              <w:fldChar w:fldCharType="end"/>
            </w:r>
            <w:r w:rsidRPr="00F33674">
              <w:rPr>
                <w:rFonts w:ascii="Arial Narrow" w:hAnsi="Arial Narrow" w:cs="Arial"/>
                <w:sz w:val="20"/>
                <w:szCs w:val="20"/>
              </w:rPr>
              <w:t>Unrestricted benefit</w:t>
            </w:r>
          </w:p>
          <w:p w14:paraId="58F88061" w14:textId="77777777" w:rsidR="002C1329" w:rsidRPr="00F33674" w:rsidRDefault="002C1329" w:rsidP="00E41546">
            <w:pPr>
              <w:rPr>
                <w:rFonts w:ascii="Arial Narrow" w:hAnsi="Arial Narrow" w:cs="Arial"/>
                <w:i/>
                <w:sz w:val="20"/>
                <w:szCs w:val="20"/>
              </w:rPr>
            </w:pPr>
            <w:r w:rsidRPr="00F33674">
              <w:rPr>
                <w:rFonts w:ascii="Arial Narrow" w:hAnsi="Arial Narrow" w:cs="Arial"/>
                <w:i/>
                <w:sz w:val="20"/>
                <w:szCs w:val="20"/>
              </w:rPr>
              <w:fldChar w:fldCharType="begin">
                <w:ffData>
                  <w:name w:val=""/>
                  <w:enabled/>
                  <w:calcOnExit w:val="0"/>
                  <w:checkBox>
                    <w:sizeAuto/>
                    <w:default w:val="0"/>
                  </w:checkBox>
                </w:ffData>
              </w:fldChar>
            </w:r>
            <w:r w:rsidRPr="00F33674">
              <w:rPr>
                <w:rFonts w:ascii="Arial Narrow" w:hAnsi="Arial Narrow" w:cs="Arial"/>
                <w:i/>
                <w:sz w:val="20"/>
                <w:szCs w:val="20"/>
              </w:rPr>
              <w:instrText xml:space="preserve"> FORMCHECKBOX </w:instrText>
            </w:r>
            <w:r w:rsidR="00233D13">
              <w:rPr>
                <w:rFonts w:ascii="Arial Narrow" w:hAnsi="Arial Narrow" w:cs="Arial"/>
                <w:i/>
                <w:sz w:val="20"/>
                <w:szCs w:val="20"/>
              </w:rPr>
            </w:r>
            <w:r w:rsidR="00233D13">
              <w:rPr>
                <w:rFonts w:ascii="Arial Narrow" w:hAnsi="Arial Narrow" w:cs="Arial"/>
                <w:i/>
                <w:sz w:val="20"/>
                <w:szCs w:val="20"/>
              </w:rPr>
              <w:fldChar w:fldCharType="separate"/>
            </w:r>
            <w:r w:rsidRPr="00F33674">
              <w:rPr>
                <w:rFonts w:ascii="Arial Narrow" w:hAnsi="Arial Narrow" w:cs="Arial"/>
                <w:i/>
                <w:sz w:val="20"/>
                <w:szCs w:val="20"/>
              </w:rPr>
              <w:fldChar w:fldCharType="end"/>
            </w:r>
            <w:r w:rsidRPr="00F33674">
              <w:rPr>
                <w:rFonts w:ascii="Arial Narrow" w:hAnsi="Arial Narrow" w:cs="Arial"/>
                <w:sz w:val="20"/>
                <w:szCs w:val="20"/>
              </w:rPr>
              <w:t>Restricted benefit</w:t>
            </w:r>
          </w:p>
          <w:p w14:paraId="5061FFED" w14:textId="77777777" w:rsidR="002C1329" w:rsidRPr="00F33674" w:rsidRDefault="002C1329" w:rsidP="00E41546">
            <w:pPr>
              <w:rPr>
                <w:rFonts w:ascii="Arial Narrow" w:hAnsi="Arial Narrow" w:cs="Arial"/>
                <w:sz w:val="20"/>
                <w:szCs w:val="20"/>
              </w:rPr>
            </w:pPr>
            <w:r w:rsidRPr="00F33674">
              <w:rPr>
                <w:rFonts w:ascii="Arial Narrow" w:hAnsi="Arial Narrow" w:cs="Arial"/>
                <w:sz w:val="20"/>
                <w:szCs w:val="20"/>
              </w:rPr>
              <w:fldChar w:fldCharType="begin">
                <w:ffData>
                  <w:name w:val=""/>
                  <w:enabled/>
                  <w:calcOnExit w:val="0"/>
                  <w:checkBox>
                    <w:sizeAuto/>
                    <w:default w:val="0"/>
                  </w:checkBox>
                </w:ffData>
              </w:fldChar>
            </w:r>
            <w:r w:rsidRPr="00F33674">
              <w:rPr>
                <w:rFonts w:ascii="Arial Narrow" w:hAnsi="Arial Narrow" w:cs="Arial"/>
                <w:sz w:val="20"/>
                <w:szCs w:val="20"/>
              </w:rPr>
              <w:instrText xml:space="preserve"> FORMCHECKBOX </w:instrText>
            </w:r>
            <w:r w:rsidR="00233D13">
              <w:rPr>
                <w:rFonts w:ascii="Arial Narrow" w:hAnsi="Arial Narrow" w:cs="Arial"/>
                <w:sz w:val="20"/>
                <w:szCs w:val="20"/>
              </w:rPr>
            </w:r>
            <w:r w:rsidR="00233D13">
              <w:rPr>
                <w:rFonts w:ascii="Arial Narrow" w:hAnsi="Arial Narrow" w:cs="Arial"/>
                <w:sz w:val="20"/>
                <w:szCs w:val="20"/>
              </w:rPr>
              <w:fldChar w:fldCharType="separate"/>
            </w:r>
            <w:r w:rsidRPr="00F33674">
              <w:rPr>
                <w:rFonts w:ascii="Arial Narrow" w:hAnsi="Arial Narrow" w:cs="Arial"/>
                <w:sz w:val="20"/>
                <w:szCs w:val="20"/>
              </w:rPr>
              <w:fldChar w:fldCharType="end"/>
            </w:r>
            <w:r w:rsidRPr="00F33674">
              <w:rPr>
                <w:rFonts w:ascii="Arial Narrow" w:hAnsi="Arial Narrow" w:cs="Arial"/>
                <w:sz w:val="20"/>
                <w:szCs w:val="20"/>
              </w:rPr>
              <w:t>Authority Required – In Writing</w:t>
            </w:r>
          </w:p>
          <w:p w14:paraId="5AA3F625" w14:textId="77777777" w:rsidR="002C1329" w:rsidRPr="00F33674" w:rsidRDefault="002C1329" w:rsidP="00E41546">
            <w:pPr>
              <w:rPr>
                <w:rFonts w:ascii="Arial Narrow" w:hAnsi="Arial Narrow" w:cs="Arial"/>
                <w:sz w:val="20"/>
                <w:szCs w:val="20"/>
              </w:rPr>
            </w:pPr>
            <w:r w:rsidRPr="00F33674">
              <w:rPr>
                <w:rFonts w:ascii="Arial Narrow" w:hAnsi="Arial Narrow" w:cs="Arial"/>
                <w:sz w:val="20"/>
                <w:szCs w:val="20"/>
              </w:rPr>
              <w:fldChar w:fldCharType="begin">
                <w:ffData>
                  <w:name w:val="Check3"/>
                  <w:enabled/>
                  <w:calcOnExit w:val="0"/>
                  <w:checkBox>
                    <w:sizeAuto/>
                    <w:default w:val="0"/>
                  </w:checkBox>
                </w:ffData>
              </w:fldChar>
            </w:r>
            <w:r w:rsidRPr="00F33674">
              <w:rPr>
                <w:rFonts w:ascii="Arial Narrow" w:hAnsi="Arial Narrow" w:cs="Arial"/>
                <w:sz w:val="20"/>
                <w:szCs w:val="20"/>
              </w:rPr>
              <w:instrText xml:space="preserve"> FORMCHECKBOX </w:instrText>
            </w:r>
            <w:r w:rsidR="00233D13">
              <w:rPr>
                <w:rFonts w:ascii="Arial Narrow" w:hAnsi="Arial Narrow" w:cs="Arial"/>
                <w:sz w:val="20"/>
                <w:szCs w:val="20"/>
              </w:rPr>
            </w:r>
            <w:r w:rsidR="00233D13">
              <w:rPr>
                <w:rFonts w:ascii="Arial Narrow" w:hAnsi="Arial Narrow" w:cs="Arial"/>
                <w:sz w:val="20"/>
                <w:szCs w:val="20"/>
              </w:rPr>
              <w:fldChar w:fldCharType="separate"/>
            </w:r>
            <w:r w:rsidRPr="00F33674">
              <w:rPr>
                <w:rFonts w:ascii="Arial Narrow" w:hAnsi="Arial Narrow" w:cs="Arial"/>
                <w:sz w:val="20"/>
                <w:szCs w:val="20"/>
              </w:rPr>
              <w:fldChar w:fldCharType="end"/>
            </w:r>
            <w:r w:rsidRPr="00F33674">
              <w:rPr>
                <w:rFonts w:ascii="Arial Narrow" w:hAnsi="Arial Narrow" w:cs="Arial"/>
                <w:sz w:val="20"/>
                <w:szCs w:val="20"/>
              </w:rPr>
              <w:t>Authority Required – Telephone/Electronic/Emergency</w:t>
            </w:r>
          </w:p>
          <w:p w14:paraId="5F26DB7B" w14:textId="77777777" w:rsidR="002C1329" w:rsidRPr="00F33674" w:rsidRDefault="002C1329" w:rsidP="00E41546">
            <w:pPr>
              <w:rPr>
                <w:rFonts w:ascii="Arial Narrow" w:hAnsi="Arial Narrow" w:cs="Arial"/>
                <w:sz w:val="20"/>
                <w:szCs w:val="20"/>
              </w:rPr>
            </w:pPr>
            <w:r w:rsidRPr="00F33674">
              <w:rPr>
                <w:rFonts w:ascii="Arial Narrow" w:hAnsi="Arial Narrow" w:cs="Arial"/>
                <w:sz w:val="20"/>
                <w:szCs w:val="20"/>
              </w:rPr>
              <w:fldChar w:fldCharType="begin">
                <w:ffData>
                  <w:name w:val=""/>
                  <w:enabled/>
                  <w:calcOnExit w:val="0"/>
                  <w:checkBox>
                    <w:sizeAuto/>
                    <w:default w:val="1"/>
                  </w:checkBox>
                </w:ffData>
              </w:fldChar>
            </w:r>
            <w:r w:rsidRPr="00F33674">
              <w:rPr>
                <w:rFonts w:ascii="Arial Narrow" w:hAnsi="Arial Narrow" w:cs="Arial"/>
                <w:sz w:val="20"/>
                <w:szCs w:val="20"/>
              </w:rPr>
              <w:instrText xml:space="preserve"> FORMCHECKBOX </w:instrText>
            </w:r>
            <w:r w:rsidR="00233D13">
              <w:rPr>
                <w:rFonts w:ascii="Arial Narrow" w:hAnsi="Arial Narrow" w:cs="Arial"/>
                <w:sz w:val="20"/>
                <w:szCs w:val="20"/>
              </w:rPr>
            </w:r>
            <w:r w:rsidR="00233D13">
              <w:rPr>
                <w:rFonts w:ascii="Arial Narrow" w:hAnsi="Arial Narrow" w:cs="Arial"/>
                <w:sz w:val="20"/>
                <w:szCs w:val="20"/>
              </w:rPr>
              <w:fldChar w:fldCharType="separate"/>
            </w:r>
            <w:r w:rsidRPr="00F33674">
              <w:rPr>
                <w:rFonts w:ascii="Arial Narrow" w:hAnsi="Arial Narrow" w:cs="Arial"/>
                <w:sz w:val="20"/>
                <w:szCs w:val="20"/>
              </w:rPr>
              <w:fldChar w:fldCharType="end"/>
            </w:r>
            <w:r w:rsidRPr="00F33674">
              <w:rPr>
                <w:rFonts w:ascii="Arial Narrow" w:hAnsi="Arial Narrow" w:cs="Arial"/>
                <w:sz w:val="20"/>
                <w:szCs w:val="20"/>
              </w:rPr>
              <w:t>Streamlined</w:t>
            </w:r>
          </w:p>
        </w:tc>
      </w:tr>
      <w:tr w:rsidR="002C1329" w:rsidRPr="00F33674" w14:paraId="117B70AB" w14:textId="77777777" w:rsidTr="00E41546">
        <w:trPr>
          <w:cantSplit/>
          <w:trHeight w:val="360"/>
        </w:trPr>
        <w:tc>
          <w:tcPr>
            <w:tcW w:w="2835" w:type="dxa"/>
            <w:tcBorders>
              <w:top w:val="single" w:sz="4" w:space="0" w:color="auto"/>
              <w:left w:val="single" w:sz="4" w:space="0" w:color="auto"/>
              <w:bottom w:val="single" w:sz="4" w:space="0" w:color="auto"/>
              <w:right w:val="single" w:sz="4" w:space="0" w:color="auto"/>
            </w:tcBorders>
          </w:tcPr>
          <w:p w14:paraId="66FFA316" w14:textId="77777777" w:rsidR="002C1329" w:rsidRPr="00F33674" w:rsidRDefault="002C1329" w:rsidP="00E41546">
            <w:pPr>
              <w:rPr>
                <w:rFonts w:ascii="Arial Narrow" w:hAnsi="Arial Narrow" w:cs="Arial"/>
                <w:b/>
                <w:sz w:val="20"/>
                <w:szCs w:val="20"/>
              </w:rPr>
            </w:pPr>
            <w:r>
              <w:rPr>
                <w:rFonts w:ascii="Arial Narrow" w:hAnsi="Arial Narrow" w:cs="Arial"/>
                <w:b/>
                <w:sz w:val="20"/>
                <w:szCs w:val="20"/>
              </w:rPr>
              <w:t>Treatment phase:</w:t>
            </w:r>
          </w:p>
        </w:tc>
        <w:tc>
          <w:tcPr>
            <w:tcW w:w="6379" w:type="dxa"/>
            <w:tcBorders>
              <w:top w:val="single" w:sz="4" w:space="0" w:color="auto"/>
              <w:left w:val="single" w:sz="4" w:space="0" w:color="auto"/>
              <w:bottom w:val="single" w:sz="4" w:space="0" w:color="auto"/>
              <w:right w:val="single" w:sz="4" w:space="0" w:color="auto"/>
            </w:tcBorders>
          </w:tcPr>
          <w:p w14:paraId="78207D7F" w14:textId="59156E10" w:rsidR="002C1329" w:rsidRPr="00F33674" w:rsidRDefault="00CB0FCB">
            <w:pPr>
              <w:jc w:val="left"/>
              <w:rPr>
                <w:rFonts w:ascii="Arial Narrow" w:hAnsi="Arial Narrow" w:cs="Arial"/>
                <w:sz w:val="20"/>
                <w:szCs w:val="20"/>
              </w:rPr>
            </w:pPr>
            <w:r w:rsidRPr="00CB0FCB">
              <w:rPr>
                <w:rFonts w:ascii="Arial Narrow" w:hAnsi="Arial Narrow" w:cs="Arial"/>
                <w:sz w:val="20"/>
                <w:szCs w:val="20"/>
              </w:rPr>
              <w:t>Continuing PBS treatment after 1 June 2020</w:t>
            </w:r>
            <w:r>
              <w:rPr>
                <w:rFonts w:ascii="Arial Narrow" w:hAnsi="Arial Narrow" w:cs="Arial"/>
                <w:sz w:val="20"/>
                <w:szCs w:val="20"/>
              </w:rPr>
              <w:t>.</w:t>
            </w:r>
          </w:p>
        </w:tc>
      </w:tr>
      <w:tr w:rsidR="005E10AF" w:rsidRPr="00F33674" w14:paraId="7BC0D014" w14:textId="77777777" w:rsidTr="00E41546">
        <w:trPr>
          <w:cantSplit/>
          <w:trHeight w:val="360"/>
        </w:trPr>
        <w:tc>
          <w:tcPr>
            <w:tcW w:w="2835" w:type="dxa"/>
            <w:tcBorders>
              <w:top w:val="single" w:sz="4" w:space="0" w:color="auto"/>
              <w:left w:val="single" w:sz="4" w:space="0" w:color="auto"/>
              <w:bottom w:val="single" w:sz="4" w:space="0" w:color="auto"/>
              <w:right w:val="single" w:sz="4" w:space="0" w:color="auto"/>
            </w:tcBorders>
          </w:tcPr>
          <w:p w14:paraId="479E0997" w14:textId="77777777" w:rsidR="005E10AF" w:rsidRPr="00F33674" w:rsidRDefault="005E10AF" w:rsidP="005E10AF">
            <w:pPr>
              <w:rPr>
                <w:rFonts w:ascii="Arial Narrow" w:hAnsi="Arial Narrow" w:cs="Arial"/>
                <w:b/>
                <w:sz w:val="20"/>
                <w:szCs w:val="20"/>
              </w:rPr>
            </w:pPr>
            <w:r w:rsidRPr="00F33674">
              <w:rPr>
                <w:rFonts w:ascii="Arial Narrow" w:hAnsi="Arial Narrow" w:cs="Arial"/>
                <w:b/>
                <w:sz w:val="20"/>
                <w:szCs w:val="20"/>
              </w:rPr>
              <w:lastRenderedPageBreak/>
              <w:t>Clinical criteria:</w:t>
            </w:r>
          </w:p>
        </w:tc>
        <w:tc>
          <w:tcPr>
            <w:tcW w:w="6379" w:type="dxa"/>
            <w:tcBorders>
              <w:top w:val="single" w:sz="4" w:space="0" w:color="auto"/>
              <w:left w:val="single" w:sz="4" w:space="0" w:color="auto"/>
              <w:bottom w:val="single" w:sz="4" w:space="0" w:color="auto"/>
              <w:right w:val="single" w:sz="4" w:space="0" w:color="auto"/>
            </w:tcBorders>
          </w:tcPr>
          <w:p w14:paraId="186BD46B" w14:textId="183CF6B8" w:rsidR="005E10AF" w:rsidRPr="00F33674" w:rsidRDefault="005E10AF" w:rsidP="005E10AF">
            <w:pPr>
              <w:jc w:val="left"/>
              <w:rPr>
                <w:rFonts w:ascii="Arial Narrow" w:hAnsi="Arial Narrow" w:cs="Arial"/>
                <w:sz w:val="20"/>
                <w:szCs w:val="20"/>
              </w:rPr>
            </w:pPr>
            <w:r w:rsidRPr="00F33674">
              <w:rPr>
                <w:rFonts w:ascii="Arial Narrow" w:hAnsi="Arial Narrow" w:cs="Arial"/>
                <w:sz w:val="20"/>
                <w:szCs w:val="20"/>
              </w:rPr>
              <w:t xml:space="preserve">[new] </w:t>
            </w:r>
            <w:r w:rsidRPr="00D36BEC">
              <w:rPr>
                <w:rFonts w:ascii="Arial Narrow" w:hAnsi="Arial Narrow" w:cs="Arial"/>
                <w:sz w:val="20"/>
                <w:szCs w:val="20"/>
              </w:rPr>
              <w:t>Patient must have previously received PBS-subsidised treatment with this form of this drug for this condition after 1 June 2020</w:t>
            </w:r>
            <w:r>
              <w:rPr>
                <w:rFonts w:ascii="Arial Narrow" w:hAnsi="Arial Narrow" w:cs="Arial"/>
                <w:sz w:val="20"/>
                <w:szCs w:val="20"/>
              </w:rPr>
              <w:t>.</w:t>
            </w:r>
          </w:p>
        </w:tc>
      </w:tr>
      <w:tr w:rsidR="002C1329" w:rsidRPr="00F33674" w14:paraId="1EF669CC" w14:textId="77777777" w:rsidTr="00E41546">
        <w:trPr>
          <w:cantSplit/>
          <w:trHeight w:val="360"/>
        </w:trPr>
        <w:tc>
          <w:tcPr>
            <w:tcW w:w="2835" w:type="dxa"/>
            <w:tcBorders>
              <w:top w:val="single" w:sz="4" w:space="0" w:color="auto"/>
              <w:left w:val="single" w:sz="4" w:space="0" w:color="auto"/>
              <w:bottom w:val="single" w:sz="4" w:space="0" w:color="auto"/>
              <w:right w:val="single" w:sz="4" w:space="0" w:color="auto"/>
            </w:tcBorders>
          </w:tcPr>
          <w:p w14:paraId="2EFB8CD9" w14:textId="77777777" w:rsidR="002C1329" w:rsidRPr="00F33674" w:rsidRDefault="002C1329" w:rsidP="00E41546">
            <w:pPr>
              <w:rPr>
                <w:rFonts w:ascii="Arial Narrow" w:hAnsi="Arial Narrow" w:cs="Arial"/>
                <w:b/>
                <w:sz w:val="20"/>
                <w:szCs w:val="20"/>
              </w:rPr>
            </w:pPr>
            <w:r w:rsidRPr="00F33674">
              <w:rPr>
                <w:rFonts w:ascii="Arial Narrow" w:hAnsi="Arial Narrow" w:cs="Arial"/>
                <w:b/>
                <w:sz w:val="20"/>
                <w:szCs w:val="20"/>
              </w:rPr>
              <w:t>Prescriber instruction:</w:t>
            </w:r>
          </w:p>
        </w:tc>
        <w:tc>
          <w:tcPr>
            <w:tcW w:w="6379" w:type="dxa"/>
            <w:tcBorders>
              <w:top w:val="single" w:sz="4" w:space="0" w:color="auto"/>
              <w:left w:val="single" w:sz="4" w:space="0" w:color="auto"/>
              <w:bottom w:val="single" w:sz="4" w:space="0" w:color="auto"/>
              <w:right w:val="single" w:sz="4" w:space="0" w:color="auto"/>
            </w:tcBorders>
          </w:tcPr>
          <w:p w14:paraId="3B9A074C" w14:textId="77777777" w:rsidR="00CB0FCB" w:rsidRPr="00CB0FCB" w:rsidRDefault="002C1329" w:rsidP="00CB0FCB">
            <w:pPr>
              <w:jc w:val="left"/>
              <w:rPr>
                <w:rFonts w:ascii="Arial Narrow" w:hAnsi="Arial Narrow" w:cs="Arial"/>
                <w:sz w:val="20"/>
                <w:szCs w:val="20"/>
              </w:rPr>
            </w:pPr>
            <w:r w:rsidRPr="00F33674">
              <w:rPr>
                <w:rFonts w:ascii="Arial Narrow" w:hAnsi="Arial Narrow" w:cs="Arial"/>
                <w:sz w:val="20"/>
                <w:szCs w:val="20"/>
              </w:rPr>
              <w:t xml:space="preserve">[new] </w:t>
            </w:r>
            <w:r w:rsidR="00CB0FCB" w:rsidRPr="00CB0FCB">
              <w:rPr>
                <w:rFonts w:ascii="Arial Narrow" w:hAnsi="Arial Narrow" w:cs="Arial"/>
                <w:sz w:val="20"/>
                <w:szCs w:val="20"/>
              </w:rPr>
              <w:t>Authorities for increased maximum quantities and/or repeats must only be considered for chronic severe disabling pain where the patient has received initial authority approval and the total duration of non-PBS and PBS opioid analgesic treatment:</w:t>
            </w:r>
          </w:p>
          <w:p w14:paraId="1F16C6E1" w14:textId="77777777" w:rsidR="00CB0FCB" w:rsidRPr="00CB0FCB" w:rsidRDefault="00CB0FCB" w:rsidP="00CB0FCB">
            <w:pPr>
              <w:jc w:val="left"/>
              <w:rPr>
                <w:rFonts w:ascii="Arial Narrow" w:hAnsi="Arial Narrow" w:cs="Arial"/>
                <w:sz w:val="20"/>
                <w:szCs w:val="20"/>
              </w:rPr>
            </w:pPr>
            <w:r w:rsidRPr="00CB0FCB">
              <w:rPr>
                <w:rFonts w:ascii="Arial Narrow" w:hAnsi="Arial Narrow" w:cs="Arial"/>
                <w:sz w:val="20"/>
                <w:szCs w:val="20"/>
              </w:rPr>
              <w:t>(i) is less than 12 months; or</w:t>
            </w:r>
          </w:p>
          <w:p w14:paraId="47D863A1" w14:textId="77777777" w:rsidR="00CB0FCB" w:rsidRPr="00CB0FCB" w:rsidRDefault="00CB0FCB" w:rsidP="00CB0FCB">
            <w:pPr>
              <w:jc w:val="left"/>
              <w:rPr>
                <w:rFonts w:ascii="Arial Narrow" w:hAnsi="Arial Narrow" w:cs="Arial"/>
                <w:sz w:val="20"/>
                <w:szCs w:val="20"/>
              </w:rPr>
            </w:pPr>
            <w:r w:rsidRPr="00CB0FCB">
              <w:rPr>
                <w:rFonts w:ascii="Arial Narrow" w:hAnsi="Arial Narrow" w:cs="Arial"/>
                <w:sz w:val="20"/>
                <w:szCs w:val="20"/>
              </w:rPr>
              <w:t>(ii) exceeds 12 months and the palliative care patient is unable to have annual pain management review due to their clinical condition; or</w:t>
            </w:r>
          </w:p>
          <w:p w14:paraId="5372F2AD" w14:textId="77777777" w:rsidR="00CB0FCB" w:rsidRPr="00CB0FCB" w:rsidRDefault="00CB0FCB" w:rsidP="00CB0FCB">
            <w:pPr>
              <w:jc w:val="left"/>
              <w:rPr>
                <w:rFonts w:ascii="Arial Narrow" w:hAnsi="Arial Narrow" w:cs="Arial"/>
                <w:sz w:val="20"/>
                <w:szCs w:val="20"/>
              </w:rPr>
            </w:pPr>
            <w:r w:rsidRPr="00CB0FCB">
              <w:rPr>
                <w:rFonts w:ascii="Arial Narrow" w:hAnsi="Arial Narrow" w:cs="Arial"/>
                <w:sz w:val="20"/>
                <w:szCs w:val="20"/>
              </w:rPr>
              <w:t>(iii) exceeds 12 months and the patient's clinical need for continuing opioid treatment has been confirmed through consultation with the patient by another medical practitioner or a palliative care nurse practitioner in the past 12 months; or</w:t>
            </w:r>
          </w:p>
          <w:p w14:paraId="2F30C160" w14:textId="578F35F7" w:rsidR="002C1329" w:rsidRDefault="00CB0FCB" w:rsidP="00CB0FCB">
            <w:pPr>
              <w:jc w:val="left"/>
              <w:rPr>
                <w:rFonts w:ascii="Arial Narrow" w:hAnsi="Arial Narrow" w:cs="Arial"/>
                <w:sz w:val="20"/>
                <w:szCs w:val="20"/>
              </w:rPr>
            </w:pPr>
            <w:r w:rsidRPr="00CB0FCB">
              <w:rPr>
                <w:rFonts w:ascii="Arial Narrow" w:hAnsi="Arial Narrow" w:cs="Arial"/>
                <w:sz w:val="20"/>
                <w:szCs w:val="20"/>
              </w:rPr>
              <w:t xml:space="preserve">(iv) </w:t>
            </w:r>
            <w:proofErr w:type="gramStart"/>
            <w:r w:rsidRPr="00CB0FCB">
              <w:rPr>
                <w:rFonts w:ascii="Arial Narrow" w:hAnsi="Arial Narrow" w:cs="Arial"/>
                <w:sz w:val="20"/>
                <w:szCs w:val="20"/>
              </w:rPr>
              <w:t>has</w:t>
            </w:r>
            <w:proofErr w:type="gramEnd"/>
            <w:r w:rsidRPr="00CB0FCB">
              <w:rPr>
                <w:rFonts w:ascii="Arial Narrow" w:hAnsi="Arial Narrow" w:cs="Arial"/>
                <w:sz w:val="20"/>
                <w:szCs w:val="20"/>
              </w:rPr>
              <w:t xml:space="preserve"> exceeded 12 months prior to 1 June 2020 and the patient's pain management and clinical need for continuing opioid treatment has not been confirmed through consultation with the patient by another medical practitioner or a palliative care nurse practitioner in the past 12 months, but is planned in the next 3 months</w:t>
            </w:r>
            <w:r>
              <w:rPr>
                <w:rFonts w:ascii="Arial Narrow" w:hAnsi="Arial Narrow" w:cs="Arial"/>
                <w:sz w:val="20"/>
                <w:szCs w:val="20"/>
              </w:rPr>
              <w:t>.</w:t>
            </w:r>
          </w:p>
          <w:p w14:paraId="2C1624CA" w14:textId="77777777" w:rsidR="00CB0FCB" w:rsidRDefault="00CB0FCB" w:rsidP="00CB0FCB">
            <w:pPr>
              <w:jc w:val="left"/>
              <w:rPr>
                <w:rFonts w:ascii="Arial Narrow" w:hAnsi="Arial Narrow" w:cs="Arial"/>
                <w:sz w:val="20"/>
                <w:szCs w:val="20"/>
              </w:rPr>
            </w:pPr>
          </w:p>
          <w:p w14:paraId="7C77458E" w14:textId="77777777" w:rsidR="002C1329" w:rsidRPr="00F33674" w:rsidRDefault="002C1329" w:rsidP="00E41546">
            <w:pPr>
              <w:jc w:val="left"/>
              <w:rPr>
                <w:rFonts w:ascii="Arial Narrow" w:hAnsi="Arial Narrow" w:cs="Arial"/>
                <w:sz w:val="20"/>
                <w:szCs w:val="20"/>
              </w:rPr>
            </w:pPr>
            <w:r>
              <w:rPr>
                <w:rFonts w:ascii="Arial Narrow" w:hAnsi="Arial Narrow" w:cs="Arial"/>
                <w:sz w:val="20"/>
                <w:szCs w:val="20"/>
              </w:rPr>
              <w:t xml:space="preserve">[new] </w:t>
            </w:r>
            <w:r w:rsidRPr="009F3089">
              <w:rPr>
                <w:rFonts w:ascii="Arial Narrow" w:hAnsi="Arial Narrow" w:cs="Arial"/>
                <w:sz w:val="20"/>
                <w:szCs w:val="20"/>
              </w:rPr>
              <w:t>Palliative care nurses may conduct annual review under this item for the treatment of palliative care patients only.</w:t>
            </w:r>
          </w:p>
          <w:p w14:paraId="06B455F2" w14:textId="77777777" w:rsidR="002C1329" w:rsidRPr="00F33674" w:rsidRDefault="002C1329" w:rsidP="00E41546">
            <w:pPr>
              <w:jc w:val="left"/>
              <w:rPr>
                <w:rFonts w:ascii="Arial Narrow" w:hAnsi="Arial Narrow" w:cs="Arial"/>
                <w:sz w:val="20"/>
                <w:szCs w:val="20"/>
              </w:rPr>
            </w:pPr>
          </w:p>
          <w:p w14:paraId="4F51D40B" w14:textId="77777777" w:rsidR="002C1329" w:rsidRPr="00F33674" w:rsidRDefault="002C1329" w:rsidP="00E41546">
            <w:pPr>
              <w:jc w:val="left"/>
              <w:rPr>
                <w:rFonts w:ascii="Arial Narrow" w:hAnsi="Arial Narrow" w:cs="Arial"/>
                <w:sz w:val="20"/>
                <w:szCs w:val="20"/>
              </w:rPr>
            </w:pPr>
            <w:r w:rsidRPr="00F33674">
              <w:rPr>
                <w:rFonts w:ascii="Arial Narrow" w:hAnsi="Arial Narrow" w:cs="Arial"/>
                <w:sz w:val="20"/>
                <w:szCs w:val="20"/>
              </w:rPr>
              <w:t>[new] Authority requests extending treatment duration up to 1 month may be requested though the Online PBS Authorities system or by calling Services Australia.</w:t>
            </w:r>
          </w:p>
          <w:p w14:paraId="11408D81" w14:textId="77777777" w:rsidR="002C1329" w:rsidRPr="00F33674" w:rsidRDefault="002C1329" w:rsidP="00E41546">
            <w:pPr>
              <w:jc w:val="left"/>
              <w:rPr>
                <w:rFonts w:ascii="Arial Narrow" w:hAnsi="Arial Narrow" w:cs="Arial"/>
                <w:sz w:val="20"/>
                <w:szCs w:val="20"/>
              </w:rPr>
            </w:pPr>
          </w:p>
          <w:p w14:paraId="748149BA" w14:textId="77777777" w:rsidR="002C1329" w:rsidRPr="00F33674" w:rsidRDefault="002C1329" w:rsidP="00E41546">
            <w:pPr>
              <w:jc w:val="left"/>
              <w:rPr>
                <w:rFonts w:ascii="Arial Narrow" w:hAnsi="Arial Narrow" w:cs="Arial"/>
                <w:sz w:val="20"/>
                <w:szCs w:val="20"/>
              </w:rPr>
            </w:pPr>
            <w:r w:rsidRPr="00F33674">
              <w:rPr>
                <w:rFonts w:ascii="Arial Narrow" w:hAnsi="Arial Narrow" w:cs="Arial"/>
                <w:sz w:val="20"/>
                <w:szCs w:val="20"/>
              </w:rPr>
              <w:t xml:space="preserve">Authority requests extending treatment duration beyond 1 month </w:t>
            </w:r>
            <w:r w:rsidRPr="002C1329">
              <w:rPr>
                <w:rFonts w:ascii="Arial Narrow" w:hAnsi="Arial Narrow" w:cs="Arial"/>
                <w:sz w:val="20"/>
                <w:szCs w:val="20"/>
              </w:rPr>
              <w:t>may be requested through the Online PBS Authorities system</w:t>
            </w:r>
            <w:r w:rsidRPr="00F33674">
              <w:rPr>
                <w:rFonts w:ascii="Arial Narrow" w:hAnsi="Arial Narrow" w:cs="Arial"/>
                <w:sz w:val="20"/>
                <w:szCs w:val="20"/>
              </w:rPr>
              <w:t xml:space="preserve"> or in writing only and must not provide a treatment duration exceeding 3 months</w:t>
            </w:r>
            <w:r>
              <w:rPr>
                <w:rFonts w:ascii="Arial Narrow" w:hAnsi="Arial Narrow" w:cs="Arial"/>
                <w:sz w:val="20"/>
                <w:szCs w:val="20"/>
              </w:rPr>
              <w:t xml:space="preserve"> (</w:t>
            </w:r>
            <w:r w:rsidRPr="002C1329">
              <w:rPr>
                <w:rFonts w:ascii="Arial Narrow" w:hAnsi="Arial Narrow" w:cs="Arial"/>
                <w:sz w:val="20"/>
                <w:szCs w:val="20"/>
              </w:rPr>
              <w:t xml:space="preserve">quantity sufficient for up to </w:t>
            </w:r>
            <w:proofErr w:type="gramStart"/>
            <w:r w:rsidRPr="002C1329">
              <w:rPr>
                <w:rFonts w:ascii="Arial Narrow" w:hAnsi="Arial Narrow" w:cs="Arial"/>
                <w:sz w:val="20"/>
                <w:szCs w:val="20"/>
              </w:rPr>
              <w:t>1 month</w:t>
            </w:r>
            <w:proofErr w:type="gramEnd"/>
            <w:r w:rsidRPr="002C1329">
              <w:rPr>
                <w:rFonts w:ascii="Arial Narrow" w:hAnsi="Arial Narrow" w:cs="Arial"/>
                <w:sz w:val="20"/>
                <w:szCs w:val="20"/>
              </w:rPr>
              <w:t xml:space="preserve"> treatment and sufficient repeats)</w:t>
            </w:r>
            <w:r w:rsidRPr="00F33674">
              <w:rPr>
                <w:rFonts w:ascii="Arial Narrow" w:hAnsi="Arial Narrow" w:cs="Arial"/>
                <w:sz w:val="20"/>
                <w:szCs w:val="20"/>
              </w:rPr>
              <w:t>.</w:t>
            </w:r>
          </w:p>
        </w:tc>
      </w:tr>
      <w:tr w:rsidR="002C1329" w:rsidRPr="00F33674" w14:paraId="74B58817" w14:textId="77777777" w:rsidTr="00E41546">
        <w:trPr>
          <w:cantSplit/>
          <w:trHeight w:val="360"/>
        </w:trPr>
        <w:tc>
          <w:tcPr>
            <w:tcW w:w="2835" w:type="dxa"/>
            <w:tcBorders>
              <w:top w:val="single" w:sz="4" w:space="0" w:color="auto"/>
              <w:left w:val="single" w:sz="4" w:space="0" w:color="auto"/>
              <w:bottom w:val="single" w:sz="4" w:space="0" w:color="auto"/>
              <w:right w:val="single" w:sz="4" w:space="0" w:color="auto"/>
            </w:tcBorders>
          </w:tcPr>
          <w:p w14:paraId="6E456916" w14:textId="77777777" w:rsidR="002C1329" w:rsidRPr="00F33674" w:rsidRDefault="002C1329" w:rsidP="00E41546">
            <w:pPr>
              <w:rPr>
                <w:rFonts w:ascii="Arial Narrow" w:hAnsi="Arial Narrow" w:cs="Arial"/>
                <w:b/>
                <w:sz w:val="20"/>
                <w:szCs w:val="20"/>
              </w:rPr>
            </w:pPr>
            <w:r w:rsidRPr="00F33674">
              <w:rPr>
                <w:rFonts w:ascii="Arial Narrow" w:hAnsi="Arial Narrow" w:cs="Arial"/>
                <w:b/>
                <w:sz w:val="20"/>
                <w:szCs w:val="20"/>
              </w:rPr>
              <w:t>Administrative advice:</w:t>
            </w:r>
          </w:p>
        </w:tc>
        <w:tc>
          <w:tcPr>
            <w:tcW w:w="6379" w:type="dxa"/>
            <w:tcBorders>
              <w:top w:val="single" w:sz="4" w:space="0" w:color="auto"/>
              <w:left w:val="single" w:sz="4" w:space="0" w:color="auto"/>
              <w:bottom w:val="single" w:sz="4" w:space="0" w:color="auto"/>
              <w:right w:val="single" w:sz="4" w:space="0" w:color="auto"/>
            </w:tcBorders>
          </w:tcPr>
          <w:p w14:paraId="77DD50BF" w14:textId="77777777" w:rsidR="002C1329" w:rsidRPr="00F33674" w:rsidRDefault="002C1329" w:rsidP="00E41546">
            <w:pPr>
              <w:jc w:val="left"/>
              <w:rPr>
                <w:rFonts w:ascii="Arial Narrow" w:hAnsi="Arial Narrow" w:cs="Arial"/>
                <w:sz w:val="20"/>
                <w:szCs w:val="20"/>
              </w:rPr>
            </w:pPr>
            <w:r w:rsidRPr="00F33674">
              <w:rPr>
                <w:rFonts w:ascii="Arial Narrow" w:hAnsi="Arial Narrow" w:cs="Arial"/>
                <w:sz w:val="20"/>
                <w:szCs w:val="20"/>
              </w:rPr>
              <w:t>[new] This treatment is not suitable for ‘as-required’ pain relief.</w:t>
            </w:r>
          </w:p>
          <w:p w14:paraId="006FB4FD" w14:textId="77777777" w:rsidR="002C1329" w:rsidRPr="00F33674" w:rsidRDefault="002C1329" w:rsidP="00E41546">
            <w:pPr>
              <w:jc w:val="left"/>
              <w:rPr>
                <w:rFonts w:ascii="Arial Narrow" w:hAnsi="Arial Narrow" w:cs="Arial"/>
                <w:sz w:val="20"/>
                <w:szCs w:val="20"/>
              </w:rPr>
            </w:pPr>
          </w:p>
          <w:p w14:paraId="587EFC4A" w14:textId="77777777" w:rsidR="002C1329" w:rsidRPr="00F33674" w:rsidRDefault="002C1329" w:rsidP="00E41546">
            <w:pPr>
              <w:jc w:val="left"/>
              <w:rPr>
                <w:rFonts w:ascii="Arial Narrow" w:hAnsi="Arial Narrow" w:cs="Arial"/>
                <w:sz w:val="20"/>
                <w:szCs w:val="20"/>
              </w:rPr>
            </w:pPr>
            <w:r w:rsidRPr="00F33674">
              <w:rPr>
                <w:rFonts w:ascii="Arial Narrow" w:hAnsi="Arial Narrow" w:cs="Arial"/>
                <w:sz w:val="20"/>
                <w:szCs w:val="20"/>
              </w:rPr>
              <w:t xml:space="preserve">[7901] Shared Care Model: For prescribing by nurse practitioners where care of a patient </w:t>
            </w:r>
            <w:proofErr w:type="gramStart"/>
            <w:r w:rsidRPr="00F33674">
              <w:rPr>
                <w:rFonts w:ascii="Arial Narrow" w:hAnsi="Arial Narrow" w:cs="Arial"/>
                <w:sz w:val="20"/>
                <w:szCs w:val="20"/>
              </w:rPr>
              <w:t>is shared</w:t>
            </w:r>
            <w:proofErr w:type="gramEnd"/>
            <w:r w:rsidRPr="00F33674">
              <w:rPr>
                <w:rFonts w:ascii="Arial Narrow" w:hAnsi="Arial Narrow" w:cs="Arial"/>
                <w:sz w:val="20"/>
                <w:szCs w:val="20"/>
              </w:rPr>
              <w:t xml:space="preserve"> between a nurse practitioner and medical practitioner in a formalised arrangement with an agreed management plan. Further information </w:t>
            </w:r>
            <w:proofErr w:type="gramStart"/>
            <w:r w:rsidRPr="00F33674">
              <w:rPr>
                <w:rFonts w:ascii="Arial Narrow" w:hAnsi="Arial Narrow" w:cs="Arial"/>
                <w:sz w:val="20"/>
                <w:szCs w:val="20"/>
              </w:rPr>
              <w:t>can be found</w:t>
            </w:r>
            <w:proofErr w:type="gramEnd"/>
            <w:r w:rsidRPr="00F33674">
              <w:rPr>
                <w:rFonts w:ascii="Arial Narrow" w:hAnsi="Arial Narrow" w:cs="Arial"/>
                <w:sz w:val="20"/>
                <w:szCs w:val="20"/>
              </w:rPr>
              <w:t xml:space="preserve"> in the Explanatory Notes for Nurse Practitioners.</w:t>
            </w:r>
          </w:p>
          <w:p w14:paraId="1AA18D6F" w14:textId="77777777" w:rsidR="002C1329" w:rsidRPr="00F33674" w:rsidRDefault="002C1329" w:rsidP="00E41546">
            <w:pPr>
              <w:jc w:val="left"/>
              <w:rPr>
                <w:rFonts w:ascii="Arial Narrow" w:hAnsi="Arial Narrow" w:cs="Arial"/>
                <w:sz w:val="20"/>
                <w:szCs w:val="20"/>
              </w:rPr>
            </w:pPr>
          </w:p>
          <w:p w14:paraId="42BBA581" w14:textId="77777777" w:rsidR="002C1329" w:rsidRPr="00F33674" w:rsidRDefault="002C1329" w:rsidP="00E41546">
            <w:pPr>
              <w:jc w:val="left"/>
              <w:rPr>
                <w:rFonts w:ascii="Arial Narrow" w:hAnsi="Arial Narrow" w:cs="Arial"/>
                <w:sz w:val="20"/>
                <w:szCs w:val="20"/>
              </w:rPr>
            </w:pPr>
            <w:r w:rsidRPr="00F33674">
              <w:rPr>
                <w:rFonts w:ascii="Arial Narrow" w:hAnsi="Arial Narrow" w:cs="Arial"/>
                <w:sz w:val="20"/>
                <w:szCs w:val="20"/>
              </w:rPr>
              <w:t>[new] Real time online applications for increased maximum quantities/repeats may be made using the Online PBS Authorities system (see www.servicesaustralia.gov.au/organisations/health-professionals/services/medicare/hpos/services/request-authority-using-online-pbs-authorities-hpos)</w:t>
            </w:r>
          </w:p>
          <w:p w14:paraId="33C918F6" w14:textId="77777777" w:rsidR="002C1329" w:rsidRPr="00F33674" w:rsidRDefault="002C1329" w:rsidP="00E41546">
            <w:pPr>
              <w:jc w:val="left"/>
              <w:rPr>
                <w:rFonts w:ascii="Arial Narrow" w:hAnsi="Arial Narrow" w:cs="Arial"/>
                <w:sz w:val="20"/>
                <w:szCs w:val="20"/>
              </w:rPr>
            </w:pPr>
          </w:p>
          <w:p w14:paraId="44CF59B4" w14:textId="77777777" w:rsidR="002C1329" w:rsidRPr="00F33674" w:rsidRDefault="002C1329" w:rsidP="00E41546">
            <w:pPr>
              <w:jc w:val="left"/>
              <w:rPr>
                <w:rFonts w:ascii="Arial Narrow" w:hAnsi="Arial Narrow" w:cs="Arial"/>
                <w:sz w:val="20"/>
                <w:szCs w:val="20"/>
              </w:rPr>
            </w:pPr>
            <w:r w:rsidRPr="00F33674">
              <w:rPr>
                <w:rFonts w:ascii="Arial Narrow" w:hAnsi="Arial Narrow" w:cs="Arial"/>
                <w:sz w:val="20"/>
                <w:szCs w:val="20"/>
              </w:rPr>
              <w:t>Phone applications for increased maximum quantities/repeats may be made by calling 1800 888 333.</w:t>
            </w:r>
          </w:p>
          <w:p w14:paraId="61B11B0A" w14:textId="77777777" w:rsidR="002C1329" w:rsidRPr="00F33674" w:rsidRDefault="002C1329" w:rsidP="00E41546">
            <w:pPr>
              <w:jc w:val="left"/>
              <w:rPr>
                <w:rFonts w:ascii="Arial Narrow" w:hAnsi="Arial Narrow" w:cs="Arial"/>
                <w:sz w:val="20"/>
                <w:szCs w:val="20"/>
              </w:rPr>
            </w:pPr>
          </w:p>
          <w:p w14:paraId="626747DD" w14:textId="77777777" w:rsidR="002C1329" w:rsidRPr="00F33674" w:rsidRDefault="002C1329" w:rsidP="00E41546">
            <w:pPr>
              <w:jc w:val="left"/>
              <w:rPr>
                <w:rFonts w:ascii="Arial Narrow" w:hAnsi="Arial Narrow" w:cs="Arial"/>
                <w:sz w:val="20"/>
                <w:szCs w:val="20"/>
              </w:rPr>
            </w:pPr>
            <w:r w:rsidRPr="00F33674">
              <w:rPr>
                <w:rFonts w:ascii="Arial Narrow" w:hAnsi="Arial Narrow" w:cs="Arial"/>
                <w:sz w:val="20"/>
                <w:szCs w:val="20"/>
              </w:rPr>
              <w:t>Written authority applications for increased maximum quantities/repeats can be uploaded online through HPOS form upload or mailed to:</w:t>
            </w:r>
          </w:p>
          <w:p w14:paraId="2F3CE571" w14:textId="77777777" w:rsidR="002C1329" w:rsidRPr="00F33674" w:rsidRDefault="002C1329" w:rsidP="00E41546">
            <w:pPr>
              <w:jc w:val="left"/>
              <w:rPr>
                <w:rFonts w:ascii="Arial Narrow" w:hAnsi="Arial Narrow" w:cs="Arial"/>
                <w:sz w:val="20"/>
                <w:szCs w:val="20"/>
              </w:rPr>
            </w:pPr>
            <w:r w:rsidRPr="00F33674">
              <w:rPr>
                <w:rFonts w:ascii="Arial Narrow" w:hAnsi="Arial Narrow" w:cs="Arial"/>
                <w:sz w:val="20"/>
                <w:szCs w:val="20"/>
              </w:rPr>
              <w:t>Pharmaceutical Benefits Scheme</w:t>
            </w:r>
          </w:p>
          <w:p w14:paraId="4E3AF911" w14:textId="77777777" w:rsidR="002C1329" w:rsidRPr="00F33674" w:rsidRDefault="002C1329" w:rsidP="00E41546">
            <w:pPr>
              <w:jc w:val="left"/>
              <w:rPr>
                <w:rFonts w:ascii="Arial Narrow" w:hAnsi="Arial Narrow" w:cs="Arial"/>
                <w:sz w:val="20"/>
                <w:szCs w:val="20"/>
              </w:rPr>
            </w:pPr>
            <w:r w:rsidRPr="00F33674">
              <w:rPr>
                <w:rFonts w:ascii="Arial Narrow" w:hAnsi="Arial Narrow" w:cs="Arial"/>
                <w:sz w:val="20"/>
                <w:szCs w:val="20"/>
              </w:rPr>
              <w:t>Reply Paid 9857</w:t>
            </w:r>
          </w:p>
          <w:p w14:paraId="4771D2EC" w14:textId="77777777" w:rsidR="002C1329" w:rsidRPr="00F33674" w:rsidRDefault="002C1329" w:rsidP="00E41546">
            <w:pPr>
              <w:jc w:val="left"/>
              <w:rPr>
                <w:rFonts w:ascii="Arial Narrow" w:hAnsi="Arial Narrow" w:cs="Arial"/>
                <w:i/>
                <w:sz w:val="20"/>
                <w:szCs w:val="20"/>
              </w:rPr>
            </w:pPr>
            <w:r w:rsidRPr="00F33674">
              <w:rPr>
                <w:rFonts w:ascii="Arial Narrow" w:hAnsi="Arial Narrow" w:cs="Arial"/>
                <w:sz w:val="20"/>
                <w:szCs w:val="20"/>
              </w:rPr>
              <w:t>[Your capital city]</w:t>
            </w:r>
          </w:p>
        </w:tc>
      </w:tr>
      <w:tr w:rsidR="002C1329" w:rsidRPr="00F33674" w14:paraId="3A0EBD0F" w14:textId="77777777" w:rsidTr="00E41546">
        <w:trPr>
          <w:cantSplit/>
          <w:trHeight w:val="360"/>
        </w:trPr>
        <w:tc>
          <w:tcPr>
            <w:tcW w:w="2835" w:type="dxa"/>
            <w:tcBorders>
              <w:top w:val="single" w:sz="4" w:space="0" w:color="auto"/>
              <w:left w:val="single" w:sz="4" w:space="0" w:color="auto"/>
              <w:bottom w:val="single" w:sz="4" w:space="0" w:color="auto"/>
              <w:right w:val="single" w:sz="4" w:space="0" w:color="auto"/>
            </w:tcBorders>
          </w:tcPr>
          <w:p w14:paraId="7332CAD2" w14:textId="77777777" w:rsidR="002C1329" w:rsidRPr="00F33674" w:rsidRDefault="002C1329" w:rsidP="00E41546">
            <w:pPr>
              <w:rPr>
                <w:rFonts w:ascii="Arial Narrow" w:hAnsi="Arial Narrow" w:cs="Arial"/>
                <w:b/>
                <w:sz w:val="20"/>
                <w:szCs w:val="20"/>
              </w:rPr>
            </w:pPr>
            <w:r w:rsidRPr="00F33674">
              <w:rPr>
                <w:rFonts w:ascii="Arial Narrow" w:hAnsi="Arial Narrow" w:cs="Arial"/>
                <w:b/>
                <w:sz w:val="20"/>
                <w:szCs w:val="20"/>
              </w:rPr>
              <w:t>Cautions:</w:t>
            </w:r>
          </w:p>
        </w:tc>
        <w:tc>
          <w:tcPr>
            <w:tcW w:w="6379" w:type="dxa"/>
            <w:tcBorders>
              <w:top w:val="single" w:sz="4" w:space="0" w:color="auto"/>
              <w:left w:val="single" w:sz="4" w:space="0" w:color="auto"/>
              <w:bottom w:val="single" w:sz="4" w:space="0" w:color="auto"/>
              <w:right w:val="single" w:sz="4" w:space="0" w:color="auto"/>
            </w:tcBorders>
          </w:tcPr>
          <w:p w14:paraId="7E9BCCDA" w14:textId="77777777" w:rsidR="002C1329" w:rsidRPr="00F33674" w:rsidRDefault="002C1329" w:rsidP="00E41546">
            <w:pPr>
              <w:jc w:val="left"/>
              <w:rPr>
                <w:rFonts w:ascii="Arial Narrow" w:hAnsi="Arial Narrow" w:cs="Arial"/>
                <w:sz w:val="20"/>
                <w:szCs w:val="20"/>
              </w:rPr>
            </w:pPr>
            <w:r w:rsidRPr="00F33674">
              <w:rPr>
                <w:rFonts w:ascii="Arial Narrow" w:hAnsi="Arial Narrow" w:cs="Arial"/>
                <w:sz w:val="20"/>
                <w:szCs w:val="20"/>
              </w:rPr>
              <w:t>[6986] The risk of drug dependence is high.</w:t>
            </w:r>
          </w:p>
        </w:tc>
      </w:tr>
    </w:tbl>
    <w:p w14:paraId="24893FEE" w14:textId="77777777" w:rsidR="00CC3691" w:rsidRDefault="00CC3691">
      <w:pPr>
        <w:jc w:val="left"/>
      </w:pPr>
    </w:p>
    <w:p w14:paraId="3350C9C0" w14:textId="77777777" w:rsidR="00CC3691" w:rsidRDefault="00CC3691">
      <w:pPr>
        <w:jc w:val="left"/>
      </w:pPr>
      <w:r>
        <w:br w:type="page"/>
      </w:r>
    </w:p>
    <w:p w14:paraId="506B1B11" w14:textId="75D1B673" w:rsidR="00CB71CC" w:rsidRDefault="00CB71CC">
      <w:pPr>
        <w:jc w:val="left"/>
        <w:rPr>
          <w:rFonts w:asciiTheme="minorHAnsi" w:eastAsiaTheme="minorHAnsi" w:hAnsiTheme="minorHAnsi" w:cstheme="minorBidi"/>
          <w:szCs w:val="22"/>
        </w:rPr>
      </w:pPr>
    </w:p>
    <w:p w14:paraId="45D9E504" w14:textId="26BD8A30" w:rsidR="00F33674" w:rsidRPr="00F33674" w:rsidRDefault="00F33674" w:rsidP="00630FB2">
      <w:pPr>
        <w:pStyle w:val="3-BodyText"/>
      </w:pPr>
      <w:r w:rsidRPr="00F33674">
        <w:t>Amend items:</w:t>
      </w:r>
    </w:p>
    <w:p w14:paraId="5333A32B" w14:textId="77777777" w:rsidR="00F33674" w:rsidRPr="00F33674" w:rsidRDefault="00F33674" w:rsidP="00F33674">
      <w:pPr>
        <w:keepNext/>
        <w:keepLines/>
        <w:spacing w:before="40"/>
        <w:jc w:val="left"/>
        <w:outlineLvl w:val="2"/>
        <w:rPr>
          <w:rFonts w:asciiTheme="minorHAnsi" w:eastAsiaTheme="majorEastAsia" w:hAnsiTheme="minorHAnsi" w:cstheme="majorBidi"/>
          <w:b/>
          <w:color w:val="000000" w:themeColor="text1"/>
        </w:rPr>
      </w:pPr>
      <w:bookmarkStart w:id="33" w:name="_Toc32300599"/>
      <w:r w:rsidRPr="00F33674">
        <w:rPr>
          <w:rFonts w:asciiTheme="minorHAnsi" w:eastAsiaTheme="majorEastAsia" w:hAnsiTheme="minorHAnsi" w:cstheme="majorBidi"/>
          <w:b/>
          <w:color w:val="000000" w:themeColor="text1"/>
        </w:rPr>
        <w:t xml:space="preserve">Listing 17a: Restriction for long-term pain TGA indication in </w:t>
      </w:r>
      <w:proofErr w:type="gramStart"/>
      <w:r w:rsidRPr="00F33674">
        <w:rPr>
          <w:rFonts w:asciiTheme="minorHAnsi" w:eastAsiaTheme="majorEastAsia" w:hAnsiTheme="minorHAnsi" w:cstheme="majorBidi"/>
          <w:b/>
          <w:color w:val="000000" w:themeColor="text1"/>
        </w:rPr>
        <w:t>1</w:t>
      </w:r>
      <w:r w:rsidRPr="00F33674">
        <w:rPr>
          <w:rFonts w:asciiTheme="minorHAnsi" w:eastAsiaTheme="majorEastAsia" w:hAnsiTheme="minorHAnsi" w:cstheme="majorBidi"/>
          <w:b/>
          <w:color w:val="000000" w:themeColor="text1"/>
          <w:vertAlign w:val="superscript"/>
        </w:rPr>
        <w:t>st</w:t>
      </w:r>
      <w:proofErr w:type="gramEnd"/>
      <w:r w:rsidRPr="00F33674">
        <w:rPr>
          <w:rFonts w:asciiTheme="minorHAnsi" w:eastAsiaTheme="majorEastAsia" w:hAnsiTheme="minorHAnsi" w:cstheme="majorBidi"/>
          <w:b/>
          <w:color w:val="000000" w:themeColor="text1"/>
        </w:rPr>
        <w:t xml:space="preserve"> line opioid setting (morphine 200 mg MR tablets and 200mg granules):</w:t>
      </w:r>
      <w:bookmarkEnd w:id="33"/>
    </w:p>
    <w:p w14:paraId="7F0784DB" w14:textId="77777777" w:rsidR="00F33674" w:rsidRPr="00F33674" w:rsidRDefault="00F33674" w:rsidP="00F33674">
      <w:pPr>
        <w:jc w:val="left"/>
      </w:pPr>
    </w:p>
    <w:tbl>
      <w:tblPr>
        <w:tblW w:w="8747" w:type="dxa"/>
        <w:tblLook w:val="04A0" w:firstRow="1" w:lastRow="0" w:firstColumn="1" w:lastColumn="0" w:noHBand="0" w:noVBand="1"/>
      </w:tblPr>
      <w:tblGrid>
        <w:gridCol w:w="1271"/>
        <w:gridCol w:w="846"/>
        <w:gridCol w:w="2126"/>
        <w:gridCol w:w="572"/>
        <w:gridCol w:w="1191"/>
        <w:gridCol w:w="1182"/>
        <w:gridCol w:w="1559"/>
      </w:tblGrid>
      <w:tr w:rsidR="00F33674" w:rsidRPr="00F33674" w14:paraId="4EA39AA0" w14:textId="77777777" w:rsidTr="00F33674">
        <w:trPr>
          <w:trHeight w:val="300"/>
        </w:trPr>
        <w:tc>
          <w:tcPr>
            <w:tcW w:w="1271" w:type="dxa"/>
            <w:tcBorders>
              <w:bottom w:val="single" w:sz="4" w:space="0" w:color="auto"/>
            </w:tcBorders>
            <w:shd w:val="clear" w:color="auto" w:fill="auto"/>
            <w:noWrap/>
            <w:hideMark/>
          </w:tcPr>
          <w:p w14:paraId="5E80B666"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LI Drug</w:t>
            </w:r>
          </w:p>
        </w:tc>
        <w:tc>
          <w:tcPr>
            <w:tcW w:w="846" w:type="dxa"/>
            <w:tcBorders>
              <w:bottom w:val="single" w:sz="4" w:space="0" w:color="auto"/>
            </w:tcBorders>
            <w:shd w:val="clear" w:color="auto" w:fill="auto"/>
          </w:tcPr>
          <w:p w14:paraId="0AE2562D"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Item Code</w:t>
            </w:r>
          </w:p>
        </w:tc>
        <w:tc>
          <w:tcPr>
            <w:tcW w:w="2126" w:type="dxa"/>
            <w:tcBorders>
              <w:bottom w:val="single" w:sz="4" w:space="0" w:color="auto"/>
            </w:tcBorders>
            <w:shd w:val="clear" w:color="auto" w:fill="auto"/>
            <w:noWrap/>
            <w:hideMark/>
          </w:tcPr>
          <w:p w14:paraId="2810BE23"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Legal Instrument Form</w:t>
            </w:r>
          </w:p>
        </w:tc>
        <w:tc>
          <w:tcPr>
            <w:tcW w:w="572" w:type="dxa"/>
            <w:tcBorders>
              <w:bottom w:val="single" w:sz="4" w:space="0" w:color="auto"/>
            </w:tcBorders>
            <w:shd w:val="clear" w:color="auto" w:fill="auto"/>
            <w:noWrap/>
            <w:hideMark/>
          </w:tcPr>
          <w:p w14:paraId="255B0AA0"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Max. Qty</w:t>
            </w:r>
          </w:p>
        </w:tc>
        <w:tc>
          <w:tcPr>
            <w:tcW w:w="1191" w:type="dxa"/>
            <w:tcBorders>
              <w:bottom w:val="single" w:sz="4" w:space="0" w:color="auto"/>
            </w:tcBorders>
            <w:shd w:val="clear" w:color="auto" w:fill="auto"/>
            <w:noWrap/>
            <w:hideMark/>
          </w:tcPr>
          <w:p w14:paraId="30B361A9"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No. Rpt</w:t>
            </w:r>
          </w:p>
        </w:tc>
        <w:tc>
          <w:tcPr>
            <w:tcW w:w="1182" w:type="dxa"/>
            <w:tcBorders>
              <w:bottom w:val="single" w:sz="4" w:space="0" w:color="auto"/>
            </w:tcBorders>
            <w:shd w:val="clear" w:color="auto" w:fill="auto"/>
            <w:noWrap/>
            <w:hideMark/>
          </w:tcPr>
          <w:p w14:paraId="6CB65972"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Brand Name</w:t>
            </w:r>
          </w:p>
        </w:tc>
        <w:tc>
          <w:tcPr>
            <w:tcW w:w="1559" w:type="dxa"/>
            <w:tcBorders>
              <w:bottom w:val="single" w:sz="4" w:space="0" w:color="auto"/>
            </w:tcBorders>
            <w:shd w:val="clear" w:color="auto" w:fill="auto"/>
            <w:noWrap/>
            <w:hideMark/>
          </w:tcPr>
          <w:p w14:paraId="2A926E70"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Responsible Person</w:t>
            </w:r>
          </w:p>
        </w:tc>
      </w:tr>
      <w:tr w:rsidR="00F33674" w:rsidRPr="00F33674" w14:paraId="3E1DFE93" w14:textId="77777777" w:rsidTr="00F33674">
        <w:trPr>
          <w:trHeight w:val="300"/>
        </w:trPr>
        <w:tc>
          <w:tcPr>
            <w:tcW w:w="1271" w:type="dxa"/>
            <w:tcBorders>
              <w:top w:val="single" w:sz="4" w:space="0" w:color="auto"/>
            </w:tcBorders>
            <w:shd w:val="clear" w:color="auto" w:fill="auto"/>
            <w:noWrap/>
            <w:hideMark/>
          </w:tcPr>
          <w:p w14:paraId="756FC117"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MORPHINE</w:t>
            </w:r>
          </w:p>
        </w:tc>
        <w:tc>
          <w:tcPr>
            <w:tcW w:w="846" w:type="dxa"/>
            <w:tcBorders>
              <w:top w:val="single" w:sz="4" w:space="0" w:color="auto"/>
            </w:tcBorders>
            <w:shd w:val="clear" w:color="auto" w:fill="auto"/>
          </w:tcPr>
          <w:p w14:paraId="5B4F8ECF"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8454Y</w:t>
            </w:r>
          </w:p>
        </w:tc>
        <w:tc>
          <w:tcPr>
            <w:tcW w:w="2126" w:type="dxa"/>
            <w:tcBorders>
              <w:top w:val="single" w:sz="4" w:space="0" w:color="auto"/>
            </w:tcBorders>
            <w:shd w:val="clear" w:color="auto" w:fill="auto"/>
            <w:noWrap/>
            <w:hideMark/>
          </w:tcPr>
          <w:p w14:paraId="162673FE"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Sachet containing controlled release granules for oral suspension, containing morphine sulfate pentahydrate 200 mg per sachet</w:t>
            </w:r>
          </w:p>
        </w:tc>
        <w:tc>
          <w:tcPr>
            <w:tcW w:w="572" w:type="dxa"/>
            <w:tcBorders>
              <w:top w:val="single" w:sz="4" w:space="0" w:color="auto"/>
            </w:tcBorders>
            <w:shd w:val="clear" w:color="auto" w:fill="auto"/>
            <w:noWrap/>
            <w:hideMark/>
          </w:tcPr>
          <w:p w14:paraId="5C3C941D" w14:textId="77777777" w:rsidR="00F33674" w:rsidRPr="00F33674" w:rsidRDefault="00F33674" w:rsidP="00F33674">
            <w:pPr>
              <w:jc w:val="righ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28</w:t>
            </w:r>
          </w:p>
        </w:tc>
        <w:tc>
          <w:tcPr>
            <w:tcW w:w="1191" w:type="dxa"/>
            <w:tcBorders>
              <w:top w:val="single" w:sz="4" w:space="0" w:color="auto"/>
            </w:tcBorders>
            <w:shd w:val="clear" w:color="auto" w:fill="auto"/>
            <w:noWrap/>
            <w:hideMark/>
          </w:tcPr>
          <w:p w14:paraId="1B0B0942"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0</w:t>
            </w:r>
          </w:p>
        </w:tc>
        <w:tc>
          <w:tcPr>
            <w:tcW w:w="1182" w:type="dxa"/>
            <w:tcBorders>
              <w:top w:val="single" w:sz="4" w:space="0" w:color="auto"/>
            </w:tcBorders>
            <w:shd w:val="clear" w:color="auto" w:fill="auto"/>
            <w:noWrap/>
            <w:hideMark/>
          </w:tcPr>
          <w:p w14:paraId="116EF1F6"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MS Contin Suspension 200 mg</w:t>
            </w:r>
          </w:p>
        </w:tc>
        <w:tc>
          <w:tcPr>
            <w:tcW w:w="1559" w:type="dxa"/>
            <w:tcBorders>
              <w:top w:val="single" w:sz="4" w:space="0" w:color="auto"/>
            </w:tcBorders>
            <w:shd w:val="clear" w:color="auto" w:fill="auto"/>
            <w:noWrap/>
            <w:hideMark/>
          </w:tcPr>
          <w:p w14:paraId="68451AB2"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Mundipharma Pty Limited</w:t>
            </w:r>
          </w:p>
        </w:tc>
      </w:tr>
      <w:tr w:rsidR="00F33674" w:rsidRPr="00F33674" w14:paraId="01D45AFF" w14:textId="77777777" w:rsidTr="00F33674">
        <w:trPr>
          <w:trHeight w:val="300"/>
        </w:trPr>
        <w:tc>
          <w:tcPr>
            <w:tcW w:w="1271" w:type="dxa"/>
            <w:shd w:val="clear" w:color="auto" w:fill="auto"/>
            <w:noWrap/>
            <w:hideMark/>
          </w:tcPr>
          <w:p w14:paraId="1FBC1410" w14:textId="77777777" w:rsidR="00F33674" w:rsidRPr="00F33674" w:rsidRDefault="00F33674" w:rsidP="00F33674">
            <w:pPr>
              <w:jc w:val="left"/>
              <w:rPr>
                <w:rFonts w:ascii="Arial Narrow" w:hAnsi="Arial Narrow" w:cs="Calibri"/>
                <w:color w:val="000000"/>
                <w:sz w:val="20"/>
                <w:szCs w:val="20"/>
                <w:lang w:eastAsia="en-AU"/>
              </w:rPr>
            </w:pPr>
          </w:p>
        </w:tc>
        <w:tc>
          <w:tcPr>
            <w:tcW w:w="846" w:type="dxa"/>
            <w:shd w:val="clear" w:color="auto" w:fill="auto"/>
          </w:tcPr>
          <w:p w14:paraId="0D5A684E"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8453X</w:t>
            </w:r>
          </w:p>
        </w:tc>
        <w:tc>
          <w:tcPr>
            <w:tcW w:w="2126" w:type="dxa"/>
            <w:shd w:val="clear" w:color="auto" w:fill="auto"/>
            <w:noWrap/>
            <w:hideMark/>
          </w:tcPr>
          <w:p w14:paraId="60603E8B"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Tablet containing morphine sulfate pentahydrate 200 mg (controlled release)</w:t>
            </w:r>
          </w:p>
        </w:tc>
        <w:tc>
          <w:tcPr>
            <w:tcW w:w="572" w:type="dxa"/>
            <w:shd w:val="clear" w:color="auto" w:fill="auto"/>
            <w:noWrap/>
            <w:hideMark/>
          </w:tcPr>
          <w:p w14:paraId="674C3BE7" w14:textId="77777777" w:rsidR="00F33674" w:rsidRPr="00F33674" w:rsidRDefault="00F33674" w:rsidP="00F33674">
            <w:pPr>
              <w:jc w:val="righ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28</w:t>
            </w:r>
          </w:p>
        </w:tc>
        <w:tc>
          <w:tcPr>
            <w:tcW w:w="1191" w:type="dxa"/>
            <w:shd w:val="clear" w:color="auto" w:fill="auto"/>
            <w:noWrap/>
            <w:hideMark/>
          </w:tcPr>
          <w:p w14:paraId="72A2EBD9"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0</w:t>
            </w:r>
          </w:p>
        </w:tc>
        <w:tc>
          <w:tcPr>
            <w:tcW w:w="1182" w:type="dxa"/>
            <w:shd w:val="clear" w:color="auto" w:fill="auto"/>
            <w:noWrap/>
            <w:hideMark/>
          </w:tcPr>
          <w:p w14:paraId="6F3EE95A"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MS Contin</w:t>
            </w:r>
          </w:p>
        </w:tc>
        <w:tc>
          <w:tcPr>
            <w:tcW w:w="1559" w:type="dxa"/>
            <w:shd w:val="clear" w:color="auto" w:fill="auto"/>
            <w:noWrap/>
            <w:hideMark/>
          </w:tcPr>
          <w:p w14:paraId="5B8B15E8"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Mundipharma Pty Limited</w:t>
            </w:r>
          </w:p>
        </w:tc>
      </w:tr>
    </w:tbl>
    <w:p w14:paraId="4AB3A9D3" w14:textId="77777777" w:rsidR="00F33674" w:rsidRPr="00F33674" w:rsidRDefault="00F33674" w:rsidP="00F33674">
      <w:pPr>
        <w:ind w:left="360" w:hanging="360"/>
        <w:contextualSpacing/>
        <w:jc w:val="left"/>
      </w:pPr>
    </w:p>
    <w:tbl>
      <w:tblPr>
        <w:tblW w:w="9214" w:type="dxa"/>
        <w:tblInd w:w="-5" w:type="dxa"/>
        <w:tblLayout w:type="fixed"/>
        <w:tblLook w:val="0000" w:firstRow="0" w:lastRow="0" w:firstColumn="0" w:lastColumn="0" w:noHBand="0" w:noVBand="0"/>
      </w:tblPr>
      <w:tblGrid>
        <w:gridCol w:w="2835"/>
        <w:gridCol w:w="6379"/>
      </w:tblGrid>
      <w:tr w:rsidR="00F33674" w:rsidRPr="00F33674" w14:paraId="048CBD93" w14:textId="77777777" w:rsidTr="00F33674">
        <w:trPr>
          <w:cantSplit/>
          <w:trHeight w:val="360"/>
        </w:trPr>
        <w:tc>
          <w:tcPr>
            <w:tcW w:w="2835" w:type="dxa"/>
            <w:tcBorders>
              <w:top w:val="single" w:sz="4" w:space="0" w:color="auto"/>
              <w:left w:val="single" w:sz="4" w:space="0" w:color="auto"/>
              <w:bottom w:val="single" w:sz="4" w:space="0" w:color="auto"/>
              <w:right w:val="single" w:sz="4" w:space="0" w:color="auto"/>
            </w:tcBorders>
          </w:tcPr>
          <w:p w14:paraId="6986DE8A" w14:textId="77777777" w:rsidR="00F33674" w:rsidRPr="00F33674" w:rsidRDefault="00F33674" w:rsidP="00F33674">
            <w:pPr>
              <w:rPr>
                <w:rFonts w:ascii="Arial Narrow" w:hAnsi="Arial Narrow" w:cs="Arial"/>
                <w:b/>
                <w:sz w:val="20"/>
                <w:szCs w:val="20"/>
              </w:rPr>
            </w:pPr>
            <w:r w:rsidRPr="00F33674">
              <w:rPr>
                <w:rFonts w:ascii="Arial Narrow" w:hAnsi="Arial Narrow" w:cs="Arial"/>
                <w:b/>
                <w:sz w:val="20"/>
                <w:szCs w:val="20"/>
              </w:rPr>
              <w:t>Category / Program:</w:t>
            </w:r>
          </w:p>
        </w:tc>
        <w:tc>
          <w:tcPr>
            <w:tcW w:w="6379" w:type="dxa"/>
            <w:tcBorders>
              <w:top w:val="single" w:sz="4" w:space="0" w:color="auto"/>
              <w:left w:val="single" w:sz="4" w:space="0" w:color="auto"/>
              <w:bottom w:val="single" w:sz="4" w:space="0" w:color="auto"/>
              <w:right w:val="single" w:sz="4" w:space="0" w:color="auto"/>
            </w:tcBorders>
          </w:tcPr>
          <w:p w14:paraId="761451A2" w14:textId="77777777" w:rsidR="00F33674" w:rsidRPr="00F33674" w:rsidRDefault="00F33674" w:rsidP="00F33674">
            <w:pPr>
              <w:rPr>
                <w:rFonts w:ascii="Arial Narrow" w:hAnsi="Arial Narrow" w:cs="Arial"/>
                <w:sz w:val="20"/>
                <w:szCs w:val="20"/>
              </w:rPr>
            </w:pPr>
            <w:r w:rsidRPr="00F33674">
              <w:rPr>
                <w:rFonts w:ascii="Arial Narrow" w:hAnsi="Arial Narrow" w:cs="Arial"/>
                <w:sz w:val="20"/>
                <w:szCs w:val="20"/>
              </w:rPr>
              <w:t>GENERAL – General Schedule (Code GE)</w:t>
            </w:r>
          </w:p>
        </w:tc>
      </w:tr>
      <w:tr w:rsidR="00F33674" w:rsidRPr="00F33674" w14:paraId="4F59CDD2" w14:textId="77777777" w:rsidTr="00F33674">
        <w:trPr>
          <w:cantSplit/>
          <w:trHeight w:val="360"/>
        </w:trPr>
        <w:tc>
          <w:tcPr>
            <w:tcW w:w="2835" w:type="dxa"/>
            <w:tcBorders>
              <w:top w:val="single" w:sz="4" w:space="0" w:color="auto"/>
              <w:left w:val="single" w:sz="4" w:space="0" w:color="auto"/>
              <w:bottom w:val="single" w:sz="4" w:space="0" w:color="auto"/>
              <w:right w:val="single" w:sz="4" w:space="0" w:color="auto"/>
            </w:tcBorders>
          </w:tcPr>
          <w:p w14:paraId="26515E7C" w14:textId="77777777" w:rsidR="00F33674" w:rsidRPr="00F33674" w:rsidRDefault="00F33674" w:rsidP="00F33674">
            <w:pPr>
              <w:rPr>
                <w:rFonts w:ascii="Arial Narrow" w:hAnsi="Arial Narrow" w:cs="Arial"/>
                <w:b/>
                <w:sz w:val="20"/>
                <w:szCs w:val="20"/>
              </w:rPr>
            </w:pPr>
            <w:r w:rsidRPr="00F33674">
              <w:rPr>
                <w:rFonts w:ascii="Arial Narrow" w:hAnsi="Arial Narrow" w:cs="Arial"/>
                <w:b/>
                <w:sz w:val="20"/>
                <w:szCs w:val="20"/>
              </w:rPr>
              <w:t>Prescriber type:</w:t>
            </w:r>
          </w:p>
          <w:p w14:paraId="1AA289B9" w14:textId="77777777" w:rsidR="00F33674" w:rsidRPr="00F33674" w:rsidRDefault="00F33674" w:rsidP="00F33674">
            <w:pPr>
              <w:rPr>
                <w:rFonts w:ascii="Arial Narrow" w:hAnsi="Arial Narrow" w:cs="Arial"/>
                <w:b/>
                <w:sz w:val="20"/>
                <w:szCs w:val="20"/>
              </w:rPr>
            </w:pPr>
          </w:p>
        </w:tc>
        <w:tc>
          <w:tcPr>
            <w:tcW w:w="6379" w:type="dxa"/>
            <w:tcBorders>
              <w:top w:val="single" w:sz="4" w:space="0" w:color="auto"/>
              <w:left w:val="single" w:sz="4" w:space="0" w:color="auto"/>
              <w:bottom w:val="single" w:sz="4" w:space="0" w:color="auto"/>
              <w:right w:val="single" w:sz="4" w:space="0" w:color="auto"/>
            </w:tcBorders>
          </w:tcPr>
          <w:p w14:paraId="688A4D67" w14:textId="515F5245" w:rsidR="00F33674" w:rsidRPr="00F33674" w:rsidRDefault="00F33674" w:rsidP="00F33674">
            <w:pPr>
              <w:rPr>
                <w:rFonts w:ascii="Arial Narrow" w:hAnsi="Arial Narrow" w:cs="Arial"/>
                <w:sz w:val="20"/>
                <w:szCs w:val="20"/>
              </w:rPr>
            </w:pPr>
            <w:r w:rsidRPr="00F33674">
              <w:rPr>
                <w:rFonts w:ascii="Arial Narrow" w:hAnsi="Arial Narrow" w:cs="Arial"/>
                <w:sz w:val="20"/>
                <w:szCs w:val="20"/>
              </w:rPr>
              <w:fldChar w:fldCharType="begin">
                <w:ffData>
                  <w:name w:val="Check1"/>
                  <w:enabled/>
                  <w:calcOnExit w:val="0"/>
                  <w:checkBox>
                    <w:sizeAuto/>
                    <w:default w:val="0"/>
                  </w:checkBox>
                </w:ffData>
              </w:fldChar>
            </w:r>
            <w:r w:rsidRPr="00F33674">
              <w:rPr>
                <w:rFonts w:ascii="Arial Narrow" w:hAnsi="Arial Narrow" w:cs="Arial"/>
                <w:sz w:val="20"/>
                <w:szCs w:val="20"/>
              </w:rPr>
              <w:instrText xml:space="preserve"> FORMCHECKBOX </w:instrText>
            </w:r>
            <w:r w:rsidR="00233D13">
              <w:rPr>
                <w:rFonts w:ascii="Arial Narrow" w:hAnsi="Arial Narrow" w:cs="Arial"/>
                <w:sz w:val="20"/>
                <w:szCs w:val="20"/>
              </w:rPr>
            </w:r>
            <w:r w:rsidR="00233D13">
              <w:rPr>
                <w:rFonts w:ascii="Arial Narrow" w:hAnsi="Arial Narrow" w:cs="Arial"/>
                <w:sz w:val="20"/>
                <w:szCs w:val="20"/>
              </w:rPr>
              <w:fldChar w:fldCharType="separate"/>
            </w:r>
            <w:r w:rsidRPr="00F33674">
              <w:rPr>
                <w:rFonts w:ascii="Arial Narrow" w:hAnsi="Arial Narrow" w:cs="Arial"/>
                <w:sz w:val="20"/>
                <w:szCs w:val="20"/>
              </w:rPr>
              <w:fldChar w:fldCharType="end"/>
            </w:r>
            <w:r w:rsidRPr="00F33674">
              <w:rPr>
                <w:rFonts w:ascii="Arial Narrow" w:hAnsi="Arial Narrow" w:cs="Arial"/>
                <w:sz w:val="20"/>
                <w:szCs w:val="20"/>
              </w:rPr>
              <w:t>Dental</w:t>
            </w:r>
            <w:r w:rsidR="002C1329">
              <w:rPr>
                <w:rFonts w:ascii="Arial Narrow" w:hAnsi="Arial Narrow" w:cs="Arial"/>
                <w:sz w:val="20"/>
                <w:szCs w:val="20"/>
              </w:rPr>
              <w:t xml:space="preserve"> </w:t>
            </w:r>
            <w:r w:rsidRPr="00F33674">
              <w:rPr>
                <w:rFonts w:ascii="Arial Narrow" w:hAnsi="Arial Narrow" w:cs="Arial"/>
                <w:sz w:val="20"/>
                <w:szCs w:val="20"/>
              </w:rPr>
              <w:fldChar w:fldCharType="begin">
                <w:ffData>
                  <w:name w:val=""/>
                  <w:enabled/>
                  <w:calcOnExit w:val="0"/>
                  <w:checkBox>
                    <w:sizeAuto/>
                    <w:default w:val="1"/>
                  </w:checkBox>
                </w:ffData>
              </w:fldChar>
            </w:r>
            <w:r w:rsidRPr="00F33674">
              <w:rPr>
                <w:rFonts w:ascii="Arial Narrow" w:hAnsi="Arial Narrow" w:cs="Arial"/>
                <w:sz w:val="20"/>
                <w:szCs w:val="20"/>
              </w:rPr>
              <w:instrText xml:space="preserve"> FORMCHECKBOX </w:instrText>
            </w:r>
            <w:r w:rsidR="00233D13">
              <w:rPr>
                <w:rFonts w:ascii="Arial Narrow" w:hAnsi="Arial Narrow" w:cs="Arial"/>
                <w:sz w:val="20"/>
                <w:szCs w:val="20"/>
              </w:rPr>
            </w:r>
            <w:r w:rsidR="00233D13">
              <w:rPr>
                <w:rFonts w:ascii="Arial Narrow" w:hAnsi="Arial Narrow" w:cs="Arial"/>
                <w:sz w:val="20"/>
                <w:szCs w:val="20"/>
              </w:rPr>
              <w:fldChar w:fldCharType="separate"/>
            </w:r>
            <w:r w:rsidRPr="00F33674">
              <w:rPr>
                <w:rFonts w:ascii="Arial Narrow" w:hAnsi="Arial Narrow" w:cs="Arial"/>
                <w:sz w:val="20"/>
                <w:szCs w:val="20"/>
              </w:rPr>
              <w:fldChar w:fldCharType="end"/>
            </w:r>
            <w:r w:rsidRPr="00F33674">
              <w:rPr>
                <w:rFonts w:ascii="Arial Narrow" w:hAnsi="Arial Narrow" w:cs="Arial"/>
                <w:sz w:val="20"/>
                <w:szCs w:val="20"/>
              </w:rPr>
              <w:t>Medical Practitioners</w:t>
            </w:r>
            <w:r w:rsidR="002C1329">
              <w:rPr>
                <w:rFonts w:ascii="Arial Narrow" w:hAnsi="Arial Narrow" w:cs="Arial"/>
                <w:sz w:val="20"/>
                <w:szCs w:val="20"/>
              </w:rPr>
              <w:t xml:space="preserve"> </w:t>
            </w:r>
            <w:r w:rsidRPr="00F33674">
              <w:rPr>
                <w:rFonts w:ascii="Arial Narrow" w:hAnsi="Arial Narrow" w:cs="Arial"/>
                <w:sz w:val="20"/>
                <w:szCs w:val="20"/>
              </w:rPr>
              <w:fldChar w:fldCharType="begin">
                <w:ffData>
                  <w:name w:val="Check3"/>
                  <w:enabled/>
                  <w:calcOnExit w:val="0"/>
                  <w:checkBox>
                    <w:sizeAuto/>
                    <w:default w:val="1"/>
                  </w:checkBox>
                </w:ffData>
              </w:fldChar>
            </w:r>
            <w:r w:rsidRPr="00F33674">
              <w:rPr>
                <w:rFonts w:ascii="Arial Narrow" w:hAnsi="Arial Narrow" w:cs="Arial"/>
                <w:sz w:val="20"/>
                <w:szCs w:val="20"/>
              </w:rPr>
              <w:instrText xml:space="preserve"> FORMCHECKBOX </w:instrText>
            </w:r>
            <w:r w:rsidR="00233D13">
              <w:rPr>
                <w:rFonts w:ascii="Arial Narrow" w:hAnsi="Arial Narrow" w:cs="Arial"/>
                <w:sz w:val="20"/>
                <w:szCs w:val="20"/>
              </w:rPr>
            </w:r>
            <w:r w:rsidR="00233D13">
              <w:rPr>
                <w:rFonts w:ascii="Arial Narrow" w:hAnsi="Arial Narrow" w:cs="Arial"/>
                <w:sz w:val="20"/>
                <w:szCs w:val="20"/>
              </w:rPr>
              <w:fldChar w:fldCharType="separate"/>
            </w:r>
            <w:r w:rsidRPr="00F33674">
              <w:rPr>
                <w:rFonts w:ascii="Arial Narrow" w:hAnsi="Arial Narrow" w:cs="Arial"/>
                <w:sz w:val="20"/>
                <w:szCs w:val="20"/>
              </w:rPr>
              <w:fldChar w:fldCharType="end"/>
            </w:r>
            <w:r w:rsidRPr="00F33674">
              <w:rPr>
                <w:rFonts w:ascii="Arial Narrow" w:hAnsi="Arial Narrow" w:cs="Arial"/>
                <w:sz w:val="20"/>
                <w:szCs w:val="20"/>
              </w:rPr>
              <w:t>Nurse practitioners</w:t>
            </w:r>
            <w:r w:rsidR="002C1329">
              <w:rPr>
                <w:rFonts w:ascii="Arial Narrow" w:hAnsi="Arial Narrow" w:cs="Arial"/>
                <w:sz w:val="20"/>
                <w:szCs w:val="20"/>
              </w:rPr>
              <w:t xml:space="preserve"> </w:t>
            </w:r>
            <w:r w:rsidRPr="00F33674">
              <w:rPr>
                <w:rFonts w:ascii="Arial Narrow" w:hAnsi="Arial Narrow" w:cs="Arial"/>
                <w:sz w:val="20"/>
                <w:szCs w:val="20"/>
              </w:rPr>
              <w:fldChar w:fldCharType="begin">
                <w:ffData>
                  <w:name w:val=""/>
                  <w:enabled/>
                  <w:calcOnExit w:val="0"/>
                  <w:checkBox>
                    <w:sizeAuto/>
                    <w:default w:val="0"/>
                  </w:checkBox>
                </w:ffData>
              </w:fldChar>
            </w:r>
            <w:r w:rsidRPr="00F33674">
              <w:rPr>
                <w:rFonts w:ascii="Arial Narrow" w:hAnsi="Arial Narrow" w:cs="Arial"/>
                <w:sz w:val="20"/>
                <w:szCs w:val="20"/>
              </w:rPr>
              <w:instrText xml:space="preserve"> FORMCHECKBOX </w:instrText>
            </w:r>
            <w:r w:rsidR="00233D13">
              <w:rPr>
                <w:rFonts w:ascii="Arial Narrow" w:hAnsi="Arial Narrow" w:cs="Arial"/>
                <w:sz w:val="20"/>
                <w:szCs w:val="20"/>
              </w:rPr>
            </w:r>
            <w:r w:rsidR="00233D13">
              <w:rPr>
                <w:rFonts w:ascii="Arial Narrow" w:hAnsi="Arial Narrow" w:cs="Arial"/>
                <w:sz w:val="20"/>
                <w:szCs w:val="20"/>
              </w:rPr>
              <w:fldChar w:fldCharType="separate"/>
            </w:r>
            <w:r w:rsidRPr="00F33674">
              <w:rPr>
                <w:rFonts w:ascii="Arial Narrow" w:hAnsi="Arial Narrow" w:cs="Arial"/>
                <w:sz w:val="20"/>
                <w:szCs w:val="20"/>
              </w:rPr>
              <w:fldChar w:fldCharType="end"/>
            </w:r>
            <w:r w:rsidRPr="00F33674">
              <w:rPr>
                <w:rFonts w:ascii="Arial Narrow" w:hAnsi="Arial Narrow" w:cs="Arial"/>
                <w:sz w:val="20"/>
                <w:szCs w:val="20"/>
              </w:rPr>
              <w:t>Optometrists</w:t>
            </w:r>
          </w:p>
          <w:p w14:paraId="1CC86866" w14:textId="77777777" w:rsidR="00F33674" w:rsidRPr="00F33674" w:rsidRDefault="00F33674" w:rsidP="00F33674">
            <w:pPr>
              <w:rPr>
                <w:rFonts w:ascii="Arial Narrow" w:hAnsi="Arial Narrow" w:cs="Arial"/>
                <w:sz w:val="20"/>
                <w:szCs w:val="20"/>
              </w:rPr>
            </w:pPr>
            <w:r w:rsidRPr="00F33674">
              <w:rPr>
                <w:rFonts w:ascii="Arial Narrow" w:hAnsi="Arial Narrow" w:cs="Arial"/>
                <w:sz w:val="20"/>
                <w:szCs w:val="20"/>
              </w:rPr>
              <w:fldChar w:fldCharType="begin">
                <w:ffData>
                  <w:name w:val="Check5"/>
                  <w:enabled/>
                  <w:calcOnExit w:val="0"/>
                  <w:checkBox>
                    <w:sizeAuto/>
                    <w:default w:val="0"/>
                  </w:checkBox>
                </w:ffData>
              </w:fldChar>
            </w:r>
            <w:r w:rsidRPr="00F33674">
              <w:rPr>
                <w:rFonts w:ascii="Arial Narrow" w:hAnsi="Arial Narrow" w:cs="Arial"/>
                <w:sz w:val="20"/>
                <w:szCs w:val="20"/>
              </w:rPr>
              <w:instrText xml:space="preserve"> FORMCHECKBOX </w:instrText>
            </w:r>
            <w:r w:rsidR="00233D13">
              <w:rPr>
                <w:rFonts w:ascii="Arial Narrow" w:hAnsi="Arial Narrow" w:cs="Arial"/>
                <w:sz w:val="20"/>
                <w:szCs w:val="20"/>
              </w:rPr>
            </w:r>
            <w:r w:rsidR="00233D13">
              <w:rPr>
                <w:rFonts w:ascii="Arial Narrow" w:hAnsi="Arial Narrow" w:cs="Arial"/>
                <w:sz w:val="20"/>
                <w:szCs w:val="20"/>
              </w:rPr>
              <w:fldChar w:fldCharType="separate"/>
            </w:r>
            <w:r w:rsidRPr="00F33674">
              <w:rPr>
                <w:rFonts w:ascii="Arial Narrow" w:hAnsi="Arial Narrow" w:cs="Arial"/>
                <w:sz w:val="20"/>
                <w:szCs w:val="20"/>
              </w:rPr>
              <w:fldChar w:fldCharType="end"/>
            </w:r>
            <w:r w:rsidRPr="00F33674">
              <w:rPr>
                <w:rFonts w:ascii="Arial Narrow" w:hAnsi="Arial Narrow" w:cs="Arial"/>
                <w:sz w:val="20"/>
                <w:szCs w:val="20"/>
              </w:rPr>
              <w:t>Midwives</w:t>
            </w:r>
          </w:p>
        </w:tc>
      </w:tr>
      <w:tr w:rsidR="00F33674" w:rsidRPr="00F33674" w14:paraId="79872B65" w14:textId="77777777" w:rsidTr="00F33674">
        <w:trPr>
          <w:cantSplit/>
          <w:trHeight w:val="369"/>
        </w:trPr>
        <w:tc>
          <w:tcPr>
            <w:tcW w:w="2835" w:type="dxa"/>
            <w:tcBorders>
              <w:top w:val="single" w:sz="4" w:space="0" w:color="auto"/>
              <w:left w:val="single" w:sz="4" w:space="0" w:color="auto"/>
              <w:bottom w:val="single" w:sz="4" w:space="0" w:color="auto"/>
              <w:right w:val="single" w:sz="4" w:space="0" w:color="auto"/>
            </w:tcBorders>
          </w:tcPr>
          <w:p w14:paraId="4339D70B" w14:textId="77777777" w:rsidR="00F33674" w:rsidRPr="00F33674" w:rsidRDefault="00F33674" w:rsidP="00F33674">
            <w:pPr>
              <w:rPr>
                <w:rFonts w:ascii="Arial Narrow" w:hAnsi="Arial Narrow" w:cs="Arial"/>
                <w:b/>
                <w:sz w:val="20"/>
                <w:szCs w:val="20"/>
              </w:rPr>
            </w:pPr>
            <w:r w:rsidRPr="00F33674">
              <w:rPr>
                <w:rFonts w:ascii="Arial Narrow" w:hAnsi="Arial Narrow" w:cs="Arial"/>
                <w:b/>
                <w:sz w:val="20"/>
                <w:szCs w:val="20"/>
              </w:rPr>
              <w:t>PBS indication:</w:t>
            </w:r>
          </w:p>
        </w:tc>
        <w:tc>
          <w:tcPr>
            <w:tcW w:w="6379" w:type="dxa"/>
            <w:tcBorders>
              <w:top w:val="single" w:sz="4" w:space="0" w:color="auto"/>
              <w:left w:val="single" w:sz="4" w:space="0" w:color="auto"/>
              <w:bottom w:val="single" w:sz="4" w:space="0" w:color="auto"/>
              <w:right w:val="single" w:sz="4" w:space="0" w:color="auto"/>
            </w:tcBorders>
          </w:tcPr>
          <w:p w14:paraId="1CFB8E1A" w14:textId="77777777" w:rsidR="00F33674" w:rsidRPr="00F33674" w:rsidRDefault="00F33674" w:rsidP="00F33674">
            <w:pPr>
              <w:rPr>
                <w:rFonts w:ascii="Arial Narrow" w:hAnsi="Arial Narrow" w:cs="Arial"/>
                <w:sz w:val="20"/>
                <w:szCs w:val="20"/>
              </w:rPr>
            </w:pPr>
            <w:r w:rsidRPr="00F33674">
              <w:rPr>
                <w:rFonts w:ascii="Arial Narrow" w:hAnsi="Arial Narrow" w:cs="Arial"/>
                <w:sz w:val="20"/>
                <w:szCs w:val="20"/>
              </w:rPr>
              <w:t>[9729] Chronic severe disabling pain</w:t>
            </w:r>
          </w:p>
        </w:tc>
      </w:tr>
      <w:tr w:rsidR="00F33674" w:rsidRPr="00F33674" w14:paraId="3B3EDF5C" w14:textId="77777777" w:rsidTr="00F33674">
        <w:trPr>
          <w:cantSplit/>
          <w:trHeight w:val="360"/>
        </w:trPr>
        <w:tc>
          <w:tcPr>
            <w:tcW w:w="2835" w:type="dxa"/>
            <w:tcBorders>
              <w:top w:val="single" w:sz="4" w:space="0" w:color="auto"/>
              <w:left w:val="single" w:sz="4" w:space="0" w:color="auto"/>
              <w:bottom w:val="single" w:sz="4" w:space="0" w:color="auto"/>
              <w:right w:val="single" w:sz="4" w:space="0" w:color="auto"/>
            </w:tcBorders>
          </w:tcPr>
          <w:p w14:paraId="5198CB7C" w14:textId="77777777" w:rsidR="00F33674" w:rsidRPr="00F33674" w:rsidRDefault="00F33674" w:rsidP="00F33674">
            <w:pPr>
              <w:rPr>
                <w:rFonts w:ascii="Arial Narrow" w:hAnsi="Arial Narrow" w:cs="Arial"/>
                <w:b/>
                <w:sz w:val="20"/>
                <w:szCs w:val="20"/>
              </w:rPr>
            </w:pPr>
            <w:r w:rsidRPr="00F33674">
              <w:rPr>
                <w:rFonts w:ascii="Arial Narrow" w:hAnsi="Arial Narrow" w:cs="Arial"/>
                <w:b/>
                <w:sz w:val="20"/>
                <w:szCs w:val="20"/>
              </w:rPr>
              <w:t>Restriction Level / Method:</w:t>
            </w:r>
          </w:p>
          <w:p w14:paraId="6DC32F62" w14:textId="77777777" w:rsidR="00F33674" w:rsidRPr="00F33674" w:rsidRDefault="00F33674" w:rsidP="00F33674">
            <w:pPr>
              <w:rPr>
                <w:rFonts w:ascii="Arial Narrow" w:hAnsi="Arial Narrow" w:cs="Arial"/>
                <w:i/>
                <w:sz w:val="20"/>
                <w:szCs w:val="20"/>
              </w:rPr>
            </w:pPr>
          </w:p>
          <w:p w14:paraId="73FDAC8C" w14:textId="77777777" w:rsidR="00F33674" w:rsidRPr="00F33674" w:rsidRDefault="00F33674" w:rsidP="00F33674">
            <w:pPr>
              <w:rPr>
                <w:rFonts w:ascii="Arial Narrow" w:hAnsi="Arial Narrow" w:cs="Arial"/>
                <w:i/>
                <w:sz w:val="20"/>
                <w:szCs w:val="20"/>
              </w:rPr>
            </w:pPr>
          </w:p>
          <w:p w14:paraId="65D17111" w14:textId="77777777" w:rsidR="00F33674" w:rsidRPr="00F33674" w:rsidRDefault="00F33674" w:rsidP="00F33674">
            <w:pPr>
              <w:rPr>
                <w:rFonts w:ascii="Arial Narrow" w:hAnsi="Arial Narrow" w:cs="Arial"/>
                <w:i/>
                <w:sz w:val="20"/>
                <w:szCs w:val="20"/>
              </w:rPr>
            </w:pPr>
          </w:p>
        </w:tc>
        <w:tc>
          <w:tcPr>
            <w:tcW w:w="6379" w:type="dxa"/>
            <w:tcBorders>
              <w:top w:val="single" w:sz="4" w:space="0" w:color="auto"/>
              <w:left w:val="single" w:sz="4" w:space="0" w:color="auto"/>
              <w:bottom w:val="single" w:sz="4" w:space="0" w:color="auto"/>
              <w:right w:val="single" w:sz="4" w:space="0" w:color="auto"/>
            </w:tcBorders>
          </w:tcPr>
          <w:p w14:paraId="2EEB7CE8" w14:textId="77777777" w:rsidR="00F33674" w:rsidRPr="00F33674" w:rsidRDefault="00F33674" w:rsidP="00F33674">
            <w:pPr>
              <w:rPr>
                <w:rFonts w:ascii="Arial Narrow" w:hAnsi="Arial Narrow" w:cs="Arial"/>
                <w:sz w:val="20"/>
                <w:szCs w:val="20"/>
              </w:rPr>
            </w:pPr>
            <w:r w:rsidRPr="00F33674">
              <w:rPr>
                <w:rFonts w:ascii="Arial Narrow" w:hAnsi="Arial Narrow" w:cs="Arial"/>
                <w:sz w:val="20"/>
                <w:szCs w:val="20"/>
              </w:rPr>
              <w:fldChar w:fldCharType="begin">
                <w:ffData>
                  <w:name w:val=""/>
                  <w:enabled/>
                  <w:calcOnExit w:val="0"/>
                  <w:checkBox>
                    <w:sizeAuto/>
                    <w:default w:val="0"/>
                  </w:checkBox>
                </w:ffData>
              </w:fldChar>
            </w:r>
            <w:r w:rsidRPr="00F33674">
              <w:rPr>
                <w:rFonts w:ascii="Arial Narrow" w:hAnsi="Arial Narrow" w:cs="Arial"/>
                <w:sz w:val="20"/>
                <w:szCs w:val="20"/>
              </w:rPr>
              <w:instrText xml:space="preserve"> FORMCHECKBOX </w:instrText>
            </w:r>
            <w:r w:rsidR="00233D13">
              <w:rPr>
                <w:rFonts w:ascii="Arial Narrow" w:hAnsi="Arial Narrow" w:cs="Arial"/>
                <w:sz w:val="20"/>
                <w:szCs w:val="20"/>
              </w:rPr>
            </w:r>
            <w:r w:rsidR="00233D13">
              <w:rPr>
                <w:rFonts w:ascii="Arial Narrow" w:hAnsi="Arial Narrow" w:cs="Arial"/>
                <w:sz w:val="20"/>
                <w:szCs w:val="20"/>
              </w:rPr>
              <w:fldChar w:fldCharType="separate"/>
            </w:r>
            <w:r w:rsidRPr="00F33674">
              <w:rPr>
                <w:rFonts w:ascii="Arial Narrow" w:hAnsi="Arial Narrow" w:cs="Arial"/>
                <w:sz w:val="20"/>
                <w:szCs w:val="20"/>
              </w:rPr>
              <w:fldChar w:fldCharType="end"/>
            </w:r>
            <w:r w:rsidRPr="00F33674">
              <w:rPr>
                <w:rFonts w:ascii="Arial Narrow" w:hAnsi="Arial Narrow" w:cs="Arial"/>
                <w:sz w:val="20"/>
                <w:szCs w:val="20"/>
              </w:rPr>
              <w:t>Unrestricted benefit</w:t>
            </w:r>
          </w:p>
          <w:p w14:paraId="1B23A10E" w14:textId="77777777" w:rsidR="00F33674" w:rsidRPr="00F33674" w:rsidRDefault="00F33674" w:rsidP="00F33674">
            <w:pPr>
              <w:rPr>
                <w:rFonts w:ascii="Arial Narrow" w:hAnsi="Arial Narrow" w:cs="Arial"/>
                <w:i/>
                <w:sz w:val="20"/>
                <w:szCs w:val="20"/>
              </w:rPr>
            </w:pPr>
            <w:r w:rsidRPr="00F33674">
              <w:rPr>
                <w:rFonts w:ascii="Arial Narrow" w:hAnsi="Arial Narrow" w:cs="Arial"/>
                <w:i/>
                <w:sz w:val="20"/>
                <w:szCs w:val="20"/>
              </w:rPr>
              <w:fldChar w:fldCharType="begin">
                <w:ffData>
                  <w:name w:val=""/>
                  <w:enabled/>
                  <w:calcOnExit w:val="0"/>
                  <w:checkBox>
                    <w:sizeAuto/>
                    <w:default w:val="0"/>
                  </w:checkBox>
                </w:ffData>
              </w:fldChar>
            </w:r>
            <w:r w:rsidRPr="00F33674">
              <w:rPr>
                <w:rFonts w:ascii="Arial Narrow" w:hAnsi="Arial Narrow" w:cs="Arial"/>
                <w:i/>
                <w:sz w:val="20"/>
                <w:szCs w:val="20"/>
              </w:rPr>
              <w:instrText xml:space="preserve"> FORMCHECKBOX </w:instrText>
            </w:r>
            <w:r w:rsidR="00233D13">
              <w:rPr>
                <w:rFonts w:ascii="Arial Narrow" w:hAnsi="Arial Narrow" w:cs="Arial"/>
                <w:i/>
                <w:sz w:val="20"/>
                <w:szCs w:val="20"/>
              </w:rPr>
            </w:r>
            <w:r w:rsidR="00233D13">
              <w:rPr>
                <w:rFonts w:ascii="Arial Narrow" w:hAnsi="Arial Narrow" w:cs="Arial"/>
                <w:i/>
                <w:sz w:val="20"/>
                <w:szCs w:val="20"/>
              </w:rPr>
              <w:fldChar w:fldCharType="separate"/>
            </w:r>
            <w:r w:rsidRPr="00F33674">
              <w:rPr>
                <w:rFonts w:ascii="Arial Narrow" w:hAnsi="Arial Narrow" w:cs="Arial"/>
                <w:i/>
                <w:sz w:val="20"/>
                <w:szCs w:val="20"/>
              </w:rPr>
              <w:fldChar w:fldCharType="end"/>
            </w:r>
            <w:r w:rsidRPr="00F33674">
              <w:rPr>
                <w:rFonts w:ascii="Arial Narrow" w:hAnsi="Arial Narrow" w:cs="Arial"/>
                <w:sz w:val="20"/>
                <w:szCs w:val="20"/>
              </w:rPr>
              <w:t>Restricted benefit</w:t>
            </w:r>
          </w:p>
          <w:p w14:paraId="40E66895" w14:textId="77777777" w:rsidR="00F33674" w:rsidRPr="00F33674" w:rsidRDefault="00F33674" w:rsidP="00F33674">
            <w:pPr>
              <w:rPr>
                <w:rFonts w:ascii="Arial Narrow" w:hAnsi="Arial Narrow" w:cs="Arial"/>
                <w:sz w:val="20"/>
                <w:szCs w:val="20"/>
              </w:rPr>
            </w:pPr>
            <w:r w:rsidRPr="00F33674">
              <w:rPr>
                <w:rFonts w:ascii="Arial Narrow" w:hAnsi="Arial Narrow" w:cs="Arial"/>
                <w:sz w:val="20"/>
                <w:szCs w:val="20"/>
              </w:rPr>
              <w:fldChar w:fldCharType="begin">
                <w:ffData>
                  <w:name w:val=""/>
                  <w:enabled/>
                  <w:calcOnExit w:val="0"/>
                  <w:checkBox>
                    <w:sizeAuto/>
                    <w:default w:val="0"/>
                  </w:checkBox>
                </w:ffData>
              </w:fldChar>
            </w:r>
            <w:r w:rsidRPr="00F33674">
              <w:rPr>
                <w:rFonts w:ascii="Arial Narrow" w:hAnsi="Arial Narrow" w:cs="Arial"/>
                <w:sz w:val="20"/>
                <w:szCs w:val="20"/>
              </w:rPr>
              <w:instrText xml:space="preserve"> FORMCHECKBOX </w:instrText>
            </w:r>
            <w:r w:rsidR="00233D13">
              <w:rPr>
                <w:rFonts w:ascii="Arial Narrow" w:hAnsi="Arial Narrow" w:cs="Arial"/>
                <w:sz w:val="20"/>
                <w:szCs w:val="20"/>
              </w:rPr>
            </w:r>
            <w:r w:rsidR="00233D13">
              <w:rPr>
                <w:rFonts w:ascii="Arial Narrow" w:hAnsi="Arial Narrow" w:cs="Arial"/>
                <w:sz w:val="20"/>
                <w:szCs w:val="20"/>
              </w:rPr>
              <w:fldChar w:fldCharType="separate"/>
            </w:r>
            <w:r w:rsidRPr="00F33674">
              <w:rPr>
                <w:rFonts w:ascii="Arial Narrow" w:hAnsi="Arial Narrow" w:cs="Arial"/>
                <w:sz w:val="20"/>
                <w:szCs w:val="20"/>
              </w:rPr>
              <w:fldChar w:fldCharType="end"/>
            </w:r>
            <w:r w:rsidRPr="00F33674">
              <w:rPr>
                <w:rFonts w:ascii="Arial Narrow" w:hAnsi="Arial Narrow" w:cs="Arial"/>
                <w:sz w:val="20"/>
                <w:szCs w:val="20"/>
              </w:rPr>
              <w:t>Authority Required – In Writing</w:t>
            </w:r>
          </w:p>
          <w:p w14:paraId="6246F571" w14:textId="77777777" w:rsidR="00F33674" w:rsidRPr="00F33674" w:rsidRDefault="00F33674" w:rsidP="00F33674">
            <w:pPr>
              <w:rPr>
                <w:rFonts w:ascii="Arial Narrow" w:hAnsi="Arial Narrow" w:cs="Arial"/>
                <w:sz w:val="20"/>
                <w:szCs w:val="20"/>
              </w:rPr>
            </w:pPr>
            <w:r w:rsidRPr="00F33674">
              <w:rPr>
                <w:rFonts w:ascii="Arial Narrow" w:hAnsi="Arial Narrow" w:cs="Arial"/>
                <w:sz w:val="20"/>
                <w:szCs w:val="20"/>
              </w:rPr>
              <w:fldChar w:fldCharType="begin">
                <w:ffData>
                  <w:name w:val=""/>
                  <w:enabled/>
                  <w:calcOnExit w:val="0"/>
                  <w:checkBox>
                    <w:sizeAuto/>
                    <w:default w:val="1"/>
                  </w:checkBox>
                </w:ffData>
              </w:fldChar>
            </w:r>
            <w:r w:rsidRPr="00F33674">
              <w:rPr>
                <w:rFonts w:ascii="Arial Narrow" w:hAnsi="Arial Narrow" w:cs="Arial"/>
                <w:sz w:val="20"/>
                <w:szCs w:val="20"/>
              </w:rPr>
              <w:instrText xml:space="preserve"> FORMCHECKBOX </w:instrText>
            </w:r>
            <w:r w:rsidR="00233D13">
              <w:rPr>
                <w:rFonts w:ascii="Arial Narrow" w:hAnsi="Arial Narrow" w:cs="Arial"/>
                <w:sz w:val="20"/>
                <w:szCs w:val="20"/>
              </w:rPr>
            </w:r>
            <w:r w:rsidR="00233D13">
              <w:rPr>
                <w:rFonts w:ascii="Arial Narrow" w:hAnsi="Arial Narrow" w:cs="Arial"/>
                <w:sz w:val="20"/>
                <w:szCs w:val="20"/>
              </w:rPr>
              <w:fldChar w:fldCharType="separate"/>
            </w:r>
            <w:r w:rsidRPr="00F33674">
              <w:rPr>
                <w:rFonts w:ascii="Arial Narrow" w:hAnsi="Arial Narrow" w:cs="Arial"/>
                <w:sz w:val="20"/>
                <w:szCs w:val="20"/>
              </w:rPr>
              <w:fldChar w:fldCharType="end"/>
            </w:r>
            <w:r w:rsidRPr="00F33674">
              <w:rPr>
                <w:rFonts w:ascii="Arial Narrow" w:hAnsi="Arial Narrow" w:cs="Arial"/>
                <w:sz w:val="20"/>
                <w:szCs w:val="20"/>
              </w:rPr>
              <w:t>Authority Required – Telephone/Electronic/Emergency</w:t>
            </w:r>
          </w:p>
          <w:p w14:paraId="5742DDAB" w14:textId="77777777" w:rsidR="00F33674" w:rsidRPr="00F33674" w:rsidRDefault="00F33674" w:rsidP="00F33674">
            <w:pPr>
              <w:rPr>
                <w:rFonts w:ascii="Arial Narrow" w:hAnsi="Arial Narrow" w:cs="Arial"/>
                <w:sz w:val="20"/>
                <w:szCs w:val="20"/>
              </w:rPr>
            </w:pPr>
            <w:r w:rsidRPr="00F33674">
              <w:rPr>
                <w:rFonts w:ascii="Arial Narrow" w:hAnsi="Arial Narrow" w:cs="Arial"/>
                <w:sz w:val="20"/>
                <w:szCs w:val="20"/>
              </w:rPr>
              <w:fldChar w:fldCharType="begin">
                <w:ffData>
                  <w:name w:val=""/>
                  <w:enabled/>
                  <w:calcOnExit w:val="0"/>
                  <w:checkBox>
                    <w:sizeAuto/>
                    <w:default w:val="0"/>
                  </w:checkBox>
                </w:ffData>
              </w:fldChar>
            </w:r>
            <w:r w:rsidRPr="00F33674">
              <w:rPr>
                <w:rFonts w:ascii="Arial Narrow" w:hAnsi="Arial Narrow" w:cs="Arial"/>
                <w:sz w:val="20"/>
                <w:szCs w:val="20"/>
              </w:rPr>
              <w:instrText xml:space="preserve"> FORMCHECKBOX </w:instrText>
            </w:r>
            <w:r w:rsidR="00233D13">
              <w:rPr>
                <w:rFonts w:ascii="Arial Narrow" w:hAnsi="Arial Narrow" w:cs="Arial"/>
                <w:sz w:val="20"/>
                <w:szCs w:val="20"/>
              </w:rPr>
            </w:r>
            <w:r w:rsidR="00233D13">
              <w:rPr>
                <w:rFonts w:ascii="Arial Narrow" w:hAnsi="Arial Narrow" w:cs="Arial"/>
                <w:sz w:val="20"/>
                <w:szCs w:val="20"/>
              </w:rPr>
              <w:fldChar w:fldCharType="separate"/>
            </w:r>
            <w:r w:rsidRPr="00F33674">
              <w:rPr>
                <w:rFonts w:ascii="Arial Narrow" w:hAnsi="Arial Narrow" w:cs="Arial"/>
                <w:sz w:val="20"/>
                <w:szCs w:val="20"/>
              </w:rPr>
              <w:fldChar w:fldCharType="end"/>
            </w:r>
            <w:r w:rsidRPr="00F33674">
              <w:rPr>
                <w:rFonts w:ascii="Arial Narrow" w:hAnsi="Arial Narrow" w:cs="Arial"/>
                <w:sz w:val="20"/>
                <w:szCs w:val="20"/>
              </w:rPr>
              <w:t>Streamlined</w:t>
            </w:r>
          </w:p>
        </w:tc>
      </w:tr>
      <w:tr w:rsidR="00F33674" w:rsidRPr="00F33674" w14:paraId="691374CA" w14:textId="77777777" w:rsidTr="00F33674">
        <w:trPr>
          <w:cantSplit/>
          <w:trHeight w:val="360"/>
        </w:trPr>
        <w:tc>
          <w:tcPr>
            <w:tcW w:w="2835" w:type="dxa"/>
            <w:tcBorders>
              <w:top w:val="single" w:sz="4" w:space="0" w:color="auto"/>
              <w:left w:val="single" w:sz="4" w:space="0" w:color="auto"/>
              <w:bottom w:val="single" w:sz="4" w:space="0" w:color="auto"/>
              <w:right w:val="single" w:sz="4" w:space="0" w:color="auto"/>
            </w:tcBorders>
          </w:tcPr>
          <w:p w14:paraId="760B9806" w14:textId="77777777" w:rsidR="00F33674" w:rsidRPr="00F33674" w:rsidRDefault="00F33674" w:rsidP="00F33674">
            <w:pPr>
              <w:rPr>
                <w:rFonts w:ascii="Arial Narrow" w:hAnsi="Arial Narrow" w:cs="Arial"/>
                <w:b/>
                <w:sz w:val="20"/>
                <w:szCs w:val="20"/>
              </w:rPr>
            </w:pPr>
            <w:r w:rsidRPr="00F33674">
              <w:rPr>
                <w:rFonts w:ascii="Arial Narrow" w:hAnsi="Arial Narrow" w:cs="Arial"/>
                <w:b/>
                <w:sz w:val="20"/>
                <w:szCs w:val="20"/>
              </w:rPr>
              <w:t>Clinical criteria:</w:t>
            </w:r>
          </w:p>
        </w:tc>
        <w:tc>
          <w:tcPr>
            <w:tcW w:w="6379" w:type="dxa"/>
            <w:tcBorders>
              <w:top w:val="single" w:sz="4" w:space="0" w:color="auto"/>
              <w:left w:val="single" w:sz="4" w:space="0" w:color="auto"/>
              <w:bottom w:val="single" w:sz="4" w:space="0" w:color="auto"/>
              <w:right w:val="single" w:sz="4" w:space="0" w:color="auto"/>
            </w:tcBorders>
          </w:tcPr>
          <w:p w14:paraId="35D40296" w14:textId="50E40AF0" w:rsidR="00F33674" w:rsidRPr="00F33674" w:rsidRDefault="00F33674" w:rsidP="00F33674">
            <w:pPr>
              <w:jc w:val="left"/>
              <w:rPr>
                <w:rFonts w:ascii="Arial Narrow" w:hAnsi="Arial Narrow" w:cs="Arial"/>
                <w:sz w:val="20"/>
                <w:szCs w:val="20"/>
              </w:rPr>
            </w:pPr>
            <w:r w:rsidRPr="00F33674">
              <w:rPr>
                <w:rFonts w:ascii="Arial Narrow" w:hAnsi="Arial Narrow" w:cs="Arial"/>
                <w:sz w:val="20"/>
                <w:szCs w:val="20"/>
              </w:rPr>
              <w:t>[new] The condition must require daily, continuous, long term treatment</w:t>
            </w:r>
          </w:p>
          <w:p w14:paraId="2173F741" w14:textId="77777777" w:rsidR="00F33674" w:rsidRPr="00F33674" w:rsidRDefault="00F33674" w:rsidP="00F33674">
            <w:pPr>
              <w:jc w:val="left"/>
              <w:rPr>
                <w:rFonts w:ascii="Arial Narrow" w:hAnsi="Arial Narrow" w:cs="Arial"/>
                <w:sz w:val="20"/>
                <w:szCs w:val="20"/>
              </w:rPr>
            </w:pPr>
          </w:p>
          <w:p w14:paraId="78E14C61" w14:textId="77777777" w:rsidR="00F33674" w:rsidRPr="00F33674" w:rsidRDefault="00F33674" w:rsidP="00F33674">
            <w:pPr>
              <w:jc w:val="left"/>
              <w:rPr>
                <w:rFonts w:ascii="Arial Narrow" w:hAnsi="Arial Narrow" w:cs="Arial"/>
                <w:sz w:val="20"/>
                <w:szCs w:val="20"/>
              </w:rPr>
            </w:pPr>
            <w:r w:rsidRPr="00F33674">
              <w:rPr>
                <w:rFonts w:ascii="Arial Narrow" w:hAnsi="Arial Narrow" w:cs="Arial"/>
                <w:sz w:val="20"/>
                <w:szCs w:val="20"/>
              </w:rPr>
              <w:t>AND</w:t>
            </w:r>
          </w:p>
          <w:p w14:paraId="763C2849" w14:textId="77777777" w:rsidR="00F33674" w:rsidRPr="00F33674" w:rsidRDefault="00F33674" w:rsidP="00F33674">
            <w:pPr>
              <w:jc w:val="left"/>
              <w:rPr>
                <w:rFonts w:ascii="Arial Narrow" w:hAnsi="Arial Narrow" w:cs="Arial"/>
                <w:sz w:val="20"/>
                <w:szCs w:val="20"/>
              </w:rPr>
            </w:pPr>
          </w:p>
          <w:p w14:paraId="7CE26CE1" w14:textId="57848C47" w:rsidR="00F33674" w:rsidRPr="00F33674" w:rsidRDefault="00F33674" w:rsidP="00F33674">
            <w:pPr>
              <w:jc w:val="left"/>
              <w:rPr>
                <w:rFonts w:ascii="Arial Narrow" w:hAnsi="Arial Narrow" w:cs="Arial"/>
                <w:sz w:val="20"/>
                <w:szCs w:val="20"/>
              </w:rPr>
            </w:pPr>
            <w:r w:rsidRPr="00F33674">
              <w:rPr>
                <w:rFonts w:ascii="Arial Narrow" w:hAnsi="Arial Narrow" w:cs="Arial"/>
                <w:sz w:val="20"/>
                <w:szCs w:val="20"/>
              </w:rPr>
              <w:t>[18096] Patient must have</w:t>
            </w:r>
            <w:r w:rsidR="00F97A53">
              <w:rPr>
                <w:rFonts w:ascii="Arial Narrow" w:hAnsi="Arial Narrow" w:cs="Arial"/>
                <w:sz w:val="20"/>
                <w:szCs w:val="20"/>
              </w:rPr>
              <w:t xml:space="preserve"> cancer</w:t>
            </w:r>
            <w:r w:rsidRPr="00F33674">
              <w:rPr>
                <w:rFonts w:ascii="Arial Narrow" w:hAnsi="Arial Narrow" w:cs="Arial"/>
                <w:sz w:val="20"/>
                <w:szCs w:val="20"/>
              </w:rPr>
              <w:t xml:space="preserve"> pain</w:t>
            </w:r>
          </w:p>
          <w:p w14:paraId="1577F764" w14:textId="77777777" w:rsidR="00F33674" w:rsidRPr="00F33674" w:rsidRDefault="00F33674" w:rsidP="00F33674">
            <w:pPr>
              <w:jc w:val="left"/>
              <w:rPr>
                <w:rFonts w:ascii="Arial Narrow" w:hAnsi="Arial Narrow" w:cs="Arial"/>
                <w:sz w:val="20"/>
                <w:szCs w:val="20"/>
              </w:rPr>
            </w:pPr>
            <w:r w:rsidRPr="00F33674">
              <w:rPr>
                <w:rFonts w:ascii="Arial Narrow" w:hAnsi="Arial Narrow" w:cs="Arial"/>
                <w:sz w:val="20"/>
                <w:szCs w:val="20"/>
              </w:rPr>
              <w:t>OR</w:t>
            </w:r>
          </w:p>
          <w:p w14:paraId="365A7059" w14:textId="75A96D85" w:rsidR="00F33674" w:rsidRPr="00F33674" w:rsidRDefault="00F33674" w:rsidP="00F33674">
            <w:pPr>
              <w:jc w:val="left"/>
              <w:rPr>
                <w:rFonts w:ascii="Arial Narrow" w:hAnsi="Arial Narrow" w:cs="Arial"/>
                <w:sz w:val="20"/>
                <w:szCs w:val="20"/>
              </w:rPr>
            </w:pPr>
            <w:r w:rsidRPr="00F33674">
              <w:rPr>
                <w:rFonts w:ascii="Arial Narrow" w:hAnsi="Arial Narrow" w:cs="Arial"/>
                <w:sz w:val="20"/>
                <w:szCs w:val="20"/>
              </w:rPr>
              <w:t>[new] Patient must have</w:t>
            </w:r>
            <w:r w:rsidR="00F97A53">
              <w:rPr>
                <w:rFonts w:ascii="Arial Narrow" w:hAnsi="Arial Narrow" w:cs="Arial"/>
                <w:sz w:val="20"/>
                <w:szCs w:val="20"/>
              </w:rPr>
              <w:t xml:space="preserve"> had or would have</w:t>
            </w:r>
            <w:r w:rsidRPr="00F33674">
              <w:rPr>
                <w:rFonts w:ascii="Arial Narrow" w:hAnsi="Arial Narrow" w:cs="Arial"/>
                <w:sz w:val="20"/>
                <w:szCs w:val="20"/>
              </w:rPr>
              <w:t xml:space="preserve"> inadequate</w:t>
            </w:r>
            <w:r w:rsidR="00F97A53">
              <w:rPr>
                <w:rFonts w:ascii="Arial Narrow" w:hAnsi="Arial Narrow" w:cs="Arial"/>
                <w:sz w:val="20"/>
                <w:szCs w:val="20"/>
              </w:rPr>
              <w:t xml:space="preserve"> pain</w:t>
            </w:r>
            <w:r w:rsidRPr="00F33674">
              <w:rPr>
                <w:rFonts w:ascii="Arial Narrow" w:hAnsi="Arial Narrow" w:cs="Arial"/>
                <w:sz w:val="20"/>
                <w:szCs w:val="20"/>
              </w:rPr>
              <w:t xml:space="preserve"> management </w:t>
            </w:r>
            <w:r w:rsidR="00F97A53">
              <w:rPr>
                <w:rFonts w:ascii="Arial Narrow" w:hAnsi="Arial Narrow" w:cs="Arial"/>
                <w:sz w:val="20"/>
                <w:szCs w:val="20"/>
              </w:rPr>
              <w:t>with</w:t>
            </w:r>
            <w:r w:rsidRPr="00F33674">
              <w:rPr>
                <w:rFonts w:ascii="Arial Narrow" w:hAnsi="Arial Narrow" w:cs="Arial"/>
                <w:sz w:val="20"/>
                <w:szCs w:val="20"/>
              </w:rPr>
              <w:t xml:space="preserve"> maximum tolerated doses of non-opioid or other opioid analgesics</w:t>
            </w:r>
          </w:p>
          <w:p w14:paraId="4694E8F0" w14:textId="77777777" w:rsidR="00F33674" w:rsidRPr="00F33674" w:rsidRDefault="00F33674" w:rsidP="00F33674">
            <w:pPr>
              <w:jc w:val="left"/>
              <w:rPr>
                <w:rFonts w:ascii="Arial Narrow" w:hAnsi="Arial Narrow" w:cs="Arial"/>
                <w:sz w:val="20"/>
                <w:szCs w:val="20"/>
              </w:rPr>
            </w:pPr>
            <w:r w:rsidRPr="00F33674">
              <w:rPr>
                <w:rFonts w:ascii="Arial Narrow" w:hAnsi="Arial Narrow" w:cs="Arial"/>
                <w:sz w:val="20"/>
                <w:szCs w:val="20"/>
              </w:rPr>
              <w:t>OR</w:t>
            </w:r>
          </w:p>
          <w:p w14:paraId="5C5CA42F" w14:textId="6BD689E6" w:rsidR="00F33674" w:rsidRPr="00F33674" w:rsidRDefault="00F33674">
            <w:pPr>
              <w:jc w:val="left"/>
              <w:rPr>
                <w:rFonts w:ascii="Arial Narrow" w:hAnsi="Arial Narrow" w:cs="Arial"/>
                <w:sz w:val="20"/>
                <w:szCs w:val="20"/>
              </w:rPr>
            </w:pPr>
            <w:r w:rsidRPr="00F33674">
              <w:rPr>
                <w:rFonts w:ascii="Arial Narrow" w:hAnsi="Arial Narrow" w:cs="Arial"/>
                <w:sz w:val="20"/>
                <w:szCs w:val="20"/>
              </w:rPr>
              <w:t>[new] Patient must be unable to use non-opioid or other opioid analgesics due to contraindications or intolerance.</w:t>
            </w:r>
          </w:p>
        </w:tc>
      </w:tr>
      <w:tr w:rsidR="00F33674" w:rsidRPr="00F33674" w14:paraId="14B9A074" w14:textId="77777777" w:rsidTr="00F33674">
        <w:trPr>
          <w:cantSplit/>
          <w:trHeight w:val="360"/>
        </w:trPr>
        <w:tc>
          <w:tcPr>
            <w:tcW w:w="2835" w:type="dxa"/>
            <w:tcBorders>
              <w:top w:val="single" w:sz="4" w:space="0" w:color="auto"/>
              <w:left w:val="single" w:sz="4" w:space="0" w:color="auto"/>
              <w:bottom w:val="single" w:sz="4" w:space="0" w:color="auto"/>
              <w:right w:val="single" w:sz="4" w:space="0" w:color="auto"/>
            </w:tcBorders>
          </w:tcPr>
          <w:p w14:paraId="2A7461CB" w14:textId="77777777" w:rsidR="00F33674" w:rsidRPr="00F33674" w:rsidRDefault="00F33674" w:rsidP="00F33674">
            <w:pPr>
              <w:rPr>
                <w:rFonts w:ascii="Arial Narrow" w:hAnsi="Arial Narrow" w:cs="Arial"/>
                <w:b/>
                <w:sz w:val="20"/>
                <w:szCs w:val="20"/>
              </w:rPr>
            </w:pPr>
            <w:r w:rsidRPr="00F33674">
              <w:rPr>
                <w:rFonts w:ascii="Arial Narrow" w:hAnsi="Arial Narrow" w:cs="Arial"/>
                <w:b/>
                <w:sz w:val="20"/>
                <w:szCs w:val="20"/>
              </w:rPr>
              <w:t>Administrative advice:</w:t>
            </w:r>
          </w:p>
        </w:tc>
        <w:tc>
          <w:tcPr>
            <w:tcW w:w="6379" w:type="dxa"/>
            <w:tcBorders>
              <w:top w:val="single" w:sz="4" w:space="0" w:color="auto"/>
              <w:left w:val="single" w:sz="4" w:space="0" w:color="auto"/>
              <w:bottom w:val="single" w:sz="4" w:space="0" w:color="auto"/>
              <w:right w:val="single" w:sz="4" w:space="0" w:color="auto"/>
            </w:tcBorders>
          </w:tcPr>
          <w:p w14:paraId="4DD87E9D" w14:textId="77777777" w:rsidR="00F33674" w:rsidRPr="00F33674" w:rsidRDefault="00F33674" w:rsidP="00F33674">
            <w:pPr>
              <w:jc w:val="left"/>
              <w:rPr>
                <w:rFonts w:ascii="Arial Narrow" w:hAnsi="Arial Narrow" w:cs="Arial"/>
                <w:sz w:val="20"/>
                <w:szCs w:val="20"/>
              </w:rPr>
            </w:pPr>
            <w:r w:rsidRPr="00F33674">
              <w:rPr>
                <w:rFonts w:ascii="Arial Narrow" w:hAnsi="Arial Narrow" w:cs="Arial"/>
                <w:sz w:val="20"/>
                <w:szCs w:val="20"/>
              </w:rPr>
              <w:t>[7606] No increase in the maximum quantity or number of units may be authorised.</w:t>
            </w:r>
          </w:p>
          <w:p w14:paraId="057E2D06" w14:textId="77777777" w:rsidR="00F33674" w:rsidRPr="00F33674" w:rsidRDefault="00F33674" w:rsidP="00F33674">
            <w:pPr>
              <w:jc w:val="left"/>
              <w:rPr>
                <w:rFonts w:ascii="Arial Narrow" w:hAnsi="Arial Narrow" w:cs="Arial"/>
                <w:sz w:val="20"/>
                <w:szCs w:val="20"/>
              </w:rPr>
            </w:pPr>
            <w:r w:rsidRPr="00F33674">
              <w:rPr>
                <w:rFonts w:ascii="Arial Narrow" w:hAnsi="Arial Narrow" w:cs="Arial"/>
                <w:sz w:val="20"/>
                <w:szCs w:val="20"/>
              </w:rPr>
              <w:t>[7607] No increase in the maximum number of repeats may be authorised.</w:t>
            </w:r>
          </w:p>
          <w:p w14:paraId="5491E671" w14:textId="77777777" w:rsidR="00F33674" w:rsidRPr="00F33674" w:rsidRDefault="00F33674" w:rsidP="00F33674">
            <w:pPr>
              <w:jc w:val="left"/>
              <w:rPr>
                <w:rFonts w:ascii="Arial Narrow" w:hAnsi="Arial Narrow" w:cs="Arial"/>
                <w:sz w:val="20"/>
                <w:szCs w:val="20"/>
              </w:rPr>
            </w:pPr>
          </w:p>
          <w:p w14:paraId="7C425DC8" w14:textId="77777777" w:rsidR="00F33674" w:rsidRPr="00F33674" w:rsidRDefault="00F33674" w:rsidP="00F33674">
            <w:pPr>
              <w:jc w:val="left"/>
              <w:rPr>
                <w:rFonts w:ascii="Arial Narrow" w:hAnsi="Arial Narrow" w:cs="Arial"/>
                <w:sz w:val="20"/>
                <w:szCs w:val="20"/>
              </w:rPr>
            </w:pPr>
            <w:r w:rsidRPr="00F33674">
              <w:rPr>
                <w:rFonts w:ascii="Arial Narrow" w:hAnsi="Arial Narrow" w:cs="Arial"/>
                <w:sz w:val="20"/>
                <w:szCs w:val="20"/>
              </w:rPr>
              <w:t>[new] This treatment is not suitable for ‘as-required’ pain relief.</w:t>
            </w:r>
          </w:p>
          <w:p w14:paraId="1914AE9B" w14:textId="77777777" w:rsidR="00F33674" w:rsidRPr="00F33674" w:rsidRDefault="00F33674" w:rsidP="00F33674">
            <w:pPr>
              <w:jc w:val="left"/>
              <w:rPr>
                <w:rFonts w:ascii="Arial Narrow" w:hAnsi="Arial Narrow" w:cs="Arial"/>
                <w:sz w:val="20"/>
                <w:szCs w:val="20"/>
              </w:rPr>
            </w:pPr>
          </w:p>
          <w:p w14:paraId="6766E11A" w14:textId="77777777" w:rsidR="00F33674" w:rsidRDefault="00F33674" w:rsidP="00F33674">
            <w:pPr>
              <w:jc w:val="left"/>
              <w:rPr>
                <w:rFonts w:ascii="Arial Narrow" w:hAnsi="Arial Narrow" w:cs="Arial"/>
                <w:sz w:val="20"/>
                <w:szCs w:val="20"/>
              </w:rPr>
            </w:pPr>
            <w:r w:rsidRPr="00F33674">
              <w:rPr>
                <w:rFonts w:ascii="Arial Narrow" w:hAnsi="Arial Narrow" w:cs="Arial"/>
                <w:sz w:val="20"/>
                <w:szCs w:val="20"/>
              </w:rPr>
              <w:t xml:space="preserve">[7901] Shared Care Model: For prescribing by nurse practitioners where care of a patient </w:t>
            </w:r>
            <w:proofErr w:type="gramStart"/>
            <w:r w:rsidRPr="00F33674">
              <w:rPr>
                <w:rFonts w:ascii="Arial Narrow" w:hAnsi="Arial Narrow" w:cs="Arial"/>
                <w:sz w:val="20"/>
                <w:szCs w:val="20"/>
              </w:rPr>
              <w:t>is shared</w:t>
            </w:r>
            <w:proofErr w:type="gramEnd"/>
            <w:r w:rsidRPr="00F33674">
              <w:rPr>
                <w:rFonts w:ascii="Arial Narrow" w:hAnsi="Arial Narrow" w:cs="Arial"/>
                <w:sz w:val="20"/>
                <w:szCs w:val="20"/>
              </w:rPr>
              <w:t xml:space="preserve"> between a nurse practitioner and medical practitioner in a formalised arrangement with an agreed management plan. Further information </w:t>
            </w:r>
            <w:proofErr w:type="gramStart"/>
            <w:r w:rsidRPr="00F33674">
              <w:rPr>
                <w:rFonts w:ascii="Arial Narrow" w:hAnsi="Arial Narrow" w:cs="Arial"/>
                <w:sz w:val="20"/>
                <w:szCs w:val="20"/>
              </w:rPr>
              <w:t>can be found</w:t>
            </w:r>
            <w:proofErr w:type="gramEnd"/>
            <w:r w:rsidRPr="00F33674">
              <w:rPr>
                <w:rFonts w:ascii="Arial Narrow" w:hAnsi="Arial Narrow" w:cs="Arial"/>
                <w:sz w:val="20"/>
                <w:szCs w:val="20"/>
              </w:rPr>
              <w:t xml:space="preserve"> in the Explanatory Notes for Nurse Practitioners.</w:t>
            </w:r>
          </w:p>
          <w:p w14:paraId="7070626C" w14:textId="77777777" w:rsidR="00F97A53" w:rsidRDefault="00F97A53" w:rsidP="00F33674">
            <w:pPr>
              <w:jc w:val="left"/>
              <w:rPr>
                <w:rFonts w:ascii="Arial Narrow" w:hAnsi="Arial Narrow" w:cs="Arial"/>
                <w:sz w:val="20"/>
                <w:szCs w:val="20"/>
              </w:rPr>
            </w:pPr>
          </w:p>
          <w:p w14:paraId="497B27FB" w14:textId="4440A22F" w:rsidR="00F97A53" w:rsidRPr="00F33674" w:rsidRDefault="00F97A53" w:rsidP="00F33674">
            <w:pPr>
              <w:jc w:val="left"/>
              <w:rPr>
                <w:rFonts w:ascii="Arial Narrow" w:hAnsi="Arial Narrow" w:cs="Arial"/>
                <w:sz w:val="20"/>
                <w:szCs w:val="20"/>
              </w:rPr>
            </w:pPr>
            <w:r>
              <w:rPr>
                <w:rFonts w:ascii="Arial Narrow" w:hAnsi="Arial Narrow" w:cs="Arial"/>
                <w:sz w:val="20"/>
                <w:szCs w:val="20"/>
              </w:rPr>
              <w:t xml:space="preserve">[new] </w:t>
            </w:r>
            <w:r w:rsidRPr="00F97A53">
              <w:rPr>
                <w:rFonts w:ascii="Arial Narrow" w:hAnsi="Arial Narrow" w:cs="Arial"/>
                <w:sz w:val="20"/>
                <w:szCs w:val="20"/>
              </w:rPr>
              <w:t>Applications for authorisation under this restriction may be made in real time using the Online PBS Authorities system (see www.servicesaustralia.gov.au/HPOS) or by telephone by contacting Services Australia on 1800 888 333.</w:t>
            </w:r>
          </w:p>
        </w:tc>
      </w:tr>
      <w:tr w:rsidR="00F33674" w:rsidRPr="00F33674" w14:paraId="52118175" w14:textId="77777777" w:rsidTr="00F33674">
        <w:trPr>
          <w:cantSplit/>
          <w:trHeight w:val="360"/>
        </w:trPr>
        <w:tc>
          <w:tcPr>
            <w:tcW w:w="2835" w:type="dxa"/>
            <w:tcBorders>
              <w:top w:val="single" w:sz="4" w:space="0" w:color="auto"/>
              <w:left w:val="single" w:sz="4" w:space="0" w:color="auto"/>
              <w:bottom w:val="single" w:sz="4" w:space="0" w:color="auto"/>
              <w:right w:val="single" w:sz="4" w:space="0" w:color="auto"/>
            </w:tcBorders>
          </w:tcPr>
          <w:p w14:paraId="304D3492" w14:textId="77777777" w:rsidR="00F33674" w:rsidRPr="00F33674" w:rsidRDefault="00F33674" w:rsidP="00F33674">
            <w:pPr>
              <w:rPr>
                <w:rFonts w:ascii="Arial Narrow" w:hAnsi="Arial Narrow" w:cs="Arial"/>
                <w:b/>
                <w:sz w:val="20"/>
                <w:szCs w:val="20"/>
              </w:rPr>
            </w:pPr>
            <w:r w:rsidRPr="00F33674">
              <w:rPr>
                <w:rFonts w:ascii="Arial Narrow" w:hAnsi="Arial Narrow" w:cs="Arial"/>
                <w:b/>
                <w:sz w:val="20"/>
                <w:szCs w:val="20"/>
              </w:rPr>
              <w:t>Cautions:</w:t>
            </w:r>
          </w:p>
        </w:tc>
        <w:tc>
          <w:tcPr>
            <w:tcW w:w="6379" w:type="dxa"/>
            <w:tcBorders>
              <w:top w:val="single" w:sz="4" w:space="0" w:color="auto"/>
              <w:left w:val="single" w:sz="4" w:space="0" w:color="auto"/>
              <w:bottom w:val="single" w:sz="4" w:space="0" w:color="auto"/>
              <w:right w:val="single" w:sz="4" w:space="0" w:color="auto"/>
            </w:tcBorders>
          </w:tcPr>
          <w:p w14:paraId="1CE681E2" w14:textId="77777777" w:rsidR="00F33674" w:rsidRPr="00F33674" w:rsidRDefault="00F33674" w:rsidP="00F33674">
            <w:pPr>
              <w:jc w:val="left"/>
              <w:rPr>
                <w:rFonts w:ascii="Arial Narrow" w:hAnsi="Arial Narrow" w:cs="Arial"/>
                <w:sz w:val="20"/>
                <w:szCs w:val="20"/>
              </w:rPr>
            </w:pPr>
            <w:r w:rsidRPr="00F33674">
              <w:rPr>
                <w:rFonts w:ascii="Arial Narrow" w:hAnsi="Arial Narrow" w:cs="Arial"/>
                <w:sz w:val="20"/>
                <w:szCs w:val="20"/>
              </w:rPr>
              <w:t>[6986] The risk of drug dependence is high.</w:t>
            </w:r>
          </w:p>
        </w:tc>
      </w:tr>
    </w:tbl>
    <w:p w14:paraId="188B0131" w14:textId="77777777" w:rsidR="00CB71CC" w:rsidRDefault="00CB71CC" w:rsidP="00CB71CC">
      <w:pPr>
        <w:pStyle w:val="3-BodyText"/>
        <w:numPr>
          <w:ilvl w:val="0"/>
          <w:numId w:val="0"/>
        </w:numPr>
        <w:ind w:left="720"/>
      </w:pPr>
    </w:p>
    <w:p w14:paraId="10BF6800" w14:textId="207531BF" w:rsidR="00CB71CC" w:rsidRDefault="00CB71CC">
      <w:pPr>
        <w:jc w:val="left"/>
        <w:rPr>
          <w:rFonts w:asciiTheme="minorHAnsi" w:eastAsiaTheme="minorHAnsi" w:hAnsiTheme="minorHAnsi" w:cstheme="minorBidi"/>
          <w:szCs w:val="22"/>
        </w:rPr>
      </w:pPr>
    </w:p>
    <w:p w14:paraId="04A054DA" w14:textId="27B974B7" w:rsidR="00F33674" w:rsidRPr="00F33674" w:rsidRDefault="00F33674" w:rsidP="00630FB2">
      <w:pPr>
        <w:pStyle w:val="3-BodyText"/>
      </w:pPr>
      <w:r w:rsidRPr="00F33674">
        <w:t>Add new items:</w:t>
      </w:r>
    </w:p>
    <w:p w14:paraId="15E3DF87" w14:textId="77777777" w:rsidR="00F33674" w:rsidRPr="00F33674" w:rsidRDefault="00F33674" w:rsidP="00F33674">
      <w:pPr>
        <w:keepNext/>
        <w:keepLines/>
        <w:spacing w:before="40"/>
        <w:jc w:val="left"/>
        <w:outlineLvl w:val="2"/>
        <w:rPr>
          <w:rFonts w:asciiTheme="minorHAnsi" w:eastAsiaTheme="majorEastAsia" w:hAnsiTheme="minorHAnsi" w:cstheme="majorBidi"/>
          <w:b/>
          <w:color w:val="000000" w:themeColor="text1"/>
        </w:rPr>
      </w:pPr>
      <w:bookmarkStart w:id="34" w:name="_Toc32300600"/>
      <w:r w:rsidRPr="00F33674">
        <w:rPr>
          <w:rFonts w:asciiTheme="minorHAnsi" w:eastAsiaTheme="majorEastAsia" w:hAnsiTheme="minorHAnsi" w:cstheme="majorBidi"/>
          <w:b/>
          <w:color w:val="000000" w:themeColor="text1"/>
        </w:rPr>
        <w:t xml:space="preserve">Listing 17b: Restriction for long-term pain TGA indication in </w:t>
      </w:r>
      <w:proofErr w:type="gramStart"/>
      <w:r w:rsidRPr="00F33674">
        <w:rPr>
          <w:rFonts w:asciiTheme="minorHAnsi" w:eastAsiaTheme="majorEastAsia" w:hAnsiTheme="minorHAnsi" w:cstheme="majorBidi"/>
          <w:b/>
          <w:color w:val="000000" w:themeColor="text1"/>
        </w:rPr>
        <w:t>1</w:t>
      </w:r>
      <w:r w:rsidRPr="00F33674">
        <w:rPr>
          <w:rFonts w:asciiTheme="minorHAnsi" w:eastAsiaTheme="majorEastAsia" w:hAnsiTheme="minorHAnsi" w:cstheme="majorBidi"/>
          <w:b/>
          <w:color w:val="000000" w:themeColor="text1"/>
          <w:vertAlign w:val="superscript"/>
        </w:rPr>
        <w:t>st</w:t>
      </w:r>
      <w:proofErr w:type="gramEnd"/>
      <w:r w:rsidRPr="00F33674">
        <w:rPr>
          <w:rFonts w:asciiTheme="minorHAnsi" w:eastAsiaTheme="majorEastAsia" w:hAnsiTheme="minorHAnsi" w:cstheme="majorBidi"/>
          <w:b/>
          <w:color w:val="000000" w:themeColor="text1"/>
        </w:rPr>
        <w:t xml:space="preserve"> line opioid setting (morphine 200 mg MR tablets and 200mg granules):</w:t>
      </w:r>
      <w:bookmarkEnd w:id="34"/>
    </w:p>
    <w:p w14:paraId="6202F796" w14:textId="77777777" w:rsidR="00F33674" w:rsidRPr="00F33674" w:rsidRDefault="00F33674" w:rsidP="00F33674">
      <w:pPr>
        <w:jc w:val="left"/>
      </w:pPr>
    </w:p>
    <w:tbl>
      <w:tblPr>
        <w:tblW w:w="8747" w:type="dxa"/>
        <w:tblLook w:val="04A0" w:firstRow="1" w:lastRow="0" w:firstColumn="1" w:lastColumn="0" w:noHBand="0" w:noVBand="1"/>
      </w:tblPr>
      <w:tblGrid>
        <w:gridCol w:w="1271"/>
        <w:gridCol w:w="846"/>
        <w:gridCol w:w="2126"/>
        <w:gridCol w:w="572"/>
        <w:gridCol w:w="1191"/>
        <w:gridCol w:w="1182"/>
        <w:gridCol w:w="1559"/>
      </w:tblGrid>
      <w:tr w:rsidR="00F33674" w:rsidRPr="00F33674" w14:paraId="554E96B1" w14:textId="77777777" w:rsidTr="00F33674">
        <w:trPr>
          <w:trHeight w:val="300"/>
        </w:trPr>
        <w:tc>
          <w:tcPr>
            <w:tcW w:w="1271" w:type="dxa"/>
            <w:tcBorders>
              <w:bottom w:val="single" w:sz="4" w:space="0" w:color="auto"/>
            </w:tcBorders>
            <w:shd w:val="clear" w:color="auto" w:fill="auto"/>
            <w:noWrap/>
            <w:hideMark/>
          </w:tcPr>
          <w:p w14:paraId="26E12284"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LI Drug</w:t>
            </w:r>
          </w:p>
        </w:tc>
        <w:tc>
          <w:tcPr>
            <w:tcW w:w="846" w:type="dxa"/>
            <w:tcBorders>
              <w:bottom w:val="single" w:sz="4" w:space="0" w:color="auto"/>
            </w:tcBorders>
            <w:shd w:val="clear" w:color="auto" w:fill="auto"/>
          </w:tcPr>
          <w:p w14:paraId="25F5E072"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Existing Item Code</w:t>
            </w:r>
          </w:p>
        </w:tc>
        <w:tc>
          <w:tcPr>
            <w:tcW w:w="2126" w:type="dxa"/>
            <w:tcBorders>
              <w:bottom w:val="single" w:sz="4" w:space="0" w:color="auto"/>
            </w:tcBorders>
            <w:shd w:val="clear" w:color="auto" w:fill="auto"/>
            <w:noWrap/>
            <w:hideMark/>
          </w:tcPr>
          <w:p w14:paraId="64B03B9F"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Legal Instrument Form</w:t>
            </w:r>
          </w:p>
        </w:tc>
        <w:tc>
          <w:tcPr>
            <w:tcW w:w="572" w:type="dxa"/>
            <w:tcBorders>
              <w:bottom w:val="single" w:sz="4" w:space="0" w:color="auto"/>
            </w:tcBorders>
            <w:shd w:val="clear" w:color="auto" w:fill="auto"/>
            <w:noWrap/>
            <w:hideMark/>
          </w:tcPr>
          <w:p w14:paraId="57EC242B"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Max. Qty</w:t>
            </w:r>
          </w:p>
        </w:tc>
        <w:tc>
          <w:tcPr>
            <w:tcW w:w="1191" w:type="dxa"/>
            <w:tcBorders>
              <w:bottom w:val="single" w:sz="4" w:space="0" w:color="auto"/>
            </w:tcBorders>
            <w:shd w:val="clear" w:color="auto" w:fill="auto"/>
            <w:noWrap/>
            <w:hideMark/>
          </w:tcPr>
          <w:p w14:paraId="1934648F"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No. Rpt</w:t>
            </w:r>
          </w:p>
        </w:tc>
        <w:tc>
          <w:tcPr>
            <w:tcW w:w="1182" w:type="dxa"/>
            <w:tcBorders>
              <w:bottom w:val="single" w:sz="4" w:space="0" w:color="auto"/>
            </w:tcBorders>
            <w:shd w:val="clear" w:color="auto" w:fill="auto"/>
            <w:noWrap/>
            <w:hideMark/>
          </w:tcPr>
          <w:p w14:paraId="0A027AC0"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Brand Name</w:t>
            </w:r>
          </w:p>
        </w:tc>
        <w:tc>
          <w:tcPr>
            <w:tcW w:w="1559" w:type="dxa"/>
            <w:tcBorders>
              <w:bottom w:val="single" w:sz="4" w:space="0" w:color="auto"/>
            </w:tcBorders>
            <w:shd w:val="clear" w:color="auto" w:fill="auto"/>
            <w:noWrap/>
            <w:hideMark/>
          </w:tcPr>
          <w:p w14:paraId="1C2BBF17"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Responsible Person</w:t>
            </w:r>
          </w:p>
        </w:tc>
      </w:tr>
      <w:tr w:rsidR="00F33674" w:rsidRPr="00F33674" w14:paraId="6F4B8921" w14:textId="77777777" w:rsidTr="00F33674">
        <w:trPr>
          <w:trHeight w:val="300"/>
        </w:trPr>
        <w:tc>
          <w:tcPr>
            <w:tcW w:w="1271" w:type="dxa"/>
            <w:tcBorders>
              <w:top w:val="single" w:sz="4" w:space="0" w:color="auto"/>
            </w:tcBorders>
            <w:shd w:val="clear" w:color="auto" w:fill="auto"/>
            <w:noWrap/>
            <w:hideMark/>
          </w:tcPr>
          <w:p w14:paraId="42F7ED20"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MORPHINE</w:t>
            </w:r>
          </w:p>
        </w:tc>
        <w:tc>
          <w:tcPr>
            <w:tcW w:w="846" w:type="dxa"/>
            <w:tcBorders>
              <w:top w:val="single" w:sz="4" w:space="0" w:color="auto"/>
            </w:tcBorders>
            <w:shd w:val="clear" w:color="auto" w:fill="auto"/>
          </w:tcPr>
          <w:p w14:paraId="3C50C2E3"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8454Y</w:t>
            </w:r>
          </w:p>
        </w:tc>
        <w:tc>
          <w:tcPr>
            <w:tcW w:w="2126" w:type="dxa"/>
            <w:tcBorders>
              <w:top w:val="single" w:sz="4" w:space="0" w:color="auto"/>
            </w:tcBorders>
            <w:shd w:val="clear" w:color="auto" w:fill="auto"/>
            <w:noWrap/>
            <w:hideMark/>
          </w:tcPr>
          <w:p w14:paraId="01514547"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Sachet containing controlled release granules for oral suspension, containing morphine sulfate pentahydrate 200 mg per sachet</w:t>
            </w:r>
          </w:p>
        </w:tc>
        <w:tc>
          <w:tcPr>
            <w:tcW w:w="572" w:type="dxa"/>
            <w:tcBorders>
              <w:top w:val="single" w:sz="4" w:space="0" w:color="auto"/>
            </w:tcBorders>
            <w:shd w:val="clear" w:color="auto" w:fill="auto"/>
            <w:noWrap/>
            <w:hideMark/>
          </w:tcPr>
          <w:p w14:paraId="25DB5ADC" w14:textId="77777777" w:rsidR="00F33674" w:rsidRPr="00F33674" w:rsidRDefault="00F33674" w:rsidP="00F33674">
            <w:pPr>
              <w:jc w:val="righ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28</w:t>
            </w:r>
          </w:p>
        </w:tc>
        <w:tc>
          <w:tcPr>
            <w:tcW w:w="1191" w:type="dxa"/>
            <w:tcBorders>
              <w:top w:val="single" w:sz="4" w:space="0" w:color="auto"/>
            </w:tcBorders>
            <w:shd w:val="clear" w:color="auto" w:fill="auto"/>
            <w:noWrap/>
            <w:hideMark/>
          </w:tcPr>
          <w:p w14:paraId="6B3967E3" w14:textId="77777777" w:rsidR="00F33674" w:rsidRPr="00F33674" w:rsidRDefault="00F33674" w:rsidP="00F33674">
            <w:pPr>
              <w:jc w:val="righ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0</w:t>
            </w:r>
          </w:p>
        </w:tc>
        <w:tc>
          <w:tcPr>
            <w:tcW w:w="1182" w:type="dxa"/>
            <w:tcBorders>
              <w:top w:val="single" w:sz="4" w:space="0" w:color="auto"/>
            </w:tcBorders>
            <w:shd w:val="clear" w:color="auto" w:fill="auto"/>
            <w:noWrap/>
            <w:hideMark/>
          </w:tcPr>
          <w:p w14:paraId="14535D20"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MS Contin Suspension 200 mg</w:t>
            </w:r>
          </w:p>
        </w:tc>
        <w:tc>
          <w:tcPr>
            <w:tcW w:w="1559" w:type="dxa"/>
            <w:tcBorders>
              <w:top w:val="single" w:sz="4" w:space="0" w:color="auto"/>
            </w:tcBorders>
            <w:shd w:val="clear" w:color="auto" w:fill="auto"/>
            <w:noWrap/>
            <w:hideMark/>
          </w:tcPr>
          <w:p w14:paraId="5D2854D6"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Mundipharma Pty Limited</w:t>
            </w:r>
          </w:p>
        </w:tc>
      </w:tr>
      <w:tr w:rsidR="00F33674" w:rsidRPr="00F33674" w14:paraId="648610F4" w14:textId="77777777" w:rsidTr="00F33674">
        <w:trPr>
          <w:trHeight w:val="300"/>
        </w:trPr>
        <w:tc>
          <w:tcPr>
            <w:tcW w:w="1271" w:type="dxa"/>
            <w:shd w:val="clear" w:color="auto" w:fill="auto"/>
            <w:noWrap/>
            <w:hideMark/>
          </w:tcPr>
          <w:p w14:paraId="3FD8ACB3" w14:textId="77777777" w:rsidR="00F33674" w:rsidRPr="00F33674" w:rsidRDefault="00F33674" w:rsidP="00F33674">
            <w:pPr>
              <w:jc w:val="left"/>
              <w:rPr>
                <w:rFonts w:ascii="Arial Narrow" w:hAnsi="Arial Narrow" w:cs="Calibri"/>
                <w:color w:val="000000"/>
                <w:sz w:val="20"/>
                <w:szCs w:val="20"/>
                <w:lang w:eastAsia="en-AU"/>
              </w:rPr>
            </w:pPr>
          </w:p>
        </w:tc>
        <w:tc>
          <w:tcPr>
            <w:tcW w:w="846" w:type="dxa"/>
            <w:shd w:val="clear" w:color="auto" w:fill="auto"/>
          </w:tcPr>
          <w:p w14:paraId="766636A6"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8453X</w:t>
            </w:r>
          </w:p>
        </w:tc>
        <w:tc>
          <w:tcPr>
            <w:tcW w:w="2126" w:type="dxa"/>
            <w:shd w:val="clear" w:color="auto" w:fill="auto"/>
            <w:noWrap/>
            <w:hideMark/>
          </w:tcPr>
          <w:p w14:paraId="4A4B8686"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Tablet containing morphine sulfate pentahydrate 200 mg (controlled release)</w:t>
            </w:r>
          </w:p>
        </w:tc>
        <w:tc>
          <w:tcPr>
            <w:tcW w:w="572" w:type="dxa"/>
            <w:shd w:val="clear" w:color="auto" w:fill="auto"/>
            <w:noWrap/>
            <w:hideMark/>
          </w:tcPr>
          <w:p w14:paraId="4E74A536" w14:textId="77777777" w:rsidR="00F33674" w:rsidRPr="00F33674" w:rsidRDefault="00F33674" w:rsidP="00F33674">
            <w:pPr>
              <w:jc w:val="righ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28</w:t>
            </w:r>
          </w:p>
        </w:tc>
        <w:tc>
          <w:tcPr>
            <w:tcW w:w="1191" w:type="dxa"/>
            <w:shd w:val="clear" w:color="auto" w:fill="auto"/>
            <w:noWrap/>
            <w:hideMark/>
          </w:tcPr>
          <w:p w14:paraId="6BF2DCFC" w14:textId="77777777" w:rsidR="00F33674" w:rsidRPr="00F33674" w:rsidRDefault="00F33674" w:rsidP="00F33674">
            <w:pPr>
              <w:jc w:val="righ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0</w:t>
            </w:r>
          </w:p>
        </w:tc>
        <w:tc>
          <w:tcPr>
            <w:tcW w:w="1182" w:type="dxa"/>
            <w:shd w:val="clear" w:color="auto" w:fill="auto"/>
            <w:noWrap/>
            <w:hideMark/>
          </w:tcPr>
          <w:p w14:paraId="5F149D9D"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MS Contin</w:t>
            </w:r>
          </w:p>
        </w:tc>
        <w:tc>
          <w:tcPr>
            <w:tcW w:w="1559" w:type="dxa"/>
            <w:shd w:val="clear" w:color="auto" w:fill="auto"/>
            <w:noWrap/>
            <w:hideMark/>
          </w:tcPr>
          <w:p w14:paraId="34EF89CB"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Mundipharma Pty Limited</w:t>
            </w:r>
          </w:p>
        </w:tc>
      </w:tr>
    </w:tbl>
    <w:p w14:paraId="0645432D" w14:textId="77777777" w:rsidR="00F33674" w:rsidRPr="00F33674" w:rsidRDefault="00F33674" w:rsidP="00F33674">
      <w:pPr>
        <w:ind w:left="360" w:hanging="360"/>
        <w:contextualSpacing/>
        <w:jc w:val="left"/>
      </w:pPr>
    </w:p>
    <w:tbl>
      <w:tblPr>
        <w:tblW w:w="9214" w:type="dxa"/>
        <w:tblInd w:w="-5" w:type="dxa"/>
        <w:tblLayout w:type="fixed"/>
        <w:tblLook w:val="0000" w:firstRow="0" w:lastRow="0" w:firstColumn="0" w:lastColumn="0" w:noHBand="0" w:noVBand="0"/>
      </w:tblPr>
      <w:tblGrid>
        <w:gridCol w:w="2835"/>
        <w:gridCol w:w="6379"/>
      </w:tblGrid>
      <w:tr w:rsidR="00F33674" w:rsidRPr="00F33674" w14:paraId="012CCF87" w14:textId="77777777" w:rsidTr="00F33674">
        <w:trPr>
          <w:cantSplit/>
          <w:trHeight w:val="360"/>
        </w:trPr>
        <w:tc>
          <w:tcPr>
            <w:tcW w:w="2835" w:type="dxa"/>
            <w:tcBorders>
              <w:top w:val="single" w:sz="4" w:space="0" w:color="auto"/>
              <w:left w:val="single" w:sz="4" w:space="0" w:color="auto"/>
              <w:bottom w:val="single" w:sz="4" w:space="0" w:color="auto"/>
              <w:right w:val="single" w:sz="4" w:space="0" w:color="auto"/>
            </w:tcBorders>
          </w:tcPr>
          <w:p w14:paraId="2A2EC35B" w14:textId="77777777" w:rsidR="00F33674" w:rsidRPr="00F33674" w:rsidRDefault="00F33674" w:rsidP="00F33674">
            <w:pPr>
              <w:rPr>
                <w:rFonts w:ascii="Arial Narrow" w:hAnsi="Arial Narrow" w:cs="Arial"/>
                <w:b/>
                <w:sz w:val="20"/>
                <w:szCs w:val="20"/>
              </w:rPr>
            </w:pPr>
            <w:r w:rsidRPr="00F33674">
              <w:rPr>
                <w:rFonts w:ascii="Arial Narrow" w:hAnsi="Arial Narrow" w:cs="Arial"/>
                <w:b/>
                <w:sz w:val="20"/>
                <w:szCs w:val="20"/>
              </w:rPr>
              <w:t>Category / Program:</w:t>
            </w:r>
          </w:p>
        </w:tc>
        <w:tc>
          <w:tcPr>
            <w:tcW w:w="6379" w:type="dxa"/>
            <w:tcBorders>
              <w:top w:val="single" w:sz="4" w:space="0" w:color="auto"/>
              <w:left w:val="single" w:sz="4" w:space="0" w:color="auto"/>
              <w:bottom w:val="single" w:sz="4" w:space="0" w:color="auto"/>
              <w:right w:val="single" w:sz="4" w:space="0" w:color="auto"/>
            </w:tcBorders>
          </w:tcPr>
          <w:p w14:paraId="5F0941C3" w14:textId="77777777" w:rsidR="00F33674" w:rsidRPr="00F33674" w:rsidRDefault="00F33674" w:rsidP="00F33674">
            <w:pPr>
              <w:rPr>
                <w:rFonts w:ascii="Arial Narrow" w:hAnsi="Arial Narrow" w:cs="Arial"/>
                <w:sz w:val="20"/>
                <w:szCs w:val="20"/>
              </w:rPr>
            </w:pPr>
            <w:r w:rsidRPr="00F33674">
              <w:rPr>
                <w:rFonts w:ascii="Arial Narrow" w:hAnsi="Arial Narrow" w:cs="Arial"/>
                <w:sz w:val="20"/>
                <w:szCs w:val="20"/>
              </w:rPr>
              <w:t>GENERAL – General Schedule (Code GE)</w:t>
            </w:r>
          </w:p>
        </w:tc>
      </w:tr>
      <w:tr w:rsidR="00F33674" w:rsidRPr="00F33674" w14:paraId="2C01627B" w14:textId="77777777" w:rsidTr="00F33674">
        <w:trPr>
          <w:cantSplit/>
          <w:trHeight w:val="360"/>
        </w:trPr>
        <w:tc>
          <w:tcPr>
            <w:tcW w:w="2835" w:type="dxa"/>
            <w:tcBorders>
              <w:top w:val="single" w:sz="4" w:space="0" w:color="auto"/>
              <w:left w:val="single" w:sz="4" w:space="0" w:color="auto"/>
              <w:bottom w:val="single" w:sz="4" w:space="0" w:color="auto"/>
              <w:right w:val="single" w:sz="4" w:space="0" w:color="auto"/>
            </w:tcBorders>
          </w:tcPr>
          <w:p w14:paraId="2F2220EC" w14:textId="77777777" w:rsidR="00F33674" w:rsidRPr="00F33674" w:rsidRDefault="00F33674" w:rsidP="00F33674">
            <w:pPr>
              <w:rPr>
                <w:rFonts w:ascii="Arial Narrow" w:hAnsi="Arial Narrow" w:cs="Arial"/>
                <w:b/>
                <w:sz w:val="20"/>
                <w:szCs w:val="20"/>
              </w:rPr>
            </w:pPr>
            <w:r w:rsidRPr="00F33674">
              <w:rPr>
                <w:rFonts w:ascii="Arial Narrow" w:hAnsi="Arial Narrow" w:cs="Arial"/>
                <w:b/>
                <w:sz w:val="20"/>
                <w:szCs w:val="20"/>
              </w:rPr>
              <w:t>Prescriber type:</w:t>
            </w:r>
          </w:p>
          <w:p w14:paraId="4B55BE06" w14:textId="77777777" w:rsidR="00F33674" w:rsidRPr="00F33674" w:rsidRDefault="00F33674" w:rsidP="00F33674">
            <w:pPr>
              <w:rPr>
                <w:rFonts w:ascii="Arial Narrow" w:hAnsi="Arial Narrow" w:cs="Arial"/>
                <w:b/>
                <w:sz w:val="20"/>
                <w:szCs w:val="20"/>
              </w:rPr>
            </w:pPr>
          </w:p>
        </w:tc>
        <w:tc>
          <w:tcPr>
            <w:tcW w:w="6379" w:type="dxa"/>
            <w:tcBorders>
              <w:top w:val="single" w:sz="4" w:space="0" w:color="auto"/>
              <w:left w:val="single" w:sz="4" w:space="0" w:color="auto"/>
              <w:bottom w:val="single" w:sz="4" w:space="0" w:color="auto"/>
              <w:right w:val="single" w:sz="4" w:space="0" w:color="auto"/>
            </w:tcBorders>
          </w:tcPr>
          <w:p w14:paraId="3367CBAD" w14:textId="5702ED95" w:rsidR="00F33674" w:rsidRPr="00F33674" w:rsidRDefault="00F33674" w:rsidP="00F33674">
            <w:pPr>
              <w:rPr>
                <w:rFonts w:ascii="Arial Narrow" w:hAnsi="Arial Narrow" w:cs="Arial"/>
                <w:sz w:val="20"/>
                <w:szCs w:val="20"/>
              </w:rPr>
            </w:pPr>
            <w:r w:rsidRPr="00F33674">
              <w:rPr>
                <w:rFonts w:ascii="Arial Narrow" w:hAnsi="Arial Narrow" w:cs="Arial"/>
                <w:sz w:val="20"/>
                <w:szCs w:val="20"/>
              </w:rPr>
              <w:fldChar w:fldCharType="begin">
                <w:ffData>
                  <w:name w:val="Check1"/>
                  <w:enabled/>
                  <w:calcOnExit w:val="0"/>
                  <w:checkBox>
                    <w:sizeAuto/>
                    <w:default w:val="0"/>
                  </w:checkBox>
                </w:ffData>
              </w:fldChar>
            </w:r>
            <w:r w:rsidRPr="00F33674">
              <w:rPr>
                <w:rFonts w:ascii="Arial Narrow" w:hAnsi="Arial Narrow" w:cs="Arial"/>
                <w:sz w:val="20"/>
                <w:szCs w:val="20"/>
              </w:rPr>
              <w:instrText xml:space="preserve"> FORMCHECKBOX </w:instrText>
            </w:r>
            <w:r w:rsidR="00233D13">
              <w:rPr>
                <w:rFonts w:ascii="Arial Narrow" w:hAnsi="Arial Narrow" w:cs="Arial"/>
                <w:sz w:val="20"/>
                <w:szCs w:val="20"/>
              </w:rPr>
            </w:r>
            <w:r w:rsidR="00233D13">
              <w:rPr>
                <w:rFonts w:ascii="Arial Narrow" w:hAnsi="Arial Narrow" w:cs="Arial"/>
                <w:sz w:val="20"/>
                <w:szCs w:val="20"/>
              </w:rPr>
              <w:fldChar w:fldCharType="separate"/>
            </w:r>
            <w:r w:rsidRPr="00F33674">
              <w:rPr>
                <w:rFonts w:ascii="Arial Narrow" w:hAnsi="Arial Narrow" w:cs="Arial"/>
                <w:sz w:val="20"/>
                <w:szCs w:val="20"/>
              </w:rPr>
              <w:fldChar w:fldCharType="end"/>
            </w:r>
            <w:r w:rsidRPr="00F33674">
              <w:rPr>
                <w:rFonts w:ascii="Arial Narrow" w:hAnsi="Arial Narrow" w:cs="Arial"/>
                <w:sz w:val="20"/>
                <w:szCs w:val="20"/>
              </w:rPr>
              <w:t>Dental</w:t>
            </w:r>
            <w:r w:rsidR="002C1329">
              <w:rPr>
                <w:rFonts w:ascii="Arial Narrow" w:hAnsi="Arial Narrow" w:cs="Arial"/>
                <w:sz w:val="20"/>
                <w:szCs w:val="20"/>
              </w:rPr>
              <w:t xml:space="preserve"> </w:t>
            </w:r>
            <w:r w:rsidRPr="00F33674">
              <w:rPr>
                <w:rFonts w:ascii="Arial Narrow" w:hAnsi="Arial Narrow" w:cs="Arial"/>
                <w:sz w:val="20"/>
                <w:szCs w:val="20"/>
              </w:rPr>
              <w:fldChar w:fldCharType="begin">
                <w:ffData>
                  <w:name w:val=""/>
                  <w:enabled/>
                  <w:calcOnExit w:val="0"/>
                  <w:checkBox>
                    <w:sizeAuto/>
                    <w:default w:val="1"/>
                  </w:checkBox>
                </w:ffData>
              </w:fldChar>
            </w:r>
            <w:r w:rsidRPr="00F33674">
              <w:rPr>
                <w:rFonts w:ascii="Arial Narrow" w:hAnsi="Arial Narrow" w:cs="Arial"/>
                <w:sz w:val="20"/>
                <w:szCs w:val="20"/>
              </w:rPr>
              <w:instrText xml:space="preserve"> FORMCHECKBOX </w:instrText>
            </w:r>
            <w:r w:rsidR="00233D13">
              <w:rPr>
                <w:rFonts w:ascii="Arial Narrow" w:hAnsi="Arial Narrow" w:cs="Arial"/>
                <w:sz w:val="20"/>
                <w:szCs w:val="20"/>
              </w:rPr>
            </w:r>
            <w:r w:rsidR="00233D13">
              <w:rPr>
                <w:rFonts w:ascii="Arial Narrow" w:hAnsi="Arial Narrow" w:cs="Arial"/>
                <w:sz w:val="20"/>
                <w:szCs w:val="20"/>
              </w:rPr>
              <w:fldChar w:fldCharType="separate"/>
            </w:r>
            <w:r w:rsidRPr="00F33674">
              <w:rPr>
                <w:rFonts w:ascii="Arial Narrow" w:hAnsi="Arial Narrow" w:cs="Arial"/>
                <w:sz w:val="20"/>
                <w:szCs w:val="20"/>
              </w:rPr>
              <w:fldChar w:fldCharType="end"/>
            </w:r>
            <w:r w:rsidRPr="00F33674">
              <w:rPr>
                <w:rFonts w:ascii="Arial Narrow" w:hAnsi="Arial Narrow" w:cs="Arial"/>
                <w:sz w:val="20"/>
                <w:szCs w:val="20"/>
              </w:rPr>
              <w:t>Medical Practitioners</w:t>
            </w:r>
            <w:r w:rsidR="002C1329">
              <w:rPr>
                <w:rFonts w:ascii="Arial Narrow" w:hAnsi="Arial Narrow" w:cs="Arial"/>
                <w:sz w:val="20"/>
                <w:szCs w:val="20"/>
              </w:rPr>
              <w:t xml:space="preserve"> </w:t>
            </w:r>
            <w:r w:rsidRPr="00F33674">
              <w:rPr>
                <w:rFonts w:ascii="Arial Narrow" w:hAnsi="Arial Narrow" w:cs="Arial"/>
                <w:sz w:val="20"/>
                <w:szCs w:val="20"/>
              </w:rPr>
              <w:fldChar w:fldCharType="begin">
                <w:ffData>
                  <w:name w:val="Check3"/>
                  <w:enabled/>
                  <w:calcOnExit w:val="0"/>
                  <w:checkBox>
                    <w:sizeAuto/>
                    <w:default w:val="1"/>
                  </w:checkBox>
                </w:ffData>
              </w:fldChar>
            </w:r>
            <w:r w:rsidRPr="00F33674">
              <w:rPr>
                <w:rFonts w:ascii="Arial Narrow" w:hAnsi="Arial Narrow" w:cs="Arial"/>
                <w:sz w:val="20"/>
                <w:szCs w:val="20"/>
              </w:rPr>
              <w:instrText xml:space="preserve"> FORMCHECKBOX </w:instrText>
            </w:r>
            <w:r w:rsidR="00233D13">
              <w:rPr>
                <w:rFonts w:ascii="Arial Narrow" w:hAnsi="Arial Narrow" w:cs="Arial"/>
                <w:sz w:val="20"/>
                <w:szCs w:val="20"/>
              </w:rPr>
            </w:r>
            <w:r w:rsidR="00233D13">
              <w:rPr>
                <w:rFonts w:ascii="Arial Narrow" w:hAnsi="Arial Narrow" w:cs="Arial"/>
                <w:sz w:val="20"/>
                <w:szCs w:val="20"/>
              </w:rPr>
              <w:fldChar w:fldCharType="separate"/>
            </w:r>
            <w:r w:rsidRPr="00F33674">
              <w:rPr>
                <w:rFonts w:ascii="Arial Narrow" w:hAnsi="Arial Narrow" w:cs="Arial"/>
                <w:sz w:val="20"/>
                <w:szCs w:val="20"/>
              </w:rPr>
              <w:fldChar w:fldCharType="end"/>
            </w:r>
            <w:r w:rsidRPr="00F33674">
              <w:rPr>
                <w:rFonts w:ascii="Arial Narrow" w:hAnsi="Arial Narrow" w:cs="Arial"/>
                <w:sz w:val="20"/>
                <w:szCs w:val="20"/>
              </w:rPr>
              <w:t>Nurse practitioners</w:t>
            </w:r>
            <w:r w:rsidR="002C1329">
              <w:rPr>
                <w:rFonts w:ascii="Arial Narrow" w:hAnsi="Arial Narrow" w:cs="Arial"/>
                <w:sz w:val="20"/>
                <w:szCs w:val="20"/>
              </w:rPr>
              <w:t xml:space="preserve"> </w:t>
            </w:r>
            <w:r w:rsidRPr="00F33674">
              <w:rPr>
                <w:rFonts w:ascii="Arial Narrow" w:hAnsi="Arial Narrow" w:cs="Arial"/>
                <w:sz w:val="20"/>
                <w:szCs w:val="20"/>
              </w:rPr>
              <w:fldChar w:fldCharType="begin">
                <w:ffData>
                  <w:name w:val=""/>
                  <w:enabled/>
                  <w:calcOnExit w:val="0"/>
                  <w:checkBox>
                    <w:sizeAuto/>
                    <w:default w:val="0"/>
                  </w:checkBox>
                </w:ffData>
              </w:fldChar>
            </w:r>
            <w:r w:rsidRPr="00F33674">
              <w:rPr>
                <w:rFonts w:ascii="Arial Narrow" w:hAnsi="Arial Narrow" w:cs="Arial"/>
                <w:sz w:val="20"/>
                <w:szCs w:val="20"/>
              </w:rPr>
              <w:instrText xml:space="preserve"> FORMCHECKBOX </w:instrText>
            </w:r>
            <w:r w:rsidR="00233D13">
              <w:rPr>
                <w:rFonts w:ascii="Arial Narrow" w:hAnsi="Arial Narrow" w:cs="Arial"/>
                <w:sz w:val="20"/>
                <w:szCs w:val="20"/>
              </w:rPr>
            </w:r>
            <w:r w:rsidR="00233D13">
              <w:rPr>
                <w:rFonts w:ascii="Arial Narrow" w:hAnsi="Arial Narrow" w:cs="Arial"/>
                <w:sz w:val="20"/>
                <w:szCs w:val="20"/>
              </w:rPr>
              <w:fldChar w:fldCharType="separate"/>
            </w:r>
            <w:r w:rsidRPr="00F33674">
              <w:rPr>
                <w:rFonts w:ascii="Arial Narrow" w:hAnsi="Arial Narrow" w:cs="Arial"/>
                <w:sz w:val="20"/>
                <w:szCs w:val="20"/>
              </w:rPr>
              <w:fldChar w:fldCharType="end"/>
            </w:r>
            <w:r w:rsidRPr="00F33674">
              <w:rPr>
                <w:rFonts w:ascii="Arial Narrow" w:hAnsi="Arial Narrow" w:cs="Arial"/>
                <w:sz w:val="20"/>
                <w:szCs w:val="20"/>
              </w:rPr>
              <w:t>Optometrists</w:t>
            </w:r>
          </w:p>
          <w:p w14:paraId="2FFD85C3" w14:textId="77777777" w:rsidR="00F33674" w:rsidRPr="00F33674" w:rsidRDefault="00F33674" w:rsidP="00F33674">
            <w:pPr>
              <w:rPr>
                <w:rFonts w:ascii="Arial Narrow" w:hAnsi="Arial Narrow" w:cs="Arial"/>
                <w:sz w:val="20"/>
                <w:szCs w:val="20"/>
              </w:rPr>
            </w:pPr>
            <w:r w:rsidRPr="00F33674">
              <w:rPr>
                <w:rFonts w:ascii="Arial Narrow" w:hAnsi="Arial Narrow" w:cs="Arial"/>
                <w:sz w:val="20"/>
                <w:szCs w:val="20"/>
              </w:rPr>
              <w:fldChar w:fldCharType="begin">
                <w:ffData>
                  <w:name w:val="Check5"/>
                  <w:enabled/>
                  <w:calcOnExit w:val="0"/>
                  <w:checkBox>
                    <w:sizeAuto/>
                    <w:default w:val="0"/>
                  </w:checkBox>
                </w:ffData>
              </w:fldChar>
            </w:r>
            <w:r w:rsidRPr="00F33674">
              <w:rPr>
                <w:rFonts w:ascii="Arial Narrow" w:hAnsi="Arial Narrow" w:cs="Arial"/>
                <w:sz w:val="20"/>
                <w:szCs w:val="20"/>
              </w:rPr>
              <w:instrText xml:space="preserve"> FORMCHECKBOX </w:instrText>
            </w:r>
            <w:r w:rsidR="00233D13">
              <w:rPr>
                <w:rFonts w:ascii="Arial Narrow" w:hAnsi="Arial Narrow" w:cs="Arial"/>
                <w:sz w:val="20"/>
                <w:szCs w:val="20"/>
              </w:rPr>
            </w:r>
            <w:r w:rsidR="00233D13">
              <w:rPr>
                <w:rFonts w:ascii="Arial Narrow" w:hAnsi="Arial Narrow" w:cs="Arial"/>
                <w:sz w:val="20"/>
                <w:szCs w:val="20"/>
              </w:rPr>
              <w:fldChar w:fldCharType="separate"/>
            </w:r>
            <w:r w:rsidRPr="00F33674">
              <w:rPr>
                <w:rFonts w:ascii="Arial Narrow" w:hAnsi="Arial Narrow" w:cs="Arial"/>
                <w:sz w:val="20"/>
                <w:szCs w:val="20"/>
              </w:rPr>
              <w:fldChar w:fldCharType="end"/>
            </w:r>
            <w:r w:rsidRPr="00F33674">
              <w:rPr>
                <w:rFonts w:ascii="Arial Narrow" w:hAnsi="Arial Narrow" w:cs="Arial"/>
                <w:sz w:val="20"/>
                <w:szCs w:val="20"/>
              </w:rPr>
              <w:t>Midwives</w:t>
            </w:r>
          </w:p>
        </w:tc>
      </w:tr>
      <w:tr w:rsidR="00F33674" w:rsidRPr="00F33674" w14:paraId="63B91AC1" w14:textId="77777777" w:rsidTr="00F33674">
        <w:trPr>
          <w:cantSplit/>
          <w:trHeight w:val="369"/>
        </w:trPr>
        <w:tc>
          <w:tcPr>
            <w:tcW w:w="2835" w:type="dxa"/>
            <w:tcBorders>
              <w:top w:val="single" w:sz="4" w:space="0" w:color="auto"/>
              <w:left w:val="single" w:sz="4" w:space="0" w:color="auto"/>
              <w:bottom w:val="single" w:sz="4" w:space="0" w:color="auto"/>
              <w:right w:val="single" w:sz="4" w:space="0" w:color="auto"/>
            </w:tcBorders>
          </w:tcPr>
          <w:p w14:paraId="4C2BDDF4" w14:textId="77777777" w:rsidR="00F33674" w:rsidRPr="00F33674" w:rsidRDefault="00F33674" w:rsidP="00F33674">
            <w:pPr>
              <w:rPr>
                <w:rFonts w:ascii="Arial Narrow" w:hAnsi="Arial Narrow" w:cs="Arial"/>
                <w:b/>
                <w:sz w:val="20"/>
                <w:szCs w:val="20"/>
              </w:rPr>
            </w:pPr>
            <w:r w:rsidRPr="00F33674">
              <w:rPr>
                <w:rFonts w:ascii="Arial Narrow" w:hAnsi="Arial Narrow" w:cs="Arial"/>
                <w:b/>
                <w:sz w:val="20"/>
                <w:szCs w:val="20"/>
              </w:rPr>
              <w:t>PBS indication:</w:t>
            </w:r>
          </w:p>
        </w:tc>
        <w:tc>
          <w:tcPr>
            <w:tcW w:w="6379" w:type="dxa"/>
            <w:tcBorders>
              <w:top w:val="single" w:sz="4" w:space="0" w:color="auto"/>
              <w:left w:val="single" w:sz="4" w:space="0" w:color="auto"/>
              <w:bottom w:val="single" w:sz="4" w:space="0" w:color="auto"/>
              <w:right w:val="single" w:sz="4" w:space="0" w:color="auto"/>
            </w:tcBorders>
          </w:tcPr>
          <w:p w14:paraId="49EEA83D" w14:textId="77777777" w:rsidR="00F33674" w:rsidRPr="00F33674" w:rsidRDefault="00F33674" w:rsidP="00F33674">
            <w:pPr>
              <w:rPr>
                <w:rFonts w:ascii="Arial Narrow" w:hAnsi="Arial Narrow" w:cs="Arial"/>
                <w:sz w:val="20"/>
                <w:szCs w:val="20"/>
              </w:rPr>
            </w:pPr>
            <w:r w:rsidRPr="00F33674">
              <w:rPr>
                <w:rFonts w:ascii="Arial Narrow" w:hAnsi="Arial Narrow" w:cs="Arial"/>
                <w:sz w:val="20"/>
                <w:szCs w:val="20"/>
              </w:rPr>
              <w:t>[9729] Chronic severe disabling pain</w:t>
            </w:r>
          </w:p>
        </w:tc>
      </w:tr>
      <w:tr w:rsidR="00F33674" w:rsidRPr="00F33674" w14:paraId="6560AFF1" w14:textId="77777777" w:rsidTr="00F33674">
        <w:trPr>
          <w:cantSplit/>
          <w:trHeight w:val="360"/>
        </w:trPr>
        <w:tc>
          <w:tcPr>
            <w:tcW w:w="2835" w:type="dxa"/>
            <w:tcBorders>
              <w:top w:val="single" w:sz="4" w:space="0" w:color="auto"/>
              <w:left w:val="single" w:sz="4" w:space="0" w:color="auto"/>
              <w:bottom w:val="single" w:sz="4" w:space="0" w:color="auto"/>
              <w:right w:val="single" w:sz="4" w:space="0" w:color="auto"/>
            </w:tcBorders>
          </w:tcPr>
          <w:p w14:paraId="4F443BD9" w14:textId="77777777" w:rsidR="00F33674" w:rsidRPr="00F33674" w:rsidRDefault="00F33674" w:rsidP="00F33674">
            <w:pPr>
              <w:rPr>
                <w:rFonts w:ascii="Arial Narrow" w:hAnsi="Arial Narrow" w:cs="Arial"/>
                <w:b/>
                <w:sz w:val="20"/>
                <w:szCs w:val="20"/>
              </w:rPr>
            </w:pPr>
            <w:r w:rsidRPr="00F33674">
              <w:rPr>
                <w:rFonts w:ascii="Arial Narrow" w:hAnsi="Arial Narrow" w:cs="Arial"/>
                <w:b/>
                <w:sz w:val="20"/>
                <w:szCs w:val="20"/>
              </w:rPr>
              <w:t>Restriction Level / Method:</w:t>
            </w:r>
          </w:p>
          <w:p w14:paraId="07B8D697" w14:textId="77777777" w:rsidR="00F33674" w:rsidRPr="00F33674" w:rsidRDefault="00F33674" w:rsidP="00F33674">
            <w:pPr>
              <w:rPr>
                <w:rFonts w:ascii="Arial Narrow" w:hAnsi="Arial Narrow" w:cs="Arial"/>
                <w:i/>
                <w:sz w:val="20"/>
                <w:szCs w:val="20"/>
              </w:rPr>
            </w:pPr>
          </w:p>
          <w:p w14:paraId="590D21C4" w14:textId="77777777" w:rsidR="00F33674" w:rsidRPr="00F33674" w:rsidRDefault="00F33674" w:rsidP="00F33674">
            <w:pPr>
              <w:rPr>
                <w:rFonts w:ascii="Arial Narrow" w:hAnsi="Arial Narrow" w:cs="Arial"/>
                <w:i/>
                <w:sz w:val="20"/>
                <w:szCs w:val="20"/>
              </w:rPr>
            </w:pPr>
          </w:p>
          <w:p w14:paraId="67D53DE8" w14:textId="77777777" w:rsidR="00F33674" w:rsidRPr="00F33674" w:rsidRDefault="00F33674" w:rsidP="00F33674">
            <w:pPr>
              <w:rPr>
                <w:rFonts w:ascii="Arial Narrow" w:hAnsi="Arial Narrow" w:cs="Arial"/>
                <w:i/>
                <w:sz w:val="20"/>
                <w:szCs w:val="20"/>
              </w:rPr>
            </w:pPr>
          </w:p>
        </w:tc>
        <w:tc>
          <w:tcPr>
            <w:tcW w:w="6379" w:type="dxa"/>
            <w:tcBorders>
              <w:top w:val="single" w:sz="4" w:space="0" w:color="auto"/>
              <w:left w:val="single" w:sz="4" w:space="0" w:color="auto"/>
              <w:bottom w:val="single" w:sz="4" w:space="0" w:color="auto"/>
              <w:right w:val="single" w:sz="4" w:space="0" w:color="auto"/>
            </w:tcBorders>
          </w:tcPr>
          <w:p w14:paraId="7AB4E816" w14:textId="77777777" w:rsidR="00F33674" w:rsidRPr="00F33674" w:rsidRDefault="00F33674" w:rsidP="00F33674">
            <w:pPr>
              <w:rPr>
                <w:rFonts w:ascii="Arial Narrow" w:hAnsi="Arial Narrow" w:cs="Arial"/>
                <w:sz w:val="20"/>
                <w:szCs w:val="20"/>
              </w:rPr>
            </w:pPr>
            <w:r w:rsidRPr="00F33674">
              <w:rPr>
                <w:rFonts w:ascii="Arial Narrow" w:hAnsi="Arial Narrow" w:cs="Arial"/>
                <w:sz w:val="20"/>
                <w:szCs w:val="20"/>
              </w:rPr>
              <w:fldChar w:fldCharType="begin">
                <w:ffData>
                  <w:name w:val=""/>
                  <w:enabled/>
                  <w:calcOnExit w:val="0"/>
                  <w:checkBox>
                    <w:sizeAuto/>
                    <w:default w:val="0"/>
                  </w:checkBox>
                </w:ffData>
              </w:fldChar>
            </w:r>
            <w:r w:rsidRPr="00F33674">
              <w:rPr>
                <w:rFonts w:ascii="Arial Narrow" w:hAnsi="Arial Narrow" w:cs="Arial"/>
                <w:sz w:val="20"/>
                <w:szCs w:val="20"/>
              </w:rPr>
              <w:instrText xml:space="preserve"> FORMCHECKBOX </w:instrText>
            </w:r>
            <w:r w:rsidR="00233D13">
              <w:rPr>
                <w:rFonts w:ascii="Arial Narrow" w:hAnsi="Arial Narrow" w:cs="Arial"/>
                <w:sz w:val="20"/>
                <w:szCs w:val="20"/>
              </w:rPr>
            </w:r>
            <w:r w:rsidR="00233D13">
              <w:rPr>
                <w:rFonts w:ascii="Arial Narrow" w:hAnsi="Arial Narrow" w:cs="Arial"/>
                <w:sz w:val="20"/>
                <w:szCs w:val="20"/>
              </w:rPr>
              <w:fldChar w:fldCharType="separate"/>
            </w:r>
            <w:r w:rsidRPr="00F33674">
              <w:rPr>
                <w:rFonts w:ascii="Arial Narrow" w:hAnsi="Arial Narrow" w:cs="Arial"/>
                <w:sz w:val="20"/>
                <w:szCs w:val="20"/>
              </w:rPr>
              <w:fldChar w:fldCharType="end"/>
            </w:r>
            <w:r w:rsidRPr="00F33674">
              <w:rPr>
                <w:rFonts w:ascii="Arial Narrow" w:hAnsi="Arial Narrow" w:cs="Arial"/>
                <w:sz w:val="20"/>
                <w:szCs w:val="20"/>
              </w:rPr>
              <w:t>Unrestricted benefit</w:t>
            </w:r>
          </w:p>
          <w:p w14:paraId="09388909" w14:textId="77777777" w:rsidR="00F33674" w:rsidRPr="00F33674" w:rsidRDefault="00F33674" w:rsidP="00F33674">
            <w:pPr>
              <w:rPr>
                <w:rFonts w:ascii="Arial Narrow" w:hAnsi="Arial Narrow" w:cs="Arial"/>
                <w:i/>
                <w:sz w:val="20"/>
                <w:szCs w:val="20"/>
              </w:rPr>
            </w:pPr>
            <w:r w:rsidRPr="00F33674">
              <w:rPr>
                <w:rFonts w:ascii="Arial Narrow" w:hAnsi="Arial Narrow" w:cs="Arial"/>
                <w:i/>
                <w:sz w:val="20"/>
                <w:szCs w:val="20"/>
              </w:rPr>
              <w:fldChar w:fldCharType="begin">
                <w:ffData>
                  <w:name w:val=""/>
                  <w:enabled/>
                  <w:calcOnExit w:val="0"/>
                  <w:checkBox>
                    <w:sizeAuto/>
                    <w:default w:val="0"/>
                  </w:checkBox>
                </w:ffData>
              </w:fldChar>
            </w:r>
            <w:r w:rsidRPr="00F33674">
              <w:rPr>
                <w:rFonts w:ascii="Arial Narrow" w:hAnsi="Arial Narrow" w:cs="Arial"/>
                <w:i/>
                <w:sz w:val="20"/>
                <w:szCs w:val="20"/>
              </w:rPr>
              <w:instrText xml:space="preserve"> FORMCHECKBOX </w:instrText>
            </w:r>
            <w:r w:rsidR="00233D13">
              <w:rPr>
                <w:rFonts w:ascii="Arial Narrow" w:hAnsi="Arial Narrow" w:cs="Arial"/>
                <w:i/>
                <w:sz w:val="20"/>
                <w:szCs w:val="20"/>
              </w:rPr>
            </w:r>
            <w:r w:rsidR="00233D13">
              <w:rPr>
                <w:rFonts w:ascii="Arial Narrow" w:hAnsi="Arial Narrow" w:cs="Arial"/>
                <w:i/>
                <w:sz w:val="20"/>
                <w:szCs w:val="20"/>
              </w:rPr>
              <w:fldChar w:fldCharType="separate"/>
            </w:r>
            <w:r w:rsidRPr="00F33674">
              <w:rPr>
                <w:rFonts w:ascii="Arial Narrow" w:hAnsi="Arial Narrow" w:cs="Arial"/>
                <w:i/>
                <w:sz w:val="20"/>
                <w:szCs w:val="20"/>
              </w:rPr>
              <w:fldChar w:fldCharType="end"/>
            </w:r>
            <w:r w:rsidRPr="00F33674">
              <w:rPr>
                <w:rFonts w:ascii="Arial Narrow" w:hAnsi="Arial Narrow" w:cs="Arial"/>
                <w:sz w:val="20"/>
                <w:szCs w:val="20"/>
              </w:rPr>
              <w:t>Restricted benefit</w:t>
            </w:r>
          </w:p>
          <w:p w14:paraId="58EDC741" w14:textId="77777777" w:rsidR="00F33674" w:rsidRPr="00F33674" w:rsidRDefault="00F33674" w:rsidP="00F33674">
            <w:pPr>
              <w:rPr>
                <w:rFonts w:ascii="Arial Narrow" w:hAnsi="Arial Narrow" w:cs="Arial"/>
                <w:sz w:val="20"/>
                <w:szCs w:val="20"/>
              </w:rPr>
            </w:pPr>
            <w:r w:rsidRPr="00F33674">
              <w:rPr>
                <w:rFonts w:ascii="Arial Narrow" w:hAnsi="Arial Narrow" w:cs="Arial"/>
                <w:sz w:val="20"/>
                <w:szCs w:val="20"/>
              </w:rPr>
              <w:fldChar w:fldCharType="begin">
                <w:ffData>
                  <w:name w:val=""/>
                  <w:enabled/>
                  <w:calcOnExit w:val="0"/>
                  <w:checkBox>
                    <w:sizeAuto/>
                    <w:default w:val="0"/>
                  </w:checkBox>
                </w:ffData>
              </w:fldChar>
            </w:r>
            <w:r w:rsidRPr="00F33674">
              <w:rPr>
                <w:rFonts w:ascii="Arial Narrow" w:hAnsi="Arial Narrow" w:cs="Arial"/>
                <w:sz w:val="20"/>
                <w:szCs w:val="20"/>
              </w:rPr>
              <w:instrText xml:space="preserve"> FORMCHECKBOX </w:instrText>
            </w:r>
            <w:r w:rsidR="00233D13">
              <w:rPr>
                <w:rFonts w:ascii="Arial Narrow" w:hAnsi="Arial Narrow" w:cs="Arial"/>
                <w:sz w:val="20"/>
                <w:szCs w:val="20"/>
              </w:rPr>
            </w:r>
            <w:r w:rsidR="00233D13">
              <w:rPr>
                <w:rFonts w:ascii="Arial Narrow" w:hAnsi="Arial Narrow" w:cs="Arial"/>
                <w:sz w:val="20"/>
                <w:szCs w:val="20"/>
              </w:rPr>
              <w:fldChar w:fldCharType="separate"/>
            </w:r>
            <w:r w:rsidRPr="00F33674">
              <w:rPr>
                <w:rFonts w:ascii="Arial Narrow" w:hAnsi="Arial Narrow" w:cs="Arial"/>
                <w:sz w:val="20"/>
                <w:szCs w:val="20"/>
              </w:rPr>
              <w:fldChar w:fldCharType="end"/>
            </w:r>
            <w:r w:rsidRPr="00F33674">
              <w:rPr>
                <w:rFonts w:ascii="Arial Narrow" w:hAnsi="Arial Narrow" w:cs="Arial"/>
                <w:sz w:val="20"/>
                <w:szCs w:val="20"/>
              </w:rPr>
              <w:t>Authority Required – In Writing</w:t>
            </w:r>
          </w:p>
          <w:p w14:paraId="3501F02A" w14:textId="77777777" w:rsidR="00F33674" w:rsidRPr="00F33674" w:rsidRDefault="00F33674" w:rsidP="00F33674">
            <w:pPr>
              <w:rPr>
                <w:rFonts w:ascii="Arial Narrow" w:hAnsi="Arial Narrow" w:cs="Arial"/>
                <w:sz w:val="20"/>
                <w:szCs w:val="20"/>
              </w:rPr>
            </w:pPr>
            <w:r w:rsidRPr="00F33674">
              <w:rPr>
                <w:rFonts w:ascii="Arial Narrow" w:hAnsi="Arial Narrow" w:cs="Arial"/>
                <w:sz w:val="20"/>
                <w:szCs w:val="20"/>
              </w:rPr>
              <w:fldChar w:fldCharType="begin">
                <w:ffData>
                  <w:name w:val=""/>
                  <w:enabled/>
                  <w:calcOnExit w:val="0"/>
                  <w:checkBox>
                    <w:sizeAuto/>
                    <w:default w:val="1"/>
                  </w:checkBox>
                </w:ffData>
              </w:fldChar>
            </w:r>
            <w:r w:rsidRPr="00F33674">
              <w:rPr>
                <w:rFonts w:ascii="Arial Narrow" w:hAnsi="Arial Narrow" w:cs="Arial"/>
                <w:sz w:val="20"/>
                <w:szCs w:val="20"/>
              </w:rPr>
              <w:instrText xml:space="preserve"> FORMCHECKBOX </w:instrText>
            </w:r>
            <w:r w:rsidR="00233D13">
              <w:rPr>
                <w:rFonts w:ascii="Arial Narrow" w:hAnsi="Arial Narrow" w:cs="Arial"/>
                <w:sz w:val="20"/>
                <w:szCs w:val="20"/>
              </w:rPr>
            </w:r>
            <w:r w:rsidR="00233D13">
              <w:rPr>
                <w:rFonts w:ascii="Arial Narrow" w:hAnsi="Arial Narrow" w:cs="Arial"/>
                <w:sz w:val="20"/>
                <w:szCs w:val="20"/>
              </w:rPr>
              <w:fldChar w:fldCharType="separate"/>
            </w:r>
            <w:r w:rsidRPr="00F33674">
              <w:rPr>
                <w:rFonts w:ascii="Arial Narrow" w:hAnsi="Arial Narrow" w:cs="Arial"/>
                <w:sz w:val="20"/>
                <w:szCs w:val="20"/>
              </w:rPr>
              <w:fldChar w:fldCharType="end"/>
            </w:r>
            <w:r w:rsidRPr="00F33674">
              <w:rPr>
                <w:rFonts w:ascii="Arial Narrow" w:hAnsi="Arial Narrow" w:cs="Arial"/>
                <w:sz w:val="20"/>
                <w:szCs w:val="20"/>
              </w:rPr>
              <w:t>Authority Required – Telephone/Electronic/Emergency</w:t>
            </w:r>
          </w:p>
          <w:p w14:paraId="26675626" w14:textId="77777777" w:rsidR="00F33674" w:rsidRPr="00F33674" w:rsidRDefault="00F33674" w:rsidP="00F33674">
            <w:pPr>
              <w:rPr>
                <w:rFonts w:ascii="Arial Narrow" w:hAnsi="Arial Narrow" w:cs="Arial"/>
                <w:sz w:val="20"/>
                <w:szCs w:val="20"/>
              </w:rPr>
            </w:pPr>
            <w:r w:rsidRPr="00F33674">
              <w:rPr>
                <w:rFonts w:ascii="Arial Narrow" w:hAnsi="Arial Narrow" w:cs="Arial"/>
                <w:sz w:val="20"/>
                <w:szCs w:val="20"/>
              </w:rPr>
              <w:fldChar w:fldCharType="begin">
                <w:ffData>
                  <w:name w:val=""/>
                  <w:enabled/>
                  <w:calcOnExit w:val="0"/>
                  <w:checkBox>
                    <w:sizeAuto/>
                    <w:default w:val="0"/>
                  </w:checkBox>
                </w:ffData>
              </w:fldChar>
            </w:r>
            <w:r w:rsidRPr="00F33674">
              <w:rPr>
                <w:rFonts w:ascii="Arial Narrow" w:hAnsi="Arial Narrow" w:cs="Arial"/>
                <w:sz w:val="20"/>
                <w:szCs w:val="20"/>
              </w:rPr>
              <w:instrText xml:space="preserve"> FORMCHECKBOX </w:instrText>
            </w:r>
            <w:r w:rsidR="00233D13">
              <w:rPr>
                <w:rFonts w:ascii="Arial Narrow" w:hAnsi="Arial Narrow" w:cs="Arial"/>
                <w:sz w:val="20"/>
                <w:szCs w:val="20"/>
              </w:rPr>
            </w:r>
            <w:r w:rsidR="00233D13">
              <w:rPr>
                <w:rFonts w:ascii="Arial Narrow" w:hAnsi="Arial Narrow" w:cs="Arial"/>
                <w:sz w:val="20"/>
                <w:szCs w:val="20"/>
              </w:rPr>
              <w:fldChar w:fldCharType="separate"/>
            </w:r>
            <w:r w:rsidRPr="00F33674">
              <w:rPr>
                <w:rFonts w:ascii="Arial Narrow" w:hAnsi="Arial Narrow" w:cs="Arial"/>
                <w:sz w:val="20"/>
                <w:szCs w:val="20"/>
              </w:rPr>
              <w:fldChar w:fldCharType="end"/>
            </w:r>
            <w:r w:rsidRPr="00F33674">
              <w:rPr>
                <w:rFonts w:ascii="Arial Narrow" w:hAnsi="Arial Narrow" w:cs="Arial"/>
                <w:sz w:val="20"/>
                <w:szCs w:val="20"/>
              </w:rPr>
              <w:t>Streamlined</w:t>
            </w:r>
          </w:p>
        </w:tc>
      </w:tr>
      <w:tr w:rsidR="007313C2" w:rsidRPr="00F33674" w14:paraId="4213EDCA" w14:textId="77777777" w:rsidTr="00F33674">
        <w:trPr>
          <w:cantSplit/>
          <w:trHeight w:val="360"/>
        </w:trPr>
        <w:tc>
          <w:tcPr>
            <w:tcW w:w="2835" w:type="dxa"/>
            <w:tcBorders>
              <w:top w:val="single" w:sz="4" w:space="0" w:color="auto"/>
              <w:left w:val="single" w:sz="4" w:space="0" w:color="auto"/>
              <w:bottom w:val="single" w:sz="4" w:space="0" w:color="auto"/>
              <w:right w:val="single" w:sz="4" w:space="0" w:color="auto"/>
            </w:tcBorders>
          </w:tcPr>
          <w:p w14:paraId="2D01538E" w14:textId="1B719B3B" w:rsidR="007313C2" w:rsidRPr="00F33674" w:rsidRDefault="007313C2" w:rsidP="007313C2">
            <w:pPr>
              <w:rPr>
                <w:rFonts w:ascii="Arial Narrow" w:hAnsi="Arial Narrow" w:cs="Arial"/>
                <w:b/>
                <w:sz w:val="20"/>
                <w:szCs w:val="20"/>
              </w:rPr>
            </w:pPr>
            <w:r>
              <w:rPr>
                <w:rFonts w:ascii="Arial Narrow" w:hAnsi="Arial Narrow" w:cs="Arial"/>
                <w:b/>
                <w:sz w:val="20"/>
                <w:szCs w:val="20"/>
              </w:rPr>
              <w:t>Treatment phase:</w:t>
            </w:r>
          </w:p>
        </w:tc>
        <w:tc>
          <w:tcPr>
            <w:tcW w:w="6379" w:type="dxa"/>
            <w:tcBorders>
              <w:top w:val="single" w:sz="4" w:space="0" w:color="auto"/>
              <w:left w:val="single" w:sz="4" w:space="0" w:color="auto"/>
              <w:bottom w:val="single" w:sz="4" w:space="0" w:color="auto"/>
              <w:right w:val="single" w:sz="4" w:space="0" w:color="auto"/>
            </w:tcBorders>
          </w:tcPr>
          <w:p w14:paraId="26EF36BE" w14:textId="7DA7415B" w:rsidR="007313C2" w:rsidRPr="00F33674" w:rsidRDefault="00265869" w:rsidP="007313C2">
            <w:pPr>
              <w:jc w:val="left"/>
              <w:rPr>
                <w:rFonts w:ascii="Arial Narrow" w:hAnsi="Arial Narrow" w:cs="Arial"/>
                <w:sz w:val="20"/>
                <w:szCs w:val="20"/>
              </w:rPr>
            </w:pPr>
            <w:r>
              <w:rPr>
                <w:rFonts w:ascii="Arial Narrow" w:hAnsi="Arial Narrow" w:cs="Arial"/>
                <w:sz w:val="20"/>
                <w:szCs w:val="20"/>
              </w:rPr>
              <w:t xml:space="preserve">Initial PBS treatment after 1 June 2020 where patient </w:t>
            </w:r>
            <w:proofErr w:type="gramStart"/>
            <w:r>
              <w:rPr>
                <w:rFonts w:ascii="Arial Narrow" w:hAnsi="Arial Narrow" w:cs="Arial"/>
                <w:sz w:val="20"/>
                <w:szCs w:val="20"/>
              </w:rPr>
              <w:t>has been treated</w:t>
            </w:r>
            <w:proofErr w:type="gramEnd"/>
            <w:r>
              <w:rPr>
                <w:rFonts w:ascii="Arial Narrow" w:hAnsi="Arial Narrow" w:cs="Arial"/>
                <w:sz w:val="20"/>
                <w:szCs w:val="20"/>
              </w:rPr>
              <w:t xml:space="preserve"> with opioids for less than 12 months.</w:t>
            </w:r>
          </w:p>
        </w:tc>
      </w:tr>
      <w:tr w:rsidR="007313C2" w:rsidRPr="00F33674" w14:paraId="733CDD07" w14:textId="77777777" w:rsidTr="00F33674">
        <w:trPr>
          <w:cantSplit/>
          <w:trHeight w:val="360"/>
        </w:trPr>
        <w:tc>
          <w:tcPr>
            <w:tcW w:w="2835" w:type="dxa"/>
            <w:tcBorders>
              <w:top w:val="single" w:sz="4" w:space="0" w:color="auto"/>
              <w:left w:val="single" w:sz="4" w:space="0" w:color="auto"/>
              <w:bottom w:val="single" w:sz="4" w:space="0" w:color="auto"/>
              <w:right w:val="single" w:sz="4" w:space="0" w:color="auto"/>
            </w:tcBorders>
          </w:tcPr>
          <w:p w14:paraId="494A9CF9" w14:textId="77777777" w:rsidR="007313C2" w:rsidRPr="00F33674" w:rsidRDefault="007313C2" w:rsidP="007313C2">
            <w:pPr>
              <w:rPr>
                <w:rFonts w:ascii="Arial Narrow" w:hAnsi="Arial Narrow" w:cs="Arial"/>
                <w:b/>
                <w:sz w:val="20"/>
                <w:szCs w:val="20"/>
              </w:rPr>
            </w:pPr>
            <w:r w:rsidRPr="00F33674">
              <w:rPr>
                <w:rFonts w:ascii="Arial Narrow" w:hAnsi="Arial Narrow" w:cs="Arial"/>
                <w:b/>
                <w:sz w:val="20"/>
                <w:szCs w:val="20"/>
              </w:rPr>
              <w:t>Clinical criteria:</w:t>
            </w:r>
          </w:p>
        </w:tc>
        <w:tc>
          <w:tcPr>
            <w:tcW w:w="6379" w:type="dxa"/>
            <w:tcBorders>
              <w:top w:val="single" w:sz="4" w:space="0" w:color="auto"/>
              <w:left w:val="single" w:sz="4" w:space="0" w:color="auto"/>
              <w:bottom w:val="single" w:sz="4" w:space="0" w:color="auto"/>
              <w:right w:val="single" w:sz="4" w:space="0" w:color="auto"/>
            </w:tcBorders>
          </w:tcPr>
          <w:p w14:paraId="4E74CFED" w14:textId="1483407D" w:rsidR="007313C2" w:rsidRPr="00F33674" w:rsidRDefault="007313C2" w:rsidP="007313C2">
            <w:pPr>
              <w:jc w:val="left"/>
              <w:rPr>
                <w:rFonts w:ascii="Arial Narrow" w:hAnsi="Arial Narrow" w:cs="Arial"/>
                <w:sz w:val="20"/>
                <w:szCs w:val="20"/>
              </w:rPr>
            </w:pPr>
            <w:r w:rsidRPr="00F33674">
              <w:rPr>
                <w:rFonts w:ascii="Arial Narrow" w:hAnsi="Arial Narrow" w:cs="Arial"/>
                <w:sz w:val="20"/>
                <w:szCs w:val="20"/>
              </w:rPr>
              <w:t>[new] The condition must require daily, continuous, long term treatment</w:t>
            </w:r>
          </w:p>
          <w:p w14:paraId="72599E45" w14:textId="77777777" w:rsidR="007313C2" w:rsidRPr="00F33674" w:rsidRDefault="007313C2" w:rsidP="007313C2">
            <w:pPr>
              <w:jc w:val="left"/>
              <w:rPr>
                <w:rFonts w:ascii="Arial Narrow" w:hAnsi="Arial Narrow" w:cs="Arial"/>
                <w:sz w:val="20"/>
                <w:szCs w:val="20"/>
              </w:rPr>
            </w:pPr>
          </w:p>
          <w:p w14:paraId="7319C1D6" w14:textId="77777777" w:rsidR="007313C2" w:rsidRPr="00F33674" w:rsidRDefault="007313C2" w:rsidP="007313C2">
            <w:pPr>
              <w:jc w:val="left"/>
              <w:rPr>
                <w:rFonts w:ascii="Arial Narrow" w:hAnsi="Arial Narrow" w:cs="Arial"/>
                <w:sz w:val="20"/>
                <w:szCs w:val="20"/>
              </w:rPr>
            </w:pPr>
            <w:r w:rsidRPr="00F33674">
              <w:rPr>
                <w:rFonts w:ascii="Arial Narrow" w:hAnsi="Arial Narrow" w:cs="Arial"/>
                <w:sz w:val="20"/>
                <w:szCs w:val="20"/>
              </w:rPr>
              <w:t>AND</w:t>
            </w:r>
          </w:p>
          <w:p w14:paraId="3E2E29DA" w14:textId="77777777" w:rsidR="007313C2" w:rsidRPr="00F33674" w:rsidRDefault="007313C2" w:rsidP="007313C2">
            <w:pPr>
              <w:jc w:val="left"/>
              <w:rPr>
                <w:rFonts w:ascii="Arial Narrow" w:hAnsi="Arial Narrow" w:cs="Arial"/>
                <w:sz w:val="20"/>
                <w:szCs w:val="20"/>
              </w:rPr>
            </w:pPr>
          </w:p>
          <w:p w14:paraId="0C085475" w14:textId="0A4DBBC7" w:rsidR="007313C2" w:rsidRPr="00F33674" w:rsidRDefault="007313C2" w:rsidP="007313C2">
            <w:pPr>
              <w:jc w:val="left"/>
              <w:rPr>
                <w:rFonts w:ascii="Arial Narrow" w:hAnsi="Arial Narrow" w:cs="Arial"/>
                <w:sz w:val="20"/>
                <w:szCs w:val="20"/>
              </w:rPr>
            </w:pPr>
            <w:r w:rsidRPr="00F33674">
              <w:rPr>
                <w:rFonts w:ascii="Arial Narrow" w:hAnsi="Arial Narrow" w:cs="Arial"/>
                <w:sz w:val="20"/>
                <w:szCs w:val="20"/>
              </w:rPr>
              <w:t xml:space="preserve">[18096] Patient must have </w:t>
            </w:r>
            <w:r>
              <w:rPr>
                <w:rFonts w:ascii="Arial Narrow" w:hAnsi="Arial Narrow" w:cs="Arial"/>
                <w:sz w:val="20"/>
                <w:szCs w:val="20"/>
              </w:rPr>
              <w:t xml:space="preserve">cancer </w:t>
            </w:r>
            <w:r w:rsidRPr="00F33674">
              <w:rPr>
                <w:rFonts w:ascii="Arial Narrow" w:hAnsi="Arial Narrow" w:cs="Arial"/>
                <w:sz w:val="20"/>
                <w:szCs w:val="20"/>
              </w:rPr>
              <w:t>pain</w:t>
            </w:r>
          </w:p>
          <w:p w14:paraId="369CD230" w14:textId="77777777" w:rsidR="007313C2" w:rsidRPr="00F33674" w:rsidRDefault="007313C2" w:rsidP="007313C2">
            <w:pPr>
              <w:jc w:val="left"/>
              <w:rPr>
                <w:rFonts w:ascii="Arial Narrow" w:hAnsi="Arial Narrow" w:cs="Arial"/>
                <w:sz w:val="20"/>
                <w:szCs w:val="20"/>
              </w:rPr>
            </w:pPr>
            <w:r w:rsidRPr="00F33674">
              <w:rPr>
                <w:rFonts w:ascii="Arial Narrow" w:hAnsi="Arial Narrow" w:cs="Arial"/>
                <w:sz w:val="20"/>
                <w:szCs w:val="20"/>
              </w:rPr>
              <w:t>OR</w:t>
            </w:r>
          </w:p>
          <w:p w14:paraId="3938526E" w14:textId="489C994C" w:rsidR="007313C2" w:rsidRPr="00F33674" w:rsidRDefault="007313C2" w:rsidP="007313C2">
            <w:pPr>
              <w:jc w:val="left"/>
              <w:rPr>
                <w:rFonts w:ascii="Arial Narrow" w:hAnsi="Arial Narrow" w:cs="Arial"/>
                <w:sz w:val="20"/>
                <w:szCs w:val="20"/>
              </w:rPr>
            </w:pPr>
            <w:r w:rsidRPr="00F33674">
              <w:rPr>
                <w:rFonts w:ascii="Arial Narrow" w:hAnsi="Arial Narrow" w:cs="Arial"/>
                <w:sz w:val="20"/>
                <w:szCs w:val="20"/>
              </w:rPr>
              <w:t>[new] Patient must have</w:t>
            </w:r>
            <w:r>
              <w:rPr>
                <w:rFonts w:ascii="Arial Narrow" w:hAnsi="Arial Narrow" w:cs="Arial"/>
                <w:sz w:val="20"/>
                <w:szCs w:val="20"/>
              </w:rPr>
              <w:t xml:space="preserve"> had or would have</w:t>
            </w:r>
            <w:r w:rsidRPr="00F33674">
              <w:rPr>
                <w:rFonts w:ascii="Arial Narrow" w:hAnsi="Arial Narrow" w:cs="Arial"/>
                <w:sz w:val="20"/>
                <w:szCs w:val="20"/>
              </w:rPr>
              <w:t xml:space="preserve"> inadequate </w:t>
            </w:r>
            <w:r>
              <w:rPr>
                <w:rFonts w:ascii="Arial Narrow" w:hAnsi="Arial Narrow" w:cs="Arial"/>
                <w:sz w:val="20"/>
                <w:szCs w:val="20"/>
              </w:rPr>
              <w:t xml:space="preserve">pain </w:t>
            </w:r>
            <w:r w:rsidRPr="00F33674">
              <w:rPr>
                <w:rFonts w:ascii="Arial Narrow" w:hAnsi="Arial Narrow" w:cs="Arial"/>
                <w:sz w:val="20"/>
                <w:szCs w:val="20"/>
              </w:rPr>
              <w:t xml:space="preserve">management </w:t>
            </w:r>
            <w:r>
              <w:rPr>
                <w:rFonts w:ascii="Arial Narrow" w:hAnsi="Arial Narrow" w:cs="Arial"/>
                <w:sz w:val="20"/>
                <w:szCs w:val="20"/>
              </w:rPr>
              <w:t>with</w:t>
            </w:r>
            <w:r w:rsidRPr="00F33674">
              <w:rPr>
                <w:rFonts w:ascii="Arial Narrow" w:hAnsi="Arial Narrow" w:cs="Arial"/>
                <w:sz w:val="20"/>
                <w:szCs w:val="20"/>
              </w:rPr>
              <w:t xml:space="preserve"> maximum tolerated doses of non-opioid or other opioid analgesics</w:t>
            </w:r>
          </w:p>
          <w:p w14:paraId="40BF1B61" w14:textId="77777777" w:rsidR="007313C2" w:rsidRPr="00F33674" w:rsidRDefault="007313C2" w:rsidP="007313C2">
            <w:pPr>
              <w:jc w:val="left"/>
              <w:rPr>
                <w:rFonts w:ascii="Arial Narrow" w:hAnsi="Arial Narrow" w:cs="Arial"/>
                <w:sz w:val="20"/>
                <w:szCs w:val="20"/>
              </w:rPr>
            </w:pPr>
            <w:r w:rsidRPr="00F33674">
              <w:rPr>
                <w:rFonts w:ascii="Arial Narrow" w:hAnsi="Arial Narrow" w:cs="Arial"/>
                <w:sz w:val="20"/>
                <w:szCs w:val="20"/>
              </w:rPr>
              <w:t>OR</w:t>
            </w:r>
          </w:p>
          <w:p w14:paraId="7A2186CA" w14:textId="3D61A6FB" w:rsidR="007313C2" w:rsidRPr="00F33674" w:rsidRDefault="007313C2">
            <w:pPr>
              <w:jc w:val="left"/>
              <w:rPr>
                <w:rFonts w:ascii="Arial Narrow" w:hAnsi="Arial Narrow" w:cs="Arial"/>
                <w:sz w:val="20"/>
                <w:szCs w:val="20"/>
              </w:rPr>
            </w:pPr>
            <w:r w:rsidRPr="00F33674">
              <w:rPr>
                <w:rFonts w:ascii="Arial Narrow" w:hAnsi="Arial Narrow" w:cs="Arial"/>
                <w:sz w:val="20"/>
                <w:szCs w:val="20"/>
              </w:rPr>
              <w:t>[new] Patient must be unable to use non-opioid or other opioid analgesics due to contraindications or intolerance.</w:t>
            </w:r>
          </w:p>
        </w:tc>
      </w:tr>
      <w:tr w:rsidR="007313C2" w:rsidRPr="00F33674" w14:paraId="3FD2CAB5" w14:textId="77777777" w:rsidTr="00F33674">
        <w:trPr>
          <w:cantSplit/>
          <w:trHeight w:val="360"/>
        </w:trPr>
        <w:tc>
          <w:tcPr>
            <w:tcW w:w="2835" w:type="dxa"/>
            <w:tcBorders>
              <w:top w:val="single" w:sz="4" w:space="0" w:color="auto"/>
              <w:left w:val="single" w:sz="4" w:space="0" w:color="auto"/>
              <w:bottom w:val="single" w:sz="4" w:space="0" w:color="auto"/>
              <w:right w:val="single" w:sz="4" w:space="0" w:color="auto"/>
            </w:tcBorders>
          </w:tcPr>
          <w:p w14:paraId="00F85A3F" w14:textId="77777777" w:rsidR="007313C2" w:rsidRPr="00F33674" w:rsidRDefault="007313C2" w:rsidP="007313C2">
            <w:pPr>
              <w:rPr>
                <w:rFonts w:ascii="Arial Narrow" w:hAnsi="Arial Narrow" w:cs="Arial"/>
                <w:b/>
                <w:sz w:val="20"/>
                <w:szCs w:val="20"/>
              </w:rPr>
            </w:pPr>
            <w:r w:rsidRPr="00F33674">
              <w:rPr>
                <w:rFonts w:ascii="Arial Narrow" w:hAnsi="Arial Narrow" w:cs="Arial"/>
                <w:b/>
                <w:sz w:val="20"/>
                <w:szCs w:val="20"/>
              </w:rPr>
              <w:t>Prescriber instruction:</w:t>
            </w:r>
          </w:p>
        </w:tc>
        <w:tc>
          <w:tcPr>
            <w:tcW w:w="6379" w:type="dxa"/>
            <w:tcBorders>
              <w:top w:val="single" w:sz="4" w:space="0" w:color="auto"/>
              <w:left w:val="single" w:sz="4" w:space="0" w:color="auto"/>
              <w:bottom w:val="single" w:sz="4" w:space="0" w:color="auto"/>
              <w:right w:val="single" w:sz="4" w:space="0" w:color="auto"/>
            </w:tcBorders>
          </w:tcPr>
          <w:p w14:paraId="67A8BF56" w14:textId="0B7EA74B" w:rsidR="007313C2" w:rsidRPr="00F33674" w:rsidRDefault="007313C2" w:rsidP="00193259">
            <w:pPr>
              <w:jc w:val="left"/>
              <w:rPr>
                <w:rFonts w:ascii="Arial Narrow" w:hAnsi="Arial Narrow" w:cs="Arial"/>
                <w:sz w:val="20"/>
                <w:szCs w:val="20"/>
              </w:rPr>
            </w:pPr>
            <w:r w:rsidRPr="00F33674">
              <w:rPr>
                <w:rFonts w:ascii="Arial Narrow" w:hAnsi="Arial Narrow" w:cs="Arial"/>
                <w:sz w:val="20"/>
                <w:szCs w:val="20"/>
              </w:rPr>
              <w:t xml:space="preserve">[new] Authorities for increased maximum quantities and/or repeats </w:t>
            </w:r>
            <w:r w:rsidR="00BB2EAC">
              <w:rPr>
                <w:rFonts w:ascii="Arial Narrow" w:hAnsi="Arial Narrow" w:cs="Arial"/>
                <w:sz w:val="20"/>
                <w:szCs w:val="20"/>
              </w:rPr>
              <w:t xml:space="preserve">under this restriction </w:t>
            </w:r>
            <w:proofErr w:type="gramStart"/>
            <w:r w:rsidRPr="00F33674">
              <w:rPr>
                <w:rFonts w:ascii="Arial Narrow" w:hAnsi="Arial Narrow" w:cs="Arial"/>
                <w:sz w:val="20"/>
                <w:szCs w:val="20"/>
              </w:rPr>
              <w:t>will be granted</w:t>
            </w:r>
            <w:proofErr w:type="gramEnd"/>
            <w:r w:rsidRPr="00F33674">
              <w:rPr>
                <w:rFonts w:ascii="Arial Narrow" w:hAnsi="Arial Narrow" w:cs="Arial"/>
                <w:sz w:val="20"/>
                <w:szCs w:val="20"/>
              </w:rPr>
              <w:t xml:space="preserve"> only for chronic severe disabling pain</w:t>
            </w:r>
            <w:r>
              <w:rPr>
                <w:rFonts w:ascii="Arial Narrow" w:hAnsi="Arial Narrow" w:cs="Arial"/>
                <w:sz w:val="20"/>
                <w:szCs w:val="20"/>
              </w:rPr>
              <w:t xml:space="preserve"> </w:t>
            </w:r>
            <w:r w:rsidRPr="00F33674">
              <w:rPr>
                <w:rFonts w:ascii="Arial Narrow" w:hAnsi="Arial Narrow" w:cs="Arial"/>
                <w:sz w:val="20"/>
                <w:szCs w:val="20"/>
              </w:rPr>
              <w:t>where the total duration of non-PBS and PBS subsidised opioid analgesic treatment is less than 12 months.</w:t>
            </w:r>
          </w:p>
          <w:p w14:paraId="4FC12999" w14:textId="77777777" w:rsidR="007313C2" w:rsidRPr="00F33674" w:rsidRDefault="007313C2" w:rsidP="007313C2">
            <w:pPr>
              <w:jc w:val="left"/>
              <w:rPr>
                <w:rFonts w:ascii="Arial Narrow" w:hAnsi="Arial Narrow" w:cs="Arial"/>
                <w:sz w:val="20"/>
                <w:szCs w:val="20"/>
              </w:rPr>
            </w:pPr>
          </w:p>
          <w:p w14:paraId="4065A6E0" w14:textId="77777777" w:rsidR="007313C2" w:rsidRPr="00F33674" w:rsidRDefault="007313C2" w:rsidP="007313C2">
            <w:pPr>
              <w:jc w:val="left"/>
              <w:rPr>
                <w:rFonts w:ascii="Arial Narrow" w:hAnsi="Arial Narrow" w:cs="Arial"/>
                <w:sz w:val="20"/>
                <w:szCs w:val="20"/>
              </w:rPr>
            </w:pPr>
            <w:r w:rsidRPr="00F33674">
              <w:rPr>
                <w:rFonts w:ascii="Arial Narrow" w:hAnsi="Arial Narrow" w:cs="Arial"/>
                <w:sz w:val="20"/>
                <w:szCs w:val="20"/>
              </w:rPr>
              <w:t>[new] Authority requests extending treatment duration up to 1 month may be requested though the Online PBS Authorities system or by calling Services Australia.</w:t>
            </w:r>
          </w:p>
          <w:p w14:paraId="16BFC67B" w14:textId="77777777" w:rsidR="007313C2" w:rsidRPr="00F33674" w:rsidRDefault="007313C2" w:rsidP="007313C2">
            <w:pPr>
              <w:jc w:val="left"/>
              <w:rPr>
                <w:rFonts w:ascii="Arial Narrow" w:hAnsi="Arial Narrow" w:cs="Arial"/>
                <w:sz w:val="20"/>
                <w:szCs w:val="20"/>
              </w:rPr>
            </w:pPr>
          </w:p>
          <w:p w14:paraId="562E0DC3" w14:textId="14E48FA9" w:rsidR="007313C2" w:rsidRPr="00F33674" w:rsidRDefault="007313C2" w:rsidP="007313C2">
            <w:pPr>
              <w:jc w:val="left"/>
              <w:rPr>
                <w:rFonts w:ascii="Arial Narrow" w:hAnsi="Arial Narrow" w:cs="Arial"/>
                <w:sz w:val="20"/>
                <w:szCs w:val="20"/>
              </w:rPr>
            </w:pPr>
            <w:r w:rsidRPr="00F33674">
              <w:rPr>
                <w:rFonts w:ascii="Arial Narrow" w:hAnsi="Arial Narrow" w:cs="Arial"/>
                <w:sz w:val="20"/>
                <w:szCs w:val="20"/>
              </w:rPr>
              <w:t xml:space="preserve">Authority requests extending treatment duration beyond 1 month </w:t>
            </w:r>
            <w:r w:rsidRPr="002C1329">
              <w:rPr>
                <w:rFonts w:ascii="Arial Narrow" w:hAnsi="Arial Narrow" w:cs="Arial"/>
                <w:sz w:val="20"/>
                <w:szCs w:val="20"/>
              </w:rPr>
              <w:t>may be requested through the Online PBS Authorities system</w:t>
            </w:r>
            <w:r w:rsidRPr="00F33674">
              <w:rPr>
                <w:rFonts w:ascii="Arial Narrow" w:hAnsi="Arial Narrow" w:cs="Arial"/>
                <w:sz w:val="20"/>
                <w:szCs w:val="20"/>
              </w:rPr>
              <w:t xml:space="preserve"> or in writing only and must not provide a treatment duration exceeding 3 months</w:t>
            </w:r>
            <w:r>
              <w:rPr>
                <w:rFonts w:ascii="Arial Narrow" w:hAnsi="Arial Narrow" w:cs="Arial"/>
                <w:sz w:val="20"/>
                <w:szCs w:val="20"/>
              </w:rPr>
              <w:t xml:space="preserve"> (</w:t>
            </w:r>
            <w:r w:rsidRPr="002C1329">
              <w:rPr>
                <w:rFonts w:ascii="Arial Narrow" w:hAnsi="Arial Narrow" w:cs="Arial"/>
                <w:sz w:val="20"/>
                <w:szCs w:val="20"/>
              </w:rPr>
              <w:t xml:space="preserve">quantity sufficient for up to </w:t>
            </w:r>
            <w:proofErr w:type="gramStart"/>
            <w:r w:rsidRPr="002C1329">
              <w:rPr>
                <w:rFonts w:ascii="Arial Narrow" w:hAnsi="Arial Narrow" w:cs="Arial"/>
                <w:sz w:val="20"/>
                <w:szCs w:val="20"/>
              </w:rPr>
              <w:t>1 month</w:t>
            </w:r>
            <w:proofErr w:type="gramEnd"/>
            <w:r w:rsidRPr="002C1329">
              <w:rPr>
                <w:rFonts w:ascii="Arial Narrow" w:hAnsi="Arial Narrow" w:cs="Arial"/>
                <w:sz w:val="20"/>
                <w:szCs w:val="20"/>
              </w:rPr>
              <w:t xml:space="preserve"> treatment and sufficient repeats)</w:t>
            </w:r>
            <w:r w:rsidRPr="00F33674">
              <w:rPr>
                <w:rFonts w:ascii="Arial Narrow" w:hAnsi="Arial Narrow" w:cs="Arial"/>
                <w:sz w:val="20"/>
                <w:szCs w:val="20"/>
              </w:rPr>
              <w:t>.</w:t>
            </w:r>
          </w:p>
        </w:tc>
      </w:tr>
      <w:tr w:rsidR="007313C2" w:rsidRPr="00F33674" w14:paraId="4A16F4AD" w14:textId="77777777" w:rsidTr="00F33674">
        <w:trPr>
          <w:cantSplit/>
          <w:trHeight w:val="360"/>
        </w:trPr>
        <w:tc>
          <w:tcPr>
            <w:tcW w:w="2835" w:type="dxa"/>
            <w:tcBorders>
              <w:top w:val="single" w:sz="4" w:space="0" w:color="auto"/>
              <w:left w:val="single" w:sz="4" w:space="0" w:color="auto"/>
              <w:bottom w:val="single" w:sz="4" w:space="0" w:color="auto"/>
              <w:right w:val="single" w:sz="4" w:space="0" w:color="auto"/>
            </w:tcBorders>
          </w:tcPr>
          <w:p w14:paraId="14B74591" w14:textId="77777777" w:rsidR="007313C2" w:rsidRPr="00F33674" w:rsidRDefault="007313C2" w:rsidP="007313C2">
            <w:pPr>
              <w:rPr>
                <w:rFonts w:ascii="Arial Narrow" w:hAnsi="Arial Narrow" w:cs="Arial"/>
                <w:b/>
                <w:sz w:val="20"/>
                <w:szCs w:val="20"/>
              </w:rPr>
            </w:pPr>
            <w:r w:rsidRPr="00F33674">
              <w:rPr>
                <w:rFonts w:ascii="Arial Narrow" w:hAnsi="Arial Narrow" w:cs="Arial"/>
                <w:b/>
                <w:sz w:val="20"/>
                <w:szCs w:val="20"/>
              </w:rPr>
              <w:lastRenderedPageBreak/>
              <w:t>Administrative advice:</w:t>
            </w:r>
          </w:p>
        </w:tc>
        <w:tc>
          <w:tcPr>
            <w:tcW w:w="6379" w:type="dxa"/>
            <w:tcBorders>
              <w:top w:val="single" w:sz="4" w:space="0" w:color="auto"/>
              <w:left w:val="single" w:sz="4" w:space="0" w:color="auto"/>
              <w:bottom w:val="single" w:sz="4" w:space="0" w:color="auto"/>
              <w:right w:val="single" w:sz="4" w:space="0" w:color="auto"/>
            </w:tcBorders>
          </w:tcPr>
          <w:p w14:paraId="55F48DE9" w14:textId="77777777" w:rsidR="007313C2" w:rsidRPr="00F33674" w:rsidRDefault="007313C2" w:rsidP="007313C2">
            <w:pPr>
              <w:jc w:val="left"/>
              <w:rPr>
                <w:rFonts w:ascii="Arial Narrow" w:hAnsi="Arial Narrow" w:cs="Arial"/>
                <w:sz w:val="20"/>
                <w:szCs w:val="20"/>
              </w:rPr>
            </w:pPr>
            <w:r w:rsidRPr="00F33674">
              <w:rPr>
                <w:rFonts w:ascii="Arial Narrow" w:hAnsi="Arial Narrow" w:cs="Arial"/>
                <w:sz w:val="20"/>
                <w:szCs w:val="20"/>
              </w:rPr>
              <w:t>[new] This treatment is not suitable for ‘as-required’ pain relief.</w:t>
            </w:r>
          </w:p>
          <w:p w14:paraId="21F5135D" w14:textId="77777777" w:rsidR="007313C2" w:rsidRPr="00F33674" w:rsidRDefault="007313C2" w:rsidP="007313C2">
            <w:pPr>
              <w:jc w:val="left"/>
              <w:rPr>
                <w:rFonts w:ascii="Arial Narrow" w:hAnsi="Arial Narrow" w:cs="Arial"/>
                <w:sz w:val="20"/>
                <w:szCs w:val="20"/>
              </w:rPr>
            </w:pPr>
          </w:p>
          <w:p w14:paraId="51F4A9F4" w14:textId="77777777" w:rsidR="007313C2" w:rsidRPr="00F33674" w:rsidRDefault="007313C2" w:rsidP="007313C2">
            <w:pPr>
              <w:jc w:val="left"/>
              <w:rPr>
                <w:rFonts w:ascii="Arial Narrow" w:hAnsi="Arial Narrow" w:cs="Arial"/>
                <w:sz w:val="20"/>
                <w:szCs w:val="20"/>
              </w:rPr>
            </w:pPr>
            <w:r w:rsidRPr="00F33674">
              <w:rPr>
                <w:rFonts w:ascii="Arial Narrow" w:hAnsi="Arial Narrow" w:cs="Arial"/>
                <w:sz w:val="20"/>
                <w:szCs w:val="20"/>
              </w:rPr>
              <w:t xml:space="preserve">[7901] Shared Care Model: For prescribing by nurse practitioners where care of a patient </w:t>
            </w:r>
            <w:proofErr w:type="gramStart"/>
            <w:r w:rsidRPr="00F33674">
              <w:rPr>
                <w:rFonts w:ascii="Arial Narrow" w:hAnsi="Arial Narrow" w:cs="Arial"/>
                <w:sz w:val="20"/>
                <w:szCs w:val="20"/>
              </w:rPr>
              <w:t>is shared</w:t>
            </w:r>
            <w:proofErr w:type="gramEnd"/>
            <w:r w:rsidRPr="00F33674">
              <w:rPr>
                <w:rFonts w:ascii="Arial Narrow" w:hAnsi="Arial Narrow" w:cs="Arial"/>
                <w:sz w:val="20"/>
                <w:szCs w:val="20"/>
              </w:rPr>
              <w:t xml:space="preserve"> between a nurse practitioner and medical practitioner in a formalised arrangement with an agreed management plan. Further information </w:t>
            </w:r>
            <w:proofErr w:type="gramStart"/>
            <w:r w:rsidRPr="00F33674">
              <w:rPr>
                <w:rFonts w:ascii="Arial Narrow" w:hAnsi="Arial Narrow" w:cs="Arial"/>
                <w:sz w:val="20"/>
                <w:szCs w:val="20"/>
              </w:rPr>
              <w:t>can be found</w:t>
            </w:r>
            <w:proofErr w:type="gramEnd"/>
            <w:r w:rsidRPr="00F33674">
              <w:rPr>
                <w:rFonts w:ascii="Arial Narrow" w:hAnsi="Arial Narrow" w:cs="Arial"/>
                <w:sz w:val="20"/>
                <w:szCs w:val="20"/>
              </w:rPr>
              <w:t xml:space="preserve"> in the Explanatory Notes for Nurse Practitioners.</w:t>
            </w:r>
          </w:p>
          <w:p w14:paraId="3228E74F" w14:textId="77777777" w:rsidR="007313C2" w:rsidRPr="00F33674" w:rsidRDefault="007313C2" w:rsidP="007313C2">
            <w:pPr>
              <w:jc w:val="left"/>
              <w:rPr>
                <w:rFonts w:ascii="Arial Narrow" w:hAnsi="Arial Narrow" w:cs="Arial"/>
                <w:sz w:val="20"/>
                <w:szCs w:val="20"/>
              </w:rPr>
            </w:pPr>
          </w:p>
          <w:p w14:paraId="663E8A3A" w14:textId="77777777" w:rsidR="007313C2" w:rsidRPr="00F33674" w:rsidRDefault="007313C2" w:rsidP="007313C2">
            <w:pPr>
              <w:jc w:val="left"/>
              <w:rPr>
                <w:rFonts w:ascii="Arial Narrow" w:hAnsi="Arial Narrow" w:cs="Arial"/>
                <w:sz w:val="20"/>
                <w:szCs w:val="20"/>
              </w:rPr>
            </w:pPr>
            <w:r w:rsidRPr="00F33674">
              <w:rPr>
                <w:rFonts w:ascii="Arial Narrow" w:hAnsi="Arial Narrow" w:cs="Arial"/>
                <w:sz w:val="20"/>
                <w:szCs w:val="20"/>
              </w:rPr>
              <w:t>[new] Real time online applications for increased maximum quantities/repeats may be made using the Online PBS Authorities system (see www.servicesaustralia.gov.au/organisations/health-professionals/services/medicare/hpos/services/request-authority-using-online-pbs-authorities-hpos)</w:t>
            </w:r>
          </w:p>
          <w:p w14:paraId="0849CCAF" w14:textId="77777777" w:rsidR="007313C2" w:rsidRPr="00F33674" w:rsidRDefault="007313C2" w:rsidP="007313C2">
            <w:pPr>
              <w:jc w:val="left"/>
              <w:rPr>
                <w:rFonts w:ascii="Arial Narrow" w:hAnsi="Arial Narrow" w:cs="Arial"/>
                <w:sz w:val="20"/>
                <w:szCs w:val="20"/>
              </w:rPr>
            </w:pPr>
          </w:p>
          <w:p w14:paraId="123E017C" w14:textId="1F680EB4" w:rsidR="007313C2" w:rsidRPr="00F33674" w:rsidRDefault="007313C2" w:rsidP="007313C2">
            <w:pPr>
              <w:jc w:val="left"/>
              <w:rPr>
                <w:rFonts w:ascii="Arial Narrow" w:hAnsi="Arial Narrow" w:cs="Arial"/>
                <w:sz w:val="20"/>
                <w:szCs w:val="20"/>
              </w:rPr>
            </w:pPr>
            <w:r w:rsidRPr="00F33674">
              <w:rPr>
                <w:rFonts w:ascii="Arial Narrow" w:hAnsi="Arial Narrow" w:cs="Arial"/>
                <w:sz w:val="20"/>
                <w:szCs w:val="20"/>
              </w:rPr>
              <w:t>Phone applications for increased maximum quantities/repeats may be made by calling 1800 888 333.</w:t>
            </w:r>
          </w:p>
          <w:p w14:paraId="6FCBB674" w14:textId="77777777" w:rsidR="007313C2" w:rsidRPr="00F33674" w:rsidRDefault="007313C2" w:rsidP="007313C2">
            <w:pPr>
              <w:jc w:val="left"/>
              <w:rPr>
                <w:rFonts w:ascii="Arial Narrow" w:hAnsi="Arial Narrow" w:cs="Arial"/>
                <w:sz w:val="20"/>
                <w:szCs w:val="20"/>
              </w:rPr>
            </w:pPr>
          </w:p>
          <w:p w14:paraId="75237A1F" w14:textId="77777777" w:rsidR="007313C2" w:rsidRPr="00F33674" w:rsidRDefault="007313C2" w:rsidP="007313C2">
            <w:pPr>
              <w:jc w:val="left"/>
              <w:rPr>
                <w:rFonts w:ascii="Arial Narrow" w:hAnsi="Arial Narrow" w:cs="Arial"/>
                <w:sz w:val="20"/>
                <w:szCs w:val="20"/>
              </w:rPr>
            </w:pPr>
            <w:r w:rsidRPr="00F33674">
              <w:rPr>
                <w:rFonts w:ascii="Arial Narrow" w:hAnsi="Arial Narrow" w:cs="Arial"/>
                <w:sz w:val="20"/>
                <w:szCs w:val="20"/>
              </w:rPr>
              <w:t>Written authority applications for increased maximum quantities/repeats can be uploaded online through HPOS form upload or mailed to:</w:t>
            </w:r>
          </w:p>
          <w:p w14:paraId="6D10EC5F" w14:textId="77777777" w:rsidR="007313C2" w:rsidRPr="00F33674" w:rsidRDefault="007313C2" w:rsidP="007313C2">
            <w:pPr>
              <w:jc w:val="left"/>
              <w:rPr>
                <w:rFonts w:ascii="Arial Narrow" w:hAnsi="Arial Narrow" w:cs="Arial"/>
                <w:sz w:val="20"/>
                <w:szCs w:val="20"/>
              </w:rPr>
            </w:pPr>
            <w:r w:rsidRPr="00F33674">
              <w:rPr>
                <w:rFonts w:ascii="Arial Narrow" w:hAnsi="Arial Narrow" w:cs="Arial"/>
                <w:sz w:val="20"/>
                <w:szCs w:val="20"/>
              </w:rPr>
              <w:t>Pharmaceutical Benefits Scheme</w:t>
            </w:r>
          </w:p>
          <w:p w14:paraId="3D48F51E" w14:textId="77777777" w:rsidR="007313C2" w:rsidRPr="00F33674" w:rsidRDefault="007313C2" w:rsidP="007313C2">
            <w:pPr>
              <w:jc w:val="left"/>
              <w:rPr>
                <w:rFonts w:ascii="Arial Narrow" w:hAnsi="Arial Narrow" w:cs="Arial"/>
                <w:sz w:val="20"/>
                <w:szCs w:val="20"/>
              </w:rPr>
            </w:pPr>
            <w:r w:rsidRPr="00F33674">
              <w:rPr>
                <w:rFonts w:ascii="Arial Narrow" w:hAnsi="Arial Narrow" w:cs="Arial"/>
                <w:sz w:val="20"/>
                <w:szCs w:val="20"/>
              </w:rPr>
              <w:t>Reply Paid 9857</w:t>
            </w:r>
          </w:p>
          <w:p w14:paraId="32F05C70" w14:textId="77777777" w:rsidR="007313C2" w:rsidRPr="00F33674" w:rsidRDefault="007313C2" w:rsidP="007313C2">
            <w:pPr>
              <w:jc w:val="left"/>
              <w:rPr>
                <w:rFonts w:ascii="Arial Narrow" w:hAnsi="Arial Narrow" w:cs="Arial"/>
                <w:i/>
                <w:sz w:val="20"/>
                <w:szCs w:val="20"/>
              </w:rPr>
            </w:pPr>
            <w:r w:rsidRPr="00F33674">
              <w:rPr>
                <w:rFonts w:ascii="Arial Narrow" w:hAnsi="Arial Narrow" w:cs="Arial"/>
                <w:sz w:val="20"/>
                <w:szCs w:val="20"/>
              </w:rPr>
              <w:t>[Your capital city]</w:t>
            </w:r>
          </w:p>
        </w:tc>
      </w:tr>
      <w:tr w:rsidR="007313C2" w:rsidRPr="00F33674" w14:paraId="2766E649" w14:textId="77777777" w:rsidTr="00F33674">
        <w:trPr>
          <w:cantSplit/>
          <w:trHeight w:val="360"/>
        </w:trPr>
        <w:tc>
          <w:tcPr>
            <w:tcW w:w="2835" w:type="dxa"/>
            <w:tcBorders>
              <w:top w:val="single" w:sz="4" w:space="0" w:color="auto"/>
              <w:left w:val="single" w:sz="4" w:space="0" w:color="auto"/>
              <w:bottom w:val="single" w:sz="4" w:space="0" w:color="auto"/>
              <w:right w:val="single" w:sz="4" w:space="0" w:color="auto"/>
            </w:tcBorders>
          </w:tcPr>
          <w:p w14:paraId="6DB56F54" w14:textId="77777777" w:rsidR="007313C2" w:rsidRPr="00F33674" w:rsidRDefault="007313C2" w:rsidP="007313C2">
            <w:pPr>
              <w:rPr>
                <w:rFonts w:ascii="Arial Narrow" w:hAnsi="Arial Narrow" w:cs="Arial"/>
                <w:b/>
                <w:sz w:val="20"/>
                <w:szCs w:val="20"/>
              </w:rPr>
            </w:pPr>
            <w:r w:rsidRPr="00F33674">
              <w:rPr>
                <w:rFonts w:ascii="Arial Narrow" w:hAnsi="Arial Narrow" w:cs="Arial"/>
                <w:b/>
                <w:sz w:val="20"/>
                <w:szCs w:val="20"/>
              </w:rPr>
              <w:t>Cautions:</w:t>
            </w:r>
          </w:p>
        </w:tc>
        <w:tc>
          <w:tcPr>
            <w:tcW w:w="6379" w:type="dxa"/>
            <w:tcBorders>
              <w:top w:val="single" w:sz="4" w:space="0" w:color="auto"/>
              <w:left w:val="single" w:sz="4" w:space="0" w:color="auto"/>
              <w:bottom w:val="single" w:sz="4" w:space="0" w:color="auto"/>
              <w:right w:val="single" w:sz="4" w:space="0" w:color="auto"/>
            </w:tcBorders>
          </w:tcPr>
          <w:p w14:paraId="647CEB97" w14:textId="77777777" w:rsidR="007313C2" w:rsidRPr="00F33674" w:rsidRDefault="007313C2" w:rsidP="007313C2">
            <w:pPr>
              <w:jc w:val="left"/>
              <w:rPr>
                <w:rFonts w:ascii="Arial Narrow" w:hAnsi="Arial Narrow" w:cs="Arial"/>
                <w:sz w:val="20"/>
                <w:szCs w:val="20"/>
              </w:rPr>
            </w:pPr>
            <w:r w:rsidRPr="00F33674">
              <w:rPr>
                <w:rFonts w:ascii="Arial Narrow" w:hAnsi="Arial Narrow" w:cs="Arial"/>
                <w:sz w:val="20"/>
                <w:szCs w:val="20"/>
              </w:rPr>
              <w:t>[6986] The risk of drug dependence is high.</w:t>
            </w:r>
          </w:p>
        </w:tc>
      </w:tr>
    </w:tbl>
    <w:p w14:paraId="6044BEA5" w14:textId="77777777" w:rsidR="00CB71CC" w:rsidRDefault="00CB71CC" w:rsidP="00CB71CC">
      <w:pPr>
        <w:pStyle w:val="3-BodyText"/>
        <w:numPr>
          <w:ilvl w:val="0"/>
          <w:numId w:val="0"/>
        </w:numPr>
        <w:ind w:left="720"/>
      </w:pPr>
    </w:p>
    <w:tbl>
      <w:tblPr>
        <w:tblW w:w="9214" w:type="dxa"/>
        <w:tblInd w:w="-5" w:type="dxa"/>
        <w:tblLayout w:type="fixed"/>
        <w:tblLook w:val="0000" w:firstRow="0" w:lastRow="0" w:firstColumn="0" w:lastColumn="0" w:noHBand="0" w:noVBand="0"/>
      </w:tblPr>
      <w:tblGrid>
        <w:gridCol w:w="2835"/>
        <w:gridCol w:w="6379"/>
      </w:tblGrid>
      <w:tr w:rsidR="007313C2" w:rsidRPr="00F33674" w14:paraId="66A20F51" w14:textId="77777777" w:rsidTr="00265869">
        <w:trPr>
          <w:cantSplit/>
          <w:trHeight w:val="360"/>
        </w:trPr>
        <w:tc>
          <w:tcPr>
            <w:tcW w:w="2835" w:type="dxa"/>
            <w:tcBorders>
              <w:top w:val="single" w:sz="4" w:space="0" w:color="auto"/>
              <w:left w:val="single" w:sz="4" w:space="0" w:color="auto"/>
              <w:bottom w:val="single" w:sz="4" w:space="0" w:color="auto"/>
              <w:right w:val="single" w:sz="4" w:space="0" w:color="auto"/>
            </w:tcBorders>
          </w:tcPr>
          <w:p w14:paraId="74694599" w14:textId="6B01D856" w:rsidR="007313C2" w:rsidRPr="00F33674" w:rsidRDefault="007313C2" w:rsidP="007313C2">
            <w:pPr>
              <w:rPr>
                <w:rFonts w:ascii="Arial Narrow" w:hAnsi="Arial Narrow" w:cs="Arial"/>
                <w:b/>
                <w:sz w:val="20"/>
                <w:szCs w:val="20"/>
              </w:rPr>
            </w:pPr>
            <w:r w:rsidRPr="00F33674">
              <w:rPr>
                <w:rFonts w:ascii="Arial Narrow" w:hAnsi="Arial Narrow" w:cs="Arial"/>
                <w:b/>
                <w:sz w:val="20"/>
                <w:szCs w:val="20"/>
              </w:rPr>
              <w:t>Category / Program:</w:t>
            </w:r>
          </w:p>
        </w:tc>
        <w:tc>
          <w:tcPr>
            <w:tcW w:w="6379" w:type="dxa"/>
            <w:tcBorders>
              <w:top w:val="single" w:sz="4" w:space="0" w:color="auto"/>
              <w:left w:val="single" w:sz="4" w:space="0" w:color="auto"/>
              <w:bottom w:val="single" w:sz="4" w:space="0" w:color="auto"/>
              <w:right w:val="single" w:sz="4" w:space="0" w:color="auto"/>
            </w:tcBorders>
          </w:tcPr>
          <w:p w14:paraId="05A0030F" w14:textId="533EE04D" w:rsidR="007313C2" w:rsidRPr="00F33674" w:rsidRDefault="007313C2" w:rsidP="007313C2">
            <w:pPr>
              <w:rPr>
                <w:rFonts w:ascii="Arial Narrow" w:hAnsi="Arial Narrow" w:cs="Arial"/>
                <w:sz w:val="20"/>
                <w:szCs w:val="20"/>
              </w:rPr>
            </w:pPr>
            <w:r w:rsidRPr="00F33674">
              <w:rPr>
                <w:rFonts w:ascii="Arial Narrow" w:hAnsi="Arial Narrow" w:cs="Arial"/>
                <w:sz w:val="20"/>
                <w:szCs w:val="20"/>
              </w:rPr>
              <w:t>GENERAL – General Schedule (Code GE)</w:t>
            </w:r>
          </w:p>
        </w:tc>
      </w:tr>
      <w:tr w:rsidR="007313C2" w:rsidRPr="00F33674" w14:paraId="17C86C92" w14:textId="77777777" w:rsidTr="00265869">
        <w:trPr>
          <w:cantSplit/>
          <w:trHeight w:val="360"/>
        </w:trPr>
        <w:tc>
          <w:tcPr>
            <w:tcW w:w="2835" w:type="dxa"/>
            <w:tcBorders>
              <w:top w:val="single" w:sz="4" w:space="0" w:color="auto"/>
              <w:left w:val="single" w:sz="4" w:space="0" w:color="auto"/>
              <w:bottom w:val="single" w:sz="4" w:space="0" w:color="auto"/>
              <w:right w:val="single" w:sz="4" w:space="0" w:color="auto"/>
            </w:tcBorders>
          </w:tcPr>
          <w:p w14:paraId="2E2FD605" w14:textId="77777777" w:rsidR="007313C2" w:rsidRPr="00F33674" w:rsidRDefault="007313C2" w:rsidP="007313C2">
            <w:pPr>
              <w:rPr>
                <w:rFonts w:ascii="Arial Narrow" w:hAnsi="Arial Narrow" w:cs="Arial"/>
                <w:b/>
                <w:sz w:val="20"/>
                <w:szCs w:val="20"/>
              </w:rPr>
            </w:pPr>
            <w:r w:rsidRPr="00F33674">
              <w:rPr>
                <w:rFonts w:ascii="Arial Narrow" w:hAnsi="Arial Narrow" w:cs="Arial"/>
                <w:b/>
                <w:sz w:val="20"/>
                <w:szCs w:val="20"/>
              </w:rPr>
              <w:t>Prescriber type:</w:t>
            </w:r>
          </w:p>
          <w:p w14:paraId="19031916" w14:textId="77777777" w:rsidR="007313C2" w:rsidRPr="00F33674" w:rsidRDefault="007313C2" w:rsidP="007313C2">
            <w:pPr>
              <w:rPr>
                <w:rFonts w:ascii="Arial Narrow" w:hAnsi="Arial Narrow" w:cs="Arial"/>
                <w:b/>
                <w:sz w:val="20"/>
                <w:szCs w:val="20"/>
              </w:rPr>
            </w:pPr>
          </w:p>
        </w:tc>
        <w:tc>
          <w:tcPr>
            <w:tcW w:w="6379" w:type="dxa"/>
            <w:tcBorders>
              <w:top w:val="single" w:sz="4" w:space="0" w:color="auto"/>
              <w:left w:val="single" w:sz="4" w:space="0" w:color="auto"/>
              <w:bottom w:val="single" w:sz="4" w:space="0" w:color="auto"/>
              <w:right w:val="single" w:sz="4" w:space="0" w:color="auto"/>
            </w:tcBorders>
          </w:tcPr>
          <w:p w14:paraId="57BC0396" w14:textId="77777777" w:rsidR="007313C2" w:rsidRPr="00F33674" w:rsidRDefault="007313C2" w:rsidP="007313C2">
            <w:pPr>
              <w:rPr>
                <w:rFonts w:ascii="Arial Narrow" w:hAnsi="Arial Narrow" w:cs="Arial"/>
                <w:sz w:val="20"/>
                <w:szCs w:val="20"/>
              </w:rPr>
            </w:pPr>
            <w:r w:rsidRPr="00F33674">
              <w:rPr>
                <w:rFonts w:ascii="Arial Narrow" w:hAnsi="Arial Narrow" w:cs="Arial"/>
                <w:sz w:val="20"/>
                <w:szCs w:val="20"/>
              </w:rPr>
              <w:fldChar w:fldCharType="begin">
                <w:ffData>
                  <w:name w:val="Check1"/>
                  <w:enabled/>
                  <w:calcOnExit w:val="0"/>
                  <w:checkBox>
                    <w:sizeAuto/>
                    <w:default w:val="0"/>
                  </w:checkBox>
                </w:ffData>
              </w:fldChar>
            </w:r>
            <w:r w:rsidRPr="00F33674">
              <w:rPr>
                <w:rFonts w:ascii="Arial Narrow" w:hAnsi="Arial Narrow" w:cs="Arial"/>
                <w:sz w:val="20"/>
                <w:szCs w:val="20"/>
              </w:rPr>
              <w:instrText xml:space="preserve"> FORMCHECKBOX </w:instrText>
            </w:r>
            <w:r w:rsidR="00233D13">
              <w:rPr>
                <w:rFonts w:ascii="Arial Narrow" w:hAnsi="Arial Narrow" w:cs="Arial"/>
                <w:sz w:val="20"/>
                <w:szCs w:val="20"/>
              </w:rPr>
            </w:r>
            <w:r w:rsidR="00233D13">
              <w:rPr>
                <w:rFonts w:ascii="Arial Narrow" w:hAnsi="Arial Narrow" w:cs="Arial"/>
                <w:sz w:val="20"/>
                <w:szCs w:val="20"/>
              </w:rPr>
              <w:fldChar w:fldCharType="separate"/>
            </w:r>
            <w:r w:rsidRPr="00F33674">
              <w:rPr>
                <w:rFonts w:ascii="Arial Narrow" w:hAnsi="Arial Narrow" w:cs="Arial"/>
                <w:sz w:val="20"/>
                <w:szCs w:val="20"/>
              </w:rPr>
              <w:fldChar w:fldCharType="end"/>
            </w:r>
            <w:r w:rsidRPr="00F33674">
              <w:rPr>
                <w:rFonts w:ascii="Arial Narrow" w:hAnsi="Arial Narrow" w:cs="Arial"/>
                <w:sz w:val="20"/>
                <w:szCs w:val="20"/>
              </w:rPr>
              <w:t>Dental</w:t>
            </w:r>
            <w:r>
              <w:rPr>
                <w:rFonts w:ascii="Arial Narrow" w:hAnsi="Arial Narrow" w:cs="Arial"/>
                <w:sz w:val="20"/>
                <w:szCs w:val="20"/>
              </w:rPr>
              <w:t xml:space="preserve"> </w:t>
            </w:r>
            <w:r w:rsidRPr="00F33674">
              <w:rPr>
                <w:rFonts w:ascii="Arial Narrow" w:hAnsi="Arial Narrow" w:cs="Arial"/>
                <w:sz w:val="20"/>
                <w:szCs w:val="20"/>
              </w:rPr>
              <w:fldChar w:fldCharType="begin">
                <w:ffData>
                  <w:name w:val=""/>
                  <w:enabled/>
                  <w:calcOnExit w:val="0"/>
                  <w:checkBox>
                    <w:sizeAuto/>
                    <w:default w:val="1"/>
                  </w:checkBox>
                </w:ffData>
              </w:fldChar>
            </w:r>
            <w:r w:rsidRPr="00F33674">
              <w:rPr>
                <w:rFonts w:ascii="Arial Narrow" w:hAnsi="Arial Narrow" w:cs="Arial"/>
                <w:sz w:val="20"/>
                <w:szCs w:val="20"/>
              </w:rPr>
              <w:instrText xml:space="preserve"> FORMCHECKBOX </w:instrText>
            </w:r>
            <w:r w:rsidR="00233D13">
              <w:rPr>
                <w:rFonts w:ascii="Arial Narrow" w:hAnsi="Arial Narrow" w:cs="Arial"/>
                <w:sz w:val="20"/>
                <w:szCs w:val="20"/>
              </w:rPr>
            </w:r>
            <w:r w:rsidR="00233D13">
              <w:rPr>
                <w:rFonts w:ascii="Arial Narrow" w:hAnsi="Arial Narrow" w:cs="Arial"/>
                <w:sz w:val="20"/>
                <w:szCs w:val="20"/>
              </w:rPr>
              <w:fldChar w:fldCharType="separate"/>
            </w:r>
            <w:r w:rsidRPr="00F33674">
              <w:rPr>
                <w:rFonts w:ascii="Arial Narrow" w:hAnsi="Arial Narrow" w:cs="Arial"/>
                <w:sz w:val="20"/>
                <w:szCs w:val="20"/>
              </w:rPr>
              <w:fldChar w:fldCharType="end"/>
            </w:r>
            <w:r w:rsidRPr="00F33674">
              <w:rPr>
                <w:rFonts w:ascii="Arial Narrow" w:hAnsi="Arial Narrow" w:cs="Arial"/>
                <w:sz w:val="20"/>
                <w:szCs w:val="20"/>
              </w:rPr>
              <w:t>Medical Practitioners</w:t>
            </w:r>
            <w:r>
              <w:rPr>
                <w:rFonts w:ascii="Arial Narrow" w:hAnsi="Arial Narrow" w:cs="Arial"/>
                <w:sz w:val="20"/>
                <w:szCs w:val="20"/>
              </w:rPr>
              <w:t xml:space="preserve"> </w:t>
            </w:r>
            <w:r w:rsidRPr="00F33674">
              <w:rPr>
                <w:rFonts w:ascii="Arial Narrow" w:hAnsi="Arial Narrow" w:cs="Arial"/>
                <w:sz w:val="20"/>
                <w:szCs w:val="20"/>
              </w:rPr>
              <w:fldChar w:fldCharType="begin">
                <w:ffData>
                  <w:name w:val="Check3"/>
                  <w:enabled/>
                  <w:calcOnExit w:val="0"/>
                  <w:checkBox>
                    <w:sizeAuto/>
                    <w:default w:val="1"/>
                  </w:checkBox>
                </w:ffData>
              </w:fldChar>
            </w:r>
            <w:r w:rsidRPr="00F33674">
              <w:rPr>
                <w:rFonts w:ascii="Arial Narrow" w:hAnsi="Arial Narrow" w:cs="Arial"/>
                <w:sz w:val="20"/>
                <w:szCs w:val="20"/>
              </w:rPr>
              <w:instrText xml:space="preserve"> FORMCHECKBOX </w:instrText>
            </w:r>
            <w:r w:rsidR="00233D13">
              <w:rPr>
                <w:rFonts w:ascii="Arial Narrow" w:hAnsi="Arial Narrow" w:cs="Arial"/>
                <w:sz w:val="20"/>
                <w:szCs w:val="20"/>
              </w:rPr>
            </w:r>
            <w:r w:rsidR="00233D13">
              <w:rPr>
                <w:rFonts w:ascii="Arial Narrow" w:hAnsi="Arial Narrow" w:cs="Arial"/>
                <w:sz w:val="20"/>
                <w:szCs w:val="20"/>
              </w:rPr>
              <w:fldChar w:fldCharType="separate"/>
            </w:r>
            <w:r w:rsidRPr="00F33674">
              <w:rPr>
                <w:rFonts w:ascii="Arial Narrow" w:hAnsi="Arial Narrow" w:cs="Arial"/>
                <w:sz w:val="20"/>
                <w:szCs w:val="20"/>
              </w:rPr>
              <w:fldChar w:fldCharType="end"/>
            </w:r>
            <w:r w:rsidRPr="00F33674">
              <w:rPr>
                <w:rFonts w:ascii="Arial Narrow" w:hAnsi="Arial Narrow" w:cs="Arial"/>
                <w:sz w:val="20"/>
                <w:szCs w:val="20"/>
              </w:rPr>
              <w:t>Nurse practitioners</w:t>
            </w:r>
            <w:r>
              <w:rPr>
                <w:rFonts w:ascii="Arial Narrow" w:hAnsi="Arial Narrow" w:cs="Arial"/>
                <w:sz w:val="20"/>
                <w:szCs w:val="20"/>
              </w:rPr>
              <w:t xml:space="preserve"> </w:t>
            </w:r>
            <w:r w:rsidRPr="00F33674">
              <w:rPr>
                <w:rFonts w:ascii="Arial Narrow" w:hAnsi="Arial Narrow" w:cs="Arial"/>
                <w:sz w:val="20"/>
                <w:szCs w:val="20"/>
              </w:rPr>
              <w:fldChar w:fldCharType="begin">
                <w:ffData>
                  <w:name w:val=""/>
                  <w:enabled/>
                  <w:calcOnExit w:val="0"/>
                  <w:checkBox>
                    <w:sizeAuto/>
                    <w:default w:val="0"/>
                  </w:checkBox>
                </w:ffData>
              </w:fldChar>
            </w:r>
            <w:r w:rsidRPr="00F33674">
              <w:rPr>
                <w:rFonts w:ascii="Arial Narrow" w:hAnsi="Arial Narrow" w:cs="Arial"/>
                <w:sz w:val="20"/>
                <w:szCs w:val="20"/>
              </w:rPr>
              <w:instrText xml:space="preserve"> FORMCHECKBOX </w:instrText>
            </w:r>
            <w:r w:rsidR="00233D13">
              <w:rPr>
                <w:rFonts w:ascii="Arial Narrow" w:hAnsi="Arial Narrow" w:cs="Arial"/>
                <w:sz w:val="20"/>
                <w:szCs w:val="20"/>
              </w:rPr>
            </w:r>
            <w:r w:rsidR="00233D13">
              <w:rPr>
                <w:rFonts w:ascii="Arial Narrow" w:hAnsi="Arial Narrow" w:cs="Arial"/>
                <w:sz w:val="20"/>
                <w:szCs w:val="20"/>
              </w:rPr>
              <w:fldChar w:fldCharType="separate"/>
            </w:r>
            <w:r w:rsidRPr="00F33674">
              <w:rPr>
                <w:rFonts w:ascii="Arial Narrow" w:hAnsi="Arial Narrow" w:cs="Arial"/>
                <w:sz w:val="20"/>
                <w:szCs w:val="20"/>
              </w:rPr>
              <w:fldChar w:fldCharType="end"/>
            </w:r>
            <w:r w:rsidRPr="00F33674">
              <w:rPr>
                <w:rFonts w:ascii="Arial Narrow" w:hAnsi="Arial Narrow" w:cs="Arial"/>
                <w:sz w:val="20"/>
                <w:szCs w:val="20"/>
              </w:rPr>
              <w:t>Optometrists</w:t>
            </w:r>
          </w:p>
          <w:p w14:paraId="65FC369F" w14:textId="62E286E7" w:rsidR="007313C2" w:rsidRPr="00F33674" w:rsidRDefault="007313C2" w:rsidP="007313C2">
            <w:pPr>
              <w:rPr>
                <w:rFonts w:ascii="Arial Narrow" w:hAnsi="Arial Narrow" w:cs="Arial"/>
                <w:sz w:val="20"/>
                <w:szCs w:val="20"/>
              </w:rPr>
            </w:pPr>
            <w:r w:rsidRPr="00F33674">
              <w:rPr>
                <w:rFonts w:ascii="Arial Narrow" w:hAnsi="Arial Narrow" w:cs="Arial"/>
                <w:sz w:val="20"/>
                <w:szCs w:val="20"/>
              </w:rPr>
              <w:fldChar w:fldCharType="begin">
                <w:ffData>
                  <w:name w:val="Check5"/>
                  <w:enabled/>
                  <w:calcOnExit w:val="0"/>
                  <w:checkBox>
                    <w:sizeAuto/>
                    <w:default w:val="0"/>
                  </w:checkBox>
                </w:ffData>
              </w:fldChar>
            </w:r>
            <w:r w:rsidRPr="00F33674">
              <w:rPr>
                <w:rFonts w:ascii="Arial Narrow" w:hAnsi="Arial Narrow" w:cs="Arial"/>
                <w:sz w:val="20"/>
                <w:szCs w:val="20"/>
              </w:rPr>
              <w:instrText xml:space="preserve"> FORMCHECKBOX </w:instrText>
            </w:r>
            <w:r w:rsidR="00233D13">
              <w:rPr>
                <w:rFonts w:ascii="Arial Narrow" w:hAnsi="Arial Narrow" w:cs="Arial"/>
                <w:sz w:val="20"/>
                <w:szCs w:val="20"/>
              </w:rPr>
            </w:r>
            <w:r w:rsidR="00233D13">
              <w:rPr>
                <w:rFonts w:ascii="Arial Narrow" w:hAnsi="Arial Narrow" w:cs="Arial"/>
                <w:sz w:val="20"/>
                <w:szCs w:val="20"/>
              </w:rPr>
              <w:fldChar w:fldCharType="separate"/>
            </w:r>
            <w:r w:rsidRPr="00F33674">
              <w:rPr>
                <w:rFonts w:ascii="Arial Narrow" w:hAnsi="Arial Narrow" w:cs="Arial"/>
                <w:sz w:val="20"/>
                <w:szCs w:val="20"/>
              </w:rPr>
              <w:fldChar w:fldCharType="end"/>
            </w:r>
            <w:r w:rsidRPr="00F33674">
              <w:rPr>
                <w:rFonts w:ascii="Arial Narrow" w:hAnsi="Arial Narrow" w:cs="Arial"/>
                <w:sz w:val="20"/>
                <w:szCs w:val="20"/>
              </w:rPr>
              <w:t>Midwives</w:t>
            </w:r>
          </w:p>
        </w:tc>
      </w:tr>
      <w:tr w:rsidR="007313C2" w:rsidRPr="00F33674" w14:paraId="7B3EDEE6" w14:textId="77777777" w:rsidTr="00265869">
        <w:trPr>
          <w:cantSplit/>
          <w:trHeight w:val="369"/>
        </w:trPr>
        <w:tc>
          <w:tcPr>
            <w:tcW w:w="2835" w:type="dxa"/>
            <w:tcBorders>
              <w:top w:val="single" w:sz="4" w:space="0" w:color="auto"/>
              <w:left w:val="single" w:sz="4" w:space="0" w:color="auto"/>
              <w:bottom w:val="single" w:sz="4" w:space="0" w:color="auto"/>
              <w:right w:val="single" w:sz="4" w:space="0" w:color="auto"/>
            </w:tcBorders>
          </w:tcPr>
          <w:p w14:paraId="7EF9EBB6" w14:textId="657BCB60" w:rsidR="007313C2" w:rsidRPr="00F33674" w:rsidRDefault="007313C2" w:rsidP="007313C2">
            <w:pPr>
              <w:rPr>
                <w:rFonts w:ascii="Arial Narrow" w:hAnsi="Arial Narrow" w:cs="Arial"/>
                <w:b/>
                <w:sz w:val="20"/>
                <w:szCs w:val="20"/>
              </w:rPr>
            </w:pPr>
            <w:r w:rsidRPr="00F33674">
              <w:rPr>
                <w:rFonts w:ascii="Arial Narrow" w:hAnsi="Arial Narrow" w:cs="Arial"/>
                <w:b/>
                <w:sz w:val="20"/>
                <w:szCs w:val="20"/>
              </w:rPr>
              <w:t>PBS indication:</w:t>
            </w:r>
          </w:p>
        </w:tc>
        <w:tc>
          <w:tcPr>
            <w:tcW w:w="6379" w:type="dxa"/>
            <w:tcBorders>
              <w:top w:val="single" w:sz="4" w:space="0" w:color="auto"/>
              <w:left w:val="single" w:sz="4" w:space="0" w:color="auto"/>
              <w:bottom w:val="single" w:sz="4" w:space="0" w:color="auto"/>
              <w:right w:val="single" w:sz="4" w:space="0" w:color="auto"/>
            </w:tcBorders>
          </w:tcPr>
          <w:p w14:paraId="54D49AAE" w14:textId="08B2B9E3" w:rsidR="007313C2" w:rsidRPr="00F33674" w:rsidRDefault="007313C2" w:rsidP="007313C2">
            <w:pPr>
              <w:rPr>
                <w:rFonts w:ascii="Arial Narrow" w:hAnsi="Arial Narrow" w:cs="Arial"/>
                <w:sz w:val="20"/>
                <w:szCs w:val="20"/>
              </w:rPr>
            </w:pPr>
            <w:r w:rsidRPr="00F33674">
              <w:rPr>
                <w:rFonts w:ascii="Arial Narrow" w:hAnsi="Arial Narrow" w:cs="Arial"/>
                <w:sz w:val="20"/>
                <w:szCs w:val="20"/>
              </w:rPr>
              <w:t>[9729] Chronic severe disabling pain</w:t>
            </w:r>
          </w:p>
        </w:tc>
      </w:tr>
      <w:tr w:rsidR="007313C2" w:rsidRPr="00F33674" w14:paraId="06C3BC5D" w14:textId="77777777" w:rsidTr="00265869">
        <w:trPr>
          <w:cantSplit/>
          <w:trHeight w:val="360"/>
        </w:trPr>
        <w:tc>
          <w:tcPr>
            <w:tcW w:w="2835" w:type="dxa"/>
            <w:tcBorders>
              <w:top w:val="single" w:sz="4" w:space="0" w:color="auto"/>
              <w:left w:val="single" w:sz="4" w:space="0" w:color="auto"/>
              <w:bottom w:val="single" w:sz="4" w:space="0" w:color="auto"/>
              <w:right w:val="single" w:sz="4" w:space="0" w:color="auto"/>
            </w:tcBorders>
          </w:tcPr>
          <w:p w14:paraId="4B91EC44" w14:textId="77777777" w:rsidR="007313C2" w:rsidRPr="00F33674" w:rsidRDefault="007313C2" w:rsidP="007313C2">
            <w:pPr>
              <w:rPr>
                <w:rFonts w:ascii="Arial Narrow" w:hAnsi="Arial Narrow" w:cs="Arial"/>
                <w:b/>
                <w:sz w:val="20"/>
                <w:szCs w:val="20"/>
              </w:rPr>
            </w:pPr>
            <w:r w:rsidRPr="00F33674">
              <w:rPr>
                <w:rFonts w:ascii="Arial Narrow" w:hAnsi="Arial Narrow" w:cs="Arial"/>
                <w:b/>
                <w:sz w:val="20"/>
                <w:szCs w:val="20"/>
              </w:rPr>
              <w:t>Restriction Level / Method:</w:t>
            </w:r>
          </w:p>
          <w:p w14:paraId="3821CC63" w14:textId="77777777" w:rsidR="007313C2" w:rsidRPr="00F33674" w:rsidRDefault="007313C2" w:rsidP="007313C2">
            <w:pPr>
              <w:rPr>
                <w:rFonts w:ascii="Arial Narrow" w:hAnsi="Arial Narrow" w:cs="Arial"/>
                <w:i/>
                <w:sz w:val="20"/>
                <w:szCs w:val="20"/>
              </w:rPr>
            </w:pPr>
          </w:p>
          <w:p w14:paraId="03AACA16" w14:textId="77777777" w:rsidR="007313C2" w:rsidRPr="00F33674" w:rsidRDefault="007313C2" w:rsidP="007313C2">
            <w:pPr>
              <w:rPr>
                <w:rFonts w:ascii="Arial Narrow" w:hAnsi="Arial Narrow" w:cs="Arial"/>
                <w:i/>
                <w:sz w:val="20"/>
                <w:szCs w:val="20"/>
              </w:rPr>
            </w:pPr>
          </w:p>
          <w:p w14:paraId="1D44F493" w14:textId="77777777" w:rsidR="007313C2" w:rsidRPr="00F33674" w:rsidRDefault="007313C2" w:rsidP="007313C2">
            <w:pPr>
              <w:rPr>
                <w:rFonts w:ascii="Arial Narrow" w:hAnsi="Arial Narrow" w:cs="Arial"/>
                <w:i/>
                <w:sz w:val="20"/>
                <w:szCs w:val="20"/>
              </w:rPr>
            </w:pPr>
          </w:p>
        </w:tc>
        <w:tc>
          <w:tcPr>
            <w:tcW w:w="6379" w:type="dxa"/>
            <w:tcBorders>
              <w:top w:val="single" w:sz="4" w:space="0" w:color="auto"/>
              <w:left w:val="single" w:sz="4" w:space="0" w:color="auto"/>
              <w:bottom w:val="single" w:sz="4" w:space="0" w:color="auto"/>
              <w:right w:val="single" w:sz="4" w:space="0" w:color="auto"/>
            </w:tcBorders>
          </w:tcPr>
          <w:p w14:paraId="6EF98487" w14:textId="77777777" w:rsidR="007313C2" w:rsidRPr="00F33674" w:rsidRDefault="007313C2" w:rsidP="007313C2">
            <w:pPr>
              <w:rPr>
                <w:rFonts w:ascii="Arial Narrow" w:hAnsi="Arial Narrow" w:cs="Arial"/>
                <w:sz w:val="20"/>
                <w:szCs w:val="20"/>
              </w:rPr>
            </w:pPr>
            <w:r w:rsidRPr="00F33674">
              <w:rPr>
                <w:rFonts w:ascii="Arial Narrow" w:hAnsi="Arial Narrow" w:cs="Arial"/>
                <w:sz w:val="20"/>
                <w:szCs w:val="20"/>
              </w:rPr>
              <w:fldChar w:fldCharType="begin">
                <w:ffData>
                  <w:name w:val=""/>
                  <w:enabled/>
                  <w:calcOnExit w:val="0"/>
                  <w:checkBox>
                    <w:sizeAuto/>
                    <w:default w:val="0"/>
                  </w:checkBox>
                </w:ffData>
              </w:fldChar>
            </w:r>
            <w:r w:rsidRPr="00F33674">
              <w:rPr>
                <w:rFonts w:ascii="Arial Narrow" w:hAnsi="Arial Narrow" w:cs="Arial"/>
                <w:sz w:val="20"/>
                <w:szCs w:val="20"/>
              </w:rPr>
              <w:instrText xml:space="preserve"> FORMCHECKBOX </w:instrText>
            </w:r>
            <w:r w:rsidR="00233D13">
              <w:rPr>
                <w:rFonts w:ascii="Arial Narrow" w:hAnsi="Arial Narrow" w:cs="Arial"/>
                <w:sz w:val="20"/>
                <w:szCs w:val="20"/>
              </w:rPr>
            </w:r>
            <w:r w:rsidR="00233D13">
              <w:rPr>
                <w:rFonts w:ascii="Arial Narrow" w:hAnsi="Arial Narrow" w:cs="Arial"/>
                <w:sz w:val="20"/>
                <w:szCs w:val="20"/>
              </w:rPr>
              <w:fldChar w:fldCharType="separate"/>
            </w:r>
            <w:r w:rsidRPr="00F33674">
              <w:rPr>
                <w:rFonts w:ascii="Arial Narrow" w:hAnsi="Arial Narrow" w:cs="Arial"/>
                <w:sz w:val="20"/>
                <w:szCs w:val="20"/>
              </w:rPr>
              <w:fldChar w:fldCharType="end"/>
            </w:r>
            <w:r w:rsidRPr="00F33674">
              <w:rPr>
                <w:rFonts w:ascii="Arial Narrow" w:hAnsi="Arial Narrow" w:cs="Arial"/>
                <w:sz w:val="20"/>
                <w:szCs w:val="20"/>
              </w:rPr>
              <w:t>Unrestricted benefit</w:t>
            </w:r>
          </w:p>
          <w:p w14:paraId="755E29D9" w14:textId="77777777" w:rsidR="007313C2" w:rsidRPr="00F33674" w:rsidRDefault="007313C2" w:rsidP="007313C2">
            <w:pPr>
              <w:rPr>
                <w:rFonts w:ascii="Arial Narrow" w:hAnsi="Arial Narrow" w:cs="Arial"/>
                <w:i/>
                <w:sz w:val="20"/>
                <w:szCs w:val="20"/>
              </w:rPr>
            </w:pPr>
            <w:r w:rsidRPr="00F33674">
              <w:rPr>
                <w:rFonts w:ascii="Arial Narrow" w:hAnsi="Arial Narrow" w:cs="Arial"/>
                <w:i/>
                <w:sz w:val="20"/>
                <w:szCs w:val="20"/>
              </w:rPr>
              <w:fldChar w:fldCharType="begin">
                <w:ffData>
                  <w:name w:val=""/>
                  <w:enabled/>
                  <w:calcOnExit w:val="0"/>
                  <w:checkBox>
                    <w:sizeAuto/>
                    <w:default w:val="0"/>
                  </w:checkBox>
                </w:ffData>
              </w:fldChar>
            </w:r>
            <w:r w:rsidRPr="00F33674">
              <w:rPr>
                <w:rFonts w:ascii="Arial Narrow" w:hAnsi="Arial Narrow" w:cs="Arial"/>
                <w:i/>
                <w:sz w:val="20"/>
                <w:szCs w:val="20"/>
              </w:rPr>
              <w:instrText xml:space="preserve"> FORMCHECKBOX </w:instrText>
            </w:r>
            <w:r w:rsidR="00233D13">
              <w:rPr>
                <w:rFonts w:ascii="Arial Narrow" w:hAnsi="Arial Narrow" w:cs="Arial"/>
                <w:i/>
                <w:sz w:val="20"/>
                <w:szCs w:val="20"/>
              </w:rPr>
            </w:r>
            <w:r w:rsidR="00233D13">
              <w:rPr>
                <w:rFonts w:ascii="Arial Narrow" w:hAnsi="Arial Narrow" w:cs="Arial"/>
                <w:i/>
                <w:sz w:val="20"/>
                <w:szCs w:val="20"/>
              </w:rPr>
              <w:fldChar w:fldCharType="separate"/>
            </w:r>
            <w:r w:rsidRPr="00F33674">
              <w:rPr>
                <w:rFonts w:ascii="Arial Narrow" w:hAnsi="Arial Narrow" w:cs="Arial"/>
                <w:i/>
                <w:sz w:val="20"/>
                <w:szCs w:val="20"/>
              </w:rPr>
              <w:fldChar w:fldCharType="end"/>
            </w:r>
            <w:r w:rsidRPr="00F33674">
              <w:rPr>
                <w:rFonts w:ascii="Arial Narrow" w:hAnsi="Arial Narrow" w:cs="Arial"/>
                <w:sz w:val="20"/>
                <w:szCs w:val="20"/>
              </w:rPr>
              <w:t>Restricted benefit</w:t>
            </w:r>
          </w:p>
          <w:p w14:paraId="38785EF2" w14:textId="77777777" w:rsidR="007313C2" w:rsidRPr="00F33674" w:rsidRDefault="007313C2" w:rsidP="007313C2">
            <w:pPr>
              <w:rPr>
                <w:rFonts w:ascii="Arial Narrow" w:hAnsi="Arial Narrow" w:cs="Arial"/>
                <w:sz w:val="20"/>
                <w:szCs w:val="20"/>
              </w:rPr>
            </w:pPr>
            <w:r w:rsidRPr="00F33674">
              <w:rPr>
                <w:rFonts w:ascii="Arial Narrow" w:hAnsi="Arial Narrow" w:cs="Arial"/>
                <w:sz w:val="20"/>
                <w:szCs w:val="20"/>
              </w:rPr>
              <w:fldChar w:fldCharType="begin">
                <w:ffData>
                  <w:name w:val=""/>
                  <w:enabled/>
                  <w:calcOnExit w:val="0"/>
                  <w:checkBox>
                    <w:sizeAuto/>
                    <w:default w:val="0"/>
                  </w:checkBox>
                </w:ffData>
              </w:fldChar>
            </w:r>
            <w:r w:rsidRPr="00F33674">
              <w:rPr>
                <w:rFonts w:ascii="Arial Narrow" w:hAnsi="Arial Narrow" w:cs="Arial"/>
                <w:sz w:val="20"/>
                <w:szCs w:val="20"/>
              </w:rPr>
              <w:instrText xml:space="preserve"> FORMCHECKBOX </w:instrText>
            </w:r>
            <w:r w:rsidR="00233D13">
              <w:rPr>
                <w:rFonts w:ascii="Arial Narrow" w:hAnsi="Arial Narrow" w:cs="Arial"/>
                <w:sz w:val="20"/>
                <w:szCs w:val="20"/>
              </w:rPr>
            </w:r>
            <w:r w:rsidR="00233D13">
              <w:rPr>
                <w:rFonts w:ascii="Arial Narrow" w:hAnsi="Arial Narrow" w:cs="Arial"/>
                <w:sz w:val="20"/>
                <w:szCs w:val="20"/>
              </w:rPr>
              <w:fldChar w:fldCharType="separate"/>
            </w:r>
            <w:r w:rsidRPr="00F33674">
              <w:rPr>
                <w:rFonts w:ascii="Arial Narrow" w:hAnsi="Arial Narrow" w:cs="Arial"/>
                <w:sz w:val="20"/>
                <w:szCs w:val="20"/>
              </w:rPr>
              <w:fldChar w:fldCharType="end"/>
            </w:r>
            <w:r w:rsidRPr="00F33674">
              <w:rPr>
                <w:rFonts w:ascii="Arial Narrow" w:hAnsi="Arial Narrow" w:cs="Arial"/>
                <w:sz w:val="20"/>
                <w:szCs w:val="20"/>
              </w:rPr>
              <w:t>Authority Required – In Writing</w:t>
            </w:r>
          </w:p>
          <w:p w14:paraId="7CDF4027" w14:textId="77777777" w:rsidR="007313C2" w:rsidRPr="00F33674" w:rsidRDefault="007313C2" w:rsidP="007313C2">
            <w:pPr>
              <w:rPr>
                <w:rFonts w:ascii="Arial Narrow" w:hAnsi="Arial Narrow" w:cs="Arial"/>
                <w:sz w:val="20"/>
                <w:szCs w:val="20"/>
              </w:rPr>
            </w:pPr>
            <w:r w:rsidRPr="00F33674">
              <w:rPr>
                <w:rFonts w:ascii="Arial Narrow" w:hAnsi="Arial Narrow" w:cs="Arial"/>
                <w:sz w:val="20"/>
                <w:szCs w:val="20"/>
              </w:rPr>
              <w:fldChar w:fldCharType="begin">
                <w:ffData>
                  <w:name w:val=""/>
                  <w:enabled/>
                  <w:calcOnExit w:val="0"/>
                  <w:checkBox>
                    <w:sizeAuto/>
                    <w:default w:val="1"/>
                  </w:checkBox>
                </w:ffData>
              </w:fldChar>
            </w:r>
            <w:r w:rsidRPr="00F33674">
              <w:rPr>
                <w:rFonts w:ascii="Arial Narrow" w:hAnsi="Arial Narrow" w:cs="Arial"/>
                <w:sz w:val="20"/>
                <w:szCs w:val="20"/>
              </w:rPr>
              <w:instrText xml:space="preserve"> FORMCHECKBOX </w:instrText>
            </w:r>
            <w:r w:rsidR="00233D13">
              <w:rPr>
                <w:rFonts w:ascii="Arial Narrow" w:hAnsi="Arial Narrow" w:cs="Arial"/>
                <w:sz w:val="20"/>
                <w:szCs w:val="20"/>
              </w:rPr>
            </w:r>
            <w:r w:rsidR="00233D13">
              <w:rPr>
                <w:rFonts w:ascii="Arial Narrow" w:hAnsi="Arial Narrow" w:cs="Arial"/>
                <w:sz w:val="20"/>
                <w:szCs w:val="20"/>
              </w:rPr>
              <w:fldChar w:fldCharType="separate"/>
            </w:r>
            <w:r w:rsidRPr="00F33674">
              <w:rPr>
                <w:rFonts w:ascii="Arial Narrow" w:hAnsi="Arial Narrow" w:cs="Arial"/>
                <w:sz w:val="20"/>
                <w:szCs w:val="20"/>
              </w:rPr>
              <w:fldChar w:fldCharType="end"/>
            </w:r>
            <w:r w:rsidRPr="00F33674">
              <w:rPr>
                <w:rFonts w:ascii="Arial Narrow" w:hAnsi="Arial Narrow" w:cs="Arial"/>
                <w:sz w:val="20"/>
                <w:szCs w:val="20"/>
              </w:rPr>
              <w:t>Authority Required – Telephone/Electronic/Emergency</w:t>
            </w:r>
          </w:p>
          <w:p w14:paraId="1B1EC6F7" w14:textId="1BAD1AFF" w:rsidR="007313C2" w:rsidRPr="00F33674" w:rsidRDefault="007313C2" w:rsidP="007313C2">
            <w:pPr>
              <w:rPr>
                <w:rFonts w:ascii="Arial Narrow" w:hAnsi="Arial Narrow" w:cs="Arial"/>
                <w:sz w:val="20"/>
                <w:szCs w:val="20"/>
              </w:rPr>
            </w:pPr>
            <w:r w:rsidRPr="00F33674">
              <w:rPr>
                <w:rFonts w:ascii="Arial Narrow" w:hAnsi="Arial Narrow" w:cs="Arial"/>
                <w:sz w:val="20"/>
                <w:szCs w:val="20"/>
              </w:rPr>
              <w:fldChar w:fldCharType="begin">
                <w:ffData>
                  <w:name w:val=""/>
                  <w:enabled/>
                  <w:calcOnExit w:val="0"/>
                  <w:checkBox>
                    <w:sizeAuto/>
                    <w:default w:val="0"/>
                  </w:checkBox>
                </w:ffData>
              </w:fldChar>
            </w:r>
            <w:r w:rsidRPr="00F33674">
              <w:rPr>
                <w:rFonts w:ascii="Arial Narrow" w:hAnsi="Arial Narrow" w:cs="Arial"/>
                <w:sz w:val="20"/>
                <w:szCs w:val="20"/>
              </w:rPr>
              <w:instrText xml:space="preserve"> FORMCHECKBOX </w:instrText>
            </w:r>
            <w:r w:rsidR="00233D13">
              <w:rPr>
                <w:rFonts w:ascii="Arial Narrow" w:hAnsi="Arial Narrow" w:cs="Arial"/>
                <w:sz w:val="20"/>
                <w:szCs w:val="20"/>
              </w:rPr>
            </w:r>
            <w:r w:rsidR="00233D13">
              <w:rPr>
                <w:rFonts w:ascii="Arial Narrow" w:hAnsi="Arial Narrow" w:cs="Arial"/>
                <w:sz w:val="20"/>
                <w:szCs w:val="20"/>
              </w:rPr>
              <w:fldChar w:fldCharType="separate"/>
            </w:r>
            <w:r w:rsidRPr="00F33674">
              <w:rPr>
                <w:rFonts w:ascii="Arial Narrow" w:hAnsi="Arial Narrow" w:cs="Arial"/>
                <w:sz w:val="20"/>
                <w:szCs w:val="20"/>
              </w:rPr>
              <w:fldChar w:fldCharType="end"/>
            </w:r>
            <w:r w:rsidRPr="00F33674">
              <w:rPr>
                <w:rFonts w:ascii="Arial Narrow" w:hAnsi="Arial Narrow" w:cs="Arial"/>
                <w:sz w:val="20"/>
                <w:szCs w:val="20"/>
              </w:rPr>
              <w:t>Streamlined</w:t>
            </w:r>
          </w:p>
        </w:tc>
      </w:tr>
      <w:tr w:rsidR="007313C2" w:rsidRPr="00F33674" w14:paraId="72DCAC4A" w14:textId="77777777" w:rsidTr="00265869">
        <w:trPr>
          <w:cantSplit/>
          <w:trHeight w:val="360"/>
        </w:trPr>
        <w:tc>
          <w:tcPr>
            <w:tcW w:w="2835" w:type="dxa"/>
            <w:tcBorders>
              <w:top w:val="single" w:sz="4" w:space="0" w:color="auto"/>
              <w:left w:val="single" w:sz="4" w:space="0" w:color="auto"/>
              <w:bottom w:val="single" w:sz="4" w:space="0" w:color="auto"/>
              <w:right w:val="single" w:sz="4" w:space="0" w:color="auto"/>
            </w:tcBorders>
          </w:tcPr>
          <w:p w14:paraId="1E1DEBF7" w14:textId="77777777" w:rsidR="007313C2" w:rsidRPr="00F33674" w:rsidRDefault="007313C2" w:rsidP="00265869">
            <w:pPr>
              <w:rPr>
                <w:rFonts w:ascii="Arial Narrow" w:hAnsi="Arial Narrow" w:cs="Arial"/>
                <w:b/>
                <w:sz w:val="20"/>
                <w:szCs w:val="20"/>
              </w:rPr>
            </w:pPr>
            <w:r>
              <w:rPr>
                <w:rFonts w:ascii="Arial Narrow" w:hAnsi="Arial Narrow" w:cs="Arial"/>
                <w:b/>
                <w:sz w:val="20"/>
                <w:szCs w:val="20"/>
              </w:rPr>
              <w:t>Treatment phase:</w:t>
            </w:r>
          </w:p>
        </w:tc>
        <w:tc>
          <w:tcPr>
            <w:tcW w:w="6379" w:type="dxa"/>
            <w:tcBorders>
              <w:top w:val="single" w:sz="4" w:space="0" w:color="auto"/>
              <w:left w:val="single" w:sz="4" w:space="0" w:color="auto"/>
              <w:bottom w:val="single" w:sz="4" w:space="0" w:color="auto"/>
              <w:right w:val="single" w:sz="4" w:space="0" w:color="auto"/>
            </w:tcBorders>
          </w:tcPr>
          <w:p w14:paraId="7CF234B3" w14:textId="77777777" w:rsidR="007313C2" w:rsidRPr="00F33674" w:rsidRDefault="007313C2" w:rsidP="00265869">
            <w:pPr>
              <w:jc w:val="left"/>
              <w:rPr>
                <w:rFonts w:ascii="Arial Narrow" w:hAnsi="Arial Narrow" w:cs="Arial"/>
                <w:sz w:val="20"/>
                <w:szCs w:val="20"/>
              </w:rPr>
            </w:pPr>
            <w:r w:rsidRPr="002C1329">
              <w:rPr>
                <w:rFonts w:ascii="Arial Narrow" w:hAnsi="Arial Narrow" w:cs="Arial"/>
                <w:sz w:val="20"/>
                <w:szCs w:val="20"/>
              </w:rPr>
              <w:t xml:space="preserve">Initial PBS treatment after 1 June 2020 where patient </w:t>
            </w:r>
            <w:proofErr w:type="gramStart"/>
            <w:r w:rsidRPr="002C1329">
              <w:rPr>
                <w:rFonts w:ascii="Arial Narrow" w:hAnsi="Arial Narrow" w:cs="Arial"/>
                <w:sz w:val="20"/>
                <w:szCs w:val="20"/>
              </w:rPr>
              <w:t>has been treated</w:t>
            </w:r>
            <w:proofErr w:type="gramEnd"/>
            <w:r w:rsidRPr="002C1329">
              <w:rPr>
                <w:rFonts w:ascii="Arial Narrow" w:hAnsi="Arial Narrow" w:cs="Arial"/>
                <w:sz w:val="20"/>
                <w:szCs w:val="20"/>
              </w:rPr>
              <w:t xml:space="preserve"> with opioids for </w:t>
            </w:r>
            <w:r>
              <w:rPr>
                <w:rFonts w:ascii="Arial Narrow" w:hAnsi="Arial Narrow" w:cs="Arial"/>
                <w:sz w:val="20"/>
                <w:szCs w:val="20"/>
              </w:rPr>
              <w:t>more</w:t>
            </w:r>
            <w:r w:rsidRPr="002C1329">
              <w:rPr>
                <w:rFonts w:ascii="Arial Narrow" w:hAnsi="Arial Narrow" w:cs="Arial"/>
                <w:sz w:val="20"/>
                <w:szCs w:val="20"/>
              </w:rPr>
              <w:t xml:space="preserve"> than 12 months</w:t>
            </w:r>
            <w:r>
              <w:rPr>
                <w:rFonts w:ascii="Arial Narrow" w:hAnsi="Arial Narrow" w:cs="Arial"/>
                <w:sz w:val="20"/>
                <w:szCs w:val="20"/>
              </w:rPr>
              <w:t>.</w:t>
            </w:r>
          </w:p>
        </w:tc>
      </w:tr>
      <w:tr w:rsidR="007313C2" w:rsidRPr="00F33674" w14:paraId="7E0BCAD9" w14:textId="77777777" w:rsidTr="00265869">
        <w:trPr>
          <w:cantSplit/>
          <w:trHeight w:val="360"/>
        </w:trPr>
        <w:tc>
          <w:tcPr>
            <w:tcW w:w="2835" w:type="dxa"/>
            <w:tcBorders>
              <w:top w:val="single" w:sz="4" w:space="0" w:color="auto"/>
              <w:left w:val="single" w:sz="4" w:space="0" w:color="auto"/>
              <w:bottom w:val="single" w:sz="4" w:space="0" w:color="auto"/>
              <w:right w:val="single" w:sz="4" w:space="0" w:color="auto"/>
            </w:tcBorders>
          </w:tcPr>
          <w:p w14:paraId="16CA7711" w14:textId="77777777" w:rsidR="007313C2" w:rsidRPr="00F33674" w:rsidRDefault="007313C2" w:rsidP="00265869">
            <w:pPr>
              <w:rPr>
                <w:rFonts w:ascii="Arial Narrow" w:hAnsi="Arial Narrow" w:cs="Arial"/>
                <w:b/>
                <w:sz w:val="20"/>
                <w:szCs w:val="20"/>
              </w:rPr>
            </w:pPr>
            <w:r w:rsidRPr="00F33674">
              <w:rPr>
                <w:rFonts w:ascii="Arial Narrow" w:hAnsi="Arial Narrow" w:cs="Arial"/>
                <w:b/>
                <w:sz w:val="20"/>
                <w:szCs w:val="20"/>
              </w:rPr>
              <w:t>Clinical criteria:</w:t>
            </w:r>
          </w:p>
        </w:tc>
        <w:tc>
          <w:tcPr>
            <w:tcW w:w="6379" w:type="dxa"/>
            <w:tcBorders>
              <w:top w:val="single" w:sz="4" w:space="0" w:color="auto"/>
              <w:left w:val="single" w:sz="4" w:space="0" w:color="auto"/>
              <w:bottom w:val="single" w:sz="4" w:space="0" w:color="auto"/>
              <w:right w:val="single" w:sz="4" w:space="0" w:color="auto"/>
            </w:tcBorders>
          </w:tcPr>
          <w:p w14:paraId="7046751B" w14:textId="77777777" w:rsidR="007313C2" w:rsidRPr="00F33674" w:rsidRDefault="007313C2" w:rsidP="00265869">
            <w:pPr>
              <w:jc w:val="left"/>
              <w:rPr>
                <w:rFonts w:ascii="Arial Narrow" w:hAnsi="Arial Narrow" w:cs="Arial"/>
                <w:sz w:val="20"/>
                <w:szCs w:val="20"/>
              </w:rPr>
            </w:pPr>
            <w:r w:rsidRPr="00F33674">
              <w:rPr>
                <w:rFonts w:ascii="Arial Narrow" w:hAnsi="Arial Narrow" w:cs="Arial"/>
                <w:sz w:val="20"/>
                <w:szCs w:val="20"/>
              </w:rPr>
              <w:t xml:space="preserve">[new] The condition must require daily, continuous, long term </w:t>
            </w:r>
            <w:r>
              <w:rPr>
                <w:rFonts w:ascii="Arial Narrow" w:hAnsi="Arial Narrow" w:cs="Arial"/>
                <w:sz w:val="20"/>
                <w:szCs w:val="20"/>
              </w:rPr>
              <w:t>opioid</w:t>
            </w:r>
            <w:r w:rsidRPr="00F33674">
              <w:rPr>
                <w:rFonts w:ascii="Arial Narrow" w:hAnsi="Arial Narrow" w:cs="Arial"/>
                <w:sz w:val="20"/>
                <w:szCs w:val="20"/>
              </w:rPr>
              <w:t xml:space="preserve"> treatment</w:t>
            </w:r>
          </w:p>
          <w:p w14:paraId="5A0773E9" w14:textId="77777777" w:rsidR="007313C2" w:rsidRPr="00F33674" w:rsidRDefault="007313C2" w:rsidP="00265869">
            <w:pPr>
              <w:jc w:val="left"/>
              <w:rPr>
                <w:rFonts w:ascii="Arial Narrow" w:hAnsi="Arial Narrow" w:cs="Arial"/>
                <w:sz w:val="20"/>
                <w:szCs w:val="20"/>
              </w:rPr>
            </w:pPr>
          </w:p>
          <w:p w14:paraId="6AF68915" w14:textId="77777777" w:rsidR="007313C2" w:rsidRPr="00F33674" w:rsidRDefault="007313C2" w:rsidP="00265869">
            <w:pPr>
              <w:jc w:val="left"/>
              <w:rPr>
                <w:rFonts w:ascii="Arial Narrow" w:hAnsi="Arial Narrow" w:cs="Arial"/>
                <w:sz w:val="20"/>
                <w:szCs w:val="20"/>
              </w:rPr>
            </w:pPr>
            <w:r w:rsidRPr="00F33674">
              <w:rPr>
                <w:rFonts w:ascii="Arial Narrow" w:hAnsi="Arial Narrow" w:cs="Arial"/>
                <w:sz w:val="20"/>
                <w:szCs w:val="20"/>
              </w:rPr>
              <w:t>AND</w:t>
            </w:r>
          </w:p>
          <w:p w14:paraId="0EF5E9DC" w14:textId="77777777" w:rsidR="007313C2" w:rsidRPr="00F33674" w:rsidRDefault="007313C2" w:rsidP="00265869">
            <w:pPr>
              <w:jc w:val="left"/>
              <w:rPr>
                <w:rFonts w:ascii="Arial Narrow" w:hAnsi="Arial Narrow" w:cs="Arial"/>
                <w:sz w:val="20"/>
                <w:szCs w:val="20"/>
              </w:rPr>
            </w:pPr>
          </w:p>
          <w:p w14:paraId="0B1960E3" w14:textId="77777777" w:rsidR="007313C2" w:rsidRPr="00F33674" w:rsidRDefault="007313C2" w:rsidP="00265869">
            <w:pPr>
              <w:jc w:val="left"/>
              <w:rPr>
                <w:rFonts w:ascii="Arial Narrow" w:hAnsi="Arial Narrow" w:cs="Arial"/>
                <w:sz w:val="20"/>
                <w:szCs w:val="20"/>
              </w:rPr>
            </w:pPr>
            <w:r w:rsidRPr="00F33674">
              <w:rPr>
                <w:rFonts w:ascii="Arial Narrow" w:hAnsi="Arial Narrow" w:cs="Arial"/>
                <w:sz w:val="20"/>
                <w:szCs w:val="20"/>
              </w:rPr>
              <w:t xml:space="preserve">[18096] Patient must </w:t>
            </w:r>
            <w:r>
              <w:rPr>
                <w:rFonts w:ascii="Arial Narrow" w:hAnsi="Arial Narrow" w:cs="Arial"/>
                <w:sz w:val="20"/>
                <w:szCs w:val="20"/>
              </w:rPr>
              <w:t xml:space="preserve">have </w:t>
            </w:r>
            <w:r w:rsidRPr="00F33674">
              <w:rPr>
                <w:rFonts w:ascii="Arial Narrow" w:hAnsi="Arial Narrow" w:cs="Arial"/>
                <w:sz w:val="20"/>
                <w:szCs w:val="20"/>
              </w:rPr>
              <w:t>cancer</w:t>
            </w:r>
            <w:r>
              <w:rPr>
                <w:rFonts w:ascii="Arial Narrow" w:hAnsi="Arial Narrow" w:cs="Arial"/>
                <w:sz w:val="20"/>
                <w:szCs w:val="20"/>
              </w:rPr>
              <w:t xml:space="preserve"> pain</w:t>
            </w:r>
          </w:p>
          <w:p w14:paraId="67A68E46" w14:textId="77777777" w:rsidR="007313C2" w:rsidRPr="00F33674" w:rsidRDefault="007313C2" w:rsidP="00265869">
            <w:pPr>
              <w:jc w:val="left"/>
              <w:rPr>
                <w:rFonts w:ascii="Arial Narrow" w:hAnsi="Arial Narrow" w:cs="Arial"/>
                <w:sz w:val="20"/>
                <w:szCs w:val="20"/>
              </w:rPr>
            </w:pPr>
            <w:r w:rsidRPr="00F33674">
              <w:rPr>
                <w:rFonts w:ascii="Arial Narrow" w:hAnsi="Arial Narrow" w:cs="Arial"/>
                <w:sz w:val="20"/>
                <w:szCs w:val="20"/>
              </w:rPr>
              <w:t>OR</w:t>
            </w:r>
          </w:p>
          <w:p w14:paraId="7BACFAE7" w14:textId="77777777" w:rsidR="007313C2" w:rsidRPr="00F33674" w:rsidRDefault="007313C2" w:rsidP="00265869">
            <w:pPr>
              <w:jc w:val="left"/>
              <w:rPr>
                <w:rFonts w:ascii="Arial Narrow" w:hAnsi="Arial Narrow" w:cs="Arial"/>
                <w:sz w:val="20"/>
                <w:szCs w:val="20"/>
              </w:rPr>
            </w:pPr>
            <w:r w:rsidRPr="00F33674">
              <w:rPr>
                <w:rFonts w:ascii="Arial Narrow" w:hAnsi="Arial Narrow" w:cs="Arial"/>
                <w:sz w:val="20"/>
                <w:szCs w:val="20"/>
              </w:rPr>
              <w:t>[new] Patient must have</w:t>
            </w:r>
            <w:r>
              <w:rPr>
                <w:rFonts w:ascii="Arial Narrow" w:hAnsi="Arial Narrow" w:cs="Arial"/>
                <w:sz w:val="20"/>
                <w:szCs w:val="20"/>
              </w:rPr>
              <w:t xml:space="preserve"> had or would have</w:t>
            </w:r>
            <w:r w:rsidRPr="00F33674">
              <w:rPr>
                <w:rFonts w:ascii="Arial Narrow" w:hAnsi="Arial Narrow" w:cs="Arial"/>
                <w:sz w:val="20"/>
                <w:szCs w:val="20"/>
              </w:rPr>
              <w:t xml:space="preserve"> inadequate </w:t>
            </w:r>
            <w:r>
              <w:rPr>
                <w:rFonts w:ascii="Arial Narrow" w:hAnsi="Arial Narrow" w:cs="Arial"/>
                <w:sz w:val="20"/>
                <w:szCs w:val="20"/>
              </w:rPr>
              <w:t xml:space="preserve">pain </w:t>
            </w:r>
            <w:r w:rsidRPr="00F33674">
              <w:rPr>
                <w:rFonts w:ascii="Arial Narrow" w:hAnsi="Arial Narrow" w:cs="Arial"/>
                <w:sz w:val="20"/>
                <w:szCs w:val="20"/>
              </w:rPr>
              <w:t xml:space="preserve">management </w:t>
            </w:r>
            <w:r>
              <w:rPr>
                <w:rFonts w:ascii="Arial Narrow" w:hAnsi="Arial Narrow" w:cs="Arial"/>
                <w:sz w:val="20"/>
                <w:szCs w:val="20"/>
              </w:rPr>
              <w:t>with</w:t>
            </w:r>
            <w:r w:rsidRPr="00F33674">
              <w:rPr>
                <w:rFonts w:ascii="Arial Narrow" w:hAnsi="Arial Narrow" w:cs="Arial"/>
                <w:sz w:val="20"/>
                <w:szCs w:val="20"/>
              </w:rPr>
              <w:t xml:space="preserve"> maximum tolerated doses of non-opioid or other opioid analgesics</w:t>
            </w:r>
          </w:p>
          <w:p w14:paraId="36226A34" w14:textId="77777777" w:rsidR="007313C2" w:rsidRPr="00F33674" w:rsidRDefault="007313C2" w:rsidP="00265869">
            <w:pPr>
              <w:jc w:val="left"/>
              <w:rPr>
                <w:rFonts w:ascii="Arial Narrow" w:hAnsi="Arial Narrow" w:cs="Arial"/>
                <w:sz w:val="20"/>
                <w:szCs w:val="20"/>
              </w:rPr>
            </w:pPr>
            <w:r w:rsidRPr="00F33674">
              <w:rPr>
                <w:rFonts w:ascii="Arial Narrow" w:hAnsi="Arial Narrow" w:cs="Arial"/>
                <w:sz w:val="20"/>
                <w:szCs w:val="20"/>
              </w:rPr>
              <w:t>OR</w:t>
            </w:r>
          </w:p>
          <w:p w14:paraId="61511126" w14:textId="77777777" w:rsidR="007313C2" w:rsidRPr="00F33674" w:rsidRDefault="007313C2" w:rsidP="00265869">
            <w:pPr>
              <w:jc w:val="left"/>
              <w:rPr>
                <w:rFonts w:ascii="Arial Narrow" w:hAnsi="Arial Narrow" w:cs="Arial"/>
                <w:sz w:val="20"/>
                <w:szCs w:val="20"/>
              </w:rPr>
            </w:pPr>
            <w:r w:rsidRPr="00F33674">
              <w:rPr>
                <w:rFonts w:ascii="Arial Narrow" w:hAnsi="Arial Narrow" w:cs="Arial"/>
                <w:sz w:val="20"/>
                <w:szCs w:val="20"/>
              </w:rPr>
              <w:t>[new] Patient must be unable to use non-opioid or other opioid analgesics due to contraindications or intolerance.</w:t>
            </w:r>
          </w:p>
        </w:tc>
      </w:tr>
      <w:tr w:rsidR="007313C2" w:rsidRPr="00F33674" w14:paraId="711A8904" w14:textId="77777777" w:rsidTr="00265869">
        <w:trPr>
          <w:cantSplit/>
          <w:trHeight w:val="360"/>
        </w:trPr>
        <w:tc>
          <w:tcPr>
            <w:tcW w:w="2835" w:type="dxa"/>
            <w:tcBorders>
              <w:top w:val="single" w:sz="4" w:space="0" w:color="auto"/>
              <w:left w:val="single" w:sz="4" w:space="0" w:color="auto"/>
              <w:bottom w:val="single" w:sz="4" w:space="0" w:color="auto"/>
              <w:right w:val="single" w:sz="4" w:space="0" w:color="auto"/>
            </w:tcBorders>
          </w:tcPr>
          <w:p w14:paraId="2571E430" w14:textId="77777777" w:rsidR="007313C2" w:rsidRPr="00F33674" w:rsidRDefault="007313C2" w:rsidP="00265869">
            <w:pPr>
              <w:rPr>
                <w:rFonts w:ascii="Arial Narrow" w:hAnsi="Arial Narrow" w:cs="Arial"/>
                <w:b/>
                <w:sz w:val="20"/>
                <w:szCs w:val="20"/>
              </w:rPr>
            </w:pPr>
            <w:r w:rsidRPr="00F33674">
              <w:rPr>
                <w:rFonts w:ascii="Arial Narrow" w:hAnsi="Arial Narrow" w:cs="Arial"/>
                <w:b/>
                <w:sz w:val="20"/>
                <w:szCs w:val="20"/>
              </w:rPr>
              <w:lastRenderedPageBreak/>
              <w:t>Prescriber instruction:</w:t>
            </w:r>
          </w:p>
        </w:tc>
        <w:tc>
          <w:tcPr>
            <w:tcW w:w="6379" w:type="dxa"/>
            <w:tcBorders>
              <w:top w:val="single" w:sz="4" w:space="0" w:color="auto"/>
              <w:left w:val="single" w:sz="4" w:space="0" w:color="auto"/>
              <w:bottom w:val="single" w:sz="4" w:space="0" w:color="auto"/>
              <w:right w:val="single" w:sz="4" w:space="0" w:color="auto"/>
            </w:tcBorders>
          </w:tcPr>
          <w:p w14:paraId="1D4BDAEF" w14:textId="77777777" w:rsidR="007313C2" w:rsidRPr="002C1329" w:rsidRDefault="007313C2" w:rsidP="00265869">
            <w:pPr>
              <w:jc w:val="left"/>
              <w:rPr>
                <w:rFonts w:ascii="Arial Narrow" w:hAnsi="Arial Narrow" w:cs="Arial"/>
                <w:sz w:val="20"/>
                <w:szCs w:val="20"/>
              </w:rPr>
            </w:pPr>
            <w:r w:rsidRPr="00F33674">
              <w:rPr>
                <w:rFonts w:ascii="Arial Narrow" w:hAnsi="Arial Narrow" w:cs="Arial"/>
                <w:sz w:val="20"/>
                <w:szCs w:val="20"/>
              </w:rPr>
              <w:t xml:space="preserve">[new] </w:t>
            </w:r>
            <w:r w:rsidRPr="002C1329">
              <w:rPr>
                <w:rFonts w:ascii="Arial Narrow" w:hAnsi="Arial Narrow" w:cs="Arial"/>
                <w:sz w:val="20"/>
                <w:szCs w:val="20"/>
              </w:rPr>
              <w:t>Authorities for increased maximum quantities and/or repeats must only be considered for chronic severe disabling pain where the total duration of non-PBS and PBS opioid analgesic treatment:</w:t>
            </w:r>
          </w:p>
          <w:p w14:paraId="021ABFF8" w14:textId="77777777" w:rsidR="007313C2" w:rsidRPr="002C1329" w:rsidRDefault="007313C2" w:rsidP="00265869">
            <w:pPr>
              <w:jc w:val="left"/>
              <w:rPr>
                <w:rFonts w:ascii="Arial Narrow" w:hAnsi="Arial Narrow" w:cs="Arial"/>
                <w:sz w:val="20"/>
                <w:szCs w:val="20"/>
              </w:rPr>
            </w:pPr>
            <w:r w:rsidRPr="002C1329">
              <w:rPr>
                <w:rFonts w:ascii="Arial Narrow" w:hAnsi="Arial Narrow" w:cs="Arial"/>
                <w:sz w:val="20"/>
                <w:szCs w:val="20"/>
              </w:rPr>
              <w:t>(i) exceeds 12 months and the palliative care patient is unable to have annual pain management review due to their clinical condition; or</w:t>
            </w:r>
          </w:p>
          <w:p w14:paraId="574348F6" w14:textId="77777777" w:rsidR="007313C2" w:rsidRPr="002C1329" w:rsidRDefault="007313C2" w:rsidP="00265869">
            <w:pPr>
              <w:jc w:val="left"/>
              <w:rPr>
                <w:rFonts w:ascii="Arial Narrow" w:hAnsi="Arial Narrow" w:cs="Arial"/>
                <w:sz w:val="20"/>
                <w:szCs w:val="20"/>
              </w:rPr>
            </w:pPr>
            <w:r w:rsidRPr="002C1329">
              <w:rPr>
                <w:rFonts w:ascii="Arial Narrow" w:hAnsi="Arial Narrow" w:cs="Arial"/>
                <w:sz w:val="20"/>
                <w:szCs w:val="20"/>
              </w:rPr>
              <w:t>(ii) exceeds 12 months and the patient's clinical need for continuing opioid treatment has been confirmed through consultation with the patient by another medical practitioner or a palliative care nurse practitioner in the past 12 months; or</w:t>
            </w:r>
          </w:p>
          <w:p w14:paraId="4B52E43A" w14:textId="77777777" w:rsidR="007313C2" w:rsidRDefault="007313C2" w:rsidP="00265869">
            <w:pPr>
              <w:jc w:val="left"/>
              <w:rPr>
                <w:rFonts w:ascii="Arial Narrow" w:hAnsi="Arial Narrow" w:cs="Arial"/>
                <w:sz w:val="20"/>
                <w:szCs w:val="20"/>
              </w:rPr>
            </w:pPr>
            <w:r w:rsidRPr="002C1329">
              <w:rPr>
                <w:rFonts w:ascii="Arial Narrow" w:hAnsi="Arial Narrow" w:cs="Arial"/>
                <w:sz w:val="20"/>
                <w:szCs w:val="20"/>
              </w:rPr>
              <w:t xml:space="preserve">(iii) </w:t>
            </w:r>
            <w:proofErr w:type="gramStart"/>
            <w:r w:rsidRPr="002C1329">
              <w:rPr>
                <w:rFonts w:ascii="Arial Narrow" w:hAnsi="Arial Narrow" w:cs="Arial"/>
                <w:sz w:val="20"/>
                <w:szCs w:val="20"/>
              </w:rPr>
              <w:t>has</w:t>
            </w:r>
            <w:proofErr w:type="gramEnd"/>
            <w:r w:rsidRPr="002C1329">
              <w:rPr>
                <w:rFonts w:ascii="Arial Narrow" w:hAnsi="Arial Narrow" w:cs="Arial"/>
                <w:sz w:val="20"/>
                <w:szCs w:val="20"/>
              </w:rPr>
              <w:t xml:space="preserve"> exceeded 12 months prior to 1 June 2020 and the patient's clinical need for continuing opioid treatment has not been confirmed through consultation with the patient by another medical practitioner or a palliative care nurse practitioner in the past 12 months, but is planned in the next 3 months.</w:t>
            </w:r>
          </w:p>
          <w:p w14:paraId="460A7444" w14:textId="77777777" w:rsidR="007313C2" w:rsidRDefault="007313C2" w:rsidP="00265869">
            <w:pPr>
              <w:jc w:val="left"/>
              <w:rPr>
                <w:rFonts w:ascii="Arial Narrow" w:hAnsi="Arial Narrow" w:cs="Arial"/>
                <w:sz w:val="20"/>
                <w:szCs w:val="20"/>
              </w:rPr>
            </w:pPr>
          </w:p>
          <w:p w14:paraId="1A1B1D76" w14:textId="77777777" w:rsidR="007313C2" w:rsidRPr="00F33674" w:rsidRDefault="007313C2" w:rsidP="00265869">
            <w:pPr>
              <w:jc w:val="left"/>
              <w:rPr>
                <w:rFonts w:ascii="Arial Narrow" w:hAnsi="Arial Narrow" w:cs="Arial"/>
                <w:sz w:val="20"/>
                <w:szCs w:val="20"/>
              </w:rPr>
            </w:pPr>
            <w:r>
              <w:rPr>
                <w:rFonts w:ascii="Arial Narrow" w:hAnsi="Arial Narrow" w:cs="Arial"/>
                <w:sz w:val="20"/>
                <w:szCs w:val="20"/>
              </w:rPr>
              <w:t xml:space="preserve">[new] </w:t>
            </w:r>
            <w:r w:rsidRPr="009F3089">
              <w:rPr>
                <w:rFonts w:ascii="Arial Narrow" w:hAnsi="Arial Narrow" w:cs="Arial"/>
                <w:sz w:val="20"/>
                <w:szCs w:val="20"/>
              </w:rPr>
              <w:t>Palliative care nurses may conduct annual review under this item for the treatment of palliative care patients only.</w:t>
            </w:r>
          </w:p>
          <w:p w14:paraId="1D45F9A8" w14:textId="77777777" w:rsidR="007313C2" w:rsidRPr="00F33674" w:rsidRDefault="007313C2" w:rsidP="00265869">
            <w:pPr>
              <w:jc w:val="left"/>
              <w:rPr>
                <w:rFonts w:ascii="Arial Narrow" w:hAnsi="Arial Narrow" w:cs="Arial"/>
                <w:sz w:val="20"/>
                <w:szCs w:val="20"/>
              </w:rPr>
            </w:pPr>
          </w:p>
          <w:p w14:paraId="208767F1" w14:textId="77777777" w:rsidR="007313C2" w:rsidRPr="00F33674" w:rsidRDefault="007313C2" w:rsidP="00265869">
            <w:pPr>
              <w:jc w:val="left"/>
              <w:rPr>
                <w:rFonts w:ascii="Arial Narrow" w:hAnsi="Arial Narrow" w:cs="Arial"/>
                <w:sz w:val="20"/>
                <w:szCs w:val="20"/>
              </w:rPr>
            </w:pPr>
            <w:r w:rsidRPr="00F33674">
              <w:rPr>
                <w:rFonts w:ascii="Arial Narrow" w:hAnsi="Arial Narrow" w:cs="Arial"/>
                <w:sz w:val="20"/>
                <w:szCs w:val="20"/>
              </w:rPr>
              <w:t>[new] Authority requests extending treatment duration up to 1 month may be requested though the Online PBS Authorities system or by calling Services Australia.</w:t>
            </w:r>
          </w:p>
          <w:p w14:paraId="05AB4E17" w14:textId="77777777" w:rsidR="007313C2" w:rsidRPr="00F33674" w:rsidRDefault="007313C2" w:rsidP="00265869">
            <w:pPr>
              <w:jc w:val="left"/>
              <w:rPr>
                <w:rFonts w:ascii="Arial Narrow" w:hAnsi="Arial Narrow" w:cs="Arial"/>
                <w:sz w:val="20"/>
                <w:szCs w:val="20"/>
              </w:rPr>
            </w:pPr>
          </w:p>
          <w:p w14:paraId="17DF6B0D" w14:textId="77777777" w:rsidR="007313C2" w:rsidRPr="00F33674" w:rsidRDefault="007313C2" w:rsidP="00265869">
            <w:pPr>
              <w:jc w:val="left"/>
              <w:rPr>
                <w:rFonts w:ascii="Arial Narrow" w:hAnsi="Arial Narrow" w:cs="Arial"/>
                <w:sz w:val="20"/>
                <w:szCs w:val="20"/>
              </w:rPr>
            </w:pPr>
            <w:r w:rsidRPr="00F33674">
              <w:rPr>
                <w:rFonts w:ascii="Arial Narrow" w:hAnsi="Arial Narrow" w:cs="Arial"/>
                <w:sz w:val="20"/>
                <w:szCs w:val="20"/>
              </w:rPr>
              <w:t xml:space="preserve">Authority requests extending treatment duration beyond 1 month </w:t>
            </w:r>
            <w:r w:rsidRPr="002C1329">
              <w:rPr>
                <w:rFonts w:ascii="Arial Narrow" w:hAnsi="Arial Narrow" w:cs="Arial"/>
                <w:sz w:val="20"/>
                <w:szCs w:val="20"/>
              </w:rPr>
              <w:t>may be requested through the Online PBS Authorities system</w:t>
            </w:r>
            <w:r w:rsidRPr="00F33674">
              <w:rPr>
                <w:rFonts w:ascii="Arial Narrow" w:hAnsi="Arial Narrow" w:cs="Arial"/>
                <w:sz w:val="20"/>
                <w:szCs w:val="20"/>
              </w:rPr>
              <w:t xml:space="preserve"> or in writing only and must not provide a treatment duration exceeding 3 months</w:t>
            </w:r>
            <w:r>
              <w:rPr>
                <w:rFonts w:ascii="Arial Narrow" w:hAnsi="Arial Narrow" w:cs="Arial"/>
                <w:sz w:val="20"/>
                <w:szCs w:val="20"/>
              </w:rPr>
              <w:t xml:space="preserve"> (</w:t>
            </w:r>
            <w:r w:rsidRPr="002C1329">
              <w:rPr>
                <w:rFonts w:ascii="Arial Narrow" w:hAnsi="Arial Narrow" w:cs="Arial"/>
                <w:sz w:val="20"/>
                <w:szCs w:val="20"/>
              </w:rPr>
              <w:t xml:space="preserve">quantity sufficient for up to </w:t>
            </w:r>
            <w:proofErr w:type="gramStart"/>
            <w:r w:rsidRPr="002C1329">
              <w:rPr>
                <w:rFonts w:ascii="Arial Narrow" w:hAnsi="Arial Narrow" w:cs="Arial"/>
                <w:sz w:val="20"/>
                <w:szCs w:val="20"/>
              </w:rPr>
              <w:t>1 month</w:t>
            </w:r>
            <w:proofErr w:type="gramEnd"/>
            <w:r w:rsidRPr="002C1329">
              <w:rPr>
                <w:rFonts w:ascii="Arial Narrow" w:hAnsi="Arial Narrow" w:cs="Arial"/>
                <w:sz w:val="20"/>
                <w:szCs w:val="20"/>
              </w:rPr>
              <w:t xml:space="preserve"> treatment and sufficient repeats)</w:t>
            </w:r>
            <w:r w:rsidRPr="00F33674">
              <w:rPr>
                <w:rFonts w:ascii="Arial Narrow" w:hAnsi="Arial Narrow" w:cs="Arial"/>
                <w:sz w:val="20"/>
                <w:szCs w:val="20"/>
              </w:rPr>
              <w:t>.</w:t>
            </w:r>
          </w:p>
        </w:tc>
      </w:tr>
      <w:tr w:rsidR="007313C2" w:rsidRPr="00F33674" w14:paraId="4BB243C6" w14:textId="77777777" w:rsidTr="00265869">
        <w:trPr>
          <w:cantSplit/>
          <w:trHeight w:val="360"/>
        </w:trPr>
        <w:tc>
          <w:tcPr>
            <w:tcW w:w="2835" w:type="dxa"/>
            <w:tcBorders>
              <w:top w:val="single" w:sz="4" w:space="0" w:color="auto"/>
              <w:left w:val="single" w:sz="4" w:space="0" w:color="auto"/>
              <w:bottom w:val="single" w:sz="4" w:space="0" w:color="auto"/>
              <w:right w:val="single" w:sz="4" w:space="0" w:color="auto"/>
            </w:tcBorders>
          </w:tcPr>
          <w:p w14:paraId="2207609B" w14:textId="77777777" w:rsidR="007313C2" w:rsidRPr="00F33674" w:rsidRDefault="007313C2" w:rsidP="00265869">
            <w:pPr>
              <w:rPr>
                <w:rFonts w:ascii="Arial Narrow" w:hAnsi="Arial Narrow" w:cs="Arial"/>
                <w:b/>
                <w:sz w:val="20"/>
                <w:szCs w:val="20"/>
              </w:rPr>
            </w:pPr>
            <w:r w:rsidRPr="00F33674">
              <w:rPr>
                <w:rFonts w:ascii="Arial Narrow" w:hAnsi="Arial Narrow" w:cs="Arial"/>
                <w:b/>
                <w:sz w:val="20"/>
                <w:szCs w:val="20"/>
              </w:rPr>
              <w:t>Administrative advice:</w:t>
            </w:r>
          </w:p>
        </w:tc>
        <w:tc>
          <w:tcPr>
            <w:tcW w:w="6379" w:type="dxa"/>
            <w:tcBorders>
              <w:top w:val="single" w:sz="4" w:space="0" w:color="auto"/>
              <w:left w:val="single" w:sz="4" w:space="0" w:color="auto"/>
              <w:bottom w:val="single" w:sz="4" w:space="0" w:color="auto"/>
              <w:right w:val="single" w:sz="4" w:space="0" w:color="auto"/>
            </w:tcBorders>
          </w:tcPr>
          <w:p w14:paraId="1011E16B" w14:textId="77777777" w:rsidR="007313C2" w:rsidRPr="00F33674" w:rsidRDefault="007313C2" w:rsidP="00265869">
            <w:pPr>
              <w:jc w:val="left"/>
              <w:rPr>
                <w:rFonts w:ascii="Arial Narrow" w:hAnsi="Arial Narrow" w:cs="Arial"/>
                <w:sz w:val="20"/>
                <w:szCs w:val="20"/>
              </w:rPr>
            </w:pPr>
            <w:r w:rsidRPr="00F33674">
              <w:rPr>
                <w:rFonts w:ascii="Arial Narrow" w:hAnsi="Arial Narrow" w:cs="Arial"/>
                <w:sz w:val="20"/>
                <w:szCs w:val="20"/>
              </w:rPr>
              <w:t>[new] This treatment is not suitable for ‘as-required’ pain relief.</w:t>
            </w:r>
          </w:p>
          <w:p w14:paraId="190187D0" w14:textId="77777777" w:rsidR="007313C2" w:rsidRPr="00F33674" w:rsidRDefault="007313C2" w:rsidP="00265869">
            <w:pPr>
              <w:jc w:val="left"/>
              <w:rPr>
                <w:rFonts w:ascii="Arial Narrow" w:hAnsi="Arial Narrow" w:cs="Arial"/>
                <w:sz w:val="20"/>
                <w:szCs w:val="20"/>
              </w:rPr>
            </w:pPr>
          </w:p>
          <w:p w14:paraId="6AC3E40B" w14:textId="77777777" w:rsidR="007313C2" w:rsidRPr="00F33674" w:rsidRDefault="007313C2" w:rsidP="00265869">
            <w:pPr>
              <w:jc w:val="left"/>
              <w:rPr>
                <w:rFonts w:ascii="Arial Narrow" w:hAnsi="Arial Narrow" w:cs="Arial"/>
                <w:sz w:val="20"/>
                <w:szCs w:val="20"/>
              </w:rPr>
            </w:pPr>
            <w:r w:rsidRPr="00F33674">
              <w:rPr>
                <w:rFonts w:ascii="Arial Narrow" w:hAnsi="Arial Narrow" w:cs="Arial"/>
                <w:sz w:val="20"/>
                <w:szCs w:val="20"/>
              </w:rPr>
              <w:t xml:space="preserve">[7901] Shared Care Model: For prescribing by nurse practitioners where care of a patient </w:t>
            </w:r>
            <w:proofErr w:type="gramStart"/>
            <w:r w:rsidRPr="00F33674">
              <w:rPr>
                <w:rFonts w:ascii="Arial Narrow" w:hAnsi="Arial Narrow" w:cs="Arial"/>
                <w:sz w:val="20"/>
                <w:szCs w:val="20"/>
              </w:rPr>
              <w:t>is shared</w:t>
            </w:r>
            <w:proofErr w:type="gramEnd"/>
            <w:r w:rsidRPr="00F33674">
              <w:rPr>
                <w:rFonts w:ascii="Arial Narrow" w:hAnsi="Arial Narrow" w:cs="Arial"/>
                <w:sz w:val="20"/>
                <w:szCs w:val="20"/>
              </w:rPr>
              <w:t xml:space="preserve"> between a nurse practitioner and medical practitioner in a formalised arrangement with an agreed management plan. Further information </w:t>
            </w:r>
            <w:proofErr w:type="gramStart"/>
            <w:r w:rsidRPr="00F33674">
              <w:rPr>
                <w:rFonts w:ascii="Arial Narrow" w:hAnsi="Arial Narrow" w:cs="Arial"/>
                <w:sz w:val="20"/>
                <w:szCs w:val="20"/>
              </w:rPr>
              <w:t>can be found</w:t>
            </w:r>
            <w:proofErr w:type="gramEnd"/>
            <w:r w:rsidRPr="00F33674">
              <w:rPr>
                <w:rFonts w:ascii="Arial Narrow" w:hAnsi="Arial Narrow" w:cs="Arial"/>
                <w:sz w:val="20"/>
                <w:szCs w:val="20"/>
              </w:rPr>
              <w:t xml:space="preserve"> in the Explanatory Notes for Nurse Practitioners.</w:t>
            </w:r>
          </w:p>
          <w:p w14:paraId="78105DA6" w14:textId="77777777" w:rsidR="007313C2" w:rsidRPr="00F33674" w:rsidRDefault="007313C2" w:rsidP="00265869">
            <w:pPr>
              <w:jc w:val="left"/>
              <w:rPr>
                <w:rFonts w:ascii="Arial Narrow" w:hAnsi="Arial Narrow" w:cs="Arial"/>
                <w:sz w:val="20"/>
                <w:szCs w:val="20"/>
              </w:rPr>
            </w:pPr>
          </w:p>
          <w:p w14:paraId="26E59979" w14:textId="77777777" w:rsidR="007313C2" w:rsidRPr="00F33674" w:rsidRDefault="007313C2" w:rsidP="00265869">
            <w:pPr>
              <w:jc w:val="left"/>
              <w:rPr>
                <w:rFonts w:ascii="Arial Narrow" w:hAnsi="Arial Narrow" w:cs="Arial"/>
                <w:sz w:val="20"/>
                <w:szCs w:val="20"/>
              </w:rPr>
            </w:pPr>
            <w:r w:rsidRPr="00F33674">
              <w:rPr>
                <w:rFonts w:ascii="Arial Narrow" w:hAnsi="Arial Narrow" w:cs="Arial"/>
                <w:sz w:val="20"/>
                <w:szCs w:val="20"/>
              </w:rPr>
              <w:t>[new] Real time online applications for increased maximum quantities/repeats may be made using the Online PBS Authorities system (see www.servicesaustralia.gov.au/organisations/health-professionals/services/medicare/hpos/services/request-authority-using-online-pbs-authorities-hpos)</w:t>
            </w:r>
          </w:p>
          <w:p w14:paraId="513D8DA6" w14:textId="77777777" w:rsidR="007313C2" w:rsidRPr="00F33674" w:rsidRDefault="007313C2" w:rsidP="00265869">
            <w:pPr>
              <w:jc w:val="left"/>
              <w:rPr>
                <w:rFonts w:ascii="Arial Narrow" w:hAnsi="Arial Narrow" w:cs="Arial"/>
                <w:sz w:val="20"/>
                <w:szCs w:val="20"/>
              </w:rPr>
            </w:pPr>
          </w:p>
          <w:p w14:paraId="416FF937" w14:textId="77777777" w:rsidR="007313C2" w:rsidRPr="00F33674" w:rsidRDefault="007313C2" w:rsidP="00265869">
            <w:pPr>
              <w:jc w:val="left"/>
              <w:rPr>
                <w:rFonts w:ascii="Arial Narrow" w:hAnsi="Arial Narrow" w:cs="Arial"/>
                <w:sz w:val="20"/>
                <w:szCs w:val="20"/>
              </w:rPr>
            </w:pPr>
            <w:r w:rsidRPr="00F33674">
              <w:rPr>
                <w:rFonts w:ascii="Arial Narrow" w:hAnsi="Arial Narrow" w:cs="Arial"/>
                <w:sz w:val="20"/>
                <w:szCs w:val="20"/>
              </w:rPr>
              <w:t>Phone applications for increased maximum quantities/repeats may be made by calling 1800 888 333.</w:t>
            </w:r>
          </w:p>
          <w:p w14:paraId="7FB879A2" w14:textId="77777777" w:rsidR="007313C2" w:rsidRPr="00F33674" w:rsidRDefault="007313C2" w:rsidP="00265869">
            <w:pPr>
              <w:jc w:val="left"/>
              <w:rPr>
                <w:rFonts w:ascii="Arial Narrow" w:hAnsi="Arial Narrow" w:cs="Arial"/>
                <w:sz w:val="20"/>
                <w:szCs w:val="20"/>
              </w:rPr>
            </w:pPr>
          </w:p>
          <w:p w14:paraId="631F4711" w14:textId="77777777" w:rsidR="007313C2" w:rsidRPr="00F33674" w:rsidRDefault="007313C2" w:rsidP="00265869">
            <w:pPr>
              <w:jc w:val="left"/>
              <w:rPr>
                <w:rFonts w:ascii="Arial Narrow" w:hAnsi="Arial Narrow" w:cs="Arial"/>
                <w:sz w:val="20"/>
                <w:szCs w:val="20"/>
              </w:rPr>
            </w:pPr>
            <w:r w:rsidRPr="00F33674">
              <w:rPr>
                <w:rFonts w:ascii="Arial Narrow" w:hAnsi="Arial Narrow" w:cs="Arial"/>
                <w:sz w:val="20"/>
                <w:szCs w:val="20"/>
              </w:rPr>
              <w:t>Written authority applications for increased maximum quantities/repeats can be uploaded online through HPOS form upload or mailed to:</w:t>
            </w:r>
          </w:p>
          <w:p w14:paraId="41F643E6" w14:textId="77777777" w:rsidR="007313C2" w:rsidRPr="00F33674" w:rsidRDefault="007313C2" w:rsidP="00265869">
            <w:pPr>
              <w:jc w:val="left"/>
              <w:rPr>
                <w:rFonts w:ascii="Arial Narrow" w:hAnsi="Arial Narrow" w:cs="Arial"/>
                <w:sz w:val="20"/>
                <w:szCs w:val="20"/>
              </w:rPr>
            </w:pPr>
            <w:r w:rsidRPr="00F33674">
              <w:rPr>
                <w:rFonts w:ascii="Arial Narrow" w:hAnsi="Arial Narrow" w:cs="Arial"/>
                <w:sz w:val="20"/>
                <w:szCs w:val="20"/>
              </w:rPr>
              <w:t>Pharmaceutical Benefits Scheme</w:t>
            </w:r>
          </w:p>
          <w:p w14:paraId="1F97978A" w14:textId="77777777" w:rsidR="007313C2" w:rsidRPr="00F33674" w:rsidRDefault="007313C2" w:rsidP="00265869">
            <w:pPr>
              <w:jc w:val="left"/>
              <w:rPr>
                <w:rFonts w:ascii="Arial Narrow" w:hAnsi="Arial Narrow" w:cs="Arial"/>
                <w:sz w:val="20"/>
                <w:szCs w:val="20"/>
              </w:rPr>
            </w:pPr>
            <w:r w:rsidRPr="00F33674">
              <w:rPr>
                <w:rFonts w:ascii="Arial Narrow" w:hAnsi="Arial Narrow" w:cs="Arial"/>
                <w:sz w:val="20"/>
                <w:szCs w:val="20"/>
              </w:rPr>
              <w:t>Reply Paid 9857</w:t>
            </w:r>
          </w:p>
          <w:p w14:paraId="159D3977" w14:textId="77777777" w:rsidR="007313C2" w:rsidRPr="00F33674" w:rsidRDefault="007313C2" w:rsidP="00265869">
            <w:pPr>
              <w:jc w:val="left"/>
              <w:rPr>
                <w:rFonts w:ascii="Arial Narrow" w:hAnsi="Arial Narrow" w:cs="Arial"/>
                <w:i/>
                <w:sz w:val="20"/>
                <w:szCs w:val="20"/>
              </w:rPr>
            </w:pPr>
            <w:r w:rsidRPr="00F33674">
              <w:rPr>
                <w:rFonts w:ascii="Arial Narrow" w:hAnsi="Arial Narrow" w:cs="Arial"/>
                <w:sz w:val="20"/>
                <w:szCs w:val="20"/>
              </w:rPr>
              <w:t>[Your capital city]</w:t>
            </w:r>
          </w:p>
        </w:tc>
      </w:tr>
      <w:tr w:rsidR="007313C2" w:rsidRPr="00F33674" w14:paraId="7432388E" w14:textId="77777777" w:rsidTr="00265869">
        <w:trPr>
          <w:cantSplit/>
          <w:trHeight w:val="360"/>
        </w:trPr>
        <w:tc>
          <w:tcPr>
            <w:tcW w:w="2835" w:type="dxa"/>
            <w:tcBorders>
              <w:top w:val="single" w:sz="4" w:space="0" w:color="auto"/>
              <w:left w:val="single" w:sz="4" w:space="0" w:color="auto"/>
              <w:bottom w:val="single" w:sz="4" w:space="0" w:color="auto"/>
              <w:right w:val="single" w:sz="4" w:space="0" w:color="auto"/>
            </w:tcBorders>
          </w:tcPr>
          <w:p w14:paraId="10DEEFF4" w14:textId="77777777" w:rsidR="007313C2" w:rsidRPr="00F33674" w:rsidRDefault="007313C2" w:rsidP="00265869">
            <w:pPr>
              <w:rPr>
                <w:rFonts w:ascii="Arial Narrow" w:hAnsi="Arial Narrow" w:cs="Arial"/>
                <w:b/>
                <w:sz w:val="20"/>
                <w:szCs w:val="20"/>
              </w:rPr>
            </w:pPr>
            <w:r w:rsidRPr="00F33674">
              <w:rPr>
                <w:rFonts w:ascii="Arial Narrow" w:hAnsi="Arial Narrow" w:cs="Arial"/>
                <w:b/>
                <w:sz w:val="20"/>
                <w:szCs w:val="20"/>
              </w:rPr>
              <w:t>Cautions:</w:t>
            </w:r>
          </w:p>
        </w:tc>
        <w:tc>
          <w:tcPr>
            <w:tcW w:w="6379" w:type="dxa"/>
            <w:tcBorders>
              <w:top w:val="single" w:sz="4" w:space="0" w:color="auto"/>
              <w:left w:val="single" w:sz="4" w:space="0" w:color="auto"/>
              <w:bottom w:val="single" w:sz="4" w:space="0" w:color="auto"/>
              <w:right w:val="single" w:sz="4" w:space="0" w:color="auto"/>
            </w:tcBorders>
          </w:tcPr>
          <w:p w14:paraId="53A82221" w14:textId="77777777" w:rsidR="007313C2" w:rsidRPr="00F33674" w:rsidRDefault="007313C2" w:rsidP="00265869">
            <w:pPr>
              <w:jc w:val="left"/>
              <w:rPr>
                <w:rFonts w:ascii="Arial Narrow" w:hAnsi="Arial Narrow" w:cs="Arial"/>
                <w:sz w:val="20"/>
                <w:szCs w:val="20"/>
              </w:rPr>
            </w:pPr>
            <w:r w:rsidRPr="00F33674">
              <w:rPr>
                <w:rFonts w:ascii="Arial Narrow" w:hAnsi="Arial Narrow" w:cs="Arial"/>
                <w:sz w:val="20"/>
                <w:szCs w:val="20"/>
              </w:rPr>
              <w:t>[6986] The risk of drug dependence is high.</w:t>
            </w:r>
          </w:p>
        </w:tc>
      </w:tr>
    </w:tbl>
    <w:p w14:paraId="45B0A75B" w14:textId="77777777" w:rsidR="007313C2" w:rsidRDefault="007313C2" w:rsidP="007313C2">
      <w:pPr>
        <w:jc w:val="left"/>
      </w:pPr>
    </w:p>
    <w:tbl>
      <w:tblPr>
        <w:tblW w:w="9214" w:type="dxa"/>
        <w:tblInd w:w="-5" w:type="dxa"/>
        <w:tblLayout w:type="fixed"/>
        <w:tblLook w:val="0000" w:firstRow="0" w:lastRow="0" w:firstColumn="0" w:lastColumn="0" w:noHBand="0" w:noVBand="0"/>
      </w:tblPr>
      <w:tblGrid>
        <w:gridCol w:w="2835"/>
        <w:gridCol w:w="6379"/>
      </w:tblGrid>
      <w:tr w:rsidR="007313C2" w:rsidRPr="00F33674" w14:paraId="280FCF07" w14:textId="77777777" w:rsidTr="00265869">
        <w:trPr>
          <w:cantSplit/>
          <w:trHeight w:val="360"/>
        </w:trPr>
        <w:tc>
          <w:tcPr>
            <w:tcW w:w="2835" w:type="dxa"/>
            <w:tcBorders>
              <w:top w:val="single" w:sz="4" w:space="0" w:color="auto"/>
              <w:left w:val="single" w:sz="4" w:space="0" w:color="auto"/>
              <w:bottom w:val="single" w:sz="4" w:space="0" w:color="auto"/>
              <w:right w:val="single" w:sz="4" w:space="0" w:color="auto"/>
            </w:tcBorders>
          </w:tcPr>
          <w:p w14:paraId="25112CFF" w14:textId="33CEAE94" w:rsidR="007313C2" w:rsidRPr="00F33674" w:rsidRDefault="007313C2" w:rsidP="007313C2">
            <w:pPr>
              <w:rPr>
                <w:rFonts w:ascii="Arial Narrow" w:hAnsi="Arial Narrow" w:cs="Arial"/>
                <w:b/>
                <w:sz w:val="20"/>
                <w:szCs w:val="20"/>
              </w:rPr>
            </w:pPr>
            <w:r w:rsidRPr="00F33674">
              <w:rPr>
                <w:rFonts w:ascii="Arial Narrow" w:hAnsi="Arial Narrow" w:cs="Arial"/>
                <w:b/>
                <w:sz w:val="20"/>
                <w:szCs w:val="20"/>
              </w:rPr>
              <w:t>Category / Program:</w:t>
            </w:r>
          </w:p>
        </w:tc>
        <w:tc>
          <w:tcPr>
            <w:tcW w:w="6379" w:type="dxa"/>
            <w:tcBorders>
              <w:top w:val="single" w:sz="4" w:space="0" w:color="auto"/>
              <w:left w:val="single" w:sz="4" w:space="0" w:color="auto"/>
              <w:bottom w:val="single" w:sz="4" w:space="0" w:color="auto"/>
              <w:right w:val="single" w:sz="4" w:space="0" w:color="auto"/>
            </w:tcBorders>
          </w:tcPr>
          <w:p w14:paraId="1EF7EB6F" w14:textId="3F849667" w:rsidR="007313C2" w:rsidRPr="00F33674" w:rsidRDefault="007313C2" w:rsidP="007313C2">
            <w:pPr>
              <w:rPr>
                <w:rFonts w:ascii="Arial Narrow" w:hAnsi="Arial Narrow" w:cs="Arial"/>
                <w:sz w:val="20"/>
                <w:szCs w:val="20"/>
              </w:rPr>
            </w:pPr>
            <w:r w:rsidRPr="00F33674">
              <w:rPr>
                <w:rFonts w:ascii="Arial Narrow" w:hAnsi="Arial Narrow" w:cs="Arial"/>
                <w:sz w:val="20"/>
                <w:szCs w:val="20"/>
              </w:rPr>
              <w:t>GENERAL – General Schedule (Code GE)</w:t>
            </w:r>
          </w:p>
        </w:tc>
      </w:tr>
      <w:tr w:rsidR="007313C2" w:rsidRPr="00F33674" w14:paraId="6A8B9831" w14:textId="77777777" w:rsidTr="00265869">
        <w:trPr>
          <w:cantSplit/>
          <w:trHeight w:val="360"/>
        </w:trPr>
        <w:tc>
          <w:tcPr>
            <w:tcW w:w="2835" w:type="dxa"/>
            <w:tcBorders>
              <w:top w:val="single" w:sz="4" w:space="0" w:color="auto"/>
              <w:left w:val="single" w:sz="4" w:space="0" w:color="auto"/>
              <w:bottom w:val="single" w:sz="4" w:space="0" w:color="auto"/>
              <w:right w:val="single" w:sz="4" w:space="0" w:color="auto"/>
            </w:tcBorders>
          </w:tcPr>
          <w:p w14:paraId="5C8ACDC6" w14:textId="77777777" w:rsidR="007313C2" w:rsidRPr="00F33674" w:rsidRDefault="007313C2" w:rsidP="007313C2">
            <w:pPr>
              <w:rPr>
                <w:rFonts w:ascii="Arial Narrow" w:hAnsi="Arial Narrow" w:cs="Arial"/>
                <w:b/>
                <w:sz w:val="20"/>
                <w:szCs w:val="20"/>
              </w:rPr>
            </w:pPr>
            <w:r w:rsidRPr="00F33674">
              <w:rPr>
                <w:rFonts w:ascii="Arial Narrow" w:hAnsi="Arial Narrow" w:cs="Arial"/>
                <w:b/>
                <w:sz w:val="20"/>
                <w:szCs w:val="20"/>
              </w:rPr>
              <w:t>Prescriber type:</w:t>
            </w:r>
          </w:p>
          <w:p w14:paraId="0CDCA091" w14:textId="77777777" w:rsidR="007313C2" w:rsidRPr="00F33674" w:rsidRDefault="007313C2" w:rsidP="007313C2">
            <w:pPr>
              <w:rPr>
                <w:rFonts w:ascii="Arial Narrow" w:hAnsi="Arial Narrow" w:cs="Arial"/>
                <w:b/>
                <w:sz w:val="20"/>
                <w:szCs w:val="20"/>
              </w:rPr>
            </w:pPr>
          </w:p>
        </w:tc>
        <w:tc>
          <w:tcPr>
            <w:tcW w:w="6379" w:type="dxa"/>
            <w:tcBorders>
              <w:top w:val="single" w:sz="4" w:space="0" w:color="auto"/>
              <w:left w:val="single" w:sz="4" w:space="0" w:color="auto"/>
              <w:bottom w:val="single" w:sz="4" w:space="0" w:color="auto"/>
              <w:right w:val="single" w:sz="4" w:space="0" w:color="auto"/>
            </w:tcBorders>
          </w:tcPr>
          <w:p w14:paraId="302E2268" w14:textId="77777777" w:rsidR="007313C2" w:rsidRPr="00F33674" w:rsidRDefault="007313C2" w:rsidP="007313C2">
            <w:pPr>
              <w:rPr>
                <w:rFonts w:ascii="Arial Narrow" w:hAnsi="Arial Narrow" w:cs="Arial"/>
                <w:sz w:val="20"/>
                <w:szCs w:val="20"/>
              </w:rPr>
            </w:pPr>
            <w:r w:rsidRPr="00F33674">
              <w:rPr>
                <w:rFonts w:ascii="Arial Narrow" w:hAnsi="Arial Narrow" w:cs="Arial"/>
                <w:sz w:val="20"/>
                <w:szCs w:val="20"/>
              </w:rPr>
              <w:fldChar w:fldCharType="begin">
                <w:ffData>
                  <w:name w:val="Check1"/>
                  <w:enabled/>
                  <w:calcOnExit w:val="0"/>
                  <w:checkBox>
                    <w:sizeAuto/>
                    <w:default w:val="0"/>
                  </w:checkBox>
                </w:ffData>
              </w:fldChar>
            </w:r>
            <w:r w:rsidRPr="00F33674">
              <w:rPr>
                <w:rFonts w:ascii="Arial Narrow" w:hAnsi="Arial Narrow" w:cs="Arial"/>
                <w:sz w:val="20"/>
                <w:szCs w:val="20"/>
              </w:rPr>
              <w:instrText xml:space="preserve"> FORMCHECKBOX </w:instrText>
            </w:r>
            <w:r w:rsidR="00233D13">
              <w:rPr>
                <w:rFonts w:ascii="Arial Narrow" w:hAnsi="Arial Narrow" w:cs="Arial"/>
                <w:sz w:val="20"/>
                <w:szCs w:val="20"/>
              </w:rPr>
            </w:r>
            <w:r w:rsidR="00233D13">
              <w:rPr>
                <w:rFonts w:ascii="Arial Narrow" w:hAnsi="Arial Narrow" w:cs="Arial"/>
                <w:sz w:val="20"/>
                <w:szCs w:val="20"/>
              </w:rPr>
              <w:fldChar w:fldCharType="separate"/>
            </w:r>
            <w:r w:rsidRPr="00F33674">
              <w:rPr>
                <w:rFonts w:ascii="Arial Narrow" w:hAnsi="Arial Narrow" w:cs="Arial"/>
                <w:sz w:val="20"/>
                <w:szCs w:val="20"/>
              </w:rPr>
              <w:fldChar w:fldCharType="end"/>
            </w:r>
            <w:r w:rsidRPr="00F33674">
              <w:rPr>
                <w:rFonts w:ascii="Arial Narrow" w:hAnsi="Arial Narrow" w:cs="Arial"/>
                <w:sz w:val="20"/>
                <w:szCs w:val="20"/>
              </w:rPr>
              <w:t>Dental</w:t>
            </w:r>
            <w:r>
              <w:rPr>
                <w:rFonts w:ascii="Arial Narrow" w:hAnsi="Arial Narrow" w:cs="Arial"/>
                <w:sz w:val="20"/>
                <w:szCs w:val="20"/>
              </w:rPr>
              <w:t xml:space="preserve"> </w:t>
            </w:r>
            <w:r w:rsidRPr="00F33674">
              <w:rPr>
                <w:rFonts w:ascii="Arial Narrow" w:hAnsi="Arial Narrow" w:cs="Arial"/>
                <w:sz w:val="20"/>
                <w:szCs w:val="20"/>
              </w:rPr>
              <w:fldChar w:fldCharType="begin">
                <w:ffData>
                  <w:name w:val=""/>
                  <w:enabled/>
                  <w:calcOnExit w:val="0"/>
                  <w:checkBox>
                    <w:sizeAuto/>
                    <w:default w:val="1"/>
                  </w:checkBox>
                </w:ffData>
              </w:fldChar>
            </w:r>
            <w:r w:rsidRPr="00F33674">
              <w:rPr>
                <w:rFonts w:ascii="Arial Narrow" w:hAnsi="Arial Narrow" w:cs="Arial"/>
                <w:sz w:val="20"/>
                <w:szCs w:val="20"/>
              </w:rPr>
              <w:instrText xml:space="preserve"> FORMCHECKBOX </w:instrText>
            </w:r>
            <w:r w:rsidR="00233D13">
              <w:rPr>
                <w:rFonts w:ascii="Arial Narrow" w:hAnsi="Arial Narrow" w:cs="Arial"/>
                <w:sz w:val="20"/>
                <w:szCs w:val="20"/>
              </w:rPr>
            </w:r>
            <w:r w:rsidR="00233D13">
              <w:rPr>
                <w:rFonts w:ascii="Arial Narrow" w:hAnsi="Arial Narrow" w:cs="Arial"/>
                <w:sz w:val="20"/>
                <w:szCs w:val="20"/>
              </w:rPr>
              <w:fldChar w:fldCharType="separate"/>
            </w:r>
            <w:r w:rsidRPr="00F33674">
              <w:rPr>
                <w:rFonts w:ascii="Arial Narrow" w:hAnsi="Arial Narrow" w:cs="Arial"/>
                <w:sz w:val="20"/>
                <w:szCs w:val="20"/>
              </w:rPr>
              <w:fldChar w:fldCharType="end"/>
            </w:r>
            <w:r w:rsidRPr="00F33674">
              <w:rPr>
                <w:rFonts w:ascii="Arial Narrow" w:hAnsi="Arial Narrow" w:cs="Arial"/>
                <w:sz w:val="20"/>
                <w:szCs w:val="20"/>
              </w:rPr>
              <w:t>Medical Practitioners</w:t>
            </w:r>
            <w:r>
              <w:rPr>
                <w:rFonts w:ascii="Arial Narrow" w:hAnsi="Arial Narrow" w:cs="Arial"/>
                <w:sz w:val="20"/>
                <w:szCs w:val="20"/>
              </w:rPr>
              <w:t xml:space="preserve"> </w:t>
            </w:r>
            <w:r w:rsidRPr="00F33674">
              <w:rPr>
                <w:rFonts w:ascii="Arial Narrow" w:hAnsi="Arial Narrow" w:cs="Arial"/>
                <w:sz w:val="20"/>
                <w:szCs w:val="20"/>
              </w:rPr>
              <w:fldChar w:fldCharType="begin">
                <w:ffData>
                  <w:name w:val="Check3"/>
                  <w:enabled/>
                  <w:calcOnExit w:val="0"/>
                  <w:checkBox>
                    <w:sizeAuto/>
                    <w:default w:val="1"/>
                  </w:checkBox>
                </w:ffData>
              </w:fldChar>
            </w:r>
            <w:r w:rsidRPr="00F33674">
              <w:rPr>
                <w:rFonts w:ascii="Arial Narrow" w:hAnsi="Arial Narrow" w:cs="Arial"/>
                <w:sz w:val="20"/>
                <w:szCs w:val="20"/>
              </w:rPr>
              <w:instrText xml:space="preserve"> FORMCHECKBOX </w:instrText>
            </w:r>
            <w:r w:rsidR="00233D13">
              <w:rPr>
                <w:rFonts w:ascii="Arial Narrow" w:hAnsi="Arial Narrow" w:cs="Arial"/>
                <w:sz w:val="20"/>
                <w:szCs w:val="20"/>
              </w:rPr>
            </w:r>
            <w:r w:rsidR="00233D13">
              <w:rPr>
                <w:rFonts w:ascii="Arial Narrow" w:hAnsi="Arial Narrow" w:cs="Arial"/>
                <w:sz w:val="20"/>
                <w:szCs w:val="20"/>
              </w:rPr>
              <w:fldChar w:fldCharType="separate"/>
            </w:r>
            <w:r w:rsidRPr="00F33674">
              <w:rPr>
                <w:rFonts w:ascii="Arial Narrow" w:hAnsi="Arial Narrow" w:cs="Arial"/>
                <w:sz w:val="20"/>
                <w:szCs w:val="20"/>
              </w:rPr>
              <w:fldChar w:fldCharType="end"/>
            </w:r>
            <w:r w:rsidRPr="00F33674">
              <w:rPr>
                <w:rFonts w:ascii="Arial Narrow" w:hAnsi="Arial Narrow" w:cs="Arial"/>
                <w:sz w:val="20"/>
                <w:szCs w:val="20"/>
              </w:rPr>
              <w:t>Nurse practitioners</w:t>
            </w:r>
            <w:r>
              <w:rPr>
                <w:rFonts w:ascii="Arial Narrow" w:hAnsi="Arial Narrow" w:cs="Arial"/>
                <w:sz w:val="20"/>
                <w:szCs w:val="20"/>
              </w:rPr>
              <w:t xml:space="preserve"> </w:t>
            </w:r>
            <w:r w:rsidRPr="00F33674">
              <w:rPr>
                <w:rFonts w:ascii="Arial Narrow" w:hAnsi="Arial Narrow" w:cs="Arial"/>
                <w:sz w:val="20"/>
                <w:szCs w:val="20"/>
              </w:rPr>
              <w:fldChar w:fldCharType="begin">
                <w:ffData>
                  <w:name w:val=""/>
                  <w:enabled/>
                  <w:calcOnExit w:val="0"/>
                  <w:checkBox>
                    <w:sizeAuto/>
                    <w:default w:val="0"/>
                  </w:checkBox>
                </w:ffData>
              </w:fldChar>
            </w:r>
            <w:r w:rsidRPr="00F33674">
              <w:rPr>
                <w:rFonts w:ascii="Arial Narrow" w:hAnsi="Arial Narrow" w:cs="Arial"/>
                <w:sz w:val="20"/>
                <w:szCs w:val="20"/>
              </w:rPr>
              <w:instrText xml:space="preserve"> FORMCHECKBOX </w:instrText>
            </w:r>
            <w:r w:rsidR="00233D13">
              <w:rPr>
                <w:rFonts w:ascii="Arial Narrow" w:hAnsi="Arial Narrow" w:cs="Arial"/>
                <w:sz w:val="20"/>
                <w:szCs w:val="20"/>
              </w:rPr>
            </w:r>
            <w:r w:rsidR="00233D13">
              <w:rPr>
                <w:rFonts w:ascii="Arial Narrow" w:hAnsi="Arial Narrow" w:cs="Arial"/>
                <w:sz w:val="20"/>
                <w:szCs w:val="20"/>
              </w:rPr>
              <w:fldChar w:fldCharType="separate"/>
            </w:r>
            <w:r w:rsidRPr="00F33674">
              <w:rPr>
                <w:rFonts w:ascii="Arial Narrow" w:hAnsi="Arial Narrow" w:cs="Arial"/>
                <w:sz w:val="20"/>
                <w:szCs w:val="20"/>
              </w:rPr>
              <w:fldChar w:fldCharType="end"/>
            </w:r>
            <w:r w:rsidRPr="00F33674">
              <w:rPr>
                <w:rFonts w:ascii="Arial Narrow" w:hAnsi="Arial Narrow" w:cs="Arial"/>
                <w:sz w:val="20"/>
                <w:szCs w:val="20"/>
              </w:rPr>
              <w:t>Optometrists</w:t>
            </w:r>
          </w:p>
          <w:p w14:paraId="6EEBE3B5" w14:textId="74EAC4AC" w:rsidR="007313C2" w:rsidRPr="00F33674" w:rsidRDefault="007313C2" w:rsidP="007313C2">
            <w:pPr>
              <w:rPr>
                <w:rFonts w:ascii="Arial Narrow" w:hAnsi="Arial Narrow" w:cs="Arial"/>
                <w:sz w:val="20"/>
                <w:szCs w:val="20"/>
              </w:rPr>
            </w:pPr>
            <w:r w:rsidRPr="00F33674">
              <w:rPr>
                <w:rFonts w:ascii="Arial Narrow" w:hAnsi="Arial Narrow" w:cs="Arial"/>
                <w:sz w:val="20"/>
                <w:szCs w:val="20"/>
              </w:rPr>
              <w:fldChar w:fldCharType="begin">
                <w:ffData>
                  <w:name w:val="Check5"/>
                  <w:enabled/>
                  <w:calcOnExit w:val="0"/>
                  <w:checkBox>
                    <w:sizeAuto/>
                    <w:default w:val="0"/>
                  </w:checkBox>
                </w:ffData>
              </w:fldChar>
            </w:r>
            <w:r w:rsidRPr="00F33674">
              <w:rPr>
                <w:rFonts w:ascii="Arial Narrow" w:hAnsi="Arial Narrow" w:cs="Arial"/>
                <w:sz w:val="20"/>
                <w:szCs w:val="20"/>
              </w:rPr>
              <w:instrText xml:space="preserve"> FORMCHECKBOX </w:instrText>
            </w:r>
            <w:r w:rsidR="00233D13">
              <w:rPr>
                <w:rFonts w:ascii="Arial Narrow" w:hAnsi="Arial Narrow" w:cs="Arial"/>
                <w:sz w:val="20"/>
                <w:szCs w:val="20"/>
              </w:rPr>
            </w:r>
            <w:r w:rsidR="00233D13">
              <w:rPr>
                <w:rFonts w:ascii="Arial Narrow" w:hAnsi="Arial Narrow" w:cs="Arial"/>
                <w:sz w:val="20"/>
                <w:szCs w:val="20"/>
              </w:rPr>
              <w:fldChar w:fldCharType="separate"/>
            </w:r>
            <w:r w:rsidRPr="00F33674">
              <w:rPr>
                <w:rFonts w:ascii="Arial Narrow" w:hAnsi="Arial Narrow" w:cs="Arial"/>
                <w:sz w:val="20"/>
                <w:szCs w:val="20"/>
              </w:rPr>
              <w:fldChar w:fldCharType="end"/>
            </w:r>
            <w:r w:rsidRPr="00F33674">
              <w:rPr>
                <w:rFonts w:ascii="Arial Narrow" w:hAnsi="Arial Narrow" w:cs="Arial"/>
                <w:sz w:val="20"/>
                <w:szCs w:val="20"/>
              </w:rPr>
              <w:t>Midwives</w:t>
            </w:r>
          </w:p>
        </w:tc>
      </w:tr>
      <w:tr w:rsidR="007313C2" w:rsidRPr="00F33674" w14:paraId="0E53F6AE" w14:textId="77777777" w:rsidTr="00265869">
        <w:trPr>
          <w:cantSplit/>
          <w:trHeight w:val="369"/>
        </w:trPr>
        <w:tc>
          <w:tcPr>
            <w:tcW w:w="2835" w:type="dxa"/>
            <w:tcBorders>
              <w:top w:val="single" w:sz="4" w:space="0" w:color="auto"/>
              <w:left w:val="single" w:sz="4" w:space="0" w:color="auto"/>
              <w:bottom w:val="single" w:sz="4" w:space="0" w:color="auto"/>
              <w:right w:val="single" w:sz="4" w:space="0" w:color="auto"/>
            </w:tcBorders>
          </w:tcPr>
          <w:p w14:paraId="085A7495" w14:textId="1380F0EF" w:rsidR="007313C2" w:rsidRPr="00F33674" w:rsidRDefault="007313C2" w:rsidP="007313C2">
            <w:pPr>
              <w:rPr>
                <w:rFonts w:ascii="Arial Narrow" w:hAnsi="Arial Narrow" w:cs="Arial"/>
                <w:b/>
                <w:sz w:val="20"/>
                <w:szCs w:val="20"/>
              </w:rPr>
            </w:pPr>
            <w:r w:rsidRPr="00F33674">
              <w:rPr>
                <w:rFonts w:ascii="Arial Narrow" w:hAnsi="Arial Narrow" w:cs="Arial"/>
                <w:b/>
                <w:sz w:val="20"/>
                <w:szCs w:val="20"/>
              </w:rPr>
              <w:t>PBS indication:</w:t>
            </w:r>
          </w:p>
        </w:tc>
        <w:tc>
          <w:tcPr>
            <w:tcW w:w="6379" w:type="dxa"/>
            <w:tcBorders>
              <w:top w:val="single" w:sz="4" w:space="0" w:color="auto"/>
              <w:left w:val="single" w:sz="4" w:space="0" w:color="auto"/>
              <w:bottom w:val="single" w:sz="4" w:space="0" w:color="auto"/>
              <w:right w:val="single" w:sz="4" w:space="0" w:color="auto"/>
            </w:tcBorders>
          </w:tcPr>
          <w:p w14:paraId="1137375F" w14:textId="410D3C06" w:rsidR="007313C2" w:rsidRPr="00F33674" w:rsidRDefault="007313C2" w:rsidP="007313C2">
            <w:pPr>
              <w:rPr>
                <w:rFonts w:ascii="Arial Narrow" w:hAnsi="Arial Narrow" w:cs="Arial"/>
                <w:sz w:val="20"/>
                <w:szCs w:val="20"/>
              </w:rPr>
            </w:pPr>
            <w:r w:rsidRPr="00F33674">
              <w:rPr>
                <w:rFonts w:ascii="Arial Narrow" w:hAnsi="Arial Narrow" w:cs="Arial"/>
                <w:sz w:val="20"/>
                <w:szCs w:val="20"/>
              </w:rPr>
              <w:t>[9729] Chronic severe disabling pain</w:t>
            </w:r>
          </w:p>
        </w:tc>
      </w:tr>
      <w:tr w:rsidR="007313C2" w:rsidRPr="00F33674" w14:paraId="5D037724" w14:textId="77777777" w:rsidTr="00265869">
        <w:trPr>
          <w:cantSplit/>
          <w:trHeight w:val="360"/>
        </w:trPr>
        <w:tc>
          <w:tcPr>
            <w:tcW w:w="2835" w:type="dxa"/>
            <w:tcBorders>
              <w:top w:val="single" w:sz="4" w:space="0" w:color="auto"/>
              <w:left w:val="single" w:sz="4" w:space="0" w:color="auto"/>
              <w:bottom w:val="single" w:sz="4" w:space="0" w:color="auto"/>
              <w:right w:val="single" w:sz="4" w:space="0" w:color="auto"/>
            </w:tcBorders>
          </w:tcPr>
          <w:p w14:paraId="33C48B45" w14:textId="77777777" w:rsidR="007313C2" w:rsidRPr="00F33674" w:rsidRDefault="007313C2" w:rsidP="007313C2">
            <w:pPr>
              <w:rPr>
                <w:rFonts w:ascii="Arial Narrow" w:hAnsi="Arial Narrow" w:cs="Arial"/>
                <w:b/>
                <w:sz w:val="20"/>
                <w:szCs w:val="20"/>
              </w:rPr>
            </w:pPr>
            <w:r w:rsidRPr="00F33674">
              <w:rPr>
                <w:rFonts w:ascii="Arial Narrow" w:hAnsi="Arial Narrow" w:cs="Arial"/>
                <w:b/>
                <w:sz w:val="20"/>
                <w:szCs w:val="20"/>
              </w:rPr>
              <w:t>Restriction Level / Method:</w:t>
            </w:r>
          </w:p>
          <w:p w14:paraId="161FAEC9" w14:textId="77777777" w:rsidR="007313C2" w:rsidRPr="00F33674" w:rsidRDefault="007313C2" w:rsidP="007313C2">
            <w:pPr>
              <w:rPr>
                <w:rFonts w:ascii="Arial Narrow" w:hAnsi="Arial Narrow" w:cs="Arial"/>
                <w:i/>
                <w:sz w:val="20"/>
                <w:szCs w:val="20"/>
              </w:rPr>
            </w:pPr>
          </w:p>
          <w:p w14:paraId="58810AE4" w14:textId="77777777" w:rsidR="007313C2" w:rsidRPr="00F33674" w:rsidRDefault="007313C2" w:rsidP="007313C2">
            <w:pPr>
              <w:rPr>
                <w:rFonts w:ascii="Arial Narrow" w:hAnsi="Arial Narrow" w:cs="Arial"/>
                <w:i/>
                <w:sz w:val="20"/>
                <w:szCs w:val="20"/>
              </w:rPr>
            </w:pPr>
          </w:p>
          <w:p w14:paraId="36862FD0" w14:textId="77777777" w:rsidR="007313C2" w:rsidRPr="00F33674" w:rsidRDefault="007313C2" w:rsidP="007313C2">
            <w:pPr>
              <w:rPr>
                <w:rFonts w:ascii="Arial Narrow" w:hAnsi="Arial Narrow" w:cs="Arial"/>
                <w:i/>
                <w:sz w:val="20"/>
                <w:szCs w:val="20"/>
              </w:rPr>
            </w:pPr>
          </w:p>
        </w:tc>
        <w:tc>
          <w:tcPr>
            <w:tcW w:w="6379" w:type="dxa"/>
            <w:tcBorders>
              <w:top w:val="single" w:sz="4" w:space="0" w:color="auto"/>
              <w:left w:val="single" w:sz="4" w:space="0" w:color="auto"/>
              <w:bottom w:val="single" w:sz="4" w:space="0" w:color="auto"/>
              <w:right w:val="single" w:sz="4" w:space="0" w:color="auto"/>
            </w:tcBorders>
          </w:tcPr>
          <w:p w14:paraId="015971E8" w14:textId="77777777" w:rsidR="007313C2" w:rsidRPr="00F33674" w:rsidRDefault="007313C2" w:rsidP="007313C2">
            <w:pPr>
              <w:rPr>
                <w:rFonts w:ascii="Arial Narrow" w:hAnsi="Arial Narrow" w:cs="Arial"/>
                <w:sz w:val="20"/>
                <w:szCs w:val="20"/>
              </w:rPr>
            </w:pPr>
            <w:r w:rsidRPr="00F33674">
              <w:rPr>
                <w:rFonts w:ascii="Arial Narrow" w:hAnsi="Arial Narrow" w:cs="Arial"/>
                <w:sz w:val="20"/>
                <w:szCs w:val="20"/>
              </w:rPr>
              <w:fldChar w:fldCharType="begin">
                <w:ffData>
                  <w:name w:val=""/>
                  <w:enabled/>
                  <w:calcOnExit w:val="0"/>
                  <w:checkBox>
                    <w:sizeAuto/>
                    <w:default w:val="0"/>
                  </w:checkBox>
                </w:ffData>
              </w:fldChar>
            </w:r>
            <w:r w:rsidRPr="00F33674">
              <w:rPr>
                <w:rFonts w:ascii="Arial Narrow" w:hAnsi="Arial Narrow" w:cs="Arial"/>
                <w:sz w:val="20"/>
                <w:szCs w:val="20"/>
              </w:rPr>
              <w:instrText xml:space="preserve"> FORMCHECKBOX </w:instrText>
            </w:r>
            <w:r w:rsidR="00233D13">
              <w:rPr>
                <w:rFonts w:ascii="Arial Narrow" w:hAnsi="Arial Narrow" w:cs="Arial"/>
                <w:sz w:val="20"/>
                <w:szCs w:val="20"/>
              </w:rPr>
            </w:r>
            <w:r w:rsidR="00233D13">
              <w:rPr>
                <w:rFonts w:ascii="Arial Narrow" w:hAnsi="Arial Narrow" w:cs="Arial"/>
                <w:sz w:val="20"/>
                <w:szCs w:val="20"/>
              </w:rPr>
              <w:fldChar w:fldCharType="separate"/>
            </w:r>
            <w:r w:rsidRPr="00F33674">
              <w:rPr>
                <w:rFonts w:ascii="Arial Narrow" w:hAnsi="Arial Narrow" w:cs="Arial"/>
                <w:sz w:val="20"/>
                <w:szCs w:val="20"/>
              </w:rPr>
              <w:fldChar w:fldCharType="end"/>
            </w:r>
            <w:r w:rsidRPr="00F33674">
              <w:rPr>
                <w:rFonts w:ascii="Arial Narrow" w:hAnsi="Arial Narrow" w:cs="Arial"/>
                <w:sz w:val="20"/>
                <w:szCs w:val="20"/>
              </w:rPr>
              <w:t>Unrestricted benefit</w:t>
            </w:r>
          </w:p>
          <w:p w14:paraId="5F73741F" w14:textId="77777777" w:rsidR="007313C2" w:rsidRPr="00F33674" w:rsidRDefault="007313C2" w:rsidP="007313C2">
            <w:pPr>
              <w:rPr>
                <w:rFonts w:ascii="Arial Narrow" w:hAnsi="Arial Narrow" w:cs="Arial"/>
                <w:i/>
                <w:sz w:val="20"/>
                <w:szCs w:val="20"/>
              </w:rPr>
            </w:pPr>
            <w:r w:rsidRPr="00F33674">
              <w:rPr>
                <w:rFonts w:ascii="Arial Narrow" w:hAnsi="Arial Narrow" w:cs="Arial"/>
                <w:i/>
                <w:sz w:val="20"/>
                <w:szCs w:val="20"/>
              </w:rPr>
              <w:fldChar w:fldCharType="begin">
                <w:ffData>
                  <w:name w:val=""/>
                  <w:enabled/>
                  <w:calcOnExit w:val="0"/>
                  <w:checkBox>
                    <w:sizeAuto/>
                    <w:default w:val="0"/>
                  </w:checkBox>
                </w:ffData>
              </w:fldChar>
            </w:r>
            <w:r w:rsidRPr="00F33674">
              <w:rPr>
                <w:rFonts w:ascii="Arial Narrow" w:hAnsi="Arial Narrow" w:cs="Arial"/>
                <w:i/>
                <w:sz w:val="20"/>
                <w:szCs w:val="20"/>
              </w:rPr>
              <w:instrText xml:space="preserve"> FORMCHECKBOX </w:instrText>
            </w:r>
            <w:r w:rsidR="00233D13">
              <w:rPr>
                <w:rFonts w:ascii="Arial Narrow" w:hAnsi="Arial Narrow" w:cs="Arial"/>
                <w:i/>
                <w:sz w:val="20"/>
                <w:szCs w:val="20"/>
              </w:rPr>
            </w:r>
            <w:r w:rsidR="00233D13">
              <w:rPr>
                <w:rFonts w:ascii="Arial Narrow" w:hAnsi="Arial Narrow" w:cs="Arial"/>
                <w:i/>
                <w:sz w:val="20"/>
                <w:szCs w:val="20"/>
              </w:rPr>
              <w:fldChar w:fldCharType="separate"/>
            </w:r>
            <w:r w:rsidRPr="00F33674">
              <w:rPr>
                <w:rFonts w:ascii="Arial Narrow" w:hAnsi="Arial Narrow" w:cs="Arial"/>
                <w:i/>
                <w:sz w:val="20"/>
                <w:szCs w:val="20"/>
              </w:rPr>
              <w:fldChar w:fldCharType="end"/>
            </w:r>
            <w:r w:rsidRPr="00F33674">
              <w:rPr>
                <w:rFonts w:ascii="Arial Narrow" w:hAnsi="Arial Narrow" w:cs="Arial"/>
                <w:sz w:val="20"/>
                <w:szCs w:val="20"/>
              </w:rPr>
              <w:t>Restricted benefit</w:t>
            </w:r>
          </w:p>
          <w:p w14:paraId="6B3AB4DC" w14:textId="77777777" w:rsidR="007313C2" w:rsidRPr="00F33674" w:rsidRDefault="007313C2" w:rsidP="007313C2">
            <w:pPr>
              <w:rPr>
                <w:rFonts w:ascii="Arial Narrow" w:hAnsi="Arial Narrow" w:cs="Arial"/>
                <w:sz w:val="20"/>
                <w:szCs w:val="20"/>
              </w:rPr>
            </w:pPr>
            <w:r w:rsidRPr="00F33674">
              <w:rPr>
                <w:rFonts w:ascii="Arial Narrow" w:hAnsi="Arial Narrow" w:cs="Arial"/>
                <w:sz w:val="20"/>
                <w:szCs w:val="20"/>
              </w:rPr>
              <w:fldChar w:fldCharType="begin">
                <w:ffData>
                  <w:name w:val=""/>
                  <w:enabled/>
                  <w:calcOnExit w:val="0"/>
                  <w:checkBox>
                    <w:sizeAuto/>
                    <w:default w:val="0"/>
                  </w:checkBox>
                </w:ffData>
              </w:fldChar>
            </w:r>
            <w:r w:rsidRPr="00F33674">
              <w:rPr>
                <w:rFonts w:ascii="Arial Narrow" w:hAnsi="Arial Narrow" w:cs="Arial"/>
                <w:sz w:val="20"/>
                <w:szCs w:val="20"/>
              </w:rPr>
              <w:instrText xml:space="preserve"> FORMCHECKBOX </w:instrText>
            </w:r>
            <w:r w:rsidR="00233D13">
              <w:rPr>
                <w:rFonts w:ascii="Arial Narrow" w:hAnsi="Arial Narrow" w:cs="Arial"/>
                <w:sz w:val="20"/>
                <w:szCs w:val="20"/>
              </w:rPr>
            </w:r>
            <w:r w:rsidR="00233D13">
              <w:rPr>
                <w:rFonts w:ascii="Arial Narrow" w:hAnsi="Arial Narrow" w:cs="Arial"/>
                <w:sz w:val="20"/>
                <w:szCs w:val="20"/>
              </w:rPr>
              <w:fldChar w:fldCharType="separate"/>
            </w:r>
            <w:r w:rsidRPr="00F33674">
              <w:rPr>
                <w:rFonts w:ascii="Arial Narrow" w:hAnsi="Arial Narrow" w:cs="Arial"/>
                <w:sz w:val="20"/>
                <w:szCs w:val="20"/>
              </w:rPr>
              <w:fldChar w:fldCharType="end"/>
            </w:r>
            <w:r w:rsidRPr="00F33674">
              <w:rPr>
                <w:rFonts w:ascii="Arial Narrow" w:hAnsi="Arial Narrow" w:cs="Arial"/>
                <w:sz w:val="20"/>
                <w:szCs w:val="20"/>
              </w:rPr>
              <w:t>Authority Required – In Writing</w:t>
            </w:r>
          </w:p>
          <w:p w14:paraId="46393AEE" w14:textId="77777777" w:rsidR="007313C2" w:rsidRPr="00F33674" w:rsidRDefault="007313C2" w:rsidP="007313C2">
            <w:pPr>
              <w:rPr>
                <w:rFonts w:ascii="Arial Narrow" w:hAnsi="Arial Narrow" w:cs="Arial"/>
                <w:sz w:val="20"/>
                <w:szCs w:val="20"/>
              </w:rPr>
            </w:pPr>
            <w:r w:rsidRPr="00F33674">
              <w:rPr>
                <w:rFonts w:ascii="Arial Narrow" w:hAnsi="Arial Narrow" w:cs="Arial"/>
                <w:sz w:val="20"/>
                <w:szCs w:val="20"/>
              </w:rPr>
              <w:fldChar w:fldCharType="begin">
                <w:ffData>
                  <w:name w:val=""/>
                  <w:enabled/>
                  <w:calcOnExit w:val="0"/>
                  <w:checkBox>
                    <w:sizeAuto/>
                    <w:default w:val="1"/>
                  </w:checkBox>
                </w:ffData>
              </w:fldChar>
            </w:r>
            <w:r w:rsidRPr="00F33674">
              <w:rPr>
                <w:rFonts w:ascii="Arial Narrow" w:hAnsi="Arial Narrow" w:cs="Arial"/>
                <w:sz w:val="20"/>
                <w:szCs w:val="20"/>
              </w:rPr>
              <w:instrText xml:space="preserve"> FORMCHECKBOX </w:instrText>
            </w:r>
            <w:r w:rsidR="00233D13">
              <w:rPr>
                <w:rFonts w:ascii="Arial Narrow" w:hAnsi="Arial Narrow" w:cs="Arial"/>
                <w:sz w:val="20"/>
                <w:szCs w:val="20"/>
              </w:rPr>
            </w:r>
            <w:r w:rsidR="00233D13">
              <w:rPr>
                <w:rFonts w:ascii="Arial Narrow" w:hAnsi="Arial Narrow" w:cs="Arial"/>
                <w:sz w:val="20"/>
                <w:szCs w:val="20"/>
              </w:rPr>
              <w:fldChar w:fldCharType="separate"/>
            </w:r>
            <w:r w:rsidRPr="00F33674">
              <w:rPr>
                <w:rFonts w:ascii="Arial Narrow" w:hAnsi="Arial Narrow" w:cs="Arial"/>
                <w:sz w:val="20"/>
                <w:szCs w:val="20"/>
              </w:rPr>
              <w:fldChar w:fldCharType="end"/>
            </w:r>
            <w:r w:rsidRPr="00F33674">
              <w:rPr>
                <w:rFonts w:ascii="Arial Narrow" w:hAnsi="Arial Narrow" w:cs="Arial"/>
                <w:sz w:val="20"/>
                <w:szCs w:val="20"/>
              </w:rPr>
              <w:t>Authority Required – Telephone/Electronic/Emergency</w:t>
            </w:r>
          </w:p>
          <w:p w14:paraId="7C517BB3" w14:textId="1C96A297" w:rsidR="007313C2" w:rsidRPr="00F33674" w:rsidRDefault="007313C2" w:rsidP="007313C2">
            <w:pPr>
              <w:rPr>
                <w:rFonts w:ascii="Arial Narrow" w:hAnsi="Arial Narrow" w:cs="Arial"/>
                <w:sz w:val="20"/>
                <w:szCs w:val="20"/>
              </w:rPr>
            </w:pPr>
            <w:r w:rsidRPr="00F33674">
              <w:rPr>
                <w:rFonts w:ascii="Arial Narrow" w:hAnsi="Arial Narrow" w:cs="Arial"/>
                <w:sz w:val="20"/>
                <w:szCs w:val="20"/>
              </w:rPr>
              <w:fldChar w:fldCharType="begin">
                <w:ffData>
                  <w:name w:val=""/>
                  <w:enabled/>
                  <w:calcOnExit w:val="0"/>
                  <w:checkBox>
                    <w:sizeAuto/>
                    <w:default w:val="0"/>
                  </w:checkBox>
                </w:ffData>
              </w:fldChar>
            </w:r>
            <w:r w:rsidRPr="00F33674">
              <w:rPr>
                <w:rFonts w:ascii="Arial Narrow" w:hAnsi="Arial Narrow" w:cs="Arial"/>
                <w:sz w:val="20"/>
                <w:szCs w:val="20"/>
              </w:rPr>
              <w:instrText xml:space="preserve"> FORMCHECKBOX </w:instrText>
            </w:r>
            <w:r w:rsidR="00233D13">
              <w:rPr>
                <w:rFonts w:ascii="Arial Narrow" w:hAnsi="Arial Narrow" w:cs="Arial"/>
                <w:sz w:val="20"/>
                <w:szCs w:val="20"/>
              </w:rPr>
            </w:r>
            <w:r w:rsidR="00233D13">
              <w:rPr>
                <w:rFonts w:ascii="Arial Narrow" w:hAnsi="Arial Narrow" w:cs="Arial"/>
                <w:sz w:val="20"/>
                <w:szCs w:val="20"/>
              </w:rPr>
              <w:fldChar w:fldCharType="separate"/>
            </w:r>
            <w:r w:rsidRPr="00F33674">
              <w:rPr>
                <w:rFonts w:ascii="Arial Narrow" w:hAnsi="Arial Narrow" w:cs="Arial"/>
                <w:sz w:val="20"/>
                <w:szCs w:val="20"/>
              </w:rPr>
              <w:fldChar w:fldCharType="end"/>
            </w:r>
            <w:r w:rsidRPr="00F33674">
              <w:rPr>
                <w:rFonts w:ascii="Arial Narrow" w:hAnsi="Arial Narrow" w:cs="Arial"/>
                <w:sz w:val="20"/>
                <w:szCs w:val="20"/>
              </w:rPr>
              <w:t>Streamlined</w:t>
            </w:r>
          </w:p>
        </w:tc>
      </w:tr>
      <w:tr w:rsidR="007313C2" w:rsidRPr="00F33674" w14:paraId="05C5EAA3" w14:textId="77777777" w:rsidTr="00265869">
        <w:trPr>
          <w:cantSplit/>
          <w:trHeight w:val="360"/>
        </w:trPr>
        <w:tc>
          <w:tcPr>
            <w:tcW w:w="2835" w:type="dxa"/>
            <w:tcBorders>
              <w:top w:val="single" w:sz="4" w:space="0" w:color="auto"/>
              <w:left w:val="single" w:sz="4" w:space="0" w:color="auto"/>
              <w:bottom w:val="single" w:sz="4" w:space="0" w:color="auto"/>
              <w:right w:val="single" w:sz="4" w:space="0" w:color="auto"/>
            </w:tcBorders>
          </w:tcPr>
          <w:p w14:paraId="68FE7652" w14:textId="77777777" w:rsidR="007313C2" w:rsidRPr="00F33674" w:rsidRDefault="007313C2" w:rsidP="00265869">
            <w:pPr>
              <w:rPr>
                <w:rFonts w:ascii="Arial Narrow" w:hAnsi="Arial Narrow" w:cs="Arial"/>
                <w:b/>
                <w:sz w:val="20"/>
                <w:szCs w:val="20"/>
              </w:rPr>
            </w:pPr>
            <w:r>
              <w:rPr>
                <w:rFonts w:ascii="Arial Narrow" w:hAnsi="Arial Narrow" w:cs="Arial"/>
                <w:b/>
                <w:sz w:val="20"/>
                <w:szCs w:val="20"/>
              </w:rPr>
              <w:t>Treatment phase:</w:t>
            </w:r>
          </w:p>
        </w:tc>
        <w:tc>
          <w:tcPr>
            <w:tcW w:w="6379" w:type="dxa"/>
            <w:tcBorders>
              <w:top w:val="single" w:sz="4" w:space="0" w:color="auto"/>
              <w:left w:val="single" w:sz="4" w:space="0" w:color="auto"/>
              <w:bottom w:val="single" w:sz="4" w:space="0" w:color="auto"/>
              <w:right w:val="single" w:sz="4" w:space="0" w:color="auto"/>
            </w:tcBorders>
          </w:tcPr>
          <w:p w14:paraId="050E0441" w14:textId="77777777" w:rsidR="007313C2" w:rsidRPr="00F33674" w:rsidRDefault="007313C2" w:rsidP="00265869">
            <w:pPr>
              <w:jc w:val="left"/>
              <w:rPr>
                <w:rFonts w:ascii="Arial Narrow" w:hAnsi="Arial Narrow" w:cs="Arial"/>
                <w:sz w:val="20"/>
                <w:szCs w:val="20"/>
              </w:rPr>
            </w:pPr>
            <w:r w:rsidRPr="00CB0FCB">
              <w:rPr>
                <w:rFonts w:ascii="Arial Narrow" w:hAnsi="Arial Narrow" w:cs="Arial"/>
                <w:sz w:val="20"/>
                <w:szCs w:val="20"/>
              </w:rPr>
              <w:t>Continuing PBS treatment after 1 June 2020</w:t>
            </w:r>
            <w:r>
              <w:rPr>
                <w:rFonts w:ascii="Arial Narrow" w:hAnsi="Arial Narrow" w:cs="Arial"/>
                <w:sz w:val="20"/>
                <w:szCs w:val="20"/>
              </w:rPr>
              <w:t>.</w:t>
            </w:r>
          </w:p>
        </w:tc>
      </w:tr>
      <w:tr w:rsidR="007313C2" w:rsidRPr="00F33674" w14:paraId="7966E20E" w14:textId="77777777" w:rsidTr="00265869">
        <w:trPr>
          <w:cantSplit/>
          <w:trHeight w:val="360"/>
        </w:trPr>
        <w:tc>
          <w:tcPr>
            <w:tcW w:w="2835" w:type="dxa"/>
            <w:tcBorders>
              <w:top w:val="single" w:sz="4" w:space="0" w:color="auto"/>
              <w:left w:val="single" w:sz="4" w:space="0" w:color="auto"/>
              <w:bottom w:val="single" w:sz="4" w:space="0" w:color="auto"/>
              <w:right w:val="single" w:sz="4" w:space="0" w:color="auto"/>
            </w:tcBorders>
          </w:tcPr>
          <w:p w14:paraId="14C72B76" w14:textId="77777777" w:rsidR="007313C2" w:rsidRPr="00F33674" w:rsidRDefault="007313C2" w:rsidP="00265869">
            <w:pPr>
              <w:rPr>
                <w:rFonts w:ascii="Arial Narrow" w:hAnsi="Arial Narrow" w:cs="Arial"/>
                <w:b/>
                <w:sz w:val="20"/>
                <w:szCs w:val="20"/>
              </w:rPr>
            </w:pPr>
            <w:r w:rsidRPr="00F33674">
              <w:rPr>
                <w:rFonts w:ascii="Arial Narrow" w:hAnsi="Arial Narrow" w:cs="Arial"/>
                <w:b/>
                <w:sz w:val="20"/>
                <w:szCs w:val="20"/>
              </w:rPr>
              <w:lastRenderedPageBreak/>
              <w:t>Clinical criteria:</w:t>
            </w:r>
          </w:p>
        </w:tc>
        <w:tc>
          <w:tcPr>
            <w:tcW w:w="6379" w:type="dxa"/>
            <w:tcBorders>
              <w:top w:val="single" w:sz="4" w:space="0" w:color="auto"/>
              <w:left w:val="single" w:sz="4" w:space="0" w:color="auto"/>
              <w:bottom w:val="single" w:sz="4" w:space="0" w:color="auto"/>
              <w:right w:val="single" w:sz="4" w:space="0" w:color="auto"/>
            </w:tcBorders>
          </w:tcPr>
          <w:p w14:paraId="3B4FA482" w14:textId="0984DC79" w:rsidR="007313C2" w:rsidRPr="00F33674" w:rsidRDefault="007313C2" w:rsidP="00265869">
            <w:pPr>
              <w:jc w:val="left"/>
              <w:rPr>
                <w:rFonts w:ascii="Arial Narrow" w:hAnsi="Arial Narrow" w:cs="Arial"/>
                <w:sz w:val="20"/>
                <w:szCs w:val="20"/>
              </w:rPr>
            </w:pPr>
            <w:r w:rsidRPr="00F33674">
              <w:rPr>
                <w:rFonts w:ascii="Arial Narrow" w:hAnsi="Arial Narrow" w:cs="Arial"/>
                <w:sz w:val="20"/>
                <w:szCs w:val="20"/>
              </w:rPr>
              <w:t xml:space="preserve">[new] </w:t>
            </w:r>
            <w:r w:rsidRPr="007313C2">
              <w:rPr>
                <w:rFonts w:ascii="Arial Narrow" w:hAnsi="Arial Narrow" w:cs="Arial"/>
                <w:sz w:val="20"/>
                <w:szCs w:val="20"/>
              </w:rPr>
              <w:t>Patient must have previously received PBS-subsidised treatment with this form of this drug for this condition after 1 June 2020</w:t>
            </w:r>
            <w:r>
              <w:rPr>
                <w:rFonts w:ascii="Arial Narrow" w:hAnsi="Arial Narrow" w:cs="Arial"/>
                <w:sz w:val="20"/>
                <w:szCs w:val="20"/>
              </w:rPr>
              <w:t>.</w:t>
            </w:r>
          </w:p>
        </w:tc>
      </w:tr>
      <w:tr w:rsidR="007313C2" w:rsidRPr="00F33674" w14:paraId="024068C4" w14:textId="77777777" w:rsidTr="00265869">
        <w:trPr>
          <w:cantSplit/>
          <w:trHeight w:val="360"/>
        </w:trPr>
        <w:tc>
          <w:tcPr>
            <w:tcW w:w="2835" w:type="dxa"/>
            <w:tcBorders>
              <w:top w:val="single" w:sz="4" w:space="0" w:color="auto"/>
              <w:left w:val="single" w:sz="4" w:space="0" w:color="auto"/>
              <w:bottom w:val="single" w:sz="4" w:space="0" w:color="auto"/>
              <w:right w:val="single" w:sz="4" w:space="0" w:color="auto"/>
            </w:tcBorders>
          </w:tcPr>
          <w:p w14:paraId="7AFB3EE6" w14:textId="77777777" w:rsidR="007313C2" w:rsidRPr="00F33674" w:rsidRDefault="007313C2" w:rsidP="00265869">
            <w:pPr>
              <w:rPr>
                <w:rFonts w:ascii="Arial Narrow" w:hAnsi="Arial Narrow" w:cs="Arial"/>
                <w:b/>
                <w:sz w:val="20"/>
                <w:szCs w:val="20"/>
              </w:rPr>
            </w:pPr>
            <w:r w:rsidRPr="00F33674">
              <w:rPr>
                <w:rFonts w:ascii="Arial Narrow" w:hAnsi="Arial Narrow" w:cs="Arial"/>
                <w:b/>
                <w:sz w:val="20"/>
                <w:szCs w:val="20"/>
              </w:rPr>
              <w:t>Prescriber instruction:</w:t>
            </w:r>
          </w:p>
        </w:tc>
        <w:tc>
          <w:tcPr>
            <w:tcW w:w="6379" w:type="dxa"/>
            <w:tcBorders>
              <w:top w:val="single" w:sz="4" w:space="0" w:color="auto"/>
              <w:left w:val="single" w:sz="4" w:space="0" w:color="auto"/>
              <w:bottom w:val="single" w:sz="4" w:space="0" w:color="auto"/>
              <w:right w:val="single" w:sz="4" w:space="0" w:color="auto"/>
            </w:tcBorders>
          </w:tcPr>
          <w:p w14:paraId="13A8FBA9" w14:textId="77777777" w:rsidR="007313C2" w:rsidRPr="00CB0FCB" w:rsidRDefault="007313C2" w:rsidP="00265869">
            <w:pPr>
              <w:jc w:val="left"/>
              <w:rPr>
                <w:rFonts w:ascii="Arial Narrow" w:hAnsi="Arial Narrow" w:cs="Arial"/>
                <w:sz w:val="20"/>
                <w:szCs w:val="20"/>
              </w:rPr>
            </w:pPr>
            <w:r w:rsidRPr="00F33674">
              <w:rPr>
                <w:rFonts w:ascii="Arial Narrow" w:hAnsi="Arial Narrow" w:cs="Arial"/>
                <w:sz w:val="20"/>
                <w:szCs w:val="20"/>
              </w:rPr>
              <w:t xml:space="preserve">[new] </w:t>
            </w:r>
            <w:r w:rsidRPr="00CB0FCB">
              <w:rPr>
                <w:rFonts w:ascii="Arial Narrow" w:hAnsi="Arial Narrow" w:cs="Arial"/>
                <w:sz w:val="20"/>
                <w:szCs w:val="20"/>
              </w:rPr>
              <w:t>Authorities for increased maximum quantities and/or repeats must only be considered for chronic severe disabling pain where the patient has received initial authority approval and the total duration of non-PBS and PBS opioid analgesic treatment:</w:t>
            </w:r>
          </w:p>
          <w:p w14:paraId="54CB50D8" w14:textId="77777777" w:rsidR="007313C2" w:rsidRPr="00CB0FCB" w:rsidRDefault="007313C2" w:rsidP="00265869">
            <w:pPr>
              <w:jc w:val="left"/>
              <w:rPr>
                <w:rFonts w:ascii="Arial Narrow" w:hAnsi="Arial Narrow" w:cs="Arial"/>
                <w:sz w:val="20"/>
                <w:szCs w:val="20"/>
              </w:rPr>
            </w:pPr>
            <w:r w:rsidRPr="00CB0FCB">
              <w:rPr>
                <w:rFonts w:ascii="Arial Narrow" w:hAnsi="Arial Narrow" w:cs="Arial"/>
                <w:sz w:val="20"/>
                <w:szCs w:val="20"/>
              </w:rPr>
              <w:t>(i) is less than 12 months; or</w:t>
            </w:r>
          </w:p>
          <w:p w14:paraId="16E94F21" w14:textId="77777777" w:rsidR="007313C2" w:rsidRPr="00CB0FCB" w:rsidRDefault="007313C2" w:rsidP="00265869">
            <w:pPr>
              <w:jc w:val="left"/>
              <w:rPr>
                <w:rFonts w:ascii="Arial Narrow" w:hAnsi="Arial Narrow" w:cs="Arial"/>
                <w:sz w:val="20"/>
                <w:szCs w:val="20"/>
              </w:rPr>
            </w:pPr>
            <w:r w:rsidRPr="00CB0FCB">
              <w:rPr>
                <w:rFonts w:ascii="Arial Narrow" w:hAnsi="Arial Narrow" w:cs="Arial"/>
                <w:sz w:val="20"/>
                <w:szCs w:val="20"/>
              </w:rPr>
              <w:t>(ii) exceeds 12 months and the palliative care patient is unable to have annual pain management review due to their clinical condition; or</w:t>
            </w:r>
          </w:p>
          <w:p w14:paraId="0F8D649B" w14:textId="77777777" w:rsidR="007313C2" w:rsidRPr="00CB0FCB" w:rsidRDefault="007313C2" w:rsidP="00265869">
            <w:pPr>
              <w:jc w:val="left"/>
              <w:rPr>
                <w:rFonts w:ascii="Arial Narrow" w:hAnsi="Arial Narrow" w:cs="Arial"/>
                <w:sz w:val="20"/>
                <w:szCs w:val="20"/>
              </w:rPr>
            </w:pPr>
            <w:r w:rsidRPr="00CB0FCB">
              <w:rPr>
                <w:rFonts w:ascii="Arial Narrow" w:hAnsi="Arial Narrow" w:cs="Arial"/>
                <w:sz w:val="20"/>
                <w:szCs w:val="20"/>
              </w:rPr>
              <w:t>(iii) exceeds 12 months and the patient's clinical need for continuing opioid treatment has been confirmed through consultation with the patient by another medical practitioner or a palliative care nurse practitioner in the past 12 months; or</w:t>
            </w:r>
          </w:p>
          <w:p w14:paraId="3E5949F4" w14:textId="77777777" w:rsidR="007313C2" w:rsidRDefault="007313C2" w:rsidP="00265869">
            <w:pPr>
              <w:jc w:val="left"/>
              <w:rPr>
                <w:rFonts w:ascii="Arial Narrow" w:hAnsi="Arial Narrow" w:cs="Arial"/>
                <w:sz w:val="20"/>
                <w:szCs w:val="20"/>
              </w:rPr>
            </w:pPr>
            <w:r w:rsidRPr="00CB0FCB">
              <w:rPr>
                <w:rFonts w:ascii="Arial Narrow" w:hAnsi="Arial Narrow" w:cs="Arial"/>
                <w:sz w:val="20"/>
                <w:szCs w:val="20"/>
              </w:rPr>
              <w:t xml:space="preserve">(iv) </w:t>
            </w:r>
            <w:proofErr w:type="gramStart"/>
            <w:r w:rsidRPr="00CB0FCB">
              <w:rPr>
                <w:rFonts w:ascii="Arial Narrow" w:hAnsi="Arial Narrow" w:cs="Arial"/>
                <w:sz w:val="20"/>
                <w:szCs w:val="20"/>
              </w:rPr>
              <w:t>has</w:t>
            </w:r>
            <w:proofErr w:type="gramEnd"/>
            <w:r w:rsidRPr="00CB0FCB">
              <w:rPr>
                <w:rFonts w:ascii="Arial Narrow" w:hAnsi="Arial Narrow" w:cs="Arial"/>
                <w:sz w:val="20"/>
                <w:szCs w:val="20"/>
              </w:rPr>
              <w:t xml:space="preserve"> exceeded 12 months prior to 1 June 2020 and the patient's pain management and clinical need for continuing opioid treatment has not been confirmed through consultation with the patient by another medical practitioner or a palliative care nurse practitioner in the past 12 months, but is planned in the next 3 months</w:t>
            </w:r>
            <w:r>
              <w:rPr>
                <w:rFonts w:ascii="Arial Narrow" w:hAnsi="Arial Narrow" w:cs="Arial"/>
                <w:sz w:val="20"/>
                <w:szCs w:val="20"/>
              </w:rPr>
              <w:t>.</w:t>
            </w:r>
          </w:p>
          <w:p w14:paraId="0276DF99" w14:textId="77777777" w:rsidR="007313C2" w:rsidRDefault="007313C2" w:rsidP="00265869">
            <w:pPr>
              <w:jc w:val="left"/>
              <w:rPr>
                <w:rFonts w:ascii="Arial Narrow" w:hAnsi="Arial Narrow" w:cs="Arial"/>
                <w:sz w:val="20"/>
                <w:szCs w:val="20"/>
              </w:rPr>
            </w:pPr>
          </w:p>
          <w:p w14:paraId="256CAEC6" w14:textId="77777777" w:rsidR="007313C2" w:rsidRPr="00F33674" w:rsidRDefault="007313C2" w:rsidP="00265869">
            <w:pPr>
              <w:jc w:val="left"/>
              <w:rPr>
                <w:rFonts w:ascii="Arial Narrow" w:hAnsi="Arial Narrow" w:cs="Arial"/>
                <w:sz w:val="20"/>
                <w:szCs w:val="20"/>
              </w:rPr>
            </w:pPr>
            <w:r>
              <w:rPr>
                <w:rFonts w:ascii="Arial Narrow" w:hAnsi="Arial Narrow" w:cs="Arial"/>
                <w:sz w:val="20"/>
                <w:szCs w:val="20"/>
              </w:rPr>
              <w:t xml:space="preserve">[new] </w:t>
            </w:r>
            <w:r w:rsidRPr="009F3089">
              <w:rPr>
                <w:rFonts w:ascii="Arial Narrow" w:hAnsi="Arial Narrow" w:cs="Arial"/>
                <w:sz w:val="20"/>
                <w:szCs w:val="20"/>
              </w:rPr>
              <w:t>Palliative care nurses may conduct annual review under this item for the treatment of palliative care patients only.</w:t>
            </w:r>
          </w:p>
          <w:p w14:paraId="5579B2A1" w14:textId="77777777" w:rsidR="007313C2" w:rsidRPr="00F33674" w:rsidRDefault="007313C2" w:rsidP="00265869">
            <w:pPr>
              <w:jc w:val="left"/>
              <w:rPr>
                <w:rFonts w:ascii="Arial Narrow" w:hAnsi="Arial Narrow" w:cs="Arial"/>
                <w:sz w:val="20"/>
                <w:szCs w:val="20"/>
              </w:rPr>
            </w:pPr>
          </w:p>
          <w:p w14:paraId="38C6AD05" w14:textId="77777777" w:rsidR="007313C2" w:rsidRPr="00F33674" w:rsidRDefault="007313C2" w:rsidP="00265869">
            <w:pPr>
              <w:jc w:val="left"/>
              <w:rPr>
                <w:rFonts w:ascii="Arial Narrow" w:hAnsi="Arial Narrow" w:cs="Arial"/>
                <w:sz w:val="20"/>
                <w:szCs w:val="20"/>
              </w:rPr>
            </w:pPr>
            <w:r w:rsidRPr="00F33674">
              <w:rPr>
                <w:rFonts w:ascii="Arial Narrow" w:hAnsi="Arial Narrow" w:cs="Arial"/>
                <w:sz w:val="20"/>
                <w:szCs w:val="20"/>
              </w:rPr>
              <w:t>[new] Authority requests extending treatment duration up to 1 month may be requested though the Online PBS Authorities system or by calling Services Australia.</w:t>
            </w:r>
          </w:p>
          <w:p w14:paraId="38E86D30" w14:textId="77777777" w:rsidR="007313C2" w:rsidRPr="00F33674" w:rsidRDefault="007313C2" w:rsidP="00265869">
            <w:pPr>
              <w:jc w:val="left"/>
              <w:rPr>
                <w:rFonts w:ascii="Arial Narrow" w:hAnsi="Arial Narrow" w:cs="Arial"/>
                <w:sz w:val="20"/>
                <w:szCs w:val="20"/>
              </w:rPr>
            </w:pPr>
          </w:p>
          <w:p w14:paraId="47B19225" w14:textId="77777777" w:rsidR="007313C2" w:rsidRPr="00F33674" w:rsidRDefault="007313C2" w:rsidP="00265869">
            <w:pPr>
              <w:jc w:val="left"/>
              <w:rPr>
                <w:rFonts w:ascii="Arial Narrow" w:hAnsi="Arial Narrow" w:cs="Arial"/>
                <w:sz w:val="20"/>
                <w:szCs w:val="20"/>
              </w:rPr>
            </w:pPr>
            <w:r w:rsidRPr="00F33674">
              <w:rPr>
                <w:rFonts w:ascii="Arial Narrow" w:hAnsi="Arial Narrow" w:cs="Arial"/>
                <w:sz w:val="20"/>
                <w:szCs w:val="20"/>
              </w:rPr>
              <w:t xml:space="preserve">Authority requests extending treatment duration beyond 1 month </w:t>
            </w:r>
            <w:r w:rsidRPr="002C1329">
              <w:rPr>
                <w:rFonts w:ascii="Arial Narrow" w:hAnsi="Arial Narrow" w:cs="Arial"/>
                <w:sz w:val="20"/>
                <w:szCs w:val="20"/>
              </w:rPr>
              <w:t>may be requested through the Online PBS Authorities system</w:t>
            </w:r>
            <w:r w:rsidRPr="00F33674">
              <w:rPr>
                <w:rFonts w:ascii="Arial Narrow" w:hAnsi="Arial Narrow" w:cs="Arial"/>
                <w:sz w:val="20"/>
                <w:szCs w:val="20"/>
              </w:rPr>
              <w:t xml:space="preserve"> or in writing only and must not provide a treatment duration exceeding 3 months</w:t>
            </w:r>
            <w:r>
              <w:rPr>
                <w:rFonts w:ascii="Arial Narrow" w:hAnsi="Arial Narrow" w:cs="Arial"/>
                <w:sz w:val="20"/>
                <w:szCs w:val="20"/>
              </w:rPr>
              <w:t xml:space="preserve"> (</w:t>
            </w:r>
            <w:r w:rsidRPr="002C1329">
              <w:rPr>
                <w:rFonts w:ascii="Arial Narrow" w:hAnsi="Arial Narrow" w:cs="Arial"/>
                <w:sz w:val="20"/>
                <w:szCs w:val="20"/>
              </w:rPr>
              <w:t xml:space="preserve">quantity sufficient for up to </w:t>
            </w:r>
            <w:proofErr w:type="gramStart"/>
            <w:r w:rsidRPr="002C1329">
              <w:rPr>
                <w:rFonts w:ascii="Arial Narrow" w:hAnsi="Arial Narrow" w:cs="Arial"/>
                <w:sz w:val="20"/>
                <w:szCs w:val="20"/>
              </w:rPr>
              <w:t>1 month</w:t>
            </w:r>
            <w:proofErr w:type="gramEnd"/>
            <w:r w:rsidRPr="002C1329">
              <w:rPr>
                <w:rFonts w:ascii="Arial Narrow" w:hAnsi="Arial Narrow" w:cs="Arial"/>
                <w:sz w:val="20"/>
                <w:szCs w:val="20"/>
              </w:rPr>
              <w:t xml:space="preserve"> treatment and sufficient repeats)</w:t>
            </w:r>
            <w:r w:rsidRPr="00F33674">
              <w:rPr>
                <w:rFonts w:ascii="Arial Narrow" w:hAnsi="Arial Narrow" w:cs="Arial"/>
                <w:sz w:val="20"/>
                <w:szCs w:val="20"/>
              </w:rPr>
              <w:t>.</w:t>
            </w:r>
          </w:p>
        </w:tc>
      </w:tr>
      <w:tr w:rsidR="007313C2" w:rsidRPr="00F33674" w14:paraId="5569CA13" w14:textId="77777777" w:rsidTr="00265869">
        <w:trPr>
          <w:cantSplit/>
          <w:trHeight w:val="360"/>
        </w:trPr>
        <w:tc>
          <w:tcPr>
            <w:tcW w:w="2835" w:type="dxa"/>
            <w:tcBorders>
              <w:top w:val="single" w:sz="4" w:space="0" w:color="auto"/>
              <w:left w:val="single" w:sz="4" w:space="0" w:color="auto"/>
              <w:bottom w:val="single" w:sz="4" w:space="0" w:color="auto"/>
              <w:right w:val="single" w:sz="4" w:space="0" w:color="auto"/>
            </w:tcBorders>
          </w:tcPr>
          <w:p w14:paraId="7BFFDA13" w14:textId="77777777" w:rsidR="007313C2" w:rsidRPr="00F33674" w:rsidRDefault="007313C2" w:rsidP="00265869">
            <w:pPr>
              <w:rPr>
                <w:rFonts w:ascii="Arial Narrow" w:hAnsi="Arial Narrow" w:cs="Arial"/>
                <w:b/>
                <w:sz w:val="20"/>
                <w:szCs w:val="20"/>
              </w:rPr>
            </w:pPr>
            <w:r w:rsidRPr="00F33674">
              <w:rPr>
                <w:rFonts w:ascii="Arial Narrow" w:hAnsi="Arial Narrow" w:cs="Arial"/>
                <w:b/>
                <w:sz w:val="20"/>
                <w:szCs w:val="20"/>
              </w:rPr>
              <w:t>Administrative advice:</w:t>
            </w:r>
          </w:p>
        </w:tc>
        <w:tc>
          <w:tcPr>
            <w:tcW w:w="6379" w:type="dxa"/>
            <w:tcBorders>
              <w:top w:val="single" w:sz="4" w:space="0" w:color="auto"/>
              <w:left w:val="single" w:sz="4" w:space="0" w:color="auto"/>
              <w:bottom w:val="single" w:sz="4" w:space="0" w:color="auto"/>
              <w:right w:val="single" w:sz="4" w:space="0" w:color="auto"/>
            </w:tcBorders>
          </w:tcPr>
          <w:p w14:paraId="215E17EC" w14:textId="77777777" w:rsidR="007313C2" w:rsidRPr="00F33674" w:rsidRDefault="007313C2" w:rsidP="00265869">
            <w:pPr>
              <w:jc w:val="left"/>
              <w:rPr>
                <w:rFonts w:ascii="Arial Narrow" w:hAnsi="Arial Narrow" w:cs="Arial"/>
                <w:sz w:val="20"/>
                <w:szCs w:val="20"/>
              </w:rPr>
            </w:pPr>
            <w:r w:rsidRPr="00F33674">
              <w:rPr>
                <w:rFonts w:ascii="Arial Narrow" w:hAnsi="Arial Narrow" w:cs="Arial"/>
                <w:sz w:val="20"/>
                <w:szCs w:val="20"/>
              </w:rPr>
              <w:t>[new] This treatment is not suitable for ‘as-required’ pain relief.</w:t>
            </w:r>
          </w:p>
          <w:p w14:paraId="31C87D72" w14:textId="77777777" w:rsidR="007313C2" w:rsidRPr="00F33674" w:rsidRDefault="007313C2" w:rsidP="00265869">
            <w:pPr>
              <w:jc w:val="left"/>
              <w:rPr>
                <w:rFonts w:ascii="Arial Narrow" w:hAnsi="Arial Narrow" w:cs="Arial"/>
                <w:sz w:val="20"/>
                <w:szCs w:val="20"/>
              </w:rPr>
            </w:pPr>
          </w:p>
          <w:p w14:paraId="7381478B" w14:textId="77777777" w:rsidR="007313C2" w:rsidRPr="00F33674" w:rsidRDefault="007313C2" w:rsidP="00265869">
            <w:pPr>
              <w:jc w:val="left"/>
              <w:rPr>
                <w:rFonts w:ascii="Arial Narrow" w:hAnsi="Arial Narrow" w:cs="Arial"/>
                <w:sz w:val="20"/>
                <w:szCs w:val="20"/>
              </w:rPr>
            </w:pPr>
            <w:r w:rsidRPr="00F33674">
              <w:rPr>
                <w:rFonts w:ascii="Arial Narrow" w:hAnsi="Arial Narrow" w:cs="Arial"/>
                <w:sz w:val="20"/>
                <w:szCs w:val="20"/>
              </w:rPr>
              <w:t xml:space="preserve">[7901] Shared Care Model: For prescribing by nurse practitioners where care of a patient </w:t>
            </w:r>
            <w:proofErr w:type="gramStart"/>
            <w:r w:rsidRPr="00F33674">
              <w:rPr>
                <w:rFonts w:ascii="Arial Narrow" w:hAnsi="Arial Narrow" w:cs="Arial"/>
                <w:sz w:val="20"/>
                <w:szCs w:val="20"/>
              </w:rPr>
              <w:t>is shared</w:t>
            </w:r>
            <w:proofErr w:type="gramEnd"/>
            <w:r w:rsidRPr="00F33674">
              <w:rPr>
                <w:rFonts w:ascii="Arial Narrow" w:hAnsi="Arial Narrow" w:cs="Arial"/>
                <w:sz w:val="20"/>
                <w:szCs w:val="20"/>
              </w:rPr>
              <w:t xml:space="preserve"> between a nurse practitioner and medical practitioner in a formalised arrangement with an agreed management plan. Further information </w:t>
            </w:r>
            <w:proofErr w:type="gramStart"/>
            <w:r w:rsidRPr="00F33674">
              <w:rPr>
                <w:rFonts w:ascii="Arial Narrow" w:hAnsi="Arial Narrow" w:cs="Arial"/>
                <w:sz w:val="20"/>
                <w:szCs w:val="20"/>
              </w:rPr>
              <w:t>can be found</w:t>
            </w:r>
            <w:proofErr w:type="gramEnd"/>
            <w:r w:rsidRPr="00F33674">
              <w:rPr>
                <w:rFonts w:ascii="Arial Narrow" w:hAnsi="Arial Narrow" w:cs="Arial"/>
                <w:sz w:val="20"/>
                <w:szCs w:val="20"/>
              </w:rPr>
              <w:t xml:space="preserve"> in the Explanatory Notes for Nurse Practitioners.</w:t>
            </w:r>
          </w:p>
          <w:p w14:paraId="41A28420" w14:textId="77777777" w:rsidR="007313C2" w:rsidRPr="00F33674" w:rsidRDefault="007313C2" w:rsidP="00265869">
            <w:pPr>
              <w:jc w:val="left"/>
              <w:rPr>
                <w:rFonts w:ascii="Arial Narrow" w:hAnsi="Arial Narrow" w:cs="Arial"/>
                <w:sz w:val="20"/>
                <w:szCs w:val="20"/>
              </w:rPr>
            </w:pPr>
          </w:p>
          <w:p w14:paraId="12B3975E" w14:textId="77777777" w:rsidR="007313C2" w:rsidRPr="00F33674" w:rsidRDefault="007313C2" w:rsidP="00265869">
            <w:pPr>
              <w:jc w:val="left"/>
              <w:rPr>
                <w:rFonts w:ascii="Arial Narrow" w:hAnsi="Arial Narrow" w:cs="Arial"/>
                <w:sz w:val="20"/>
                <w:szCs w:val="20"/>
              </w:rPr>
            </w:pPr>
            <w:r w:rsidRPr="00F33674">
              <w:rPr>
                <w:rFonts w:ascii="Arial Narrow" w:hAnsi="Arial Narrow" w:cs="Arial"/>
                <w:sz w:val="20"/>
                <w:szCs w:val="20"/>
              </w:rPr>
              <w:t>[new] Real time online applications for increased maximum quantities/repeats may be made using the Online PBS Authorities system (see www.servicesaustralia.gov.au/organisations/health-professionals/services/medicare/hpos/services/request-authority-using-online-pbs-authorities-hpos)</w:t>
            </w:r>
          </w:p>
          <w:p w14:paraId="0EC2BF87" w14:textId="77777777" w:rsidR="007313C2" w:rsidRPr="00F33674" w:rsidRDefault="007313C2" w:rsidP="00265869">
            <w:pPr>
              <w:jc w:val="left"/>
              <w:rPr>
                <w:rFonts w:ascii="Arial Narrow" w:hAnsi="Arial Narrow" w:cs="Arial"/>
                <w:sz w:val="20"/>
                <w:szCs w:val="20"/>
              </w:rPr>
            </w:pPr>
          </w:p>
          <w:p w14:paraId="603A515E" w14:textId="77777777" w:rsidR="007313C2" w:rsidRPr="00F33674" w:rsidRDefault="007313C2" w:rsidP="00265869">
            <w:pPr>
              <w:jc w:val="left"/>
              <w:rPr>
                <w:rFonts w:ascii="Arial Narrow" w:hAnsi="Arial Narrow" w:cs="Arial"/>
                <w:sz w:val="20"/>
                <w:szCs w:val="20"/>
              </w:rPr>
            </w:pPr>
            <w:r w:rsidRPr="00F33674">
              <w:rPr>
                <w:rFonts w:ascii="Arial Narrow" w:hAnsi="Arial Narrow" w:cs="Arial"/>
                <w:sz w:val="20"/>
                <w:szCs w:val="20"/>
              </w:rPr>
              <w:t>Phone applications for increased maximum quantities/repeats may be made by calling 1800 888 333.</w:t>
            </w:r>
          </w:p>
          <w:p w14:paraId="38506D3F" w14:textId="77777777" w:rsidR="007313C2" w:rsidRPr="00F33674" w:rsidRDefault="007313C2" w:rsidP="00265869">
            <w:pPr>
              <w:jc w:val="left"/>
              <w:rPr>
                <w:rFonts w:ascii="Arial Narrow" w:hAnsi="Arial Narrow" w:cs="Arial"/>
                <w:sz w:val="20"/>
                <w:szCs w:val="20"/>
              </w:rPr>
            </w:pPr>
          </w:p>
          <w:p w14:paraId="007BEB86" w14:textId="77777777" w:rsidR="007313C2" w:rsidRPr="00F33674" w:rsidRDefault="007313C2" w:rsidP="00265869">
            <w:pPr>
              <w:jc w:val="left"/>
              <w:rPr>
                <w:rFonts w:ascii="Arial Narrow" w:hAnsi="Arial Narrow" w:cs="Arial"/>
                <w:sz w:val="20"/>
                <w:szCs w:val="20"/>
              </w:rPr>
            </w:pPr>
            <w:r w:rsidRPr="00F33674">
              <w:rPr>
                <w:rFonts w:ascii="Arial Narrow" w:hAnsi="Arial Narrow" w:cs="Arial"/>
                <w:sz w:val="20"/>
                <w:szCs w:val="20"/>
              </w:rPr>
              <w:t>Written authority applications for increased maximum quantities/repeats can be uploaded online through HPOS form upload or mailed to:</w:t>
            </w:r>
          </w:p>
          <w:p w14:paraId="2D071ACB" w14:textId="77777777" w:rsidR="007313C2" w:rsidRPr="00F33674" w:rsidRDefault="007313C2" w:rsidP="00265869">
            <w:pPr>
              <w:jc w:val="left"/>
              <w:rPr>
                <w:rFonts w:ascii="Arial Narrow" w:hAnsi="Arial Narrow" w:cs="Arial"/>
                <w:sz w:val="20"/>
                <w:szCs w:val="20"/>
              </w:rPr>
            </w:pPr>
            <w:r w:rsidRPr="00F33674">
              <w:rPr>
                <w:rFonts w:ascii="Arial Narrow" w:hAnsi="Arial Narrow" w:cs="Arial"/>
                <w:sz w:val="20"/>
                <w:szCs w:val="20"/>
              </w:rPr>
              <w:t>Pharmaceutical Benefits Scheme</w:t>
            </w:r>
          </w:p>
          <w:p w14:paraId="049BB08C" w14:textId="77777777" w:rsidR="007313C2" w:rsidRPr="00F33674" w:rsidRDefault="007313C2" w:rsidP="00265869">
            <w:pPr>
              <w:jc w:val="left"/>
              <w:rPr>
                <w:rFonts w:ascii="Arial Narrow" w:hAnsi="Arial Narrow" w:cs="Arial"/>
                <w:sz w:val="20"/>
                <w:szCs w:val="20"/>
              </w:rPr>
            </w:pPr>
            <w:r w:rsidRPr="00F33674">
              <w:rPr>
                <w:rFonts w:ascii="Arial Narrow" w:hAnsi="Arial Narrow" w:cs="Arial"/>
                <w:sz w:val="20"/>
                <w:szCs w:val="20"/>
              </w:rPr>
              <w:t>Reply Paid 9857</w:t>
            </w:r>
          </w:p>
          <w:p w14:paraId="63D09ED2" w14:textId="77777777" w:rsidR="007313C2" w:rsidRPr="00F33674" w:rsidRDefault="007313C2" w:rsidP="00265869">
            <w:pPr>
              <w:jc w:val="left"/>
              <w:rPr>
                <w:rFonts w:ascii="Arial Narrow" w:hAnsi="Arial Narrow" w:cs="Arial"/>
                <w:i/>
                <w:sz w:val="20"/>
                <w:szCs w:val="20"/>
              </w:rPr>
            </w:pPr>
            <w:r w:rsidRPr="00F33674">
              <w:rPr>
                <w:rFonts w:ascii="Arial Narrow" w:hAnsi="Arial Narrow" w:cs="Arial"/>
                <w:sz w:val="20"/>
                <w:szCs w:val="20"/>
              </w:rPr>
              <w:t>[Your capital city]</w:t>
            </w:r>
          </w:p>
        </w:tc>
      </w:tr>
      <w:tr w:rsidR="007313C2" w:rsidRPr="00F33674" w14:paraId="7552D9C0" w14:textId="77777777" w:rsidTr="00265869">
        <w:trPr>
          <w:cantSplit/>
          <w:trHeight w:val="360"/>
        </w:trPr>
        <w:tc>
          <w:tcPr>
            <w:tcW w:w="2835" w:type="dxa"/>
            <w:tcBorders>
              <w:top w:val="single" w:sz="4" w:space="0" w:color="auto"/>
              <w:left w:val="single" w:sz="4" w:space="0" w:color="auto"/>
              <w:bottom w:val="single" w:sz="4" w:space="0" w:color="auto"/>
              <w:right w:val="single" w:sz="4" w:space="0" w:color="auto"/>
            </w:tcBorders>
          </w:tcPr>
          <w:p w14:paraId="567A0CB9" w14:textId="77777777" w:rsidR="007313C2" w:rsidRPr="00F33674" w:rsidRDefault="007313C2" w:rsidP="00265869">
            <w:pPr>
              <w:rPr>
                <w:rFonts w:ascii="Arial Narrow" w:hAnsi="Arial Narrow" w:cs="Arial"/>
                <w:b/>
                <w:sz w:val="20"/>
                <w:szCs w:val="20"/>
              </w:rPr>
            </w:pPr>
            <w:r w:rsidRPr="00F33674">
              <w:rPr>
                <w:rFonts w:ascii="Arial Narrow" w:hAnsi="Arial Narrow" w:cs="Arial"/>
                <w:b/>
                <w:sz w:val="20"/>
                <w:szCs w:val="20"/>
              </w:rPr>
              <w:t>Cautions:</w:t>
            </w:r>
          </w:p>
        </w:tc>
        <w:tc>
          <w:tcPr>
            <w:tcW w:w="6379" w:type="dxa"/>
            <w:tcBorders>
              <w:top w:val="single" w:sz="4" w:space="0" w:color="auto"/>
              <w:left w:val="single" w:sz="4" w:space="0" w:color="auto"/>
              <w:bottom w:val="single" w:sz="4" w:space="0" w:color="auto"/>
              <w:right w:val="single" w:sz="4" w:space="0" w:color="auto"/>
            </w:tcBorders>
          </w:tcPr>
          <w:p w14:paraId="2346FC89" w14:textId="77777777" w:rsidR="007313C2" w:rsidRPr="00F33674" w:rsidRDefault="007313C2" w:rsidP="00265869">
            <w:pPr>
              <w:jc w:val="left"/>
              <w:rPr>
                <w:rFonts w:ascii="Arial Narrow" w:hAnsi="Arial Narrow" w:cs="Arial"/>
                <w:sz w:val="20"/>
                <w:szCs w:val="20"/>
              </w:rPr>
            </w:pPr>
            <w:r w:rsidRPr="00F33674">
              <w:rPr>
                <w:rFonts w:ascii="Arial Narrow" w:hAnsi="Arial Narrow" w:cs="Arial"/>
                <w:sz w:val="20"/>
                <w:szCs w:val="20"/>
              </w:rPr>
              <w:t>[6986] The risk of drug dependence is high.</w:t>
            </w:r>
          </w:p>
        </w:tc>
      </w:tr>
    </w:tbl>
    <w:p w14:paraId="26270535" w14:textId="77777777" w:rsidR="00CB71CC" w:rsidRDefault="00CB71CC">
      <w:pPr>
        <w:jc w:val="left"/>
        <w:rPr>
          <w:rFonts w:asciiTheme="minorHAnsi" w:eastAsiaTheme="minorHAnsi" w:hAnsiTheme="minorHAnsi" w:cstheme="minorBidi"/>
          <w:szCs w:val="22"/>
        </w:rPr>
      </w:pPr>
      <w:r>
        <w:br w:type="page"/>
      </w:r>
    </w:p>
    <w:p w14:paraId="319D3D9C" w14:textId="4852A8EA" w:rsidR="00F33674" w:rsidRPr="00F33674" w:rsidRDefault="00F33674" w:rsidP="00630FB2">
      <w:pPr>
        <w:pStyle w:val="3-BodyText"/>
      </w:pPr>
      <w:r w:rsidRPr="00F33674">
        <w:lastRenderedPageBreak/>
        <w:t>Amend items:</w:t>
      </w:r>
    </w:p>
    <w:p w14:paraId="78516143" w14:textId="77777777" w:rsidR="00F33674" w:rsidRPr="00F33674" w:rsidRDefault="00F33674" w:rsidP="00F33674">
      <w:pPr>
        <w:keepNext/>
        <w:keepLines/>
        <w:spacing w:before="40"/>
        <w:jc w:val="left"/>
        <w:outlineLvl w:val="2"/>
        <w:rPr>
          <w:rFonts w:asciiTheme="minorHAnsi" w:eastAsiaTheme="majorEastAsia" w:hAnsiTheme="minorHAnsi" w:cstheme="majorBidi"/>
          <w:b/>
          <w:color w:val="000000" w:themeColor="text1"/>
        </w:rPr>
      </w:pPr>
      <w:bookmarkStart w:id="35" w:name="_Toc32300601"/>
      <w:r w:rsidRPr="00F33674">
        <w:rPr>
          <w:rFonts w:asciiTheme="minorHAnsi" w:eastAsiaTheme="majorEastAsia" w:hAnsiTheme="minorHAnsi" w:cstheme="majorBidi"/>
          <w:b/>
          <w:color w:val="000000" w:themeColor="text1"/>
        </w:rPr>
        <w:t xml:space="preserve">Listing 18: Restriction for long-term pain TGA indication in </w:t>
      </w:r>
      <w:proofErr w:type="gramStart"/>
      <w:r w:rsidRPr="00F33674">
        <w:rPr>
          <w:rFonts w:asciiTheme="minorHAnsi" w:eastAsiaTheme="majorEastAsia" w:hAnsiTheme="minorHAnsi" w:cstheme="majorBidi"/>
          <w:b/>
          <w:color w:val="000000" w:themeColor="text1"/>
        </w:rPr>
        <w:t>1</w:t>
      </w:r>
      <w:r w:rsidRPr="00F33674">
        <w:rPr>
          <w:rFonts w:asciiTheme="minorHAnsi" w:eastAsiaTheme="majorEastAsia" w:hAnsiTheme="minorHAnsi" w:cstheme="majorBidi"/>
          <w:b/>
          <w:color w:val="000000" w:themeColor="text1"/>
          <w:vertAlign w:val="superscript"/>
        </w:rPr>
        <w:t>st</w:t>
      </w:r>
      <w:proofErr w:type="gramEnd"/>
      <w:r w:rsidRPr="00F33674">
        <w:rPr>
          <w:rFonts w:asciiTheme="minorHAnsi" w:eastAsiaTheme="majorEastAsia" w:hAnsiTheme="minorHAnsi" w:cstheme="majorBidi"/>
          <w:b/>
          <w:color w:val="000000" w:themeColor="text1"/>
        </w:rPr>
        <w:t xml:space="preserve"> line opioid setting (oxycodone MR tablet – without naloxone – 15 mg and 30 mg):</w:t>
      </w:r>
      <w:bookmarkEnd w:id="35"/>
    </w:p>
    <w:p w14:paraId="650D2E24" w14:textId="77777777" w:rsidR="00F33674" w:rsidRPr="00F33674" w:rsidRDefault="00F33674" w:rsidP="00F33674">
      <w:pPr>
        <w:jc w:val="left"/>
      </w:pPr>
    </w:p>
    <w:tbl>
      <w:tblPr>
        <w:tblW w:w="9121" w:type="dxa"/>
        <w:tblLook w:val="04A0" w:firstRow="1" w:lastRow="0" w:firstColumn="1" w:lastColumn="0" w:noHBand="0" w:noVBand="1"/>
      </w:tblPr>
      <w:tblGrid>
        <w:gridCol w:w="1283"/>
        <w:gridCol w:w="709"/>
        <w:gridCol w:w="2552"/>
        <w:gridCol w:w="661"/>
        <w:gridCol w:w="615"/>
        <w:gridCol w:w="1324"/>
        <w:gridCol w:w="1977"/>
      </w:tblGrid>
      <w:tr w:rsidR="00F33674" w:rsidRPr="00F33674" w14:paraId="0F572746" w14:textId="77777777" w:rsidTr="00F33674">
        <w:trPr>
          <w:trHeight w:val="300"/>
        </w:trPr>
        <w:tc>
          <w:tcPr>
            <w:tcW w:w="1283" w:type="dxa"/>
            <w:tcBorders>
              <w:bottom w:val="single" w:sz="4" w:space="0" w:color="auto"/>
            </w:tcBorders>
            <w:shd w:val="clear" w:color="auto" w:fill="auto"/>
            <w:noWrap/>
            <w:hideMark/>
          </w:tcPr>
          <w:p w14:paraId="45AFFD02"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LI Drug</w:t>
            </w:r>
          </w:p>
        </w:tc>
        <w:tc>
          <w:tcPr>
            <w:tcW w:w="709" w:type="dxa"/>
            <w:tcBorders>
              <w:bottom w:val="single" w:sz="4" w:space="0" w:color="auto"/>
            </w:tcBorders>
            <w:shd w:val="clear" w:color="auto" w:fill="auto"/>
          </w:tcPr>
          <w:p w14:paraId="0B8A1F14"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Item Code</w:t>
            </w:r>
          </w:p>
        </w:tc>
        <w:tc>
          <w:tcPr>
            <w:tcW w:w="2552" w:type="dxa"/>
            <w:tcBorders>
              <w:bottom w:val="single" w:sz="4" w:space="0" w:color="auto"/>
            </w:tcBorders>
            <w:shd w:val="clear" w:color="auto" w:fill="auto"/>
            <w:noWrap/>
            <w:hideMark/>
          </w:tcPr>
          <w:p w14:paraId="4CD70494"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Legal Instrument Form</w:t>
            </w:r>
          </w:p>
        </w:tc>
        <w:tc>
          <w:tcPr>
            <w:tcW w:w="661" w:type="dxa"/>
            <w:tcBorders>
              <w:bottom w:val="single" w:sz="4" w:space="0" w:color="auto"/>
            </w:tcBorders>
            <w:shd w:val="clear" w:color="auto" w:fill="auto"/>
            <w:noWrap/>
            <w:hideMark/>
          </w:tcPr>
          <w:p w14:paraId="6FD77216"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Max. Qty</w:t>
            </w:r>
          </w:p>
        </w:tc>
        <w:tc>
          <w:tcPr>
            <w:tcW w:w="615" w:type="dxa"/>
            <w:tcBorders>
              <w:bottom w:val="single" w:sz="4" w:space="0" w:color="auto"/>
            </w:tcBorders>
            <w:shd w:val="clear" w:color="auto" w:fill="auto"/>
            <w:noWrap/>
            <w:hideMark/>
          </w:tcPr>
          <w:p w14:paraId="3740AB68"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No. Rpt</w:t>
            </w:r>
          </w:p>
        </w:tc>
        <w:tc>
          <w:tcPr>
            <w:tcW w:w="1324" w:type="dxa"/>
            <w:tcBorders>
              <w:bottom w:val="single" w:sz="4" w:space="0" w:color="auto"/>
            </w:tcBorders>
            <w:shd w:val="clear" w:color="auto" w:fill="auto"/>
            <w:noWrap/>
            <w:hideMark/>
          </w:tcPr>
          <w:p w14:paraId="46FC8089"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Brand Name</w:t>
            </w:r>
          </w:p>
        </w:tc>
        <w:tc>
          <w:tcPr>
            <w:tcW w:w="1977" w:type="dxa"/>
            <w:tcBorders>
              <w:bottom w:val="single" w:sz="4" w:space="0" w:color="auto"/>
            </w:tcBorders>
            <w:shd w:val="clear" w:color="auto" w:fill="auto"/>
            <w:noWrap/>
            <w:hideMark/>
          </w:tcPr>
          <w:p w14:paraId="5FDBD3BF"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Responsible Person</w:t>
            </w:r>
          </w:p>
        </w:tc>
      </w:tr>
      <w:tr w:rsidR="00F33674" w:rsidRPr="00F33674" w14:paraId="434D59E6" w14:textId="77777777" w:rsidTr="00F33674">
        <w:trPr>
          <w:trHeight w:val="300"/>
        </w:trPr>
        <w:tc>
          <w:tcPr>
            <w:tcW w:w="1283" w:type="dxa"/>
            <w:shd w:val="clear" w:color="auto" w:fill="auto"/>
            <w:noWrap/>
          </w:tcPr>
          <w:p w14:paraId="1D8A5697"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OXYCODONE</w:t>
            </w:r>
          </w:p>
        </w:tc>
        <w:tc>
          <w:tcPr>
            <w:tcW w:w="709" w:type="dxa"/>
            <w:shd w:val="clear" w:color="auto" w:fill="auto"/>
          </w:tcPr>
          <w:p w14:paraId="5F288E22"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9399Q</w:t>
            </w:r>
          </w:p>
        </w:tc>
        <w:tc>
          <w:tcPr>
            <w:tcW w:w="2552" w:type="dxa"/>
            <w:shd w:val="clear" w:color="auto" w:fill="auto"/>
            <w:noWrap/>
            <w:hideMark/>
          </w:tcPr>
          <w:p w14:paraId="31E19FCB"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Tablet containing oxycodone hydrochloride 15 mg (controlled release)</w:t>
            </w:r>
          </w:p>
        </w:tc>
        <w:tc>
          <w:tcPr>
            <w:tcW w:w="661" w:type="dxa"/>
            <w:shd w:val="clear" w:color="auto" w:fill="auto"/>
            <w:noWrap/>
            <w:hideMark/>
          </w:tcPr>
          <w:p w14:paraId="37BC08BC" w14:textId="77777777" w:rsidR="00F33674" w:rsidRPr="00F33674" w:rsidRDefault="00F33674" w:rsidP="00F33674">
            <w:pPr>
              <w:jc w:val="righ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28</w:t>
            </w:r>
          </w:p>
        </w:tc>
        <w:tc>
          <w:tcPr>
            <w:tcW w:w="615" w:type="dxa"/>
            <w:shd w:val="clear" w:color="auto" w:fill="auto"/>
            <w:noWrap/>
            <w:hideMark/>
          </w:tcPr>
          <w:p w14:paraId="43A7F3E8" w14:textId="77777777" w:rsidR="00F33674" w:rsidRPr="00F33674" w:rsidRDefault="00F33674" w:rsidP="00F33674">
            <w:pPr>
              <w:jc w:val="righ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0</w:t>
            </w:r>
          </w:p>
        </w:tc>
        <w:tc>
          <w:tcPr>
            <w:tcW w:w="1324" w:type="dxa"/>
            <w:shd w:val="clear" w:color="auto" w:fill="auto"/>
            <w:noWrap/>
            <w:hideMark/>
          </w:tcPr>
          <w:p w14:paraId="1D44DC6E"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OxyContin</w:t>
            </w:r>
          </w:p>
        </w:tc>
        <w:tc>
          <w:tcPr>
            <w:tcW w:w="1977" w:type="dxa"/>
            <w:shd w:val="clear" w:color="auto" w:fill="auto"/>
            <w:noWrap/>
            <w:hideMark/>
          </w:tcPr>
          <w:p w14:paraId="75C936EF"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Mundipharma Pty Limited</w:t>
            </w:r>
          </w:p>
        </w:tc>
      </w:tr>
      <w:tr w:rsidR="00F33674" w:rsidRPr="00F33674" w14:paraId="6CDB73A6" w14:textId="77777777" w:rsidTr="00F33674">
        <w:trPr>
          <w:trHeight w:val="300"/>
        </w:trPr>
        <w:tc>
          <w:tcPr>
            <w:tcW w:w="1283" w:type="dxa"/>
            <w:shd w:val="clear" w:color="auto" w:fill="auto"/>
            <w:noWrap/>
          </w:tcPr>
          <w:p w14:paraId="097E95C3" w14:textId="77777777" w:rsidR="00F33674" w:rsidRPr="00F33674" w:rsidRDefault="00F33674" w:rsidP="00F33674">
            <w:pPr>
              <w:jc w:val="left"/>
              <w:rPr>
                <w:rFonts w:ascii="Arial Narrow" w:hAnsi="Arial Narrow" w:cs="Calibri"/>
                <w:color w:val="000000"/>
                <w:sz w:val="20"/>
                <w:szCs w:val="20"/>
                <w:lang w:eastAsia="en-AU"/>
              </w:rPr>
            </w:pPr>
          </w:p>
        </w:tc>
        <w:tc>
          <w:tcPr>
            <w:tcW w:w="709" w:type="dxa"/>
            <w:shd w:val="clear" w:color="auto" w:fill="auto"/>
          </w:tcPr>
          <w:p w14:paraId="58441F13"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9400R</w:t>
            </w:r>
          </w:p>
        </w:tc>
        <w:tc>
          <w:tcPr>
            <w:tcW w:w="2552" w:type="dxa"/>
            <w:shd w:val="clear" w:color="auto" w:fill="auto"/>
            <w:noWrap/>
            <w:hideMark/>
          </w:tcPr>
          <w:p w14:paraId="4868EF72"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Tablet containing oxycodone hydrochloride 30 mg (controlled release)</w:t>
            </w:r>
          </w:p>
        </w:tc>
        <w:tc>
          <w:tcPr>
            <w:tcW w:w="661" w:type="dxa"/>
            <w:shd w:val="clear" w:color="auto" w:fill="auto"/>
            <w:noWrap/>
            <w:hideMark/>
          </w:tcPr>
          <w:p w14:paraId="7CB6D68E" w14:textId="77777777" w:rsidR="00F33674" w:rsidRPr="00F33674" w:rsidRDefault="00F33674" w:rsidP="00F33674">
            <w:pPr>
              <w:jc w:val="righ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28</w:t>
            </w:r>
          </w:p>
        </w:tc>
        <w:tc>
          <w:tcPr>
            <w:tcW w:w="615" w:type="dxa"/>
            <w:shd w:val="clear" w:color="auto" w:fill="auto"/>
            <w:noWrap/>
            <w:hideMark/>
          </w:tcPr>
          <w:p w14:paraId="0D52063E" w14:textId="77777777" w:rsidR="00F33674" w:rsidRPr="00F33674" w:rsidRDefault="00F33674" w:rsidP="00F33674">
            <w:pPr>
              <w:jc w:val="righ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0</w:t>
            </w:r>
          </w:p>
        </w:tc>
        <w:tc>
          <w:tcPr>
            <w:tcW w:w="1324" w:type="dxa"/>
            <w:shd w:val="clear" w:color="auto" w:fill="auto"/>
            <w:noWrap/>
            <w:hideMark/>
          </w:tcPr>
          <w:p w14:paraId="1EC6275B"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OxyContin</w:t>
            </w:r>
          </w:p>
        </w:tc>
        <w:tc>
          <w:tcPr>
            <w:tcW w:w="1977" w:type="dxa"/>
            <w:shd w:val="clear" w:color="auto" w:fill="auto"/>
            <w:noWrap/>
            <w:hideMark/>
          </w:tcPr>
          <w:p w14:paraId="32E095B1"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Mundipharma Pty Limited</w:t>
            </w:r>
          </w:p>
        </w:tc>
      </w:tr>
    </w:tbl>
    <w:p w14:paraId="39F0AB08" w14:textId="77777777" w:rsidR="00F33674" w:rsidRPr="00F33674" w:rsidRDefault="00F33674" w:rsidP="00F33674">
      <w:pPr>
        <w:ind w:left="360" w:hanging="360"/>
        <w:contextualSpacing/>
        <w:jc w:val="left"/>
      </w:pPr>
    </w:p>
    <w:tbl>
      <w:tblPr>
        <w:tblW w:w="9214" w:type="dxa"/>
        <w:tblInd w:w="-5" w:type="dxa"/>
        <w:tblLayout w:type="fixed"/>
        <w:tblLook w:val="0000" w:firstRow="0" w:lastRow="0" w:firstColumn="0" w:lastColumn="0" w:noHBand="0" w:noVBand="0"/>
      </w:tblPr>
      <w:tblGrid>
        <w:gridCol w:w="2835"/>
        <w:gridCol w:w="6379"/>
      </w:tblGrid>
      <w:tr w:rsidR="00F33674" w:rsidRPr="00F33674" w14:paraId="1A739E74" w14:textId="77777777" w:rsidTr="00F33674">
        <w:trPr>
          <w:cantSplit/>
          <w:trHeight w:val="360"/>
        </w:trPr>
        <w:tc>
          <w:tcPr>
            <w:tcW w:w="2835" w:type="dxa"/>
            <w:tcBorders>
              <w:top w:val="single" w:sz="4" w:space="0" w:color="auto"/>
              <w:left w:val="single" w:sz="4" w:space="0" w:color="auto"/>
              <w:bottom w:val="single" w:sz="4" w:space="0" w:color="auto"/>
              <w:right w:val="single" w:sz="4" w:space="0" w:color="auto"/>
            </w:tcBorders>
          </w:tcPr>
          <w:p w14:paraId="60DE11F8" w14:textId="77777777" w:rsidR="00F33674" w:rsidRPr="00F33674" w:rsidRDefault="00F33674" w:rsidP="00F33674">
            <w:pPr>
              <w:rPr>
                <w:rFonts w:ascii="Arial Narrow" w:hAnsi="Arial Narrow" w:cs="Arial"/>
                <w:b/>
                <w:sz w:val="20"/>
                <w:szCs w:val="20"/>
              </w:rPr>
            </w:pPr>
            <w:r w:rsidRPr="00F33674">
              <w:rPr>
                <w:rFonts w:ascii="Arial Narrow" w:hAnsi="Arial Narrow" w:cs="Arial"/>
                <w:b/>
                <w:sz w:val="20"/>
                <w:szCs w:val="20"/>
              </w:rPr>
              <w:t>Category / Program:</w:t>
            </w:r>
          </w:p>
        </w:tc>
        <w:tc>
          <w:tcPr>
            <w:tcW w:w="6379" w:type="dxa"/>
            <w:tcBorders>
              <w:top w:val="single" w:sz="4" w:space="0" w:color="auto"/>
              <w:left w:val="single" w:sz="4" w:space="0" w:color="auto"/>
              <w:bottom w:val="single" w:sz="4" w:space="0" w:color="auto"/>
              <w:right w:val="single" w:sz="4" w:space="0" w:color="auto"/>
            </w:tcBorders>
          </w:tcPr>
          <w:p w14:paraId="42643C8C" w14:textId="77777777" w:rsidR="00F33674" w:rsidRPr="00F33674" w:rsidRDefault="00F33674" w:rsidP="00F33674">
            <w:pPr>
              <w:rPr>
                <w:rFonts w:ascii="Arial Narrow" w:hAnsi="Arial Narrow" w:cs="Arial"/>
                <w:sz w:val="20"/>
                <w:szCs w:val="20"/>
              </w:rPr>
            </w:pPr>
            <w:r w:rsidRPr="00F33674">
              <w:rPr>
                <w:rFonts w:ascii="Arial Narrow" w:hAnsi="Arial Narrow" w:cs="Arial"/>
                <w:sz w:val="20"/>
                <w:szCs w:val="20"/>
              </w:rPr>
              <w:t>GENERAL – General Schedule (Code GE)</w:t>
            </w:r>
          </w:p>
        </w:tc>
      </w:tr>
      <w:tr w:rsidR="00F33674" w:rsidRPr="00F33674" w14:paraId="751F1744" w14:textId="77777777" w:rsidTr="00F33674">
        <w:trPr>
          <w:cantSplit/>
          <w:trHeight w:val="360"/>
        </w:trPr>
        <w:tc>
          <w:tcPr>
            <w:tcW w:w="2835" w:type="dxa"/>
            <w:tcBorders>
              <w:top w:val="single" w:sz="4" w:space="0" w:color="auto"/>
              <w:left w:val="single" w:sz="4" w:space="0" w:color="auto"/>
              <w:bottom w:val="single" w:sz="4" w:space="0" w:color="auto"/>
              <w:right w:val="single" w:sz="4" w:space="0" w:color="auto"/>
            </w:tcBorders>
          </w:tcPr>
          <w:p w14:paraId="60928894" w14:textId="77777777" w:rsidR="00F33674" w:rsidRPr="00F33674" w:rsidRDefault="00F33674" w:rsidP="00F33674">
            <w:pPr>
              <w:rPr>
                <w:rFonts w:ascii="Arial Narrow" w:hAnsi="Arial Narrow" w:cs="Arial"/>
                <w:b/>
                <w:sz w:val="20"/>
                <w:szCs w:val="20"/>
              </w:rPr>
            </w:pPr>
            <w:r w:rsidRPr="00F33674">
              <w:rPr>
                <w:rFonts w:ascii="Arial Narrow" w:hAnsi="Arial Narrow" w:cs="Arial"/>
                <w:b/>
                <w:sz w:val="20"/>
                <w:szCs w:val="20"/>
              </w:rPr>
              <w:t>Prescriber type:</w:t>
            </w:r>
          </w:p>
          <w:p w14:paraId="708E77B2" w14:textId="77777777" w:rsidR="00F33674" w:rsidRPr="00F33674" w:rsidRDefault="00F33674" w:rsidP="00F33674">
            <w:pPr>
              <w:rPr>
                <w:rFonts w:ascii="Arial Narrow" w:hAnsi="Arial Narrow" w:cs="Arial"/>
                <w:b/>
                <w:sz w:val="20"/>
                <w:szCs w:val="20"/>
              </w:rPr>
            </w:pPr>
          </w:p>
        </w:tc>
        <w:tc>
          <w:tcPr>
            <w:tcW w:w="6379" w:type="dxa"/>
            <w:tcBorders>
              <w:top w:val="single" w:sz="4" w:space="0" w:color="auto"/>
              <w:left w:val="single" w:sz="4" w:space="0" w:color="auto"/>
              <w:bottom w:val="single" w:sz="4" w:space="0" w:color="auto"/>
              <w:right w:val="single" w:sz="4" w:space="0" w:color="auto"/>
            </w:tcBorders>
          </w:tcPr>
          <w:p w14:paraId="2492D104" w14:textId="2A176D67" w:rsidR="00F33674" w:rsidRPr="00F33674" w:rsidRDefault="00F33674" w:rsidP="00F33674">
            <w:pPr>
              <w:rPr>
                <w:rFonts w:ascii="Arial Narrow" w:hAnsi="Arial Narrow" w:cs="Arial"/>
                <w:sz w:val="20"/>
                <w:szCs w:val="20"/>
              </w:rPr>
            </w:pPr>
            <w:r w:rsidRPr="00F33674">
              <w:rPr>
                <w:rFonts w:ascii="Arial Narrow" w:hAnsi="Arial Narrow" w:cs="Arial"/>
                <w:sz w:val="20"/>
                <w:szCs w:val="20"/>
              </w:rPr>
              <w:fldChar w:fldCharType="begin">
                <w:ffData>
                  <w:name w:val="Check1"/>
                  <w:enabled/>
                  <w:calcOnExit w:val="0"/>
                  <w:checkBox>
                    <w:sizeAuto/>
                    <w:default w:val="0"/>
                  </w:checkBox>
                </w:ffData>
              </w:fldChar>
            </w:r>
            <w:r w:rsidRPr="00F33674">
              <w:rPr>
                <w:rFonts w:ascii="Arial Narrow" w:hAnsi="Arial Narrow" w:cs="Arial"/>
                <w:sz w:val="20"/>
                <w:szCs w:val="20"/>
              </w:rPr>
              <w:instrText xml:space="preserve"> FORMCHECKBOX </w:instrText>
            </w:r>
            <w:r w:rsidR="00233D13">
              <w:rPr>
                <w:rFonts w:ascii="Arial Narrow" w:hAnsi="Arial Narrow" w:cs="Arial"/>
                <w:sz w:val="20"/>
                <w:szCs w:val="20"/>
              </w:rPr>
            </w:r>
            <w:r w:rsidR="00233D13">
              <w:rPr>
                <w:rFonts w:ascii="Arial Narrow" w:hAnsi="Arial Narrow" w:cs="Arial"/>
                <w:sz w:val="20"/>
                <w:szCs w:val="20"/>
              </w:rPr>
              <w:fldChar w:fldCharType="separate"/>
            </w:r>
            <w:r w:rsidRPr="00F33674">
              <w:rPr>
                <w:rFonts w:ascii="Arial Narrow" w:hAnsi="Arial Narrow" w:cs="Arial"/>
                <w:sz w:val="20"/>
                <w:szCs w:val="20"/>
              </w:rPr>
              <w:fldChar w:fldCharType="end"/>
            </w:r>
            <w:r w:rsidRPr="00F33674">
              <w:rPr>
                <w:rFonts w:ascii="Arial Narrow" w:hAnsi="Arial Narrow" w:cs="Arial"/>
                <w:sz w:val="20"/>
                <w:szCs w:val="20"/>
              </w:rPr>
              <w:t>Dental</w:t>
            </w:r>
            <w:r w:rsidR="002C1329">
              <w:rPr>
                <w:rFonts w:ascii="Arial Narrow" w:hAnsi="Arial Narrow" w:cs="Arial"/>
                <w:sz w:val="20"/>
                <w:szCs w:val="20"/>
              </w:rPr>
              <w:t xml:space="preserve"> </w:t>
            </w:r>
            <w:r w:rsidRPr="00F33674">
              <w:rPr>
                <w:rFonts w:ascii="Arial Narrow" w:hAnsi="Arial Narrow" w:cs="Arial"/>
                <w:sz w:val="20"/>
                <w:szCs w:val="20"/>
              </w:rPr>
              <w:fldChar w:fldCharType="begin">
                <w:ffData>
                  <w:name w:val=""/>
                  <w:enabled/>
                  <w:calcOnExit w:val="0"/>
                  <w:checkBox>
                    <w:sizeAuto/>
                    <w:default w:val="1"/>
                  </w:checkBox>
                </w:ffData>
              </w:fldChar>
            </w:r>
            <w:r w:rsidRPr="00F33674">
              <w:rPr>
                <w:rFonts w:ascii="Arial Narrow" w:hAnsi="Arial Narrow" w:cs="Arial"/>
                <w:sz w:val="20"/>
                <w:szCs w:val="20"/>
              </w:rPr>
              <w:instrText xml:space="preserve"> FORMCHECKBOX </w:instrText>
            </w:r>
            <w:r w:rsidR="00233D13">
              <w:rPr>
                <w:rFonts w:ascii="Arial Narrow" w:hAnsi="Arial Narrow" w:cs="Arial"/>
                <w:sz w:val="20"/>
                <w:szCs w:val="20"/>
              </w:rPr>
            </w:r>
            <w:r w:rsidR="00233D13">
              <w:rPr>
                <w:rFonts w:ascii="Arial Narrow" w:hAnsi="Arial Narrow" w:cs="Arial"/>
                <w:sz w:val="20"/>
                <w:szCs w:val="20"/>
              </w:rPr>
              <w:fldChar w:fldCharType="separate"/>
            </w:r>
            <w:r w:rsidRPr="00F33674">
              <w:rPr>
                <w:rFonts w:ascii="Arial Narrow" w:hAnsi="Arial Narrow" w:cs="Arial"/>
                <w:sz w:val="20"/>
                <w:szCs w:val="20"/>
              </w:rPr>
              <w:fldChar w:fldCharType="end"/>
            </w:r>
            <w:r w:rsidRPr="00F33674">
              <w:rPr>
                <w:rFonts w:ascii="Arial Narrow" w:hAnsi="Arial Narrow" w:cs="Arial"/>
                <w:sz w:val="20"/>
                <w:szCs w:val="20"/>
              </w:rPr>
              <w:t>Medical Practitioners</w:t>
            </w:r>
            <w:r w:rsidR="002C1329">
              <w:rPr>
                <w:rFonts w:ascii="Arial Narrow" w:hAnsi="Arial Narrow" w:cs="Arial"/>
                <w:sz w:val="20"/>
                <w:szCs w:val="20"/>
              </w:rPr>
              <w:t xml:space="preserve"> </w:t>
            </w:r>
            <w:r w:rsidRPr="00F33674">
              <w:rPr>
                <w:rFonts w:ascii="Arial Narrow" w:hAnsi="Arial Narrow" w:cs="Arial"/>
                <w:sz w:val="20"/>
                <w:szCs w:val="20"/>
              </w:rPr>
              <w:fldChar w:fldCharType="begin">
                <w:ffData>
                  <w:name w:val="Check3"/>
                  <w:enabled/>
                  <w:calcOnExit w:val="0"/>
                  <w:checkBox>
                    <w:sizeAuto/>
                    <w:default w:val="1"/>
                  </w:checkBox>
                </w:ffData>
              </w:fldChar>
            </w:r>
            <w:r w:rsidRPr="00F33674">
              <w:rPr>
                <w:rFonts w:ascii="Arial Narrow" w:hAnsi="Arial Narrow" w:cs="Arial"/>
                <w:sz w:val="20"/>
                <w:szCs w:val="20"/>
              </w:rPr>
              <w:instrText xml:space="preserve"> FORMCHECKBOX </w:instrText>
            </w:r>
            <w:r w:rsidR="00233D13">
              <w:rPr>
                <w:rFonts w:ascii="Arial Narrow" w:hAnsi="Arial Narrow" w:cs="Arial"/>
                <w:sz w:val="20"/>
                <w:szCs w:val="20"/>
              </w:rPr>
            </w:r>
            <w:r w:rsidR="00233D13">
              <w:rPr>
                <w:rFonts w:ascii="Arial Narrow" w:hAnsi="Arial Narrow" w:cs="Arial"/>
                <w:sz w:val="20"/>
                <w:szCs w:val="20"/>
              </w:rPr>
              <w:fldChar w:fldCharType="separate"/>
            </w:r>
            <w:r w:rsidRPr="00F33674">
              <w:rPr>
                <w:rFonts w:ascii="Arial Narrow" w:hAnsi="Arial Narrow" w:cs="Arial"/>
                <w:sz w:val="20"/>
                <w:szCs w:val="20"/>
              </w:rPr>
              <w:fldChar w:fldCharType="end"/>
            </w:r>
            <w:r w:rsidRPr="00F33674">
              <w:rPr>
                <w:rFonts w:ascii="Arial Narrow" w:hAnsi="Arial Narrow" w:cs="Arial"/>
                <w:sz w:val="20"/>
                <w:szCs w:val="20"/>
              </w:rPr>
              <w:t>Nurse practitioners</w:t>
            </w:r>
            <w:r w:rsidR="002C1329">
              <w:rPr>
                <w:rFonts w:ascii="Arial Narrow" w:hAnsi="Arial Narrow" w:cs="Arial"/>
                <w:sz w:val="20"/>
                <w:szCs w:val="20"/>
              </w:rPr>
              <w:t xml:space="preserve"> </w:t>
            </w:r>
            <w:r w:rsidRPr="00F33674">
              <w:rPr>
                <w:rFonts w:ascii="Arial Narrow" w:hAnsi="Arial Narrow" w:cs="Arial"/>
                <w:sz w:val="20"/>
                <w:szCs w:val="20"/>
              </w:rPr>
              <w:fldChar w:fldCharType="begin">
                <w:ffData>
                  <w:name w:val=""/>
                  <w:enabled/>
                  <w:calcOnExit w:val="0"/>
                  <w:checkBox>
                    <w:sizeAuto/>
                    <w:default w:val="0"/>
                  </w:checkBox>
                </w:ffData>
              </w:fldChar>
            </w:r>
            <w:r w:rsidRPr="00F33674">
              <w:rPr>
                <w:rFonts w:ascii="Arial Narrow" w:hAnsi="Arial Narrow" w:cs="Arial"/>
                <w:sz w:val="20"/>
                <w:szCs w:val="20"/>
              </w:rPr>
              <w:instrText xml:space="preserve"> FORMCHECKBOX </w:instrText>
            </w:r>
            <w:r w:rsidR="00233D13">
              <w:rPr>
                <w:rFonts w:ascii="Arial Narrow" w:hAnsi="Arial Narrow" w:cs="Arial"/>
                <w:sz w:val="20"/>
                <w:szCs w:val="20"/>
              </w:rPr>
            </w:r>
            <w:r w:rsidR="00233D13">
              <w:rPr>
                <w:rFonts w:ascii="Arial Narrow" w:hAnsi="Arial Narrow" w:cs="Arial"/>
                <w:sz w:val="20"/>
                <w:szCs w:val="20"/>
              </w:rPr>
              <w:fldChar w:fldCharType="separate"/>
            </w:r>
            <w:r w:rsidRPr="00F33674">
              <w:rPr>
                <w:rFonts w:ascii="Arial Narrow" w:hAnsi="Arial Narrow" w:cs="Arial"/>
                <w:sz w:val="20"/>
                <w:szCs w:val="20"/>
              </w:rPr>
              <w:fldChar w:fldCharType="end"/>
            </w:r>
            <w:r w:rsidRPr="00F33674">
              <w:rPr>
                <w:rFonts w:ascii="Arial Narrow" w:hAnsi="Arial Narrow" w:cs="Arial"/>
                <w:sz w:val="20"/>
                <w:szCs w:val="20"/>
              </w:rPr>
              <w:t>Optometrists</w:t>
            </w:r>
          </w:p>
          <w:p w14:paraId="2F6948EA" w14:textId="77777777" w:rsidR="00F33674" w:rsidRPr="00F33674" w:rsidRDefault="00F33674" w:rsidP="00F33674">
            <w:pPr>
              <w:rPr>
                <w:rFonts w:ascii="Arial Narrow" w:hAnsi="Arial Narrow" w:cs="Arial"/>
                <w:sz w:val="20"/>
                <w:szCs w:val="20"/>
              </w:rPr>
            </w:pPr>
            <w:r w:rsidRPr="00F33674">
              <w:rPr>
                <w:rFonts w:ascii="Arial Narrow" w:hAnsi="Arial Narrow" w:cs="Arial"/>
                <w:sz w:val="20"/>
                <w:szCs w:val="20"/>
              </w:rPr>
              <w:fldChar w:fldCharType="begin">
                <w:ffData>
                  <w:name w:val="Check5"/>
                  <w:enabled/>
                  <w:calcOnExit w:val="0"/>
                  <w:checkBox>
                    <w:sizeAuto/>
                    <w:default w:val="0"/>
                  </w:checkBox>
                </w:ffData>
              </w:fldChar>
            </w:r>
            <w:r w:rsidRPr="00F33674">
              <w:rPr>
                <w:rFonts w:ascii="Arial Narrow" w:hAnsi="Arial Narrow" w:cs="Arial"/>
                <w:sz w:val="20"/>
                <w:szCs w:val="20"/>
              </w:rPr>
              <w:instrText xml:space="preserve"> FORMCHECKBOX </w:instrText>
            </w:r>
            <w:r w:rsidR="00233D13">
              <w:rPr>
                <w:rFonts w:ascii="Arial Narrow" w:hAnsi="Arial Narrow" w:cs="Arial"/>
                <w:sz w:val="20"/>
                <w:szCs w:val="20"/>
              </w:rPr>
            </w:r>
            <w:r w:rsidR="00233D13">
              <w:rPr>
                <w:rFonts w:ascii="Arial Narrow" w:hAnsi="Arial Narrow" w:cs="Arial"/>
                <w:sz w:val="20"/>
                <w:szCs w:val="20"/>
              </w:rPr>
              <w:fldChar w:fldCharType="separate"/>
            </w:r>
            <w:r w:rsidRPr="00F33674">
              <w:rPr>
                <w:rFonts w:ascii="Arial Narrow" w:hAnsi="Arial Narrow" w:cs="Arial"/>
                <w:sz w:val="20"/>
                <w:szCs w:val="20"/>
              </w:rPr>
              <w:fldChar w:fldCharType="end"/>
            </w:r>
            <w:r w:rsidRPr="00F33674">
              <w:rPr>
                <w:rFonts w:ascii="Arial Narrow" w:hAnsi="Arial Narrow" w:cs="Arial"/>
                <w:sz w:val="20"/>
                <w:szCs w:val="20"/>
              </w:rPr>
              <w:t>Midwives</w:t>
            </w:r>
          </w:p>
        </w:tc>
      </w:tr>
      <w:tr w:rsidR="00F33674" w:rsidRPr="00F33674" w14:paraId="5DF67DAC" w14:textId="77777777" w:rsidTr="00F33674">
        <w:trPr>
          <w:cantSplit/>
          <w:trHeight w:val="369"/>
        </w:trPr>
        <w:tc>
          <w:tcPr>
            <w:tcW w:w="2835" w:type="dxa"/>
            <w:tcBorders>
              <w:top w:val="single" w:sz="4" w:space="0" w:color="auto"/>
              <w:left w:val="single" w:sz="4" w:space="0" w:color="auto"/>
              <w:bottom w:val="single" w:sz="4" w:space="0" w:color="auto"/>
              <w:right w:val="single" w:sz="4" w:space="0" w:color="auto"/>
            </w:tcBorders>
          </w:tcPr>
          <w:p w14:paraId="44CC78E0" w14:textId="77777777" w:rsidR="00F33674" w:rsidRPr="00F33674" w:rsidRDefault="00F33674" w:rsidP="00F33674">
            <w:pPr>
              <w:rPr>
                <w:rFonts w:ascii="Arial Narrow" w:hAnsi="Arial Narrow" w:cs="Arial"/>
                <w:b/>
                <w:sz w:val="20"/>
                <w:szCs w:val="20"/>
              </w:rPr>
            </w:pPr>
            <w:r w:rsidRPr="00F33674">
              <w:rPr>
                <w:rFonts w:ascii="Arial Narrow" w:hAnsi="Arial Narrow" w:cs="Arial"/>
                <w:b/>
                <w:sz w:val="20"/>
                <w:szCs w:val="20"/>
              </w:rPr>
              <w:t>PBS indication:</w:t>
            </w:r>
          </w:p>
        </w:tc>
        <w:tc>
          <w:tcPr>
            <w:tcW w:w="6379" w:type="dxa"/>
            <w:tcBorders>
              <w:top w:val="single" w:sz="4" w:space="0" w:color="auto"/>
              <w:left w:val="single" w:sz="4" w:space="0" w:color="auto"/>
              <w:bottom w:val="single" w:sz="4" w:space="0" w:color="auto"/>
              <w:right w:val="single" w:sz="4" w:space="0" w:color="auto"/>
            </w:tcBorders>
          </w:tcPr>
          <w:p w14:paraId="7345F5E0" w14:textId="77777777" w:rsidR="00F33674" w:rsidRPr="00F33674" w:rsidRDefault="00F33674" w:rsidP="00F33674">
            <w:pPr>
              <w:rPr>
                <w:rFonts w:ascii="Arial Narrow" w:hAnsi="Arial Narrow" w:cs="Arial"/>
                <w:sz w:val="20"/>
                <w:szCs w:val="20"/>
              </w:rPr>
            </w:pPr>
            <w:r w:rsidRPr="00F33674">
              <w:rPr>
                <w:rFonts w:ascii="Arial Narrow" w:hAnsi="Arial Narrow" w:cs="Arial"/>
                <w:sz w:val="20"/>
                <w:szCs w:val="20"/>
              </w:rPr>
              <w:t>[new] Chronic severe pain</w:t>
            </w:r>
          </w:p>
        </w:tc>
      </w:tr>
      <w:tr w:rsidR="00F33674" w:rsidRPr="00F33674" w14:paraId="0ED1E4D4" w14:textId="77777777" w:rsidTr="00F33674">
        <w:trPr>
          <w:cantSplit/>
          <w:trHeight w:val="360"/>
        </w:trPr>
        <w:tc>
          <w:tcPr>
            <w:tcW w:w="2835" w:type="dxa"/>
            <w:tcBorders>
              <w:top w:val="single" w:sz="4" w:space="0" w:color="auto"/>
              <w:left w:val="single" w:sz="4" w:space="0" w:color="auto"/>
              <w:bottom w:val="single" w:sz="4" w:space="0" w:color="auto"/>
              <w:right w:val="single" w:sz="4" w:space="0" w:color="auto"/>
            </w:tcBorders>
          </w:tcPr>
          <w:p w14:paraId="54400D85" w14:textId="77777777" w:rsidR="00F33674" w:rsidRPr="00F33674" w:rsidRDefault="00F33674" w:rsidP="00F33674">
            <w:pPr>
              <w:rPr>
                <w:rFonts w:ascii="Arial Narrow" w:hAnsi="Arial Narrow" w:cs="Arial"/>
                <w:b/>
                <w:sz w:val="20"/>
                <w:szCs w:val="20"/>
              </w:rPr>
            </w:pPr>
            <w:r w:rsidRPr="00F33674">
              <w:rPr>
                <w:rFonts w:ascii="Arial Narrow" w:hAnsi="Arial Narrow" w:cs="Arial"/>
                <w:b/>
                <w:sz w:val="20"/>
                <w:szCs w:val="20"/>
              </w:rPr>
              <w:t>Restriction Level / Method:</w:t>
            </w:r>
          </w:p>
          <w:p w14:paraId="38537F95" w14:textId="77777777" w:rsidR="00F33674" w:rsidRPr="00F33674" w:rsidRDefault="00F33674" w:rsidP="00F33674">
            <w:pPr>
              <w:rPr>
                <w:rFonts w:ascii="Arial Narrow" w:hAnsi="Arial Narrow" w:cs="Arial"/>
                <w:i/>
                <w:sz w:val="20"/>
                <w:szCs w:val="20"/>
              </w:rPr>
            </w:pPr>
          </w:p>
          <w:p w14:paraId="76524FEA" w14:textId="77777777" w:rsidR="00F33674" w:rsidRPr="00F33674" w:rsidRDefault="00F33674" w:rsidP="00F33674">
            <w:pPr>
              <w:rPr>
                <w:rFonts w:ascii="Arial Narrow" w:hAnsi="Arial Narrow" w:cs="Arial"/>
                <w:i/>
                <w:sz w:val="20"/>
                <w:szCs w:val="20"/>
              </w:rPr>
            </w:pPr>
          </w:p>
          <w:p w14:paraId="4ED0CD93" w14:textId="77777777" w:rsidR="00F33674" w:rsidRPr="00F33674" w:rsidRDefault="00F33674" w:rsidP="00F33674">
            <w:pPr>
              <w:rPr>
                <w:rFonts w:ascii="Arial Narrow" w:hAnsi="Arial Narrow" w:cs="Arial"/>
                <w:i/>
                <w:sz w:val="20"/>
                <w:szCs w:val="20"/>
              </w:rPr>
            </w:pPr>
          </w:p>
        </w:tc>
        <w:tc>
          <w:tcPr>
            <w:tcW w:w="6379" w:type="dxa"/>
            <w:tcBorders>
              <w:top w:val="single" w:sz="4" w:space="0" w:color="auto"/>
              <w:left w:val="single" w:sz="4" w:space="0" w:color="auto"/>
              <w:bottom w:val="single" w:sz="4" w:space="0" w:color="auto"/>
              <w:right w:val="single" w:sz="4" w:space="0" w:color="auto"/>
            </w:tcBorders>
          </w:tcPr>
          <w:p w14:paraId="3B6B6D20" w14:textId="77777777" w:rsidR="00F33674" w:rsidRPr="00F33674" w:rsidRDefault="00F33674" w:rsidP="00F33674">
            <w:pPr>
              <w:rPr>
                <w:rFonts w:ascii="Arial Narrow" w:hAnsi="Arial Narrow" w:cs="Arial"/>
                <w:sz w:val="20"/>
                <w:szCs w:val="20"/>
              </w:rPr>
            </w:pPr>
            <w:r w:rsidRPr="00F33674">
              <w:rPr>
                <w:rFonts w:ascii="Arial Narrow" w:hAnsi="Arial Narrow" w:cs="Arial"/>
                <w:sz w:val="20"/>
                <w:szCs w:val="20"/>
              </w:rPr>
              <w:fldChar w:fldCharType="begin">
                <w:ffData>
                  <w:name w:val=""/>
                  <w:enabled/>
                  <w:calcOnExit w:val="0"/>
                  <w:checkBox>
                    <w:sizeAuto/>
                    <w:default w:val="0"/>
                  </w:checkBox>
                </w:ffData>
              </w:fldChar>
            </w:r>
            <w:r w:rsidRPr="00F33674">
              <w:rPr>
                <w:rFonts w:ascii="Arial Narrow" w:hAnsi="Arial Narrow" w:cs="Arial"/>
                <w:sz w:val="20"/>
                <w:szCs w:val="20"/>
              </w:rPr>
              <w:instrText xml:space="preserve"> FORMCHECKBOX </w:instrText>
            </w:r>
            <w:r w:rsidR="00233D13">
              <w:rPr>
                <w:rFonts w:ascii="Arial Narrow" w:hAnsi="Arial Narrow" w:cs="Arial"/>
                <w:sz w:val="20"/>
                <w:szCs w:val="20"/>
              </w:rPr>
            </w:r>
            <w:r w:rsidR="00233D13">
              <w:rPr>
                <w:rFonts w:ascii="Arial Narrow" w:hAnsi="Arial Narrow" w:cs="Arial"/>
                <w:sz w:val="20"/>
                <w:szCs w:val="20"/>
              </w:rPr>
              <w:fldChar w:fldCharType="separate"/>
            </w:r>
            <w:r w:rsidRPr="00F33674">
              <w:rPr>
                <w:rFonts w:ascii="Arial Narrow" w:hAnsi="Arial Narrow" w:cs="Arial"/>
                <w:sz w:val="20"/>
                <w:szCs w:val="20"/>
              </w:rPr>
              <w:fldChar w:fldCharType="end"/>
            </w:r>
            <w:r w:rsidRPr="00F33674">
              <w:rPr>
                <w:rFonts w:ascii="Arial Narrow" w:hAnsi="Arial Narrow" w:cs="Arial"/>
                <w:sz w:val="20"/>
                <w:szCs w:val="20"/>
              </w:rPr>
              <w:t>Unrestricted benefit</w:t>
            </w:r>
          </w:p>
          <w:p w14:paraId="23462D9B" w14:textId="77777777" w:rsidR="00F33674" w:rsidRPr="00F33674" w:rsidRDefault="00F33674" w:rsidP="00F33674">
            <w:pPr>
              <w:rPr>
                <w:rFonts w:ascii="Arial Narrow" w:hAnsi="Arial Narrow" w:cs="Arial"/>
                <w:i/>
                <w:sz w:val="20"/>
                <w:szCs w:val="20"/>
              </w:rPr>
            </w:pPr>
            <w:r w:rsidRPr="00F33674">
              <w:rPr>
                <w:rFonts w:ascii="Arial Narrow" w:hAnsi="Arial Narrow" w:cs="Arial"/>
                <w:i/>
                <w:sz w:val="20"/>
                <w:szCs w:val="20"/>
              </w:rPr>
              <w:fldChar w:fldCharType="begin">
                <w:ffData>
                  <w:name w:val=""/>
                  <w:enabled/>
                  <w:calcOnExit w:val="0"/>
                  <w:checkBox>
                    <w:sizeAuto/>
                    <w:default w:val="0"/>
                  </w:checkBox>
                </w:ffData>
              </w:fldChar>
            </w:r>
            <w:r w:rsidRPr="00F33674">
              <w:rPr>
                <w:rFonts w:ascii="Arial Narrow" w:hAnsi="Arial Narrow" w:cs="Arial"/>
                <w:i/>
                <w:sz w:val="20"/>
                <w:szCs w:val="20"/>
              </w:rPr>
              <w:instrText xml:space="preserve"> FORMCHECKBOX </w:instrText>
            </w:r>
            <w:r w:rsidR="00233D13">
              <w:rPr>
                <w:rFonts w:ascii="Arial Narrow" w:hAnsi="Arial Narrow" w:cs="Arial"/>
                <w:i/>
                <w:sz w:val="20"/>
                <w:szCs w:val="20"/>
              </w:rPr>
            </w:r>
            <w:r w:rsidR="00233D13">
              <w:rPr>
                <w:rFonts w:ascii="Arial Narrow" w:hAnsi="Arial Narrow" w:cs="Arial"/>
                <w:i/>
                <w:sz w:val="20"/>
                <w:szCs w:val="20"/>
              </w:rPr>
              <w:fldChar w:fldCharType="separate"/>
            </w:r>
            <w:r w:rsidRPr="00F33674">
              <w:rPr>
                <w:rFonts w:ascii="Arial Narrow" w:hAnsi="Arial Narrow" w:cs="Arial"/>
                <w:i/>
                <w:sz w:val="20"/>
                <w:szCs w:val="20"/>
              </w:rPr>
              <w:fldChar w:fldCharType="end"/>
            </w:r>
            <w:r w:rsidRPr="00F33674">
              <w:rPr>
                <w:rFonts w:ascii="Arial Narrow" w:hAnsi="Arial Narrow" w:cs="Arial"/>
                <w:sz w:val="20"/>
                <w:szCs w:val="20"/>
              </w:rPr>
              <w:t>Restricted benefit</w:t>
            </w:r>
          </w:p>
          <w:p w14:paraId="56506A00" w14:textId="77777777" w:rsidR="00F33674" w:rsidRPr="00F33674" w:rsidRDefault="00F33674" w:rsidP="00F33674">
            <w:pPr>
              <w:rPr>
                <w:rFonts w:ascii="Arial Narrow" w:hAnsi="Arial Narrow" w:cs="Arial"/>
                <w:sz w:val="20"/>
                <w:szCs w:val="20"/>
              </w:rPr>
            </w:pPr>
            <w:r w:rsidRPr="00F33674">
              <w:rPr>
                <w:rFonts w:ascii="Arial Narrow" w:hAnsi="Arial Narrow" w:cs="Arial"/>
                <w:sz w:val="20"/>
                <w:szCs w:val="20"/>
              </w:rPr>
              <w:fldChar w:fldCharType="begin">
                <w:ffData>
                  <w:name w:val=""/>
                  <w:enabled/>
                  <w:calcOnExit w:val="0"/>
                  <w:checkBox>
                    <w:sizeAuto/>
                    <w:default w:val="0"/>
                  </w:checkBox>
                </w:ffData>
              </w:fldChar>
            </w:r>
            <w:r w:rsidRPr="00F33674">
              <w:rPr>
                <w:rFonts w:ascii="Arial Narrow" w:hAnsi="Arial Narrow" w:cs="Arial"/>
                <w:sz w:val="20"/>
                <w:szCs w:val="20"/>
              </w:rPr>
              <w:instrText xml:space="preserve"> FORMCHECKBOX </w:instrText>
            </w:r>
            <w:r w:rsidR="00233D13">
              <w:rPr>
                <w:rFonts w:ascii="Arial Narrow" w:hAnsi="Arial Narrow" w:cs="Arial"/>
                <w:sz w:val="20"/>
                <w:szCs w:val="20"/>
              </w:rPr>
            </w:r>
            <w:r w:rsidR="00233D13">
              <w:rPr>
                <w:rFonts w:ascii="Arial Narrow" w:hAnsi="Arial Narrow" w:cs="Arial"/>
                <w:sz w:val="20"/>
                <w:szCs w:val="20"/>
              </w:rPr>
              <w:fldChar w:fldCharType="separate"/>
            </w:r>
            <w:r w:rsidRPr="00F33674">
              <w:rPr>
                <w:rFonts w:ascii="Arial Narrow" w:hAnsi="Arial Narrow" w:cs="Arial"/>
                <w:sz w:val="20"/>
                <w:szCs w:val="20"/>
              </w:rPr>
              <w:fldChar w:fldCharType="end"/>
            </w:r>
            <w:r w:rsidRPr="00F33674">
              <w:rPr>
                <w:rFonts w:ascii="Arial Narrow" w:hAnsi="Arial Narrow" w:cs="Arial"/>
                <w:sz w:val="20"/>
                <w:szCs w:val="20"/>
              </w:rPr>
              <w:t>Authority Required – In Writing</w:t>
            </w:r>
          </w:p>
          <w:p w14:paraId="65FF61E8" w14:textId="77777777" w:rsidR="00F33674" w:rsidRPr="00F33674" w:rsidRDefault="00F33674" w:rsidP="00F33674">
            <w:pPr>
              <w:rPr>
                <w:rFonts w:ascii="Arial Narrow" w:hAnsi="Arial Narrow" w:cs="Arial"/>
                <w:sz w:val="20"/>
                <w:szCs w:val="20"/>
              </w:rPr>
            </w:pPr>
            <w:r w:rsidRPr="00F33674">
              <w:rPr>
                <w:rFonts w:ascii="Arial Narrow" w:hAnsi="Arial Narrow" w:cs="Arial"/>
                <w:sz w:val="20"/>
                <w:szCs w:val="20"/>
              </w:rPr>
              <w:fldChar w:fldCharType="begin">
                <w:ffData>
                  <w:name w:val="Check3"/>
                  <w:enabled/>
                  <w:calcOnExit w:val="0"/>
                  <w:checkBox>
                    <w:sizeAuto/>
                    <w:default w:val="0"/>
                  </w:checkBox>
                </w:ffData>
              </w:fldChar>
            </w:r>
            <w:r w:rsidRPr="00F33674">
              <w:rPr>
                <w:rFonts w:ascii="Arial Narrow" w:hAnsi="Arial Narrow" w:cs="Arial"/>
                <w:sz w:val="20"/>
                <w:szCs w:val="20"/>
              </w:rPr>
              <w:instrText xml:space="preserve"> FORMCHECKBOX </w:instrText>
            </w:r>
            <w:r w:rsidR="00233D13">
              <w:rPr>
                <w:rFonts w:ascii="Arial Narrow" w:hAnsi="Arial Narrow" w:cs="Arial"/>
                <w:sz w:val="20"/>
                <w:szCs w:val="20"/>
              </w:rPr>
            </w:r>
            <w:r w:rsidR="00233D13">
              <w:rPr>
                <w:rFonts w:ascii="Arial Narrow" w:hAnsi="Arial Narrow" w:cs="Arial"/>
                <w:sz w:val="20"/>
                <w:szCs w:val="20"/>
              </w:rPr>
              <w:fldChar w:fldCharType="separate"/>
            </w:r>
            <w:r w:rsidRPr="00F33674">
              <w:rPr>
                <w:rFonts w:ascii="Arial Narrow" w:hAnsi="Arial Narrow" w:cs="Arial"/>
                <w:sz w:val="20"/>
                <w:szCs w:val="20"/>
              </w:rPr>
              <w:fldChar w:fldCharType="end"/>
            </w:r>
            <w:r w:rsidRPr="00F33674">
              <w:rPr>
                <w:rFonts w:ascii="Arial Narrow" w:hAnsi="Arial Narrow" w:cs="Arial"/>
                <w:sz w:val="20"/>
                <w:szCs w:val="20"/>
              </w:rPr>
              <w:t>Authority Required – Telephone/Electronic/Emergency</w:t>
            </w:r>
          </w:p>
          <w:p w14:paraId="115BEE4E" w14:textId="77777777" w:rsidR="00F33674" w:rsidRPr="00F33674" w:rsidRDefault="00F33674" w:rsidP="00F33674">
            <w:pPr>
              <w:rPr>
                <w:rFonts w:ascii="Arial Narrow" w:hAnsi="Arial Narrow" w:cs="Arial"/>
                <w:sz w:val="20"/>
                <w:szCs w:val="20"/>
              </w:rPr>
            </w:pPr>
            <w:r w:rsidRPr="00F33674">
              <w:rPr>
                <w:rFonts w:ascii="Arial Narrow" w:hAnsi="Arial Narrow" w:cs="Arial"/>
                <w:sz w:val="20"/>
                <w:szCs w:val="20"/>
              </w:rPr>
              <w:fldChar w:fldCharType="begin">
                <w:ffData>
                  <w:name w:val=""/>
                  <w:enabled/>
                  <w:calcOnExit w:val="0"/>
                  <w:checkBox>
                    <w:sizeAuto/>
                    <w:default w:val="1"/>
                  </w:checkBox>
                </w:ffData>
              </w:fldChar>
            </w:r>
            <w:r w:rsidRPr="00F33674">
              <w:rPr>
                <w:rFonts w:ascii="Arial Narrow" w:hAnsi="Arial Narrow" w:cs="Arial"/>
                <w:sz w:val="20"/>
                <w:szCs w:val="20"/>
              </w:rPr>
              <w:instrText xml:space="preserve"> FORMCHECKBOX </w:instrText>
            </w:r>
            <w:r w:rsidR="00233D13">
              <w:rPr>
                <w:rFonts w:ascii="Arial Narrow" w:hAnsi="Arial Narrow" w:cs="Arial"/>
                <w:sz w:val="20"/>
                <w:szCs w:val="20"/>
              </w:rPr>
            </w:r>
            <w:r w:rsidR="00233D13">
              <w:rPr>
                <w:rFonts w:ascii="Arial Narrow" w:hAnsi="Arial Narrow" w:cs="Arial"/>
                <w:sz w:val="20"/>
                <w:szCs w:val="20"/>
              </w:rPr>
              <w:fldChar w:fldCharType="separate"/>
            </w:r>
            <w:r w:rsidRPr="00F33674">
              <w:rPr>
                <w:rFonts w:ascii="Arial Narrow" w:hAnsi="Arial Narrow" w:cs="Arial"/>
                <w:sz w:val="20"/>
                <w:szCs w:val="20"/>
              </w:rPr>
              <w:fldChar w:fldCharType="end"/>
            </w:r>
            <w:r w:rsidRPr="00F33674">
              <w:rPr>
                <w:rFonts w:ascii="Arial Narrow" w:hAnsi="Arial Narrow" w:cs="Arial"/>
                <w:sz w:val="20"/>
                <w:szCs w:val="20"/>
              </w:rPr>
              <w:t>Streamlined</w:t>
            </w:r>
          </w:p>
        </w:tc>
      </w:tr>
      <w:tr w:rsidR="00F51305" w:rsidRPr="00F33674" w14:paraId="775B2067" w14:textId="77777777" w:rsidTr="00F33674">
        <w:trPr>
          <w:cantSplit/>
          <w:trHeight w:val="360"/>
        </w:trPr>
        <w:tc>
          <w:tcPr>
            <w:tcW w:w="2835" w:type="dxa"/>
            <w:tcBorders>
              <w:top w:val="single" w:sz="4" w:space="0" w:color="auto"/>
              <w:left w:val="single" w:sz="4" w:space="0" w:color="auto"/>
              <w:bottom w:val="single" w:sz="4" w:space="0" w:color="auto"/>
              <w:right w:val="single" w:sz="4" w:space="0" w:color="auto"/>
            </w:tcBorders>
          </w:tcPr>
          <w:p w14:paraId="7BC37B26" w14:textId="3DE99702" w:rsidR="00F51305" w:rsidRPr="00F33674" w:rsidRDefault="00F51305" w:rsidP="00F51305">
            <w:pPr>
              <w:rPr>
                <w:rFonts w:ascii="Arial Narrow" w:hAnsi="Arial Narrow" w:cs="Arial"/>
                <w:b/>
                <w:sz w:val="20"/>
                <w:szCs w:val="20"/>
              </w:rPr>
            </w:pPr>
            <w:r>
              <w:rPr>
                <w:rFonts w:ascii="Arial Narrow" w:hAnsi="Arial Narrow" w:cs="Arial"/>
                <w:b/>
                <w:sz w:val="20"/>
                <w:szCs w:val="20"/>
              </w:rPr>
              <w:t>Treatment phase:</w:t>
            </w:r>
          </w:p>
        </w:tc>
        <w:tc>
          <w:tcPr>
            <w:tcW w:w="6379" w:type="dxa"/>
            <w:tcBorders>
              <w:top w:val="single" w:sz="4" w:space="0" w:color="auto"/>
              <w:left w:val="single" w:sz="4" w:space="0" w:color="auto"/>
              <w:bottom w:val="single" w:sz="4" w:space="0" w:color="auto"/>
              <w:right w:val="single" w:sz="4" w:space="0" w:color="auto"/>
            </w:tcBorders>
          </w:tcPr>
          <w:p w14:paraId="15584BA8" w14:textId="4E031E56" w:rsidR="00F51305" w:rsidRPr="00F33674" w:rsidRDefault="00265869" w:rsidP="00F51305">
            <w:pPr>
              <w:jc w:val="left"/>
              <w:rPr>
                <w:rFonts w:ascii="Arial Narrow" w:hAnsi="Arial Narrow" w:cs="Arial"/>
                <w:sz w:val="20"/>
                <w:szCs w:val="20"/>
              </w:rPr>
            </w:pPr>
            <w:r>
              <w:rPr>
                <w:rFonts w:ascii="Arial Narrow" w:hAnsi="Arial Narrow" w:cs="Arial"/>
                <w:sz w:val="20"/>
                <w:szCs w:val="20"/>
              </w:rPr>
              <w:t xml:space="preserve">Initial PBS treatment after 1 June 2020 where patient </w:t>
            </w:r>
            <w:proofErr w:type="gramStart"/>
            <w:r>
              <w:rPr>
                <w:rFonts w:ascii="Arial Narrow" w:hAnsi="Arial Narrow" w:cs="Arial"/>
                <w:sz w:val="20"/>
                <w:szCs w:val="20"/>
              </w:rPr>
              <w:t>has been treated</w:t>
            </w:r>
            <w:proofErr w:type="gramEnd"/>
            <w:r>
              <w:rPr>
                <w:rFonts w:ascii="Arial Narrow" w:hAnsi="Arial Narrow" w:cs="Arial"/>
                <w:sz w:val="20"/>
                <w:szCs w:val="20"/>
              </w:rPr>
              <w:t xml:space="preserve"> with opioids for less than 12 months.</w:t>
            </w:r>
          </w:p>
        </w:tc>
      </w:tr>
      <w:tr w:rsidR="00F51305" w:rsidRPr="00F33674" w14:paraId="53CE43A1" w14:textId="77777777" w:rsidTr="00F33674">
        <w:trPr>
          <w:cantSplit/>
          <w:trHeight w:val="360"/>
        </w:trPr>
        <w:tc>
          <w:tcPr>
            <w:tcW w:w="2835" w:type="dxa"/>
            <w:tcBorders>
              <w:top w:val="single" w:sz="4" w:space="0" w:color="auto"/>
              <w:left w:val="single" w:sz="4" w:space="0" w:color="auto"/>
              <w:bottom w:val="single" w:sz="4" w:space="0" w:color="auto"/>
              <w:right w:val="single" w:sz="4" w:space="0" w:color="auto"/>
            </w:tcBorders>
          </w:tcPr>
          <w:p w14:paraId="25445F3A" w14:textId="77777777" w:rsidR="00F51305" w:rsidRPr="00F33674" w:rsidRDefault="00F51305" w:rsidP="00F51305">
            <w:pPr>
              <w:rPr>
                <w:rFonts w:ascii="Arial Narrow" w:hAnsi="Arial Narrow" w:cs="Arial"/>
                <w:b/>
                <w:sz w:val="20"/>
                <w:szCs w:val="20"/>
              </w:rPr>
            </w:pPr>
            <w:r w:rsidRPr="00F33674">
              <w:rPr>
                <w:rFonts w:ascii="Arial Narrow" w:hAnsi="Arial Narrow" w:cs="Arial"/>
                <w:b/>
                <w:sz w:val="20"/>
                <w:szCs w:val="20"/>
              </w:rPr>
              <w:t>Clinical criteria:</w:t>
            </w:r>
          </w:p>
        </w:tc>
        <w:tc>
          <w:tcPr>
            <w:tcW w:w="6379" w:type="dxa"/>
            <w:tcBorders>
              <w:top w:val="single" w:sz="4" w:space="0" w:color="auto"/>
              <w:left w:val="single" w:sz="4" w:space="0" w:color="auto"/>
              <w:bottom w:val="single" w:sz="4" w:space="0" w:color="auto"/>
              <w:right w:val="single" w:sz="4" w:space="0" w:color="auto"/>
            </w:tcBorders>
          </w:tcPr>
          <w:p w14:paraId="4B05EF1D" w14:textId="68AF9A2A" w:rsidR="00F51305" w:rsidRPr="00F33674" w:rsidRDefault="00F51305" w:rsidP="00F51305">
            <w:pPr>
              <w:jc w:val="left"/>
              <w:rPr>
                <w:rFonts w:ascii="Arial Narrow" w:hAnsi="Arial Narrow" w:cs="Arial"/>
                <w:sz w:val="20"/>
                <w:szCs w:val="20"/>
              </w:rPr>
            </w:pPr>
            <w:r w:rsidRPr="00F33674">
              <w:rPr>
                <w:rFonts w:ascii="Arial Narrow" w:hAnsi="Arial Narrow" w:cs="Arial"/>
                <w:sz w:val="20"/>
                <w:szCs w:val="20"/>
              </w:rPr>
              <w:t xml:space="preserve">[new] The condition must require daily, continuous, long term </w:t>
            </w:r>
            <w:r>
              <w:rPr>
                <w:rFonts w:ascii="Arial Narrow" w:hAnsi="Arial Narrow" w:cs="Arial"/>
                <w:sz w:val="20"/>
                <w:szCs w:val="20"/>
              </w:rPr>
              <w:t>opioid</w:t>
            </w:r>
            <w:r w:rsidRPr="00F33674">
              <w:rPr>
                <w:rFonts w:ascii="Arial Narrow" w:hAnsi="Arial Narrow" w:cs="Arial"/>
                <w:sz w:val="20"/>
                <w:szCs w:val="20"/>
              </w:rPr>
              <w:t xml:space="preserve"> treatment</w:t>
            </w:r>
          </w:p>
          <w:p w14:paraId="3DB30A78" w14:textId="77777777" w:rsidR="00F51305" w:rsidRPr="00F33674" w:rsidRDefault="00F51305" w:rsidP="00F51305">
            <w:pPr>
              <w:jc w:val="left"/>
              <w:rPr>
                <w:rFonts w:ascii="Arial Narrow" w:hAnsi="Arial Narrow" w:cs="Arial"/>
                <w:sz w:val="20"/>
                <w:szCs w:val="20"/>
              </w:rPr>
            </w:pPr>
          </w:p>
          <w:p w14:paraId="18A57CC1" w14:textId="77777777" w:rsidR="00F51305" w:rsidRPr="00F33674" w:rsidRDefault="00F51305" w:rsidP="00F51305">
            <w:pPr>
              <w:jc w:val="left"/>
              <w:rPr>
                <w:rFonts w:ascii="Arial Narrow" w:hAnsi="Arial Narrow" w:cs="Arial"/>
                <w:sz w:val="20"/>
                <w:szCs w:val="20"/>
              </w:rPr>
            </w:pPr>
            <w:r w:rsidRPr="00F33674">
              <w:rPr>
                <w:rFonts w:ascii="Arial Narrow" w:hAnsi="Arial Narrow" w:cs="Arial"/>
                <w:sz w:val="20"/>
                <w:szCs w:val="20"/>
              </w:rPr>
              <w:t>AND</w:t>
            </w:r>
          </w:p>
          <w:p w14:paraId="1FAFC5D1" w14:textId="77777777" w:rsidR="00F51305" w:rsidRPr="00F33674" w:rsidRDefault="00F51305" w:rsidP="00F51305">
            <w:pPr>
              <w:jc w:val="left"/>
              <w:rPr>
                <w:rFonts w:ascii="Arial Narrow" w:hAnsi="Arial Narrow" w:cs="Arial"/>
                <w:sz w:val="20"/>
                <w:szCs w:val="20"/>
              </w:rPr>
            </w:pPr>
          </w:p>
          <w:p w14:paraId="3544A444" w14:textId="33BA1DB1" w:rsidR="00F51305" w:rsidRPr="00F33674" w:rsidRDefault="00F51305" w:rsidP="00F51305">
            <w:pPr>
              <w:jc w:val="left"/>
              <w:rPr>
                <w:rFonts w:ascii="Arial Narrow" w:hAnsi="Arial Narrow" w:cs="Arial"/>
                <w:sz w:val="20"/>
                <w:szCs w:val="20"/>
              </w:rPr>
            </w:pPr>
            <w:r w:rsidRPr="00F33674">
              <w:rPr>
                <w:rFonts w:ascii="Arial Narrow" w:hAnsi="Arial Narrow" w:cs="Arial"/>
                <w:sz w:val="20"/>
                <w:szCs w:val="20"/>
              </w:rPr>
              <w:t xml:space="preserve">[18096] Patient must have </w:t>
            </w:r>
            <w:r>
              <w:rPr>
                <w:rFonts w:ascii="Arial Narrow" w:hAnsi="Arial Narrow" w:cs="Arial"/>
                <w:sz w:val="20"/>
                <w:szCs w:val="20"/>
              </w:rPr>
              <w:t xml:space="preserve">cancer </w:t>
            </w:r>
            <w:r w:rsidRPr="00F33674">
              <w:rPr>
                <w:rFonts w:ascii="Arial Narrow" w:hAnsi="Arial Narrow" w:cs="Arial"/>
                <w:sz w:val="20"/>
                <w:szCs w:val="20"/>
              </w:rPr>
              <w:t>pain</w:t>
            </w:r>
          </w:p>
          <w:p w14:paraId="255E872B" w14:textId="77777777" w:rsidR="00F51305" w:rsidRPr="00F33674" w:rsidRDefault="00F51305" w:rsidP="00F51305">
            <w:pPr>
              <w:jc w:val="left"/>
              <w:rPr>
                <w:rFonts w:ascii="Arial Narrow" w:hAnsi="Arial Narrow" w:cs="Arial"/>
                <w:sz w:val="20"/>
                <w:szCs w:val="20"/>
              </w:rPr>
            </w:pPr>
            <w:r w:rsidRPr="00F33674">
              <w:rPr>
                <w:rFonts w:ascii="Arial Narrow" w:hAnsi="Arial Narrow" w:cs="Arial"/>
                <w:sz w:val="20"/>
                <w:szCs w:val="20"/>
              </w:rPr>
              <w:t>OR</w:t>
            </w:r>
          </w:p>
          <w:p w14:paraId="36743485" w14:textId="76D98AE1" w:rsidR="00F51305" w:rsidRPr="00F33674" w:rsidRDefault="00F51305" w:rsidP="00F51305">
            <w:pPr>
              <w:jc w:val="left"/>
              <w:rPr>
                <w:rFonts w:ascii="Arial Narrow" w:hAnsi="Arial Narrow" w:cs="Arial"/>
                <w:sz w:val="20"/>
                <w:szCs w:val="20"/>
              </w:rPr>
            </w:pPr>
            <w:r w:rsidRPr="00F33674">
              <w:rPr>
                <w:rFonts w:ascii="Arial Narrow" w:hAnsi="Arial Narrow" w:cs="Arial"/>
                <w:sz w:val="20"/>
                <w:szCs w:val="20"/>
              </w:rPr>
              <w:t>[new] Patient must have</w:t>
            </w:r>
            <w:r>
              <w:rPr>
                <w:rFonts w:ascii="Arial Narrow" w:hAnsi="Arial Narrow" w:cs="Arial"/>
                <w:sz w:val="20"/>
                <w:szCs w:val="20"/>
              </w:rPr>
              <w:t xml:space="preserve"> had or would have</w:t>
            </w:r>
            <w:r w:rsidRPr="00F33674">
              <w:rPr>
                <w:rFonts w:ascii="Arial Narrow" w:hAnsi="Arial Narrow" w:cs="Arial"/>
                <w:sz w:val="20"/>
                <w:szCs w:val="20"/>
              </w:rPr>
              <w:t xml:space="preserve"> inadequate </w:t>
            </w:r>
            <w:r>
              <w:rPr>
                <w:rFonts w:ascii="Arial Narrow" w:hAnsi="Arial Narrow" w:cs="Arial"/>
                <w:sz w:val="20"/>
                <w:szCs w:val="20"/>
              </w:rPr>
              <w:t xml:space="preserve">pain </w:t>
            </w:r>
            <w:r w:rsidRPr="00F33674">
              <w:rPr>
                <w:rFonts w:ascii="Arial Narrow" w:hAnsi="Arial Narrow" w:cs="Arial"/>
                <w:sz w:val="20"/>
                <w:szCs w:val="20"/>
              </w:rPr>
              <w:t xml:space="preserve">management </w:t>
            </w:r>
            <w:r>
              <w:rPr>
                <w:rFonts w:ascii="Arial Narrow" w:hAnsi="Arial Narrow" w:cs="Arial"/>
                <w:sz w:val="20"/>
                <w:szCs w:val="20"/>
              </w:rPr>
              <w:t>with</w:t>
            </w:r>
            <w:r w:rsidRPr="00F33674">
              <w:rPr>
                <w:rFonts w:ascii="Arial Narrow" w:hAnsi="Arial Narrow" w:cs="Arial"/>
                <w:sz w:val="20"/>
                <w:szCs w:val="20"/>
              </w:rPr>
              <w:t xml:space="preserve"> maximum tolerated doses of non-opioid or other opioid analgesics</w:t>
            </w:r>
          </w:p>
          <w:p w14:paraId="3F37300D" w14:textId="77777777" w:rsidR="00F51305" w:rsidRPr="00F33674" w:rsidRDefault="00F51305" w:rsidP="00F51305">
            <w:pPr>
              <w:jc w:val="left"/>
              <w:rPr>
                <w:rFonts w:ascii="Arial Narrow" w:hAnsi="Arial Narrow" w:cs="Arial"/>
                <w:sz w:val="20"/>
                <w:szCs w:val="20"/>
              </w:rPr>
            </w:pPr>
            <w:r w:rsidRPr="00F33674">
              <w:rPr>
                <w:rFonts w:ascii="Arial Narrow" w:hAnsi="Arial Narrow" w:cs="Arial"/>
                <w:sz w:val="20"/>
                <w:szCs w:val="20"/>
              </w:rPr>
              <w:t>OR</w:t>
            </w:r>
          </w:p>
          <w:p w14:paraId="433B44E1" w14:textId="26E2A748" w:rsidR="00F51305" w:rsidRPr="00F33674" w:rsidRDefault="00F51305">
            <w:pPr>
              <w:jc w:val="left"/>
              <w:rPr>
                <w:rFonts w:ascii="Arial Narrow" w:hAnsi="Arial Narrow" w:cs="Arial"/>
                <w:sz w:val="20"/>
                <w:szCs w:val="20"/>
              </w:rPr>
            </w:pPr>
            <w:r w:rsidRPr="00F33674">
              <w:rPr>
                <w:rFonts w:ascii="Arial Narrow" w:hAnsi="Arial Narrow" w:cs="Arial"/>
                <w:sz w:val="20"/>
                <w:szCs w:val="20"/>
              </w:rPr>
              <w:t>[new] Patient must be unable to use non-opioid or other opioid analgesics due to contraindications or intolerance.</w:t>
            </w:r>
          </w:p>
        </w:tc>
      </w:tr>
      <w:tr w:rsidR="00F51305" w:rsidRPr="00F33674" w14:paraId="2C3E9696" w14:textId="77777777" w:rsidTr="00F33674">
        <w:trPr>
          <w:cantSplit/>
          <w:trHeight w:val="360"/>
        </w:trPr>
        <w:tc>
          <w:tcPr>
            <w:tcW w:w="2835" w:type="dxa"/>
            <w:tcBorders>
              <w:top w:val="single" w:sz="4" w:space="0" w:color="auto"/>
              <w:left w:val="single" w:sz="4" w:space="0" w:color="auto"/>
              <w:bottom w:val="single" w:sz="4" w:space="0" w:color="auto"/>
              <w:right w:val="single" w:sz="4" w:space="0" w:color="auto"/>
            </w:tcBorders>
          </w:tcPr>
          <w:p w14:paraId="2B0553CD" w14:textId="77777777" w:rsidR="00F51305" w:rsidRPr="00F33674" w:rsidRDefault="00F51305" w:rsidP="00F51305">
            <w:pPr>
              <w:rPr>
                <w:rFonts w:ascii="Arial Narrow" w:hAnsi="Arial Narrow" w:cs="Arial"/>
                <w:b/>
                <w:sz w:val="20"/>
                <w:szCs w:val="20"/>
              </w:rPr>
            </w:pPr>
            <w:r w:rsidRPr="00F33674">
              <w:rPr>
                <w:rFonts w:ascii="Arial Narrow" w:hAnsi="Arial Narrow" w:cs="Arial"/>
                <w:b/>
                <w:sz w:val="20"/>
                <w:szCs w:val="20"/>
              </w:rPr>
              <w:t>Prescriber instruction:</w:t>
            </w:r>
          </w:p>
        </w:tc>
        <w:tc>
          <w:tcPr>
            <w:tcW w:w="6379" w:type="dxa"/>
            <w:tcBorders>
              <w:top w:val="single" w:sz="4" w:space="0" w:color="auto"/>
              <w:left w:val="single" w:sz="4" w:space="0" w:color="auto"/>
              <w:bottom w:val="single" w:sz="4" w:space="0" w:color="auto"/>
              <w:right w:val="single" w:sz="4" w:space="0" w:color="auto"/>
            </w:tcBorders>
          </w:tcPr>
          <w:p w14:paraId="72A04373" w14:textId="51CF24CC" w:rsidR="00F51305" w:rsidRPr="00F33674" w:rsidRDefault="00F51305" w:rsidP="00193259">
            <w:pPr>
              <w:jc w:val="left"/>
              <w:rPr>
                <w:rFonts w:ascii="Arial Narrow" w:hAnsi="Arial Narrow" w:cs="Arial"/>
                <w:sz w:val="20"/>
                <w:szCs w:val="20"/>
              </w:rPr>
            </w:pPr>
            <w:r w:rsidRPr="00F33674">
              <w:rPr>
                <w:rFonts w:ascii="Arial Narrow" w:hAnsi="Arial Narrow" w:cs="Arial"/>
                <w:sz w:val="20"/>
                <w:szCs w:val="20"/>
              </w:rPr>
              <w:t xml:space="preserve">[new] Authorities for increased maximum quantities and/or repeats </w:t>
            </w:r>
            <w:r>
              <w:rPr>
                <w:rFonts w:ascii="Arial Narrow" w:hAnsi="Arial Narrow" w:cs="Arial"/>
                <w:sz w:val="20"/>
                <w:szCs w:val="20"/>
              </w:rPr>
              <w:t xml:space="preserve">under this restriction </w:t>
            </w:r>
            <w:proofErr w:type="gramStart"/>
            <w:r w:rsidRPr="00F33674">
              <w:rPr>
                <w:rFonts w:ascii="Arial Narrow" w:hAnsi="Arial Narrow" w:cs="Arial"/>
                <w:sz w:val="20"/>
                <w:szCs w:val="20"/>
              </w:rPr>
              <w:t>will be granted</w:t>
            </w:r>
            <w:proofErr w:type="gramEnd"/>
            <w:r w:rsidRPr="00F33674">
              <w:rPr>
                <w:rFonts w:ascii="Arial Narrow" w:hAnsi="Arial Narrow" w:cs="Arial"/>
                <w:sz w:val="20"/>
                <w:szCs w:val="20"/>
              </w:rPr>
              <w:t xml:space="preserve"> only for chronic severe disabling pain</w:t>
            </w:r>
            <w:r>
              <w:rPr>
                <w:rFonts w:ascii="Arial Narrow" w:hAnsi="Arial Narrow" w:cs="Arial"/>
                <w:sz w:val="20"/>
                <w:szCs w:val="20"/>
              </w:rPr>
              <w:t xml:space="preserve"> </w:t>
            </w:r>
            <w:r w:rsidRPr="00F33674">
              <w:rPr>
                <w:rFonts w:ascii="Arial Narrow" w:hAnsi="Arial Narrow" w:cs="Arial"/>
                <w:sz w:val="20"/>
                <w:szCs w:val="20"/>
              </w:rPr>
              <w:t>where the total duration of non-PBS and PBS subsidised opioid analgesic treatment is less than 12 months.</w:t>
            </w:r>
          </w:p>
          <w:p w14:paraId="09488FB0" w14:textId="77777777" w:rsidR="00F51305" w:rsidRPr="00F33674" w:rsidRDefault="00F51305" w:rsidP="00F51305">
            <w:pPr>
              <w:jc w:val="left"/>
              <w:rPr>
                <w:rFonts w:ascii="Arial Narrow" w:hAnsi="Arial Narrow" w:cs="Arial"/>
                <w:sz w:val="20"/>
                <w:szCs w:val="20"/>
              </w:rPr>
            </w:pPr>
          </w:p>
          <w:p w14:paraId="3FBCFE9F" w14:textId="77777777" w:rsidR="00F51305" w:rsidRPr="00F33674" w:rsidRDefault="00F51305" w:rsidP="00F51305">
            <w:pPr>
              <w:jc w:val="left"/>
              <w:rPr>
                <w:rFonts w:ascii="Arial Narrow" w:hAnsi="Arial Narrow" w:cs="Arial"/>
                <w:sz w:val="20"/>
                <w:szCs w:val="20"/>
              </w:rPr>
            </w:pPr>
            <w:r w:rsidRPr="00F33674">
              <w:rPr>
                <w:rFonts w:ascii="Arial Narrow" w:hAnsi="Arial Narrow" w:cs="Arial"/>
                <w:sz w:val="20"/>
                <w:szCs w:val="20"/>
              </w:rPr>
              <w:t>[new] Authority requests extending treatment duration up to 1 month may be requested though the Online PBS Authorities system or by calling Services Australia.</w:t>
            </w:r>
          </w:p>
          <w:p w14:paraId="5080EFA1" w14:textId="77777777" w:rsidR="00F51305" w:rsidRPr="00F33674" w:rsidRDefault="00F51305" w:rsidP="00F51305">
            <w:pPr>
              <w:jc w:val="left"/>
              <w:rPr>
                <w:rFonts w:ascii="Arial Narrow" w:hAnsi="Arial Narrow" w:cs="Arial"/>
                <w:sz w:val="20"/>
                <w:szCs w:val="20"/>
              </w:rPr>
            </w:pPr>
          </w:p>
          <w:p w14:paraId="7D75D378" w14:textId="12C37ADB" w:rsidR="00F51305" w:rsidRPr="00F33674" w:rsidRDefault="00F51305" w:rsidP="00F51305">
            <w:pPr>
              <w:jc w:val="left"/>
              <w:rPr>
                <w:rFonts w:ascii="Arial Narrow" w:hAnsi="Arial Narrow" w:cs="Arial"/>
                <w:sz w:val="20"/>
                <w:szCs w:val="20"/>
              </w:rPr>
            </w:pPr>
            <w:r w:rsidRPr="00F33674">
              <w:rPr>
                <w:rFonts w:ascii="Arial Narrow" w:hAnsi="Arial Narrow" w:cs="Arial"/>
                <w:sz w:val="20"/>
                <w:szCs w:val="20"/>
              </w:rPr>
              <w:t xml:space="preserve">Authority requests extending treatment duration beyond 1 month </w:t>
            </w:r>
            <w:r w:rsidRPr="002C1329">
              <w:rPr>
                <w:rFonts w:ascii="Arial Narrow" w:hAnsi="Arial Narrow" w:cs="Arial"/>
                <w:sz w:val="20"/>
                <w:szCs w:val="20"/>
              </w:rPr>
              <w:t>may be requested through the Online PBS Authorities system</w:t>
            </w:r>
            <w:r w:rsidRPr="00F33674">
              <w:rPr>
                <w:rFonts w:ascii="Arial Narrow" w:hAnsi="Arial Narrow" w:cs="Arial"/>
                <w:sz w:val="20"/>
                <w:szCs w:val="20"/>
              </w:rPr>
              <w:t xml:space="preserve"> or in writing only and must not provide a treatment duration exceeding 3 months</w:t>
            </w:r>
            <w:r>
              <w:rPr>
                <w:rFonts w:ascii="Arial Narrow" w:hAnsi="Arial Narrow" w:cs="Arial"/>
                <w:sz w:val="20"/>
                <w:szCs w:val="20"/>
              </w:rPr>
              <w:t xml:space="preserve"> (</w:t>
            </w:r>
            <w:r w:rsidRPr="002C1329">
              <w:rPr>
                <w:rFonts w:ascii="Arial Narrow" w:hAnsi="Arial Narrow" w:cs="Arial"/>
                <w:sz w:val="20"/>
                <w:szCs w:val="20"/>
              </w:rPr>
              <w:t xml:space="preserve">quantity sufficient for up to </w:t>
            </w:r>
            <w:proofErr w:type="gramStart"/>
            <w:r w:rsidRPr="002C1329">
              <w:rPr>
                <w:rFonts w:ascii="Arial Narrow" w:hAnsi="Arial Narrow" w:cs="Arial"/>
                <w:sz w:val="20"/>
                <w:szCs w:val="20"/>
              </w:rPr>
              <w:t>1 month</w:t>
            </w:r>
            <w:proofErr w:type="gramEnd"/>
            <w:r w:rsidRPr="002C1329">
              <w:rPr>
                <w:rFonts w:ascii="Arial Narrow" w:hAnsi="Arial Narrow" w:cs="Arial"/>
                <w:sz w:val="20"/>
                <w:szCs w:val="20"/>
              </w:rPr>
              <w:t xml:space="preserve"> treatment and sufficient repeats)</w:t>
            </w:r>
            <w:r w:rsidRPr="00F33674">
              <w:rPr>
                <w:rFonts w:ascii="Arial Narrow" w:hAnsi="Arial Narrow" w:cs="Arial"/>
                <w:sz w:val="20"/>
                <w:szCs w:val="20"/>
              </w:rPr>
              <w:t>.</w:t>
            </w:r>
          </w:p>
        </w:tc>
      </w:tr>
      <w:tr w:rsidR="00F51305" w:rsidRPr="00F33674" w14:paraId="4FAAE80A" w14:textId="77777777" w:rsidTr="00F33674">
        <w:trPr>
          <w:cantSplit/>
          <w:trHeight w:val="360"/>
        </w:trPr>
        <w:tc>
          <w:tcPr>
            <w:tcW w:w="2835" w:type="dxa"/>
            <w:tcBorders>
              <w:top w:val="single" w:sz="4" w:space="0" w:color="auto"/>
              <w:left w:val="single" w:sz="4" w:space="0" w:color="auto"/>
              <w:bottom w:val="single" w:sz="4" w:space="0" w:color="auto"/>
              <w:right w:val="single" w:sz="4" w:space="0" w:color="auto"/>
            </w:tcBorders>
          </w:tcPr>
          <w:p w14:paraId="7823B2DC" w14:textId="77777777" w:rsidR="00F51305" w:rsidRPr="00F33674" w:rsidRDefault="00F51305" w:rsidP="00F51305">
            <w:pPr>
              <w:rPr>
                <w:rFonts w:ascii="Arial Narrow" w:hAnsi="Arial Narrow" w:cs="Arial"/>
                <w:b/>
                <w:sz w:val="20"/>
                <w:szCs w:val="20"/>
              </w:rPr>
            </w:pPr>
            <w:r w:rsidRPr="00F33674">
              <w:rPr>
                <w:rFonts w:ascii="Arial Narrow" w:hAnsi="Arial Narrow" w:cs="Arial"/>
                <w:b/>
                <w:sz w:val="20"/>
                <w:szCs w:val="20"/>
              </w:rPr>
              <w:lastRenderedPageBreak/>
              <w:t>Administrative advice:</w:t>
            </w:r>
          </w:p>
        </w:tc>
        <w:tc>
          <w:tcPr>
            <w:tcW w:w="6379" w:type="dxa"/>
            <w:tcBorders>
              <w:top w:val="single" w:sz="4" w:space="0" w:color="auto"/>
              <w:left w:val="single" w:sz="4" w:space="0" w:color="auto"/>
              <w:bottom w:val="single" w:sz="4" w:space="0" w:color="auto"/>
              <w:right w:val="single" w:sz="4" w:space="0" w:color="auto"/>
            </w:tcBorders>
          </w:tcPr>
          <w:p w14:paraId="0C918EDF" w14:textId="77777777" w:rsidR="00F51305" w:rsidRPr="00F33674" w:rsidRDefault="00F51305" w:rsidP="00F51305">
            <w:pPr>
              <w:jc w:val="left"/>
              <w:rPr>
                <w:rFonts w:ascii="Arial Narrow" w:hAnsi="Arial Narrow" w:cs="Arial"/>
                <w:sz w:val="20"/>
                <w:szCs w:val="20"/>
              </w:rPr>
            </w:pPr>
            <w:r w:rsidRPr="00F33674">
              <w:rPr>
                <w:rFonts w:ascii="Arial Narrow" w:hAnsi="Arial Narrow" w:cs="Arial"/>
                <w:sz w:val="20"/>
                <w:szCs w:val="20"/>
              </w:rPr>
              <w:t>[new] This treatment is not suitable for ‘as-required’ pain relief.</w:t>
            </w:r>
          </w:p>
          <w:p w14:paraId="4722B8AF" w14:textId="77777777" w:rsidR="00F51305" w:rsidRPr="00F33674" w:rsidRDefault="00F51305" w:rsidP="00F51305">
            <w:pPr>
              <w:jc w:val="left"/>
              <w:rPr>
                <w:rFonts w:ascii="Arial Narrow" w:hAnsi="Arial Narrow" w:cs="Arial"/>
                <w:sz w:val="20"/>
                <w:szCs w:val="20"/>
              </w:rPr>
            </w:pPr>
          </w:p>
          <w:p w14:paraId="1A13E9D8" w14:textId="77777777" w:rsidR="00F51305" w:rsidRPr="00F33674" w:rsidRDefault="00F51305" w:rsidP="00F51305">
            <w:pPr>
              <w:jc w:val="left"/>
              <w:rPr>
                <w:rFonts w:ascii="Arial Narrow" w:hAnsi="Arial Narrow" w:cs="Arial"/>
                <w:sz w:val="20"/>
                <w:szCs w:val="20"/>
              </w:rPr>
            </w:pPr>
            <w:r w:rsidRPr="00F33674">
              <w:rPr>
                <w:rFonts w:ascii="Arial Narrow" w:hAnsi="Arial Narrow" w:cs="Arial"/>
                <w:sz w:val="20"/>
                <w:szCs w:val="20"/>
              </w:rPr>
              <w:t xml:space="preserve">[7901] Shared Care Model: For prescribing by nurse practitioners where care of a patient </w:t>
            </w:r>
            <w:proofErr w:type="gramStart"/>
            <w:r w:rsidRPr="00F33674">
              <w:rPr>
                <w:rFonts w:ascii="Arial Narrow" w:hAnsi="Arial Narrow" w:cs="Arial"/>
                <w:sz w:val="20"/>
                <w:szCs w:val="20"/>
              </w:rPr>
              <w:t>is shared</w:t>
            </w:r>
            <w:proofErr w:type="gramEnd"/>
            <w:r w:rsidRPr="00F33674">
              <w:rPr>
                <w:rFonts w:ascii="Arial Narrow" w:hAnsi="Arial Narrow" w:cs="Arial"/>
                <w:sz w:val="20"/>
                <w:szCs w:val="20"/>
              </w:rPr>
              <w:t xml:space="preserve"> between a nurse practitioner and medical practitioner in a formalised arrangement with an agreed management plan. Further information </w:t>
            </w:r>
            <w:proofErr w:type="gramStart"/>
            <w:r w:rsidRPr="00F33674">
              <w:rPr>
                <w:rFonts w:ascii="Arial Narrow" w:hAnsi="Arial Narrow" w:cs="Arial"/>
                <w:sz w:val="20"/>
                <w:szCs w:val="20"/>
              </w:rPr>
              <w:t>can be found</w:t>
            </w:r>
            <w:proofErr w:type="gramEnd"/>
            <w:r w:rsidRPr="00F33674">
              <w:rPr>
                <w:rFonts w:ascii="Arial Narrow" w:hAnsi="Arial Narrow" w:cs="Arial"/>
                <w:sz w:val="20"/>
                <w:szCs w:val="20"/>
              </w:rPr>
              <w:t xml:space="preserve"> in the Explanatory Notes for Nurse Practitioners.</w:t>
            </w:r>
          </w:p>
          <w:p w14:paraId="08FEB5E6" w14:textId="77777777" w:rsidR="00F51305" w:rsidRPr="00F33674" w:rsidRDefault="00F51305" w:rsidP="00F51305">
            <w:pPr>
              <w:jc w:val="left"/>
              <w:rPr>
                <w:rFonts w:ascii="Arial Narrow" w:hAnsi="Arial Narrow" w:cs="Arial"/>
                <w:sz w:val="20"/>
                <w:szCs w:val="20"/>
              </w:rPr>
            </w:pPr>
          </w:p>
          <w:p w14:paraId="2E94F566" w14:textId="77777777" w:rsidR="00F51305" w:rsidRPr="00F33674" w:rsidRDefault="00F51305" w:rsidP="00F51305">
            <w:pPr>
              <w:jc w:val="left"/>
              <w:rPr>
                <w:rFonts w:ascii="Arial Narrow" w:hAnsi="Arial Narrow" w:cs="Arial"/>
                <w:sz w:val="20"/>
                <w:szCs w:val="20"/>
              </w:rPr>
            </w:pPr>
            <w:r w:rsidRPr="00F33674">
              <w:rPr>
                <w:rFonts w:ascii="Arial Narrow" w:hAnsi="Arial Narrow" w:cs="Arial"/>
                <w:sz w:val="20"/>
                <w:szCs w:val="20"/>
              </w:rPr>
              <w:t xml:space="preserve">[10909] OxyContin modified release tablets </w:t>
            </w:r>
            <w:proofErr w:type="gramStart"/>
            <w:r w:rsidRPr="00F33674">
              <w:rPr>
                <w:rFonts w:ascii="Arial Narrow" w:hAnsi="Arial Narrow" w:cs="Arial"/>
                <w:sz w:val="20"/>
                <w:szCs w:val="20"/>
              </w:rPr>
              <w:t>are intended</w:t>
            </w:r>
            <w:proofErr w:type="gramEnd"/>
            <w:r w:rsidRPr="00F33674">
              <w:rPr>
                <w:rFonts w:ascii="Arial Narrow" w:hAnsi="Arial Narrow" w:cs="Arial"/>
                <w:sz w:val="20"/>
                <w:szCs w:val="20"/>
              </w:rPr>
              <w:t xml:space="preserve"> to be crush-deterrent and to reduce the rapid release of oxycodone upon accidental or intentional misuse.</w:t>
            </w:r>
          </w:p>
          <w:p w14:paraId="2397106A" w14:textId="77777777" w:rsidR="00F51305" w:rsidRPr="00F33674" w:rsidRDefault="00F51305" w:rsidP="00F51305">
            <w:pPr>
              <w:jc w:val="left"/>
              <w:rPr>
                <w:rFonts w:ascii="Arial Narrow" w:hAnsi="Arial Narrow" w:cs="Arial"/>
                <w:sz w:val="20"/>
                <w:szCs w:val="20"/>
              </w:rPr>
            </w:pPr>
          </w:p>
          <w:p w14:paraId="755D7B7C" w14:textId="77777777" w:rsidR="00F51305" w:rsidRPr="00F33674" w:rsidRDefault="00F51305" w:rsidP="00F51305">
            <w:pPr>
              <w:jc w:val="left"/>
              <w:rPr>
                <w:rFonts w:ascii="Arial Narrow" w:hAnsi="Arial Narrow" w:cs="Arial"/>
                <w:sz w:val="20"/>
                <w:szCs w:val="20"/>
              </w:rPr>
            </w:pPr>
            <w:r w:rsidRPr="00F33674">
              <w:rPr>
                <w:rFonts w:ascii="Arial Narrow" w:hAnsi="Arial Narrow" w:cs="Arial"/>
                <w:sz w:val="20"/>
                <w:szCs w:val="20"/>
              </w:rPr>
              <w:t>[new] Real time online applications for increased maximum quantities/repeats may be made using the Online PBS Authorities system (see www.servicesaustralia.gov.au/organisations/health-professionals/services/medicare/hpos/services/request-authority-using-online-pbs-authorities-hpos)</w:t>
            </w:r>
          </w:p>
          <w:p w14:paraId="1E57411B" w14:textId="77777777" w:rsidR="00F51305" w:rsidRPr="00F33674" w:rsidRDefault="00F51305" w:rsidP="00F51305">
            <w:pPr>
              <w:jc w:val="left"/>
              <w:rPr>
                <w:rFonts w:ascii="Arial Narrow" w:hAnsi="Arial Narrow" w:cs="Arial"/>
                <w:sz w:val="20"/>
                <w:szCs w:val="20"/>
              </w:rPr>
            </w:pPr>
          </w:p>
          <w:p w14:paraId="1469626E" w14:textId="704CE7BE" w:rsidR="00F51305" w:rsidRPr="00F33674" w:rsidRDefault="00F51305" w:rsidP="00F51305">
            <w:pPr>
              <w:jc w:val="left"/>
              <w:rPr>
                <w:rFonts w:ascii="Arial Narrow" w:hAnsi="Arial Narrow" w:cs="Arial"/>
                <w:sz w:val="20"/>
                <w:szCs w:val="20"/>
              </w:rPr>
            </w:pPr>
            <w:r w:rsidRPr="00F33674">
              <w:rPr>
                <w:rFonts w:ascii="Arial Narrow" w:hAnsi="Arial Narrow" w:cs="Arial"/>
                <w:sz w:val="20"/>
                <w:szCs w:val="20"/>
              </w:rPr>
              <w:t>Phone applications for increased maximum quantities/repeats may be made by calling 1800 888 333.</w:t>
            </w:r>
          </w:p>
          <w:p w14:paraId="29F1E397" w14:textId="77777777" w:rsidR="00F51305" w:rsidRPr="00F33674" w:rsidRDefault="00F51305" w:rsidP="00F51305">
            <w:pPr>
              <w:jc w:val="left"/>
              <w:rPr>
                <w:rFonts w:ascii="Arial Narrow" w:hAnsi="Arial Narrow" w:cs="Arial"/>
                <w:sz w:val="20"/>
                <w:szCs w:val="20"/>
              </w:rPr>
            </w:pPr>
          </w:p>
          <w:p w14:paraId="3FB4D23A" w14:textId="77777777" w:rsidR="00F51305" w:rsidRPr="00F33674" w:rsidRDefault="00F51305" w:rsidP="00F51305">
            <w:pPr>
              <w:jc w:val="left"/>
              <w:rPr>
                <w:rFonts w:ascii="Arial Narrow" w:hAnsi="Arial Narrow" w:cs="Arial"/>
                <w:sz w:val="20"/>
                <w:szCs w:val="20"/>
              </w:rPr>
            </w:pPr>
            <w:r w:rsidRPr="00F33674">
              <w:rPr>
                <w:rFonts w:ascii="Arial Narrow" w:hAnsi="Arial Narrow" w:cs="Arial"/>
                <w:sz w:val="20"/>
                <w:szCs w:val="20"/>
              </w:rPr>
              <w:t>Written authority applications for increased maximum quantities/repeats can be uploaded online through HPOS form upload or mailed to:</w:t>
            </w:r>
          </w:p>
          <w:p w14:paraId="16F1C1A8" w14:textId="77777777" w:rsidR="00F51305" w:rsidRPr="00F33674" w:rsidRDefault="00F51305" w:rsidP="00F51305">
            <w:pPr>
              <w:jc w:val="left"/>
              <w:rPr>
                <w:rFonts w:ascii="Arial Narrow" w:hAnsi="Arial Narrow" w:cs="Arial"/>
                <w:sz w:val="20"/>
                <w:szCs w:val="20"/>
              </w:rPr>
            </w:pPr>
            <w:r w:rsidRPr="00F33674">
              <w:rPr>
                <w:rFonts w:ascii="Arial Narrow" w:hAnsi="Arial Narrow" w:cs="Arial"/>
                <w:sz w:val="20"/>
                <w:szCs w:val="20"/>
              </w:rPr>
              <w:t>Pharmaceutical Benefits Scheme</w:t>
            </w:r>
          </w:p>
          <w:p w14:paraId="539F018D" w14:textId="77777777" w:rsidR="00F51305" w:rsidRPr="00F33674" w:rsidRDefault="00F51305" w:rsidP="00F51305">
            <w:pPr>
              <w:jc w:val="left"/>
              <w:rPr>
                <w:rFonts w:ascii="Arial Narrow" w:hAnsi="Arial Narrow" w:cs="Arial"/>
                <w:sz w:val="20"/>
                <w:szCs w:val="20"/>
              </w:rPr>
            </w:pPr>
            <w:r w:rsidRPr="00F33674">
              <w:rPr>
                <w:rFonts w:ascii="Arial Narrow" w:hAnsi="Arial Narrow" w:cs="Arial"/>
                <w:sz w:val="20"/>
                <w:szCs w:val="20"/>
              </w:rPr>
              <w:t>Reply Paid 9857</w:t>
            </w:r>
          </w:p>
          <w:p w14:paraId="160B6EEB" w14:textId="77777777" w:rsidR="00F51305" w:rsidRPr="00F33674" w:rsidRDefault="00F51305" w:rsidP="00F51305">
            <w:pPr>
              <w:jc w:val="left"/>
              <w:rPr>
                <w:rFonts w:ascii="Arial Narrow" w:hAnsi="Arial Narrow" w:cs="Arial"/>
                <w:sz w:val="20"/>
                <w:szCs w:val="20"/>
              </w:rPr>
            </w:pPr>
            <w:r w:rsidRPr="00F33674">
              <w:rPr>
                <w:rFonts w:ascii="Arial Narrow" w:hAnsi="Arial Narrow" w:cs="Arial"/>
                <w:sz w:val="20"/>
                <w:szCs w:val="20"/>
              </w:rPr>
              <w:t>[Your capital city]</w:t>
            </w:r>
          </w:p>
        </w:tc>
      </w:tr>
      <w:tr w:rsidR="00F51305" w:rsidRPr="00F33674" w14:paraId="1FA63B4E" w14:textId="77777777" w:rsidTr="00F33674">
        <w:trPr>
          <w:cantSplit/>
          <w:trHeight w:val="360"/>
        </w:trPr>
        <w:tc>
          <w:tcPr>
            <w:tcW w:w="2835" w:type="dxa"/>
            <w:tcBorders>
              <w:top w:val="single" w:sz="4" w:space="0" w:color="auto"/>
              <w:left w:val="single" w:sz="4" w:space="0" w:color="auto"/>
              <w:bottom w:val="single" w:sz="4" w:space="0" w:color="auto"/>
              <w:right w:val="single" w:sz="4" w:space="0" w:color="auto"/>
            </w:tcBorders>
          </w:tcPr>
          <w:p w14:paraId="6A94AA16" w14:textId="77777777" w:rsidR="00F51305" w:rsidRPr="00F33674" w:rsidRDefault="00F51305" w:rsidP="00F51305">
            <w:pPr>
              <w:rPr>
                <w:rFonts w:ascii="Arial Narrow" w:hAnsi="Arial Narrow" w:cs="Arial"/>
                <w:b/>
                <w:sz w:val="20"/>
                <w:szCs w:val="20"/>
              </w:rPr>
            </w:pPr>
            <w:r w:rsidRPr="00F33674">
              <w:rPr>
                <w:rFonts w:ascii="Arial Narrow" w:hAnsi="Arial Narrow" w:cs="Arial"/>
                <w:b/>
                <w:sz w:val="20"/>
                <w:szCs w:val="20"/>
              </w:rPr>
              <w:t>Cautions:</w:t>
            </w:r>
          </w:p>
        </w:tc>
        <w:tc>
          <w:tcPr>
            <w:tcW w:w="6379" w:type="dxa"/>
            <w:tcBorders>
              <w:top w:val="single" w:sz="4" w:space="0" w:color="auto"/>
              <w:left w:val="single" w:sz="4" w:space="0" w:color="auto"/>
              <w:bottom w:val="single" w:sz="4" w:space="0" w:color="auto"/>
              <w:right w:val="single" w:sz="4" w:space="0" w:color="auto"/>
            </w:tcBorders>
          </w:tcPr>
          <w:p w14:paraId="644E01C1" w14:textId="77777777" w:rsidR="00F51305" w:rsidRPr="00F33674" w:rsidRDefault="00F51305" w:rsidP="00F51305">
            <w:pPr>
              <w:jc w:val="left"/>
              <w:rPr>
                <w:rFonts w:ascii="Arial Narrow" w:hAnsi="Arial Narrow" w:cs="Arial"/>
                <w:sz w:val="20"/>
                <w:szCs w:val="20"/>
              </w:rPr>
            </w:pPr>
            <w:r w:rsidRPr="00F33674">
              <w:rPr>
                <w:rFonts w:ascii="Arial Narrow" w:hAnsi="Arial Narrow" w:cs="Arial"/>
                <w:sz w:val="20"/>
                <w:szCs w:val="20"/>
              </w:rPr>
              <w:t>[6986] The risk of drug dependence is high.</w:t>
            </w:r>
          </w:p>
        </w:tc>
      </w:tr>
    </w:tbl>
    <w:p w14:paraId="01FDC578" w14:textId="2972061A" w:rsidR="00CB71CC" w:rsidRDefault="00CB71CC" w:rsidP="00193259">
      <w:pPr>
        <w:pStyle w:val="3-BodyText"/>
        <w:numPr>
          <w:ilvl w:val="0"/>
          <w:numId w:val="0"/>
        </w:numPr>
        <w:ind w:left="720" w:hanging="720"/>
      </w:pPr>
    </w:p>
    <w:tbl>
      <w:tblPr>
        <w:tblW w:w="9214" w:type="dxa"/>
        <w:tblInd w:w="-5" w:type="dxa"/>
        <w:tblLayout w:type="fixed"/>
        <w:tblLook w:val="0000" w:firstRow="0" w:lastRow="0" w:firstColumn="0" w:lastColumn="0" w:noHBand="0" w:noVBand="0"/>
      </w:tblPr>
      <w:tblGrid>
        <w:gridCol w:w="2835"/>
        <w:gridCol w:w="6379"/>
      </w:tblGrid>
      <w:tr w:rsidR="00F51305" w:rsidRPr="00F33674" w14:paraId="481A7A61" w14:textId="77777777" w:rsidTr="00E41546">
        <w:trPr>
          <w:cantSplit/>
          <w:trHeight w:val="360"/>
        </w:trPr>
        <w:tc>
          <w:tcPr>
            <w:tcW w:w="2835" w:type="dxa"/>
            <w:tcBorders>
              <w:top w:val="single" w:sz="4" w:space="0" w:color="auto"/>
              <w:left w:val="single" w:sz="4" w:space="0" w:color="auto"/>
              <w:bottom w:val="single" w:sz="4" w:space="0" w:color="auto"/>
              <w:right w:val="single" w:sz="4" w:space="0" w:color="auto"/>
            </w:tcBorders>
          </w:tcPr>
          <w:p w14:paraId="3D6ECCD2" w14:textId="77777777" w:rsidR="00F51305" w:rsidRPr="00F33674" w:rsidRDefault="00F51305" w:rsidP="00E41546">
            <w:pPr>
              <w:rPr>
                <w:rFonts w:ascii="Arial Narrow" w:hAnsi="Arial Narrow" w:cs="Arial"/>
                <w:b/>
                <w:sz w:val="20"/>
                <w:szCs w:val="20"/>
              </w:rPr>
            </w:pPr>
            <w:r w:rsidRPr="00F33674">
              <w:rPr>
                <w:rFonts w:ascii="Arial Narrow" w:hAnsi="Arial Narrow" w:cs="Arial"/>
                <w:b/>
                <w:sz w:val="20"/>
                <w:szCs w:val="20"/>
              </w:rPr>
              <w:t>Category / Program:</w:t>
            </w:r>
          </w:p>
        </w:tc>
        <w:tc>
          <w:tcPr>
            <w:tcW w:w="6379" w:type="dxa"/>
            <w:tcBorders>
              <w:top w:val="single" w:sz="4" w:space="0" w:color="auto"/>
              <w:left w:val="single" w:sz="4" w:space="0" w:color="auto"/>
              <w:bottom w:val="single" w:sz="4" w:space="0" w:color="auto"/>
              <w:right w:val="single" w:sz="4" w:space="0" w:color="auto"/>
            </w:tcBorders>
          </w:tcPr>
          <w:p w14:paraId="5EB45B2B" w14:textId="77777777" w:rsidR="00F51305" w:rsidRPr="00F33674" w:rsidRDefault="00F51305" w:rsidP="00E41546">
            <w:pPr>
              <w:rPr>
                <w:rFonts w:ascii="Arial Narrow" w:hAnsi="Arial Narrow" w:cs="Arial"/>
                <w:sz w:val="20"/>
                <w:szCs w:val="20"/>
              </w:rPr>
            </w:pPr>
            <w:r w:rsidRPr="00F33674">
              <w:rPr>
                <w:rFonts w:ascii="Arial Narrow" w:hAnsi="Arial Narrow" w:cs="Arial"/>
                <w:sz w:val="20"/>
                <w:szCs w:val="20"/>
              </w:rPr>
              <w:t>GENERAL – General Schedule (Code GE)</w:t>
            </w:r>
          </w:p>
        </w:tc>
      </w:tr>
      <w:tr w:rsidR="00F51305" w:rsidRPr="00F33674" w14:paraId="648FB263" w14:textId="77777777" w:rsidTr="00E41546">
        <w:trPr>
          <w:cantSplit/>
          <w:trHeight w:val="360"/>
        </w:trPr>
        <w:tc>
          <w:tcPr>
            <w:tcW w:w="2835" w:type="dxa"/>
            <w:tcBorders>
              <w:top w:val="single" w:sz="4" w:space="0" w:color="auto"/>
              <w:left w:val="single" w:sz="4" w:space="0" w:color="auto"/>
              <w:bottom w:val="single" w:sz="4" w:space="0" w:color="auto"/>
              <w:right w:val="single" w:sz="4" w:space="0" w:color="auto"/>
            </w:tcBorders>
          </w:tcPr>
          <w:p w14:paraId="3AD5BB72" w14:textId="77777777" w:rsidR="00F51305" w:rsidRPr="00F33674" w:rsidRDefault="00F51305" w:rsidP="00E41546">
            <w:pPr>
              <w:rPr>
                <w:rFonts w:ascii="Arial Narrow" w:hAnsi="Arial Narrow" w:cs="Arial"/>
                <w:b/>
                <w:sz w:val="20"/>
                <w:szCs w:val="20"/>
              </w:rPr>
            </w:pPr>
            <w:r w:rsidRPr="00F33674">
              <w:rPr>
                <w:rFonts w:ascii="Arial Narrow" w:hAnsi="Arial Narrow" w:cs="Arial"/>
                <w:b/>
                <w:sz w:val="20"/>
                <w:szCs w:val="20"/>
              </w:rPr>
              <w:t>Prescriber type:</w:t>
            </w:r>
          </w:p>
          <w:p w14:paraId="3484E6F2" w14:textId="77777777" w:rsidR="00F51305" w:rsidRPr="00F33674" w:rsidRDefault="00F51305" w:rsidP="00E41546">
            <w:pPr>
              <w:rPr>
                <w:rFonts w:ascii="Arial Narrow" w:hAnsi="Arial Narrow" w:cs="Arial"/>
                <w:b/>
                <w:sz w:val="20"/>
                <w:szCs w:val="20"/>
              </w:rPr>
            </w:pPr>
          </w:p>
        </w:tc>
        <w:tc>
          <w:tcPr>
            <w:tcW w:w="6379" w:type="dxa"/>
            <w:tcBorders>
              <w:top w:val="single" w:sz="4" w:space="0" w:color="auto"/>
              <w:left w:val="single" w:sz="4" w:space="0" w:color="auto"/>
              <w:bottom w:val="single" w:sz="4" w:space="0" w:color="auto"/>
              <w:right w:val="single" w:sz="4" w:space="0" w:color="auto"/>
            </w:tcBorders>
          </w:tcPr>
          <w:p w14:paraId="699CA648" w14:textId="77777777" w:rsidR="00F51305" w:rsidRPr="00F33674" w:rsidRDefault="00F51305" w:rsidP="00E41546">
            <w:pPr>
              <w:rPr>
                <w:rFonts w:ascii="Arial Narrow" w:hAnsi="Arial Narrow" w:cs="Arial"/>
                <w:sz w:val="20"/>
                <w:szCs w:val="20"/>
              </w:rPr>
            </w:pPr>
            <w:r w:rsidRPr="00F33674">
              <w:rPr>
                <w:rFonts w:ascii="Arial Narrow" w:hAnsi="Arial Narrow" w:cs="Arial"/>
                <w:sz w:val="20"/>
                <w:szCs w:val="20"/>
              </w:rPr>
              <w:fldChar w:fldCharType="begin">
                <w:ffData>
                  <w:name w:val="Check1"/>
                  <w:enabled/>
                  <w:calcOnExit w:val="0"/>
                  <w:checkBox>
                    <w:sizeAuto/>
                    <w:default w:val="0"/>
                  </w:checkBox>
                </w:ffData>
              </w:fldChar>
            </w:r>
            <w:r w:rsidRPr="00F33674">
              <w:rPr>
                <w:rFonts w:ascii="Arial Narrow" w:hAnsi="Arial Narrow" w:cs="Arial"/>
                <w:sz w:val="20"/>
                <w:szCs w:val="20"/>
              </w:rPr>
              <w:instrText xml:space="preserve"> FORMCHECKBOX </w:instrText>
            </w:r>
            <w:r w:rsidR="00233D13">
              <w:rPr>
                <w:rFonts w:ascii="Arial Narrow" w:hAnsi="Arial Narrow" w:cs="Arial"/>
                <w:sz w:val="20"/>
                <w:szCs w:val="20"/>
              </w:rPr>
            </w:r>
            <w:r w:rsidR="00233D13">
              <w:rPr>
                <w:rFonts w:ascii="Arial Narrow" w:hAnsi="Arial Narrow" w:cs="Arial"/>
                <w:sz w:val="20"/>
                <w:szCs w:val="20"/>
              </w:rPr>
              <w:fldChar w:fldCharType="separate"/>
            </w:r>
            <w:r w:rsidRPr="00F33674">
              <w:rPr>
                <w:rFonts w:ascii="Arial Narrow" w:hAnsi="Arial Narrow" w:cs="Arial"/>
                <w:sz w:val="20"/>
                <w:szCs w:val="20"/>
              </w:rPr>
              <w:fldChar w:fldCharType="end"/>
            </w:r>
            <w:r w:rsidRPr="00F33674">
              <w:rPr>
                <w:rFonts w:ascii="Arial Narrow" w:hAnsi="Arial Narrow" w:cs="Arial"/>
                <w:sz w:val="20"/>
                <w:szCs w:val="20"/>
              </w:rPr>
              <w:t>Dental</w:t>
            </w:r>
            <w:r>
              <w:rPr>
                <w:rFonts w:ascii="Arial Narrow" w:hAnsi="Arial Narrow" w:cs="Arial"/>
                <w:sz w:val="20"/>
                <w:szCs w:val="20"/>
              </w:rPr>
              <w:t xml:space="preserve"> </w:t>
            </w:r>
            <w:r w:rsidRPr="00F33674">
              <w:rPr>
                <w:rFonts w:ascii="Arial Narrow" w:hAnsi="Arial Narrow" w:cs="Arial"/>
                <w:sz w:val="20"/>
                <w:szCs w:val="20"/>
              </w:rPr>
              <w:fldChar w:fldCharType="begin">
                <w:ffData>
                  <w:name w:val=""/>
                  <w:enabled/>
                  <w:calcOnExit w:val="0"/>
                  <w:checkBox>
                    <w:sizeAuto/>
                    <w:default w:val="1"/>
                  </w:checkBox>
                </w:ffData>
              </w:fldChar>
            </w:r>
            <w:r w:rsidRPr="00F33674">
              <w:rPr>
                <w:rFonts w:ascii="Arial Narrow" w:hAnsi="Arial Narrow" w:cs="Arial"/>
                <w:sz w:val="20"/>
                <w:szCs w:val="20"/>
              </w:rPr>
              <w:instrText xml:space="preserve"> FORMCHECKBOX </w:instrText>
            </w:r>
            <w:r w:rsidR="00233D13">
              <w:rPr>
                <w:rFonts w:ascii="Arial Narrow" w:hAnsi="Arial Narrow" w:cs="Arial"/>
                <w:sz w:val="20"/>
                <w:szCs w:val="20"/>
              </w:rPr>
            </w:r>
            <w:r w:rsidR="00233D13">
              <w:rPr>
                <w:rFonts w:ascii="Arial Narrow" w:hAnsi="Arial Narrow" w:cs="Arial"/>
                <w:sz w:val="20"/>
                <w:szCs w:val="20"/>
              </w:rPr>
              <w:fldChar w:fldCharType="separate"/>
            </w:r>
            <w:r w:rsidRPr="00F33674">
              <w:rPr>
                <w:rFonts w:ascii="Arial Narrow" w:hAnsi="Arial Narrow" w:cs="Arial"/>
                <w:sz w:val="20"/>
                <w:szCs w:val="20"/>
              </w:rPr>
              <w:fldChar w:fldCharType="end"/>
            </w:r>
            <w:r w:rsidRPr="00F33674">
              <w:rPr>
                <w:rFonts w:ascii="Arial Narrow" w:hAnsi="Arial Narrow" w:cs="Arial"/>
                <w:sz w:val="20"/>
                <w:szCs w:val="20"/>
              </w:rPr>
              <w:t>Medical Practitioners</w:t>
            </w:r>
            <w:r>
              <w:rPr>
                <w:rFonts w:ascii="Arial Narrow" w:hAnsi="Arial Narrow" w:cs="Arial"/>
                <w:sz w:val="20"/>
                <w:szCs w:val="20"/>
              </w:rPr>
              <w:t xml:space="preserve"> </w:t>
            </w:r>
            <w:r w:rsidRPr="00F33674">
              <w:rPr>
                <w:rFonts w:ascii="Arial Narrow" w:hAnsi="Arial Narrow" w:cs="Arial"/>
                <w:sz w:val="20"/>
                <w:szCs w:val="20"/>
              </w:rPr>
              <w:fldChar w:fldCharType="begin">
                <w:ffData>
                  <w:name w:val="Check3"/>
                  <w:enabled/>
                  <w:calcOnExit w:val="0"/>
                  <w:checkBox>
                    <w:sizeAuto/>
                    <w:default w:val="1"/>
                  </w:checkBox>
                </w:ffData>
              </w:fldChar>
            </w:r>
            <w:r w:rsidRPr="00F33674">
              <w:rPr>
                <w:rFonts w:ascii="Arial Narrow" w:hAnsi="Arial Narrow" w:cs="Arial"/>
                <w:sz w:val="20"/>
                <w:szCs w:val="20"/>
              </w:rPr>
              <w:instrText xml:space="preserve"> FORMCHECKBOX </w:instrText>
            </w:r>
            <w:r w:rsidR="00233D13">
              <w:rPr>
                <w:rFonts w:ascii="Arial Narrow" w:hAnsi="Arial Narrow" w:cs="Arial"/>
                <w:sz w:val="20"/>
                <w:szCs w:val="20"/>
              </w:rPr>
            </w:r>
            <w:r w:rsidR="00233D13">
              <w:rPr>
                <w:rFonts w:ascii="Arial Narrow" w:hAnsi="Arial Narrow" w:cs="Arial"/>
                <w:sz w:val="20"/>
                <w:szCs w:val="20"/>
              </w:rPr>
              <w:fldChar w:fldCharType="separate"/>
            </w:r>
            <w:r w:rsidRPr="00F33674">
              <w:rPr>
                <w:rFonts w:ascii="Arial Narrow" w:hAnsi="Arial Narrow" w:cs="Arial"/>
                <w:sz w:val="20"/>
                <w:szCs w:val="20"/>
              </w:rPr>
              <w:fldChar w:fldCharType="end"/>
            </w:r>
            <w:r w:rsidRPr="00F33674">
              <w:rPr>
                <w:rFonts w:ascii="Arial Narrow" w:hAnsi="Arial Narrow" w:cs="Arial"/>
                <w:sz w:val="20"/>
                <w:szCs w:val="20"/>
              </w:rPr>
              <w:t>Nurse practitioners</w:t>
            </w:r>
            <w:r>
              <w:rPr>
                <w:rFonts w:ascii="Arial Narrow" w:hAnsi="Arial Narrow" w:cs="Arial"/>
                <w:sz w:val="20"/>
                <w:szCs w:val="20"/>
              </w:rPr>
              <w:t xml:space="preserve"> </w:t>
            </w:r>
            <w:r w:rsidRPr="00F33674">
              <w:rPr>
                <w:rFonts w:ascii="Arial Narrow" w:hAnsi="Arial Narrow" w:cs="Arial"/>
                <w:sz w:val="20"/>
                <w:szCs w:val="20"/>
              </w:rPr>
              <w:fldChar w:fldCharType="begin">
                <w:ffData>
                  <w:name w:val=""/>
                  <w:enabled/>
                  <w:calcOnExit w:val="0"/>
                  <w:checkBox>
                    <w:sizeAuto/>
                    <w:default w:val="0"/>
                  </w:checkBox>
                </w:ffData>
              </w:fldChar>
            </w:r>
            <w:r w:rsidRPr="00F33674">
              <w:rPr>
                <w:rFonts w:ascii="Arial Narrow" w:hAnsi="Arial Narrow" w:cs="Arial"/>
                <w:sz w:val="20"/>
                <w:szCs w:val="20"/>
              </w:rPr>
              <w:instrText xml:space="preserve"> FORMCHECKBOX </w:instrText>
            </w:r>
            <w:r w:rsidR="00233D13">
              <w:rPr>
                <w:rFonts w:ascii="Arial Narrow" w:hAnsi="Arial Narrow" w:cs="Arial"/>
                <w:sz w:val="20"/>
                <w:szCs w:val="20"/>
              </w:rPr>
            </w:r>
            <w:r w:rsidR="00233D13">
              <w:rPr>
                <w:rFonts w:ascii="Arial Narrow" w:hAnsi="Arial Narrow" w:cs="Arial"/>
                <w:sz w:val="20"/>
                <w:szCs w:val="20"/>
              </w:rPr>
              <w:fldChar w:fldCharType="separate"/>
            </w:r>
            <w:r w:rsidRPr="00F33674">
              <w:rPr>
                <w:rFonts w:ascii="Arial Narrow" w:hAnsi="Arial Narrow" w:cs="Arial"/>
                <w:sz w:val="20"/>
                <w:szCs w:val="20"/>
              </w:rPr>
              <w:fldChar w:fldCharType="end"/>
            </w:r>
            <w:r w:rsidRPr="00F33674">
              <w:rPr>
                <w:rFonts w:ascii="Arial Narrow" w:hAnsi="Arial Narrow" w:cs="Arial"/>
                <w:sz w:val="20"/>
                <w:szCs w:val="20"/>
              </w:rPr>
              <w:t>Optometrists</w:t>
            </w:r>
          </w:p>
          <w:p w14:paraId="39A4063A" w14:textId="77777777" w:rsidR="00F51305" w:rsidRPr="00F33674" w:rsidRDefault="00F51305" w:rsidP="00E41546">
            <w:pPr>
              <w:rPr>
                <w:rFonts w:ascii="Arial Narrow" w:hAnsi="Arial Narrow" w:cs="Arial"/>
                <w:sz w:val="20"/>
                <w:szCs w:val="20"/>
              </w:rPr>
            </w:pPr>
            <w:r w:rsidRPr="00F33674">
              <w:rPr>
                <w:rFonts w:ascii="Arial Narrow" w:hAnsi="Arial Narrow" w:cs="Arial"/>
                <w:sz w:val="20"/>
                <w:szCs w:val="20"/>
              </w:rPr>
              <w:fldChar w:fldCharType="begin">
                <w:ffData>
                  <w:name w:val="Check5"/>
                  <w:enabled/>
                  <w:calcOnExit w:val="0"/>
                  <w:checkBox>
                    <w:sizeAuto/>
                    <w:default w:val="0"/>
                  </w:checkBox>
                </w:ffData>
              </w:fldChar>
            </w:r>
            <w:r w:rsidRPr="00F33674">
              <w:rPr>
                <w:rFonts w:ascii="Arial Narrow" w:hAnsi="Arial Narrow" w:cs="Arial"/>
                <w:sz w:val="20"/>
                <w:szCs w:val="20"/>
              </w:rPr>
              <w:instrText xml:space="preserve"> FORMCHECKBOX </w:instrText>
            </w:r>
            <w:r w:rsidR="00233D13">
              <w:rPr>
                <w:rFonts w:ascii="Arial Narrow" w:hAnsi="Arial Narrow" w:cs="Arial"/>
                <w:sz w:val="20"/>
                <w:szCs w:val="20"/>
              </w:rPr>
            </w:r>
            <w:r w:rsidR="00233D13">
              <w:rPr>
                <w:rFonts w:ascii="Arial Narrow" w:hAnsi="Arial Narrow" w:cs="Arial"/>
                <w:sz w:val="20"/>
                <w:szCs w:val="20"/>
              </w:rPr>
              <w:fldChar w:fldCharType="separate"/>
            </w:r>
            <w:r w:rsidRPr="00F33674">
              <w:rPr>
                <w:rFonts w:ascii="Arial Narrow" w:hAnsi="Arial Narrow" w:cs="Arial"/>
                <w:sz w:val="20"/>
                <w:szCs w:val="20"/>
              </w:rPr>
              <w:fldChar w:fldCharType="end"/>
            </w:r>
            <w:r w:rsidRPr="00F33674">
              <w:rPr>
                <w:rFonts w:ascii="Arial Narrow" w:hAnsi="Arial Narrow" w:cs="Arial"/>
                <w:sz w:val="20"/>
                <w:szCs w:val="20"/>
              </w:rPr>
              <w:t>Midwives</w:t>
            </w:r>
          </w:p>
        </w:tc>
      </w:tr>
      <w:tr w:rsidR="00F51305" w:rsidRPr="00F33674" w14:paraId="4A8D9EA9" w14:textId="77777777" w:rsidTr="00E41546">
        <w:trPr>
          <w:cantSplit/>
          <w:trHeight w:val="369"/>
        </w:trPr>
        <w:tc>
          <w:tcPr>
            <w:tcW w:w="2835" w:type="dxa"/>
            <w:tcBorders>
              <w:top w:val="single" w:sz="4" w:space="0" w:color="auto"/>
              <w:left w:val="single" w:sz="4" w:space="0" w:color="auto"/>
              <w:bottom w:val="single" w:sz="4" w:space="0" w:color="auto"/>
              <w:right w:val="single" w:sz="4" w:space="0" w:color="auto"/>
            </w:tcBorders>
          </w:tcPr>
          <w:p w14:paraId="77BB7F91" w14:textId="77777777" w:rsidR="00F51305" w:rsidRPr="00F33674" w:rsidRDefault="00F51305" w:rsidP="00E41546">
            <w:pPr>
              <w:rPr>
                <w:rFonts w:ascii="Arial Narrow" w:hAnsi="Arial Narrow" w:cs="Arial"/>
                <w:b/>
                <w:sz w:val="20"/>
                <w:szCs w:val="20"/>
              </w:rPr>
            </w:pPr>
            <w:r w:rsidRPr="00F33674">
              <w:rPr>
                <w:rFonts w:ascii="Arial Narrow" w:hAnsi="Arial Narrow" w:cs="Arial"/>
                <w:b/>
                <w:sz w:val="20"/>
                <w:szCs w:val="20"/>
              </w:rPr>
              <w:t>PBS indication:</w:t>
            </w:r>
          </w:p>
        </w:tc>
        <w:tc>
          <w:tcPr>
            <w:tcW w:w="6379" w:type="dxa"/>
            <w:tcBorders>
              <w:top w:val="single" w:sz="4" w:space="0" w:color="auto"/>
              <w:left w:val="single" w:sz="4" w:space="0" w:color="auto"/>
              <w:bottom w:val="single" w:sz="4" w:space="0" w:color="auto"/>
              <w:right w:val="single" w:sz="4" w:space="0" w:color="auto"/>
            </w:tcBorders>
          </w:tcPr>
          <w:p w14:paraId="6F19C453" w14:textId="77777777" w:rsidR="00F51305" w:rsidRPr="00F33674" w:rsidRDefault="00F51305" w:rsidP="00E41546">
            <w:pPr>
              <w:rPr>
                <w:rFonts w:ascii="Arial Narrow" w:hAnsi="Arial Narrow" w:cs="Arial"/>
                <w:sz w:val="20"/>
                <w:szCs w:val="20"/>
              </w:rPr>
            </w:pPr>
            <w:r w:rsidRPr="00F33674">
              <w:rPr>
                <w:rFonts w:ascii="Arial Narrow" w:hAnsi="Arial Narrow" w:cs="Arial"/>
                <w:sz w:val="20"/>
                <w:szCs w:val="20"/>
              </w:rPr>
              <w:t>[new] Chronic severe pain</w:t>
            </w:r>
          </w:p>
        </w:tc>
      </w:tr>
      <w:tr w:rsidR="00F51305" w:rsidRPr="00F33674" w14:paraId="0763752C" w14:textId="77777777" w:rsidTr="00E41546">
        <w:trPr>
          <w:cantSplit/>
          <w:trHeight w:val="360"/>
        </w:trPr>
        <w:tc>
          <w:tcPr>
            <w:tcW w:w="2835" w:type="dxa"/>
            <w:tcBorders>
              <w:top w:val="single" w:sz="4" w:space="0" w:color="auto"/>
              <w:left w:val="single" w:sz="4" w:space="0" w:color="auto"/>
              <w:bottom w:val="single" w:sz="4" w:space="0" w:color="auto"/>
              <w:right w:val="single" w:sz="4" w:space="0" w:color="auto"/>
            </w:tcBorders>
          </w:tcPr>
          <w:p w14:paraId="360C92A3" w14:textId="77777777" w:rsidR="00F51305" w:rsidRPr="00F33674" w:rsidRDefault="00F51305" w:rsidP="00E41546">
            <w:pPr>
              <w:rPr>
                <w:rFonts w:ascii="Arial Narrow" w:hAnsi="Arial Narrow" w:cs="Arial"/>
                <w:b/>
                <w:sz w:val="20"/>
                <w:szCs w:val="20"/>
              </w:rPr>
            </w:pPr>
            <w:r w:rsidRPr="00F33674">
              <w:rPr>
                <w:rFonts w:ascii="Arial Narrow" w:hAnsi="Arial Narrow" w:cs="Arial"/>
                <w:b/>
                <w:sz w:val="20"/>
                <w:szCs w:val="20"/>
              </w:rPr>
              <w:t>Restriction Level / Method:</w:t>
            </w:r>
          </w:p>
          <w:p w14:paraId="1B623782" w14:textId="77777777" w:rsidR="00F51305" w:rsidRPr="00F33674" w:rsidRDefault="00F51305" w:rsidP="00E41546">
            <w:pPr>
              <w:rPr>
                <w:rFonts w:ascii="Arial Narrow" w:hAnsi="Arial Narrow" w:cs="Arial"/>
                <w:i/>
                <w:sz w:val="20"/>
                <w:szCs w:val="20"/>
              </w:rPr>
            </w:pPr>
          </w:p>
          <w:p w14:paraId="21F823DC" w14:textId="77777777" w:rsidR="00F51305" w:rsidRPr="00F33674" w:rsidRDefault="00F51305" w:rsidP="00E41546">
            <w:pPr>
              <w:rPr>
                <w:rFonts w:ascii="Arial Narrow" w:hAnsi="Arial Narrow" w:cs="Arial"/>
                <w:i/>
                <w:sz w:val="20"/>
                <w:szCs w:val="20"/>
              </w:rPr>
            </w:pPr>
          </w:p>
          <w:p w14:paraId="47847A26" w14:textId="77777777" w:rsidR="00F51305" w:rsidRPr="00F33674" w:rsidRDefault="00F51305" w:rsidP="00E41546">
            <w:pPr>
              <w:rPr>
                <w:rFonts w:ascii="Arial Narrow" w:hAnsi="Arial Narrow" w:cs="Arial"/>
                <w:i/>
                <w:sz w:val="20"/>
                <w:szCs w:val="20"/>
              </w:rPr>
            </w:pPr>
          </w:p>
        </w:tc>
        <w:tc>
          <w:tcPr>
            <w:tcW w:w="6379" w:type="dxa"/>
            <w:tcBorders>
              <w:top w:val="single" w:sz="4" w:space="0" w:color="auto"/>
              <w:left w:val="single" w:sz="4" w:space="0" w:color="auto"/>
              <w:bottom w:val="single" w:sz="4" w:space="0" w:color="auto"/>
              <w:right w:val="single" w:sz="4" w:space="0" w:color="auto"/>
            </w:tcBorders>
          </w:tcPr>
          <w:p w14:paraId="404EEBBB" w14:textId="77777777" w:rsidR="00F51305" w:rsidRPr="00F33674" w:rsidRDefault="00F51305" w:rsidP="00E41546">
            <w:pPr>
              <w:rPr>
                <w:rFonts w:ascii="Arial Narrow" w:hAnsi="Arial Narrow" w:cs="Arial"/>
                <w:sz w:val="20"/>
                <w:szCs w:val="20"/>
              </w:rPr>
            </w:pPr>
            <w:r w:rsidRPr="00F33674">
              <w:rPr>
                <w:rFonts w:ascii="Arial Narrow" w:hAnsi="Arial Narrow" w:cs="Arial"/>
                <w:sz w:val="20"/>
                <w:szCs w:val="20"/>
              </w:rPr>
              <w:fldChar w:fldCharType="begin">
                <w:ffData>
                  <w:name w:val=""/>
                  <w:enabled/>
                  <w:calcOnExit w:val="0"/>
                  <w:checkBox>
                    <w:sizeAuto/>
                    <w:default w:val="0"/>
                  </w:checkBox>
                </w:ffData>
              </w:fldChar>
            </w:r>
            <w:r w:rsidRPr="00F33674">
              <w:rPr>
                <w:rFonts w:ascii="Arial Narrow" w:hAnsi="Arial Narrow" w:cs="Arial"/>
                <w:sz w:val="20"/>
                <w:szCs w:val="20"/>
              </w:rPr>
              <w:instrText xml:space="preserve"> FORMCHECKBOX </w:instrText>
            </w:r>
            <w:r w:rsidR="00233D13">
              <w:rPr>
                <w:rFonts w:ascii="Arial Narrow" w:hAnsi="Arial Narrow" w:cs="Arial"/>
                <w:sz w:val="20"/>
                <w:szCs w:val="20"/>
              </w:rPr>
            </w:r>
            <w:r w:rsidR="00233D13">
              <w:rPr>
                <w:rFonts w:ascii="Arial Narrow" w:hAnsi="Arial Narrow" w:cs="Arial"/>
                <w:sz w:val="20"/>
                <w:szCs w:val="20"/>
              </w:rPr>
              <w:fldChar w:fldCharType="separate"/>
            </w:r>
            <w:r w:rsidRPr="00F33674">
              <w:rPr>
                <w:rFonts w:ascii="Arial Narrow" w:hAnsi="Arial Narrow" w:cs="Arial"/>
                <w:sz w:val="20"/>
                <w:szCs w:val="20"/>
              </w:rPr>
              <w:fldChar w:fldCharType="end"/>
            </w:r>
            <w:r w:rsidRPr="00F33674">
              <w:rPr>
                <w:rFonts w:ascii="Arial Narrow" w:hAnsi="Arial Narrow" w:cs="Arial"/>
                <w:sz w:val="20"/>
                <w:szCs w:val="20"/>
              </w:rPr>
              <w:t>Unrestricted benefit</w:t>
            </w:r>
          </w:p>
          <w:p w14:paraId="2EB63C4D" w14:textId="77777777" w:rsidR="00F51305" w:rsidRPr="00F33674" w:rsidRDefault="00F51305" w:rsidP="00E41546">
            <w:pPr>
              <w:rPr>
                <w:rFonts w:ascii="Arial Narrow" w:hAnsi="Arial Narrow" w:cs="Arial"/>
                <w:i/>
                <w:sz w:val="20"/>
                <w:szCs w:val="20"/>
              </w:rPr>
            </w:pPr>
            <w:r w:rsidRPr="00F33674">
              <w:rPr>
                <w:rFonts w:ascii="Arial Narrow" w:hAnsi="Arial Narrow" w:cs="Arial"/>
                <w:i/>
                <w:sz w:val="20"/>
                <w:szCs w:val="20"/>
              </w:rPr>
              <w:fldChar w:fldCharType="begin">
                <w:ffData>
                  <w:name w:val=""/>
                  <w:enabled/>
                  <w:calcOnExit w:val="0"/>
                  <w:checkBox>
                    <w:sizeAuto/>
                    <w:default w:val="0"/>
                  </w:checkBox>
                </w:ffData>
              </w:fldChar>
            </w:r>
            <w:r w:rsidRPr="00F33674">
              <w:rPr>
                <w:rFonts w:ascii="Arial Narrow" w:hAnsi="Arial Narrow" w:cs="Arial"/>
                <w:i/>
                <w:sz w:val="20"/>
                <w:szCs w:val="20"/>
              </w:rPr>
              <w:instrText xml:space="preserve"> FORMCHECKBOX </w:instrText>
            </w:r>
            <w:r w:rsidR="00233D13">
              <w:rPr>
                <w:rFonts w:ascii="Arial Narrow" w:hAnsi="Arial Narrow" w:cs="Arial"/>
                <w:i/>
                <w:sz w:val="20"/>
                <w:szCs w:val="20"/>
              </w:rPr>
            </w:r>
            <w:r w:rsidR="00233D13">
              <w:rPr>
                <w:rFonts w:ascii="Arial Narrow" w:hAnsi="Arial Narrow" w:cs="Arial"/>
                <w:i/>
                <w:sz w:val="20"/>
                <w:szCs w:val="20"/>
              </w:rPr>
              <w:fldChar w:fldCharType="separate"/>
            </w:r>
            <w:r w:rsidRPr="00F33674">
              <w:rPr>
                <w:rFonts w:ascii="Arial Narrow" w:hAnsi="Arial Narrow" w:cs="Arial"/>
                <w:i/>
                <w:sz w:val="20"/>
                <w:szCs w:val="20"/>
              </w:rPr>
              <w:fldChar w:fldCharType="end"/>
            </w:r>
            <w:r w:rsidRPr="00F33674">
              <w:rPr>
                <w:rFonts w:ascii="Arial Narrow" w:hAnsi="Arial Narrow" w:cs="Arial"/>
                <w:sz w:val="20"/>
                <w:szCs w:val="20"/>
              </w:rPr>
              <w:t>Restricted benefit</w:t>
            </w:r>
          </w:p>
          <w:p w14:paraId="203427DF" w14:textId="77777777" w:rsidR="00F51305" w:rsidRPr="00F33674" w:rsidRDefault="00F51305" w:rsidP="00E41546">
            <w:pPr>
              <w:rPr>
                <w:rFonts w:ascii="Arial Narrow" w:hAnsi="Arial Narrow" w:cs="Arial"/>
                <w:sz w:val="20"/>
                <w:szCs w:val="20"/>
              </w:rPr>
            </w:pPr>
            <w:r w:rsidRPr="00F33674">
              <w:rPr>
                <w:rFonts w:ascii="Arial Narrow" w:hAnsi="Arial Narrow" w:cs="Arial"/>
                <w:sz w:val="20"/>
                <w:szCs w:val="20"/>
              </w:rPr>
              <w:fldChar w:fldCharType="begin">
                <w:ffData>
                  <w:name w:val=""/>
                  <w:enabled/>
                  <w:calcOnExit w:val="0"/>
                  <w:checkBox>
                    <w:sizeAuto/>
                    <w:default w:val="0"/>
                  </w:checkBox>
                </w:ffData>
              </w:fldChar>
            </w:r>
            <w:r w:rsidRPr="00F33674">
              <w:rPr>
                <w:rFonts w:ascii="Arial Narrow" w:hAnsi="Arial Narrow" w:cs="Arial"/>
                <w:sz w:val="20"/>
                <w:szCs w:val="20"/>
              </w:rPr>
              <w:instrText xml:space="preserve"> FORMCHECKBOX </w:instrText>
            </w:r>
            <w:r w:rsidR="00233D13">
              <w:rPr>
                <w:rFonts w:ascii="Arial Narrow" w:hAnsi="Arial Narrow" w:cs="Arial"/>
                <w:sz w:val="20"/>
                <w:szCs w:val="20"/>
              </w:rPr>
            </w:r>
            <w:r w:rsidR="00233D13">
              <w:rPr>
                <w:rFonts w:ascii="Arial Narrow" w:hAnsi="Arial Narrow" w:cs="Arial"/>
                <w:sz w:val="20"/>
                <w:szCs w:val="20"/>
              </w:rPr>
              <w:fldChar w:fldCharType="separate"/>
            </w:r>
            <w:r w:rsidRPr="00F33674">
              <w:rPr>
                <w:rFonts w:ascii="Arial Narrow" w:hAnsi="Arial Narrow" w:cs="Arial"/>
                <w:sz w:val="20"/>
                <w:szCs w:val="20"/>
              </w:rPr>
              <w:fldChar w:fldCharType="end"/>
            </w:r>
            <w:r w:rsidRPr="00F33674">
              <w:rPr>
                <w:rFonts w:ascii="Arial Narrow" w:hAnsi="Arial Narrow" w:cs="Arial"/>
                <w:sz w:val="20"/>
                <w:szCs w:val="20"/>
              </w:rPr>
              <w:t>Authority Required – In Writing</w:t>
            </w:r>
          </w:p>
          <w:p w14:paraId="0BEA5DF2" w14:textId="77777777" w:rsidR="00F51305" w:rsidRPr="00F33674" w:rsidRDefault="00F51305" w:rsidP="00E41546">
            <w:pPr>
              <w:rPr>
                <w:rFonts w:ascii="Arial Narrow" w:hAnsi="Arial Narrow" w:cs="Arial"/>
                <w:sz w:val="20"/>
                <w:szCs w:val="20"/>
              </w:rPr>
            </w:pPr>
            <w:r w:rsidRPr="00F33674">
              <w:rPr>
                <w:rFonts w:ascii="Arial Narrow" w:hAnsi="Arial Narrow" w:cs="Arial"/>
                <w:sz w:val="20"/>
                <w:szCs w:val="20"/>
              </w:rPr>
              <w:fldChar w:fldCharType="begin">
                <w:ffData>
                  <w:name w:val="Check3"/>
                  <w:enabled/>
                  <w:calcOnExit w:val="0"/>
                  <w:checkBox>
                    <w:sizeAuto/>
                    <w:default w:val="0"/>
                  </w:checkBox>
                </w:ffData>
              </w:fldChar>
            </w:r>
            <w:r w:rsidRPr="00F33674">
              <w:rPr>
                <w:rFonts w:ascii="Arial Narrow" w:hAnsi="Arial Narrow" w:cs="Arial"/>
                <w:sz w:val="20"/>
                <w:szCs w:val="20"/>
              </w:rPr>
              <w:instrText xml:space="preserve"> FORMCHECKBOX </w:instrText>
            </w:r>
            <w:r w:rsidR="00233D13">
              <w:rPr>
                <w:rFonts w:ascii="Arial Narrow" w:hAnsi="Arial Narrow" w:cs="Arial"/>
                <w:sz w:val="20"/>
                <w:szCs w:val="20"/>
              </w:rPr>
            </w:r>
            <w:r w:rsidR="00233D13">
              <w:rPr>
                <w:rFonts w:ascii="Arial Narrow" w:hAnsi="Arial Narrow" w:cs="Arial"/>
                <w:sz w:val="20"/>
                <w:szCs w:val="20"/>
              </w:rPr>
              <w:fldChar w:fldCharType="separate"/>
            </w:r>
            <w:r w:rsidRPr="00F33674">
              <w:rPr>
                <w:rFonts w:ascii="Arial Narrow" w:hAnsi="Arial Narrow" w:cs="Arial"/>
                <w:sz w:val="20"/>
                <w:szCs w:val="20"/>
              </w:rPr>
              <w:fldChar w:fldCharType="end"/>
            </w:r>
            <w:r w:rsidRPr="00F33674">
              <w:rPr>
                <w:rFonts w:ascii="Arial Narrow" w:hAnsi="Arial Narrow" w:cs="Arial"/>
                <w:sz w:val="20"/>
                <w:szCs w:val="20"/>
              </w:rPr>
              <w:t>Authority Required – Telephone/Electronic/Emergency</w:t>
            </w:r>
          </w:p>
          <w:p w14:paraId="3922CEC7" w14:textId="77777777" w:rsidR="00F51305" w:rsidRPr="00F33674" w:rsidRDefault="00F51305" w:rsidP="00E41546">
            <w:pPr>
              <w:rPr>
                <w:rFonts w:ascii="Arial Narrow" w:hAnsi="Arial Narrow" w:cs="Arial"/>
                <w:sz w:val="20"/>
                <w:szCs w:val="20"/>
              </w:rPr>
            </w:pPr>
            <w:r w:rsidRPr="00F33674">
              <w:rPr>
                <w:rFonts w:ascii="Arial Narrow" w:hAnsi="Arial Narrow" w:cs="Arial"/>
                <w:sz w:val="20"/>
                <w:szCs w:val="20"/>
              </w:rPr>
              <w:fldChar w:fldCharType="begin">
                <w:ffData>
                  <w:name w:val=""/>
                  <w:enabled/>
                  <w:calcOnExit w:val="0"/>
                  <w:checkBox>
                    <w:sizeAuto/>
                    <w:default w:val="1"/>
                  </w:checkBox>
                </w:ffData>
              </w:fldChar>
            </w:r>
            <w:r w:rsidRPr="00F33674">
              <w:rPr>
                <w:rFonts w:ascii="Arial Narrow" w:hAnsi="Arial Narrow" w:cs="Arial"/>
                <w:sz w:val="20"/>
                <w:szCs w:val="20"/>
              </w:rPr>
              <w:instrText xml:space="preserve"> FORMCHECKBOX </w:instrText>
            </w:r>
            <w:r w:rsidR="00233D13">
              <w:rPr>
                <w:rFonts w:ascii="Arial Narrow" w:hAnsi="Arial Narrow" w:cs="Arial"/>
                <w:sz w:val="20"/>
                <w:szCs w:val="20"/>
              </w:rPr>
            </w:r>
            <w:r w:rsidR="00233D13">
              <w:rPr>
                <w:rFonts w:ascii="Arial Narrow" w:hAnsi="Arial Narrow" w:cs="Arial"/>
                <w:sz w:val="20"/>
                <w:szCs w:val="20"/>
              </w:rPr>
              <w:fldChar w:fldCharType="separate"/>
            </w:r>
            <w:r w:rsidRPr="00F33674">
              <w:rPr>
                <w:rFonts w:ascii="Arial Narrow" w:hAnsi="Arial Narrow" w:cs="Arial"/>
                <w:sz w:val="20"/>
                <w:szCs w:val="20"/>
              </w:rPr>
              <w:fldChar w:fldCharType="end"/>
            </w:r>
            <w:r w:rsidRPr="00F33674">
              <w:rPr>
                <w:rFonts w:ascii="Arial Narrow" w:hAnsi="Arial Narrow" w:cs="Arial"/>
                <w:sz w:val="20"/>
                <w:szCs w:val="20"/>
              </w:rPr>
              <w:t>Streamlined</w:t>
            </w:r>
          </w:p>
        </w:tc>
      </w:tr>
      <w:tr w:rsidR="00F51305" w:rsidRPr="00F33674" w14:paraId="583D232F" w14:textId="77777777" w:rsidTr="00E41546">
        <w:trPr>
          <w:cantSplit/>
          <w:trHeight w:val="360"/>
        </w:trPr>
        <w:tc>
          <w:tcPr>
            <w:tcW w:w="2835" w:type="dxa"/>
            <w:tcBorders>
              <w:top w:val="single" w:sz="4" w:space="0" w:color="auto"/>
              <w:left w:val="single" w:sz="4" w:space="0" w:color="auto"/>
              <w:bottom w:val="single" w:sz="4" w:space="0" w:color="auto"/>
              <w:right w:val="single" w:sz="4" w:space="0" w:color="auto"/>
            </w:tcBorders>
          </w:tcPr>
          <w:p w14:paraId="0D92DA66" w14:textId="5E551098" w:rsidR="00F51305" w:rsidRPr="00F33674" w:rsidRDefault="00F51305" w:rsidP="00F51305">
            <w:pPr>
              <w:rPr>
                <w:rFonts w:ascii="Arial Narrow" w:hAnsi="Arial Narrow" w:cs="Arial"/>
                <w:b/>
                <w:sz w:val="20"/>
                <w:szCs w:val="20"/>
              </w:rPr>
            </w:pPr>
            <w:r>
              <w:rPr>
                <w:rFonts w:ascii="Arial Narrow" w:hAnsi="Arial Narrow" w:cs="Arial"/>
                <w:b/>
                <w:sz w:val="20"/>
                <w:szCs w:val="20"/>
              </w:rPr>
              <w:t>Treatment phase:</w:t>
            </w:r>
          </w:p>
        </w:tc>
        <w:tc>
          <w:tcPr>
            <w:tcW w:w="6379" w:type="dxa"/>
            <w:tcBorders>
              <w:top w:val="single" w:sz="4" w:space="0" w:color="auto"/>
              <w:left w:val="single" w:sz="4" w:space="0" w:color="auto"/>
              <w:bottom w:val="single" w:sz="4" w:space="0" w:color="auto"/>
              <w:right w:val="single" w:sz="4" w:space="0" w:color="auto"/>
            </w:tcBorders>
          </w:tcPr>
          <w:p w14:paraId="55D1447C" w14:textId="1ED2B611" w:rsidR="00F51305" w:rsidRPr="00F33674" w:rsidRDefault="00F51305" w:rsidP="00F51305">
            <w:pPr>
              <w:jc w:val="left"/>
              <w:rPr>
                <w:rFonts w:ascii="Arial Narrow" w:hAnsi="Arial Narrow" w:cs="Arial"/>
                <w:sz w:val="20"/>
                <w:szCs w:val="20"/>
              </w:rPr>
            </w:pPr>
            <w:r w:rsidRPr="002C1329">
              <w:rPr>
                <w:rFonts w:ascii="Arial Narrow" w:hAnsi="Arial Narrow" w:cs="Arial"/>
                <w:sz w:val="20"/>
                <w:szCs w:val="20"/>
              </w:rPr>
              <w:t xml:space="preserve">Initial PBS treatment after 1 June 2020 where patient </w:t>
            </w:r>
            <w:proofErr w:type="gramStart"/>
            <w:r w:rsidRPr="002C1329">
              <w:rPr>
                <w:rFonts w:ascii="Arial Narrow" w:hAnsi="Arial Narrow" w:cs="Arial"/>
                <w:sz w:val="20"/>
                <w:szCs w:val="20"/>
              </w:rPr>
              <w:t>has been treated</w:t>
            </w:r>
            <w:proofErr w:type="gramEnd"/>
            <w:r w:rsidRPr="002C1329">
              <w:rPr>
                <w:rFonts w:ascii="Arial Narrow" w:hAnsi="Arial Narrow" w:cs="Arial"/>
                <w:sz w:val="20"/>
                <w:szCs w:val="20"/>
              </w:rPr>
              <w:t xml:space="preserve"> with opioids for </w:t>
            </w:r>
            <w:r>
              <w:rPr>
                <w:rFonts w:ascii="Arial Narrow" w:hAnsi="Arial Narrow" w:cs="Arial"/>
                <w:sz w:val="20"/>
                <w:szCs w:val="20"/>
              </w:rPr>
              <w:t>more</w:t>
            </w:r>
            <w:r w:rsidRPr="002C1329">
              <w:rPr>
                <w:rFonts w:ascii="Arial Narrow" w:hAnsi="Arial Narrow" w:cs="Arial"/>
                <w:sz w:val="20"/>
                <w:szCs w:val="20"/>
              </w:rPr>
              <w:t xml:space="preserve"> than 12 months</w:t>
            </w:r>
            <w:r>
              <w:rPr>
                <w:rFonts w:ascii="Arial Narrow" w:hAnsi="Arial Narrow" w:cs="Arial"/>
                <w:sz w:val="20"/>
                <w:szCs w:val="20"/>
              </w:rPr>
              <w:t>.</w:t>
            </w:r>
          </w:p>
        </w:tc>
      </w:tr>
      <w:tr w:rsidR="00F51305" w:rsidRPr="00F33674" w14:paraId="12FFFD65" w14:textId="77777777" w:rsidTr="00E41546">
        <w:trPr>
          <w:cantSplit/>
          <w:trHeight w:val="360"/>
        </w:trPr>
        <w:tc>
          <w:tcPr>
            <w:tcW w:w="2835" w:type="dxa"/>
            <w:tcBorders>
              <w:top w:val="single" w:sz="4" w:space="0" w:color="auto"/>
              <w:left w:val="single" w:sz="4" w:space="0" w:color="auto"/>
              <w:bottom w:val="single" w:sz="4" w:space="0" w:color="auto"/>
              <w:right w:val="single" w:sz="4" w:space="0" w:color="auto"/>
            </w:tcBorders>
          </w:tcPr>
          <w:p w14:paraId="3C7BAF9F" w14:textId="77777777" w:rsidR="00F51305" w:rsidRPr="00F33674" w:rsidRDefault="00F51305" w:rsidP="00E41546">
            <w:pPr>
              <w:rPr>
                <w:rFonts w:ascii="Arial Narrow" w:hAnsi="Arial Narrow" w:cs="Arial"/>
                <w:b/>
                <w:sz w:val="20"/>
                <w:szCs w:val="20"/>
              </w:rPr>
            </w:pPr>
            <w:r w:rsidRPr="00F33674">
              <w:rPr>
                <w:rFonts w:ascii="Arial Narrow" w:hAnsi="Arial Narrow" w:cs="Arial"/>
                <w:b/>
                <w:sz w:val="20"/>
                <w:szCs w:val="20"/>
              </w:rPr>
              <w:t>Clinical criteria:</w:t>
            </w:r>
          </w:p>
        </w:tc>
        <w:tc>
          <w:tcPr>
            <w:tcW w:w="6379" w:type="dxa"/>
            <w:tcBorders>
              <w:top w:val="single" w:sz="4" w:space="0" w:color="auto"/>
              <w:left w:val="single" w:sz="4" w:space="0" w:color="auto"/>
              <w:bottom w:val="single" w:sz="4" w:space="0" w:color="auto"/>
              <w:right w:val="single" w:sz="4" w:space="0" w:color="auto"/>
            </w:tcBorders>
          </w:tcPr>
          <w:p w14:paraId="700D2FAA" w14:textId="77777777" w:rsidR="00F51305" w:rsidRPr="00F33674" w:rsidRDefault="00F51305" w:rsidP="00E41546">
            <w:pPr>
              <w:jc w:val="left"/>
              <w:rPr>
                <w:rFonts w:ascii="Arial Narrow" w:hAnsi="Arial Narrow" w:cs="Arial"/>
                <w:sz w:val="20"/>
                <w:szCs w:val="20"/>
              </w:rPr>
            </w:pPr>
            <w:r w:rsidRPr="00F33674">
              <w:rPr>
                <w:rFonts w:ascii="Arial Narrow" w:hAnsi="Arial Narrow" w:cs="Arial"/>
                <w:sz w:val="20"/>
                <w:szCs w:val="20"/>
              </w:rPr>
              <w:t xml:space="preserve">[new] The condition must require daily, continuous, long term </w:t>
            </w:r>
            <w:r>
              <w:rPr>
                <w:rFonts w:ascii="Arial Narrow" w:hAnsi="Arial Narrow" w:cs="Arial"/>
                <w:sz w:val="20"/>
                <w:szCs w:val="20"/>
              </w:rPr>
              <w:t>opioid</w:t>
            </w:r>
            <w:r w:rsidRPr="00F33674">
              <w:rPr>
                <w:rFonts w:ascii="Arial Narrow" w:hAnsi="Arial Narrow" w:cs="Arial"/>
                <w:sz w:val="20"/>
                <w:szCs w:val="20"/>
              </w:rPr>
              <w:t xml:space="preserve"> treatment</w:t>
            </w:r>
          </w:p>
          <w:p w14:paraId="44EA82D8" w14:textId="77777777" w:rsidR="00F51305" w:rsidRPr="00F33674" w:rsidRDefault="00F51305" w:rsidP="00E41546">
            <w:pPr>
              <w:jc w:val="left"/>
              <w:rPr>
                <w:rFonts w:ascii="Arial Narrow" w:hAnsi="Arial Narrow" w:cs="Arial"/>
                <w:sz w:val="20"/>
                <w:szCs w:val="20"/>
              </w:rPr>
            </w:pPr>
          </w:p>
          <w:p w14:paraId="73AA7C7F" w14:textId="77777777" w:rsidR="00F51305" w:rsidRPr="00F33674" w:rsidRDefault="00F51305" w:rsidP="00E41546">
            <w:pPr>
              <w:jc w:val="left"/>
              <w:rPr>
                <w:rFonts w:ascii="Arial Narrow" w:hAnsi="Arial Narrow" w:cs="Arial"/>
                <w:sz w:val="20"/>
                <w:szCs w:val="20"/>
              </w:rPr>
            </w:pPr>
            <w:r w:rsidRPr="00F33674">
              <w:rPr>
                <w:rFonts w:ascii="Arial Narrow" w:hAnsi="Arial Narrow" w:cs="Arial"/>
                <w:sz w:val="20"/>
                <w:szCs w:val="20"/>
              </w:rPr>
              <w:t>AND</w:t>
            </w:r>
          </w:p>
          <w:p w14:paraId="6E7700C8" w14:textId="77777777" w:rsidR="00F51305" w:rsidRPr="00F33674" w:rsidRDefault="00F51305" w:rsidP="00E41546">
            <w:pPr>
              <w:jc w:val="left"/>
              <w:rPr>
                <w:rFonts w:ascii="Arial Narrow" w:hAnsi="Arial Narrow" w:cs="Arial"/>
                <w:sz w:val="20"/>
                <w:szCs w:val="20"/>
              </w:rPr>
            </w:pPr>
          </w:p>
          <w:p w14:paraId="6665E12E" w14:textId="77777777" w:rsidR="00F51305" w:rsidRPr="00F33674" w:rsidRDefault="00F51305" w:rsidP="00E41546">
            <w:pPr>
              <w:jc w:val="left"/>
              <w:rPr>
                <w:rFonts w:ascii="Arial Narrow" w:hAnsi="Arial Narrow" w:cs="Arial"/>
                <w:sz w:val="20"/>
                <w:szCs w:val="20"/>
              </w:rPr>
            </w:pPr>
            <w:r w:rsidRPr="00F33674">
              <w:rPr>
                <w:rFonts w:ascii="Arial Narrow" w:hAnsi="Arial Narrow" w:cs="Arial"/>
                <w:sz w:val="20"/>
                <w:szCs w:val="20"/>
              </w:rPr>
              <w:t xml:space="preserve">[18096] Patient must have </w:t>
            </w:r>
            <w:r>
              <w:rPr>
                <w:rFonts w:ascii="Arial Narrow" w:hAnsi="Arial Narrow" w:cs="Arial"/>
                <w:sz w:val="20"/>
                <w:szCs w:val="20"/>
              </w:rPr>
              <w:t xml:space="preserve">cancer </w:t>
            </w:r>
            <w:r w:rsidRPr="00F33674">
              <w:rPr>
                <w:rFonts w:ascii="Arial Narrow" w:hAnsi="Arial Narrow" w:cs="Arial"/>
                <w:sz w:val="20"/>
                <w:szCs w:val="20"/>
              </w:rPr>
              <w:t>pain</w:t>
            </w:r>
          </w:p>
          <w:p w14:paraId="6D7C8A88" w14:textId="77777777" w:rsidR="00F51305" w:rsidRPr="00F33674" w:rsidRDefault="00F51305" w:rsidP="00E41546">
            <w:pPr>
              <w:jc w:val="left"/>
              <w:rPr>
                <w:rFonts w:ascii="Arial Narrow" w:hAnsi="Arial Narrow" w:cs="Arial"/>
                <w:sz w:val="20"/>
                <w:szCs w:val="20"/>
              </w:rPr>
            </w:pPr>
            <w:r w:rsidRPr="00F33674">
              <w:rPr>
                <w:rFonts w:ascii="Arial Narrow" w:hAnsi="Arial Narrow" w:cs="Arial"/>
                <w:sz w:val="20"/>
                <w:szCs w:val="20"/>
              </w:rPr>
              <w:t>OR</w:t>
            </w:r>
          </w:p>
          <w:p w14:paraId="5DDB8807" w14:textId="77777777" w:rsidR="00F51305" w:rsidRPr="00F33674" w:rsidRDefault="00F51305" w:rsidP="00E41546">
            <w:pPr>
              <w:jc w:val="left"/>
              <w:rPr>
                <w:rFonts w:ascii="Arial Narrow" w:hAnsi="Arial Narrow" w:cs="Arial"/>
                <w:sz w:val="20"/>
                <w:szCs w:val="20"/>
              </w:rPr>
            </w:pPr>
            <w:r w:rsidRPr="00F33674">
              <w:rPr>
                <w:rFonts w:ascii="Arial Narrow" w:hAnsi="Arial Narrow" w:cs="Arial"/>
                <w:sz w:val="20"/>
                <w:szCs w:val="20"/>
              </w:rPr>
              <w:t>[new] Patient must have</w:t>
            </w:r>
            <w:r>
              <w:rPr>
                <w:rFonts w:ascii="Arial Narrow" w:hAnsi="Arial Narrow" w:cs="Arial"/>
                <w:sz w:val="20"/>
                <w:szCs w:val="20"/>
              </w:rPr>
              <w:t xml:space="preserve"> had or would have</w:t>
            </w:r>
            <w:r w:rsidRPr="00F33674">
              <w:rPr>
                <w:rFonts w:ascii="Arial Narrow" w:hAnsi="Arial Narrow" w:cs="Arial"/>
                <w:sz w:val="20"/>
                <w:szCs w:val="20"/>
              </w:rPr>
              <w:t xml:space="preserve"> inadequate </w:t>
            </w:r>
            <w:r>
              <w:rPr>
                <w:rFonts w:ascii="Arial Narrow" w:hAnsi="Arial Narrow" w:cs="Arial"/>
                <w:sz w:val="20"/>
                <w:szCs w:val="20"/>
              </w:rPr>
              <w:t xml:space="preserve">pain </w:t>
            </w:r>
            <w:r w:rsidRPr="00F33674">
              <w:rPr>
                <w:rFonts w:ascii="Arial Narrow" w:hAnsi="Arial Narrow" w:cs="Arial"/>
                <w:sz w:val="20"/>
                <w:szCs w:val="20"/>
              </w:rPr>
              <w:t xml:space="preserve">management </w:t>
            </w:r>
            <w:r>
              <w:rPr>
                <w:rFonts w:ascii="Arial Narrow" w:hAnsi="Arial Narrow" w:cs="Arial"/>
                <w:sz w:val="20"/>
                <w:szCs w:val="20"/>
              </w:rPr>
              <w:t>with</w:t>
            </w:r>
            <w:r w:rsidRPr="00F33674">
              <w:rPr>
                <w:rFonts w:ascii="Arial Narrow" w:hAnsi="Arial Narrow" w:cs="Arial"/>
                <w:sz w:val="20"/>
                <w:szCs w:val="20"/>
              </w:rPr>
              <w:t xml:space="preserve"> maximum tolerated doses of non-opioid or other opioid analgesics</w:t>
            </w:r>
          </w:p>
          <w:p w14:paraId="49FE61DD" w14:textId="77777777" w:rsidR="00F51305" w:rsidRPr="00F33674" w:rsidRDefault="00F51305" w:rsidP="00E41546">
            <w:pPr>
              <w:jc w:val="left"/>
              <w:rPr>
                <w:rFonts w:ascii="Arial Narrow" w:hAnsi="Arial Narrow" w:cs="Arial"/>
                <w:sz w:val="20"/>
                <w:szCs w:val="20"/>
              </w:rPr>
            </w:pPr>
            <w:r w:rsidRPr="00F33674">
              <w:rPr>
                <w:rFonts w:ascii="Arial Narrow" w:hAnsi="Arial Narrow" w:cs="Arial"/>
                <w:sz w:val="20"/>
                <w:szCs w:val="20"/>
              </w:rPr>
              <w:t>OR</w:t>
            </w:r>
          </w:p>
          <w:p w14:paraId="3EFD35A6" w14:textId="77777777" w:rsidR="00F51305" w:rsidRPr="00F33674" w:rsidRDefault="00F51305" w:rsidP="00E41546">
            <w:pPr>
              <w:jc w:val="left"/>
              <w:rPr>
                <w:rFonts w:ascii="Arial Narrow" w:hAnsi="Arial Narrow" w:cs="Arial"/>
                <w:sz w:val="20"/>
                <w:szCs w:val="20"/>
              </w:rPr>
            </w:pPr>
            <w:r w:rsidRPr="00F33674">
              <w:rPr>
                <w:rFonts w:ascii="Arial Narrow" w:hAnsi="Arial Narrow" w:cs="Arial"/>
                <w:sz w:val="20"/>
                <w:szCs w:val="20"/>
              </w:rPr>
              <w:t>[new] Patient must be unable to use non-opioid or other opioid analgesics due to contraindications or intolerance.</w:t>
            </w:r>
          </w:p>
        </w:tc>
      </w:tr>
      <w:tr w:rsidR="00F51305" w:rsidRPr="00F33674" w14:paraId="2B626529" w14:textId="77777777" w:rsidTr="00E41546">
        <w:trPr>
          <w:cantSplit/>
          <w:trHeight w:val="360"/>
        </w:trPr>
        <w:tc>
          <w:tcPr>
            <w:tcW w:w="2835" w:type="dxa"/>
            <w:tcBorders>
              <w:top w:val="single" w:sz="4" w:space="0" w:color="auto"/>
              <w:left w:val="single" w:sz="4" w:space="0" w:color="auto"/>
              <w:bottom w:val="single" w:sz="4" w:space="0" w:color="auto"/>
              <w:right w:val="single" w:sz="4" w:space="0" w:color="auto"/>
            </w:tcBorders>
          </w:tcPr>
          <w:p w14:paraId="01A8C83D" w14:textId="77777777" w:rsidR="00F51305" w:rsidRPr="00F33674" w:rsidRDefault="00F51305" w:rsidP="00E41546">
            <w:pPr>
              <w:rPr>
                <w:rFonts w:ascii="Arial Narrow" w:hAnsi="Arial Narrow" w:cs="Arial"/>
                <w:b/>
                <w:sz w:val="20"/>
                <w:szCs w:val="20"/>
              </w:rPr>
            </w:pPr>
            <w:r w:rsidRPr="00F33674">
              <w:rPr>
                <w:rFonts w:ascii="Arial Narrow" w:hAnsi="Arial Narrow" w:cs="Arial"/>
                <w:b/>
                <w:sz w:val="20"/>
                <w:szCs w:val="20"/>
              </w:rPr>
              <w:lastRenderedPageBreak/>
              <w:t>Prescriber instruction:</w:t>
            </w:r>
          </w:p>
        </w:tc>
        <w:tc>
          <w:tcPr>
            <w:tcW w:w="6379" w:type="dxa"/>
            <w:tcBorders>
              <w:top w:val="single" w:sz="4" w:space="0" w:color="auto"/>
              <w:left w:val="single" w:sz="4" w:space="0" w:color="auto"/>
              <w:bottom w:val="single" w:sz="4" w:space="0" w:color="auto"/>
              <w:right w:val="single" w:sz="4" w:space="0" w:color="auto"/>
            </w:tcBorders>
          </w:tcPr>
          <w:p w14:paraId="33053D6F" w14:textId="77777777" w:rsidR="00F51305" w:rsidRPr="002C1329" w:rsidRDefault="00F51305" w:rsidP="00F51305">
            <w:pPr>
              <w:jc w:val="left"/>
              <w:rPr>
                <w:rFonts w:ascii="Arial Narrow" w:hAnsi="Arial Narrow" w:cs="Arial"/>
                <w:sz w:val="20"/>
                <w:szCs w:val="20"/>
              </w:rPr>
            </w:pPr>
            <w:r w:rsidRPr="00F33674">
              <w:rPr>
                <w:rFonts w:ascii="Arial Narrow" w:hAnsi="Arial Narrow" w:cs="Arial"/>
                <w:sz w:val="20"/>
                <w:szCs w:val="20"/>
              </w:rPr>
              <w:t xml:space="preserve">[new] </w:t>
            </w:r>
            <w:r w:rsidRPr="002C1329">
              <w:rPr>
                <w:rFonts w:ascii="Arial Narrow" w:hAnsi="Arial Narrow" w:cs="Arial"/>
                <w:sz w:val="20"/>
                <w:szCs w:val="20"/>
              </w:rPr>
              <w:t>Authorities for increased maximum quantities and/or repeats must only be considered for chronic severe disabling pain where the total duration of non-PBS and PBS opioid analgesic treatment:</w:t>
            </w:r>
          </w:p>
          <w:p w14:paraId="6B128EC2" w14:textId="77777777" w:rsidR="00F51305" w:rsidRPr="002C1329" w:rsidRDefault="00F51305" w:rsidP="00F51305">
            <w:pPr>
              <w:jc w:val="left"/>
              <w:rPr>
                <w:rFonts w:ascii="Arial Narrow" w:hAnsi="Arial Narrow" w:cs="Arial"/>
                <w:sz w:val="20"/>
                <w:szCs w:val="20"/>
              </w:rPr>
            </w:pPr>
            <w:r w:rsidRPr="002C1329">
              <w:rPr>
                <w:rFonts w:ascii="Arial Narrow" w:hAnsi="Arial Narrow" w:cs="Arial"/>
                <w:sz w:val="20"/>
                <w:szCs w:val="20"/>
              </w:rPr>
              <w:t>(i) exceeds 12 months and the palliative care patient is unable to have annual pain management review due to their clinical condition; or</w:t>
            </w:r>
          </w:p>
          <w:p w14:paraId="41FB9499" w14:textId="77777777" w:rsidR="00F51305" w:rsidRPr="002C1329" w:rsidRDefault="00F51305" w:rsidP="00F51305">
            <w:pPr>
              <w:jc w:val="left"/>
              <w:rPr>
                <w:rFonts w:ascii="Arial Narrow" w:hAnsi="Arial Narrow" w:cs="Arial"/>
                <w:sz w:val="20"/>
                <w:szCs w:val="20"/>
              </w:rPr>
            </w:pPr>
            <w:r w:rsidRPr="002C1329">
              <w:rPr>
                <w:rFonts w:ascii="Arial Narrow" w:hAnsi="Arial Narrow" w:cs="Arial"/>
                <w:sz w:val="20"/>
                <w:szCs w:val="20"/>
              </w:rPr>
              <w:t>(ii) exceeds 12 months and the patient's clinical need for continuing opioid treatment has been confirmed through consultation with the patient by another medical practitioner or a palliative care nurse practitioner in the past 12 months; or</w:t>
            </w:r>
          </w:p>
          <w:p w14:paraId="6B808F9D" w14:textId="77777777" w:rsidR="00F51305" w:rsidRDefault="00F51305" w:rsidP="00F51305">
            <w:pPr>
              <w:jc w:val="left"/>
              <w:rPr>
                <w:rFonts w:ascii="Arial Narrow" w:hAnsi="Arial Narrow" w:cs="Arial"/>
                <w:sz w:val="20"/>
                <w:szCs w:val="20"/>
              </w:rPr>
            </w:pPr>
            <w:r w:rsidRPr="002C1329">
              <w:rPr>
                <w:rFonts w:ascii="Arial Narrow" w:hAnsi="Arial Narrow" w:cs="Arial"/>
                <w:sz w:val="20"/>
                <w:szCs w:val="20"/>
              </w:rPr>
              <w:t xml:space="preserve">(iii) </w:t>
            </w:r>
            <w:proofErr w:type="gramStart"/>
            <w:r w:rsidRPr="002C1329">
              <w:rPr>
                <w:rFonts w:ascii="Arial Narrow" w:hAnsi="Arial Narrow" w:cs="Arial"/>
                <w:sz w:val="20"/>
                <w:szCs w:val="20"/>
              </w:rPr>
              <w:t>has</w:t>
            </w:r>
            <w:proofErr w:type="gramEnd"/>
            <w:r w:rsidRPr="002C1329">
              <w:rPr>
                <w:rFonts w:ascii="Arial Narrow" w:hAnsi="Arial Narrow" w:cs="Arial"/>
                <w:sz w:val="20"/>
                <w:szCs w:val="20"/>
              </w:rPr>
              <w:t xml:space="preserve"> exceeded 12 months prior to 1 June 2020 and the patient's clinical need for continuing opioid treatment has not been confirmed through consultation with the patient by another medical practitioner or a palliative care nurse practitioner in the past 12 months, but is planned in the next 3 months.</w:t>
            </w:r>
          </w:p>
          <w:p w14:paraId="3E1278AA" w14:textId="77777777" w:rsidR="00F51305" w:rsidRDefault="00F51305" w:rsidP="00F51305">
            <w:pPr>
              <w:jc w:val="left"/>
              <w:rPr>
                <w:rFonts w:ascii="Arial Narrow" w:hAnsi="Arial Narrow" w:cs="Arial"/>
                <w:sz w:val="20"/>
                <w:szCs w:val="20"/>
              </w:rPr>
            </w:pPr>
          </w:p>
          <w:p w14:paraId="65ABEAB2" w14:textId="77777777" w:rsidR="00F51305" w:rsidRPr="00F33674" w:rsidRDefault="00F51305" w:rsidP="00F51305">
            <w:pPr>
              <w:jc w:val="left"/>
              <w:rPr>
                <w:rFonts w:ascii="Arial Narrow" w:hAnsi="Arial Narrow" w:cs="Arial"/>
                <w:sz w:val="20"/>
                <w:szCs w:val="20"/>
              </w:rPr>
            </w:pPr>
            <w:r>
              <w:rPr>
                <w:rFonts w:ascii="Arial Narrow" w:hAnsi="Arial Narrow" w:cs="Arial"/>
                <w:sz w:val="20"/>
                <w:szCs w:val="20"/>
              </w:rPr>
              <w:t xml:space="preserve">[new] </w:t>
            </w:r>
            <w:r w:rsidRPr="009F3089">
              <w:rPr>
                <w:rFonts w:ascii="Arial Narrow" w:hAnsi="Arial Narrow" w:cs="Arial"/>
                <w:sz w:val="20"/>
                <w:szCs w:val="20"/>
              </w:rPr>
              <w:t>Palliative care nurses may conduct annual review under this item for the treatment of palliative care patients only.</w:t>
            </w:r>
          </w:p>
          <w:p w14:paraId="0F579FCF" w14:textId="77777777" w:rsidR="00F51305" w:rsidRPr="00F33674" w:rsidRDefault="00F51305" w:rsidP="00F51305">
            <w:pPr>
              <w:jc w:val="left"/>
              <w:rPr>
                <w:rFonts w:ascii="Arial Narrow" w:hAnsi="Arial Narrow" w:cs="Arial"/>
                <w:sz w:val="20"/>
                <w:szCs w:val="20"/>
              </w:rPr>
            </w:pPr>
          </w:p>
          <w:p w14:paraId="2F9A8651" w14:textId="77777777" w:rsidR="00F51305" w:rsidRPr="00F33674" w:rsidRDefault="00F51305" w:rsidP="00F51305">
            <w:pPr>
              <w:jc w:val="left"/>
              <w:rPr>
                <w:rFonts w:ascii="Arial Narrow" w:hAnsi="Arial Narrow" w:cs="Arial"/>
                <w:sz w:val="20"/>
                <w:szCs w:val="20"/>
              </w:rPr>
            </w:pPr>
            <w:r w:rsidRPr="00F33674">
              <w:rPr>
                <w:rFonts w:ascii="Arial Narrow" w:hAnsi="Arial Narrow" w:cs="Arial"/>
                <w:sz w:val="20"/>
                <w:szCs w:val="20"/>
              </w:rPr>
              <w:t>[new] Authority requests extending treatment duration up to 1 month may be requested though the Online PBS Authorities system or by calling Services Australia.</w:t>
            </w:r>
          </w:p>
          <w:p w14:paraId="561F9B27" w14:textId="77777777" w:rsidR="00F51305" w:rsidRPr="00F33674" w:rsidRDefault="00F51305" w:rsidP="00F51305">
            <w:pPr>
              <w:jc w:val="left"/>
              <w:rPr>
                <w:rFonts w:ascii="Arial Narrow" w:hAnsi="Arial Narrow" w:cs="Arial"/>
                <w:sz w:val="20"/>
                <w:szCs w:val="20"/>
              </w:rPr>
            </w:pPr>
          </w:p>
          <w:p w14:paraId="4D9D6CC3" w14:textId="15901D2F" w:rsidR="00F51305" w:rsidRPr="00F33674" w:rsidRDefault="00F51305" w:rsidP="00F51305">
            <w:pPr>
              <w:jc w:val="left"/>
              <w:rPr>
                <w:rFonts w:ascii="Arial Narrow" w:hAnsi="Arial Narrow" w:cs="Arial"/>
                <w:sz w:val="20"/>
                <w:szCs w:val="20"/>
              </w:rPr>
            </w:pPr>
            <w:r w:rsidRPr="00F33674">
              <w:rPr>
                <w:rFonts w:ascii="Arial Narrow" w:hAnsi="Arial Narrow" w:cs="Arial"/>
                <w:sz w:val="20"/>
                <w:szCs w:val="20"/>
              </w:rPr>
              <w:t xml:space="preserve">Authority requests extending treatment duration beyond 1 month </w:t>
            </w:r>
            <w:r w:rsidRPr="002C1329">
              <w:rPr>
                <w:rFonts w:ascii="Arial Narrow" w:hAnsi="Arial Narrow" w:cs="Arial"/>
                <w:sz w:val="20"/>
                <w:szCs w:val="20"/>
              </w:rPr>
              <w:t>may be requested through the Online PBS Authorities system</w:t>
            </w:r>
            <w:r w:rsidRPr="00F33674">
              <w:rPr>
                <w:rFonts w:ascii="Arial Narrow" w:hAnsi="Arial Narrow" w:cs="Arial"/>
                <w:sz w:val="20"/>
                <w:szCs w:val="20"/>
              </w:rPr>
              <w:t xml:space="preserve"> or in writing only and must not provide a treatment duration exceeding 3 months</w:t>
            </w:r>
            <w:r>
              <w:rPr>
                <w:rFonts w:ascii="Arial Narrow" w:hAnsi="Arial Narrow" w:cs="Arial"/>
                <w:sz w:val="20"/>
                <w:szCs w:val="20"/>
              </w:rPr>
              <w:t xml:space="preserve"> (</w:t>
            </w:r>
            <w:r w:rsidRPr="002C1329">
              <w:rPr>
                <w:rFonts w:ascii="Arial Narrow" w:hAnsi="Arial Narrow" w:cs="Arial"/>
                <w:sz w:val="20"/>
                <w:szCs w:val="20"/>
              </w:rPr>
              <w:t xml:space="preserve">quantity sufficient for up to </w:t>
            </w:r>
            <w:proofErr w:type="gramStart"/>
            <w:r w:rsidRPr="002C1329">
              <w:rPr>
                <w:rFonts w:ascii="Arial Narrow" w:hAnsi="Arial Narrow" w:cs="Arial"/>
                <w:sz w:val="20"/>
                <w:szCs w:val="20"/>
              </w:rPr>
              <w:t>1 month</w:t>
            </w:r>
            <w:proofErr w:type="gramEnd"/>
            <w:r w:rsidRPr="002C1329">
              <w:rPr>
                <w:rFonts w:ascii="Arial Narrow" w:hAnsi="Arial Narrow" w:cs="Arial"/>
                <w:sz w:val="20"/>
                <w:szCs w:val="20"/>
              </w:rPr>
              <w:t xml:space="preserve"> treatment and sufficient repeats)</w:t>
            </w:r>
            <w:r w:rsidRPr="00F33674">
              <w:rPr>
                <w:rFonts w:ascii="Arial Narrow" w:hAnsi="Arial Narrow" w:cs="Arial"/>
                <w:sz w:val="20"/>
                <w:szCs w:val="20"/>
              </w:rPr>
              <w:t>.</w:t>
            </w:r>
          </w:p>
        </w:tc>
      </w:tr>
      <w:tr w:rsidR="00F51305" w:rsidRPr="00F33674" w14:paraId="29A4C8A6" w14:textId="77777777" w:rsidTr="00E41546">
        <w:trPr>
          <w:cantSplit/>
          <w:trHeight w:val="360"/>
        </w:trPr>
        <w:tc>
          <w:tcPr>
            <w:tcW w:w="2835" w:type="dxa"/>
            <w:tcBorders>
              <w:top w:val="single" w:sz="4" w:space="0" w:color="auto"/>
              <w:left w:val="single" w:sz="4" w:space="0" w:color="auto"/>
              <w:bottom w:val="single" w:sz="4" w:space="0" w:color="auto"/>
              <w:right w:val="single" w:sz="4" w:space="0" w:color="auto"/>
            </w:tcBorders>
          </w:tcPr>
          <w:p w14:paraId="78CF9415" w14:textId="77777777" w:rsidR="00F51305" w:rsidRPr="00F33674" w:rsidRDefault="00F51305" w:rsidP="00E41546">
            <w:pPr>
              <w:rPr>
                <w:rFonts w:ascii="Arial Narrow" w:hAnsi="Arial Narrow" w:cs="Arial"/>
                <w:b/>
                <w:sz w:val="20"/>
                <w:szCs w:val="20"/>
              </w:rPr>
            </w:pPr>
            <w:r w:rsidRPr="00F33674">
              <w:rPr>
                <w:rFonts w:ascii="Arial Narrow" w:hAnsi="Arial Narrow" w:cs="Arial"/>
                <w:b/>
                <w:sz w:val="20"/>
                <w:szCs w:val="20"/>
              </w:rPr>
              <w:t>Administrative advice:</w:t>
            </w:r>
          </w:p>
        </w:tc>
        <w:tc>
          <w:tcPr>
            <w:tcW w:w="6379" w:type="dxa"/>
            <w:tcBorders>
              <w:top w:val="single" w:sz="4" w:space="0" w:color="auto"/>
              <w:left w:val="single" w:sz="4" w:space="0" w:color="auto"/>
              <w:bottom w:val="single" w:sz="4" w:space="0" w:color="auto"/>
              <w:right w:val="single" w:sz="4" w:space="0" w:color="auto"/>
            </w:tcBorders>
          </w:tcPr>
          <w:p w14:paraId="4E70E0B0" w14:textId="77777777" w:rsidR="00F51305" w:rsidRPr="00F33674" w:rsidRDefault="00F51305" w:rsidP="00E41546">
            <w:pPr>
              <w:jc w:val="left"/>
              <w:rPr>
                <w:rFonts w:ascii="Arial Narrow" w:hAnsi="Arial Narrow" w:cs="Arial"/>
                <w:sz w:val="20"/>
                <w:szCs w:val="20"/>
              </w:rPr>
            </w:pPr>
            <w:r w:rsidRPr="00F33674">
              <w:rPr>
                <w:rFonts w:ascii="Arial Narrow" w:hAnsi="Arial Narrow" w:cs="Arial"/>
                <w:sz w:val="20"/>
                <w:szCs w:val="20"/>
              </w:rPr>
              <w:t>[new] This treatment is not suitable for ‘as-required’ pain relief.</w:t>
            </w:r>
          </w:p>
          <w:p w14:paraId="5B68B1E7" w14:textId="77777777" w:rsidR="00F51305" w:rsidRPr="00F33674" w:rsidRDefault="00F51305" w:rsidP="00E41546">
            <w:pPr>
              <w:jc w:val="left"/>
              <w:rPr>
                <w:rFonts w:ascii="Arial Narrow" w:hAnsi="Arial Narrow" w:cs="Arial"/>
                <w:sz w:val="20"/>
                <w:szCs w:val="20"/>
              </w:rPr>
            </w:pPr>
          </w:p>
          <w:p w14:paraId="5A7DCF52" w14:textId="77777777" w:rsidR="00F51305" w:rsidRPr="00F33674" w:rsidRDefault="00F51305" w:rsidP="00E41546">
            <w:pPr>
              <w:jc w:val="left"/>
              <w:rPr>
                <w:rFonts w:ascii="Arial Narrow" w:hAnsi="Arial Narrow" w:cs="Arial"/>
                <w:sz w:val="20"/>
                <w:szCs w:val="20"/>
              </w:rPr>
            </w:pPr>
            <w:r w:rsidRPr="00F33674">
              <w:rPr>
                <w:rFonts w:ascii="Arial Narrow" w:hAnsi="Arial Narrow" w:cs="Arial"/>
                <w:sz w:val="20"/>
                <w:szCs w:val="20"/>
              </w:rPr>
              <w:t xml:space="preserve">[7901] Shared Care Model: For prescribing by nurse practitioners where care of a patient </w:t>
            </w:r>
            <w:proofErr w:type="gramStart"/>
            <w:r w:rsidRPr="00F33674">
              <w:rPr>
                <w:rFonts w:ascii="Arial Narrow" w:hAnsi="Arial Narrow" w:cs="Arial"/>
                <w:sz w:val="20"/>
                <w:szCs w:val="20"/>
              </w:rPr>
              <w:t>is shared</w:t>
            </w:r>
            <w:proofErr w:type="gramEnd"/>
            <w:r w:rsidRPr="00F33674">
              <w:rPr>
                <w:rFonts w:ascii="Arial Narrow" w:hAnsi="Arial Narrow" w:cs="Arial"/>
                <w:sz w:val="20"/>
                <w:szCs w:val="20"/>
              </w:rPr>
              <w:t xml:space="preserve"> between a nurse practitioner and medical practitioner in a formalised arrangement with an agreed management plan. Further information </w:t>
            </w:r>
            <w:proofErr w:type="gramStart"/>
            <w:r w:rsidRPr="00F33674">
              <w:rPr>
                <w:rFonts w:ascii="Arial Narrow" w:hAnsi="Arial Narrow" w:cs="Arial"/>
                <w:sz w:val="20"/>
                <w:szCs w:val="20"/>
              </w:rPr>
              <w:t>can be found</w:t>
            </w:r>
            <w:proofErr w:type="gramEnd"/>
            <w:r w:rsidRPr="00F33674">
              <w:rPr>
                <w:rFonts w:ascii="Arial Narrow" w:hAnsi="Arial Narrow" w:cs="Arial"/>
                <w:sz w:val="20"/>
                <w:szCs w:val="20"/>
              </w:rPr>
              <w:t xml:space="preserve"> in the Explanatory Notes for Nurse Practitioners.</w:t>
            </w:r>
          </w:p>
          <w:p w14:paraId="278765EA" w14:textId="77777777" w:rsidR="00F51305" w:rsidRPr="00F33674" w:rsidRDefault="00F51305" w:rsidP="00E41546">
            <w:pPr>
              <w:jc w:val="left"/>
              <w:rPr>
                <w:rFonts w:ascii="Arial Narrow" w:hAnsi="Arial Narrow" w:cs="Arial"/>
                <w:sz w:val="20"/>
                <w:szCs w:val="20"/>
              </w:rPr>
            </w:pPr>
          </w:p>
          <w:p w14:paraId="105D95C8" w14:textId="77777777" w:rsidR="00F51305" w:rsidRPr="00F33674" w:rsidRDefault="00F51305" w:rsidP="00E41546">
            <w:pPr>
              <w:jc w:val="left"/>
              <w:rPr>
                <w:rFonts w:ascii="Arial Narrow" w:hAnsi="Arial Narrow" w:cs="Arial"/>
                <w:sz w:val="20"/>
                <w:szCs w:val="20"/>
              </w:rPr>
            </w:pPr>
            <w:r w:rsidRPr="00F33674">
              <w:rPr>
                <w:rFonts w:ascii="Arial Narrow" w:hAnsi="Arial Narrow" w:cs="Arial"/>
                <w:sz w:val="20"/>
                <w:szCs w:val="20"/>
              </w:rPr>
              <w:t xml:space="preserve">[10909] OxyContin modified release tablets </w:t>
            </w:r>
            <w:proofErr w:type="gramStart"/>
            <w:r w:rsidRPr="00F33674">
              <w:rPr>
                <w:rFonts w:ascii="Arial Narrow" w:hAnsi="Arial Narrow" w:cs="Arial"/>
                <w:sz w:val="20"/>
                <w:szCs w:val="20"/>
              </w:rPr>
              <w:t>are intended</w:t>
            </w:r>
            <w:proofErr w:type="gramEnd"/>
            <w:r w:rsidRPr="00F33674">
              <w:rPr>
                <w:rFonts w:ascii="Arial Narrow" w:hAnsi="Arial Narrow" w:cs="Arial"/>
                <w:sz w:val="20"/>
                <w:szCs w:val="20"/>
              </w:rPr>
              <w:t xml:space="preserve"> to be crush-deterrent and to reduce the rapid release of oxycodone upon accidental or intentional misuse.</w:t>
            </w:r>
          </w:p>
          <w:p w14:paraId="7147CFFA" w14:textId="77777777" w:rsidR="00F51305" w:rsidRPr="00F33674" w:rsidRDefault="00F51305" w:rsidP="00E41546">
            <w:pPr>
              <w:jc w:val="left"/>
              <w:rPr>
                <w:rFonts w:ascii="Arial Narrow" w:hAnsi="Arial Narrow" w:cs="Arial"/>
                <w:sz w:val="20"/>
                <w:szCs w:val="20"/>
              </w:rPr>
            </w:pPr>
          </w:p>
          <w:p w14:paraId="6B029E1B" w14:textId="77777777" w:rsidR="00F51305" w:rsidRPr="00F33674" w:rsidRDefault="00F51305" w:rsidP="00E41546">
            <w:pPr>
              <w:jc w:val="left"/>
              <w:rPr>
                <w:rFonts w:ascii="Arial Narrow" w:hAnsi="Arial Narrow" w:cs="Arial"/>
                <w:sz w:val="20"/>
                <w:szCs w:val="20"/>
              </w:rPr>
            </w:pPr>
            <w:r w:rsidRPr="00F33674">
              <w:rPr>
                <w:rFonts w:ascii="Arial Narrow" w:hAnsi="Arial Narrow" w:cs="Arial"/>
                <w:sz w:val="20"/>
                <w:szCs w:val="20"/>
              </w:rPr>
              <w:t>[new] Real time online applications for increased maximum quantities/repeats may be made using the Online PBS Authorities system (see www.servicesaustralia.gov.au/organisations/health-professionals/services/medicare/hpos/services/request-authority-using-online-pbs-authorities-hpos)</w:t>
            </w:r>
          </w:p>
          <w:p w14:paraId="5E786E6A" w14:textId="77777777" w:rsidR="00F51305" w:rsidRPr="00F33674" w:rsidRDefault="00F51305" w:rsidP="00E41546">
            <w:pPr>
              <w:jc w:val="left"/>
              <w:rPr>
                <w:rFonts w:ascii="Arial Narrow" w:hAnsi="Arial Narrow" w:cs="Arial"/>
                <w:sz w:val="20"/>
                <w:szCs w:val="20"/>
              </w:rPr>
            </w:pPr>
          </w:p>
          <w:p w14:paraId="4D30B50B" w14:textId="77777777" w:rsidR="00F51305" w:rsidRPr="00F33674" w:rsidRDefault="00F51305" w:rsidP="00E41546">
            <w:pPr>
              <w:jc w:val="left"/>
              <w:rPr>
                <w:rFonts w:ascii="Arial Narrow" w:hAnsi="Arial Narrow" w:cs="Arial"/>
                <w:sz w:val="20"/>
                <w:szCs w:val="20"/>
              </w:rPr>
            </w:pPr>
            <w:r w:rsidRPr="00F33674">
              <w:rPr>
                <w:rFonts w:ascii="Arial Narrow" w:hAnsi="Arial Narrow" w:cs="Arial"/>
                <w:sz w:val="20"/>
                <w:szCs w:val="20"/>
              </w:rPr>
              <w:t>Phone applications for increased maximum quantities/repeats may be made by calling 1800 888 333.</w:t>
            </w:r>
          </w:p>
          <w:p w14:paraId="609E4D59" w14:textId="77777777" w:rsidR="00F51305" w:rsidRPr="00F33674" w:rsidRDefault="00F51305" w:rsidP="00E41546">
            <w:pPr>
              <w:jc w:val="left"/>
              <w:rPr>
                <w:rFonts w:ascii="Arial Narrow" w:hAnsi="Arial Narrow" w:cs="Arial"/>
                <w:sz w:val="20"/>
                <w:szCs w:val="20"/>
              </w:rPr>
            </w:pPr>
          </w:p>
          <w:p w14:paraId="340A2DD1" w14:textId="77777777" w:rsidR="00F51305" w:rsidRPr="00F33674" w:rsidRDefault="00F51305" w:rsidP="00E41546">
            <w:pPr>
              <w:jc w:val="left"/>
              <w:rPr>
                <w:rFonts w:ascii="Arial Narrow" w:hAnsi="Arial Narrow" w:cs="Arial"/>
                <w:sz w:val="20"/>
                <w:szCs w:val="20"/>
              </w:rPr>
            </w:pPr>
            <w:r w:rsidRPr="00F33674">
              <w:rPr>
                <w:rFonts w:ascii="Arial Narrow" w:hAnsi="Arial Narrow" w:cs="Arial"/>
                <w:sz w:val="20"/>
                <w:szCs w:val="20"/>
              </w:rPr>
              <w:t>Written authority applications for increased maximum quantities/repeats can be uploaded online through HPOS form upload or mailed to:</w:t>
            </w:r>
          </w:p>
          <w:p w14:paraId="058C86A4" w14:textId="77777777" w:rsidR="00F51305" w:rsidRPr="00F33674" w:rsidRDefault="00F51305" w:rsidP="00E41546">
            <w:pPr>
              <w:jc w:val="left"/>
              <w:rPr>
                <w:rFonts w:ascii="Arial Narrow" w:hAnsi="Arial Narrow" w:cs="Arial"/>
                <w:sz w:val="20"/>
                <w:szCs w:val="20"/>
              </w:rPr>
            </w:pPr>
            <w:r w:rsidRPr="00F33674">
              <w:rPr>
                <w:rFonts w:ascii="Arial Narrow" w:hAnsi="Arial Narrow" w:cs="Arial"/>
                <w:sz w:val="20"/>
                <w:szCs w:val="20"/>
              </w:rPr>
              <w:t>Pharmaceutical Benefits Scheme</w:t>
            </w:r>
          </w:p>
          <w:p w14:paraId="7B1601A3" w14:textId="77777777" w:rsidR="00F51305" w:rsidRPr="00F33674" w:rsidRDefault="00F51305" w:rsidP="00E41546">
            <w:pPr>
              <w:jc w:val="left"/>
              <w:rPr>
                <w:rFonts w:ascii="Arial Narrow" w:hAnsi="Arial Narrow" w:cs="Arial"/>
                <w:sz w:val="20"/>
                <w:szCs w:val="20"/>
              </w:rPr>
            </w:pPr>
            <w:r w:rsidRPr="00F33674">
              <w:rPr>
                <w:rFonts w:ascii="Arial Narrow" w:hAnsi="Arial Narrow" w:cs="Arial"/>
                <w:sz w:val="20"/>
                <w:szCs w:val="20"/>
              </w:rPr>
              <w:t>Reply Paid 9857</w:t>
            </w:r>
          </w:p>
          <w:p w14:paraId="1649D609" w14:textId="77777777" w:rsidR="00F51305" w:rsidRPr="00F33674" w:rsidRDefault="00F51305" w:rsidP="00E41546">
            <w:pPr>
              <w:jc w:val="left"/>
              <w:rPr>
                <w:rFonts w:ascii="Arial Narrow" w:hAnsi="Arial Narrow" w:cs="Arial"/>
                <w:sz w:val="20"/>
                <w:szCs w:val="20"/>
              </w:rPr>
            </w:pPr>
            <w:r w:rsidRPr="00F33674">
              <w:rPr>
                <w:rFonts w:ascii="Arial Narrow" w:hAnsi="Arial Narrow" w:cs="Arial"/>
                <w:sz w:val="20"/>
                <w:szCs w:val="20"/>
              </w:rPr>
              <w:t>[Your capital city]</w:t>
            </w:r>
          </w:p>
        </w:tc>
      </w:tr>
      <w:tr w:rsidR="00F51305" w:rsidRPr="00F33674" w14:paraId="17DEA3A8" w14:textId="77777777" w:rsidTr="00E41546">
        <w:trPr>
          <w:cantSplit/>
          <w:trHeight w:val="360"/>
        </w:trPr>
        <w:tc>
          <w:tcPr>
            <w:tcW w:w="2835" w:type="dxa"/>
            <w:tcBorders>
              <w:top w:val="single" w:sz="4" w:space="0" w:color="auto"/>
              <w:left w:val="single" w:sz="4" w:space="0" w:color="auto"/>
              <w:bottom w:val="single" w:sz="4" w:space="0" w:color="auto"/>
              <w:right w:val="single" w:sz="4" w:space="0" w:color="auto"/>
            </w:tcBorders>
          </w:tcPr>
          <w:p w14:paraId="31B256AE" w14:textId="77777777" w:rsidR="00F51305" w:rsidRPr="00F33674" w:rsidRDefault="00F51305" w:rsidP="00E41546">
            <w:pPr>
              <w:rPr>
                <w:rFonts w:ascii="Arial Narrow" w:hAnsi="Arial Narrow" w:cs="Arial"/>
                <w:b/>
                <w:sz w:val="20"/>
                <w:szCs w:val="20"/>
              </w:rPr>
            </w:pPr>
            <w:r w:rsidRPr="00F33674">
              <w:rPr>
                <w:rFonts w:ascii="Arial Narrow" w:hAnsi="Arial Narrow" w:cs="Arial"/>
                <w:b/>
                <w:sz w:val="20"/>
                <w:szCs w:val="20"/>
              </w:rPr>
              <w:t>Cautions:</w:t>
            </w:r>
          </w:p>
        </w:tc>
        <w:tc>
          <w:tcPr>
            <w:tcW w:w="6379" w:type="dxa"/>
            <w:tcBorders>
              <w:top w:val="single" w:sz="4" w:space="0" w:color="auto"/>
              <w:left w:val="single" w:sz="4" w:space="0" w:color="auto"/>
              <w:bottom w:val="single" w:sz="4" w:space="0" w:color="auto"/>
              <w:right w:val="single" w:sz="4" w:space="0" w:color="auto"/>
            </w:tcBorders>
          </w:tcPr>
          <w:p w14:paraId="21B42AE7" w14:textId="77777777" w:rsidR="00F51305" w:rsidRPr="00F33674" w:rsidRDefault="00F51305" w:rsidP="00E41546">
            <w:pPr>
              <w:jc w:val="left"/>
              <w:rPr>
                <w:rFonts w:ascii="Arial Narrow" w:hAnsi="Arial Narrow" w:cs="Arial"/>
                <w:sz w:val="20"/>
                <w:szCs w:val="20"/>
              </w:rPr>
            </w:pPr>
            <w:r w:rsidRPr="00F33674">
              <w:rPr>
                <w:rFonts w:ascii="Arial Narrow" w:hAnsi="Arial Narrow" w:cs="Arial"/>
                <w:sz w:val="20"/>
                <w:szCs w:val="20"/>
              </w:rPr>
              <w:t>[6986] The risk of drug dependence is high.</w:t>
            </w:r>
          </w:p>
        </w:tc>
      </w:tr>
    </w:tbl>
    <w:p w14:paraId="1660C9C5" w14:textId="1A29587F" w:rsidR="00F51305" w:rsidRDefault="00F51305" w:rsidP="00193259">
      <w:pPr>
        <w:pStyle w:val="3-BodyText"/>
        <w:numPr>
          <w:ilvl w:val="0"/>
          <w:numId w:val="0"/>
        </w:numPr>
        <w:ind w:left="720" w:hanging="720"/>
      </w:pPr>
    </w:p>
    <w:tbl>
      <w:tblPr>
        <w:tblW w:w="9214" w:type="dxa"/>
        <w:tblInd w:w="-5" w:type="dxa"/>
        <w:tblLayout w:type="fixed"/>
        <w:tblLook w:val="0000" w:firstRow="0" w:lastRow="0" w:firstColumn="0" w:lastColumn="0" w:noHBand="0" w:noVBand="0"/>
      </w:tblPr>
      <w:tblGrid>
        <w:gridCol w:w="2835"/>
        <w:gridCol w:w="6379"/>
      </w:tblGrid>
      <w:tr w:rsidR="00F51305" w:rsidRPr="00F33674" w14:paraId="4BB42EC0" w14:textId="77777777" w:rsidTr="00E41546">
        <w:trPr>
          <w:cantSplit/>
          <w:trHeight w:val="360"/>
        </w:trPr>
        <w:tc>
          <w:tcPr>
            <w:tcW w:w="2835" w:type="dxa"/>
            <w:tcBorders>
              <w:top w:val="single" w:sz="4" w:space="0" w:color="auto"/>
              <w:left w:val="single" w:sz="4" w:space="0" w:color="auto"/>
              <w:bottom w:val="single" w:sz="4" w:space="0" w:color="auto"/>
              <w:right w:val="single" w:sz="4" w:space="0" w:color="auto"/>
            </w:tcBorders>
          </w:tcPr>
          <w:p w14:paraId="6057F27E" w14:textId="77777777" w:rsidR="00F51305" w:rsidRPr="00F33674" w:rsidRDefault="00F51305" w:rsidP="00E41546">
            <w:pPr>
              <w:rPr>
                <w:rFonts w:ascii="Arial Narrow" w:hAnsi="Arial Narrow" w:cs="Arial"/>
                <w:b/>
                <w:sz w:val="20"/>
                <w:szCs w:val="20"/>
              </w:rPr>
            </w:pPr>
            <w:r w:rsidRPr="00F33674">
              <w:rPr>
                <w:rFonts w:ascii="Arial Narrow" w:hAnsi="Arial Narrow" w:cs="Arial"/>
                <w:b/>
                <w:sz w:val="20"/>
                <w:szCs w:val="20"/>
              </w:rPr>
              <w:t>Category / Program:</w:t>
            </w:r>
          </w:p>
        </w:tc>
        <w:tc>
          <w:tcPr>
            <w:tcW w:w="6379" w:type="dxa"/>
            <w:tcBorders>
              <w:top w:val="single" w:sz="4" w:space="0" w:color="auto"/>
              <w:left w:val="single" w:sz="4" w:space="0" w:color="auto"/>
              <w:bottom w:val="single" w:sz="4" w:space="0" w:color="auto"/>
              <w:right w:val="single" w:sz="4" w:space="0" w:color="auto"/>
            </w:tcBorders>
          </w:tcPr>
          <w:p w14:paraId="28FEA2B1" w14:textId="77777777" w:rsidR="00F51305" w:rsidRPr="00F33674" w:rsidRDefault="00F51305" w:rsidP="00E41546">
            <w:pPr>
              <w:rPr>
                <w:rFonts w:ascii="Arial Narrow" w:hAnsi="Arial Narrow" w:cs="Arial"/>
                <w:sz w:val="20"/>
                <w:szCs w:val="20"/>
              </w:rPr>
            </w:pPr>
            <w:r w:rsidRPr="00F33674">
              <w:rPr>
                <w:rFonts w:ascii="Arial Narrow" w:hAnsi="Arial Narrow" w:cs="Arial"/>
                <w:sz w:val="20"/>
                <w:szCs w:val="20"/>
              </w:rPr>
              <w:t>GENERAL – General Schedule (Code GE)</w:t>
            </w:r>
          </w:p>
        </w:tc>
      </w:tr>
      <w:tr w:rsidR="00F51305" w:rsidRPr="00F33674" w14:paraId="79A87E8D" w14:textId="77777777" w:rsidTr="00E41546">
        <w:trPr>
          <w:cantSplit/>
          <w:trHeight w:val="360"/>
        </w:trPr>
        <w:tc>
          <w:tcPr>
            <w:tcW w:w="2835" w:type="dxa"/>
            <w:tcBorders>
              <w:top w:val="single" w:sz="4" w:space="0" w:color="auto"/>
              <w:left w:val="single" w:sz="4" w:space="0" w:color="auto"/>
              <w:bottom w:val="single" w:sz="4" w:space="0" w:color="auto"/>
              <w:right w:val="single" w:sz="4" w:space="0" w:color="auto"/>
            </w:tcBorders>
          </w:tcPr>
          <w:p w14:paraId="5A725C68" w14:textId="77777777" w:rsidR="00F51305" w:rsidRPr="00F33674" w:rsidRDefault="00F51305" w:rsidP="00E41546">
            <w:pPr>
              <w:rPr>
                <w:rFonts w:ascii="Arial Narrow" w:hAnsi="Arial Narrow" w:cs="Arial"/>
                <w:b/>
                <w:sz w:val="20"/>
                <w:szCs w:val="20"/>
              </w:rPr>
            </w:pPr>
            <w:r w:rsidRPr="00F33674">
              <w:rPr>
                <w:rFonts w:ascii="Arial Narrow" w:hAnsi="Arial Narrow" w:cs="Arial"/>
                <w:b/>
                <w:sz w:val="20"/>
                <w:szCs w:val="20"/>
              </w:rPr>
              <w:t>Prescriber type:</w:t>
            </w:r>
          </w:p>
          <w:p w14:paraId="704FE7C2" w14:textId="77777777" w:rsidR="00F51305" w:rsidRPr="00F33674" w:rsidRDefault="00F51305" w:rsidP="00E41546">
            <w:pPr>
              <w:rPr>
                <w:rFonts w:ascii="Arial Narrow" w:hAnsi="Arial Narrow" w:cs="Arial"/>
                <w:b/>
                <w:sz w:val="20"/>
                <w:szCs w:val="20"/>
              </w:rPr>
            </w:pPr>
          </w:p>
        </w:tc>
        <w:tc>
          <w:tcPr>
            <w:tcW w:w="6379" w:type="dxa"/>
            <w:tcBorders>
              <w:top w:val="single" w:sz="4" w:space="0" w:color="auto"/>
              <w:left w:val="single" w:sz="4" w:space="0" w:color="auto"/>
              <w:bottom w:val="single" w:sz="4" w:space="0" w:color="auto"/>
              <w:right w:val="single" w:sz="4" w:space="0" w:color="auto"/>
            </w:tcBorders>
          </w:tcPr>
          <w:p w14:paraId="447ADF7C" w14:textId="77777777" w:rsidR="00F51305" w:rsidRPr="00F33674" w:rsidRDefault="00F51305" w:rsidP="00E41546">
            <w:pPr>
              <w:rPr>
                <w:rFonts w:ascii="Arial Narrow" w:hAnsi="Arial Narrow" w:cs="Arial"/>
                <w:sz w:val="20"/>
                <w:szCs w:val="20"/>
              </w:rPr>
            </w:pPr>
            <w:r w:rsidRPr="00F33674">
              <w:rPr>
                <w:rFonts w:ascii="Arial Narrow" w:hAnsi="Arial Narrow" w:cs="Arial"/>
                <w:sz w:val="20"/>
                <w:szCs w:val="20"/>
              </w:rPr>
              <w:fldChar w:fldCharType="begin">
                <w:ffData>
                  <w:name w:val="Check1"/>
                  <w:enabled/>
                  <w:calcOnExit w:val="0"/>
                  <w:checkBox>
                    <w:sizeAuto/>
                    <w:default w:val="0"/>
                  </w:checkBox>
                </w:ffData>
              </w:fldChar>
            </w:r>
            <w:r w:rsidRPr="00F33674">
              <w:rPr>
                <w:rFonts w:ascii="Arial Narrow" w:hAnsi="Arial Narrow" w:cs="Arial"/>
                <w:sz w:val="20"/>
                <w:szCs w:val="20"/>
              </w:rPr>
              <w:instrText xml:space="preserve"> FORMCHECKBOX </w:instrText>
            </w:r>
            <w:r w:rsidR="00233D13">
              <w:rPr>
                <w:rFonts w:ascii="Arial Narrow" w:hAnsi="Arial Narrow" w:cs="Arial"/>
                <w:sz w:val="20"/>
                <w:szCs w:val="20"/>
              </w:rPr>
            </w:r>
            <w:r w:rsidR="00233D13">
              <w:rPr>
                <w:rFonts w:ascii="Arial Narrow" w:hAnsi="Arial Narrow" w:cs="Arial"/>
                <w:sz w:val="20"/>
                <w:szCs w:val="20"/>
              </w:rPr>
              <w:fldChar w:fldCharType="separate"/>
            </w:r>
            <w:r w:rsidRPr="00F33674">
              <w:rPr>
                <w:rFonts w:ascii="Arial Narrow" w:hAnsi="Arial Narrow" w:cs="Arial"/>
                <w:sz w:val="20"/>
                <w:szCs w:val="20"/>
              </w:rPr>
              <w:fldChar w:fldCharType="end"/>
            </w:r>
            <w:r w:rsidRPr="00F33674">
              <w:rPr>
                <w:rFonts w:ascii="Arial Narrow" w:hAnsi="Arial Narrow" w:cs="Arial"/>
                <w:sz w:val="20"/>
                <w:szCs w:val="20"/>
              </w:rPr>
              <w:t>Dental</w:t>
            </w:r>
            <w:r>
              <w:rPr>
                <w:rFonts w:ascii="Arial Narrow" w:hAnsi="Arial Narrow" w:cs="Arial"/>
                <w:sz w:val="20"/>
                <w:szCs w:val="20"/>
              </w:rPr>
              <w:t xml:space="preserve"> </w:t>
            </w:r>
            <w:r w:rsidRPr="00F33674">
              <w:rPr>
                <w:rFonts w:ascii="Arial Narrow" w:hAnsi="Arial Narrow" w:cs="Arial"/>
                <w:sz w:val="20"/>
                <w:szCs w:val="20"/>
              </w:rPr>
              <w:fldChar w:fldCharType="begin">
                <w:ffData>
                  <w:name w:val=""/>
                  <w:enabled/>
                  <w:calcOnExit w:val="0"/>
                  <w:checkBox>
                    <w:sizeAuto/>
                    <w:default w:val="1"/>
                  </w:checkBox>
                </w:ffData>
              </w:fldChar>
            </w:r>
            <w:r w:rsidRPr="00F33674">
              <w:rPr>
                <w:rFonts w:ascii="Arial Narrow" w:hAnsi="Arial Narrow" w:cs="Arial"/>
                <w:sz w:val="20"/>
                <w:szCs w:val="20"/>
              </w:rPr>
              <w:instrText xml:space="preserve"> FORMCHECKBOX </w:instrText>
            </w:r>
            <w:r w:rsidR="00233D13">
              <w:rPr>
                <w:rFonts w:ascii="Arial Narrow" w:hAnsi="Arial Narrow" w:cs="Arial"/>
                <w:sz w:val="20"/>
                <w:szCs w:val="20"/>
              </w:rPr>
            </w:r>
            <w:r w:rsidR="00233D13">
              <w:rPr>
                <w:rFonts w:ascii="Arial Narrow" w:hAnsi="Arial Narrow" w:cs="Arial"/>
                <w:sz w:val="20"/>
                <w:szCs w:val="20"/>
              </w:rPr>
              <w:fldChar w:fldCharType="separate"/>
            </w:r>
            <w:r w:rsidRPr="00F33674">
              <w:rPr>
                <w:rFonts w:ascii="Arial Narrow" w:hAnsi="Arial Narrow" w:cs="Arial"/>
                <w:sz w:val="20"/>
                <w:szCs w:val="20"/>
              </w:rPr>
              <w:fldChar w:fldCharType="end"/>
            </w:r>
            <w:r w:rsidRPr="00F33674">
              <w:rPr>
                <w:rFonts w:ascii="Arial Narrow" w:hAnsi="Arial Narrow" w:cs="Arial"/>
                <w:sz w:val="20"/>
                <w:szCs w:val="20"/>
              </w:rPr>
              <w:t>Medical Practitioners</w:t>
            </w:r>
            <w:r>
              <w:rPr>
                <w:rFonts w:ascii="Arial Narrow" w:hAnsi="Arial Narrow" w:cs="Arial"/>
                <w:sz w:val="20"/>
                <w:szCs w:val="20"/>
              </w:rPr>
              <w:t xml:space="preserve"> </w:t>
            </w:r>
            <w:r w:rsidRPr="00F33674">
              <w:rPr>
                <w:rFonts w:ascii="Arial Narrow" w:hAnsi="Arial Narrow" w:cs="Arial"/>
                <w:sz w:val="20"/>
                <w:szCs w:val="20"/>
              </w:rPr>
              <w:fldChar w:fldCharType="begin">
                <w:ffData>
                  <w:name w:val="Check3"/>
                  <w:enabled/>
                  <w:calcOnExit w:val="0"/>
                  <w:checkBox>
                    <w:sizeAuto/>
                    <w:default w:val="1"/>
                  </w:checkBox>
                </w:ffData>
              </w:fldChar>
            </w:r>
            <w:r w:rsidRPr="00F33674">
              <w:rPr>
                <w:rFonts w:ascii="Arial Narrow" w:hAnsi="Arial Narrow" w:cs="Arial"/>
                <w:sz w:val="20"/>
                <w:szCs w:val="20"/>
              </w:rPr>
              <w:instrText xml:space="preserve"> FORMCHECKBOX </w:instrText>
            </w:r>
            <w:r w:rsidR="00233D13">
              <w:rPr>
                <w:rFonts w:ascii="Arial Narrow" w:hAnsi="Arial Narrow" w:cs="Arial"/>
                <w:sz w:val="20"/>
                <w:szCs w:val="20"/>
              </w:rPr>
            </w:r>
            <w:r w:rsidR="00233D13">
              <w:rPr>
                <w:rFonts w:ascii="Arial Narrow" w:hAnsi="Arial Narrow" w:cs="Arial"/>
                <w:sz w:val="20"/>
                <w:szCs w:val="20"/>
              </w:rPr>
              <w:fldChar w:fldCharType="separate"/>
            </w:r>
            <w:r w:rsidRPr="00F33674">
              <w:rPr>
                <w:rFonts w:ascii="Arial Narrow" w:hAnsi="Arial Narrow" w:cs="Arial"/>
                <w:sz w:val="20"/>
                <w:szCs w:val="20"/>
              </w:rPr>
              <w:fldChar w:fldCharType="end"/>
            </w:r>
            <w:r w:rsidRPr="00F33674">
              <w:rPr>
                <w:rFonts w:ascii="Arial Narrow" w:hAnsi="Arial Narrow" w:cs="Arial"/>
                <w:sz w:val="20"/>
                <w:szCs w:val="20"/>
              </w:rPr>
              <w:t>Nurse practitioners</w:t>
            </w:r>
            <w:r>
              <w:rPr>
                <w:rFonts w:ascii="Arial Narrow" w:hAnsi="Arial Narrow" w:cs="Arial"/>
                <w:sz w:val="20"/>
                <w:szCs w:val="20"/>
              </w:rPr>
              <w:t xml:space="preserve"> </w:t>
            </w:r>
            <w:r w:rsidRPr="00F33674">
              <w:rPr>
                <w:rFonts w:ascii="Arial Narrow" w:hAnsi="Arial Narrow" w:cs="Arial"/>
                <w:sz w:val="20"/>
                <w:szCs w:val="20"/>
              </w:rPr>
              <w:fldChar w:fldCharType="begin">
                <w:ffData>
                  <w:name w:val=""/>
                  <w:enabled/>
                  <w:calcOnExit w:val="0"/>
                  <w:checkBox>
                    <w:sizeAuto/>
                    <w:default w:val="0"/>
                  </w:checkBox>
                </w:ffData>
              </w:fldChar>
            </w:r>
            <w:r w:rsidRPr="00F33674">
              <w:rPr>
                <w:rFonts w:ascii="Arial Narrow" w:hAnsi="Arial Narrow" w:cs="Arial"/>
                <w:sz w:val="20"/>
                <w:szCs w:val="20"/>
              </w:rPr>
              <w:instrText xml:space="preserve"> FORMCHECKBOX </w:instrText>
            </w:r>
            <w:r w:rsidR="00233D13">
              <w:rPr>
                <w:rFonts w:ascii="Arial Narrow" w:hAnsi="Arial Narrow" w:cs="Arial"/>
                <w:sz w:val="20"/>
                <w:szCs w:val="20"/>
              </w:rPr>
            </w:r>
            <w:r w:rsidR="00233D13">
              <w:rPr>
                <w:rFonts w:ascii="Arial Narrow" w:hAnsi="Arial Narrow" w:cs="Arial"/>
                <w:sz w:val="20"/>
                <w:szCs w:val="20"/>
              </w:rPr>
              <w:fldChar w:fldCharType="separate"/>
            </w:r>
            <w:r w:rsidRPr="00F33674">
              <w:rPr>
                <w:rFonts w:ascii="Arial Narrow" w:hAnsi="Arial Narrow" w:cs="Arial"/>
                <w:sz w:val="20"/>
                <w:szCs w:val="20"/>
              </w:rPr>
              <w:fldChar w:fldCharType="end"/>
            </w:r>
            <w:r w:rsidRPr="00F33674">
              <w:rPr>
                <w:rFonts w:ascii="Arial Narrow" w:hAnsi="Arial Narrow" w:cs="Arial"/>
                <w:sz w:val="20"/>
                <w:szCs w:val="20"/>
              </w:rPr>
              <w:t>Optometrists</w:t>
            </w:r>
          </w:p>
          <w:p w14:paraId="38DC6200" w14:textId="77777777" w:rsidR="00F51305" w:rsidRPr="00F33674" w:rsidRDefault="00F51305" w:rsidP="00E41546">
            <w:pPr>
              <w:rPr>
                <w:rFonts w:ascii="Arial Narrow" w:hAnsi="Arial Narrow" w:cs="Arial"/>
                <w:sz w:val="20"/>
                <w:szCs w:val="20"/>
              </w:rPr>
            </w:pPr>
            <w:r w:rsidRPr="00F33674">
              <w:rPr>
                <w:rFonts w:ascii="Arial Narrow" w:hAnsi="Arial Narrow" w:cs="Arial"/>
                <w:sz w:val="20"/>
                <w:szCs w:val="20"/>
              </w:rPr>
              <w:fldChar w:fldCharType="begin">
                <w:ffData>
                  <w:name w:val="Check5"/>
                  <w:enabled/>
                  <w:calcOnExit w:val="0"/>
                  <w:checkBox>
                    <w:sizeAuto/>
                    <w:default w:val="0"/>
                  </w:checkBox>
                </w:ffData>
              </w:fldChar>
            </w:r>
            <w:r w:rsidRPr="00F33674">
              <w:rPr>
                <w:rFonts w:ascii="Arial Narrow" w:hAnsi="Arial Narrow" w:cs="Arial"/>
                <w:sz w:val="20"/>
                <w:szCs w:val="20"/>
              </w:rPr>
              <w:instrText xml:space="preserve"> FORMCHECKBOX </w:instrText>
            </w:r>
            <w:r w:rsidR="00233D13">
              <w:rPr>
                <w:rFonts w:ascii="Arial Narrow" w:hAnsi="Arial Narrow" w:cs="Arial"/>
                <w:sz w:val="20"/>
                <w:szCs w:val="20"/>
              </w:rPr>
            </w:r>
            <w:r w:rsidR="00233D13">
              <w:rPr>
                <w:rFonts w:ascii="Arial Narrow" w:hAnsi="Arial Narrow" w:cs="Arial"/>
                <w:sz w:val="20"/>
                <w:szCs w:val="20"/>
              </w:rPr>
              <w:fldChar w:fldCharType="separate"/>
            </w:r>
            <w:r w:rsidRPr="00F33674">
              <w:rPr>
                <w:rFonts w:ascii="Arial Narrow" w:hAnsi="Arial Narrow" w:cs="Arial"/>
                <w:sz w:val="20"/>
                <w:szCs w:val="20"/>
              </w:rPr>
              <w:fldChar w:fldCharType="end"/>
            </w:r>
            <w:r w:rsidRPr="00F33674">
              <w:rPr>
                <w:rFonts w:ascii="Arial Narrow" w:hAnsi="Arial Narrow" w:cs="Arial"/>
                <w:sz w:val="20"/>
                <w:szCs w:val="20"/>
              </w:rPr>
              <w:t>Midwives</w:t>
            </w:r>
          </w:p>
        </w:tc>
      </w:tr>
      <w:tr w:rsidR="00F51305" w:rsidRPr="00F33674" w14:paraId="36D023AB" w14:textId="77777777" w:rsidTr="00E41546">
        <w:trPr>
          <w:cantSplit/>
          <w:trHeight w:val="369"/>
        </w:trPr>
        <w:tc>
          <w:tcPr>
            <w:tcW w:w="2835" w:type="dxa"/>
            <w:tcBorders>
              <w:top w:val="single" w:sz="4" w:space="0" w:color="auto"/>
              <w:left w:val="single" w:sz="4" w:space="0" w:color="auto"/>
              <w:bottom w:val="single" w:sz="4" w:space="0" w:color="auto"/>
              <w:right w:val="single" w:sz="4" w:space="0" w:color="auto"/>
            </w:tcBorders>
          </w:tcPr>
          <w:p w14:paraId="500BDE48" w14:textId="77777777" w:rsidR="00F51305" w:rsidRPr="00F33674" w:rsidRDefault="00F51305" w:rsidP="00E41546">
            <w:pPr>
              <w:rPr>
                <w:rFonts w:ascii="Arial Narrow" w:hAnsi="Arial Narrow" w:cs="Arial"/>
                <w:b/>
                <w:sz w:val="20"/>
                <w:szCs w:val="20"/>
              </w:rPr>
            </w:pPr>
            <w:r w:rsidRPr="00F33674">
              <w:rPr>
                <w:rFonts w:ascii="Arial Narrow" w:hAnsi="Arial Narrow" w:cs="Arial"/>
                <w:b/>
                <w:sz w:val="20"/>
                <w:szCs w:val="20"/>
              </w:rPr>
              <w:t>PBS indication:</w:t>
            </w:r>
          </w:p>
        </w:tc>
        <w:tc>
          <w:tcPr>
            <w:tcW w:w="6379" w:type="dxa"/>
            <w:tcBorders>
              <w:top w:val="single" w:sz="4" w:space="0" w:color="auto"/>
              <w:left w:val="single" w:sz="4" w:space="0" w:color="auto"/>
              <w:bottom w:val="single" w:sz="4" w:space="0" w:color="auto"/>
              <w:right w:val="single" w:sz="4" w:space="0" w:color="auto"/>
            </w:tcBorders>
          </w:tcPr>
          <w:p w14:paraId="725B621F" w14:textId="77777777" w:rsidR="00F51305" w:rsidRPr="00F33674" w:rsidRDefault="00F51305" w:rsidP="00E41546">
            <w:pPr>
              <w:rPr>
                <w:rFonts w:ascii="Arial Narrow" w:hAnsi="Arial Narrow" w:cs="Arial"/>
                <w:sz w:val="20"/>
                <w:szCs w:val="20"/>
              </w:rPr>
            </w:pPr>
            <w:r w:rsidRPr="00F33674">
              <w:rPr>
                <w:rFonts w:ascii="Arial Narrow" w:hAnsi="Arial Narrow" w:cs="Arial"/>
                <w:sz w:val="20"/>
                <w:szCs w:val="20"/>
              </w:rPr>
              <w:t>[new] Chronic severe pain</w:t>
            </w:r>
          </w:p>
        </w:tc>
      </w:tr>
      <w:tr w:rsidR="00F51305" w:rsidRPr="00F33674" w14:paraId="72EA5AB9" w14:textId="77777777" w:rsidTr="00E41546">
        <w:trPr>
          <w:cantSplit/>
          <w:trHeight w:val="360"/>
        </w:trPr>
        <w:tc>
          <w:tcPr>
            <w:tcW w:w="2835" w:type="dxa"/>
            <w:tcBorders>
              <w:top w:val="single" w:sz="4" w:space="0" w:color="auto"/>
              <w:left w:val="single" w:sz="4" w:space="0" w:color="auto"/>
              <w:bottom w:val="single" w:sz="4" w:space="0" w:color="auto"/>
              <w:right w:val="single" w:sz="4" w:space="0" w:color="auto"/>
            </w:tcBorders>
          </w:tcPr>
          <w:p w14:paraId="69F519E1" w14:textId="77777777" w:rsidR="00F51305" w:rsidRPr="00F33674" w:rsidRDefault="00F51305" w:rsidP="00E41546">
            <w:pPr>
              <w:rPr>
                <w:rFonts w:ascii="Arial Narrow" w:hAnsi="Arial Narrow" w:cs="Arial"/>
                <w:b/>
                <w:sz w:val="20"/>
                <w:szCs w:val="20"/>
              </w:rPr>
            </w:pPr>
            <w:r w:rsidRPr="00F33674">
              <w:rPr>
                <w:rFonts w:ascii="Arial Narrow" w:hAnsi="Arial Narrow" w:cs="Arial"/>
                <w:b/>
                <w:sz w:val="20"/>
                <w:szCs w:val="20"/>
              </w:rPr>
              <w:lastRenderedPageBreak/>
              <w:t>Restriction Level / Method:</w:t>
            </w:r>
          </w:p>
          <w:p w14:paraId="7AEEC6DE" w14:textId="77777777" w:rsidR="00F51305" w:rsidRPr="00F33674" w:rsidRDefault="00F51305" w:rsidP="00E41546">
            <w:pPr>
              <w:rPr>
                <w:rFonts w:ascii="Arial Narrow" w:hAnsi="Arial Narrow" w:cs="Arial"/>
                <w:i/>
                <w:sz w:val="20"/>
                <w:szCs w:val="20"/>
              </w:rPr>
            </w:pPr>
          </w:p>
          <w:p w14:paraId="355035B3" w14:textId="77777777" w:rsidR="00F51305" w:rsidRPr="00F33674" w:rsidRDefault="00F51305" w:rsidP="00E41546">
            <w:pPr>
              <w:rPr>
                <w:rFonts w:ascii="Arial Narrow" w:hAnsi="Arial Narrow" w:cs="Arial"/>
                <w:i/>
                <w:sz w:val="20"/>
                <w:szCs w:val="20"/>
              </w:rPr>
            </w:pPr>
          </w:p>
          <w:p w14:paraId="6128E207" w14:textId="77777777" w:rsidR="00F51305" w:rsidRPr="00F33674" w:rsidRDefault="00F51305" w:rsidP="00E41546">
            <w:pPr>
              <w:rPr>
                <w:rFonts w:ascii="Arial Narrow" w:hAnsi="Arial Narrow" w:cs="Arial"/>
                <w:i/>
                <w:sz w:val="20"/>
                <w:szCs w:val="20"/>
              </w:rPr>
            </w:pPr>
          </w:p>
        </w:tc>
        <w:tc>
          <w:tcPr>
            <w:tcW w:w="6379" w:type="dxa"/>
            <w:tcBorders>
              <w:top w:val="single" w:sz="4" w:space="0" w:color="auto"/>
              <w:left w:val="single" w:sz="4" w:space="0" w:color="auto"/>
              <w:bottom w:val="single" w:sz="4" w:space="0" w:color="auto"/>
              <w:right w:val="single" w:sz="4" w:space="0" w:color="auto"/>
            </w:tcBorders>
          </w:tcPr>
          <w:p w14:paraId="787403C0" w14:textId="77777777" w:rsidR="00F51305" w:rsidRPr="00F33674" w:rsidRDefault="00F51305" w:rsidP="00E41546">
            <w:pPr>
              <w:rPr>
                <w:rFonts w:ascii="Arial Narrow" w:hAnsi="Arial Narrow" w:cs="Arial"/>
                <w:sz w:val="20"/>
                <w:szCs w:val="20"/>
              </w:rPr>
            </w:pPr>
            <w:r w:rsidRPr="00F33674">
              <w:rPr>
                <w:rFonts w:ascii="Arial Narrow" w:hAnsi="Arial Narrow" w:cs="Arial"/>
                <w:sz w:val="20"/>
                <w:szCs w:val="20"/>
              </w:rPr>
              <w:fldChar w:fldCharType="begin">
                <w:ffData>
                  <w:name w:val=""/>
                  <w:enabled/>
                  <w:calcOnExit w:val="0"/>
                  <w:checkBox>
                    <w:sizeAuto/>
                    <w:default w:val="0"/>
                  </w:checkBox>
                </w:ffData>
              </w:fldChar>
            </w:r>
            <w:r w:rsidRPr="00F33674">
              <w:rPr>
                <w:rFonts w:ascii="Arial Narrow" w:hAnsi="Arial Narrow" w:cs="Arial"/>
                <w:sz w:val="20"/>
                <w:szCs w:val="20"/>
              </w:rPr>
              <w:instrText xml:space="preserve"> FORMCHECKBOX </w:instrText>
            </w:r>
            <w:r w:rsidR="00233D13">
              <w:rPr>
                <w:rFonts w:ascii="Arial Narrow" w:hAnsi="Arial Narrow" w:cs="Arial"/>
                <w:sz w:val="20"/>
                <w:szCs w:val="20"/>
              </w:rPr>
            </w:r>
            <w:r w:rsidR="00233D13">
              <w:rPr>
                <w:rFonts w:ascii="Arial Narrow" w:hAnsi="Arial Narrow" w:cs="Arial"/>
                <w:sz w:val="20"/>
                <w:szCs w:val="20"/>
              </w:rPr>
              <w:fldChar w:fldCharType="separate"/>
            </w:r>
            <w:r w:rsidRPr="00F33674">
              <w:rPr>
                <w:rFonts w:ascii="Arial Narrow" w:hAnsi="Arial Narrow" w:cs="Arial"/>
                <w:sz w:val="20"/>
                <w:szCs w:val="20"/>
              </w:rPr>
              <w:fldChar w:fldCharType="end"/>
            </w:r>
            <w:r w:rsidRPr="00F33674">
              <w:rPr>
                <w:rFonts w:ascii="Arial Narrow" w:hAnsi="Arial Narrow" w:cs="Arial"/>
                <w:sz w:val="20"/>
                <w:szCs w:val="20"/>
              </w:rPr>
              <w:t>Unrestricted benefit</w:t>
            </w:r>
          </w:p>
          <w:p w14:paraId="15C0DB75" w14:textId="77777777" w:rsidR="00F51305" w:rsidRPr="00F33674" w:rsidRDefault="00F51305" w:rsidP="00E41546">
            <w:pPr>
              <w:rPr>
                <w:rFonts w:ascii="Arial Narrow" w:hAnsi="Arial Narrow" w:cs="Arial"/>
                <w:i/>
                <w:sz w:val="20"/>
                <w:szCs w:val="20"/>
              </w:rPr>
            </w:pPr>
            <w:r w:rsidRPr="00F33674">
              <w:rPr>
                <w:rFonts w:ascii="Arial Narrow" w:hAnsi="Arial Narrow" w:cs="Arial"/>
                <w:i/>
                <w:sz w:val="20"/>
                <w:szCs w:val="20"/>
              </w:rPr>
              <w:fldChar w:fldCharType="begin">
                <w:ffData>
                  <w:name w:val=""/>
                  <w:enabled/>
                  <w:calcOnExit w:val="0"/>
                  <w:checkBox>
                    <w:sizeAuto/>
                    <w:default w:val="0"/>
                  </w:checkBox>
                </w:ffData>
              </w:fldChar>
            </w:r>
            <w:r w:rsidRPr="00F33674">
              <w:rPr>
                <w:rFonts w:ascii="Arial Narrow" w:hAnsi="Arial Narrow" w:cs="Arial"/>
                <w:i/>
                <w:sz w:val="20"/>
                <w:szCs w:val="20"/>
              </w:rPr>
              <w:instrText xml:space="preserve"> FORMCHECKBOX </w:instrText>
            </w:r>
            <w:r w:rsidR="00233D13">
              <w:rPr>
                <w:rFonts w:ascii="Arial Narrow" w:hAnsi="Arial Narrow" w:cs="Arial"/>
                <w:i/>
                <w:sz w:val="20"/>
                <w:szCs w:val="20"/>
              </w:rPr>
            </w:r>
            <w:r w:rsidR="00233D13">
              <w:rPr>
                <w:rFonts w:ascii="Arial Narrow" w:hAnsi="Arial Narrow" w:cs="Arial"/>
                <w:i/>
                <w:sz w:val="20"/>
                <w:szCs w:val="20"/>
              </w:rPr>
              <w:fldChar w:fldCharType="separate"/>
            </w:r>
            <w:r w:rsidRPr="00F33674">
              <w:rPr>
                <w:rFonts w:ascii="Arial Narrow" w:hAnsi="Arial Narrow" w:cs="Arial"/>
                <w:i/>
                <w:sz w:val="20"/>
                <w:szCs w:val="20"/>
              </w:rPr>
              <w:fldChar w:fldCharType="end"/>
            </w:r>
            <w:r w:rsidRPr="00F33674">
              <w:rPr>
                <w:rFonts w:ascii="Arial Narrow" w:hAnsi="Arial Narrow" w:cs="Arial"/>
                <w:sz w:val="20"/>
                <w:szCs w:val="20"/>
              </w:rPr>
              <w:t>Restricted benefit</w:t>
            </w:r>
          </w:p>
          <w:p w14:paraId="22AFD0FA" w14:textId="77777777" w:rsidR="00F51305" w:rsidRPr="00F33674" w:rsidRDefault="00F51305" w:rsidP="00E41546">
            <w:pPr>
              <w:rPr>
                <w:rFonts w:ascii="Arial Narrow" w:hAnsi="Arial Narrow" w:cs="Arial"/>
                <w:sz w:val="20"/>
                <w:szCs w:val="20"/>
              </w:rPr>
            </w:pPr>
            <w:r w:rsidRPr="00F33674">
              <w:rPr>
                <w:rFonts w:ascii="Arial Narrow" w:hAnsi="Arial Narrow" w:cs="Arial"/>
                <w:sz w:val="20"/>
                <w:szCs w:val="20"/>
              </w:rPr>
              <w:fldChar w:fldCharType="begin">
                <w:ffData>
                  <w:name w:val=""/>
                  <w:enabled/>
                  <w:calcOnExit w:val="0"/>
                  <w:checkBox>
                    <w:sizeAuto/>
                    <w:default w:val="0"/>
                  </w:checkBox>
                </w:ffData>
              </w:fldChar>
            </w:r>
            <w:r w:rsidRPr="00F33674">
              <w:rPr>
                <w:rFonts w:ascii="Arial Narrow" w:hAnsi="Arial Narrow" w:cs="Arial"/>
                <w:sz w:val="20"/>
                <w:szCs w:val="20"/>
              </w:rPr>
              <w:instrText xml:space="preserve"> FORMCHECKBOX </w:instrText>
            </w:r>
            <w:r w:rsidR="00233D13">
              <w:rPr>
                <w:rFonts w:ascii="Arial Narrow" w:hAnsi="Arial Narrow" w:cs="Arial"/>
                <w:sz w:val="20"/>
                <w:szCs w:val="20"/>
              </w:rPr>
            </w:r>
            <w:r w:rsidR="00233D13">
              <w:rPr>
                <w:rFonts w:ascii="Arial Narrow" w:hAnsi="Arial Narrow" w:cs="Arial"/>
                <w:sz w:val="20"/>
                <w:szCs w:val="20"/>
              </w:rPr>
              <w:fldChar w:fldCharType="separate"/>
            </w:r>
            <w:r w:rsidRPr="00F33674">
              <w:rPr>
                <w:rFonts w:ascii="Arial Narrow" w:hAnsi="Arial Narrow" w:cs="Arial"/>
                <w:sz w:val="20"/>
                <w:szCs w:val="20"/>
              </w:rPr>
              <w:fldChar w:fldCharType="end"/>
            </w:r>
            <w:r w:rsidRPr="00F33674">
              <w:rPr>
                <w:rFonts w:ascii="Arial Narrow" w:hAnsi="Arial Narrow" w:cs="Arial"/>
                <w:sz w:val="20"/>
                <w:szCs w:val="20"/>
              </w:rPr>
              <w:t>Authority Required – In Writing</w:t>
            </w:r>
          </w:p>
          <w:p w14:paraId="4DF0C682" w14:textId="77777777" w:rsidR="00F51305" w:rsidRPr="00F33674" w:rsidRDefault="00F51305" w:rsidP="00E41546">
            <w:pPr>
              <w:rPr>
                <w:rFonts w:ascii="Arial Narrow" w:hAnsi="Arial Narrow" w:cs="Arial"/>
                <w:sz w:val="20"/>
                <w:szCs w:val="20"/>
              </w:rPr>
            </w:pPr>
            <w:r w:rsidRPr="00F33674">
              <w:rPr>
                <w:rFonts w:ascii="Arial Narrow" w:hAnsi="Arial Narrow" w:cs="Arial"/>
                <w:sz w:val="20"/>
                <w:szCs w:val="20"/>
              </w:rPr>
              <w:fldChar w:fldCharType="begin">
                <w:ffData>
                  <w:name w:val="Check3"/>
                  <w:enabled/>
                  <w:calcOnExit w:val="0"/>
                  <w:checkBox>
                    <w:sizeAuto/>
                    <w:default w:val="0"/>
                  </w:checkBox>
                </w:ffData>
              </w:fldChar>
            </w:r>
            <w:r w:rsidRPr="00F33674">
              <w:rPr>
                <w:rFonts w:ascii="Arial Narrow" w:hAnsi="Arial Narrow" w:cs="Arial"/>
                <w:sz w:val="20"/>
                <w:szCs w:val="20"/>
              </w:rPr>
              <w:instrText xml:space="preserve"> FORMCHECKBOX </w:instrText>
            </w:r>
            <w:r w:rsidR="00233D13">
              <w:rPr>
                <w:rFonts w:ascii="Arial Narrow" w:hAnsi="Arial Narrow" w:cs="Arial"/>
                <w:sz w:val="20"/>
                <w:szCs w:val="20"/>
              </w:rPr>
            </w:r>
            <w:r w:rsidR="00233D13">
              <w:rPr>
                <w:rFonts w:ascii="Arial Narrow" w:hAnsi="Arial Narrow" w:cs="Arial"/>
                <w:sz w:val="20"/>
                <w:szCs w:val="20"/>
              </w:rPr>
              <w:fldChar w:fldCharType="separate"/>
            </w:r>
            <w:r w:rsidRPr="00F33674">
              <w:rPr>
                <w:rFonts w:ascii="Arial Narrow" w:hAnsi="Arial Narrow" w:cs="Arial"/>
                <w:sz w:val="20"/>
                <w:szCs w:val="20"/>
              </w:rPr>
              <w:fldChar w:fldCharType="end"/>
            </w:r>
            <w:r w:rsidRPr="00F33674">
              <w:rPr>
                <w:rFonts w:ascii="Arial Narrow" w:hAnsi="Arial Narrow" w:cs="Arial"/>
                <w:sz w:val="20"/>
                <w:szCs w:val="20"/>
              </w:rPr>
              <w:t>Authority Required – Telephone/Electronic/Emergency</w:t>
            </w:r>
          </w:p>
          <w:p w14:paraId="28FC5234" w14:textId="77777777" w:rsidR="00F51305" w:rsidRPr="00F33674" w:rsidRDefault="00F51305" w:rsidP="00E41546">
            <w:pPr>
              <w:rPr>
                <w:rFonts w:ascii="Arial Narrow" w:hAnsi="Arial Narrow" w:cs="Arial"/>
                <w:sz w:val="20"/>
                <w:szCs w:val="20"/>
              </w:rPr>
            </w:pPr>
            <w:r w:rsidRPr="00F33674">
              <w:rPr>
                <w:rFonts w:ascii="Arial Narrow" w:hAnsi="Arial Narrow" w:cs="Arial"/>
                <w:sz w:val="20"/>
                <w:szCs w:val="20"/>
              </w:rPr>
              <w:fldChar w:fldCharType="begin">
                <w:ffData>
                  <w:name w:val=""/>
                  <w:enabled/>
                  <w:calcOnExit w:val="0"/>
                  <w:checkBox>
                    <w:sizeAuto/>
                    <w:default w:val="1"/>
                  </w:checkBox>
                </w:ffData>
              </w:fldChar>
            </w:r>
            <w:r w:rsidRPr="00F33674">
              <w:rPr>
                <w:rFonts w:ascii="Arial Narrow" w:hAnsi="Arial Narrow" w:cs="Arial"/>
                <w:sz w:val="20"/>
                <w:szCs w:val="20"/>
              </w:rPr>
              <w:instrText xml:space="preserve"> FORMCHECKBOX </w:instrText>
            </w:r>
            <w:r w:rsidR="00233D13">
              <w:rPr>
                <w:rFonts w:ascii="Arial Narrow" w:hAnsi="Arial Narrow" w:cs="Arial"/>
                <w:sz w:val="20"/>
                <w:szCs w:val="20"/>
              </w:rPr>
            </w:r>
            <w:r w:rsidR="00233D13">
              <w:rPr>
                <w:rFonts w:ascii="Arial Narrow" w:hAnsi="Arial Narrow" w:cs="Arial"/>
                <w:sz w:val="20"/>
                <w:szCs w:val="20"/>
              </w:rPr>
              <w:fldChar w:fldCharType="separate"/>
            </w:r>
            <w:r w:rsidRPr="00F33674">
              <w:rPr>
                <w:rFonts w:ascii="Arial Narrow" w:hAnsi="Arial Narrow" w:cs="Arial"/>
                <w:sz w:val="20"/>
                <w:szCs w:val="20"/>
              </w:rPr>
              <w:fldChar w:fldCharType="end"/>
            </w:r>
            <w:r w:rsidRPr="00F33674">
              <w:rPr>
                <w:rFonts w:ascii="Arial Narrow" w:hAnsi="Arial Narrow" w:cs="Arial"/>
                <w:sz w:val="20"/>
                <w:szCs w:val="20"/>
              </w:rPr>
              <w:t>Streamlined</w:t>
            </w:r>
          </w:p>
        </w:tc>
      </w:tr>
      <w:tr w:rsidR="00F51305" w:rsidRPr="00F33674" w14:paraId="52CFB6FC" w14:textId="77777777" w:rsidTr="00E41546">
        <w:trPr>
          <w:cantSplit/>
          <w:trHeight w:val="360"/>
        </w:trPr>
        <w:tc>
          <w:tcPr>
            <w:tcW w:w="2835" w:type="dxa"/>
            <w:tcBorders>
              <w:top w:val="single" w:sz="4" w:space="0" w:color="auto"/>
              <w:left w:val="single" w:sz="4" w:space="0" w:color="auto"/>
              <w:bottom w:val="single" w:sz="4" w:space="0" w:color="auto"/>
              <w:right w:val="single" w:sz="4" w:space="0" w:color="auto"/>
            </w:tcBorders>
          </w:tcPr>
          <w:p w14:paraId="23A75023" w14:textId="600EC374" w:rsidR="00F51305" w:rsidRPr="00F33674" w:rsidRDefault="00F51305" w:rsidP="00F51305">
            <w:pPr>
              <w:rPr>
                <w:rFonts w:ascii="Arial Narrow" w:hAnsi="Arial Narrow" w:cs="Arial"/>
                <w:b/>
                <w:sz w:val="20"/>
                <w:szCs w:val="20"/>
              </w:rPr>
            </w:pPr>
            <w:r>
              <w:rPr>
                <w:rFonts w:ascii="Arial Narrow" w:hAnsi="Arial Narrow" w:cs="Arial"/>
                <w:b/>
                <w:sz w:val="20"/>
                <w:szCs w:val="20"/>
              </w:rPr>
              <w:t>Treatment phase:</w:t>
            </w:r>
          </w:p>
        </w:tc>
        <w:tc>
          <w:tcPr>
            <w:tcW w:w="6379" w:type="dxa"/>
            <w:tcBorders>
              <w:top w:val="single" w:sz="4" w:space="0" w:color="auto"/>
              <w:left w:val="single" w:sz="4" w:space="0" w:color="auto"/>
              <w:bottom w:val="single" w:sz="4" w:space="0" w:color="auto"/>
              <w:right w:val="single" w:sz="4" w:space="0" w:color="auto"/>
            </w:tcBorders>
          </w:tcPr>
          <w:p w14:paraId="64BA1BF7" w14:textId="057E9684" w:rsidR="00F51305" w:rsidRPr="00F33674" w:rsidRDefault="00F51305" w:rsidP="00F51305">
            <w:pPr>
              <w:jc w:val="left"/>
              <w:rPr>
                <w:rFonts w:ascii="Arial Narrow" w:hAnsi="Arial Narrow" w:cs="Arial"/>
                <w:sz w:val="20"/>
                <w:szCs w:val="20"/>
              </w:rPr>
            </w:pPr>
            <w:r w:rsidRPr="00CB0FCB">
              <w:rPr>
                <w:rFonts w:ascii="Arial Narrow" w:hAnsi="Arial Narrow" w:cs="Arial"/>
                <w:sz w:val="20"/>
                <w:szCs w:val="20"/>
              </w:rPr>
              <w:t>Continuing PBS treatment after 1 June 2020</w:t>
            </w:r>
            <w:r>
              <w:rPr>
                <w:rFonts w:ascii="Arial Narrow" w:hAnsi="Arial Narrow" w:cs="Arial"/>
                <w:sz w:val="20"/>
                <w:szCs w:val="20"/>
              </w:rPr>
              <w:t>.</w:t>
            </w:r>
          </w:p>
        </w:tc>
      </w:tr>
      <w:tr w:rsidR="005E10AF" w:rsidRPr="00F33674" w14:paraId="44BCA476" w14:textId="77777777" w:rsidTr="00E41546">
        <w:trPr>
          <w:cantSplit/>
          <w:trHeight w:val="360"/>
        </w:trPr>
        <w:tc>
          <w:tcPr>
            <w:tcW w:w="2835" w:type="dxa"/>
            <w:tcBorders>
              <w:top w:val="single" w:sz="4" w:space="0" w:color="auto"/>
              <w:left w:val="single" w:sz="4" w:space="0" w:color="auto"/>
              <w:bottom w:val="single" w:sz="4" w:space="0" w:color="auto"/>
              <w:right w:val="single" w:sz="4" w:space="0" w:color="auto"/>
            </w:tcBorders>
          </w:tcPr>
          <w:p w14:paraId="05ABBCBD" w14:textId="77777777" w:rsidR="005E10AF" w:rsidRPr="00F33674" w:rsidRDefault="005E10AF" w:rsidP="005E10AF">
            <w:pPr>
              <w:rPr>
                <w:rFonts w:ascii="Arial Narrow" w:hAnsi="Arial Narrow" w:cs="Arial"/>
                <w:b/>
                <w:sz w:val="20"/>
                <w:szCs w:val="20"/>
              </w:rPr>
            </w:pPr>
            <w:r w:rsidRPr="00F33674">
              <w:rPr>
                <w:rFonts w:ascii="Arial Narrow" w:hAnsi="Arial Narrow" w:cs="Arial"/>
                <w:b/>
                <w:sz w:val="20"/>
                <w:szCs w:val="20"/>
              </w:rPr>
              <w:t>Clinical criteria:</w:t>
            </w:r>
          </w:p>
        </w:tc>
        <w:tc>
          <w:tcPr>
            <w:tcW w:w="6379" w:type="dxa"/>
            <w:tcBorders>
              <w:top w:val="single" w:sz="4" w:space="0" w:color="auto"/>
              <w:left w:val="single" w:sz="4" w:space="0" w:color="auto"/>
              <w:bottom w:val="single" w:sz="4" w:space="0" w:color="auto"/>
              <w:right w:val="single" w:sz="4" w:space="0" w:color="auto"/>
            </w:tcBorders>
          </w:tcPr>
          <w:p w14:paraId="18D1D3F2" w14:textId="163B545D" w:rsidR="005E10AF" w:rsidRPr="00F33674" w:rsidRDefault="005E10AF" w:rsidP="005E10AF">
            <w:pPr>
              <w:jc w:val="left"/>
              <w:rPr>
                <w:rFonts w:ascii="Arial Narrow" w:hAnsi="Arial Narrow" w:cs="Arial"/>
                <w:sz w:val="20"/>
                <w:szCs w:val="20"/>
              </w:rPr>
            </w:pPr>
            <w:r w:rsidRPr="00F33674">
              <w:rPr>
                <w:rFonts w:ascii="Arial Narrow" w:hAnsi="Arial Narrow" w:cs="Arial"/>
                <w:sz w:val="20"/>
                <w:szCs w:val="20"/>
              </w:rPr>
              <w:t xml:space="preserve">[new] </w:t>
            </w:r>
            <w:r w:rsidRPr="00D36BEC">
              <w:rPr>
                <w:rFonts w:ascii="Arial Narrow" w:hAnsi="Arial Narrow" w:cs="Arial"/>
                <w:sz w:val="20"/>
                <w:szCs w:val="20"/>
              </w:rPr>
              <w:t>Patient must have previously received PBS-subsidised treatment with this form of this drug for this condition after 1 June 2020</w:t>
            </w:r>
            <w:r>
              <w:rPr>
                <w:rFonts w:ascii="Arial Narrow" w:hAnsi="Arial Narrow" w:cs="Arial"/>
                <w:sz w:val="20"/>
                <w:szCs w:val="20"/>
              </w:rPr>
              <w:t>.</w:t>
            </w:r>
          </w:p>
        </w:tc>
      </w:tr>
      <w:tr w:rsidR="00F51305" w:rsidRPr="00F33674" w14:paraId="24A04D1B" w14:textId="77777777" w:rsidTr="00E41546">
        <w:trPr>
          <w:cantSplit/>
          <w:trHeight w:val="360"/>
        </w:trPr>
        <w:tc>
          <w:tcPr>
            <w:tcW w:w="2835" w:type="dxa"/>
            <w:tcBorders>
              <w:top w:val="single" w:sz="4" w:space="0" w:color="auto"/>
              <w:left w:val="single" w:sz="4" w:space="0" w:color="auto"/>
              <w:bottom w:val="single" w:sz="4" w:space="0" w:color="auto"/>
              <w:right w:val="single" w:sz="4" w:space="0" w:color="auto"/>
            </w:tcBorders>
          </w:tcPr>
          <w:p w14:paraId="13FE0987" w14:textId="0B8520B0" w:rsidR="00F51305" w:rsidRPr="00F33674" w:rsidRDefault="00F51305" w:rsidP="00F51305">
            <w:pPr>
              <w:rPr>
                <w:rFonts w:ascii="Arial Narrow" w:hAnsi="Arial Narrow" w:cs="Arial"/>
                <w:b/>
                <w:sz w:val="20"/>
                <w:szCs w:val="20"/>
              </w:rPr>
            </w:pPr>
            <w:r w:rsidRPr="00F33674">
              <w:rPr>
                <w:rFonts w:ascii="Arial Narrow" w:hAnsi="Arial Narrow" w:cs="Arial"/>
                <w:b/>
                <w:sz w:val="20"/>
                <w:szCs w:val="20"/>
              </w:rPr>
              <w:t>Prescriber instruction:</w:t>
            </w:r>
          </w:p>
        </w:tc>
        <w:tc>
          <w:tcPr>
            <w:tcW w:w="6379" w:type="dxa"/>
            <w:tcBorders>
              <w:top w:val="single" w:sz="4" w:space="0" w:color="auto"/>
              <w:left w:val="single" w:sz="4" w:space="0" w:color="auto"/>
              <w:bottom w:val="single" w:sz="4" w:space="0" w:color="auto"/>
              <w:right w:val="single" w:sz="4" w:space="0" w:color="auto"/>
            </w:tcBorders>
          </w:tcPr>
          <w:p w14:paraId="1DB92B47" w14:textId="77777777" w:rsidR="00F51305" w:rsidRPr="00CB0FCB" w:rsidRDefault="00F51305" w:rsidP="00F51305">
            <w:pPr>
              <w:jc w:val="left"/>
              <w:rPr>
                <w:rFonts w:ascii="Arial Narrow" w:hAnsi="Arial Narrow" w:cs="Arial"/>
                <w:sz w:val="20"/>
                <w:szCs w:val="20"/>
              </w:rPr>
            </w:pPr>
            <w:r w:rsidRPr="00F33674">
              <w:rPr>
                <w:rFonts w:ascii="Arial Narrow" w:hAnsi="Arial Narrow" w:cs="Arial"/>
                <w:sz w:val="20"/>
                <w:szCs w:val="20"/>
              </w:rPr>
              <w:t xml:space="preserve">[new] </w:t>
            </w:r>
            <w:r w:rsidRPr="00CB0FCB">
              <w:rPr>
                <w:rFonts w:ascii="Arial Narrow" w:hAnsi="Arial Narrow" w:cs="Arial"/>
                <w:sz w:val="20"/>
                <w:szCs w:val="20"/>
              </w:rPr>
              <w:t>Authorities for increased maximum quantities and/or repeats must only be considered for chronic severe disabling pain where the patient has received initial authority approval and the total duration of non-PBS and PBS opioid analgesic treatment:</w:t>
            </w:r>
          </w:p>
          <w:p w14:paraId="63BDF990" w14:textId="77777777" w:rsidR="00F51305" w:rsidRPr="00CB0FCB" w:rsidRDefault="00F51305" w:rsidP="00F51305">
            <w:pPr>
              <w:jc w:val="left"/>
              <w:rPr>
                <w:rFonts w:ascii="Arial Narrow" w:hAnsi="Arial Narrow" w:cs="Arial"/>
                <w:sz w:val="20"/>
                <w:szCs w:val="20"/>
              </w:rPr>
            </w:pPr>
            <w:r w:rsidRPr="00CB0FCB">
              <w:rPr>
                <w:rFonts w:ascii="Arial Narrow" w:hAnsi="Arial Narrow" w:cs="Arial"/>
                <w:sz w:val="20"/>
                <w:szCs w:val="20"/>
              </w:rPr>
              <w:t>(i) is less than 12 months; or</w:t>
            </w:r>
          </w:p>
          <w:p w14:paraId="0A1C010D" w14:textId="77777777" w:rsidR="00F51305" w:rsidRPr="00CB0FCB" w:rsidRDefault="00F51305" w:rsidP="00F51305">
            <w:pPr>
              <w:jc w:val="left"/>
              <w:rPr>
                <w:rFonts w:ascii="Arial Narrow" w:hAnsi="Arial Narrow" w:cs="Arial"/>
                <w:sz w:val="20"/>
                <w:szCs w:val="20"/>
              </w:rPr>
            </w:pPr>
            <w:r w:rsidRPr="00CB0FCB">
              <w:rPr>
                <w:rFonts w:ascii="Arial Narrow" w:hAnsi="Arial Narrow" w:cs="Arial"/>
                <w:sz w:val="20"/>
                <w:szCs w:val="20"/>
              </w:rPr>
              <w:t>(ii) exceeds 12 months and the palliative care patient is unable to have annual pain management review due to their clinical condition; or</w:t>
            </w:r>
          </w:p>
          <w:p w14:paraId="6F610D3C" w14:textId="77777777" w:rsidR="00F51305" w:rsidRPr="00CB0FCB" w:rsidRDefault="00F51305" w:rsidP="00F51305">
            <w:pPr>
              <w:jc w:val="left"/>
              <w:rPr>
                <w:rFonts w:ascii="Arial Narrow" w:hAnsi="Arial Narrow" w:cs="Arial"/>
                <w:sz w:val="20"/>
                <w:szCs w:val="20"/>
              </w:rPr>
            </w:pPr>
            <w:r w:rsidRPr="00CB0FCB">
              <w:rPr>
                <w:rFonts w:ascii="Arial Narrow" w:hAnsi="Arial Narrow" w:cs="Arial"/>
                <w:sz w:val="20"/>
                <w:szCs w:val="20"/>
              </w:rPr>
              <w:t>(iii) exceeds 12 months and the patient's clinical need for continuing opioid treatment has been confirmed through consultation with the patient by another medical practitioner or a palliative care nurse practitioner in the past 12 months; or</w:t>
            </w:r>
          </w:p>
          <w:p w14:paraId="7945BBDE" w14:textId="77777777" w:rsidR="00F51305" w:rsidRDefault="00F51305" w:rsidP="00F51305">
            <w:pPr>
              <w:jc w:val="left"/>
              <w:rPr>
                <w:rFonts w:ascii="Arial Narrow" w:hAnsi="Arial Narrow" w:cs="Arial"/>
                <w:sz w:val="20"/>
                <w:szCs w:val="20"/>
              </w:rPr>
            </w:pPr>
            <w:r w:rsidRPr="00CB0FCB">
              <w:rPr>
                <w:rFonts w:ascii="Arial Narrow" w:hAnsi="Arial Narrow" w:cs="Arial"/>
                <w:sz w:val="20"/>
                <w:szCs w:val="20"/>
              </w:rPr>
              <w:t xml:space="preserve">(iv) </w:t>
            </w:r>
            <w:proofErr w:type="gramStart"/>
            <w:r w:rsidRPr="00CB0FCB">
              <w:rPr>
                <w:rFonts w:ascii="Arial Narrow" w:hAnsi="Arial Narrow" w:cs="Arial"/>
                <w:sz w:val="20"/>
                <w:szCs w:val="20"/>
              </w:rPr>
              <w:t>has</w:t>
            </w:r>
            <w:proofErr w:type="gramEnd"/>
            <w:r w:rsidRPr="00CB0FCB">
              <w:rPr>
                <w:rFonts w:ascii="Arial Narrow" w:hAnsi="Arial Narrow" w:cs="Arial"/>
                <w:sz w:val="20"/>
                <w:szCs w:val="20"/>
              </w:rPr>
              <w:t xml:space="preserve"> exceeded 12 months prior to 1 June 2020 and the patient's pain management and clinical need for continuing opioid treatment has not been confirmed through consultation with the patient by another medical practitioner or a palliative care nurse practitioner in the past 12 months, but is planned in the next 3 months</w:t>
            </w:r>
            <w:r>
              <w:rPr>
                <w:rFonts w:ascii="Arial Narrow" w:hAnsi="Arial Narrow" w:cs="Arial"/>
                <w:sz w:val="20"/>
                <w:szCs w:val="20"/>
              </w:rPr>
              <w:t>.</w:t>
            </w:r>
          </w:p>
          <w:p w14:paraId="03452445" w14:textId="77777777" w:rsidR="00F51305" w:rsidRDefault="00F51305" w:rsidP="00F51305">
            <w:pPr>
              <w:jc w:val="left"/>
              <w:rPr>
                <w:rFonts w:ascii="Arial Narrow" w:hAnsi="Arial Narrow" w:cs="Arial"/>
                <w:sz w:val="20"/>
                <w:szCs w:val="20"/>
              </w:rPr>
            </w:pPr>
          </w:p>
          <w:p w14:paraId="0E8D1ED8" w14:textId="77777777" w:rsidR="00F51305" w:rsidRPr="00F33674" w:rsidRDefault="00F51305" w:rsidP="00F51305">
            <w:pPr>
              <w:jc w:val="left"/>
              <w:rPr>
                <w:rFonts w:ascii="Arial Narrow" w:hAnsi="Arial Narrow" w:cs="Arial"/>
                <w:sz w:val="20"/>
                <w:szCs w:val="20"/>
              </w:rPr>
            </w:pPr>
            <w:r>
              <w:rPr>
                <w:rFonts w:ascii="Arial Narrow" w:hAnsi="Arial Narrow" w:cs="Arial"/>
                <w:sz w:val="20"/>
                <w:szCs w:val="20"/>
              </w:rPr>
              <w:t xml:space="preserve">[new] </w:t>
            </w:r>
            <w:r w:rsidRPr="009F3089">
              <w:rPr>
                <w:rFonts w:ascii="Arial Narrow" w:hAnsi="Arial Narrow" w:cs="Arial"/>
                <w:sz w:val="20"/>
                <w:szCs w:val="20"/>
              </w:rPr>
              <w:t>Palliative care nurses may conduct annual review under this item for the treatment of palliative care patients only.</w:t>
            </w:r>
          </w:p>
          <w:p w14:paraId="56E50BA7" w14:textId="77777777" w:rsidR="00F51305" w:rsidRPr="00F33674" w:rsidRDefault="00F51305" w:rsidP="00F51305">
            <w:pPr>
              <w:jc w:val="left"/>
              <w:rPr>
                <w:rFonts w:ascii="Arial Narrow" w:hAnsi="Arial Narrow" w:cs="Arial"/>
                <w:sz w:val="20"/>
                <w:szCs w:val="20"/>
              </w:rPr>
            </w:pPr>
          </w:p>
          <w:p w14:paraId="2BFCE594" w14:textId="77777777" w:rsidR="00F51305" w:rsidRPr="00F33674" w:rsidRDefault="00F51305" w:rsidP="00F51305">
            <w:pPr>
              <w:jc w:val="left"/>
              <w:rPr>
                <w:rFonts w:ascii="Arial Narrow" w:hAnsi="Arial Narrow" w:cs="Arial"/>
                <w:sz w:val="20"/>
                <w:szCs w:val="20"/>
              </w:rPr>
            </w:pPr>
            <w:r w:rsidRPr="00F33674">
              <w:rPr>
                <w:rFonts w:ascii="Arial Narrow" w:hAnsi="Arial Narrow" w:cs="Arial"/>
                <w:sz w:val="20"/>
                <w:szCs w:val="20"/>
              </w:rPr>
              <w:t>[new] Authority requests extending treatment duration up to 1 month may be requested though the Online PBS Authorities system or by calling Services Australia.</w:t>
            </w:r>
          </w:p>
          <w:p w14:paraId="2000256D" w14:textId="77777777" w:rsidR="00F51305" w:rsidRPr="00F33674" w:rsidRDefault="00F51305" w:rsidP="00F51305">
            <w:pPr>
              <w:jc w:val="left"/>
              <w:rPr>
                <w:rFonts w:ascii="Arial Narrow" w:hAnsi="Arial Narrow" w:cs="Arial"/>
                <w:sz w:val="20"/>
                <w:szCs w:val="20"/>
              </w:rPr>
            </w:pPr>
          </w:p>
          <w:p w14:paraId="0D7D8D3E" w14:textId="40A88517" w:rsidR="00F51305" w:rsidRPr="00F33674" w:rsidRDefault="00F51305" w:rsidP="00F51305">
            <w:pPr>
              <w:jc w:val="left"/>
              <w:rPr>
                <w:rFonts w:ascii="Arial Narrow" w:hAnsi="Arial Narrow" w:cs="Arial"/>
                <w:sz w:val="20"/>
                <w:szCs w:val="20"/>
              </w:rPr>
            </w:pPr>
            <w:r w:rsidRPr="00F33674">
              <w:rPr>
                <w:rFonts w:ascii="Arial Narrow" w:hAnsi="Arial Narrow" w:cs="Arial"/>
                <w:sz w:val="20"/>
                <w:szCs w:val="20"/>
              </w:rPr>
              <w:t xml:space="preserve">Authority requests extending treatment duration beyond 1 month </w:t>
            </w:r>
            <w:r w:rsidRPr="002C1329">
              <w:rPr>
                <w:rFonts w:ascii="Arial Narrow" w:hAnsi="Arial Narrow" w:cs="Arial"/>
                <w:sz w:val="20"/>
                <w:szCs w:val="20"/>
              </w:rPr>
              <w:t>may be requested through the Online PBS Authorities system</w:t>
            </w:r>
            <w:r w:rsidRPr="00F33674">
              <w:rPr>
                <w:rFonts w:ascii="Arial Narrow" w:hAnsi="Arial Narrow" w:cs="Arial"/>
                <w:sz w:val="20"/>
                <w:szCs w:val="20"/>
              </w:rPr>
              <w:t xml:space="preserve"> or in writing only and must not provide a treatment duration exceeding 3 months</w:t>
            </w:r>
            <w:r>
              <w:rPr>
                <w:rFonts w:ascii="Arial Narrow" w:hAnsi="Arial Narrow" w:cs="Arial"/>
                <w:sz w:val="20"/>
                <w:szCs w:val="20"/>
              </w:rPr>
              <w:t xml:space="preserve"> (</w:t>
            </w:r>
            <w:r w:rsidRPr="002C1329">
              <w:rPr>
                <w:rFonts w:ascii="Arial Narrow" w:hAnsi="Arial Narrow" w:cs="Arial"/>
                <w:sz w:val="20"/>
                <w:szCs w:val="20"/>
              </w:rPr>
              <w:t xml:space="preserve">quantity sufficient for up to </w:t>
            </w:r>
            <w:proofErr w:type="gramStart"/>
            <w:r w:rsidRPr="002C1329">
              <w:rPr>
                <w:rFonts w:ascii="Arial Narrow" w:hAnsi="Arial Narrow" w:cs="Arial"/>
                <w:sz w:val="20"/>
                <w:szCs w:val="20"/>
              </w:rPr>
              <w:t>1 month</w:t>
            </w:r>
            <w:proofErr w:type="gramEnd"/>
            <w:r w:rsidRPr="002C1329">
              <w:rPr>
                <w:rFonts w:ascii="Arial Narrow" w:hAnsi="Arial Narrow" w:cs="Arial"/>
                <w:sz w:val="20"/>
                <w:szCs w:val="20"/>
              </w:rPr>
              <w:t xml:space="preserve"> treatment and sufficient repeats)</w:t>
            </w:r>
            <w:r w:rsidRPr="00F33674">
              <w:rPr>
                <w:rFonts w:ascii="Arial Narrow" w:hAnsi="Arial Narrow" w:cs="Arial"/>
                <w:sz w:val="20"/>
                <w:szCs w:val="20"/>
              </w:rPr>
              <w:t>.</w:t>
            </w:r>
          </w:p>
        </w:tc>
      </w:tr>
      <w:tr w:rsidR="00F51305" w:rsidRPr="00F33674" w14:paraId="7A7FAE62" w14:textId="77777777" w:rsidTr="00E41546">
        <w:trPr>
          <w:cantSplit/>
          <w:trHeight w:val="360"/>
        </w:trPr>
        <w:tc>
          <w:tcPr>
            <w:tcW w:w="2835" w:type="dxa"/>
            <w:tcBorders>
              <w:top w:val="single" w:sz="4" w:space="0" w:color="auto"/>
              <w:left w:val="single" w:sz="4" w:space="0" w:color="auto"/>
              <w:bottom w:val="single" w:sz="4" w:space="0" w:color="auto"/>
              <w:right w:val="single" w:sz="4" w:space="0" w:color="auto"/>
            </w:tcBorders>
          </w:tcPr>
          <w:p w14:paraId="34BAC686" w14:textId="77777777" w:rsidR="00F51305" w:rsidRPr="00F33674" w:rsidRDefault="00F51305" w:rsidP="00E41546">
            <w:pPr>
              <w:rPr>
                <w:rFonts w:ascii="Arial Narrow" w:hAnsi="Arial Narrow" w:cs="Arial"/>
                <w:b/>
                <w:sz w:val="20"/>
                <w:szCs w:val="20"/>
              </w:rPr>
            </w:pPr>
            <w:r w:rsidRPr="00F33674">
              <w:rPr>
                <w:rFonts w:ascii="Arial Narrow" w:hAnsi="Arial Narrow" w:cs="Arial"/>
                <w:b/>
                <w:sz w:val="20"/>
                <w:szCs w:val="20"/>
              </w:rPr>
              <w:t>Administrative advice:</w:t>
            </w:r>
          </w:p>
        </w:tc>
        <w:tc>
          <w:tcPr>
            <w:tcW w:w="6379" w:type="dxa"/>
            <w:tcBorders>
              <w:top w:val="single" w:sz="4" w:space="0" w:color="auto"/>
              <w:left w:val="single" w:sz="4" w:space="0" w:color="auto"/>
              <w:bottom w:val="single" w:sz="4" w:space="0" w:color="auto"/>
              <w:right w:val="single" w:sz="4" w:space="0" w:color="auto"/>
            </w:tcBorders>
          </w:tcPr>
          <w:p w14:paraId="7C5EC19E" w14:textId="77777777" w:rsidR="00F51305" w:rsidRPr="00F33674" w:rsidRDefault="00F51305" w:rsidP="00E41546">
            <w:pPr>
              <w:jc w:val="left"/>
              <w:rPr>
                <w:rFonts w:ascii="Arial Narrow" w:hAnsi="Arial Narrow" w:cs="Arial"/>
                <w:sz w:val="20"/>
                <w:szCs w:val="20"/>
              </w:rPr>
            </w:pPr>
            <w:r w:rsidRPr="00F33674">
              <w:rPr>
                <w:rFonts w:ascii="Arial Narrow" w:hAnsi="Arial Narrow" w:cs="Arial"/>
                <w:sz w:val="20"/>
                <w:szCs w:val="20"/>
              </w:rPr>
              <w:t>[new] This treatment is not suitable for ‘as-required’ pain relief.</w:t>
            </w:r>
          </w:p>
          <w:p w14:paraId="5A36BA6A" w14:textId="77777777" w:rsidR="00F51305" w:rsidRPr="00F33674" w:rsidRDefault="00F51305" w:rsidP="00E41546">
            <w:pPr>
              <w:jc w:val="left"/>
              <w:rPr>
                <w:rFonts w:ascii="Arial Narrow" w:hAnsi="Arial Narrow" w:cs="Arial"/>
                <w:sz w:val="20"/>
                <w:szCs w:val="20"/>
              </w:rPr>
            </w:pPr>
          </w:p>
          <w:p w14:paraId="009A63A1" w14:textId="77777777" w:rsidR="00F51305" w:rsidRPr="00F33674" w:rsidRDefault="00F51305" w:rsidP="00E41546">
            <w:pPr>
              <w:jc w:val="left"/>
              <w:rPr>
                <w:rFonts w:ascii="Arial Narrow" w:hAnsi="Arial Narrow" w:cs="Arial"/>
                <w:sz w:val="20"/>
                <w:szCs w:val="20"/>
              </w:rPr>
            </w:pPr>
            <w:r w:rsidRPr="00F33674">
              <w:rPr>
                <w:rFonts w:ascii="Arial Narrow" w:hAnsi="Arial Narrow" w:cs="Arial"/>
                <w:sz w:val="20"/>
                <w:szCs w:val="20"/>
              </w:rPr>
              <w:t xml:space="preserve">[7901] Shared Care Model: For prescribing by nurse practitioners where care of a patient </w:t>
            </w:r>
            <w:proofErr w:type="gramStart"/>
            <w:r w:rsidRPr="00F33674">
              <w:rPr>
                <w:rFonts w:ascii="Arial Narrow" w:hAnsi="Arial Narrow" w:cs="Arial"/>
                <w:sz w:val="20"/>
                <w:szCs w:val="20"/>
              </w:rPr>
              <w:t>is shared</w:t>
            </w:r>
            <w:proofErr w:type="gramEnd"/>
            <w:r w:rsidRPr="00F33674">
              <w:rPr>
                <w:rFonts w:ascii="Arial Narrow" w:hAnsi="Arial Narrow" w:cs="Arial"/>
                <w:sz w:val="20"/>
                <w:szCs w:val="20"/>
              </w:rPr>
              <w:t xml:space="preserve"> between a nurse practitioner and medical practitioner in a formalised arrangement with an agreed management plan. Further information </w:t>
            </w:r>
            <w:proofErr w:type="gramStart"/>
            <w:r w:rsidRPr="00F33674">
              <w:rPr>
                <w:rFonts w:ascii="Arial Narrow" w:hAnsi="Arial Narrow" w:cs="Arial"/>
                <w:sz w:val="20"/>
                <w:szCs w:val="20"/>
              </w:rPr>
              <w:t>can be found</w:t>
            </w:r>
            <w:proofErr w:type="gramEnd"/>
            <w:r w:rsidRPr="00F33674">
              <w:rPr>
                <w:rFonts w:ascii="Arial Narrow" w:hAnsi="Arial Narrow" w:cs="Arial"/>
                <w:sz w:val="20"/>
                <w:szCs w:val="20"/>
              </w:rPr>
              <w:t xml:space="preserve"> in the Explanatory Notes for Nurse Practitioners.</w:t>
            </w:r>
          </w:p>
          <w:p w14:paraId="3DECD947" w14:textId="77777777" w:rsidR="00F51305" w:rsidRPr="00F33674" w:rsidRDefault="00F51305" w:rsidP="00E41546">
            <w:pPr>
              <w:jc w:val="left"/>
              <w:rPr>
                <w:rFonts w:ascii="Arial Narrow" w:hAnsi="Arial Narrow" w:cs="Arial"/>
                <w:sz w:val="20"/>
                <w:szCs w:val="20"/>
              </w:rPr>
            </w:pPr>
          </w:p>
          <w:p w14:paraId="42583EB4" w14:textId="77777777" w:rsidR="00F51305" w:rsidRPr="00F33674" w:rsidRDefault="00F51305" w:rsidP="00E41546">
            <w:pPr>
              <w:jc w:val="left"/>
              <w:rPr>
                <w:rFonts w:ascii="Arial Narrow" w:hAnsi="Arial Narrow" w:cs="Arial"/>
                <w:sz w:val="20"/>
                <w:szCs w:val="20"/>
              </w:rPr>
            </w:pPr>
            <w:r w:rsidRPr="00F33674">
              <w:rPr>
                <w:rFonts w:ascii="Arial Narrow" w:hAnsi="Arial Narrow" w:cs="Arial"/>
                <w:sz w:val="20"/>
                <w:szCs w:val="20"/>
              </w:rPr>
              <w:t xml:space="preserve">[10909] OxyContin modified release tablets </w:t>
            </w:r>
            <w:proofErr w:type="gramStart"/>
            <w:r w:rsidRPr="00F33674">
              <w:rPr>
                <w:rFonts w:ascii="Arial Narrow" w:hAnsi="Arial Narrow" w:cs="Arial"/>
                <w:sz w:val="20"/>
                <w:szCs w:val="20"/>
              </w:rPr>
              <w:t>are intended</w:t>
            </w:r>
            <w:proofErr w:type="gramEnd"/>
            <w:r w:rsidRPr="00F33674">
              <w:rPr>
                <w:rFonts w:ascii="Arial Narrow" w:hAnsi="Arial Narrow" w:cs="Arial"/>
                <w:sz w:val="20"/>
                <w:szCs w:val="20"/>
              </w:rPr>
              <w:t xml:space="preserve"> to be crush-deterrent and to reduce the rapid release of oxycodone upon accidental or intentional misuse.</w:t>
            </w:r>
          </w:p>
          <w:p w14:paraId="4E6A5063" w14:textId="77777777" w:rsidR="00F51305" w:rsidRPr="00F33674" w:rsidRDefault="00F51305" w:rsidP="00E41546">
            <w:pPr>
              <w:jc w:val="left"/>
              <w:rPr>
                <w:rFonts w:ascii="Arial Narrow" w:hAnsi="Arial Narrow" w:cs="Arial"/>
                <w:sz w:val="20"/>
                <w:szCs w:val="20"/>
              </w:rPr>
            </w:pPr>
          </w:p>
          <w:p w14:paraId="5F9ACD5D" w14:textId="77777777" w:rsidR="00F51305" w:rsidRPr="00F33674" w:rsidRDefault="00F51305" w:rsidP="00E41546">
            <w:pPr>
              <w:jc w:val="left"/>
              <w:rPr>
                <w:rFonts w:ascii="Arial Narrow" w:hAnsi="Arial Narrow" w:cs="Arial"/>
                <w:sz w:val="20"/>
                <w:szCs w:val="20"/>
              </w:rPr>
            </w:pPr>
            <w:r w:rsidRPr="00F33674">
              <w:rPr>
                <w:rFonts w:ascii="Arial Narrow" w:hAnsi="Arial Narrow" w:cs="Arial"/>
                <w:sz w:val="20"/>
                <w:szCs w:val="20"/>
              </w:rPr>
              <w:t>[new] Real time online applications for increased maximum quantities/repeats may be made using the Online PBS Authorities system (see www.servicesaustralia.gov.au/organisations/health-professionals/services/medicare/hpos/services/request-authority-using-online-pbs-authorities-hpos)</w:t>
            </w:r>
          </w:p>
          <w:p w14:paraId="50C55C19" w14:textId="77777777" w:rsidR="00F51305" w:rsidRPr="00F33674" w:rsidRDefault="00F51305" w:rsidP="00E41546">
            <w:pPr>
              <w:jc w:val="left"/>
              <w:rPr>
                <w:rFonts w:ascii="Arial Narrow" w:hAnsi="Arial Narrow" w:cs="Arial"/>
                <w:sz w:val="20"/>
                <w:szCs w:val="20"/>
              </w:rPr>
            </w:pPr>
          </w:p>
          <w:p w14:paraId="3E6B19D4" w14:textId="77777777" w:rsidR="00F51305" w:rsidRPr="00F33674" w:rsidRDefault="00F51305" w:rsidP="00E41546">
            <w:pPr>
              <w:jc w:val="left"/>
              <w:rPr>
                <w:rFonts w:ascii="Arial Narrow" w:hAnsi="Arial Narrow" w:cs="Arial"/>
                <w:sz w:val="20"/>
                <w:szCs w:val="20"/>
              </w:rPr>
            </w:pPr>
            <w:r w:rsidRPr="00F33674">
              <w:rPr>
                <w:rFonts w:ascii="Arial Narrow" w:hAnsi="Arial Narrow" w:cs="Arial"/>
                <w:sz w:val="20"/>
                <w:szCs w:val="20"/>
              </w:rPr>
              <w:t>Phone applications for increased maximum quantities/repeats may be made by calling 1800 888 333.</w:t>
            </w:r>
          </w:p>
          <w:p w14:paraId="2DCA9F53" w14:textId="77777777" w:rsidR="00F51305" w:rsidRPr="00F33674" w:rsidRDefault="00F51305" w:rsidP="00E41546">
            <w:pPr>
              <w:jc w:val="left"/>
              <w:rPr>
                <w:rFonts w:ascii="Arial Narrow" w:hAnsi="Arial Narrow" w:cs="Arial"/>
                <w:sz w:val="20"/>
                <w:szCs w:val="20"/>
              </w:rPr>
            </w:pPr>
          </w:p>
          <w:p w14:paraId="514F0DAA" w14:textId="77777777" w:rsidR="00F51305" w:rsidRPr="00F33674" w:rsidRDefault="00F51305" w:rsidP="00E41546">
            <w:pPr>
              <w:jc w:val="left"/>
              <w:rPr>
                <w:rFonts w:ascii="Arial Narrow" w:hAnsi="Arial Narrow" w:cs="Arial"/>
                <w:sz w:val="20"/>
                <w:szCs w:val="20"/>
              </w:rPr>
            </w:pPr>
            <w:r w:rsidRPr="00F33674">
              <w:rPr>
                <w:rFonts w:ascii="Arial Narrow" w:hAnsi="Arial Narrow" w:cs="Arial"/>
                <w:sz w:val="20"/>
                <w:szCs w:val="20"/>
              </w:rPr>
              <w:t>Written authority applications for increased maximum quantities/repeats can be uploaded online through HPOS form upload or mailed to:</w:t>
            </w:r>
          </w:p>
          <w:p w14:paraId="60CC1CC8" w14:textId="77777777" w:rsidR="00F51305" w:rsidRPr="00F33674" w:rsidRDefault="00F51305" w:rsidP="00E41546">
            <w:pPr>
              <w:jc w:val="left"/>
              <w:rPr>
                <w:rFonts w:ascii="Arial Narrow" w:hAnsi="Arial Narrow" w:cs="Arial"/>
                <w:sz w:val="20"/>
                <w:szCs w:val="20"/>
              </w:rPr>
            </w:pPr>
            <w:r w:rsidRPr="00F33674">
              <w:rPr>
                <w:rFonts w:ascii="Arial Narrow" w:hAnsi="Arial Narrow" w:cs="Arial"/>
                <w:sz w:val="20"/>
                <w:szCs w:val="20"/>
              </w:rPr>
              <w:t>Pharmaceutical Benefits Scheme</w:t>
            </w:r>
          </w:p>
          <w:p w14:paraId="1178FF53" w14:textId="77777777" w:rsidR="00F51305" w:rsidRPr="00F33674" w:rsidRDefault="00F51305" w:rsidP="00E41546">
            <w:pPr>
              <w:jc w:val="left"/>
              <w:rPr>
                <w:rFonts w:ascii="Arial Narrow" w:hAnsi="Arial Narrow" w:cs="Arial"/>
                <w:sz w:val="20"/>
                <w:szCs w:val="20"/>
              </w:rPr>
            </w:pPr>
            <w:r w:rsidRPr="00F33674">
              <w:rPr>
                <w:rFonts w:ascii="Arial Narrow" w:hAnsi="Arial Narrow" w:cs="Arial"/>
                <w:sz w:val="20"/>
                <w:szCs w:val="20"/>
              </w:rPr>
              <w:t>Reply Paid 9857</w:t>
            </w:r>
          </w:p>
          <w:p w14:paraId="69E7BE62" w14:textId="77777777" w:rsidR="00F51305" w:rsidRPr="00F33674" w:rsidRDefault="00F51305" w:rsidP="00E41546">
            <w:pPr>
              <w:jc w:val="left"/>
              <w:rPr>
                <w:rFonts w:ascii="Arial Narrow" w:hAnsi="Arial Narrow" w:cs="Arial"/>
                <w:sz w:val="20"/>
                <w:szCs w:val="20"/>
              </w:rPr>
            </w:pPr>
            <w:r w:rsidRPr="00F33674">
              <w:rPr>
                <w:rFonts w:ascii="Arial Narrow" w:hAnsi="Arial Narrow" w:cs="Arial"/>
                <w:sz w:val="20"/>
                <w:szCs w:val="20"/>
              </w:rPr>
              <w:t>[Your capital city]</w:t>
            </w:r>
          </w:p>
        </w:tc>
      </w:tr>
      <w:tr w:rsidR="00F51305" w:rsidRPr="00F33674" w14:paraId="3AFE946C" w14:textId="77777777" w:rsidTr="00E41546">
        <w:trPr>
          <w:cantSplit/>
          <w:trHeight w:val="360"/>
        </w:trPr>
        <w:tc>
          <w:tcPr>
            <w:tcW w:w="2835" w:type="dxa"/>
            <w:tcBorders>
              <w:top w:val="single" w:sz="4" w:space="0" w:color="auto"/>
              <w:left w:val="single" w:sz="4" w:space="0" w:color="auto"/>
              <w:bottom w:val="single" w:sz="4" w:space="0" w:color="auto"/>
              <w:right w:val="single" w:sz="4" w:space="0" w:color="auto"/>
            </w:tcBorders>
          </w:tcPr>
          <w:p w14:paraId="0F51DE50" w14:textId="77777777" w:rsidR="00F51305" w:rsidRPr="00F33674" w:rsidRDefault="00F51305" w:rsidP="00E41546">
            <w:pPr>
              <w:rPr>
                <w:rFonts w:ascii="Arial Narrow" w:hAnsi="Arial Narrow" w:cs="Arial"/>
                <w:b/>
                <w:sz w:val="20"/>
                <w:szCs w:val="20"/>
              </w:rPr>
            </w:pPr>
            <w:r w:rsidRPr="00F33674">
              <w:rPr>
                <w:rFonts w:ascii="Arial Narrow" w:hAnsi="Arial Narrow" w:cs="Arial"/>
                <w:b/>
                <w:sz w:val="20"/>
                <w:szCs w:val="20"/>
              </w:rPr>
              <w:t>Cautions:</w:t>
            </w:r>
          </w:p>
        </w:tc>
        <w:tc>
          <w:tcPr>
            <w:tcW w:w="6379" w:type="dxa"/>
            <w:tcBorders>
              <w:top w:val="single" w:sz="4" w:space="0" w:color="auto"/>
              <w:left w:val="single" w:sz="4" w:space="0" w:color="auto"/>
              <w:bottom w:val="single" w:sz="4" w:space="0" w:color="auto"/>
              <w:right w:val="single" w:sz="4" w:space="0" w:color="auto"/>
            </w:tcBorders>
          </w:tcPr>
          <w:p w14:paraId="52CA6E84" w14:textId="77777777" w:rsidR="00F51305" w:rsidRPr="00F33674" w:rsidRDefault="00F51305" w:rsidP="00E41546">
            <w:pPr>
              <w:jc w:val="left"/>
              <w:rPr>
                <w:rFonts w:ascii="Arial Narrow" w:hAnsi="Arial Narrow" w:cs="Arial"/>
                <w:sz w:val="20"/>
                <w:szCs w:val="20"/>
              </w:rPr>
            </w:pPr>
            <w:r w:rsidRPr="00F33674">
              <w:rPr>
                <w:rFonts w:ascii="Arial Narrow" w:hAnsi="Arial Narrow" w:cs="Arial"/>
                <w:sz w:val="20"/>
                <w:szCs w:val="20"/>
              </w:rPr>
              <w:t>[6986] The risk of drug dependence is high.</w:t>
            </w:r>
          </w:p>
        </w:tc>
      </w:tr>
    </w:tbl>
    <w:p w14:paraId="3F34B004" w14:textId="0F40DE73" w:rsidR="001D7D71" w:rsidRDefault="001D7D71" w:rsidP="001D7D71">
      <w:pPr>
        <w:pStyle w:val="3-BodyText"/>
        <w:numPr>
          <w:ilvl w:val="0"/>
          <w:numId w:val="0"/>
        </w:numPr>
        <w:ind w:left="720" w:hanging="720"/>
      </w:pPr>
    </w:p>
    <w:p w14:paraId="46A2982D" w14:textId="77777777" w:rsidR="001D7D71" w:rsidRDefault="001D7D71">
      <w:pPr>
        <w:jc w:val="left"/>
        <w:rPr>
          <w:rFonts w:asciiTheme="minorHAnsi" w:eastAsiaTheme="minorHAnsi" w:hAnsiTheme="minorHAnsi" w:cstheme="minorBidi"/>
          <w:szCs w:val="22"/>
        </w:rPr>
      </w:pPr>
      <w:r>
        <w:br w:type="page"/>
      </w:r>
    </w:p>
    <w:p w14:paraId="473DF248" w14:textId="41FF80D2" w:rsidR="00F33674" w:rsidRPr="00F33674" w:rsidRDefault="00F33674" w:rsidP="00630FB2">
      <w:pPr>
        <w:pStyle w:val="3-BodyText"/>
      </w:pPr>
      <w:r w:rsidRPr="00F33674">
        <w:lastRenderedPageBreak/>
        <w:t>Amend items:</w:t>
      </w:r>
    </w:p>
    <w:p w14:paraId="2E8490EB" w14:textId="77777777" w:rsidR="00F33674" w:rsidRPr="00F33674" w:rsidRDefault="00F33674" w:rsidP="00F33674">
      <w:pPr>
        <w:keepNext/>
        <w:keepLines/>
        <w:spacing w:before="40"/>
        <w:jc w:val="left"/>
        <w:outlineLvl w:val="2"/>
        <w:rPr>
          <w:rFonts w:asciiTheme="minorHAnsi" w:eastAsiaTheme="majorEastAsia" w:hAnsiTheme="minorHAnsi" w:cstheme="majorBidi"/>
          <w:b/>
          <w:color w:val="000000" w:themeColor="text1"/>
        </w:rPr>
      </w:pPr>
      <w:bookmarkStart w:id="36" w:name="_Toc32300602"/>
      <w:r w:rsidRPr="00F33674">
        <w:rPr>
          <w:rFonts w:asciiTheme="minorHAnsi" w:eastAsiaTheme="majorEastAsia" w:hAnsiTheme="minorHAnsi" w:cstheme="majorBidi"/>
          <w:b/>
          <w:color w:val="000000" w:themeColor="text1"/>
        </w:rPr>
        <w:t xml:space="preserve">Listing 19: Restriction for long-term pain TGA indication in </w:t>
      </w:r>
      <w:proofErr w:type="gramStart"/>
      <w:r w:rsidRPr="00F33674">
        <w:rPr>
          <w:rFonts w:asciiTheme="minorHAnsi" w:eastAsiaTheme="majorEastAsia" w:hAnsiTheme="minorHAnsi" w:cstheme="majorBidi"/>
          <w:b/>
          <w:color w:val="000000" w:themeColor="text1"/>
        </w:rPr>
        <w:t>1</w:t>
      </w:r>
      <w:r w:rsidRPr="00F33674">
        <w:rPr>
          <w:rFonts w:asciiTheme="minorHAnsi" w:eastAsiaTheme="majorEastAsia" w:hAnsiTheme="minorHAnsi" w:cstheme="majorBidi"/>
          <w:b/>
          <w:color w:val="000000" w:themeColor="text1"/>
          <w:vertAlign w:val="superscript"/>
        </w:rPr>
        <w:t>st</w:t>
      </w:r>
      <w:proofErr w:type="gramEnd"/>
      <w:r w:rsidRPr="00F33674">
        <w:rPr>
          <w:rFonts w:asciiTheme="minorHAnsi" w:eastAsiaTheme="majorEastAsia" w:hAnsiTheme="minorHAnsi" w:cstheme="majorBidi"/>
          <w:b/>
          <w:color w:val="000000" w:themeColor="text1"/>
        </w:rPr>
        <w:t xml:space="preserve"> line opioid setting (oxycodone MR tablet – without naloxone – 10 mg, 20 mg, 40 mg and 80 mg):</w:t>
      </w:r>
      <w:bookmarkEnd w:id="36"/>
    </w:p>
    <w:p w14:paraId="2EB85C44" w14:textId="77777777" w:rsidR="00F33674" w:rsidRPr="00F33674" w:rsidRDefault="00F33674" w:rsidP="00F33674">
      <w:pPr>
        <w:jc w:val="left"/>
      </w:pPr>
    </w:p>
    <w:tbl>
      <w:tblPr>
        <w:tblW w:w="9121" w:type="dxa"/>
        <w:tblLook w:val="04A0" w:firstRow="1" w:lastRow="0" w:firstColumn="1" w:lastColumn="0" w:noHBand="0" w:noVBand="1"/>
      </w:tblPr>
      <w:tblGrid>
        <w:gridCol w:w="1283"/>
        <w:gridCol w:w="709"/>
        <w:gridCol w:w="2552"/>
        <w:gridCol w:w="661"/>
        <w:gridCol w:w="615"/>
        <w:gridCol w:w="1324"/>
        <w:gridCol w:w="1977"/>
      </w:tblGrid>
      <w:tr w:rsidR="00F33674" w:rsidRPr="00F33674" w14:paraId="383E7BA3" w14:textId="77777777" w:rsidTr="00F33674">
        <w:trPr>
          <w:trHeight w:val="300"/>
        </w:trPr>
        <w:tc>
          <w:tcPr>
            <w:tcW w:w="1283" w:type="dxa"/>
            <w:tcBorders>
              <w:bottom w:val="single" w:sz="4" w:space="0" w:color="auto"/>
            </w:tcBorders>
            <w:shd w:val="clear" w:color="auto" w:fill="auto"/>
            <w:noWrap/>
            <w:hideMark/>
          </w:tcPr>
          <w:p w14:paraId="71B86ED2"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LI Drug</w:t>
            </w:r>
          </w:p>
        </w:tc>
        <w:tc>
          <w:tcPr>
            <w:tcW w:w="709" w:type="dxa"/>
            <w:tcBorders>
              <w:bottom w:val="single" w:sz="4" w:space="0" w:color="auto"/>
            </w:tcBorders>
            <w:shd w:val="clear" w:color="auto" w:fill="auto"/>
          </w:tcPr>
          <w:p w14:paraId="4B80717D"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Item Code</w:t>
            </w:r>
          </w:p>
        </w:tc>
        <w:tc>
          <w:tcPr>
            <w:tcW w:w="2552" w:type="dxa"/>
            <w:tcBorders>
              <w:bottom w:val="single" w:sz="4" w:space="0" w:color="auto"/>
            </w:tcBorders>
            <w:shd w:val="clear" w:color="auto" w:fill="auto"/>
            <w:noWrap/>
            <w:hideMark/>
          </w:tcPr>
          <w:p w14:paraId="198EA45A"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Legal Instrument Form</w:t>
            </w:r>
          </w:p>
        </w:tc>
        <w:tc>
          <w:tcPr>
            <w:tcW w:w="661" w:type="dxa"/>
            <w:tcBorders>
              <w:bottom w:val="single" w:sz="4" w:space="0" w:color="auto"/>
            </w:tcBorders>
            <w:shd w:val="clear" w:color="auto" w:fill="auto"/>
            <w:noWrap/>
            <w:hideMark/>
          </w:tcPr>
          <w:p w14:paraId="1043BF4E"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Max. Qty</w:t>
            </w:r>
          </w:p>
        </w:tc>
        <w:tc>
          <w:tcPr>
            <w:tcW w:w="615" w:type="dxa"/>
            <w:tcBorders>
              <w:bottom w:val="single" w:sz="4" w:space="0" w:color="auto"/>
            </w:tcBorders>
            <w:shd w:val="clear" w:color="auto" w:fill="auto"/>
            <w:noWrap/>
            <w:hideMark/>
          </w:tcPr>
          <w:p w14:paraId="120EC611"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No. Rpt</w:t>
            </w:r>
          </w:p>
        </w:tc>
        <w:tc>
          <w:tcPr>
            <w:tcW w:w="1324" w:type="dxa"/>
            <w:tcBorders>
              <w:bottom w:val="single" w:sz="4" w:space="0" w:color="auto"/>
            </w:tcBorders>
            <w:shd w:val="clear" w:color="auto" w:fill="auto"/>
            <w:noWrap/>
            <w:hideMark/>
          </w:tcPr>
          <w:p w14:paraId="5BD12C87"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Brand Name</w:t>
            </w:r>
          </w:p>
        </w:tc>
        <w:tc>
          <w:tcPr>
            <w:tcW w:w="1977" w:type="dxa"/>
            <w:tcBorders>
              <w:bottom w:val="single" w:sz="4" w:space="0" w:color="auto"/>
            </w:tcBorders>
            <w:shd w:val="clear" w:color="auto" w:fill="auto"/>
            <w:noWrap/>
            <w:hideMark/>
          </w:tcPr>
          <w:p w14:paraId="02A61349"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Responsible Person</w:t>
            </w:r>
          </w:p>
        </w:tc>
      </w:tr>
      <w:tr w:rsidR="00F33674" w:rsidRPr="00F33674" w14:paraId="5DCCC1A8" w14:textId="77777777" w:rsidTr="00F33674">
        <w:trPr>
          <w:trHeight w:val="300"/>
        </w:trPr>
        <w:tc>
          <w:tcPr>
            <w:tcW w:w="1283" w:type="dxa"/>
            <w:tcBorders>
              <w:top w:val="single" w:sz="4" w:space="0" w:color="auto"/>
            </w:tcBorders>
            <w:shd w:val="clear" w:color="auto" w:fill="auto"/>
            <w:noWrap/>
            <w:hideMark/>
          </w:tcPr>
          <w:p w14:paraId="5019E4D2"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OXYCODONE</w:t>
            </w:r>
          </w:p>
        </w:tc>
        <w:tc>
          <w:tcPr>
            <w:tcW w:w="709" w:type="dxa"/>
            <w:tcBorders>
              <w:top w:val="single" w:sz="4" w:space="0" w:color="auto"/>
            </w:tcBorders>
            <w:shd w:val="clear" w:color="auto" w:fill="auto"/>
          </w:tcPr>
          <w:p w14:paraId="0C6C3D82"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8385H</w:t>
            </w:r>
          </w:p>
        </w:tc>
        <w:tc>
          <w:tcPr>
            <w:tcW w:w="2552" w:type="dxa"/>
            <w:vMerge w:val="restart"/>
            <w:tcBorders>
              <w:top w:val="single" w:sz="4" w:space="0" w:color="auto"/>
            </w:tcBorders>
            <w:shd w:val="clear" w:color="auto" w:fill="auto"/>
            <w:noWrap/>
            <w:hideMark/>
          </w:tcPr>
          <w:p w14:paraId="2F806950"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Tablet containing oxycodone hydrochloride 10 mg (controlled release)</w:t>
            </w:r>
          </w:p>
        </w:tc>
        <w:tc>
          <w:tcPr>
            <w:tcW w:w="661" w:type="dxa"/>
            <w:tcBorders>
              <w:top w:val="single" w:sz="4" w:space="0" w:color="auto"/>
            </w:tcBorders>
            <w:shd w:val="clear" w:color="auto" w:fill="auto"/>
            <w:noWrap/>
            <w:hideMark/>
          </w:tcPr>
          <w:p w14:paraId="6C54E7AB" w14:textId="77777777" w:rsidR="00F33674" w:rsidRPr="00F33674" w:rsidRDefault="00F33674" w:rsidP="00F33674">
            <w:pPr>
              <w:jc w:val="righ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28</w:t>
            </w:r>
          </w:p>
        </w:tc>
        <w:tc>
          <w:tcPr>
            <w:tcW w:w="615" w:type="dxa"/>
            <w:tcBorders>
              <w:top w:val="single" w:sz="4" w:space="0" w:color="auto"/>
            </w:tcBorders>
            <w:shd w:val="clear" w:color="auto" w:fill="auto"/>
            <w:noWrap/>
            <w:hideMark/>
          </w:tcPr>
          <w:p w14:paraId="10488183" w14:textId="77777777" w:rsidR="00F33674" w:rsidRPr="00F33674" w:rsidRDefault="00F33674" w:rsidP="00F33674">
            <w:pPr>
              <w:jc w:val="righ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0</w:t>
            </w:r>
          </w:p>
        </w:tc>
        <w:tc>
          <w:tcPr>
            <w:tcW w:w="1324" w:type="dxa"/>
            <w:tcBorders>
              <w:top w:val="single" w:sz="4" w:space="0" w:color="auto"/>
            </w:tcBorders>
            <w:shd w:val="clear" w:color="auto" w:fill="auto"/>
            <w:noWrap/>
            <w:hideMark/>
          </w:tcPr>
          <w:p w14:paraId="489D31C4"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Novacodone</w:t>
            </w:r>
          </w:p>
        </w:tc>
        <w:tc>
          <w:tcPr>
            <w:tcW w:w="1977" w:type="dxa"/>
            <w:tcBorders>
              <w:top w:val="single" w:sz="4" w:space="0" w:color="auto"/>
            </w:tcBorders>
            <w:shd w:val="clear" w:color="auto" w:fill="auto"/>
            <w:noWrap/>
            <w:hideMark/>
          </w:tcPr>
          <w:p w14:paraId="518B085D"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Sandoz Pty Ltd</w:t>
            </w:r>
          </w:p>
        </w:tc>
      </w:tr>
      <w:tr w:rsidR="00F33674" w:rsidRPr="00F33674" w14:paraId="2D2F4186" w14:textId="77777777" w:rsidTr="00F33674">
        <w:trPr>
          <w:trHeight w:val="300"/>
        </w:trPr>
        <w:tc>
          <w:tcPr>
            <w:tcW w:w="1283" w:type="dxa"/>
            <w:shd w:val="clear" w:color="auto" w:fill="auto"/>
            <w:noWrap/>
          </w:tcPr>
          <w:p w14:paraId="132E3D20" w14:textId="77777777" w:rsidR="00F33674" w:rsidRPr="00F33674" w:rsidRDefault="00F33674" w:rsidP="00F33674">
            <w:pPr>
              <w:jc w:val="left"/>
              <w:rPr>
                <w:rFonts w:ascii="Arial Narrow" w:hAnsi="Arial Narrow" w:cs="Calibri"/>
                <w:color w:val="000000"/>
                <w:sz w:val="20"/>
                <w:szCs w:val="20"/>
                <w:lang w:eastAsia="en-AU"/>
              </w:rPr>
            </w:pPr>
          </w:p>
        </w:tc>
        <w:tc>
          <w:tcPr>
            <w:tcW w:w="709" w:type="dxa"/>
            <w:shd w:val="clear" w:color="auto" w:fill="auto"/>
          </w:tcPr>
          <w:p w14:paraId="6FEBA819" w14:textId="77777777" w:rsidR="00F33674" w:rsidRPr="00F33674" w:rsidRDefault="00F33674" w:rsidP="00F33674">
            <w:pPr>
              <w:jc w:val="left"/>
              <w:rPr>
                <w:rFonts w:ascii="Arial Narrow" w:hAnsi="Arial Narrow" w:cs="Calibri"/>
                <w:color w:val="000000"/>
                <w:sz w:val="20"/>
                <w:szCs w:val="20"/>
                <w:lang w:eastAsia="en-AU"/>
              </w:rPr>
            </w:pPr>
          </w:p>
        </w:tc>
        <w:tc>
          <w:tcPr>
            <w:tcW w:w="2552" w:type="dxa"/>
            <w:vMerge/>
            <w:shd w:val="clear" w:color="auto" w:fill="auto"/>
            <w:noWrap/>
          </w:tcPr>
          <w:p w14:paraId="3E9CBF1E" w14:textId="77777777" w:rsidR="00F33674" w:rsidRPr="00F33674" w:rsidRDefault="00F33674" w:rsidP="00F33674">
            <w:pPr>
              <w:jc w:val="left"/>
              <w:rPr>
                <w:rFonts w:ascii="Arial Narrow" w:hAnsi="Arial Narrow" w:cs="Calibri"/>
                <w:color w:val="000000"/>
                <w:sz w:val="20"/>
                <w:szCs w:val="20"/>
                <w:lang w:eastAsia="en-AU"/>
              </w:rPr>
            </w:pPr>
          </w:p>
        </w:tc>
        <w:tc>
          <w:tcPr>
            <w:tcW w:w="661" w:type="dxa"/>
            <w:shd w:val="clear" w:color="auto" w:fill="auto"/>
            <w:noWrap/>
          </w:tcPr>
          <w:p w14:paraId="1E5CBB71" w14:textId="77777777" w:rsidR="00F33674" w:rsidRPr="00F33674" w:rsidRDefault="00F33674" w:rsidP="00F33674">
            <w:pPr>
              <w:jc w:val="right"/>
              <w:rPr>
                <w:rFonts w:ascii="Arial Narrow" w:hAnsi="Arial Narrow" w:cs="Calibri"/>
                <w:color w:val="000000"/>
                <w:sz w:val="20"/>
                <w:szCs w:val="20"/>
                <w:lang w:eastAsia="en-AU"/>
              </w:rPr>
            </w:pPr>
          </w:p>
        </w:tc>
        <w:tc>
          <w:tcPr>
            <w:tcW w:w="615" w:type="dxa"/>
            <w:shd w:val="clear" w:color="auto" w:fill="auto"/>
            <w:noWrap/>
          </w:tcPr>
          <w:p w14:paraId="668F93D9" w14:textId="77777777" w:rsidR="00F33674" w:rsidRPr="00F33674" w:rsidRDefault="00F33674" w:rsidP="00F33674">
            <w:pPr>
              <w:jc w:val="right"/>
              <w:rPr>
                <w:rFonts w:ascii="Arial Narrow" w:hAnsi="Arial Narrow" w:cs="Calibri"/>
                <w:color w:val="000000"/>
                <w:sz w:val="20"/>
                <w:szCs w:val="20"/>
                <w:lang w:eastAsia="en-AU"/>
              </w:rPr>
            </w:pPr>
          </w:p>
        </w:tc>
        <w:tc>
          <w:tcPr>
            <w:tcW w:w="1324" w:type="dxa"/>
            <w:shd w:val="clear" w:color="auto" w:fill="auto"/>
            <w:noWrap/>
            <w:hideMark/>
          </w:tcPr>
          <w:p w14:paraId="2D27D5B5"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OxyContin</w:t>
            </w:r>
          </w:p>
        </w:tc>
        <w:tc>
          <w:tcPr>
            <w:tcW w:w="1977" w:type="dxa"/>
            <w:shd w:val="clear" w:color="auto" w:fill="auto"/>
            <w:noWrap/>
            <w:hideMark/>
          </w:tcPr>
          <w:p w14:paraId="6C3E4D7A"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Mundipharma Pty Limited</w:t>
            </w:r>
          </w:p>
        </w:tc>
      </w:tr>
      <w:tr w:rsidR="00F33674" w:rsidRPr="00F33674" w14:paraId="04B7765E" w14:textId="77777777" w:rsidTr="00F33674">
        <w:trPr>
          <w:trHeight w:val="300"/>
        </w:trPr>
        <w:tc>
          <w:tcPr>
            <w:tcW w:w="1283" w:type="dxa"/>
            <w:shd w:val="clear" w:color="auto" w:fill="auto"/>
            <w:noWrap/>
          </w:tcPr>
          <w:p w14:paraId="08F1836E" w14:textId="77777777" w:rsidR="00F33674" w:rsidRPr="00F33674" w:rsidRDefault="00F33674" w:rsidP="00F33674">
            <w:pPr>
              <w:jc w:val="left"/>
              <w:rPr>
                <w:rFonts w:ascii="Arial Narrow" w:hAnsi="Arial Narrow" w:cs="Calibri"/>
                <w:color w:val="000000"/>
                <w:sz w:val="20"/>
                <w:szCs w:val="20"/>
                <w:lang w:eastAsia="en-AU"/>
              </w:rPr>
            </w:pPr>
          </w:p>
        </w:tc>
        <w:tc>
          <w:tcPr>
            <w:tcW w:w="709" w:type="dxa"/>
            <w:shd w:val="clear" w:color="auto" w:fill="auto"/>
          </w:tcPr>
          <w:p w14:paraId="344BCCF5" w14:textId="77777777" w:rsidR="00F33674" w:rsidRPr="00F33674" w:rsidRDefault="00F33674" w:rsidP="00F33674">
            <w:pPr>
              <w:jc w:val="left"/>
              <w:rPr>
                <w:rFonts w:ascii="Arial Narrow" w:hAnsi="Arial Narrow" w:cs="Calibri"/>
                <w:color w:val="000000"/>
                <w:sz w:val="20"/>
                <w:szCs w:val="20"/>
                <w:lang w:eastAsia="en-AU"/>
              </w:rPr>
            </w:pPr>
          </w:p>
        </w:tc>
        <w:tc>
          <w:tcPr>
            <w:tcW w:w="2552" w:type="dxa"/>
            <w:vMerge/>
            <w:shd w:val="clear" w:color="auto" w:fill="auto"/>
            <w:noWrap/>
          </w:tcPr>
          <w:p w14:paraId="5B029D1B" w14:textId="77777777" w:rsidR="00F33674" w:rsidRPr="00F33674" w:rsidRDefault="00F33674" w:rsidP="00F33674">
            <w:pPr>
              <w:jc w:val="left"/>
              <w:rPr>
                <w:rFonts w:ascii="Arial Narrow" w:hAnsi="Arial Narrow" w:cs="Calibri"/>
                <w:color w:val="000000"/>
                <w:sz w:val="20"/>
                <w:szCs w:val="20"/>
                <w:lang w:eastAsia="en-AU"/>
              </w:rPr>
            </w:pPr>
          </w:p>
        </w:tc>
        <w:tc>
          <w:tcPr>
            <w:tcW w:w="661" w:type="dxa"/>
            <w:shd w:val="clear" w:color="auto" w:fill="auto"/>
            <w:noWrap/>
          </w:tcPr>
          <w:p w14:paraId="0E52074D" w14:textId="77777777" w:rsidR="00F33674" w:rsidRPr="00F33674" w:rsidRDefault="00F33674" w:rsidP="00F33674">
            <w:pPr>
              <w:jc w:val="right"/>
              <w:rPr>
                <w:rFonts w:ascii="Arial Narrow" w:hAnsi="Arial Narrow" w:cs="Calibri"/>
                <w:color w:val="000000"/>
                <w:sz w:val="20"/>
                <w:szCs w:val="20"/>
                <w:lang w:eastAsia="en-AU"/>
              </w:rPr>
            </w:pPr>
          </w:p>
        </w:tc>
        <w:tc>
          <w:tcPr>
            <w:tcW w:w="615" w:type="dxa"/>
            <w:shd w:val="clear" w:color="auto" w:fill="auto"/>
            <w:noWrap/>
          </w:tcPr>
          <w:p w14:paraId="7BEEDD6D" w14:textId="77777777" w:rsidR="00F33674" w:rsidRPr="00F33674" w:rsidRDefault="00F33674" w:rsidP="00F33674">
            <w:pPr>
              <w:jc w:val="right"/>
              <w:rPr>
                <w:rFonts w:ascii="Arial Narrow" w:hAnsi="Arial Narrow" w:cs="Calibri"/>
                <w:color w:val="000000"/>
                <w:sz w:val="20"/>
                <w:szCs w:val="20"/>
                <w:lang w:eastAsia="en-AU"/>
              </w:rPr>
            </w:pPr>
          </w:p>
        </w:tc>
        <w:tc>
          <w:tcPr>
            <w:tcW w:w="1324" w:type="dxa"/>
            <w:shd w:val="clear" w:color="auto" w:fill="auto"/>
            <w:noWrap/>
            <w:hideMark/>
          </w:tcPr>
          <w:p w14:paraId="15B1913E"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Oxycodone Sandoz</w:t>
            </w:r>
          </w:p>
        </w:tc>
        <w:tc>
          <w:tcPr>
            <w:tcW w:w="1977" w:type="dxa"/>
            <w:shd w:val="clear" w:color="auto" w:fill="auto"/>
            <w:noWrap/>
            <w:hideMark/>
          </w:tcPr>
          <w:p w14:paraId="581DA7B4"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Sandoz Pty Ltd</w:t>
            </w:r>
          </w:p>
        </w:tc>
      </w:tr>
      <w:tr w:rsidR="00F33674" w:rsidRPr="00F33674" w14:paraId="44CE270E" w14:textId="77777777" w:rsidTr="00F33674">
        <w:trPr>
          <w:trHeight w:val="300"/>
        </w:trPr>
        <w:tc>
          <w:tcPr>
            <w:tcW w:w="1283" w:type="dxa"/>
            <w:shd w:val="clear" w:color="auto" w:fill="auto"/>
            <w:noWrap/>
          </w:tcPr>
          <w:p w14:paraId="0D449CB0" w14:textId="77777777" w:rsidR="00F33674" w:rsidRPr="00F33674" w:rsidRDefault="00F33674" w:rsidP="00F33674">
            <w:pPr>
              <w:jc w:val="left"/>
              <w:rPr>
                <w:rFonts w:ascii="Arial Narrow" w:hAnsi="Arial Narrow" w:cs="Calibri"/>
                <w:color w:val="000000"/>
                <w:sz w:val="20"/>
                <w:szCs w:val="20"/>
                <w:lang w:eastAsia="en-AU"/>
              </w:rPr>
            </w:pPr>
          </w:p>
        </w:tc>
        <w:tc>
          <w:tcPr>
            <w:tcW w:w="709" w:type="dxa"/>
            <w:shd w:val="clear" w:color="auto" w:fill="auto"/>
          </w:tcPr>
          <w:p w14:paraId="1C3BC9AE"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8386J</w:t>
            </w:r>
          </w:p>
        </w:tc>
        <w:tc>
          <w:tcPr>
            <w:tcW w:w="2552" w:type="dxa"/>
            <w:vMerge w:val="restart"/>
            <w:shd w:val="clear" w:color="auto" w:fill="auto"/>
            <w:noWrap/>
            <w:hideMark/>
          </w:tcPr>
          <w:p w14:paraId="3CB4E576"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Tablet containing oxycodone hydrochloride 20 mg (controlled release)</w:t>
            </w:r>
          </w:p>
        </w:tc>
        <w:tc>
          <w:tcPr>
            <w:tcW w:w="661" w:type="dxa"/>
            <w:shd w:val="clear" w:color="auto" w:fill="auto"/>
            <w:noWrap/>
            <w:hideMark/>
          </w:tcPr>
          <w:p w14:paraId="02D3C420" w14:textId="77777777" w:rsidR="00F33674" w:rsidRPr="00F33674" w:rsidRDefault="00F33674" w:rsidP="00F33674">
            <w:pPr>
              <w:jc w:val="righ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28</w:t>
            </w:r>
          </w:p>
        </w:tc>
        <w:tc>
          <w:tcPr>
            <w:tcW w:w="615" w:type="dxa"/>
            <w:shd w:val="clear" w:color="auto" w:fill="auto"/>
            <w:noWrap/>
            <w:hideMark/>
          </w:tcPr>
          <w:p w14:paraId="1117B474" w14:textId="77777777" w:rsidR="00F33674" w:rsidRPr="00F33674" w:rsidRDefault="00F33674" w:rsidP="00F33674">
            <w:pPr>
              <w:jc w:val="righ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0</w:t>
            </w:r>
          </w:p>
        </w:tc>
        <w:tc>
          <w:tcPr>
            <w:tcW w:w="1324" w:type="dxa"/>
            <w:shd w:val="clear" w:color="auto" w:fill="auto"/>
            <w:noWrap/>
            <w:hideMark/>
          </w:tcPr>
          <w:p w14:paraId="55727BCA"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Novacodone</w:t>
            </w:r>
          </w:p>
        </w:tc>
        <w:tc>
          <w:tcPr>
            <w:tcW w:w="1977" w:type="dxa"/>
            <w:shd w:val="clear" w:color="auto" w:fill="auto"/>
            <w:noWrap/>
            <w:hideMark/>
          </w:tcPr>
          <w:p w14:paraId="2403E753"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Sandoz Pty Ltd</w:t>
            </w:r>
          </w:p>
        </w:tc>
      </w:tr>
      <w:tr w:rsidR="00F33674" w:rsidRPr="00F33674" w14:paraId="3BCD70B6" w14:textId="77777777" w:rsidTr="00F33674">
        <w:trPr>
          <w:trHeight w:val="300"/>
        </w:trPr>
        <w:tc>
          <w:tcPr>
            <w:tcW w:w="1283" w:type="dxa"/>
            <w:shd w:val="clear" w:color="auto" w:fill="auto"/>
            <w:noWrap/>
          </w:tcPr>
          <w:p w14:paraId="33BD1E00" w14:textId="77777777" w:rsidR="00F33674" w:rsidRPr="00F33674" w:rsidRDefault="00F33674" w:rsidP="00F33674">
            <w:pPr>
              <w:jc w:val="left"/>
              <w:rPr>
                <w:rFonts w:ascii="Arial Narrow" w:hAnsi="Arial Narrow" w:cs="Calibri"/>
                <w:color w:val="000000"/>
                <w:sz w:val="20"/>
                <w:szCs w:val="20"/>
                <w:lang w:eastAsia="en-AU"/>
              </w:rPr>
            </w:pPr>
          </w:p>
        </w:tc>
        <w:tc>
          <w:tcPr>
            <w:tcW w:w="709" w:type="dxa"/>
            <w:shd w:val="clear" w:color="auto" w:fill="auto"/>
          </w:tcPr>
          <w:p w14:paraId="7934BEA3" w14:textId="77777777" w:rsidR="00F33674" w:rsidRPr="00F33674" w:rsidRDefault="00F33674" w:rsidP="00F33674">
            <w:pPr>
              <w:jc w:val="left"/>
              <w:rPr>
                <w:rFonts w:ascii="Arial Narrow" w:hAnsi="Arial Narrow" w:cs="Calibri"/>
                <w:color w:val="000000"/>
                <w:sz w:val="20"/>
                <w:szCs w:val="20"/>
                <w:lang w:eastAsia="en-AU"/>
              </w:rPr>
            </w:pPr>
          </w:p>
        </w:tc>
        <w:tc>
          <w:tcPr>
            <w:tcW w:w="2552" w:type="dxa"/>
            <w:vMerge/>
            <w:shd w:val="clear" w:color="auto" w:fill="auto"/>
            <w:noWrap/>
          </w:tcPr>
          <w:p w14:paraId="77826ED8" w14:textId="77777777" w:rsidR="00F33674" w:rsidRPr="00F33674" w:rsidRDefault="00F33674" w:rsidP="00F33674">
            <w:pPr>
              <w:jc w:val="left"/>
              <w:rPr>
                <w:rFonts w:ascii="Arial Narrow" w:hAnsi="Arial Narrow" w:cs="Calibri"/>
                <w:color w:val="000000"/>
                <w:sz w:val="20"/>
                <w:szCs w:val="20"/>
                <w:lang w:eastAsia="en-AU"/>
              </w:rPr>
            </w:pPr>
          </w:p>
        </w:tc>
        <w:tc>
          <w:tcPr>
            <w:tcW w:w="661" w:type="dxa"/>
            <w:shd w:val="clear" w:color="auto" w:fill="auto"/>
            <w:noWrap/>
          </w:tcPr>
          <w:p w14:paraId="61E34994" w14:textId="77777777" w:rsidR="00F33674" w:rsidRPr="00F33674" w:rsidRDefault="00F33674" w:rsidP="00F33674">
            <w:pPr>
              <w:jc w:val="right"/>
              <w:rPr>
                <w:rFonts w:ascii="Arial Narrow" w:hAnsi="Arial Narrow" w:cs="Calibri"/>
                <w:color w:val="000000"/>
                <w:sz w:val="20"/>
                <w:szCs w:val="20"/>
                <w:lang w:eastAsia="en-AU"/>
              </w:rPr>
            </w:pPr>
          </w:p>
        </w:tc>
        <w:tc>
          <w:tcPr>
            <w:tcW w:w="615" w:type="dxa"/>
            <w:shd w:val="clear" w:color="auto" w:fill="auto"/>
            <w:noWrap/>
          </w:tcPr>
          <w:p w14:paraId="678AAF5F" w14:textId="77777777" w:rsidR="00F33674" w:rsidRPr="00F33674" w:rsidRDefault="00F33674" w:rsidP="00F33674">
            <w:pPr>
              <w:jc w:val="right"/>
              <w:rPr>
                <w:rFonts w:ascii="Arial Narrow" w:hAnsi="Arial Narrow" w:cs="Calibri"/>
                <w:color w:val="000000"/>
                <w:sz w:val="20"/>
                <w:szCs w:val="20"/>
                <w:lang w:eastAsia="en-AU"/>
              </w:rPr>
            </w:pPr>
          </w:p>
        </w:tc>
        <w:tc>
          <w:tcPr>
            <w:tcW w:w="1324" w:type="dxa"/>
            <w:shd w:val="clear" w:color="auto" w:fill="auto"/>
            <w:noWrap/>
            <w:hideMark/>
          </w:tcPr>
          <w:p w14:paraId="4E76ABF9"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OxyContin</w:t>
            </w:r>
          </w:p>
        </w:tc>
        <w:tc>
          <w:tcPr>
            <w:tcW w:w="1977" w:type="dxa"/>
            <w:shd w:val="clear" w:color="auto" w:fill="auto"/>
            <w:noWrap/>
            <w:hideMark/>
          </w:tcPr>
          <w:p w14:paraId="39B04ED7"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Mundipharma Pty Limited</w:t>
            </w:r>
          </w:p>
        </w:tc>
      </w:tr>
      <w:tr w:rsidR="00F33674" w:rsidRPr="00F33674" w14:paraId="5599A33D" w14:textId="77777777" w:rsidTr="00F33674">
        <w:trPr>
          <w:trHeight w:val="300"/>
        </w:trPr>
        <w:tc>
          <w:tcPr>
            <w:tcW w:w="1283" w:type="dxa"/>
            <w:shd w:val="clear" w:color="auto" w:fill="auto"/>
            <w:noWrap/>
          </w:tcPr>
          <w:p w14:paraId="5369D174" w14:textId="77777777" w:rsidR="00F33674" w:rsidRPr="00F33674" w:rsidRDefault="00F33674" w:rsidP="00F33674">
            <w:pPr>
              <w:jc w:val="left"/>
              <w:rPr>
                <w:rFonts w:ascii="Arial Narrow" w:hAnsi="Arial Narrow" w:cs="Calibri"/>
                <w:color w:val="000000"/>
                <w:sz w:val="20"/>
                <w:szCs w:val="20"/>
                <w:lang w:eastAsia="en-AU"/>
              </w:rPr>
            </w:pPr>
          </w:p>
        </w:tc>
        <w:tc>
          <w:tcPr>
            <w:tcW w:w="709" w:type="dxa"/>
            <w:shd w:val="clear" w:color="auto" w:fill="auto"/>
          </w:tcPr>
          <w:p w14:paraId="1D953917" w14:textId="77777777" w:rsidR="00F33674" w:rsidRPr="00F33674" w:rsidRDefault="00F33674" w:rsidP="00F33674">
            <w:pPr>
              <w:jc w:val="left"/>
              <w:rPr>
                <w:rFonts w:ascii="Arial Narrow" w:hAnsi="Arial Narrow" w:cs="Calibri"/>
                <w:color w:val="000000"/>
                <w:sz w:val="20"/>
                <w:szCs w:val="20"/>
                <w:lang w:eastAsia="en-AU"/>
              </w:rPr>
            </w:pPr>
          </w:p>
        </w:tc>
        <w:tc>
          <w:tcPr>
            <w:tcW w:w="2552" w:type="dxa"/>
            <w:vMerge/>
            <w:shd w:val="clear" w:color="auto" w:fill="auto"/>
            <w:noWrap/>
          </w:tcPr>
          <w:p w14:paraId="00BBFB0E" w14:textId="77777777" w:rsidR="00F33674" w:rsidRPr="00F33674" w:rsidRDefault="00F33674" w:rsidP="00F33674">
            <w:pPr>
              <w:jc w:val="left"/>
              <w:rPr>
                <w:rFonts w:ascii="Arial Narrow" w:hAnsi="Arial Narrow" w:cs="Calibri"/>
                <w:color w:val="000000"/>
                <w:sz w:val="20"/>
                <w:szCs w:val="20"/>
                <w:lang w:eastAsia="en-AU"/>
              </w:rPr>
            </w:pPr>
          </w:p>
        </w:tc>
        <w:tc>
          <w:tcPr>
            <w:tcW w:w="661" w:type="dxa"/>
            <w:shd w:val="clear" w:color="auto" w:fill="auto"/>
            <w:noWrap/>
          </w:tcPr>
          <w:p w14:paraId="469AF771" w14:textId="77777777" w:rsidR="00F33674" w:rsidRPr="00F33674" w:rsidRDefault="00F33674" w:rsidP="00F33674">
            <w:pPr>
              <w:jc w:val="right"/>
              <w:rPr>
                <w:rFonts w:ascii="Arial Narrow" w:hAnsi="Arial Narrow" w:cs="Calibri"/>
                <w:color w:val="000000"/>
                <w:sz w:val="20"/>
                <w:szCs w:val="20"/>
                <w:lang w:eastAsia="en-AU"/>
              </w:rPr>
            </w:pPr>
          </w:p>
        </w:tc>
        <w:tc>
          <w:tcPr>
            <w:tcW w:w="615" w:type="dxa"/>
            <w:shd w:val="clear" w:color="auto" w:fill="auto"/>
            <w:noWrap/>
          </w:tcPr>
          <w:p w14:paraId="42137C19" w14:textId="77777777" w:rsidR="00F33674" w:rsidRPr="00F33674" w:rsidRDefault="00F33674" w:rsidP="00F33674">
            <w:pPr>
              <w:jc w:val="right"/>
              <w:rPr>
                <w:rFonts w:ascii="Arial Narrow" w:hAnsi="Arial Narrow" w:cs="Calibri"/>
                <w:color w:val="000000"/>
                <w:sz w:val="20"/>
                <w:szCs w:val="20"/>
                <w:lang w:eastAsia="en-AU"/>
              </w:rPr>
            </w:pPr>
          </w:p>
        </w:tc>
        <w:tc>
          <w:tcPr>
            <w:tcW w:w="1324" w:type="dxa"/>
            <w:shd w:val="clear" w:color="auto" w:fill="auto"/>
            <w:noWrap/>
            <w:hideMark/>
          </w:tcPr>
          <w:p w14:paraId="008CAC6B"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Oxycodone Sandoz</w:t>
            </w:r>
          </w:p>
        </w:tc>
        <w:tc>
          <w:tcPr>
            <w:tcW w:w="1977" w:type="dxa"/>
            <w:shd w:val="clear" w:color="auto" w:fill="auto"/>
            <w:noWrap/>
            <w:hideMark/>
          </w:tcPr>
          <w:p w14:paraId="2FBF367A"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Sandoz Pty Ltd</w:t>
            </w:r>
          </w:p>
        </w:tc>
      </w:tr>
      <w:tr w:rsidR="00F33674" w:rsidRPr="00F33674" w14:paraId="7E4BCE25" w14:textId="77777777" w:rsidTr="00F33674">
        <w:trPr>
          <w:trHeight w:val="300"/>
        </w:trPr>
        <w:tc>
          <w:tcPr>
            <w:tcW w:w="1283" w:type="dxa"/>
            <w:shd w:val="clear" w:color="auto" w:fill="auto"/>
            <w:noWrap/>
          </w:tcPr>
          <w:p w14:paraId="021833FE" w14:textId="77777777" w:rsidR="00F33674" w:rsidRPr="00F33674" w:rsidRDefault="00F33674" w:rsidP="00F33674">
            <w:pPr>
              <w:jc w:val="left"/>
              <w:rPr>
                <w:rFonts w:ascii="Arial Narrow" w:hAnsi="Arial Narrow" w:cs="Calibri"/>
                <w:color w:val="000000"/>
                <w:sz w:val="20"/>
                <w:szCs w:val="20"/>
                <w:lang w:eastAsia="en-AU"/>
              </w:rPr>
            </w:pPr>
          </w:p>
        </w:tc>
        <w:tc>
          <w:tcPr>
            <w:tcW w:w="709" w:type="dxa"/>
            <w:shd w:val="clear" w:color="auto" w:fill="auto"/>
          </w:tcPr>
          <w:p w14:paraId="758F4461"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8387K</w:t>
            </w:r>
          </w:p>
        </w:tc>
        <w:tc>
          <w:tcPr>
            <w:tcW w:w="2552" w:type="dxa"/>
            <w:vMerge w:val="restart"/>
            <w:shd w:val="clear" w:color="auto" w:fill="auto"/>
            <w:noWrap/>
            <w:hideMark/>
          </w:tcPr>
          <w:p w14:paraId="143F246B"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Tablet containing oxycodone hydrochloride 40 mg (controlled release)</w:t>
            </w:r>
          </w:p>
        </w:tc>
        <w:tc>
          <w:tcPr>
            <w:tcW w:w="661" w:type="dxa"/>
            <w:shd w:val="clear" w:color="auto" w:fill="auto"/>
            <w:noWrap/>
            <w:hideMark/>
          </w:tcPr>
          <w:p w14:paraId="5564EBEB" w14:textId="77777777" w:rsidR="00F33674" w:rsidRPr="00F33674" w:rsidRDefault="00F33674" w:rsidP="00F33674">
            <w:pPr>
              <w:jc w:val="righ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28</w:t>
            </w:r>
          </w:p>
        </w:tc>
        <w:tc>
          <w:tcPr>
            <w:tcW w:w="615" w:type="dxa"/>
            <w:shd w:val="clear" w:color="auto" w:fill="auto"/>
            <w:noWrap/>
            <w:hideMark/>
          </w:tcPr>
          <w:p w14:paraId="1BBB886A" w14:textId="77777777" w:rsidR="00F33674" w:rsidRPr="00F33674" w:rsidRDefault="00F33674" w:rsidP="00F33674">
            <w:pPr>
              <w:jc w:val="righ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0</w:t>
            </w:r>
          </w:p>
        </w:tc>
        <w:tc>
          <w:tcPr>
            <w:tcW w:w="1324" w:type="dxa"/>
            <w:shd w:val="clear" w:color="auto" w:fill="auto"/>
            <w:noWrap/>
            <w:hideMark/>
          </w:tcPr>
          <w:p w14:paraId="046D0F85"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Novacodone</w:t>
            </w:r>
          </w:p>
        </w:tc>
        <w:tc>
          <w:tcPr>
            <w:tcW w:w="1977" w:type="dxa"/>
            <w:shd w:val="clear" w:color="auto" w:fill="auto"/>
            <w:noWrap/>
            <w:hideMark/>
          </w:tcPr>
          <w:p w14:paraId="66F91FF4"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Sandoz Pty Ltd</w:t>
            </w:r>
          </w:p>
        </w:tc>
      </w:tr>
      <w:tr w:rsidR="00F33674" w:rsidRPr="00F33674" w14:paraId="5F2686F1" w14:textId="77777777" w:rsidTr="00F33674">
        <w:trPr>
          <w:trHeight w:val="300"/>
        </w:trPr>
        <w:tc>
          <w:tcPr>
            <w:tcW w:w="1283" w:type="dxa"/>
            <w:shd w:val="clear" w:color="auto" w:fill="auto"/>
            <w:noWrap/>
          </w:tcPr>
          <w:p w14:paraId="3D3060F8" w14:textId="77777777" w:rsidR="00F33674" w:rsidRPr="00F33674" w:rsidRDefault="00F33674" w:rsidP="00F33674">
            <w:pPr>
              <w:jc w:val="left"/>
              <w:rPr>
                <w:rFonts w:ascii="Arial Narrow" w:hAnsi="Arial Narrow" w:cs="Calibri"/>
                <w:color w:val="000000"/>
                <w:sz w:val="20"/>
                <w:szCs w:val="20"/>
                <w:lang w:eastAsia="en-AU"/>
              </w:rPr>
            </w:pPr>
          </w:p>
        </w:tc>
        <w:tc>
          <w:tcPr>
            <w:tcW w:w="709" w:type="dxa"/>
            <w:shd w:val="clear" w:color="auto" w:fill="auto"/>
          </w:tcPr>
          <w:p w14:paraId="0404E9EE" w14:textId="77777777" w:rsidR="00F33674" w:rsidRPr="00F33674" w:rsidRDefault="00F33674" w:rsidP="00F33674">
            <w:pPr>
              <w:jc w:val="left"/>
              <w:rPr>
                <w:rFonts w:ascii="Arial Narrow" w:hAnsi="Arial Narrow" w:cs="Calibri"/>
                <w:color w:val="000000"/>
                <w:sz w:val="20"/>
                <w:szCs w:val="20"/>
                <w:lang w:eastAsia="en-AU"/>
              </w:rPr>
            </w:pPr>
          </w:p>
        </w:tc>
        <w:tc>
          <w:tcPr>
            <w:tcW w:w="2552" w:type="dxa"/>
            <w:vMerge/>
            <w:shd w:val="clear" w:color="auto" w:fill="auto"/>
            <w:noWrap/>
          </w:tcPr>
          <w:p w14:paraId="4B8F0F26" w14:textId="77777777" w:rsidR="00F33674" w:rsidRPr="00F33674" w:rsidRDefault="00F33674" w:rsidP="00F33674">
            <w:pPr>
              <w:jc w:val="left"/>
              <w:rPr>
                <w:rFonts w:ascii="Arial Narrow" w:hAnsi="Arial Narrow" w:cs="Calibri"/>
                <w:color w:val="000000"/>
                <w:sz w:val="20"/>
                <w:szCs w:val="20"/>
                <w:lang w:eastAsia="en-AU"/>
              </w:rPr>
            </w:pPr>
          </w:p>
        </w:tc>
        <w:tc>
          <w:tcPr>
            <w:tcW w:w="661" w:type="dxa"/>
            <w:shd w:val="clear" w:color="auto" w:fill="auto"/>
            <w:noWrap/>
          </w:tcPr>
          <w:p w14:paraId="4A450DC7" w14:textId="77777777" w:rsidR="00F33674" w:rsidRPr="00F33674" w:rsidRDefault="00F33674" w:rsidP="00F33674">
            <w:pPr>
              <w:jc w:val="right"/>
              <w:rPr>
                <w:rFonts w:ascii="Arial Narrow" w:hAnsi="Arial Narrow" w:cs="Calibri"/>
                <w:color w:val="000000"/>
                <w:sz w:val="20"/>
                <w:szCs w:val="20"/>
                <w:lang w:eastAsia="en-AU"/>
              </w:rPr>
            </w:pPr>
          </w:p>
        </w:tc>
        <w:tc>
          <w:tcPr>
            <w:tcW w:w="615" w:type="dxa"/>
            <w:shd w:val="clear" w:color="auto" w:fill="auto"/>
            <w:noWrap/>
          </w:tcPr>
          <w:p w14:paraId="562E777D" w14:textId="77777777" w:rsidR="00F33674" w:rsidRPr="00F33674" w:rsidRDefault="00F33674" w:rsidP="00F33674">
            <w:pPr>
              <w:jc w:val="right"/>
              <w:rPr>
                <w:rFonts w:ascii="Arial Narrow" w:hAnsi="Arial Narrow" w:cs="Calibri"/>
                <w:color w:val="000000"/>
                <w:sz w:val="20"/>
                <w:szCs w:val="20"/>
                <w:lang w:eastAsia="en-AU"/>
              </w:rPr>
            </w:pPr>
          </w:p>
        </w:tc>
        <w:tc>
          <w:tcPr>
            <w:tcW w:w="1324" w:type="dxa"/>
            <w:shd w:val="clear" w:color="auto" w:fill="auto"/>
            <w:noWrap/>
            <w:hideMark/>
          </w:tcPr>
          <w:p w14:paraId="4FAADB57"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OxyContin</w:t>
            </w:r>
          </w:p>
        </w:tc>
        <w:tc>
          <w:tcPr>
            <w:tcW w:w="1977" w:type="dxa"/>
            <w:shd w:val="clear" w:color="auto" w:fill="auto"/>
            <w:noWrap/>
            <w:hideMark/>
          </w:tcPr>
          <w:p w14:paraId="68AD65C8"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Mundipharma Pty Limited</w:t>
            </w:r>
          </w:p>
        </w:tc>
      </w:tr>
      <w:tr w:rsidR="00F33674" w:rsidRPr="00F33674" w14:paraId="3D0EE9FF" w14:textId="77777777" w:rsidTr="00F33674">
        <w:trPr>
          <w:trHeight w:val="300"/>
        </w:trPr>
        <w:tc>
          <w:tcPr>
            <w:tcW w:w="1283" w:type="dxa"/>
            <w:shd w:val="clear" w:color="auto" w:fill="auto"/>
            <w:noWrap/>
          </w:tcPr>
          <w:p w14:paraId="6413AADC" w14:textId="77777777" w:rsidR="00F33674" w:rsidRPr="00F33674" w:rsidRDefault="00F33674" w:rsidP="00F33674">
            <w:pPr>
              <w:jc w:val="left"/>
              <w:rPr>
                <w:rFonts w:ascii="Arial Narrow" w:hAnsi="Arial Narrow" w:cs="Calibri"/>
                <w:color w:val="000000"/>
                <w:sz w:val="20"/>
                <w:szCs w:val="20"/>
                <w:lang w:eastAsia="en-AU"/>
              </w:rPr>
            </w:pPr>
          </w:p>
        </w:tc>
        <w:tc>
          <w:tcPr>
            <w:tcW w:w="709" w:type="dxa"/>
            <w:shd w:val="clear" w:color="auto" w:fill="auto"/>
          </w:tcPr>
          <w:p w14:paraId="618E958F" w14:textId="77777777" w:rsidR="00F33674" w:rsidRPr="00F33674" w:rsidRDefault="00F33674" w:rsidP="00F33674">
            <w:pPr>
              <w:jc w:val="left"/>
              <w:rPr>
                <w:rFonts w:ascii="Arial Narrow" w:hAnsi="Arial Narrow" w:cs="Calibri"/>
                <w:color w:val="000000"/>
                <w:sz w:val="20"/>
                <w:szCs w:val="20"/>
                <w:lang w:eastAsia="en-AU"/>
              </w:rPr>
            </w:pPr>
          </w:p>
        </w:tc>
        <w:tc>
          <w:tcPr>
            <w:tcW w:w="2552" w:type="dxa"/>
            <w:vMerge/>
            <w:shd w:val="clear" w:color="auto" w:fill="auto"/>
            <w:noWrap/>
          </w:tcPr>
          <w:p w14:paraId="360C6E69" w14:textId="77777777" w:rsidR="00F33674" w:rsidRPr="00F33674" w:rsidRDefault="00F33674" w:rsidP="00F33674">
            <w:pPr>
              <w:jc w:val="left"/>
              <w:rPr>
                <w:rFonts w:ascii="Arial Narrow" w:hAnsi="Arial Narrow" w:cs="Calibri"/>
                <w:color w:val="000000"/>
                <w:sz w:val="20"/>
                <w:szCs w:val="20"/>
                <w:lang w:eastAsia="en-AU"/>
              </w:rPr>
            </w:pPr>
          </w:p>
        </w:tc>
        <w:tc>
          <w:tcPr>
            <w:tcW w:w="661" w:type="dxa"/>
            <w:shd w:val="clear" w:color="auto" w:fill="auto"/>
            <w:noWrap/>
          </w:tcPr>
          <w:p w14:paraId="15F4755C" w14:textId="77777777" w:rsidR="00F33674" w:rsidRPr="00F33674" w:rsidRDefault="00F33674" w:rsidP="00F33674">
            <w:pPr>
              <w:jc w:val="right"/>
              <w:rPr>
                <w:rFonts w:ascii="Arial Narrow" w:hAnsi="Arial Narrow" w:cs="Calibri"/>
                <w:color w:val="000000"/>
                <w:sz w:val="20"/>
                <w:szCs w:val="20"/>
                <w:lang w:eastAsia="en-AU"/>
              </w:rPr>
            </w:pPr>
          </w:p>
        </w:tc>
        <w:tc>
          <w:tcPr>
            <w:tcW w:w="615" w:type="dxa"/>
            <w:shd w:val="clear" w:color="auto" w:fill="auto"/>
            <w:noWrap/>
          </w:tcPr>
          <w:p w14:paraId="5E46FB46" w14:textId="77777777" w:rsidR="00F33674" w:rsidRPr="00F33674" w:rsidRDefault="00F33674" w:rsidP="00F33674">
            <w:pPr>
              <w:jc w:val="right"/>
              <w:rPr>
                <w:rFonts w:ascii="Arial Narrow" w:hAnsi="Arial Narrow" w:cs="Calibri"/>
                <w:color w:val="000000"/>
                <w:sz w:val="20"/>
                <w:szCs w:val="20"/>
                <w:lang w:eastAsia="en-AU"/>
              </w:rPr>
            </w:pPr>
          </w:p>
        </w:tc>
        <w:tc>
          <w:tcPr>
            <w:tcW w:w="1324" w:type="dxa"/>
            <w:shd w:val="clear" w:color="auto" w:fill="auto"/>
            <w:noWrap/>
            <w:hideMark/>
          </w:tcPr>
          <w:p w14:paraId="642296C0"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Oxycodone Sandoz</w:t>
            </w:r>
          </w:p>
        </w:tc>
        <w:tc>
          <w:tcPr>
            <w:tcW w:w="1977" w:type="dxa"/>
            <w:shd w:val="clear" w:color="auto" w:fill="auto"/>
            <w:noWrap/>
            <w:hideMark/>
          </w:tcPr>
          <w:p w14:paraId="1DFE3A4A"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Sandoz Pty Ltd</w:t>
            </w:r>
          </w:p>
        </w:tc>
      </w:tr>
      <w:tr w:rsidR="00F33674" w:rsidRPr="00F33674" w14:paraId="6C463089" w14:textId="77777777" w:rsidTr="00F33674">
        <w:trPr>
          <w:trHeight w:val="300"/>
        </w:trPr>
        <w:tc>
          <w:tcPr>
            <w:tcW w:w="1283" w:type="dxa"/>
            <w:shd w:val="clear" w:color="auto" w:fill="auto"/>
            <w:noWrap/>
          </w:tcPr>
          <w:p w14:paraId="0033AF90" w14:textId="77777777" w:rsidR="00F33674" w:rsidRPr="00F33674" w:rsidRDefault="00F33674" w:rsidP="00F33674">
            <w:pPr>
              <w:jc w:val="left"/>
              <w:rPr>
                <w:rFonts w:ascii="Arial Narrow" w:hAnsi="Arial Narrow" w:cs="Calibri"/>
                <w:color w:val="000000"/>
                <w:sz w:val="20"/>
                <w:szCs w:val="20"/>
                <w:lang w:eastAsia="en-AU"/>
              </w:rPr>
            </w:pPr>
          </w:p>
        </w:tc>
        <w:tc>
          <w:tcPr>
            <w:tcW w:w="709" w:type="dxa"/>
            <w:shd w:val="clear" w:color="auto" w:fill="auto"/>
          </w:tcPr>
          <w:p w14:paraId="59E2C535"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8388L</w:t>
            </w:r>
          </w:p>
        </w:tc>
        <w:tc>
          <w:tcPr>
            <w:tcW w:w="2552" w:type="dxa"/>
            <w:vMerge w:val="restart"/>
            <w:shd w:val="clear" w:color="auto" w:fill="auto"/>
            <w:noWrap/>
            <w:hideMark/>
          </w:tcPr>
          <w:p w14:paraId="6BB46E4D"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Tablet containing oxycodone hydrochloride 80 mg (controlled release)</w:t>
            </w:r>
          </w:p>
        </w:tc>
        <w:tc>
          <w:tcPr>
            <w:tcW w:w="661" w:type="dxa"/>
            <w:shd w:val="clear" w:color="auto" w:fill="auto"/>
            <w:noWrap/>
            <w:hideMark/>
          </w:tcPr>
          <w:p w14:paraId="03F8655B" w14:textId="77777777" w:rsidR="00F33674" w:rsidRPr="00F33674" w:rsidRDefault="00F33674" w:rsidP="00F33674">
            <w:pPr>
              <w:jc w:val="righ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28</w:t>
            </w:r>
          </w:p>
        </w:tc>
        <w:tc>
          <w:tcPr>
            <w:tcW w:w="615" w:type="dxa"/>
            <w:shd w:val="clear" w:color="auto" w:fill="auto"/>
            <w:noWrap/>
            <w:hideMark/>
          </w:tcPr>
          <w:p w14:paraId="6B54FE64" w14:textId="77777777" w:rsidR="00F33674" w:rsidRPr="00F33674" w:rsidRDefault="00F33674" w:rsidP="00F33674">
            <w:pPr>
              <w:jc w:val="righ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0</w:t>
            </w:r>
          </w:p>
        </w:tc>
        <w:tc>
          <w:tcPr>
            <w:tcW w:w="1324" w:type="dxa"/>
            <w:shd w:val="clear" w:color="auto" w:fill="auto"/>
            <w:noWrap/>
            <w:hideMark/>
          </w:tcPr>
          <w:p w14:paraId="36B03438"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Novacodone</w:t>
            </w:r>
          </w:p>
        </w:tc>
        <w:tc>
          <w:tcPr>
            <w:tcW w:w="1977" w:type="dxa"/>
            <w:shd w:val="clear" w:color="auto" w:fill="auto"/>
            <w:noWrap/>
            <w:hideMark/>
          </w:tcPr>
          <w:p w14:paraId="20D025C8"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Sandoz Pty Ltd</w:t>
            </w:r>
          </w:p>
        </w:tc>
      </w:tr>
      <w:tr w:rsidR="00F33674" w:rsidRPr="00F33674" w14:paraId="0E9B049A" w14:textId="77777777" w:rsidTr="00F33674">
        <w:trPr>
          <w:trHeight w:val="300"/>
        </w:trPr>
        <w:tc>
          <w:tcPr>
            <w:tcW w:w="1283" w:type="dxa"/>
            <w:shd w:val="clear" w:color="auto" w:fill="auto"/>
            <w:noWrap/>
          </w:tcPr>
          <w:p w14:paraId="5BC0F187" w14:textId="77777777" w:rsidR="00F33674" w:rsidRPr="00F33674" w:rsidRDefault="00F33674" w:rsidP="00F33674">
            <w:pPr>
              <w:jc w:val="left"/>
              <w:rPr>
                <w:rFonts w:ascii="Arial Narrow" w:hAnsi="Arial Narrow" w:cs="Calibri"/>
                <w:color w:val="000000"/>
                <w:sz w:val="20"/>
                <w:szCs w:val="20"/>
                <w:lang w:eastAsia="en-AU"/>
              </w:rPr>
            </w:pPr>
          </w:p>
        </w:tc>
        <w:tc>
          <w:tcPr>
            <w:tcW w:w="709" w:type="dxa"/>
            <w:shd w:val="clear" w:color="auto" w:fill="auto"/>
          </w:tcPr>
          <w:p w14:paraId="13FEA854" w14:textId="77777777" w:rsidR="00F33674" w:rsidRPr="00F33674" w:rsidRDefault="00F33674" w:rsidP="00F33674">
            <w:pPr>
              <w:jc w:val="left"/>
              <w:rPr>
                <w:rFonts w:ascii="Arial Narrow" w:hAnsi="Arial Narrow" w:cs="Calibri"/>
                <w:color w:val="000000"/>
                <w:sz w:val="20"/>
                <w:szCs w:val="20"/>
                <w:lang w:eastAsia="en-AU"/>
              </w:rPr>
            </w:pPr>
          </w:p>
        </w:tc>
        <w:tc>
          <w:tcPr>
            <w:tcW w:w="2552" w:type="dxa"/>
            <w:vMerge/>
            <w:shd w:val="clear" w:color="auto" w:fill="auto"/>
            <w:noWrap/>
          </w:tcPr>
          <w:p w14:paraId="2B8C61A7" w14:textId="77777777" w:rsidR="00F33674" w:rsidRPr="00F33674" w:rsidRDefault="00F33674" w:rsidP="00F33674">
            <w:pPr>
              <w:jc w:val="left"/>
              <w:rPr>
                <w:rFonts w:ascii="Arial Narrow" w:hAnsi="Arial Narrow" w:cs="Calibri"/>
                <w:color w:val="000000"/>
                <w:sz w:val="20"/>
                <w:szCs w:val="20"/>
                <w:lang w:eastAsia="en-AU"/>
              </w:rPr>
            </w:pPr>
          </w:p>
        </w:tc>
        <w:tc>
          <w:tcPr>
            <w:tcW w:w="661" w:type="dxa"/>
            <w:shd w:val="clear" w:color="auto" w:fill="auto"/>
            <w:noWrap/>
          </w:tcPr>
          <w:p w14:paraId="438B13EB" w14:textId="77777777" w:rsidR="00F33674" w:rsidRPr="00F33674" w:rsidRDefault="00F33674" w:rsidP="00F33674">
            <w:pPr>
              <w:jc w:val="right"/>
              <w:rPr>
                <w:rFonts w:ascii="Arial Narrow" w:hAnsi="Arial Narrow" w:cs="Calibri"/>
                <w:color w:val="000000"/>
                <w:sz w:val="20"/>
                <w:szCs w:val="20"/>
                <w:lang w:eastAsia="en-AU"/>
              </w:rPr>
            </w:pPr>
          </w:p>
        </w:tc>
        <w:tc>
          <w:tcPr>
            <w:tcW w:w="615" w:type="dxa"/>
            <w:shd w:val="clear" w:color="auto" w:fill="auto"/>
            <w:noWrap/>
          </w:tcPr>
          <w:p w14:paraId="4987E674" w14:textId="77777777" w:rsidR="00F33674" w:rsidRPr="00F33674" w:rsidRDefault="00F33674" w:rsidP="00F33674">
            <w:pPr>
              <w:jc w:val="right"/>
              <w:rPr>
                <w:rFonts w:ascii="Arial Narrow" w:hAnsi="Arial Narrow" w:cs="Calibri"/>
                <w:color w:val="000000"/>
                <w:sz w:val="20"/>
                <w:szCs w:val="20"/>
                <w:lang w:eastAsia="en-AU"/>
              </w:rPr>
            </w:pPr>
          </w:p>
        </w:tc>
        <w:tc>
          <w:tcPr>
            <w:tcW w:w="1324" w:type="dxa"/>
            <w:shd w:val="clear" w:color="auto" w:fill="auto"/>
            <w:noWrap/>
            <w:hideMark/>
          </w:tcPr>
          <w:p w14:paraId="7DA0BFF0"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OxyContin</w:t>
            </w:r>
          </w:p>
        </w:tc>
        <w:tc>
          <w:tcPr>
            <w:tcW w:w="1977" w:type="dxa"/>
            <w:shd w:val="clear" w:color="auto" w:fill="auto"/>
            <w:noWrap/>
            <w:hideMark/>
          </w:tcPr>
          <w:p w14:paraId="1AF04530"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Mundipharma Pty Limited</w:t>
            </w:r>
          </w:p>
        </w:tc>
      </w:tr>
      <w:tr w:rsidR="00F33674" w:rsidRPr="00F33674" w14:paraId="20DD0FF2" w14:textId="77777777" w:rsidTr="00F33674">
        <w:trPr>
          <w:trHeight w:val="300"/>
        </w:trPr>
        <w:tc>
          <w:tcPr>
            <w:tcW w:w="1283" w:type="dxa"/>
            <w:shd w:val="clear" w:color="auto" w:fill="auto"/>
            <w:noWrap/>
          </w:tcPr>
          <w:p w14:paraId="6C0C4A54" w14:textId="77777777" w:rsidR="00F33674" w:rsidRPr="00F33674" w:rsidRDefault="00F33674" w:rsidP="00F33674">
            <w:pPr>
              <w:jc w:val="left"/>
              <w:rPr>
                <w:rFonts w:ascii="Arial Narrow" w:hAnsi="Arial Narrow" w:cs="Calibri"/>
                <w:color w:val="000000"/>
                <w:sz w:val="20"/>
                <w:szCs w:val="20"/>
                <w:lang w:eastAsia="en-AU"/>
              </w:rPr>
            </w:pPr>
          </w:p>
        </w:tc>
        <w:tc>
          <w:tcPr>
            <w:tcW w:w="709" w:type="dxa"/>
            <w:shd w:val="clear" w:color="auto" w:fill="auto"/>
          </w:tcPr>
          <w:p w14:paraId="2E8C762C" w14:textId="77777777" w:rsidR="00F33674" w:rsidRPr="00F33674" w:rsidRDefault="00F33674" w:rsidP="00F33674">
            <w:pPr>
              <w:jc w:val="left"/>
              <w:rPr>
                <w:rFonts w:ascii="Arial Narrow" w:hAnsi="Arial Narrow" w:cs="Calibri"/>
                <w:color w:val="000000"/>
                <w:sz w:val="20"/>
                <w:szCs w:val="20"/>
                <w:lang w:eastAsia="en-AU"/>
              </w:rPr>
            </w:pPr>
          </w:p>
        </w:tc>
        <w:tc>
          <w:tcPr>
            <w:tcW w:w="2552" w:type="dxa"/>
            <w:vMerge/>
            <w:shd w:val="clear" w:color="auto" w:fill="auto"/>
            <w:noWrap/>
          </w:tcPr>
          <w:p w14:paraId="5D9E40FC" w14:textId="77777777" w:rsidR="00F33674" w:rsidRPr="00F33674" w:rsidRDefault="00F33674" w:rsidP="00F33674">
            <w:pPr>
              <w:jc w:val="left"/>
              <w:rPr>
                <w:rFonts w:ascii="Arial Narrow" w:hAnsi="Arial Narrow" w:cs="Calibri"/>
                <w:color w:val="000000"/>
                <w:sz w:val="20"/>
                <w:szCs w:val="20"/>
                <w:lang w:eastAsia="en-AU"/>
              </w:rPr>
            </w:pPr>
          </w:p>
        </w:tc>
        <w:tc>
          <w:tcPr>
            <w:tcW w:w="661" w:type="dxa"/>
            <w:shd w:val="clear" w:color="auto" w:fill="auto"/>
            <w:noWrap/>
          </w:tcPr>
          <w:p w14:paraId="1B2FFCEF" w14:textId="77777777" w:rsidR="00F33674" w:rsidRPr="00F33674" w:rsidRDefault="00F33674" w:rsidP="00F33674">
            <w:pPr>
              <w:jc w:val="right"/>
              <w:rPr>
                <w:rFonts w:ascii="Arial Narrow" w:hAnsi="Arial Narrow" w:cs="Calibri"/>
                <w:color w:val="000000"/>
                <w:sz w:val="20"/>
                <w:szCs w:val="20"/>
                <w:lang w:eastAsia="en-AU"/>
              </w:rPr>
            </w:pPr>
          </w:p>
        </w:tc>
        <w:tc>
          <w:tcPr>
            <w:tcW w:w="615" w:type="dxa"/>
            <w:shd w:val="clear" w:color="auto" w:fill="auto"/>
            <w:noWrap/>
          </w:tcPr>
          <w:p w14:paraId="1B071A31" w14:textId="77777777" w:rsidR="00F33674" w:rsidRPr="00F33674" w:rsidRDefault="00F33674" w:rsidP="00F33674">
            <w:pPr>
              <w:jc w:val="right"/>
              <w:rPr>
                <w:rFonts w:ascii="Arial Narrow" w:hAnsi="Arial Narrow" w:cs="Calibri"/>
                <w:color w:val="000000"/>
                <w:sz w:val="20"/>
                <w:szCs w:val="20"/>
                <w:lang w:eastAsia="en-AU"/>
              </w:rPr>
            </w:pPr>
          </w:p>
        </w:tc>
        <w:tc>
          <w:tcPr>
            <w:tcW w:w="1324" w:type="dxa"/>
            <w:shd w:val="clear" w:color="auto" w:fill="auto"/>
            <w:noWrap/>
            <w:hideMark/>
          </w:tcPr>
          <w:p w14:paraId="7A849A92"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Oxycodone Sandoz</w:t>
            </w:r>
          </w:p>
        </w:tc>
        <w:tc>
          <w:tcPr>
            <w:tcW w:w="1977" w:type="dxa"/>
            <w:shd w:val="clear" w:color="auto" w:fill="auto"/>
            <w:noWrap/>
            <w:hideMark/>
          </w:tcPr>
          <w:p w14:paraId="4C2ACBE6"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Sandoz Pty Ltd</w:t>
            </w:r>
          </w:p>
        </w:tc>
      </w:tr>
    </w:tbl>
    <w:p w14:paraId="5BB98523" w14:textId="77777777" w:rsidR="00F33674" w:rsidRPr="00F33674" w:rsidRDefault="00F33674" w:rsidP="00F33674">
      <w:pPr>
        <w:ind w:left="360" w:hanging="360"/>
        <w:contextualSpacing/>
        <w:jc w:val="left"/>
      </w:pPr>
    </w:p>
    <w:tbl>
      <w:tblPr>
        <w:tblW w:w="9214" w:type="dxa"/>
        <w:tblInd w:w="-5" w:type="dxa"/>
        <w:tblLayout w:type="fixed"/>
        <w:tblLook w:val="0000" w:firstRow="0" w:lastRow="0" w:firstColumn="0" w:lastColumn="0" w:noHBand="0" w:noVBand="0"/>
      </w:tblPr>
      <w:tblGrid>
        <w:gridCol w:w="2835"/>
        <w:gridCol w:w="6379"/>
      </w:tblGrid>
      <w:tr w:rsidR="00F33674" w:rsidRPr="00F33674" w14:paraId="75C24816" w14:textId="77777777" w:rsidTr="00F33674">
        <w:trPr>
          <w:cantSplit/>
          <w:trHeight w:val="360"/>
        </w:trPr>
        <w:tc>
          <w:tcPr>
            <w:tcW w:w="2835" w:type="dxa"/>
            <w:tcBorders>
              <w:top w:val="single" w:sz="4" w:space="0" w:color="auto"/>
              <w:left w:val="single" w:sz="4" w:space="0" w:color="auto"/>
              <w:bottom w:val="single" w:sz="4" w:space="0" w:color="auto"/>
              <w:right w:val="single" w:sz="4" w:space="0" w:color="auto"/>
            </w:tcBorders>
          </w:tcPr>
          <w:p w14:paraId="773581D4" w14:textId="77777777" w:rsidR="00F33674" w:rsidRPr="00F33674" w:rsidRDefault="00F33674" w:rsidP="00F33674">
            <w:pPr>
              <w:rPr>
                <w:rFonts w:ascii="Arial Narrow" w:hAnsi="Arial Narrow" w:cs="Arial"/>
                <w:b/>
                <w:sz w:val="20"/>
                <w:szCs w:val="20"/>
              </w:rPr>
            </w:pPr>
            <w:r w:rsidRPr="00F33674">
              <w:rPr>
                <w:rFonts w:ascii="Arial Narrow" w:hAnsi="Arial Narrow" w:cs="Arial"/>
                <w:b/>
                <w:sz w:val="20"/>
                <w:szCs w:val="20"/>
              </w:rPr>
              <w:t>Category / Program:</w:t>
            </w:r>
          </w:p>
        </w:tc>
        <w:tc>
          <w:tcPr>
            <w:tcW w:w="6379" w:type="dxa"/>
            <w:tcBorders>
              <w:top w:val="single" w:sz="4" w:space="0" w:color="auto"/>
              <w:left w:val="single" w:sz="4" w:space="0" w:color="auto"/>
              <w:bottom w:val="single" w:sz="4" w:space="0" w:color="auto"/>
              <w:right w:val="single" w:sz="4" w:space="0" w:color="auto"/>
            </w:tcBorders>
          </w:tcPr>
          <w:p w14:paraId="5AC2945B" w14:textId="77777777" w:rsidR="00F33674" w:rsidRPr="00F33674" w:rsidRDefault="00F33674" w:rsidP="00F33674">
            <w:pPr>
              <w:rPr>
                <w:rFonts w:ascii="Arial Narrow" w:hAnsi="Arial Narrow" w:cs="Arial"/>
                <w:sz w:val="20"/>
                <w:szCs w:val="20"/>
              </w:rPr>
            </w:pPr>
            <w:r w:rsidRPr="00F33674">
              <w:rPr>
                <w:rFonts w:ascii="Arial Narrow" w:hAnsi="Arial Narrow" w:cs="Arial"/>
                <w:sz w:val="20"/>
                <w:szCs w:val="20"/>
              </w:rPr>
              <w:t>GENERAL – General Schedule (Code GE)</w:t>
            </w:r>
          </w:p>
        </w:tc>
      </w:tr>
      <w:tr w:rsidR="00F33674" w:rsidRPr="00F33674" w14:paraId="3926691A" w14:textId="77777777" w:rsidTr="00F33674">
        <w:trPr>
          <w:cantSplit/>
          <w:trHeight w:val="360"/>
        </w:trPr>
        <w:tc>
          <w:tcPr>
            <w:tcW w:w="2835" w:type="dxa"/>
            <w:tcBorders>
              <w:top w:val="single" w:sz="4" w:space="0" w:color="auto"/>
              <w:left w:val="single" w:sz="4" w:space="0" w:color="auto"/>
              <w:bottom w:val="single" w:sz="4" w:space="0" w:color="auto"/>
              <w:right w:val="single" w:sz="4" w:space="0" w:color="auto"/>
            </w:tcBorders>
          </w:tcPr>
          <w:p w14:paraId="39547CD0" w14:textId="77777777" w:rsidR="00F33674" w:rsidRPr="00F33674" w:rsidRDefault="00F33674" w:rsidP="00F33674">
            <w:pPr>
              <w:rPr>
                <w:rFonts w:ascii="Arial Narrow" w:hAnsi="Arial Narrow" w:cs="Arial"/>
                <w:b/>
                <w:sz w:val="20"/>
                <w:szCs w:val="20"/>
              </w:rPr>
            </w:pPr>
            <w:r w:rsidRPr="00F33674">
              <w:rPr>
                <w:rFonts w:ascii="Arial Narrow" w:hAnsi="Arial Narrow" w:cs="Arial"/>
                <w:b/>
                <w:sz w:val="20"/>
                <w:szCs w:val="20"/>
              </w:rPr>
              <w:t>Prescriber type:</w:t>
            </w:r>
          </w:p>
          <w:p w14:paraId="7945051C" w14:textId="77777777" w:rsidR="00F33674" w:rsidRPr="00F33674" w:rsidRDefault="00F33674" w:rsidP="00F33674">
            <w:pPr>
              <w:rPr>
                <w:rFonts w:ascii="Arial Narrow" w:hAnsi="Arial Narrow" w:cs="Arial"/>
                <w:b/>
                <w:sz w:val="20"/>
                <w:szCs w:val="20"/>
              </w:rPr>
            </w:pPr>
          </w:p>
        </w:tc>
        <w:tc>
          <w:tcPr>
            <w:tcW w:w="6379" w:type="dxa"/>
            <w:tcBorders>
              <w:top w:val="single" w:sz="4" w:space="0" w:color="auto"/>
              <w:left w:val="single" w:sz="4" w:space="0" w:color="auto"/>
              <w:bottom w:val="single" w:sz="4" w:space="0" w:color="auto"/>
              <w:right w:val="single" w:sz="4" w:space="0" w:color="auto"/>
            </w:tcBorders>
          </w:tcPr>
          <w:p w14:paraId="67E2034C" w14:textId="5ABDB114" w:rsidR="00F33674" w:rsidRPr="00F33674" w:rsidRDefault="00F33674" w:rsidP="00F33674">
            <w:pPr>
              <w:rPr>
                <w:rFonts w:ascii="Arial Narrow" w:hAnsi="Arial Narrow" w:cs="Arial"/>
                <w:sz w:val="20"/>
                <w:szCs w:val="20"/>
              </w:rPr>
            </w:pPr>
            <w:r w:rsidRPr="00F33674">
              <w:rPr>
                <w:rFonts w:ascii="Arial Narrow" w:hAnsi="Arial Narrow" w:cs="Arial"/>
                <w:sz w:val="20"/>
                <w:szCs w:val="20"/>
              </w:rPr>
              <w:fldChar w:fldCharType="begin">
                <w:ffData>
                  <w:name w:val="Check1"/>
                  <w:enabled/>
                  <w:calcOnExit w:val="0"/>
                  <w:checkBox>
                    <w:sizeAuto/>
                    <w:default w:val="0"/>
                  </w:checkBox>
                </w:ffData>
              </w:fldChar>
            </w:r>
            <w:r w:rsidRPr="00F33674">
              <w:rPr>
                <w:rFonts w:ascii="Arial Narrow" w:hAnsi="Arial Narrow" w:cs="Arial"/>
                <w:sz w:val="20"/>
                <w:szCs w:val="20"/>
              </w:rPr>
              <w:instrText xml:space="preserve"> FORMCHECKBOX </w:instrText>
            </w:r>
            <w:r w:rsidR="00233D13">
              <w:rPr>
                <w:rFonts w:ascii="Arial Narrow" w:hAnsi="Arial Narrow" w:cs="Arial"/>
                <w:sz w:val="20"/>
                <w:szCs w:val="20"/>
              </w:rPr>
            </w:r>
            <w:r w:rsidR="00233D13">
              <w:rPr>
                <w:rFonts w:ascii="Arial Narrow" w:hAnsi="Arial Narrow" w:cs="Arial"/>
                <w:sz w:val="20"/>
                <w:szCs w:val="20"/>
              </w:rPr>
              <w:fldChar w:fldCharType="separate"/>
            </w:r>
            <w:r w:rsidRPr="00F33674">
              <w:rPr>
                <w:rFonts w:ascii="Arial Narrow" w:hAnsi="Arial Narrow" w:cs="Arial"/>
                <w:sz w:val="20"/>
                <w:szCs w:val="20"/>
              </w:rPr>
              <w:fldChar w:fldCharType="end"/>
            </w:r>
            <w:r w:rsidRPr="00F33674">
              <w:rPr>
                <w:rFonts w:ascii="Arial Narrow" w:hAnsi="Arial Narrow" w:cs="Arial"/>
                <w:sz w:val="20"/>
                <w:szCs w:val="20"/>
              </w:rPr>
              <w:t>Dental</w:t>
            </w:r>
            <w:r w:rsidR="002C1329">
              <w:rPr>
                <w:rFonts w:ascii="Arial Narrow" w:hAnsi="Arial Narrow" w:cs="Arial"/>
                <w:sz w:val="20"/>
                <w:szCs w:val="20"/>
              </w:rPr>
              <w:t xml:space="preserve"> </w:t>
            </w:r>
            <w:r w:rsidRPr="00F33674">
              <w:rPr>
                <w:rFonts w:ascii="Arial Narrow" w:hAnsi="Arial Narrow" w:cs="Arial"/>
                <w:sz w:val="20"/>
                <w:szCs w:val="20"/>
              </w:rPr>
              <w:fldChar w:fldCharType="begin">
                <w:ffData>
                  <w:name w:val=""/>
                  <w:enabled/>
                  <w:calcOnExit w:val="0"/>
                  <w:checkBox>
                    <w:sizeAuto/>
                    <w:default w:val="1"/>
                  </w:checkBox>
                </w:ffData>
              </w:fldChar>
            </w:r>
            <w:r w:rsidRPr="00F33674">
              <w:rPr>
                <w:rFonts w:ascii="Arial Narrow" w:hAnsi="Arial Narrow" w:cs="Arial"/>
                <w:sz w:val="20"/>
                <w:szCs w:val="20"/>
              </w:rPr>
              <w:instrText xml:space="preserve"> FORMCHECKBOX </w:instrText>
            </w:r>
            <w:r w:rsidR="00233D13">
              <w:rPr>
                <w:rFonts w:ascii="Arial Narrow" w:hAnsi="Arial Narrow" w:cs="Arial"/>
                <w:sz w:val="20"/>
                <w:szCs w:val="20"/>
              </w:rPr>
            </w:r>
            <w:r w:rsidR="00233D13">
              <w:rPr>
                <w:rFonts w:ascii="Arial Narrow" w:hAnsi="Arial Narrow" w:cs="Arial"/>
                <w:sz w:val="20"/>
                <w:szCs w:val="20"/>
              </w:rPr>
              <w:fldChar w:fldCharType="separate"/>
            </w:r>
            <w:r w:rsidRPr="00F33674">
              <w:rPr>
                <w:rFonts w:ascii="Arial Narrow" w:hAnsi="Arial Narrow" w:cs="Arial"/>
                <w:sz w:val="20"/>
                <w:szCs w:val="20"/>
              </w:rPr>
              <w:fldChar w:fldCharType="end"/>
            </w:r>
            <w:r w:rsidRPr="00F33674">
              <w:rPr>
                <w:rFonts w:ascii="Arial Narrow" w:hAnsi="Arial Narrow" w:cs="Arial"/>
                <w:sz w:val="20"/>
                <w:szCs w:val="20"/>
              </w:rPr>
              <w:t>Medical Practitioners</w:t>
            </w:r>
            <w:r w:rsidR="002C1329">
              <w:rPr>
                <w:rFonts w:ascii="Arial Narrow" w:hAnsi="Arial Narrow" w:cs="Arial"/>
                <w:sz w:val="20"/>
                <w:szCs w:val="20"/>
              </w:rPr>
              <w:t xml:space="preserve"> </w:t>
            </w:r>
            <w:r w:rsidRPr="00F33674">
              <w:rPr>
                <w:rFonts w:ascii="Arial Narrow" w:hAnsi="Arial Narrow" w:cs="Arial"/>
                <w:sz w:val="20"/>
                <w:szCs w:val="20"/>
              </w:rPr>
              <w:fldChar w:fldCharType="begin">
                <w:ffData>
                  <w:name w:val="Check3"/>
                  <w:enabled/>
                  <w:calcOnExit w:val="0"/>
                  <w:checkBox>
                    <w:sizeAuto/>
                    <w:default w:val="1"/>
                  </w:checkBox>
                </w:ffData>
              </w:fldChar>
            </w:r>
            <w:r w:rsidRPr="00F33674">
              <w:rPr>
                <w:rFonts w:ascii="Arial Narrow" w:hAnsi="Arial Narrow" w:cs="Arial"/>
                <w:sz w:val="20"/>
                <w:szCs w:val="20"/>
              </w:rPr>
              <w:instrText xml:space="preserve"> FORMCHECKBOX </w:instrText>
            </w:r>
            <w:r w:rsidR="00233D13">
              <w:rPr>
                <w:rFonts w:ascii="Arial Narrow" w:hAnsi="Arial Narrow" w:cs="Arial"/>
                <w:sz w:val="20"/>
                <w:szCs w:val="20"/>
              </w:rPr>
            </w:r>
            <w:r w:rsidR="00233D13">
              <w:rPr>
                <w:rFonts w:ascii="Arial Narrow" w:hAnsi="Arial Narrow" w:cs="Arial"/>
                <w:sz w:val="20"/>
                <w:szCs w:val="20"/>
              </w:rPr>
              <w:fldChar w:fldCharType="separate"/>
            </w:r>
            <w:r w:rsidRPr="00F33674">
              <w:rPr>
                <w:rFonts w:ascii="Arial Narrow" w:hAnsi="Arial Narrow" w:cs="Arial"/>
                <w:sz w:val="20"/>
                <w:szCs w:val="20"/>
              </w:rPr>
              <w:fldChar w:fldCharType="end"/>
            </w:r>
            <w:r w:rsidRPr="00F33674">
              <w:rPr>
                <w:rFonts w:ascii="Arial Narrow" w:hAnsi="Arial Narrow" w:cs="Arial"/>
                <w:sz w:val="20"/>
                <w:szCs w:val="20"/>
              </w:rPr>
              <w:t>Nurse practitioners</w:t>
            </w:r>
            <w:r w:rsidR="002C1329">
              <w:rPr>
                <w:rFonts w:ascii="Arial Narrow" w:hAnsi="Arial Narrow" w:cs="Arial"/>
                <w:sz w:val="20"/>
                <w:szCs w:val="20"/>
              </w:rPr>
              <w:t xml:space="preserve"> </w:t>
            </w:r>
            <w:r w:rsidRPr="00F33674">
              <w:rPr>
                <w:rFonts w:ascii="Arial Narrow" w:hAnsi="Arial Narrow" w:cs="Arial"/>
                <w:sz w:val="20"/>
                <w:szCs w:val="20"/>
              </w:rPr>
              <w:fldChar w:fldCharType="begin">
                <w:ffData>
                  <w:name w:val=""/>
                  <w:enabled/>
                  <w:calcOnExit w:val="0"/>
                  <w:checkBox>
                    <w:sizeAuto/>
                    <w:default w:val="0"/>
                  </w:checkBox>
                </w:ffData>
              </w:fldChar>
            </w:r>
            <w:r w:rsidRPr="00F33674">
              <w:rPr>
                <w:rFonts w:ascii="Arial Narrow" w:hAnsi="Arial Narrow" w:cs="Arial"/>
                <w:sz w:val="20"/>
                <w:szCs w:val="20"/>
              </w:rPr>
              <w:instrText xml:space="preserve"> FORMCHECKBOX </w:instrText>
            </w:r>
            <w:r w:rsidR="00233D13">
              <w:rPr>
                <w:rFonts w:ascii="Arial Narrow" w:hAnsi="Arial Narrow" w:cs="Arial"/>
                <w:sz w:val="20"/>
                <w:szCs w:val="20"/>
              </w:rPr>
            </w:r>
            <w:r w:rsidR="00233D13">
              <w:rPr>
                <w:rFonts w:ascii="Arial Narrow" w:hAnsi="Arial Narrow" w:cs="Arial"/>
                <w:sz w:val="20"/>
                <w:szCs w:val="20"/>
              </w:rPr>
              <w:fldChar w:fldCharType="separate"/>
            </w:r>
            <w:r w:rsidRPr="00F33674">
              <w:rPr>
                <w:rFonts w:ascii="Arial Narrow" w:hAnsi="Arial Narrow" w:cs="Arial"/>
                <w:sz w:val="20"/>
                <w:szCs w:val="20"/>
              </w:rPr>
              <w:fldChar w:fldCharType="end"/>
            </w:r>
            <w:r w:rsidRPr="00F33674">
              <w:rPr>
                <w:rFonts w:ascii="Arial Narrow" w:hAnsi="Arial Narrow" w:cs="Arial"/>
                <w:sz w:val="20"/>
                <w:szCs w:val="20"/>
              </w:rPr>
              <w:t>Optometrists</w:t>
            </w:r>
          </w:p>
          <w:p w14:paraId="64A56BD3" w14:textId="77777777" w:rsidR="00F33674" w:rsidRPr="00F33674" w:rsidRDefault="00F33674" w:rsidP="00F33674">
            <w:pPr>
              <w:rPr>
                <w:rFonts w:ascii="Arial Narrow" w:hAnsi="Arial Narrow" w:cs="Arial"/>
                <w:sz w:val="20"/>
                <w:szCs w:val="20"/>
              </w:rPr>
            </w:pPr>
            <w:r w:rsidRPr="00F33674">
              <w:rPr>
                <w:rFonts w:ascii="Arial Narrow" w:hAnsi="Arial Narrow" w:cs="Arial"/>
                <w:sz w:val="20"/>
                <w:szCs w:val="20"/>
              </w:rPr>
              <w:fldChar w:fldCharType="begin">
                <w:ffData>
                  <w:name w:val="Check5"/>
                  <w:enabled/>
                  <w:calcOnExit w:val="0"/>
                  <w:checkBox>
                    <w:sizeAuto/>
                    <w:default w:val="0"/>
                  </w:checkBox>
                </w:ffData>
              </w:fldChar>
            </w:r>
            <w:r w:rsidRPr="00F33674">
              <w:rPr>
                <w:rFonts w:ascii="Arial Narrow" w:hAnsi="Arial Narrow" w:cs="Arial"/>
                <w:sz w:val="20"/>
                <w:szCs w:val="20"/>
              </w:rPr>
              <w:instrText xml:space="preserve"> FORMCHECKBOX </w:instrText>
            </w:r>
            <w:r w:rsidR="00233D13">
              <w:rPr>
                <w:rFonts w:ascii="Arial Narrow" w:hAnsi="Arial Narrow" w:cs="Arial"/>
                <w:sz w:val="20"/>
                <w:szCs w:val="20"/>
              </w:rPr>
            </w:r>
            <w:r w:rsidR="00233D13">
              <w:rPr>
                <w:rFonts w:ascii="Arial Narrow" w:hAnsi="Arial Narrow" w:cs="Arial"/>
                <w:sz w:val="20"/>
                <w:szCs w:val="20"/>
              </w:rPr>
              <w:fldChar w:fldCharType="separate"/>
            </w:r>
            <w:r w:rsidRPr="00F33674">
              <w:rPr>
                <w:rFonts w:ascii="Arial Narrow" w:hAnsi="Arial Narrow" w:cs="Arial"/>
                <w:sz w:val="20"/>
                <w:szCs w:val="20"/>
              </w:rPr>
              <w:fldChar w:fldCharType="end"/>
            </w:r>
            <w:r w:rsidRPr="00F33674">
              <w:rPr>
                <w:rFonts w:ascii="Arial Narrow" w:hAnsi="Arial Narrow" w:cs="Arial"/>
                <w:sz w:val="20"/>
                <w:szCs w:val="20"/>
              </w:rPr>
              <w:t>Midwives</w:t>
            </w:r>
          </w:p>
        </w:tc>
      </w:tr>
      <w:tr w:rsidR="00F33674" w:rsidRPr="00F33674" w14:paraId="742F00B5" w14:textId="77777777" w:rsidTr="00F33674">
        <w:trPr>
          <w:cantSplit/>
          <w:trHeight w:val="369"/>
        </w:trPr>
        <w:tc>
          <w:tcPr>
            <w:tcW w:w="2835" w:type="dxa"/>
            <w:tcBorders>
              <w:top w:val="single" w:sz="4" w:space="0" w:color="auto"/>
              <w:left w:val="single" w:sz="4" w:space="0" w:color="auto"/>
              <w:bottom w:val="single" w:sz="4" w:space="0" w:color="auto"/>
              <w:right w:val="single" w:sz="4" w:space="0" w:color="auto"/>
            </w:tcBorders>
          </w:tcPr>
          <w:p w14:paraId="119AD00F" w14:textId="77777777" w:rsidR="00F33674" w:rsidRPr="00F33674" w:rsidRDefault="00F33674" w:rsidP="00F33674">
            <w:pPr>
              <w:rPr>
                <w:rFonts w:ascii="Arial Narrow" w:hAnsi="Arial Narrow" w:cs="Arial"/>
                <w:b/>
                <w:sz w:val="20"/>
                <w:szCs w:val="20"/>
              </w:rPr>
            </w:pPr>
            <w:r w:rsidRPr="00F33674">
              <w:rPr>
                <w:rFonts w:ascii="Arial Narrow" w:hAnsi="Arial Narrow" w:cs="Arial"/>
                <w:b/>
                <w:sz w:val="20"/>
                <w:szCs w:val="20"/>
              </w:rPr>
              <w:t>PBS indication:</w:t>
            </w:r>
          </w:p>
        </w:tc>
        <w:tc>
          <w:tcPr>
            <w:tcW w:w="6379" w:type="dxa"/>
            <w:tcBorders>
              <w:top w:val="single" w:sz="4" w:space="0" w:color="auto"/>
              <w:left w:val="single" w:sz="4" w:space="0" w:color="auto"/>
              <w:bottom w:val="single" w:sz="4" w:space="0" w:color="auto"/>
              <w:right w:val="single" w:sz="4" w:space="0" w:color="auto"/>
            </w:tcBorders>
          </w:tcPr>
          <w:p w14:paraId="7B2C791B" w14:textId="77777777" w:rsidR="00F33674" w:rsidRPr="00F33674" w:rsidRDefault="00F33674" w:rsidP="00F33674">
            <w:pPr>
              <w:rPr>
                <w:rFonts w:ascii="Arial Narrow" w:hAnsi="Arial Narrow" w:cs="Arial"/>
                <w:sz w:val="20"/>
                <w:szCs w:val="20"/>
              </w:rPr>
            </w:pPr>
            <w:r w:rsidRPr="00F33674">
              <w:rPr>
                <w:rFonts w:ascii="Arial Narrow" w:hAnsi="Arial Narrow" w:cs="Arial"/>
                <w:sz w:val="20"/>
                <w:szCs w:val="20"/>
              </w:rPr>
              <w:t>[new] Chronic severe pain</w:t>
            </w:r>
          </w:p>
        </w:tc>
      </w:tr>
      <w:tr w:rsidR="00F33674" w:rsidRPr="00F33674" w14:paraId="0386549E" w14:textId="77777777" w:rsidTr="00F33674">
        <w:trPr>
          <w:cantSplit/>
          <w:trHeight w:val="360"/>
        </w:trPr>
        <w:tc>
          <w:tcPr>
            <w:tcW w:w="2835" w:type="dxa"/>
            <w:tcBorders>
              <w:top w:val="single" w:sz="4" w:space="0" w:color="auto"/>
              <w:left w:val="single" w:sz="4" w:space="0" w:color="auto"/>
              <w:bottom w:val="single" w:sz="4" w:space="0" w:color="auto"/>
              <w:right w:val="single" w:sz="4" w:space="0" w:color="auto"/>
            </w:tcBorders>
          </w:tcPr>
          <w:p w14:paraId="4A3B225B" w14:textId="77777777" w:rsidR="00F33674" w:rsidRPr="00F33674" w:rsidRDefault="00F33674" w:rsidP="00F33674">
            <w:pPr>
              <w:rPr>
                <w:rFonts w:ascii="Arial Narrow" w:hAnsi="Arial Narrow" w:cs="Arial"/>
                <w:b/>
                <w:sz w:val="20"/>
                <w:szCs w:val="20"/>
              </w:rPr>
            </w:pPr>
            <w:r w:rsidRPr="00F33674">
              <w:rPr>
                <w:rFonts w:ascii="Arial Narrow" w:hAnsi="Arial Narrow" w:cs="Arial"/>
                <w:b/>
                <w:sz w:val="20"/>
                <w:szCs w:val="20"/>
              </w:rPr>
              <w:t>Restriction Level / Method:</w:t>
            </w:r>
          </w:p>
          <w:p w14:paraId="59A1C79C" w14:textId="77777777" w:rsidR="00F33674" w:rsidRPr="00F33674" w:rsidRDefault="00F33674" w:rsidP="00F33674">
            <w:pPr>
              <w:rPr>
                <w:rFonts w:ascii="Arial Narrow" w:hAnsi="Arial Narrow" w:cs="Arial"/>
                <w:i/>
                <w:sz w:val="20"/>
                <w:szCs w:val="20"/>
              </w:rPr>
            </w:pPr>
          </w:p>
          <w:p w14:paraId="2E73A19C" w14:textId="77777777" w:rsidR="00F33674" w:rsidRPr="00F33674" w:rsidRDefault="00F33674" w:rsidP="00F33674">
            <w:pPr>
              <w:rPr>
                <w:rFonts w:ascii="Arial Narrow" w:hAnsi="Arial Narrow" w:cs="Arial"/>
                <w:i/>
                <w:sz w:val="20"/>
                <w:szCs w:val="20"/>
              </w:rPr>
            </w:pPr>
          </w:p>
          <w:p w14:paraId="250BB3C4" w14:textId="77777777" w:rsidR="00F33674" w:rsidRPr="00F33674" w:rsidRDefault="00F33674" w:rsidP="00F33674">
            <w:pPr>
              <w:rPr>
                <w:rFonts w:ascii="Arial Narrow" w:hAnsi="Arial Narrow" w:cs="Arial"/>
                <w:i/>
                <w:sz w:val="20"/>
                <w:szCs w:val="20"/>
              </w:rPr>
            </w:pPr>
          </w:p>
        </w:tc>
        <w:tc>
          <w:tcPr>
            <w:tcW w:w="6379" w:type="dxa"/>
            <w:tcBorders>
              <w:top w:val="single" w:sz="4" w:space="0" w:color="auto"/>
              <w:left w:val="single" w:sz="4" w:space="0" w:color="auto"/>
              <w:bottom w:val="single" w:sz="4" w:space="0" w:color="auto"/>
              <w:right w:val="single" w:sz="4" w:space="0" w:color="auto"/>
            </w:tcBorders>
          </w:tcPr>
          <w:p w14:paraId="4CFC34BA" w14:textId="77777777" w:rsidR="00F33674" w:rsidRPr="00F33674" w:rsidRDefault="00F33674" w:rsidP="00F33674">
            <w:pPr>
              <w:rPr>
                <w:rFonts w:ascii="Arial Narrow" w:hAnsi="Arial Narrow" w:cs="Arial"/>
                <w:sz w:val="20"/>
                <w:szCs w:val="20"/>
              </w:rPr>
            </w:pPr>
            <w:r w:rsidRPr="00F33674">
              <w:rPr>
                <w:rFonts w:ascii="Arial Narrow" w:hAnsi="Arial Narrow" w:cs="Arial"/>
                <w:sz w:val="20"/>
                <w:szCs w:val="20"/>
              </w:rPr>
              <w:fldChar w:fldCharType="begin">
                <w:ffData>
                  <w:name w:val=""/>
                  <w:enabled/>
                  <w:calcOnExit w:val="0"/>
                  <w:checkBox>
                    <w:sizeAuto/>
                    <w:default w:val="0"/>
                  </w:checkBox>
                </w:ffData>
              </w:fldChar>
            </w:r>
            <w:r w:rsidRPr="00F33674">
              <w:rPr>
                <w:rFonts w:ascii="Arial Narrow" w:hAnsi="Arial Narrow" w:cs="Arial"/>
                <w:sz w:val="20"/>
                <w:szCs w:val="20"/>
              </w:rPr>
              <w:instrText xml:space="preserve"> FORMCHECKBOX </w:instrText>
            </w:r>
            <w:r w:rsidR="00233D13">
              <w:rPr>
                <w:rFonts w:ascii="Arial Narrow" w:hAnsi="Arial Narrow" w:cs="Arial"/>
                <w:sz w:val="20"/>
                <w:szCs w:val="20"/>
              </w:rPr>
            </w:r>
            <w:r w:rsidR="00233D13">
              <w:rPr>
                <w:rFonts w:ascii="Arial Narrow" w:hAnsi="Arial Narrow" w:cs="Arial"/>
                <w:sz w:val="20"/>
                <w:szCs w:val="20"/>
              </w:rPr>
              <w:fldChar w:fldCharType="separate"/>
            </w:r>
            <w:r w:rsidRPr="00F33674">
              <w:rPr>
                <w:rFonts w:ascii="Arial Narrow" w:hAnsi="Arial Narrow" w:cs="Arial"/>
                <w:sz w:val="20"/>
                <w:szCs w:val="20"/>
              </w:rPr>
              <w:fldChar w:fldCharType="end"/>
            </w:r>
            <w:r w:rsidRPr="00F33674">
              <w:rPr>
                <w:rFonts w:ascii="Arial Narrow" w:hAnsi="Arial Narrow" w:cs="Arial"/>
                <w:sz w:val="20"/>
                <w:szCs w:val="20"/>
              </w:rPr>
              <w:t>Unrestricted benefit</w:t>
            </w:r>
          </w:p>
          <w:p w14:paraId="027FAB33" w14:textId="77777777" w:rsidR="00F33674" w:rsidRPr="00F33674" w:rsidRDefault="00F33674" w:rsidP="00F33674">
            <w:pPr>
              <w:rPr>
                <w:rFonts w:ascii="Arial Narrow" w:hAnsi="Arial Narrow" w:cs="Arial"/>
                <w:i/>
                <w:sz w:val="20"/>
                <w:szCs w:val="20"/>
              </w:rPr>
            </w:pPr>
            <w:r w:rsidRPr="00F33674">
              <w:rPr>
                <w:rFonts w:ascii="Arial Narrow" w:hAnsi="Arial Narrow" w:cs="Arial"/>
                <w:i/>
                <w:sz w:val="20"/>
                <w:szCs w:val="20"/>
              </w:rPr>
              <w:fldChar w:fldCharType="begin">
                <w:ffData>
                  <w:name w:val=""/>
                  <w:enabled/>
                  <w:calcOnExit w:val="0"/>
                  <w:checkBox>
                    <w:sizeAuto/>
                    <w:default w:val="0"/>
                  </w:checkBox>
                </w:ffData>
              </w:fldChar>
            </w:r>
            <w:r w:rsidRPr="00F33674">
              <w:rPr>
                <w:rFonts w:ascii="Arial Narrow" w:hAnsi="Arial Narrow" w:cs="Arial"/>
                <w:i/>
                <w:sz w:val="20"/>
                <w:szCs w:val="20"/>
              </w:rPr>
              <w:instrText xml:space="preserve"> FORMCHECKBOX </w:instrText>
            </w:r>
            <w:r w:rsidR="00233D13">
              <w:rPr>
                <w:rFonts w:ascii="Arial Narrow" w:hAnsi="Arial Narrow" w:cs="Arial"/>
                <w:i/>
                <w:sz w:val="20"/>
                <w:szCs w:val="20"/>
              </w:rPr>
            </w:r>
            <w:r w:rsidR="00233D13">
              <w:rPr>
                <w:rFonts w:ascii="Arial Narrow" w:hAnsi="Arial Narrow" w:cs="Arial"/>
                <w:i/>
                <w:sz w:val="20"/>
                <w:szCs w:val="20"/>
              </w:rPr>
              <w:fldChar w:fldCharType="separate"/>
            </w:r>
            <w:r w:rsidRPr="00F33674">
              <w:rPr>
                <w:rFonts w:ascii="Arial Narrow" w:hAnsi="Arial Narrow" w:cs="Arial"/>
                <w:i/>
                <w:sz w:val="20"/>
                <w:szCs w:val="20"/>
              </w:rPr>
              <w:fldChar w:fldCharType="end"/>
            </w:r>
            <w:r w:rsidRPr="00F33674">
              <w:rPr>
                <w:rFonts w:ascii="Arial Narrow" w:hAnsi="Arial Narrow" w:cs="Arial"/>
                <w:sz w:val="20"/>
                <w:szCs w:val="20"/>
              </w:rPr>
              <w:t>Restricted benefit</w:t>
            </w:r>
          </w:p>
          <w:p w14:paraId="76D77F04" w14:textId="77777777" w:rsidR="00F33674" w:rsidRPr="00F33674" w:rsidRDefault="00F33674" w:rsidP="00F33674">
            <w:pPr>
              <w:rPr>
                <w:rFonts w:ascii="Arial Narrow" w:hAnsi="Arial Narrow" w:cs="Arial"/>
                <w:sz w:val="20"/>
                <w:szCs w:val="20"/>
              </w:rPr>
            </w:pPr>
            <w:r w:rsidRPr="00F33674">
              <w:rPr>
                <w:rFonts w:ascii="Arial Narrow" w:hAnsi="Arial Narrow" w:cs="Arial"/>
                <w:sz w:val="20"/>
                <w:szCs w:val="20"/>
              </w:rPr>
              <w:fldChar w:fldCharType="begin">
                <w:ffData>
                  <w:name w:val=""/>
                  <w:enabled/>
                  <w:calcOnExit w:val="0"/>
                  <w:checkBox>
                    <w:sizeAuto/>
                    <w:default w:val="0"/>
                  </w:checkBox>
                </w:ffData>
              </w:fldChar>
            </w:r>
            <w:r w:rsidRPr="00F33674">
              <w:rPr>
                <w:rFonts w:ascii="Arial Narrow" w:hAnsi="Arial Narrow" w:cs="Arial"/>
                <w:sz w:val="20"/>
                <w:szCs w:val="20"/>
              </w:rPr>
              <w:instrText xml:space="preserve"> FORMCHECKBOX </w:instrText>
            </w:r>
            <w:r w:rsidR="00233D13">
              <w:rPr>
                <w:rFonts w:ascii="Arial Narrow" w:hAnsi="Arial Narrow" w:cs="Arial"/>
                <w:sz w:val="20"/>
                <w:szCs w:val="20"/>
              </w:rPr>
            </w:r>
            <w:r w:rsidR="00233D13">
              <w:rPr>
                <w:rFonts w:ascii="Arial Narrow" w:hAnsi="Arial Narrow" w:cs="Arial"/>
                <w:sz w:val="20"/>
                <w:szCs w:val="20"/>
              </w:rPr>
              <w:fldChar w:fldCharType="separate"/>
            </w:r>
            <w:r w:rsidRPr="00F33674">
              <w:rPr>
                <w:rFonts w:ascii="Arial Narrow" w:hAnsi="Arial Narrow" w:cs="Arial"/>
                <w:sz w:val="20"/>
                <w:szCs w:val="20"/>
              </w:rPr>
              <w:fldChar w:fldCharType="end"/>
            </w:r>
            <w:r w:rsidRPr="00F33674">
              <w:rPr>
                <w:rFonts w:ascii="Arial Narrow" w:hAnsi="Arial Narrow" w:cs="Arial"/>
                <w:sz w:val="20"/>
                <w:szCs w:val="20"/>
              </w:rPr>
              <w:t>Authority Required – In Writing</w:t>
            </w:r>
          </w:p>
          <w:p w14:paraId="4430C533" w14:textId="77777777" w:rsidR="00F33674" w:rsidRPr="00F33674" w:rsidRDefault="00F33674" w:rsidP="00F33674">
            <w:pPr>
              <w:rPr>
                <w:rFonts w:ascii="Arial Narrow" w:hAnsi="Arial Narrow" w:cs="Arial"/>
                <w:sz w:val="20"/>
                <w:szCs w:val="20"/>
              </w:rPr>
            </w:pPr>
            <w:r w:rsidRPr="00F33674">
              <w:rPr>
                <w:rFonts w:ascii="Arial Narrow" w:hAnsi="Arial Narrow" w:cs="Arial"/>
                <w:sz w:val="20"/>
                <w:szCs w:val="20"/>
              </w:rPr>
              <w:fldChar w:fldCharType="begin">
                <w:ffData>
                  <w:name w:val="Check3"/>
                  <w:enabled/>
                  <w:calcOnExit w:val="0"/>
                  <w:checkBox>
                    <w:sizeAuto/>
                    <w:default w:val="0"/>
                  </w:checkBox>
                </w:ffData>
              </w:fldChar>
            </w:r>
            <w:r w:rsidRPr="00F33674">
              <w:rPr>
                <w:rFonts w:ascii="Arial Narrow" w:hAnsi="Arial Narrow" w:cs="Arial"/>
                <w:sz w:val="20"/>
                <w:szCs w:val="20"/>
              </w:rPr>
              <w:instrText xml:space="preserve"> FORMCHECKBOX </w:instrText>
            </w:r>
            <w:r w:rsidR="00233D13">
              <w:rPr>
                <w:rFonts w:ascii="Arial Narrow" w:hAnsi="Arial Narrow" w:cs="Arial"/>
                <w:sz w:val="20"/>
                <w:szCs w:val="20"/>
              </w:rPr>
            </w:r>
            <w:r w:rsidR="00233D13">
              <w:rPr>
                <w:rFonts w:ascii="Arial Narrow" w:hAnsi="Arial Narrow" w:cs="Arial"/>
                <w:sz w:val="20"/>
                <w:szCs w:val="20"/>
              </w:rPr>
              <w:fldChar w:fldCharType="separate"/>
            </w:r>
            <w:r w:rsidRPr="00F33674">
              <w:rPr>
                <w:rFonts w:ascii="Arial Narrow" w:hAnsi="Arial Narrow" w:cs="Arial"/>
                <w:sz w:val="20"/>
                <w:szCs w:val="20"/>
              </w:rPr>
              <w:fldChar w:fldCharType="end"/>
            </w:r>
            <w:r w:rsidRPr="00F33674">
              <w:rPr>
                <w:rFonts w:ascii="Arial Narrow" w:hAnsi="Arial Narrow" w:cs="Arial"/>
                <w:sz w:val="20"/>
                <w:szCs w:val="20"/>
              </w:rPr>
              <w:t>Authority Required – Telephone/Electronic/Emergency</w:t>
            </w:r>
          </w:p>
          <w:p w14:paraId="1E0A12F7" w14:textId="77777777" w:rsidR="00F33674" w:rsidRPr="00F33674" w:rsidRDefault="00F33674" w:rsidP="00F33674">
            <w:pPr>
              <w:rPr>
                <w:rFonts w:ascii="Arial Narrow" w:hAnsi="Arial Narrow" w:cs="Arial"/>
                <w:sz w:val="20"/>
                <w:szCs w:val="20"/>
              </w:rPr>
            </w:pPr>
            <w:r w:rsidRPr="00F33674">
              <w:rPr>
                <w:rFonts w:ascii="Arial Narrow" w:hAnsi="Arial Narrow" w:cs="Arial"/>
                <w:sz w:val="20"/>
                <w:szCs w:val="20"/>
              </w:rPr>
              <w:fldChar w:fldCharType="begin">
                <w:ffData>
                  <w:name w:val=""/>
                  <w:enabled/>
                  <w:calcOnExit w:val="0"/>
                  <w:checkBox>
                    <w:sizeAuto/>
                    <w:default w:val="1"/>
                  </w:checkBox>
                </w:ffData>
              </w:fldChar>
            </w:r>
            <w:r w:rsidRPr="00F33674">
              <w:rPr>
                <w:rFonts w:ascii="Arial Narrow" w:hAnsi="Arial Narrow" w:cs="Arial"/>
                <w:sz w:val="20"/>
                <w:szCs w:val="20"/>
              </w:rPr>
              <w:instrText xml:space="preserve"> FORMCHECKBOX </w:instrText>
            </w:r>
            <w:r w:rsidR="00233D13">
              <w:rPr>
                <w:rFonts w:ascii="Arial Narrow" w:hAnsi="Arial Narrow" w:cs="Arial"/>
                <w:sz w:val="20"/>
                <w:szCs w:val="20"/>
              </w:rPr>
            </w:r>
            <w:r w:rsidR="00233D13">
              <w:rPr>
                <w:rFonts w:ascii="Arial Narrow" w:hAnsi="Arial Narrow" w:cs="Arial"/>
                <w:sz w:val="20"/>
                <w:szCs w:val="20"/>
              </w:rPr>
              <w:fldChar w:fldCharType="separate"/>
            </w:r>
            <w:r w:rsidRPr="00F33674">
              <w:rPr>
                <w:rFonts w:ascii="Arial Narrow" w:hAnsi="Arial Narrow" w:cs="Arial"/>
                <w:sz w:val="20"/>
                <w:szCs w:val="20"/>
              </w:rPr>
              <w:fldChar w:fldCharType="end"/>
            </w:r>
            <w:r w:rsidRPr="00F33674">
              <w:rPr>
                <w:rFonts w:ascii="Arial Narrow" w:hAnsi="Arial Narrow" w:cs="Arial"/>
                <w:sz w:val="20"/>
                <w:szCs w:val="20"/>
              </w:rPr>
              <w:t>Streamlined</w:t>
            </w:r>
          </w:p>
        </w:tc>
      </w:tr>
      <w:tr w:rsidR="001D7D71" w:rsidRPr="00F33674" w14:paraId="2201B56D" w14:textId="77777777" w:rsidTr="00F33674">
        <w:trPr>
          <w:cantSplit/>
          <w:trHeight w:val="360"/>
        </w:trPr>
        <w:tc>
          <w:tcPr>
            <w:tcW w:w="2835" w:type="dxa"/>
            <w:tcBorders>
              <w:top w:val="single" w:sz="4" w:space="0" w:color="auto"/>
              <w:left w:val="single" w:sz="4" w:space="0" w:color="auto"/>
              <w:bottom w:val="single" w:sz="4" w:space="0" w:color="auto"/>
              <w:right w:val="single" w:sz="4" w:space="0" w:color="auto"/>
            </w:tcBorders>
          </w:tcPr>
          <w:p w14:paraId="67D36AA0" w14:textId="1B8BAAB7" w:rsidR="001D7D71" w:rsidRPr="00F33674" w:rsidRDefault="001D7D71" w:rsidP="001D7D71">
            <w:pPr>
              <w:rPr>
                <w:rFonts w:ascii="Arial Narrow" w:hAnsi="Arial Narrow" w:cs="Arial"/>
                <w:b/>
                <w:sz w:val="20"/>
                <w:szCs w:val="20"/>
              </w:rPr>
            </w:pPr>
            <w:r>
              <w:rPr>
                <w:rFonts w:ascii="Arial Narrow" w:hAnsi="Arial Narrow" w:cs="Arial"/>
                <w:b/>
                <w:sz w:val="20"/>
                <w:szCs w:val="20"/>
              </w:rPr>
              <w:t>Treatment phase:</w:t>
            </w:r>
          </w:p>
        </w:tc>
        <w:tc>
          <w:tcPr>
            <w:tcW w:w="6379" w:type="dxa"/>
            <w:tcBorders>
              <w:top w:val="single" w:sz="4" w:space="0" w:color="auto"/>
              <w:left w:val="single" w:sz="4" w:space="0" w:color="auto"/>
              <w:bottom w:val="single" w:sz="4" w:space="0" w:color="auto"/>
              <w:right w:val="single" w:sz="4" w:space="0" w:color="auto"/>
            </w:tcBorders>
          </w:tcPr>
          <w:p w14:paraId="34AE6912" w14:textId="056F7174" w:rsidR="001D7D71" w:rsidRPr="00F33674" w:rsidRDefault="00265869" w:rsidP="001D7D71">
            <w:pPr>
              <w:jc w:val="left"/>
              <w:rPr>
                <w:rFonts w:ascii="Arial Narrow" w:hAnsi="Arial Narrow" w:cs="Arial"/>
                <w:sz w:val="20"/>
                <w:szCs w:val="20"/>
              </w:rPr>
            </w:pPr>
            <w:r>
              <w:rPr>
                <w:rFonts w:ascii="Arial Narrow" w:hAnsi="Arial Narrow" w:cs="Arial"/>
                <w:sz w:val="20"/>
                <w:szCs w:val="20"/>
              </w:rPr>
              <w:t xml:space="preserve">Initial PBS treatment after 1 June 2020 where patient </w:t>
            </w:r>
            <w:proofErr w:type="gramStart"/>
            <w:r>
              <w:rPr>
                <w:rFonts w:ascii="Arial Narrow" w:hAnsi="Arial Narrow" w:cs="Arial"/>
                <w:sz w:val="20"/>
                <w:szCs w:val="20"/>
              </w:rPr>
              <w:t>has been treated</w:t>
            </w:r>
            <w:proofErr w:type="gramEnd"/>
            <w:r>
              <w:rPr>
                <w:rFonts w:ascii="Arial Narrow" w:hAnsi="Arial Narrow" w:cs="Arial"/>
                <w:sz w:val="20"/>
                <w:szCs w:val="20"/>
              </w:rPr>
              <w:t xml:space="preserve"> with opioids for less than 12 months.</w:t>
            </w:r>
          </w:p>
        </w:tc>
      </w:tr>
      <w:tr w:rsidR="001D7D71" w:rsidRPr="00F33674" w14:paraId="52960545" w14:textId="77777777" w:rsidTr="00F33674">
        <w:trPr>
          <w:cantSplit/>
          <w:trHeight w:val="360"/>
        </w:trPr>
        <w:tc>
          <w:tcPr>
            <w:tcW w:w="2835" w:type="dxa"/>
            <w:tcBorders>
              <w:top w:val="single" w:sz="4" w:space="0" w:color="auto"/>
              <w:left w:val="single" w:sz="4" w:space="0" w:color="auto"/>
              <w:bottom w:val="single" w:sz="4" w:space="0" w:color="auto"/>
              <w:right w:val="single" w:sz="4" w:space="0" w:color="auto"/>
            </w:tcBorders>
          </w:tcPr>
          <w:p w14:paraId="5368DE6E" w14:textId="77777777" w:rsidR="001D7D71" w:rsidRPr="00F33674" w:rsidRDefault="001D7D71" w:rsidP="001D7D71">
            <w:pPr>
              <w:rPr>
                <w:rFonts w:ascii="Arial Narrow" w:hAnsi="Arial Narrow" w:cs="Arial"/>
                <w:b/>
                <w:sz w:val="20"/>
                <w:szCs w:val="20"/>
              </w:rPr>
            </w:pPr>
            <w:r w:rsidRPr="00F33674">
              <w:rPr>
                <w:rFonts w:ascii="Arial Narrow" w:hAnsi="Arial Narrow" w:cs="Arial"/>
                <w:b/>
                <w:sz w:val="20"/>
                <w:szCs w:val="20"/>
              </w:rPr>
              <w:t>Clinical criteria:</w:t>
            </w:r>
          </w:p>
        </w:tc>
        <w:tc>
          <w:tcPr>
            <w:tcW w:w="6379" w:type="dxa"/>
            <w:tcBorders>
              <w:top w:val="single" w:sz="4" w:space="0" w:color="auto"/>
              <w:left w:val="single" w:sz="4" w:space="0" w:color="auto"/>
              <w:bottom w:val="single" w:sz="4" w:space="0" w:color="auto"/>
              <w:right w:val="single" w:sz="4" w:space="0" w:color="auto"/>
            </w:tcBorders>
          </w:tcPr>
          <w:p w14:paraId="792A022A" w14:textId="43C6F3F8" w:rsidR="001D7D71" w:rsidRPr="00F33674" w:rsidRDefault="001D7D71" w:rsidP="001D7D71">
            <w:pPr>
              <w:jc w:val="left"/>
              <w:rPr>
                <w:rFonts w:ascii="Arial Narrow" w:hAnsi="Arial Narrow" w:cs="Arial"/>
                <w:sz w:val="20"/>
                <w:szCs w:val="20"/>
              </w:rPr>
            </w:pPr>
            <w:r w:rsidRPr="00F33674">
              <w:rPr>
                <w:rFonts w:ascii="Arial Narrow" w:hAnsi="Arial Narrow" w:cs="Arial"/>
                <w:sz w:val="20"/>
                <w:szCs w:val="20"/>
              </w:rPr>
              <w:t>[new] The condition must require daily, continuous, long term treatment</w:t>
            </w:r>
          </w:p>
          <w:p w14:paraId="5BA20E27" w14:textId="77777777" w:rsidR="001D7D71" w:rsidRPr="00F33674" w:rsidRDefault="001D7D71" w:rsidP="001D7D71">
            <w:pPr>
              <w:jc w:val="left"/>
              <w:rPr>
                <w:rFonts w:ascii="Arial Narrow" w:hAnsi="Arial Narrow" w:cs="Arial"/>
                <w:sz w:val="20"/>
                <w:szCs w:val="20"/>
              </w:rPr>
            </w:pPr>
          </w:p>
          <w:p w14:paraId="7305C29C" w14:textId="77777777" w:rsidR="001D7D71" w:rsidRPr="00F33674" w:rsidRDefault="001D7D71" w:rsidP="001D7D71">
            <w:pPr>
              <w:jc w:val="left"/>
              <w:rPr>
                <w:rFonts w:ascii="Arial Narrow" w:hAnsi="Arial Narrow" w:cs="Arial"/>
                <w:sz w:val="20"/>
                <w:szCs w:val="20"/>
              </w:rPr>
            </w:pPr>
            <w:r w:rsidRPr="00F33674">
              <w:rPr>
                <w:rFonts w:ascii="Arial Narrow" w:hAnsi="Arial Narrow" w:cs="Arial"/>
                <w:sz w:val="20"/>
                <w:szCs w:val="20"/>
              </w:rPr>
              <w:t>AND</w:t>
            </w:r>
          </w:p>
          <w:p w14:paraId="3F07CFB6" w14:textId="77777777" w:rsidR="001D7D71" w:rsidRPr="00F33674" w:rsidRDefault="001D7D71" w:rsidP="001D7D71">
            <w:pPr>
              <w:jc w:val="left"/>
              <w:rPr>
                <w:rFonts w:ascii="Arial Narrow" w:hAnsi="Arial Narrow" w:cs="Arial"/>
                <w:sz w:val="20"/>
                <w:szCs w:val="20"/>
              </w:rPr>
            </w:pPr>
          </w:p>
          <w:p w14:paraId="29B84878" w14:textId="428A57AC" w:rsidR="001D7D71" w:rsidRPr="00F33674" w:rsidRDefault="001D7D71" w:rsidP="001D7D71">
            <w:pPr>
              <w:jc w:val="left"/>
              <w:rPr>
                <w:rFonts w:ascii="Arial Narrow" w:hAnsi="Arial Narrow" w:cs="Arial"/>
                <w:sz w:val="20"/>
                <w:szCs w:val="20"/>
              </w:rPr>
            </w:pPr>
            <w:r w:rsidRPr="00F33674">
              <w:rPr>
                <w:rFonts w:ascii="Arial Narrow" w:hAnsi="Arial Narrow" w:cs="Arial"/>
                <w:sz w:val="20"/>
                <w:szCs w:val="20"/>
              </w:rPr>
              <w:t xml:space="preserve">[18096] Patient must have </w:t>
            </w:r>
            <w:r>
              <w:rPr>
                <w:rFonts w:ascii="Arial Narrow" w:hAnsi="Arial Narrow" w:cs="Arial"/>
                <w:sz w:val="20"/>
                <w:szCs w:val="20"/>
              </w:rPr>
              <w:t xml:space="preserve">cancer </w:t>
            </w:r>
            <w:r w:rsidRPr="00F33674">
              <w:rPr>
                <w:rFonts w:ascii="Arial Narrow" w:hAnsi="Arial Narrow" w:cs="Arial"/>
                <w:sz w:val="20"/>
                <w:szCs w:val="20"/>
              </w:rPr>
              <w:t>pain</w:t>
            </w:r>
          </w:p>
          <w:p w14:paraId="1DC0E4C9" w14:textId="77777777" w:rsidR="001D7D71" w:rsidRPr="00F33674" w:rsidRDefault="001D7D71" w:rsidP="001D7D71">
            <w:pPr>
              <w:jc w:val="left"/>
              <w:rPr>
                <w:rFonts w:ascii="Arial Narrow" w:hAnsi="Arial Narrow" w:cs="Arial"/>
                <w:sz w:val="20"/>
                <w:szCs w:val="20"/>
              </w:rPr>
            </w:pPr>
            <w:r w:rsidRPr="00F33674">
              <w:rPr>
                <w:rFonts w:ascii="Arial Narrow" w:hAnsi="Arial Narrow" w:cs="Arial"/>
                <w:sz w:val="20"/>
                <w:szCs w:val="20"/>
              </w:rPr>
              <w:t>OR</w:t>
            </w:r>
          </w:p>
          <w:p w14:paraId="0C15A78C" w14:textId="7BCF26F0" w:rsidR="001D7D71" w:rsidRPr="00F33674" w:rsidRDefault="001D7D71" w:rsidP="001D7D71">
            <w:pPr>
              <w:jc w:val="left"/>
              <w:rPr>
                <w:rFonts w:ascii="Arial Narrow" w:hAnsi="Arial Narrow" w:cs="Arial"/>
                <w:sz w:val="20"/>
                <w:szCs w:val="20"/>
              </w:rPr>
            </w:pPr>
            <w:r w:rsidRPr="00F33674">
              <w:rPr>
                <w:rFonts w:ascii="Arial Narrow" w:hAnsi="Arial Narrow" w:cs="Arial"/>
                <w:sz w:val="20"/>
                <w:szCs w:val="20"/>
              </w:rPr>
              <w:t>[new] Patient must have</w:t>
            </w:r>
            <w:r>
              <w:rPr>
                <w:rFonts w:ascii="Arial Narrow" w:hAnsi="Arial Narrow" w:cs="Arial"/>
                <w:sz w:val="20"/>
                <w:szCs w:val="20"/>
              </w:rPr>
              <w:t xml:space="preserve"> had or would have</w:t>
            </w:r>
            <w:r w:rsidRPr="00F33674">
              <w:rPr>
                <w:rFonts w:ascii="Arial Narrow" w:hAnsi="Arial Narrow" w:cs="Arial"/>
                <w:sz w:val="20"/>
                <w:szCs w:val="20"/>
              </w:rPr>
              <w:t xml:space="preserve"> inadequate</w:t>
            </w:r>
            <w:r>
              <w:rPr>
                <w:rFonts w:ascii="Arial Narrow" w:hAnsi="Arial Narrow" w:cs="Arial"/>
                <w:sz w:val="20"/>
                <w:szCs w:val="20"/>
              </w:rPr>
              <w:t xml:space="preserve"> pain</w:t>
            </w:r>
            <w:r w:rsidRPr="00F33674">
              <w:rPr>
                <w:rFonts w:ascii="Arial Narrow" w:hAnsi="Arial Narrow" w:cs="Arial"/>
                <w:sz w:val="20"/>
                <w:szCs w:val="20"/>
              </w:rPr>
              <w:t xml:space="preserve"> management </w:t>
            </w:r>
            <w:r>
              <w:rPr>
                <w:rFonts w:ascii="Arial Narrow" w:hAnsi="Arial Narrow" w:cs="Arial"/>
                <w:sz w:val="20"/>
                <w:szCs w:val="20"/>
              </w:rPr>
              <w:t>with</w:t>
            </w:r>
            <w:r w:rsidRPr="00F33674">
              <w:rPr>
                <w:rFonts w:ascii="Arial Narrow" w:hAnsi="Arial Narrow" w:cs="Arial"/>
                <w:sz w:val="20"/>
                <w:szCs w:val="20"/>
              </w:rPr>
              <w:t xml:space="preserve"> maximum tolerated doses of non-opioid or other opioid analgesics</w:t>
            </w:r>
          </w:p>
          <w:p w14:paraId="598616EB" w14:textId="77777777" w:rsidR="001D7D71" w:rsidRPr="00F33674" w:rsidRDefault="001D7D71" w:rsidP="001D7D71">
            <w:pPr>
              <w:jc w:val="left"/>
              <w:rPr>
                <w:rFonts w:ascii="Arial Narrow" w:hAnsi="Arial Narrow" w:cs="Arial"/>
                <w:sz w:val="20"/>
                <w:szCs w:val="20"/>
              </w:rPr>
            </w:pPr>
            <w:r w:rsidRPr="00F33674">
              <w:rPr>
                <w:rFonts w:ascii="Arial Narrow" w:hAnsi="Arial Narrow" w:cs="Arial"/>
                <w:sz w:val="20"/>
                <w:szCs w:val="20"/>
              </w:rPr>
              <w:t>OR</w:t>
            </w:r>
          </w:p>
          <w:p w14:paraId="082A1C8D" w14:textId="37CB061A" w:rsidR="001D7D71" w:rsidRPr="00F33674" w:rsidRDefault="001D7D71">
            <w:pPr>
              <w:jc w:val="left"/>
              <w:rPr>
                <w:rFonts w:ascii="Arial Narrow" w:hAnsi="Arial Narrow" w:cs="Arial"/>
                <w:sz w:val="20"/>
                <w:szCs w:val="20"/>
              </w:rPr>
            </w:pPr>
            <w:r w:rsidRPr="00F33674">
              <w:rPr>
                <w:rFonts w:ascii="Arial Narrow" w:hAnsi="Arial Narrow" w:cs="Arial"/>
                <w:sz w:val="20"/>
                <w:szCs w:val="20"/>
              </w:rPr>
              <w:t>[new] Patient must be unable to use non-opioid or other opioid analgesics due to contraindications or intolerance.</w:t>
            </w:r>
          </w:p>
        </w:tc>
      </w:tr>
      <w:tr w:rsidR="001D7D71" w:rsidRPr="00F33674" w14:paraId="439E1C85" w14:textId="77777777" w:rsidTr="00F33674">
        <w:trPr>
          <w:cantSplit/>
          <w:trHeight w:val="360"/>
        </w:trPr>
        <w:tc>
          <w:tcPr>
            <w:tcW w:w="2835" w:type="dxa"/>
            <w:tcBorders>
              <w:top w:val="single" w:sz="4" w:space="0" w:color="auto"/>
              <w:left w:val="single" w:sz="4" w:space="0" w:color="auto"/>
              <w:bottom w:val="single" w:sz="4" w:space="0" w:color="auto"/>
              <w:right w:val="single" w:sz="4" w:space="0" w:color="auto"/>
            </w:tcBorders>
          </w:tcPr>
          <w:p w14:paraId="6054FCCF" w14:textId="77777777" w:rsidR="001D7D71" w:rsidRPr="00F33674" w:rsidRDefault="001D7D71" w:rsidP="001D7D71">
            <w:pPr>
              <w:rPr>
                <w:rFonts w:ascii="Arial Narrow" w:hAnsi="Arial Narrow" w:cs="Arial"/>
                <w:b/>
                <w:sz w:val="20"/>
                <w:szCs w:val="20"/>
              </w:rPr>
            </w:pPr>
            <w:r w:rsidRPr="00F33674">
              <w:rPr>
                <w:rFonts w:ascii="Arial Narrow" w:hAnsi="Arial Narrow" w:cs="Arial"/>
                <w:b/>
                <w:sz w:val="20"/>
                <w:szCs w:val="20"/>
              </w:rPr>
              <w:lastRenderedPageBreak/>
              <w:t>Prescriber instruction:</w:t>
            </w:r>
          </w:p>
        </w:tc>
        <w:tc>
          <w:tcPr>
            <w:tcW w:w="6379" w:type="dxa"/>
            <w:tcBorders>
              <w:top w:val="single" w:sz="4" w:space="0" w:color="auto"/>
              <w:left w:val="single" w:sz="4" w:space="0" w:color="auto"/>
              <w:bottom w:val="single" w:sz="4" w:space="0" w:color="auto"/>
              <w:right w:val="single" w:sz="4" w:space="0" w:color="auto"/>
            </w:tcBorders>
          </w:tcPr>
          <w:p w14:paraId="27C60004" w14:textId="6A666ED5" w:rsidR="001D7D71" w:rsidRPr="00F33674" w:rsidRDefault="001D7D71" w:rsidP="00193259">
            <w:pPr>
              <w:jc w:val="left"/>
              <w:rPr>
                <w:rFonts w:ascii="Arial Narrow" w:hAnsi="Arial Narrow" w:cs="Arial"/>
                <w:sz w:val="20"/>
                <w:szCs w:val="20"/>
              </w:rPr>
            </w:pPr>
            <w:r w:rsidRPr="00F33674">
              <w:rPr>
                <w:rFonts w:ascii="Arial Narrow" w:hAnsi="Arial Narrow" w:cs="Arial"/>
                <w:sz w:val="20"/>
                <w:szCs w:val="20"/>
              </w:rPr>
              <w:t>[new] Authorities for increased maximum quantities and/or repeats</w:t>
            </w:r>
            <w:r w:rsidR="00BB2EAC">
              <w:rPr>
                <w:rFonts w:ascii="Arial Narrow" w:hAnsi="Arial Narrow" w:cs="Arial"/>
                <w:sz w:val="20"/>
                <w:szCs w:val="20"/>
              </w:rPr>
              <w:t xml:space="preserve"> under this restriction</w:t>
            </w:r>
            <w:r w:rsidRPr="00F33674">
              <w:rPr>
                <w:rFonts w:ascii="Arial Narrow" w:hAnsi="Arial Narrow" w:cs="Arial"/>
                <w:sz w:val="20"/>
                <w:szCs w:val="20"/>
              </w:rPr>
              <w:t xml:space="preserve"> </w:t>
            </w:r>
            <w:proofErr w:type="gramStart"/>
            <w:r w:rsidRPr="00F33674">
              <w:rPr>
                <w:rFonts w:ascii="Arial Narrow" w:hAnsi="Arial Narrow" w:cs="Arial"/>
                <w:sz w:val="20"/>
                <w:szCs w:val="20"/>
              </w:rPr>
              <w:t>will be granted</w:t>
            </w:r>
            <w:proofErr w:type="gramEnd"/>
            <w:r w:rsidRPr="00F33674">
              <w:rPr>
                <w:rFonts w:ascii="Arial Narrow" w:hAnsi="Arial Narrow" w:cs="Arial"/>
                <w:sz w:val="20"/>
                <w:szCs w:val="20"/>
              </w:rPr>
              <w:t xml:space="preserve"> only for chronic severe disabling pain</w:t>
            </w:r>
            <w:r>
              <w:rPr>
                <w:rFonts w:ascii="Arial Narrow" w:hAnsi="Arial Narrow" w:cs="Arial"/>
                <w:sz w:val="20"/>
                <w:szCs w:val="20"/>
              </w:rPr>
              <w:t xml:space="preserve"> </w:t>
            </w:r>
            <w:r w:rsidRPr="00F33674">
              <w:rPr>
                <w:rFonts w:ascii="Arial Narrow" w:hAnsi="Arial Narrow" w:cs="Arial"/>
                <w:sz w:val="20"/>
                <w:szCs w:val="20"/>
              </w:rPr>
              <w:t>where the total duration of non-PBS and PBS subsidised opioid analgesic treatment is less than 12 months.</w:t>
            </w:r>
          </w:p>
          <w:p w14:paraId="71FB5325" w14:textId="77777777" w:rsidR="001D7D71" w:rsidRPr="00F33674" w:rsidRDefault="001D7D71" w:rsidP="001D7D71">
            <w:pPr>
              <w:jc w:val="left"/>
              <w:rPr>
                <w:rFonts w:ascii="Arial Narrow" w:hAnsi="Arial Narrow" w:cs="Arial"/>
                <w:sz w:val="20"/>
                <w:szCs w:val="20"/>
              </w:rPr>
            </w:pPr>
          </w:p>
          <w:p w14:paraId="51B1AD66" w14:textId="77777777" w:rsidR="001D7D71" w:rsidRPr="00F33674" w:rsidRDefault="001D7D71" w:rsidP="001D7D71">
            <w:pPr>
              <w:jc w:val="left"/>
              <w:rPr>
                <w:rFonts w:ascii="Arial Narrow" w:hAnsi="Arial Narrow" w:cs="Arial"/>
                <w:sz w:val="20"/>
                <w:szCs w:val="20"/>
              </w:rPr>
            </w:pPr>
            <w:r w:rsidRPr="00F33674">
              <w:rPr>
                <w:rFonts w:ascii="Arial Narrow" w:hAnsi="Arial Narrow" w:cs="Arial"/>
                <w:sz w:val="20"/>
                <w:szCs w:val="20"/>
              </w:rPr>
              <w:t>[new] Authority requests extending treatment duration up to 1 month may be requested though the Online PBS Authorities system or by calling Services Australia.</w:t>
            </w:r>
          </w:p>
          <w:p w14:paraId="2855FEBE" w14:textId="77777777" w:rsidR="001D7D71" w:rsidRPr="00F33674" w:rsidRDefault="001D7D71" w:rsidP="001D7D71">
            <w:pPr>
              <w:jc w:val="left"/>
              <w:rPr>
                <w:rFonts w:ascii="Arial Narrow" w:hAnsi="Arial Narrow" w:cs="Arial"/>
                <w:sz w:val="20"/>
                <w:szCs w:val="20"/>
              </w:rPr>
            </w:pPr>
          </w:p>
          <w:p w14:paraId="061A8CF4" w14:textId="5C52EF58" w:rsidR="001D7D71" w:rsidRPr="00F33674" w:rsidRDefault="001D7D71" w:rsidP="001D7D71">
            <w:pPr>
              <w:jc w:val="left"/>
              <w:rPr>
                <w:rFonts w:ascii="Arial Narrow" w:hAnsi="Arial Narrow" w:cs="Arial"/>
                <w:sz w:val="20"/>
                <w:szCs w:val="20"/>
              </w:rPr>
            </w:pPr>
            <w:r w:rsidRPr="00F33674">
              <w:rPr>
                <w:rFonts w:ascii="Arial Narrow" w:hAnsi="Arial Narrow" w:cs="Arial"/>
                <w:sz w:val="20"/>
                <w:szCs w:val="20"/>
              </w:rPr>
              <w:t xml:space="preserve">Authority requests extending treatment duration beyond 1 month </w:t>
            </w:r>
            <w:r w:rsidRPr="002C1329">
              <w:rPr>
                <w:rFonts w:ascii="Arial Narrow" w:hAnsi="Arial Narrow" w:cs="Arial"/>
                <w:sz w:val="20"/>
                <w:szCs w:val="20"/>
              </w:rPr>
              <w:t>may be requested through the Online PBS Authorities system</w:t>
            </w:r>
            <w:r w:rsidRPr="00F33674">
              <w:rPr>
                <w:rFonts w:ascii="Arial Narrow" w:hAnsi="Arial Narrow" w:cs="Arial"/>
                <w:sz w:val="20"/>
                <w:szCs w:val="20"/>
              </w:rPr>
              <w:t xml:space="preserve"> or in writing only and must not provide a treatment duration exceeding 3 months</w:t>
            </w:r>
            <w:r>
              <w:rPr>
                <w:rFonts w:ascii="Arial Narrow" w:hAnsi="Arial Narrow" w:cs="Arial"/>
                <w:sz w:val="20"/>
                <w:szCs w:val="20"/>
              </w:rPr>
              <w:t xml:space="preserve"> (</w:t>
            </w:r>
            <w:r w:rsidRPr="002C1329">
              <w:rPr>
                <w:rFonts w:ascii="Arial Narrow" w:hAnsi="Arial Narrow" w:cs="Arial"/>
                <w:sz w:val="20"/>
                <w:szCs w:val="20"/>
              </w:rPr>
              <w:t xml:space="preserve">quantity sufficient for up to </w:t>
            </w:r>
            <w:proofErr w:type="gramStart"/>
            <w:r w:rsidRPr="002C1329">
              <w:rPr>
                <w:rFonts w:ascii="Arial Narrow" w:hAnsi="Arial Narrow" w:cs="Arial"/>
                <w:sz w:val="20"/>
                <w:szCs w:val="20"/>
              </w:rPr>
              <w:t>1 month</w:t>
            </w:r>
            <w:proofErr w:type="gramEnd"/>
            <w:r w:rsidRPr="002C1329">
              <w:rPr>
                <w:rFonts w:ascii="Arial Narrow" w:hAnsi="Arial Narrow" w:cs="Arial"/>
                <w:sz w:val="20"/>
                <w:szCs w:val="20"/>
              </w:rPr>
              <w:t xml:space="preserve"> treatment and sufficient repeats)</w:t>
            </w:r>
            <w:r w:rsidRPr="00F33674">
              <w:rPr>
                <w:rFonts w:ascii="Arial Narrow" w:hAnsi="Arial Narrow" w:cs="Arial"/>
                <w:sz w:val="20"/>
                <w:szCs w:val="20"/>
              </w:rPr>
              <w:t>.</w:t>
            </w:r>
          </w:p>
        </w:tc>
      </w:tr>
      <w:tr w:rsidR="001D7D71" w:rsidRPr="00F33674" w14:paraId="6363BAD5" w14:textId="77777777" w:rsidTr="00F33674">
        <w:trPr>
          <w:cantSplit/>
          <w:trHeight w:val="360"/>
        </w:trPr>
        <w:tc>
          <w:tcPr>
            <w:tcW w:w="2835" w:type="dxa"/>
            <w:tcBorders>
              <w:top w:val="single" w:sz="4" w:space="0" w:color="auto"/>
              <w:left w:val="single" w:sz="4" w:space="0" w:color="auto"/>
              <w:bottom w:val="single" w:sz="4" w:space="0" w:color="auto"/>
              <w:right w:val="single" w:sz="4" w:space="0" w:color="auto"/>
            </w:tcBorders>
          </w:tcPr>
          <w:p w14:paraId="23B8F6C8" w14:textId="77777777" w:rsidR="001D7D71" w:rsidRPr="00F33674" w:rsidRDefault="001D7D71" w:rsidP="001D7D71">
            <w:pPr>
              <w:rPr>
                <w:rFonts w:ascii="Arial Narrow" w:hAnsi="Arial Narrow" w:cs="Arial"/>
                <w:b/>
                <w:sz w:val="20"/>
                <w:szCs w:val="20"/>
              </w:rPr>
            </w:pPr>
            <w:r w:rsidRPr="00F33674">
              <w:rPr>
                <w:rFonts w:ascii="Arial Narrow" w:hAnsi="Arial Narrow" w:cs="Arial"/>
                <w:b/>
                <w:sz w:val="20"/>
                <w:szCs w:val="20"/>
              </w:rPr>
              <w:t>Administrative advice:</w:t>
            </w:r>
          </w:p>
        </w:tc>
        <w:tc>
          <w:tcPr>
            <w:tcW w:w="6379" w:type="dxa"/>
            <w:tcBorders>
              <w:top w:val="single" w:sz="4" w:space="0" w:color="auto"/>
              <w:left w:val="single" w:sz="4" w:space="0" w:color="auto"/>
              <w:bottom w:val="single" w:sz="4" w:space="0" w:color="auto"/>
              <w:right w:val="single" w:sz="4" w:space="0" w:color="auto"/>
            </w:tcBorders>
          </w:tcPr>
          <w:p w14:paraId="09E00FAE" w14:textId="77777777" w:rsidR="001D7D71" w:rsidRPr="00F33674" w:rsidRDefault="001D7D71" w:rsidP="001D7D71">
            <w:pPr>
              <w:jc w:val="left"/>
              <w:rPr>
                <w:rFonts w:ascii="Arial Narrow" w:hAnsi="Arial Narrow" w:cs="Arial"/>
                <w:sz w:val="20"/>
                <w:szCs w:val="20"/>
              </w:rPr>
            </w:pPr>
            <w:r w:rsidRPr="00F33674">
              <w:rPr>
                <w:rFonts w:ascii="Arial Narrow" w:hAnsi="Arial Narrow" w:cs="Arial"/>
                <w:sz w:val="20"/>
                <w:szCs w:val="20"/>
              </w:rPr>
              <w:t>[new] This treatment is not suitable for ‘as-required’ pain relief.</w:t>
            </w:r>
          </w:p>
          <w:p w14:paraId="73C64273" w14:textId="77777777" w:rsidR="001D7D71" w:rsidRPr="00F33674" w:rsidRDefault="001D7D71" w:rsidP="001D7D71">
            <w:pPr>
              <w:jc w:val="left"/>
              <w:rPr>
                <w:rFonts w:ascii="Arial Narrow" w:hAnsi="Arial Narrow" w:cs="Arial"/>
                <w:sz w:val="20"/>
                <w:szCs w:val="20"/>
              </w:rPr>
            </w:pPr>
          </w:p>
          <w:p w14:paraId="17F0377B" w14:textId="77777777" w:rsidR="001D7D71" w:rsidRPr="00F33674" w:rsidRDefault="001D7D71" w:rsidP="001D7D71">
            <w:pPr>
              <w:jc w:val="left"/>
              <w:rPr>
                <w:rFonts w:ascii="Arial Narrow" w:hAnsi="Arial Narrow" w:cs="Arial"/>
                <w:sz w:val="20"/>
                <w:szCs w:val="20"/>
              </w:rPr>
            </w:pPr>
            <w:r w:rsidRPr="00F33674">
              <w:rPr>
                <w:rFonts w:ascii="Arial Narrow" w:hAnsi="Arial Narrow" w:cs="Arial"/>
                <w:sz w:val="20"/>
                <w:szCs w:val="20"/>
              </w:rPr>
              <w:t xml:space="preserve">[7901] Shared Care Model: For prescribing by nurse practitioners where care of a patient </w:t>
            </w:r>
            <w:proofErr w:type="gramStart"/>
            <w:r w:rsidRPr="00F33674">
              <w:rPr>
                <w:rFonts w:ascii="Arial Narrow" w:hAnsi="Arial Narrow" w:cs="Arial"/>
                <w:sz w:val="20"/>
                <w:szCs w:val="20"/>
              </w:rPr>
              <w:t>is shared</w:t>
            </w:r>
            <w:proofErr w:type="gramEnd"/>
            <w:r w:rsidRPr="00F33674">
              <w:rPr>
                <w:rFonts w:ascii="Arial Narrow" w:hAnsi="Arial Narrow" w:cs="Arial"/>
                <w:sz w:val="20"/>
                <w:szCs w:val="20"/>
              </w:rPr>
              <w:t xml:space="preserve"> between a nurse practitioner and medical practitioner in a formalised arrangement with an agreed management plan. Further information </w:t>
            </w:r>
            <w:proofErr w:type="gramStart"/>
            <w:r w:rsidRPr="00F33674">
              <w:rPr>
                <w:rFonts w:ascii="Arial Narrow" w:hAnsi="Arial Narrow" w:cs="Arial"/>
                <w:sz w:val="20"/>
                <w:szCs w:val="20"/>
              </w:rPr>
              <w:t>can be found</w:t>
            </w:r>
            <w:proofErr w:type="gramEnd"/>
            <w:r w:rsidRPr="00F33674">
              <w:rPr>
                <w:rFonts w:ascii="Arial Narrow" w:hAnsi="Arial Narrow" w:cs="Arial"/>
                <w:sz w:val="20"/>
                <w:szCs w:val="20"/>
              </w:rPr>
              <w:t xml:space="preserve"> in the Explanatory Notes for Nurse Practitioners.</w:t>
            </w:r>
          </w:p>
          <w:p w14:paraId="758D2D57" w14:textId="77777777" w:rsidR="001D7D71" w:rsidRPr="00F33674" w:rsidRDefault="001D7D71" w:rsidP="001D7D71">
            <w:pPr>
              <w:jc w:val="left"/>
              <w:rPr>
                <w:rFonts w:ascii="Arial Narrow" w:hAnsi="Arial Narrow" w:cs="Arial"/>
                <w:sz w:val="20"/>
                <w:szCs w:val="20"/>
              </w:rPr>
            </w:pPr>
          </w:p>
          <w:p w14:paraId="441163A2" w14:textId="77777777" w:rsidR="001D7D71" w:rsidRPr="00F33674" w:rsidRDefault="001D7D71" w:rsidP="001D7D71">
            <w:pPr>
              <w:jc w:val="left"/>
              <w:rPr>
                <w:rFonts w:ascii="Arial Narrow" w:hAnsi="Arial Narrow" w:cs="Arial"/>
                <w:sz w:val="20"/>
                <w:szCs w:val="20"/>
              </w:rPr>
            </w:pPr>
            <w:r w:rsidRPr="00F33674">
              <w:rPr>
                <w:rFonts w:ascii="Arial Narrow" w:hAnsi="Arial Narrow" w:cs="Arial"/>
                <w:sz w:val="20"/>
                <w:szCs w:val="20"/>
              </w:rPr>
              <w:t>[21221] OxyContin and Novacodone modified release tablets are intended to be crush-deterrent and to reduce the rapid release of oxycodone upon accidental or intentional misuse.</w:t>
            </w:r>
          </w:p>
          <w:p w14:paraId="6A280F99" w14:textId="77777777" w:rsidR="001D7D71" w:rsidRPr="00F33674" w:rsidRDefault="001D7D71" w:rsidP="001D7D71">
            <w:pPr>
              <w:jc w:val="left"/>
              <w:rPr>
                <w:rFonts w:ascii="Arial Narrow" w:hAnsi="Arial Narrow" w:cs="Arial"/>
                <w:sz w:val="20"/>
                <w:szCs w:val="20"/>
              </w:rPr>
            </w:pPr>
          </w:p>
          <w:p w14:paraId="1DEB40F1" w14:textId="77777777" w:rsidR="001D7D71" w:rsidRPr="00F33674" w:rsidRDefault="001D7D71" w:rsidP="001D7D71">
            <w:pPr>
              <w:jc w:val="left"/>
              <w:rPr>
                <w:rFonts w:ascii="Arial Narrow" w:hAnsi="Arial Narrow" w:cs="Arial"/>
                <w:sz w:val="20"/>
                <w:szCs w:val="20"/>
              </w:rPr>
            </w:pPr>
            <w:r w:rsidRPr="00F33674">
              <w:rPr>
                <w:rFonts w:ascii="Arial Narrow" w:hAnsi="Arial Narrow" w:cs="Arial"/>
                <w:sz w:val="20"/>
                <w:szCs w:val="20"/>
              </w:rPr>
              <w:t>[new] Real time online applications for increased maximum quantities/repeats may be made using the Online PBS Authorities system (see www.servicesaustralia.gov.au/organisations/health-professionals/services/medicare/hpos/services/request-authority-using-online-pbs-authorities-hpos)</w:t>
            </w:r>
          </w:p>
          <w:p w14:paraId="652727A7" w14:textId="77777777" w:rsidR="001D7D71" w:rsidRPr="00F33674" w:rsidRDefault="001D7D71" w:rsidP="001D7D71">
            <w:pPr>
              <w:jc w:val="left"/>
              <w:rPr>
                <w:rFonts w:ascii="Arial Narrow" w:hAnsi="Arial Narrow" w:cs="Arial"/>
                <w:sz w:val="20"/>
                <w:szCs w:val="20"/>
              </w:rPr>
            </w:pPr>
          </w:p>
          <w:p w14:paraId="2A292429" w14:textId="74B4E57F" w:rsidR="001D7D71" w:rsidRPr="00F33674" w:rsidRDefault="001D7D71" w:rsidP="001D7D71">
            <w:pPr>
              <w:jc w:val="left"/>
              <w:rPr>
                <w:rFonts w:ascii="Arial Narrow" w:hAnsi="Arial Narrow" w:cs="Arial"/>
                <w:sz w:val="20"/>
                <w:szCs w:val="20"/>
              </w:rPr>
            </w:pPr>
            <w:r w:rsidRPr="00F33674">
              <w:rPr>
                <w:rFonts w:ascii="Arial Narrow" w:hAnsi="Arial Narrow" w:cs="Arial"/>
                <w:sz w:val="20"/>
                <w:szCs w:val="20"/>
              </w:rPr>
              <w:t>Phone applications for increased maximum quantities/repeats may be made by calling 1800 888 333.</w:t>
            </w:r>
          </w:p>
          <w:p w14:paraId="075D015B" w14:textId="77777777" w:rsidR="001D7D71" w:rsidRPr="00F33674" w:rsidRDefault="001D7D71" w:rsidP="001D7D71">
            <w:pPr>
              <w:jc w:val="left"/>
              <w:rPr>
                <w:rFonts w:ascii="Arial Narrow" w:hAnsi="Arial Narrow" w:cs="Arial"/>
                <w:sz w:val="20"/>
                <w:szCs w:val="20"/>
              </w:rPr>
            </w:pPr>
          </w:p>
          <w:p w14:paraId="1609A5FA" w14:textId="77777777" w:rsidR="001D7D71" w:rsidRPr="00F33674" w:rsidRDefault="001D7D71" w:rsidP="001D7D71">
            <w:pPr>
              <w:jc w:val="left"/>
              <w:rPr>
                <w:rFonts w:ascii="Arial Narrow" w:hAnsi="Arial Narrow" w:cs="Arial"/>
                <w:sz w:val="20"/>
                <w:szCs w:val="20"/>
              </w:rPr>
            </w:pPr>
            <w:r w:rsidRPr="00F33674">
              <w:rPr>
                <w:rFonts w:ascii="Arial Narrow" w:hAnsi="Arial Narrow" w:cs="Arial"/>
                <w:sz w:val="20"/>
                <w:szCs w:val="20"/>
              </w:rPr>
              <w:t>Written authority applications for increased maximum quantities/repeats can be uploaded online through HPOS form upload or mailed to:</w:t>
            </w:r>
          </w:p>
          <w:p w14:paraId="0B3117DA" w14:textId="77777777" w:rsidR="001D7D71" w:rsidRPr="00F33674" w:rsidRDefault="001D7D71" w:rsidP="001D7D71">
            <w:pPr>
              <w:jc w:val="left"/>
              <w:rPr>
                <w:rFonts w:ascii="Arial Narrow" w:hAnsi="Arial Narrow" w:cs="Arial"/>
                <w:sz w:val="20"/>
                <w:szCs w:val="20"/>
              </w:rPr>
            </w:pPr>
            <w:r w:rsidRPr="00F33674">
              <w:rPr>
                <w:rFonts w:ascii="Arial Narrow" w:hAnsi="Arial Narrow" w:cs="Arial"/>
                <w:sz w:val="20"/>
                <w:szCs w:val="20"/>
              </w:rPr>
              <w:t>Pharmaceutical Benefits Scheme</w:t>
            </w:r>
          </w:p>
          <w:p w14:paraId="756CCA3A" w14:textId="77777777" w:rsidR="001D7D71" w:rsidRPr="00F33674" w:rsidRDefault="001D7D71" w:rsidP="001D7D71">
            <w:pPr>
              <w:jc w:val="left"/>
              <w:rPr>
                <w:rFonts w:ascii="Arial Narrow" w:hAnsi="Arial Narrow" w:cs="Arial"/>
                <w:sz w:val="20"/>
                <w:szCs w:val="20"/>
              </w:rPr>
            </w:pPr>
            <w:r w:rsidRPr="00F33674">
              <w:rPr>
                <w:rFonts w:ascii="Arial Narrow" w:hAnsi="Arial Narrow" w:cs="Arial"/>
                <w:sz w:val="20"/>
                <w:szCs w:val="20"/>
              </w:rPr>
              <w:t>Reply Paid 9857</w:t>
            </w:r>
          </w:p>
          <w:p w14:paraId="69971093" w14:textId="77777777" w:rsidR="001D7D71" w:rsidRPr="00F33674" w:rsidRDefault="001D7D71" w:rsidP="001D7D71">
            <w:pPr>
              <w:jc w:val="left"/>
              <w:rPr>
                <w:rFonts w:ascii="Arial Narrow" w:hAnsi="Arial Narrow" w:cs="Arial"/>
                <w:i/>
                <w:sz w:val="20"/>
                <w:szCs w:val="20"/>
              </w:rPr>
            </w:pPr>
            <w:r w:rsidRPr="00F33674">
              <w:rPr>
                <w:rFonts w:ascii="Arial Narrow" w:hAnsi="Arial Narrow" w:cs="Arial"/>
                <w:sz w:val="20"/>
                <w:szCs w:val="20"/>
              </w:rPr>
              <w:t>[Your capital city]</w:t>
            </w:r>
          </w:p>
        </w:tc>
      </w:tr>
      <w:tr w:rsidR="001D7D71" w:rsidRPr="00F33674" w14:paraId="4DDA3BC4" w14:textId="77777777" w:rsidTr="00F33674">
        <w:trPr>
          <w:cantSplit/>
          <w:trHeight w:val="360"/>
        </w:trPr>
        <w:tc>
          <w:tcPr>
            <w:tcW w:w="2835" w:type="dxa"/>
            <w:tcBorders>
              <w:top w:val="single" w:sz="4" w:space="0" w:color="auto"/>
              <w:left w:val="single" w:sz="4" w:space="0" w:color="auto"/>
              <w:bottom w:val="single" w:sz="4" w:space="0" w:color="auto"/>
              <w:right w:val="single" w:sz="4" w:space="0" w:color="auto"/>
            </w:tcBorders>
          </w:tcPr>
          <w:p w14:paraId="040358A5" w14:textId="77777777" w:rsidR="001D7D71" w:rsidRPr="00F33674" w:rsidRDefault="001D7D71" w:rsidP="001D7D71">
            <w:pPr>
              <w:rPr>
                <w:rFonts w:ascii="Arial Narrow" w:hAnsi="Arial Narrow" w:cs="Arial"/>
                <w:b/>
                <w:sz w:val="20"/>
                <w:szCs w:val="20"/>
              </w:rPr>
            </w:pPr>
            <w:r w:rsidRPr="00F33674">
              <w:rPr>
                <w:rFonts w:ascii="Arial Narrow" w:hAnsi="Arial Narrow" w:cs="Arial"/>
                <w:b/>
                <w:sz w:val="20"/>
                <w:szCs w:val="20"/>
              </w:rPr>
              <w:t>Cautions:</w:t>
            </w:r>
          </w:p>
        </w:tc>
        <w:tc>
          <w:tcPr>
            <w:tcW w:w="6379" w:type="dxa"/>
            <w:tcBorders>
              <w:top w:val="single" w:sz="4" w:space="0" w:color="auto"/>
              <w:left w:val="single" w:sz="4" w:space="0" w:color="auto"/>
              <w:bottom w:val="single" w:sz="4" w:space="0" w:color="auto"/>
              <w:right w:val="single" w:sz="4" w:space="0" w:color="auto"/>
            </w:tcBorders>
          </w:tcPr>
          <w:p w14:paraId="0F6C6E90" w14:textId="77777777" w:rsidR="001D7D71" w:rsidRPr="00F33674" w:rsidRDefault="001D7D71" w:rsidP="001D7D71">
            <w:pPr>
              <w:jc w:val="left"/>
              <w:rPr>
                <w:rFonts w:ascii="Arial Narrow" w:hAnsi="Arial Narrow" w:cs="Arial"/>
                <w:sz w:val="20"/>
                <w:szCs w:val="20"/>
              </w:rPr>
            </w:pPr>
            <w:r w:rsidRPr="00F33674">
              <w:rPr>
                <w:rFonts w:ascii="Arial Narrow" w:hAnsi="Arial Narrow" w:cs="Arial"/>
                <w:sz w:val="20"/>
                <w:szCs w:val="20"/>
              </w:rPr>
              <w:t>[6986] The risk of drug dependence is high.</w:t>
            </w:r>
          </w:p>
        </w:tc>
      </w:tr>
    </w:tbl>
    <w:p w14:paraId="0ED672C9" w14:textId="77777777" w:rsidR="00F51305" w:rsidRDefault="00F51305" w:rsidP="00F51305">
      <w:pPr>
        <w:pStyle w:val="3-BodyText"/>
        <w:numPr>
          <w:ilvl w:val="0"/>
          <w:numId w:val="0"/>
        </w:numPr>
        <w:ind w:left="720" w:hanging="720"/>
      </w:pPr>
      <w:bookmarkStart w:id="37" w:name="_Toc32300603"/>
    </w:p>
    <w:tbl>
      <w:tblPr>
        <w:tblW w:w="9214" w:type="dxa"/>
        <w:tblInd w:w="-5" w:type="dxa"/>
        <w:tblLayout w:type="fixed"/>
        <w:tblLook w:val="0000" w:firstRow="0" w:lastRow="0" w:firstColumn="0" w:lastColumn="0" w:noHBand="0" w:noVBand="0"/>
      </w:tblPr>
      <w:tblGrid>
        <w:gridCol w:w="2835"/>
        <w:gridCol w:w="6379"/>
      </w:tblGrid>
      <w:tr w:rsidR="00F51305" w:rsidRPr="00F33674" w14:paraId="2E642DD4" w14:textId="77777777" w:rsidTr="00E41546">
        <w:trPr>
          <w:cantSplit/>
          <w:trHeight w:val="360"/>
        </w:trPr>
        <w:tc>
          <w:tcPr>
            <w:tcW w:w="2835" w:type="dxa"/>
            <w:tcBorders>
              <w:top w:val="single" w:sz="4" w:space="0" w:color="auto"/>
              <w:left w:val="single" w:sz="4" w:space="0" w:color="auto"/>
              <w:bottom w:val="single" w:sz="4" w:space="0" w:color="auto"/>
              <w:right w:val="single" w:sz="4" w:space="0" w:color="auto"/>
            </w:tcBorders>
          </w:tcPr>
          <w:p w14:paraId="53FE41D0" w14:textId="77777777" w:rsidR="00F51305" w:rsidRPr="00F33674" w:rsidRDefault="00F51305" w:rsidP="00E41546">
            <w:pPr>
              <w:rPr>
                <w:rFonts w:ascii="Arial Narrow" w:hAnsi="Arial Narrow" w:cs="Arial"/>
                <w:b/>
                <w:sz w:val="20"/>
                <w:szCs w:val="20"/>
              </w:rPr>
            </w:pPr>
            <w:r w:rsidRPr="00F33674">
              <w:rPr>
                <w:rFonts w:ascii="Arial Narrow" w:hAnsi="Arial Narrow" w:cs="Arial"/>
                <w:b/>
                <w:sz w:val="20"/>
                <w:szCs w:val="20"/>
              </w:rPr>
              <w:t>Category / Program:</w:t>
            </w:r>
          </w:p>
        </w:tc>
        <w:tc>
          <w:tcPr>
            <w:tcW w:w="6379" w:type="dxa"/>
            <w:tcBorders>
              <w:top w:val="single" w:sz="4" w:space="0" w:color="auto"/>
              <w:left w:val="single" w:sz="4" w:space="0" w:color="auto"/>
              <w:bottom w:val="single" w:sz="4" w:space="0" w:color="auto"/>
              <w:right w:val="single" w:sz="4" w:space="0" w:color="auto"/>
            </w:tcBorders>
          </w:tcPr>
          <w:p w14:paraId="5C2FBCA0" w14:textId="77777777" w:rsidR="00F51305" w:rsidRPr="00F33674" w:rsidRDefault="00F51305" w:rsidP="00E41546">
            <w:pPr>
              <w:rPr>
                <w:rFonts w:ascii="Arial Narrow" w:hAnsi="Arial Narrow" w:cs="Arial"/>
                <w:sz w:val="20"/>
                <w:szCs w:val="20"/>
              </w:rPr>
            </w:pPr>
            <w:r w:rsidRPr="00F33674">
              <w:rPr>
                <w:rFonts w:ascii="Arial Narrow" w:hAnsi="Arial Narrow" w:cs="Arial"/>
                <w:sz w:val="20"/>
                <w:szCs w:val="20"/>
              </w:rPr>
              <w:t>GENERAL – General Schedule (Code GE)</w:t>
            </w:r>
          </w:p>
        </w:tc>
      </w:tr>
      <w:tr w:rsidR="00F51305" w:rsidRPr="00F33674" w14:paraId="1A4F4A5E" w14:textId="77777777" w:rsidTr="00E41546">
        <w:trPr>
          <w:cantSplit/>
          <w:trHeight w:val="360"/>
        </w:trPr>
        <w:tc>
          <w:tcPr>
            <w:tcW w:w="2835" w:type="dxa"/>
            <w:tcBorders>
              <w:top w:val="single" w:sz="4" w:space="0" w:color="auto"/>
              <w:left w:val="single" w:sz="4" w:space="0" w:color="auto"/>
              <w:bottom w:val="single" w:sz="4" w:space="0" w:color="auto"/>
              <w:right w:val="single" w:sz="4" w:space="0" w:color="auto"/>
            </w:tcBorders>
          </w:tcPr>
          <w:p w14:paraId="543EE07A" w14:textId="77777777" w:rsidR="00F51305" w:rsidRPr="00F33674" w:rsidRDefault="00F51305" w:rsidP="00E41546">
            <w:pPr>
              <w:rPr>
                <w:rFonts w:ascii="Arial Narrow" w:hAnsi="Arial Narrow" w:cs="Arial"/>
                <w:b/>
                <w:sz w:val="20"/>
                <w:szCs w:val="20"/>
              </w:rPr>
            </w:pPr>
            <w:r w:rsidRPr="00F33674">
              <w:rPr>
                <w:rFonts w:ascii="Arial Narrow" w:hAnsi="Arial Narrow" w:cs="Arial"/>
                <w:b/>
                <w:sz w:val="20"/>
                <w:szCs w:val="20"/>
              </w:rPr>
              <w:t>Prescriber type:</w:t>
            </w:r>
          </w:p>
          <w:p w14:paraId="0B368695" w14:textId="77777777" w:rsidR="00F51305" w:rsidRPr="00F33674" w:rsidRDefault="00F51305" w:rsidP="00E41546">
            <w:pPr>
              <w:rPr>
                <w:rFonts w:ascii="Arial Narrow" w:hAnsi="Arial Narrow" w:cs="Arial"/>
                <w:b/>
                <w:sz w:val="20"/>
                <w:szCs w:val="20"/>
              </w:rPr>
            </w:pPr>
          </w:p>
        </w:tc>
        <w:tc>
          <w:tcPr>
            <w:tcW w:w="6379" w:type="dxa"/>
            <w:tcBorders>
              <w:top w:val="single" w:sz="4" w:space="0" w:color="auto"/>
              <w:left w:val="single" w:sz="4" w:space="0" w:color="auto"/>
              <w:bottom w:val="single" w:sz="4" w:space="0" w:color="auto"/>
              <w:right w:val="single" w:sz="4" w:space="0" w:color="auto"/>
            </w:tcBorders>
          </w:tcPr>
          <w:p w14:paraId="45D5C8F0" w14:textId="77777777" w:rsidR="00F51305" w:rsidRPr="00F33674" w:rsidRDefault="00F51305" w:rsidP="00E41546">
            <w:pPr>
              <w:rPr>
                <w:rFonts w:ascii="Arial Narrow" w:hAnsi="Arial Narrow" w:cs="Arial"/>
                <w:sz w:val="20"/>
                <w:szCs w:val="20"/>
              </w:rPr>
            </w:pPr>
            <w:r w:rsidRPr="00F33674">
              <w:rPr>
                <w:rFonts w:ascii="Arial Narrow" w:hAnsi="Arial Narrow" w:cs="Arial"/>
                <w:sz w:val="20"/>
                <w:szCs w:val="20"/>
              </w:rPr>
              <w:fldChar w:fldCharType="begin">
                <w:ffData>
                  <w:name w:val="Check1"/>
                  <w:enabled/>
                  <w:calcOnExit w:val="0"/>
                  <w:checkBox>
                    <w:sizeAuto/>
                    <w:default w:val="0"/>
                  </w:checkBox>
                </w:ffData>
              </w:fldChar>
            </w:r>
            <w:r w:rsidRPr="00F33674">
              <w:rPr>
                <w:rFonts w:ascii="Arial Narrow" w:hAnsi="Arial Narrow" w:cs="Arial"/>
                <w:sz w:val="20"/>
                <w:szCs w:val="20"/>
              </w:rPr>
              <w:instrText xml:space="preserve"> FORMCHECKBOX </w:instrText>
            </w:r>
            <w:r w:rsidR="00233D13">
              <w:rPr>
                <w:rFonts w:ascii="Arial Narrow" w:hAnsi="Arial Narrow" w:cs="Arial"/>
                <w:sz w:val="20"/>
                <w:szCs w:val="20"/>
              </w:rPr>
            </w:r>
            <w:r w:rsidR="00233D13">
              <w:rPr>
                <w:rFonts w:ascii="Arial Narrow" w:hAnsi="Arial Narrow" w:cs="Arial"/>
                <w:sz w:val="20"/>
                <w:szCs w:val="20"/>
              </w:rPr>
              <w:fldChar w:fldCharType="separate"/>
            </w:r>
            <w:r w:rsidRPr="00F33674">
              <w:rPr>
                <w:rFonts w:ascii="Arial Narrow" w:hAnsi="Arial Narrow" w:cs="Arial"/>
                <w:sz w:val="20"/>
                <w:szCs w:val="20"/>
              </w:rPr>
              <w:fldChar w:fldCharType="end"/>
            </w:r>
            <w:r w:rsidRPr="00F33674">
              <w:rPr>
                <w:rFonts w:ascii="Arial Narrow" w:hAnsi="Arial Narrow" w:cs="Arial"/>
                <w:sz w:val="20"/>
                <w:szCs w:val="20"/>
              </w:rPr>
              <w:t>Dental</w:t>
            </w:r>
            <w:r>
              <w:rPr>
                <w:rFonts w:ascii="Arial Narrow" w:hAnsi="Arial Narrow" w:cs="Arial"/>
                <w:sz w:val="20"/>
                <w:szCs w:val="20"/>
              </w:rPr>
              <w:t xml:space="preserve"> </w:t>
            </w:r>
            <w:r w:rsidRPr="00F33674">
              <w:rPr>
                <w:rFonts w:ascii="Arial Narrow" w:hAnsi="Arial Narrow" w:cs="Arial"/>
                <w:sz w:val="20"/>
                <w:szCs w:val="20"/>
              </w:rPr>
              <w:fldChar w:fldCharType="begin">
                <w:ffData>
                  <w:name w:val=""/>
                  <w:enabled/>
                  <w:calcOnExit w:val="0"/>
                  <w:checkBox>
                    <w:sizeAuto/>
                    <w:default w:val="1"/>
                  </w:checkBox>
                </w:ffData>
              </w:fldChar>
            </w:r>
            <w:r w:rsidRPr="00F33674">
              <w:rPr>
                <w:rFonts w:ascii="Arial Narrow" w:hAnsi="Arial Narrow" w:cs="Arial"/>
                <w:sz w:val="20"/>
                <w:szCs w:val="20"/>
              </w:rPr>
              <w:instrText xml:space="preserve"> FORMCHECKBOX </w:instrText>
            </w:r>
            <w:r w:rsidR="00233D13">
              <w:rPr>
                <w:rFonts w:ascii="Arial Narrow" w:hAnsi="Arial Narrow" w:cs="Arial"/>
                <w:sz w:val="20"/>
                <w:szCs w:val="20"/>
              </w:rPr>
            </w:r>
            <w:r w:rsidR="00233D13">
              <w:rPr>
                <w:rFonts w:ascii="Arial Narrow" w:hAnsi="Arial Narrow" w:cs="Arial"/>
                <w:sz w:val="20"/>
                <w:szCs w:val="20"/>
              </w:rPr>
              <w:fldChar w:fldCharType="separate"/>
            </w:r>
            <w:r w:rsidRPr="00F33674">
              <w:rPr>
                <w:rFonts w:ascii="Arial Narrow" w:hAnsi="Arial Narrow" w:cs="Arial"/>
                <w:sz w:val="20"/>
                <w:szCs w:val="20"/>
              </w:rPr>
              <w:fldChar w:fldCharType="end"/>
            </w:r>
            <w:r w:rsidRPr="00F33674">
              <w:rPr>
                <w:rFonts w:ascii="Arial Narrow" w:hAnsi="Arial Narrow" w:cs="Arial"/>
                <w:sz w:val="20"/>
                <w:szCs w:val="20"/>
              </w:rPr>
              <w:t>Medical Practitioners</w:t>
            </w:r>
            <w:r>
              <w:rPr>
                <w:rFonts w:ascii="Arial Narrow" w:hAnsi="Arial Narrow" w:cs="Arial"/>
                <w:sz w:val="20"/>
                <w:szCs w:val="20"/>
              </w:rPr>
              <w:t xml:space="preserve"> </w:t>
            </w:r>
            <w:r w:rsidRPr="00F33674">
              <w:rPr>
                <w:rFonts w:ascii="Arial Narrow" w:hAnsi="Arial Narrow" w:cs="Arial"/>
                <w:sz w:val="20"/>
                <w:szCs w:val="20"/>
              </w:rPr>
              <w:fldChar w:fldCharType="begin">
                <w:ffData>
                  <w:name w:val="Check3"/>
                  <w:enabled/>
                  <w:calcOnExit w:val="0"/>
                  <w:checkBox>
                    <w:sizeAuto/>
                    <w:default w:val="1"/>
                  </w:checkBox>
                </w:ffData>
              </w:fldChar>
            </w:r>
            <w:r w:rsidRPr="00F33674">
              <w:rPr>
                <w:rFonts w:ascii="Arial Narrow" w:hAnsi="Arial Narrow" w:cs="Arial"/>
                <w:sz w:val="20"/>
                <w:szCs w:val="20"/>
              </w:rPr>
              <w:instrText xml:space="preserve"> FORMCHECKBOX </w:instrText>
            </w:r>
            <w:r w:rsidR="00233D13">
              <w:rPr>
                <w:rFonts w:ascii="Arial Narrow" w:hAnsi="Arial Narrow" w:cs="Arial"/>
                <w:sz w:val="20"/>
                <w:szCs w:val="20"/>
              </w:rPr>
            </w:r>
            <w:r w:rsidR="00233D13">
              <w:rPr>
                <w:rFonts w:ascii="Arial Narrow" w:hAnsi="Arial Narrow" w:cs="Arial"/>
                <w:sz w:val="20"/>
                <w:szCs w:val="20"/>
              </w:rPr>
              <w:fldChar w:fldCharType="separate"/>
            </w:r>
            <w:r w:rsidRPr="00F33674">
              <w:rPr>
                <w:rFonts w:ascii="Arial Narrow" w:hAnsi="Arial Narrow" w:cs="Arial"/>
                <w:sz w:val="20"/>
                <w:szCs w:val="20"/>
              </w:rPr>
              <w:fldChar w:fldCharType="end"/>
            </w:r>
            <w:r w:rsidRPr="00F33674">
              <w:rPr>
                <w:rFonts w:ascii="Arial Narrow" w:hAnsi="Arial Narrow" w:cs="Arial"/>
                <w:sz w:val="20"/>
                <w:szCs w:val="20"/>
              </w:rPr>
              <w:t>Nurse practitioners</w:t>
            </w:r>
            <w:r>
              <w:rPr>
                <w:rFonts w:ascii="Arial Narrow" w:hAnsi="Arial Narrow" w:cs="Arial"/>
                <w:sz w:val="20"/>
                <w:szCs w:val="20"/>
              </w:rPr>
              <w:t xml:space="preserve"> </w:t>
            </w:r>
            <w:r w:rsidRPr="00F33674">
              <w:rPr>
                <w:rFonts w:ascii="Arial Narrow" w:hAnsi="Arial Narrow" w:cs="Arial"/>
                <w:sz w:val="20"/>
                <w:szCs w:val="20"/>
              </w:rPr>
              <w:fldChar w:fldCharType="begin">
                <w:ffData>
                  <w:name w:val=""/>
                  <w:enabled/>
                  <w:calcOnExit w:val="0"/>
                  <w:checkBox>
                    <w:sizeAuto/>
                    <w:default w:val="0"/>
                  </w:checkBox>
                </w:ffData>
              </w:fldChar>
            </w:r>
            <w:r w:rsidRPr="00F33674">
              <w:rPr>
                <w:rFonts w:ascii="Arial Narrow" w:hAnsi="Arial Narrow" w:cs="Arial"/>
                <w:sz w:val="20"/>
                <w:szCs w:val="20"/>
              </w:rPr>
              <w:instrText xml:space="preserve"> FORMCHECKBOX </w:instrText>
            </w:r>
            <w:r w:rsidR="00233D13">
              <w:rPr>
                <w:rFonts w:ascii="Arial Narrow" w:hAnsi="Arial Narrow" w:cs="Arial"/>
                <w:sz w:val="20"/>
                <w:szCs w:val="20"/>
              </w:rPr>
            </w:r>
            <w:r w:rsidR="00233D13">
              <w:rPr>
                <w:rFonts w:ascii="Arial Narrow" w:hAnsi="Arial Narrow" w:cs="Arial"/>
                <w:sz w:val="20"/>
                <w:szCs w:val="20"/>
              </w:rPr>
              <w:fldChar w:fldCharType="separate"/>
            </w:r>
            <w:r w:rsidRPr="00F33674">
              <w:rPr>
                <w:rFonts w:ascii="Arial Narrow" w:hAnsi="Arial Narrow" w:cs="Arial"/>
                <w:sz w:val="20"/>
                <w:szCs w:val="20"/>
              </w:rPr>
              <w:fldChar w:fldCharType="end"/>
            </w:r>
            <w:r w:rsidRPr="00F33674">
              <w:rPr>
                <w:rFonts w:ascii="Arial Narrow" w:hAnsi="Arial Narrow" w:cs="Arial"/>
                <w:sz w:val="20"/>
                <w:szCs w:val="20"/>
              </w:rPr>
              <w:t>Optometrists</w:t>
            </w:r>
          </w:p>
          <w:p w14:paraId="358A6B9E" w14:textId="77777777" w:rsidR="00F51305" w:rsidRPr="00F33674" w:rsidRDefault="00F51305" w:rsidP="00E41546">
            <w:pPr>
              <w:rPr>
                <w:rFonts w:ascii="Arial Narrow" w:hAnsi="Arial Narrow" w:cs="Arial"/>
                <w:sz w:val="20"/>
                <w:szCs w:val="20"/>
              </w:rPr>
            </w:pPr>
            <w:r w:rsidRPr="00F33674">
              <w:rPr>
                <w:rFonts w:ascii="Arial Narrow" w:hAnsi="Arial Narrow" w:cs="Arial"/>
                <w:sz w:val="20"/>
                <w:szCs w:val="20"/>
              </w:rPr>
              <w:fldChar w:fldCharType="begin">
                <w:ffData>
                  <w:name w:val="Check5"/>
                  <w:enabled/>
                  <w:calcOnExit w:val="0"/>
                  <w:checkBox>
                    <w:sizeAuto/>
                    <w:default w:val="0"/>
                  </w:checkBox>
                </w:ffData>
              </w:fldChar>
            </w:r>
            <w:r w:rsidRPr="00F33674">
              <w:rPr>
                <w:rFonts w:ascii="Arial Narrow" w:hAnsi="Arial Narrow" w:cs="Arial"/>
                <w:sz w:val="20"/>
                <w:szCs w:val="20"/>
              </w:rPr>
              <w:instrText xml:space="preserve"> FORMCHECKBOX </w:instrText>
            </w:r>
            <w:r w:rsidR="00233D13">
              <w:rPr>
                <w:rFonts w:ascii="Arial Narrow" w:hAnsi="Arial Narrow" w:cs="Arial"/>
                <w:sz w:val="20"/>
                <w:szCs w:val="20"/>
              </w:rPr>
            </w:r>
            <w:r w:rsidR="00233D13">
              <w:rPr>
                <w:rFonts w:ascii="Arial Narrow" w:hAnsi="Arial Narrow" w:cs="Arial"/>
                <w:sz w:val="20"/>
                <w:szCs w:val="20"/>
              </w:rPr>
              <w:fldChar w:fldCharType="separate"/>
            </w:r>
            <w:r w:rsidRPr="00F33674">
              <w:rPr>
                <w:rFonts w:ascii="Arial Narrow" w:hAnsi="Arial Narrow" w:cs="Arial"/>
                <w:sz w:val="20"/>
                <w:szCs w:val="20"/>
              </w:rPr>
              <w:fldChar w:fldCharType="end"/>
            </w:r>
            <w:r w:rsidRPr="00F33674">
              <w:rPr>
                <w:rFonts w:ascii="Arial Narrow" w:hAnsi="Arial Narrow" w:cs="Arial"/>
                <w:sz w:val="20"/>
                <w:szCs w:val="20"/>
              </w:rPr>
              <w:t>Midwives</w:t>
            </w:r>
          </w:p>
        </w:tc>
      </w:tr>
      <w:tr w:rsidR="00F51305" w:rsidRPr="00F33674" w14:paraId="36FC5770" w14:textId="77777777" w:rsidTr="00E41546">
        <w:trPr>
          <w:cantSplit/>
          <w:trHeight w:val="369"/>
        </w:trPr>
        <w:tc>
          <w:tcPr>
            <w:tcW w:w="2835" w:type="dxa"/>
            <w:tcBorders>
              <w:top w:val="single" w:sz="4" w:space="0" w:color="auto"/>
              <w:left w:val="single" w:sz="4" w:space="0" w:color="auto"/>
              <w:bottom w:val="single" w:sz="4" w:space="0" w:color="auto"/>
              <w:right w:val="single" w:sz="4" w:space="0" w:color="auto"/>
            </w:tcBorders>
          </w:tcPr>
          <w:p w14:paraId="6EE4B3F0" w14:textId="77777777" w:rsidR="00F51305" w:rsidRPr="00F33674" w:rsidRDefault="00F51305" w:rsidP="00E41546">
            <w:pPr>
              <w:rPr>
                <w:rFonts w:ascii="Arial Narrow" w:hAnsi="Arial Narrow" w:cs="Arial"/>
                <w:b/>
                <w:sz w:val="20"/>
                <w:szCs w:val="20"/>
              </w:rPr>
            </w:pPr>
            <w:r w:rsidRPr="00F33674">
              <w:rPr>
                <w:rFonts w:ascii="Arial Narrow" w:hAnsi="Arial Narrow" w:cs="Arial"/>
                <w:b/>
                <w:sz w:val="20"/>
                <w:szCs w:val="20"/>
              </w:rPr>
              <w:t>PBS indication:</w:t>
            </w:r>
          </w:p>
        </w:tc>
        <w:tc>
          <w:tcPr>
            <w:tcW w:w="6379" w:type="dxa"/>
            <w:tcBorders>
              <w:top w:val="single" w:sz="4" w:space="0" w:color="auto"/>
              <w:left w:val="single" w:sz="4" w:space="0" w:color="auto"/>
              <w:bottom w:val="single" w:sz="4" w:space="0" w:color="auto"/>
              <w:right w:val="single" w:sz="4" w:space="0" w:color="auto"/>
            </w:tcBorders>
          </w:tcPr>
          <w:p w14:paraId="56D7FC71" w14:textId="77777777" w:rsidR="00F51305" w:rsidRPr="00F33674" w:rsidRDefault="00F51305" w:rsidP="00E41546">
            <w:pPr>
              <w:rPr>
                <w:rFonts w:ascii="Arial Narrow" w:hAnsi="Arial Narrow" w:cs="Arial"/>
                <w:sz w:val="20"/>
                <w:szCs w:val="20"/>
              </w:rPr>
            </w:pPr>
            <w:r w:rsidRPr="00F33674">
              <w:rPr>
                <w:rFonts w:ascii="Arial Narrow" w:hAnsi="Arial Narrow" w:cs="Arial"/>
                <w:sz w:val="20"/>
                <w:szCs w:val="20"/>
              </w:rPr>
              <w:t>[new] Chronic severe pain</w:t>
            </w:r>
          </w:p>
        </w:tc>
      </w:tr>
      <w:tr w:rsidR="00F51305" w:rsidRPr="00F33674" w14:paraId="06E85A91" w14:textId="77777777" w:rsidTr="00E41546">
        <w:trPr>
          <w:cantSplit/>
          <w:trHeight w:val="360"/>
        </w:trPr>
        <w:tc>
          <w:tcPr>
            <w:tcW w:w="2835" w:type="dxa"/>
            <w:tcBorders>
              <w:top w:val="single" w:sz="4" w:space="0" w:color="auto"/>
              <w:left w:val="single" w:sz="4" w:space="0" w:color="auto"/>
              <w:bottom w:val="single" w:sz="4" w:space="0" w:color="auto"/>
              <w:right w:val="single" w:sz="4" w:space="0" w:color="auto"/>
            </w:tcBorders>
          </w:tcPr>
          <w:p w14:paraId="09B33C1B" w14:textId="77777777" w:rsidR="00F51305" w:rsidRPr="00F33674" w:rsidRDefault="00F51305" w:rsidP="00E41546">
            <w:pPr>
              <w:rPr>
                <w:rFonts w:ascii="Arial Narrow" w:hAnsi="Arial Narrow" w:cs="Arial"/>
                <w:b/>
                <w:sz w:val="20"/>
                <w:szCs w:val="20"/>
              </w:rPr>
            </w:pPr>
            <w:r w:rsidRPr="00F33674">
              <w:rPr>
                <w:rFonts w:ascii="Arial Narrow" w:hAnsi="Arial Narrow" w:cs="Arial"/>
                <w:b/>
                <w:sz w:val="20"/>
                <w:szCs w:val="20"/>
              </w:rPr>
              <w:t>Restriction Level / Method:</w:t>
            </w:r>
          </w:p>
          <w:p w14:paraId="3C15982C" w14:textId="77777777" w:rsidR="00F51305" w:rsidRPr="00F33674" w:rsidRDefault="00F51305" w:rsidP="00E41546">
            <w:pPr>
              <w:rPr>
                <w:rFonts w:ascii="Arial Narrow" w:hAnsi="Arial Narrow" w:cs="Arial"/>
                <w:i/>
                <w:sz w:val="20"/>
                <w:szCs w:val="20"/>
              </w:rPr>
            </w:pPr>
          </w:p>
          <w:p w14:paraId="237BAAF3" w14:textId="77777777" w:rsidR="00F51305" w:rsidRPr="00F33674" w:rsidRDefault="00F51305" w:rsidP="00E41546">
            <w:pPr>
              <w:rPr>
                <w:rFonts w:ascii="Arial Narrow" w:hAnsi="Arial Narrow" w:cs="Arial"/>
                <w:i/>
                <w:sz w:val="20"/>
                <w:szCs w:val="20"/>
              </w:rPr>
            </w:pPr>
          </w:p>
          <w:p w14:paraId="5A59F362" w14:textId="77777777" w:rsidR="00F51305" w:rsidRPr="00F33674" w:rsidRDefault="00F51305" w:rsidP="00E41546">
            <w:pPr>
              <w:rPr>
                <w:rFonts w:ascii="Arial Narrow" w:hAnsi="Arial Narrow" w:cs="Arial"/>
                <w:i/>
                <w:sz w:val="20"/>
                <w:szCs w:val="20"/>
              </w:rPr>
            </w:pPr>
          </w:p>
        </w:tc>
        <w:tc>
          <w:tcPr>
            <w:tcW w:w="6379" w:type="dxa"/>
            <w:tcBorders>
              <w:top w:val="single" w:sz="4" w:space="0" w:color="auto"/>
              <w:left w:val="single" w:sz="4" w:space="0" w:color="auto"/>
              <w:bottom w:val="single" w:sz="4" w:space="0" w:color="auto"/>
              <w:right w:val="single" w:sz="4" w:space="0" w:color="auto"/>
            </w:tcBorders>
          </w:tcPr>
          <w:p w14:paraId="47DADEE7" w14:textId="77777777" w:rsidR="00F51305" w:rsidRPr="00F33674" w:rsidRDefault="00F51305" w:rsidP="00E41546">
            <w:pPr>
              <w:rPr>
                <w:rFonts w:ascii="Arial Narrow" w:hAnsi="Arial Narrow" w:cs="Arial"/>
                <w:sz w:val="20"/>
                <w:szCs w:val="20"/>
              </w:rPr>
            </w:pPr>
            <w:r w:rsidRPr="00F33674">
              <w:rPr>
                <w:rFonts w:ascii="Arial Narrow" w:hAnsi="Arial Narrow" w:cs="Arial"/>
                <w:sz w:val="20"/>
                <w:szCs w:val="20"/>
              </w:rPr>
              <w:fldChar w:fldCharType="begin">
                <w:ffData>
                  <w:name w:val=""/>
                  <w:enabled/>
                  <w:calcOnExit w:val="0"/>
                  <w:checkBox>
                    <w:sizeAuto/>
                    <w:default w:val="0"/>
                  </w:checkBox>
                </w:ffData>
              </w:fldChar>
            </w:r>
            <w:r w:rsidRPr="00F33674">
              <w:rPr>
                <w:rFonts w:ascii="Arial Narrow" w:hAnsi="Arial Narrow" w:cs="Arial"/>
                <w:sz w:val="20"/>
                <w:szCs w:val="20"/>
              </w:rPr>
              <w:instrText xml:space="preserve"> FORMCHECKBOX </w:instrText>
            </w:r>
            <w:r w:rsidR="00233D13">
              <w:rPr>
                <w:rFonts w:ascii="Arial Narrow" w:hAnsi="Arial Narrow" w:cs="Arial"/>
                <w:sz w:val="20"/>
                <w:szCs w:val="20"/>
              </w:rPr>
            </w:r>
            <w:r w:rsidR="00233D13">
              <w:rPr>
                <w:rFonts w:ascii="Arial Narrow" w:hAnsi="Arial Narrow" w:cs="Arial"/>
                <w:sz w:val="20"/>
                <w:szCs w:val="20"/>
              </w:rPr>
              <w:fldChar w:fldCharType="separate"/>
            </w:r>
            <w:r w:rsidRPr="00F33674">
              <w:rPr>
                <w:rFonts w:ascii="Arial Narrow" w:hAnsi="Arial Narrow" w:cs="Arial"/>
                <w:sz w:val="20"/>
                <w:szCs w:val="20"/>
              </w:rPr>
              <w:fldChar w:fldCharType="end"/>
            </w:r>
            <w:r w:rsidRPr="00F33674">
              <w:rPr>
                <w:rFonts w:ascii="Arial Narrow" w:hAnsi="Arial Narrow" w:cs="Arial"/>
                <w:sz w:val="20"/>
                <w:szCs w:val="20"/>
              </w:rPr>
              <w:t>Unrestricted benefit</w:t>
            </w:r>
          </w:p>
          <w:p w14:paraId="32A617C4" w14:textId="77777777" w:rsidR="00F51305" w:rsidRPr="00F33674" w:rsidRDefault="00F51305" w:rsidP="00E41546">
            <w:pPr>
              <w:rPr>
                <w:rFonts w:ascii="Arial Narrow" w:hAnsi="Arial Narrow" w:cs="Arial"/>
                <w:i/>
                <w:sz w:val="20"/>
                <w:szCs w:val="20"/>
              </w:rPr>
            </w:pPr>
            <w:r w:rsidRPr="00F33674">
              <w:rPr>
                <w:rFonts w:ascii="Arial Narrow" w:hAnsi="Arial Narrow" w:cs="Arial"/>
                <w:i/>
                <w:sz w:val="20"/>
                <w:szCs w:val="20"/>
              </w:rPr>
              <w:fldChar w:fldCharType="begin">
                <w:ffData>
                  <w:name w:val=""/>
                  <w:enabled/>
                  <w:calcOnExit w:val="0"/>
                  <w:checkBox>
                    <w:sizeAuto/>
                    <w:default w:val="0"/>
                  </w:checkBox>
                </w:ffData>
              </w:fldChar>
            </w:r>
            <w:r w:rsidRPr="00F33674">
              <w:rPr>
                <w:rFonts w:ascii="Arial Narrow" w:hAnsi="Arial Narrow" w:cs="Arial"/>
                <w:i/>
                <w:sz w:val="20"/>
                <w:szCs w:val="20"/>
              </w:rPr>
              <w:instrText xml:space="preserve"> FORMCHECKBOX </w:instrText>
            </w:r>
            <w:r w:rsidR="00233D13">
              <w:rPr>
                <w:rFonts w:ascii="Arial Narrow" w:hAnsi="Arial Narrow" w:cs="Arial"/>
                <w:i/>
                <w:sz w:val="20"/>
                <w:szCs w:val="20"/>
              </w:rPr>
            </w:r>
            <w:r w:rsidR="00233D13">
              <w:rPr>
                <w:rFonts w:ascii="Arial Narrow" w:hAnsi="Arial Narrow" w:cs="Arial"/>
                <w:i/>
                <w:sz w:val="20"/>
                <w:szCs w:val="20"/>
              </w:rPr>
              <w:fldChar w:fldCharType="separate"/>
            </w:r>
            <w:r w:rsidRPr="00F33674">
              <w:rPr>
                <w:rFonts w:ascii="Arial Narrow" w:hAnsi="Arial Narrow" w:cs="Arial"/>
                <w:i/>
                <w:sz w:val="20"/>
                <w:szCs w:val="20"/>
              </w:rPr>
              <w:fldChar w:fldCharType="end"/>
            </w:r>
            <w:r w:rsidRPr="00F33674">
              <w:rPr>
                <w:rFonts w:ascii="Arial Narrow" w:hAnsi="Arial Narrow" w:cs="Arial"/>
                <w:sz w:val="20"/>
                <w:szCs w:val="20"/>
              </w:rPr>
              <w:t>Restricted benefit</w:t>
            </w:r>
          </w:p>
          <w:p w14:paraId="28EA777F" w14:textId="77777777" w:rsidR="00F51305" w:rsidRPr="00F33674" w:rsidRDefault="00F51305" w:rsidP="00E41546">
            <w:pPr>
              <w:rPr>
                <w:rFonts w:ascii="Arial Narrow" w:hAnsi="Arial Narrow" w:cs="Arial"/>
                <w:sz w:val="20"/>
                <w:szCs w:val="20"/>
              </w:rPr>
            </w:pPr>
            <w:r w:rsidRPr="00F33674">
              <w:rPr>
                <w:rFonts w:ascii="Arial Narrow" w:hAnsi="Arial Narrow" w:cs="Arial"/>
                <w:sz w:val="20"/>
                <w:szCs w:val="20"/>
              </w:rPr>
              <w:fldChar w:fldCharType="begin">
                <w:ffData>
                  <w:name w:val=""/>
                  <w:enabled/>
                  <w:calcOnExit w:val="0"/>
                  <w:checkBox>
                    <w:sizeAuto/>
                    <w:default w:val="0"/>
                  </w:checkBox>
                </w:ffData>
              </w:fldChar>
            </w:r>
            <w:r w:rsidRPr="00F33674">
              <w:rPr>
                <w:rFonts w:ascii="Arial Narrow" w:hAnsi="Arial Narrow" w:cs="Arial"/>
                <w:sz w:val="20"/>
                <w:szCs w:val="20"/>
              </w:rPr>
              <w:instrText xml:space="preserve"> FORMCHECKBOX </w:instrText>
            </w:r>
            <w:r w:rsidR="00233D13">
              <w:rPr>
                <w:rFonts w:ascii="Arial Narrow" w:hAnsi="Arial Narrow" w:cs="Arial"/>
                <w:sz w:val="20"/>
                <w:szCs w:val="20"/>
              </w:rPr>
            </w:r>
            <w:r w:rsidR="00233D13">
              <w:rPr>
                <w:rFonts w:ascii="Arial Narrow" w:hAnsi="Arial Narrow" w:cs="Arial"/>
                <w:sz w:val="20"/>
                <w:szCs w:val="20"/>
              </w:rPr>
              <w:fldChar w:fldCharType="separate"/>
            </w:r>
            <w:r w:rsidRPr="00F33674">
              <w:rPr>
                <w:rFonts w:ascii="Arial Narrow" w:hAnsi="Arial Narrow" w:cs="Arial"/>
                <w:sz w:val="20"/>
                <w:szCs w:val="20"/>
              </w:rPr>
              <w:fldChar w:fldCharType="end"/>
            </w:r>
            <w:r w:rsidRPr="00F33674">
              <w:rPr>
                <w:rFonts w:ascii="Arial Narrow" w:hAnsi="Arial Narrow" w:cs="Arial"/>
                <w:sz w:val="20"/>
                <w:szCs w:val="20"/>
              </w:rPr>
              <w:t>Authority Required – In Writing</w:t>
            </w:r>
          </w:p>
          <w:p w14:paraId="45F70CF1" w14:textId="77777777" w:rsidR="00F51305" w:rsidRPr="00F33674" w:rsidRDefault="00F51305" w:rsidP="00E41546">
            <w:pPr>
              <w:rPr>
                <w:rFonts w:ascii="Arial Narrow" w:hAnsi="Arial Narrow" w:cs="Arial"/>
                <w:sz w:val="20"/>
                <w:szCs w:val="20"/>
              </w:rPr>
            </w:pPr>
            <w:r w:rsidRPr="00F33674">
              <w:rPr>
                <w:rFonts w:ascii="Arial Narrow" w:hAnsi="Arial Narrow" w:cs="Arial"/>
                <w:sz w:val="20"/>
                <w:szCs w:val="20"/>
              </w:rPr>
              <w:fldChar w:fldCharType="begin">
                <w:ffData>
                  <w:name w:val="Check3"/>
                  <w:enabled/>
                  <w:calcOnExit w:val="0"/>
                  <w:checkBox>
                    <w:sizeAuto/>
                    <w:default w:val="0"/>
                  </w:checkBox>
                </w:ffData>
              </w:fldChar>
            </w:r>
            <w:r w:rsidRPr="00F33674">
              <w:rPr>
                <w:rFonts w:ascii="Arial Narrow" w:hAnsi="Arial Narrow" w:cs="Arial"/>
                <w:sz w:val="20"/>
                <w:szCs w:val="20"/>
              </w:rPr>
              <w:instrText xml:space="preserve"> FORMCHECKBOX </w:instrText>
            </w:r>
            <w:r w:rsidR="00233D13">
              <w:rPr>
                <w:rFonts w:ascii="Arial Narrow" w:hAnsi="Arial Narrow" w:cs="Arial"/>
                <w:sz w:val="20"/>
                <w:szCs w:val="20"/>
              </w:rPr>
            </w:r>
            <w:r w:rsidR="00233D13">
              <w:rPr>
                <w:rFonts w:ascii="Arial Narrow" w:hAnsi="Arial Narrow" w:cs="Arial"/>
                <w:sz w:val="20"/>
                <w:szCs w:val="20"/>
              </w:rPr>
              <w:fldChar w:fldCharType="separate"/>
            </w:r>
            <w:r w:rsidRPr="00F33674">
              <w:rPr>
                <w:rFonts w:ascii="Arial Narrow" w:hAnsi="Arial Narrow" w:cs="Arial"/>
                <w:sz w:val="20"/>
                <w:szCs w:val="20"/>
              </w:rPr>
              <w:fldChar w:fldCharType="end"/>
            </w:r>
            <w:r w:rsidRPr="00F33674">
              <w:rPr>
                <w:rFonts w:ascii="Arial Narrow" w:hAnsi="Arial Narrow" w:cs="Arial"/>
                <w:sz w:val="20"/>
                <w:szCs w:val="20"/>
              </w:rPr>
              <w:t>Authority Required – Telephone/Electronic/Emergency</w:t>
            </w:r>
          </w:p>
          <w:p w14:paraId="31B8502B" w14:textId="77777777" w:rsidR="00F51305" w:rsidRPr="00F33674" w:rsidRDefault="00F51305" w:rsidP="00E41546">
            <w:pPr>
              <w:rPr>
                <w:rFonts w:ascii="Arial Narrow" w:hAnsi="Arial Narrow" w:cs="Arial"/>
                <w:sz w:val="20"/>
                <w:szCs w:val="20"/>
              </w:rPr>
            </w:pPr>
            <w:r w:rsidRPr="00F33674">
              <w:rPr>
                <w:rFonts w:ascii="Arial Narrow" w:hAnsi="Arial Narrow" w:cs="Arial"/>
                <w:sz w:val="20"/>
                <w:szCs w:val="20"/>
              </w:rPr>
              <w:fldChar w:fldCharType="begin">
                <w:ffData>
                  <w:name w:val=""/>
                  <w:enabled/>
                  <w:calcOnExit w:val="0"/>
                  <w:checkBox>
                    <w:sizeAuto/>
                    <w:default w:val="1"/>
                  </w:checkBox>
                </w:ffData>
              </w:fldChar>
            </w:r>
            <w:r w:rsidRPr="00F33674">
              <w:rPr>
                <w:rFonts w:ascii="Arial Narrow" w:hAnsi="Arial Narrow" w:cs="Arial"/>
                <w:sz w:val="20"/>
                <w:szCs w:val="20"/>
              </w:rPr>
              <w:instrText xml:space="preserve"> FORMCHECKBOX </w:instrText>
            </w:r>
            <w:r w:rsidR="00233D13">
              <w:rPr>
                <w:rFonts w:ascii="Arial Narrow" w:hAnsi="Arial Narrow" w:cs="Arial"/>
                <w:sz w:val="20"/>
                <w:szCs w:val="20"/>
              </w:rPr>
            </w:r>
            <w:r w:rsidR="00233D13">
              <w:rPr>
                <w:rFonts w:ascii="Arial Narrow" w:hAnsi="Arial Narrow" w:cs="Arial"/>
                <w:sz w:val="20"/>
                <w:szCs w:val="20"/>
              </w:rPr>
              <w:fldChar w:fldCharType="separate"/>
            </w:r>
            <w:r w:rsidRPr="00F33674">
              <w:rPr>
                <w:rFonts w:ascii="Arial Narrow" w:hAnsi="Arial Narrow" w:cs="Arial"/>
                <w:sz w:val="20"/>
                <w:szCs w:val="20"/>
              </w:rPr>
              <w:fldChar w:fldCharType="end"/>
            </w:r>
            <w:r w:rsidRPr="00F33674">
              <w:rPr>
                <w:rFonts w:ascii="Arial Narrow" w:hAnsi="Arial Narrow" w:cs="Arial"/>
                <w:sz w:val="20"/>
                <w:szCs w:val="20"/>
              </w:rPr>
              <w:t>Streamlined</w:t>
            </w:r>
          </w:p>
        </w:tc>
      </w:tr>
      <w:tr w:rsidR="00F51305" w:rsidRPr="00F33674" w14:paraId="42D97279" w14:textId="77777777" w:rsidTr="00E41546">
        <w:trPr>
          <w:cantSplit/>
          <w:trHeight w:val="360"/>
        </w:trPr>
        <w:tc>
          <w:tcPr>
            <w:tcW w:w="2835" w:type="dxa"/>
            <w:tcBorders>
              <w:top w:val="single" w:sz="4" w:space="0" w:color="auto"/>
              <w:left w:val="single" w:sz="4" w:space="0" w:color="auto"/>
              <w:bottom w:val="single" w:sz="4" w:space="0" w:color="auto"/>
              <w:right w:val="single" w:sz="4" w:space="0" w:color="auto"/>
            </w:tcBorders>
          </w:tcPr>
          <w:p w14:paraId="1AE71118" w14:textId="77777777" w:rsidR="00F51305" w:rsidRPr="00F33674" w:rsidRDefault="00F51305" w:rsidP="00E41546">
            <w:pPr>
              <w:rPr>
                <w:rFonts w:ascii="Arial Narrow" w:hAnsi="Arial Narrow" w:cs="Arial"/>
                <w:b/>
                <w:sz w:val="20"/>
                <w:szCs w:val="20"/>
              </w:rPr>
            </w:pPr>
            <w:r>
              <w:rPr>
                <w:rFonts w:ascii="Arial Narrow" w:hAnsi="Arial Narrow" w:cs="Arial"/>
                <w:b/>
                <w:sz w:val="20"/>
                <w:szCs w:val="20"/>
              </w:rPr>
              <w:t>Treatment phase:</w:t>
            </w:r>
          </w:p>
        </w:tc>
        <w:tc>
          <w:tcPr>
            <w:tcW w:w="6379" w:type="dxa"/>
            <w:tcBorders>
              <w:top w:val="single" w:sz="4" w:space="0" w:color="auto"/>
              <w:left w:val="single" w:sz="4" w:space="0" w:color="auto"/>
              <w:bottom w:val="single" w:sz="4" w:space="0" w:color="auto"/>
              <w:right w:val="single" w:sz="4" w:space="0" w:color="auto"/>
            </w:tcBorders>
          </w:tcPr>
          <w:p w14:paraId="2D8783D6" w14:textId="77777777" w:rsidR="00F51305" w:rsidRPr="00F33674" w:rsidRDefault="00F51305" w:rsidP="00E41546">
            <w:pPr>
              <w:jc w:val="left"/>
              <w:rPr>
                <w:rFonts w:ascii="Arial Narrow" w:hAnsi="Arial Narrow" w:cs="Arial"/>
                <w:sz w:val="20"/>
                <w:szCs w:val="20"/>
              </w:rPr>
            </w:pPr>
            <w:r w:rsidRPr="002C1329">
              <w:rPr>
                <w:rFonts w:ascii="Arial Narrow" w:hAnsi="Arial Narrow" w:cs="Arial"/>
                <w:sz w:val="20"/>
                <w:szCs w:val="20"/>
              </w:rPr>
              <w:t xml:space="preserve">Initial PBS treatment after 1 June 2020 where patient </w:t>
            </w:r>
            <w:proofErr w:type="gramStart"/>
            <w:r w:rsidRPr="002C1329">
              <w:rPr>
                <w:rFonts w:ascii="Arial Narrow" w:hAnsi="Arial Narrow" w:cs="Arial"/>
                <w:sz w:val="20"/>
                <w:szCs w:val="20"/>
              </w:rPr>
              <w:t>has been treated</w:t>
            </w:r>
            <w:proofErr w:type="gramEnd"/>
            <w:r w:rsidRPr="002C1329">
              <w:rPr>
                <w:rFonts w:ascii="Arial Narrow" w:hAnsi="Arial Narrow" w:cs="Arial"/>
                <w:sz w:val="20"/>
                <w:szCs w:val="20"/>
              </w:rPr>
              <w:t xml:space="preserve"> with opioids for </w:t>
            </w:r>
            <w:r>
              <w:rPr>
                <w:rFonts w:ascii="Arial Narrow" w:hAnsi="Arial Narrow" w:cs="Arial"/>
                <w:sz w:val="20"/>
                <w:szCs w:val="20"/>
              </w:rPr>
              <w:t>more</w:t>
            </w:r>
            <w:r w:rsidRPr="002C1329">
              <w:rPr>
                <w:rFonts w:ascii="Arial Narrow" w:hAnsi="Arial Narrow" w:cs="Arial"/>
                <w:sz w:val="20"/>
                <w:szCs w:val="20"/>
              </w:rPr>
              <w:t xml:space="preserve"> than 12 months</w:t>
            </w:r>
            <w:r>
              <w:rPr>
                <w:rFonts w:ascii="Arial Narrow" w:hAnsi="Arial Narrow" w:cs="Arial"/>
                <w:sz w:val="20"/>
                <w:szCs w:val="20"/>
              </w:rPr>
              <w:t>.</w:t>
            </w:r>
          </w:p>
        </w:tc>
      </w:tr>
      <w:tr w:rsidR="00F51305" w:rsidRPr="00F33674" w14:paraId="60FA468B" w14:textId="77777777" w:rsidTr="00E41546">
        <w:trPr>
          <w:cantSplit/>
          <w:trHeight w:val="360"/>
        </w:trPr>
        <w:tc>
          <w:tcPr>
            <w:tcW w:w="2835" w:type="dxa"/>
            <w:tcBorders>
              <w:top w:val="single" w:sz="4" w:space="0" w:color="auto"/>
              <w:left w:val="single" w:sz="4" w:space="0" w:color="auto"/>
              <w:bottom w:val="single" w:sz="4" w:space="0" w:color="auto"/>
              <w:right w:val="single" w:sz="4" w:space="0" w:color="auto"/>
            </w:tcBorders>
          </w:tcPr>
          <w:p w14:paraId="2B095B9B" w14:textId="77777777" w:rsidR="00F51305" w:rsidRPr="00F33674" w:rsidRDefault="00F51305" w:rsidP="00E41546">
            <w:pPr>
              <w:rPr>
                <w:rFonts w:ascii="Arial Narrow" w:hAnsi="Arial Narrow" w:cs="Arial"/>
                <w:b/>
                <w:sz w:val="20"/>
                <w:szCs w:val="20"/>
              </w:rPr>
            </w:pPr>
            <w:r w:rsidRPr="00F33674">
              <w:rPr>
                <w:rFonts w:ascii="Arial Narrow" w:hAnsi="Arial Narrow" w:cs="Arial"/>
                <w:b/>
                <w:sz w:val="20"/>
                <w:szCs w:val="20"/>
              </w:rPr>
              <w:lastRenderedPageBreak/>
              <w:t>Clinical criteria:</w:t>
            </w:r>
          </w:p>
        </w:tc>
        <w:tc>
          <w:tcPr>
            <w:tcW w:w="6379" w:type="dxa"/>
            <w:tcBorders>
              <w:top w:val="single" w:sz="4" w:space="0" w:color="auto"/>
              <w:left w:val="single" w:sz="4" w:space="0" w:color="auto"/>
              <w:bottom w:val="single" w:sz="4" w:space="0" w:color="auto"/>
              <w:right w:val="single" w:sz="4" w:space="0" w:color="auto"/>
            </w:tcBorders>
          </w:tcPr>
          <w:p w14:paraId="210C265F" w14:textId="77777777" w:rsidR="00F51305" w:rsidRPr="00F33674" w:rsidRDefault="00F51305" w:rsidP="00E41546">
            <w:pPr>
              <w:jc w:val="left"/>
              <w:rPr>
                <w:rFonts w:ascii="Arial Narrow" w:hAnsi="Arial Narrow" w:cs="Arial"/>
                <w:sz w:val="20"/>
                <w:szCs w:val="20"/>
              </w:rPr>
            </w:pPr>
            <w:r w:rsidRPr="00F33674">
              <w:rPr>
                <w:rFonts w:ascii="Arial Narrow" w:hAnsi="Arial Narrow" w:cs="Arial"/>
                <w:sz w:val="20"/>
                <w:szCs w:val="20"/>
              </w:rPr>
              <w:t xml:space="preserve">[new] The condition must require daily, continuous, long term </w:t>
            </w:r>
            <w:r>
              <w:rPr>
                <w:rFonts w:ascii="Arial Narrow" w:hAnsi="Arial Narrow" w:cs="Arial"/>
                <w:sz w:val="20"/>
                <w:szCs w:val="20"/>
              </w:rPr>
              <w:t>opioid</w:t>
            </w:r>
            <w:r w:rsidRPr="00F33674">
              <w:rPr>
                <w:rFonts w:ascii="Arial Narrow" w:hAnsi="Arial Narrow" w:cs="Arial"/>
                <w:sz w:val="20"/>
                <w:szCs w:val="20"/>
              </w:rPr>
              <w:t xml:space="preserve"> treatment</w:t>
            </w:r>
          </w:p>
          <w:p w14:paraId="6A28D4EA" w14:textId="77777777" w:rsidR="00F51305" w:rsidRPr="00F33674" w:rsidRDefault="00F51305" w:rsidP="00E41546">
            <w:pPr>
              <w:jc w:val="left"/>
              <w:rPr>
                <w:rFonts w:ascii="Arial Narrow" w:hAnsi="Arial Narrow" w:cs="Arial"/>
                <w:sz w:val="20"/>
                <w:szCs w:val="20"/>
              </w:rPr>
            </w:pPr>
          </w:p>
          <w:p w14:paraId="3B7CFD02" w14:textId="77777777" w:rsidR="00F51305" w:rsidRPr="00F33674" w:rsidRDefault="00F51305" w:rsidP="00E41546">
            <w:pPr>
              <w:jc w:val="left"/>
              <w:rPr>
                <w:rFonts w:ascii="Arial Narrow" w:hAnsi="Arial Narrow" w:cs="Arial"/>
                <w:sz w:val="20"/>
                <w:szCs w:val="20"/>
              </w:rPr>
            </w:pPr>
            <w:r w:rsidRPr="00F33674">
              <w:rPr>
                <w:rFonts w:ascii="Arial Narrow" w:hAnsi="Arial Narrow" w:cs="Arial"/>
                <w:sz w:val="20"/>
                <w:szCs w:val="20"/>
              </w:rPr>
              <w:t>AND</w:t>
            </w:r>
          </w:p>
          <w:p w14:paraId="45031410" w14:textId="77777777" w:rsidR="00F51305" w:rsidRPr="00F33674" w:rsidRDefault="00F51305" w:rsidP="00E41546">
            <w:pPr>
              <w:jc w:val="left"/>
              <w:rPr>
                <w:rFonts w:ascii="Arial Narrow" w:hAnsi="Arial Narrow" w:cs="Arial"/>
                <w:sz w:val="20"/>
                <w:szCs w:val="20"/>
              </w:rPr>
            </w:pPr>
          </w:p>
          <w:p w14:paraId="22257797" w14:textId="77777777" w:rsidR="00F51305" w:rsidRPr="00F33674" w:rsidRDefault="00F51305" w:rsidP="00E41546">
            <w:pPr>
              <w:jc w:val="left"/>
              <w:rPr>
                <w:rFonts w:ascii="Arial Narrow" w:hAnsi="Arial Narrow" w:cs="Arial"/>
                <w:sz w:val="20"/>
                <w:szCs w:val="20"/>
              </w:rPr>
            </w:pPr>
            <w:r w:rsidRPr="00F33674">
              <w:rPr>
                <w:rFonts w:ascii="Arial Narrow" w:hAnsi="Arial Narrow" w:cs="Arial"/>
                <w:sz w:val="20"/>
                <w:szCs w:val="20"/>
              </w:rPr>
              <w:t xml:space="preserve">[18096] Patient must have </w:t>
            </w:r>
            <w:r>
              <w:rPr>
                <w:rFonts w:ascii="Arial Narrow" w:hAnsi="Arial Narrow" w:cs="Arial"/>
                <w:sz w:val="20"/>
                <w:szCs w:val="20"/>
              </w:rPr>
              <w:t xml:space="preserve">cancer </w:t>
            </w:r>
            <w:r w:rsidRPr="00F33674">
              <w:rPr>
                <w:rFonts w:ascii="Arial Narrow" w:hAnsi="Arial Narrow" w:cs="Arial"/>
                <w:sz w:val="20"/>
                <w:szCs w:val="20"/>
              </w:rPr>
              <w:t>pain</w:t>
            </w:r>
          </w:p>
          <w:p w14:paraId="1269A42A" w14:textId="77777777" w:rsidR="00F51305" w:rsidRPr="00F33674" w:rsidRDefault="00F51305" w:rsidP="00E41546">
            <w:pPr>
              <w:jc w:val="left"/>
              <w:rPr>
                <w:rFonts w:ascii="Arial Narrow" w:hAnsi="Arial Narrow" w:cs="Arial"/>
                <w:sz w:val="20"/>
                <w:szCs w:val="20"/>
              </w:rPr>
            </w:pPr>
            <w:r w:rsidRPr="00F33674">
              <w:rPr>
                <w:rFonts w:ascii="Arial Narrow" w:hAnsi="Arial Narrow" w:cs="Arial"/>
                <w:sz w:val="20"/>
                <w:szCs w:val="20"/>
              </w:rPr>
              <w:t>OR</w:t>
            </w:r>
          </w:p>
          <w:p w14:paraId="79CB9D98" w14:textId="77777777" w:rsidR="00F51305" w:rsidRPr="00F33674" w:rsidRDefault="00F51305" w:rsidP="00E41546">
            <w:pPr>
              <w:jc w:val="left"/>
              <w:rPr>
                <w:rFonts w:ascii="Arial Narrow" w:hAnsi="Arial Narrow" w:cs="Arial"/>
                <w:sz w:val="20"/>
                <w:szCs w:val="20"/>
              </w:rPr>
            </w:pPr>
            <w:r w:rsidRPr="00F33674">
              <w:rPr>
                <w:rFonts w:ascii="Arial Narrow" w:hAnsi="Arial Narrow" w:cs="Arial"/>
                <w:sz w:val="20"/>
                <w:szCs w:val="20"/>
              </w:rPr>
              <w:t>[new] Patient must have</w:t>
            </w:r>
            <w:r>
              <w:rPr>
                <w:rFonts w:ascii="Arial Narrow" w:hAnsi="Arial Narrow" w:cs="Arial"/>
                <w:sz w:val="20"/>
                <w:szCs w:val="20"/>
              </w:rPr>
              <w:t xml:space="preserve"> had or would have</w:t>
            </w:r>
            <w:r w:rsidRPr="00F33674">
              <w:rPr>
                <w:rFonts w:ascii="Arial Narrow" w:hAnsi="Arial Narrow" w:cs="Arial"/>
                <w:sz w:val="20"/>
                <w:szCs w:val="20"/>
              </w:rPr>
              <w:t xml:space="preserve"> inadequate </w:t>
            </w:r>
            <w:r>
              <w:rPr>
                <w:rFonts w:ascii="Arial Narrow" w:hAnsi="Arial Narrow" w:cs="Arial"/>
                <w:sz w:val="20"/>
                <w:szCs w:val="20"/>
              </w:rPr>
              <w:t xml:space="preserve">pain </w:t>
            </w:r>
            <w:r w:rsidRPr="00F33674">
              <w:rPr>
                <w:rFonts w:ascii="Arial Narrow" w:hAnsi="Arial Narrow" w:cs="Arial"/>
                <w:sz w:val="20"/>
                <w:szCs w:val="20"/>
              </w:rPr>
              <w:t xml:space="preserve">management </w:t>
            </w:r>
            <w:r>
              <w:rPr>
                <w:rFonts w:ascii="Arial Narrow" w:hAnsi="Arial Narrow" w:cs="Arial"/>
                <w:sz w:val="20"/>
                <w:szCs w:val="20"/>
              </w:rPr>
              <w:t>with</w:t>
            </w:r>
            <w:r w:rsidRPr="00F33674">
              <w:rPr>
                <w:rFonts w:ascii="Arial Narrow" w:hAnsi="Arial Narrow" w:cs="Arial"/>
                <w:sz w:val="20"/>
                <w:szCs w:val="20"/>
              </w:rPr>
              <w:t xml:space="preserve"> maximum tolerated doses of non-opioid or other opioid analgesics</w:t>
            </w:r>
          </w:p>
          <w:p w14:paraId="1369D538" w14:textId="77777777" w:rsidR="00F51305" w:rsidRPr="00F33674" w:rsidRDefault="00F51305" w:rsidP="00E41546">
            <w:pPr>
              <w:jc w:val="left"/>
              <w:rPr>
                <w:rFonts w:ascii="Arial Narrow" w:hAnsi="Arial Narrow" w:cs="Arial"/>
                <w:sz w:val="20"/>
                <w:szCs w:val="20"/>
              </w:rPr>
            </w:pPr>
            <w:r w:rsidRPr="00F33674">
              <w:rPr>
                <w:rFonts w:ascii="Arial Narrow" w:hAnsi="Arial Narrow" w:cs="Arial"/>
                <w:sz w:val="20"/>
                <w:szCs w:val="20"/>
              </w:rPr>
              <w:t>OR</w:t>
            </w:r>
          </w:p>
          <w:p w14:paraId="5E2588B4" w14:textId="77777777" w:rsidR="00F51305" w:rsidRPr="00F33674" w:rsidRDefault="00F51305" w:rsidP="00E41546">
            <w:pPr>
              <w:jc w:val="left"/>
              <w:rPr>
                <w:rFonts w:ascii="Arial Narrow" w:hAnsi="Arial Narrow" w:cs="Arial"/>
                <w:sz w:val="20"/>
                <w:szCs w:val="20"/>
              </w:rPr>
            </w:pPr>
            <w:r w:rsidRPr="00F33674">
              <w:rPr>
                <w:rFonts w:ascii="Arial Narrow" w:hAnsi="Arial Narrow" w:cs="Arial"/>
                <w:sz w:val="20"/>
                <w:szCs w:val="20"/>
              </w:rPr>
              <w:t>[new] Patient must be unable to use non-opioid or other opioid analgesics due to contraindications or intolerance.</w:t>
            </w:r>
          </w:p>
        </w:tc>
      </w:tr>
      <w:tr w:rsidR="00F51305" w:rsidRPr="00F33674" w14:paraId="293E1ED6" w14:textId="77777777" w:rsidTr="00E41546">
        <w:trPr>
          <w:cantSplit/>
          <w:trHeight w:val="360"/>
        </w:trPr>
        <w:tc>
          <w:tcPr>
            <w:tcW w:w="2835" w:type="dxa"/>
            <w:tcBorders>
              <w:top w:val="single" w:sz="4" w:space="0" w:color="auto"/>
              <w:left w:val="single" w:sz="4" w:space="0" w:color="auto"/>
              <w:bottom w:val="single" w:sz="4" w:space="0" w:color="auto"/>
              <w:right w:val="single" w:sz="4" w:space="0" w:color="auto"/>
            </w:tcBorders>
          </w:tcPr>
          <w:p w14:paraId="7C712493" w14:textId="77777777" w:rsidR="00F51305" w:rsidRPr="00F33674" w:rsidRDefault="00F51305" w:rsidP="00E41546">
            <w:pPr>
              <w:rPr>
                <w:rFonts w:ascii="Arial Narrow" w:hAnsi="Arial Narrow" w:cs="Arial"/>
                <w:b/>
                <w:sz w:val="20"/>
                <w:szCs w:val="20"/>
              </w:rPr>
            </w:pPr>
            <w:r w:rsidRPr="00F33674">
              <w:rPr>
                <w:rFonts w:ascii="Arial Narrow" w:hAnsi="Arial Narrow" w:cs="Arial"/>
                <w:b/>
                <w:sz w:val="20"/>
                <w:szCs w:val="20"/>
              </w:rPr>
              <w:t>Prescriber instruction:</w:t>
            </w:r>
          </w:p>
        </w:tc>
        <w:tc>
          <w:tcPr>
            <w:tcW w:w="6379" w:type="dxa"/>
            <w:tcBorders>
              <w:top w:val="single" w:sz="4" w:space="0" w:color="auto"/>
              <w:left w:val="single" w:sz="4" w:space="0" w:color="auto"/>
              <w:bottom w:val="single" w:sz="4" w:space="0" w:color="auto"/>
              <w:right w:val="single" w:sz="4" w:space="0" w:color="auto"/>
            </w:tcBorders>
          </w:tcPr>
          <w:p w14:paraId="1B9512B1" w14:textId="77777777" w:rsidR="00F51305" w:rsidRPr="002C1329" w:rsidRDefault="00F51305" w:rsidP="00E41546">
            <w:pPr>
              <w:jc w:val="left"/>
              <w:rPr>
                <w:rFonts w:ascii="Arial Narrow" w:hAnsi="Arial Narrow" w:cs="Arial"/>
                <w:sz w:val="20"/>
                <w:szCs w:val="20"/>
              </w:rPr>
            </w:pPr>
            <w:r w:rsidRPr="00F33674">
              <w:rPr>
                <w:rFonts w:ascii="Arial Narrow" w:hAnsi="Arial Narrow" w:cs="Arial"/>
                <w:sz w:val="20"/>
                <w:szCs w:val="20"/>
              </w:rPr>
              <w:t xml:space="preserve">[new] </w:t>
            </w:r>
            <w:r w:rsidRPr="002C1329">
              <w:rPr>
                <w:rFonts w:ascii="Arial Narrow" w:hAnsi="Arial Narrow" w:cs="Arial"/>
                <w:sz w:val="20"/>
                <w:szCs w:val="20"/>
              </w:rPr>
              <w:t>Authorities for increased maximum quantities and/or repeats must only be considered for chronic severe disabling pain where the total duration of non-PBS and PBS opioid analgesic treatment:</w:t>
            </w:r>
          </w:p>
          <w:p w14:paraId="40FACA5F" w14:textId="77777777" w:rsidR="00F51305" w:rsidRPr="002C1329" w:rsidRDefault="00F51305" w:rsidP="00E41546">
            <w:pPr>
              <w:jc w:val="left"/>
              <w:rPr>
                <w:rFonts w:ascii="Arial Narrow" w:hAnsi="Arial Narrow" w:cs="Arial"/>
                <w:sz w:val="20"/>
                <w:szCs w:val="20"/>
              </w:rPr>
            </w:pPr>
            <w:r w:rsidRPr="002C1329">
              <w:rPr>
                <w:rFonts w:ascii="Arial Narrow" w:hAnsi="Arial Narrow" w:cs="Arial"/>
                <w:sz w:val="20"/>
                <w:szCs w:val="20"/>
              </w:rPr>
              <w:t>(i) exceeds 12 months and the palliative care patient is unable to have annual pain management review due to their clinical condition; or</w:t>
            </w:r>
          </w:p>
          <w:p w14:paraId="70326F95" w14:textId="77777777" w:rsidR="00F51305" w:rsidRPr="002C1329" w:rsidRDefault="00F51305" w:rsidP="00E41546">
            <w:pPr>
              <w:jc w:val="left"/>
              <w:rPr>
                <w:rFonts w:ascii="Arial Narrow" w:hAnsi="Arial Narrow" w:cs="Arial"/>
                <w:sz w:val="20"/>
                <w:szCs w:val="20"/>
              </w:rPr>
            </w:pPr>
            <w:r w:rsidRPr="002C1329">
              <w:rPr>
                <w:rFonts w:ascii="Arial Narrow" w:hAnsi="Arial Narrow" w:cs="Arial"/>
                <w:sz w:val="20"/>
                <w:szCs w:val="20"/>
              </w:rPr>
              <w:t>(ii) exceeds 12 months and the patient's clinical need for continuing opioid treatment has been confirmed through consultation with the patient by another medical practitioner or a palliative care nurse practitioner in the past 12 months; or</w:t>
            </w:r>
          </w:p>
          <w:p w14:paraId="59EF957F" w14:textId="77777777" w:rsidR="00F51305" w:rsidRDefault="00F51305" w:rsidP="00E41546">
            <w:pPr>
              <w:jc w:val="left"/>
              <w:rPr>
                <w:rFonts w:ascii="Arial Narrow" w:hAnsi="Arial Narrow" w:cs="Arial"/>
                <w:sz w:val="20"/>
                <w:szCs w:val="20"/>
              </w:rPr>
            </w:pPr>
            <w:r w:rsidRPr="002C1329">
              <w:rPr>
                <w:rFonts w:ascii="Arial Narrow" w:hAnsi="Arial Narrow" w:cs="Arial"/>
                <w:sz w:val="20"/>
                <w:szCs w:val="20"/>
              </w:rPr>
              <w:t xml:space="preserve">(iii) </w:t>
            </w:r>
            <w:proofErr w:type="gramStart"/>
            <w:r w:rsidRPr="002C1329">
              <w:rPr>
                <w:rFonts w:ascii="Arial Narrow" w:hAnsi="Arial Narrow" w:cs="Arial"/>
                <w:sz w:val="20"/>
                <w:szCs w:val="20"/>
              </w:rPr>
              <w:t>has</w:t>
            </w:r>
            <w:proofErr w:type="gramEnd"/>
            <w:r w:rsidRPr="002C1329">
              <w:rPr>
                <w:rFonts w:ascii="Arial Narrow" w:hAnsi="Arial Narrow" w:cs="Arial"/>
                <w:sz w:val="20"/>
                <w:szCs w:val="20"/>
              </w:rPr>
              <w:t xml:space="preserve"> exceeded 12 months prior to 1 June 2020 and the patient's clinical need for continuing opioid treatment has not been confirmed through consultation with the patient by another medical practitioner or a palliative care nurse practitioner in the past 12 months, but is planned in the next 3 months.</w:t>
            </w:r>
          </w:p>
          <w:p w14:paraId="57471867" w14:textId="40499597" w:rsidR="00F51305" w:rsidRDefault="00F51305" w:rsidP="00E41546">
            <w:pPr>
              <w:jc w:val="left"/>
              <w:rPr>
                <w:rFonts w:ascii="Arial Narrow" w:hAnsi="Arial Narrow" w:cs="Arial"/>
                <w:sz w:val="20"/>
                <w:szCs w:val="20"/>
              </w:rPr>
            </w:pPr>
          </w:p>
          <w:p w14:paraId="5D801D81" w14:textId="77777777" w:rsidR="00F51305" w:rsidRPr="00F33674" w:rsidRDefault="00F51305" w:rsidP="00E41546">
            <w:pPr>
              <w:jc w:val="left"/>
              <w:rPr>
                <w:rFonts w:ascii="Arial Narrow" w:hAnsi="Arial Narrow" w:cs="Arial"/>
                <w:sz w:val="20"/>
                <w:szCs w:val="20"/>
              </w:rPr>
            </w:pPr>
            <w:r>
              <w:rPr>
                <w:rFonts w:ascii="Arial Narrow" w:hAnsi="Arial Narrow" w:cs="Arial"/>
                <w:sz w:val="20"/>
                <w:szCs w:val="20"/>
              </w:rPr>
              <w:t xml:space="preserve">[new] </w:t>
            </w:r>
            <w:r w:rsidRPr="009F3089">
              <w:rPr>
                <w:rFonts w:ascii="Arial Narrow" w:hAnsi="Arial Narrow" w:cs="Arial"/>
                <w:sz w:val="20"/>
                <w:szCs w:val="20"/>
              </w:rPr>
              <w:t>Palliative care nurses may conduct annual review under this item for the treatment of palliative care patients only.</w:t>
            </w:r>
          </w:p>
          <w:p w14:paraId="16F8C1E5" w14:textId="77777777" w:rsidR="00F51305" w:rsidRPr="00F33674" w:rsidRDefault="00F51305" w:rsidP="00E41546">
            <w:pPr>
              <w:jc w:val="left"/>
              <w:rPr>
                <w:rFonts w:ascii="Arial Narrow" w:hAnsi="Arial Narrow" w:cs="Arial"/>
                <w:sz w:val="20"/>
                <w:szCs w:val="20"/>
              </w:rPr>
            </w:pPr>
          </w:p>
          <w:p w14:paraId="60333479" w14:textId="77777777" w:rsidR="00F51305" w:rsidRPr="00F33674" w:rsidRDefault="00F51305" w:rsidP="00E41546">
            <w:pPr>
              <w:jc w:val="left"/>
              <w:rPr>
                <w:rFonts w:ascii="Arial Narrow" w:hAnsi="Arial Narrow" w:cs="Arial"/>
                <w:sz w:val="20"/>
                <w:szCs w:val="20"/>
              </w:rPr>
            </w:pPr>
            <w:r w:rsidRPr="00F33674">
              <w:rPr>
                <w:rFonts w:ascii="Arial Narrow" w:hAnsi="Arial Narrow" w:cs="Arial"/>
                <w:sz w:val="20"/>
                <w:szCs w:val="20"/>
              </w:rPr>
              <w:t>[new] Authority requests extending treatment duration up to 1 month may be requested though the Online PBS Authorities system or by calling Services Australia.</w:t>
            </w:r>
          </w:p>
          <w:p w14:paraId="2770EE55" w14:textId="77777777" w:rsidR="00F51305" w:rsidRPr="00F33674" w:rsidRDefault="00F51305" w:rsidP="00E41546">
            <w:pPr>
              <w:jc w:val="left"/>
              <w:rPr>
                <w:rFonts w:ascii="Arial Narrow" w:hAnsi="Arial Narrow" w:cs="Arial"/>
                <w:sz w:val="20"/>
                <w:szCs w:val="20"/>
              </w:rPr>
            </w:pPr>
          </w:p>
          <w:p w14:paraId="32740DB1" w14:textId="77777777" w:rsidR="00F51305" w:rsidRPr="00F33674" w:rsidRDefault="00F51305" w:rsidP="00E41546">
            <w:pPr>
              <w:jc w:val="left"/>
              <w:rPr>
                <w:rFonts w:ascii="Arial Narrow" w:hAnsi="Arial Narrow" w:cs="Arial"/>
                <w:sz w:val="20"/>
                <w:szCs w:val="20"/>
              </w:rPr>
            </w:pPr>
            <w:r w:rsidRPr="00F33674">
              <w:rPr>
                <w:rFonts w:ascii="Arial Narrow" w:hAnsi="Arial Narrow" w:cs="Arial"/>
                <w:sz w:val="20"/>
                <w:szCs w:val="20"/>
              </w:rPr>
              <w:t xml:space="preserve">Authority requests extending treatment duration beyond 1 month </w:t>
            </w:r>
            <w:r w:rsidRPr="002C1329">
              <w:rPr>
                <w:rFonts w:ascii="Arial Narrow" w:hAnsi="Arial Narrow" w:cs="Arial"/>
                <w:sz w:val="20"/>
                <w:szCs w:val="20"/>
              </w:rPr>
              <w:t>may be requested through the Online PBS Authorities system</w:t>
            </w:r>
            <w:r w:rsidRPr="00F33674">
              <w:rPr>
                <w:rFonts w:ascii="Arial Narrow" w:hAnsi="Arial Narrow" w:cs="Arial"/>
                <w:sz w:val="20"/>
                <w:szCs w:val="20"/>
              </w:rPr>
              <w:t xml:space="preserve"> or in writing only and must not provide a treatment duration exceeding 3 months</w:t>
            </w:r>
            <w:r>
              <w:rPr>
                <w:rFonts w:ascii="Arial Narrow" w:hAnsi="Arial Narrow" w:cs="Arial"/>
                <w:sz w:val="20"/>
                <w:szCs w:val="20"/>
              </w:rPr>
              <w:t xml:space="preserve"> (</w:t>
            </w:r>
            <w:r w:rsidRPr="002C1329">
              <w:rPr>
                <w:rFonts w:ascii="Arial Narrow" w:hAnsi="Arial Narrow" w:cs="Arial"/>
                <w:sz w:val="20"/>
                <w:szCs w:val="20"/>
              </w:rPr>
              <w:t xml:space="preserve">quantity sufficient for up to </w:t>
            </w:r>
            <w:proofErr w:type="gramStart"/>
            <w:r w:rsidRPr="002C1329">
              <w:rPr>
                <w:rFonts w:ascii="Arial Narrow" w:hAnsi="Arial Narrow" w:cs="Arial"/>
                <w:sz w:val="20"/>
                <w:szCs w:val="20"/>
              </w:rPr>
              <w:t>1 month</w:t>
            </w:r>
            <w:proofErr w:type="gramEnd"/>
            <w:r w:rsidRPr="002C1329">
              <w:rPr>
                <w:rFonts w:ascii="Arial Narrow" w:hAnsi="Arial Narrow" w:cs="Arial"/>
                <w:sz w:val="20"/>
                <w:szCs w:val="20"/>
              </w:rPr>
              <w:t xml:space="preserve"> treatment and sufficient repeats)</w:t>
            </w:r>
            <w:r w:rsidRPr="00F33674">
              <w:rPr>
                <w:rFonts w:ascii="Arial Narrow" w:hAnsi="Arial Narrow" w:cs="Arial"/>
                <w:sz w:val="20"/>
                <w:szCs w:val="20"/>
              </w:rPr>
              <w:t>.</w:t>
            </w:r>
          </w:p>
        </w:tc>
      </w:tr>
      <w:tr w:rsidR="00F51305" w:rsidRPr="00F33674" w14:paraId="03E04DEE" w14:textId="77777777" w:rsidTr="00E41546">
        <w:trPr>
          <w:cantSplit/>
          <w:trHeight w:val="360"/>
        </w:trPr>
        <w:tc>
          <w:tcPr>
            <w:tcW w:w="2835" w:type="dxa"/>
            <w:tcBorders>
              <w:top w:val="single" w:sz="4" w:space="0" w:color="auto"/>
              <w:left w:val="single" w:sz="4" w:space="0" w:color="auto"/>
              <w:bottom w:val="single" w:sz="4" w:space="0" w:color="auto"/>
              <w:right w:val="single" w:sz="4" w:space="0" w:color="auto"/>
            </w:tcBorders>
          </w:tcPr>
          <w:p w14:paraId="4F31C1EC" w14:textId="77777777" w:rsidR="00F51305" w:rsidRPr="00F33674" w:rsidRDefault="00F51305" w:rsidP="00E41546">
            <w:pPr>
              <w:rPr>
                <w:rFonts w:ascii="Arial Narrow" w:hAnsi="Arial Narrow" w:cs="Arial"/>
                <w:b/>
                <w:sz w:val="20"/>
                <w:szCs w:val="20"/>
              </w:rPr>
            </w:pPr>
            <w:r w:rsidRPr="00F33674">
              <w:rPr>
                <w:rFonts w:ascii="Arial Narrow" w:hAnsi="Arial Narrow" w:cs="Arial"/>
                <w:b/>
                <w:sz w:val="20"/>
                <w:szCs w:val="20"/>
              </w:rPr>
              <w:t>Administrative advice:</w:t>
            </w:r>
          </w:p>
        </w:tc>
        <w:tc>
          <w:tcPr>
            <w:tcW w:w="6379" w:type="dxa"/>
            <w:tcBorders>
              <w:top w:val="single" w:sz="4" w:space="0" w:color="auto"/>
              <w:left w:val="single" w:sz="4" w:space="0" w:color="auto"/>
              <w:bottom w:val="single" w:sz="4" w:space="0" w:color="auto"/>
              <w:right w:val="single" w:sz="4" w:space="0" w:color="auto"/>
            </w:tcBorders>
          </w:tcPr>
          <w:p w14:paraId="42E94DD4" w14:textId="77777777" w:rsidR="00F51305" w:rsidRPr="00F33674" w:rsidRDefault="00F51305" w:rsidP="00E41546">
            <w:pPr>
              <w:jc w:val="left"/>
              <w:rPr>
                <w:rFonts w:ascii="Arial Narrow" w:hAnsi="Arial Narrow" w:cs="Arial"/>
                <w:sz w:val="20"/>
                <w:szCs w:val="20"/>
              </w:rPr>
            </w:pPr>
            <w:r w:rsidRPr="00F33674">
              <w:rPr>
                <w:rFonts w:ascii="Arial Narrow" w:hAnsi="Arial Narrow" w:cs="Arial"/>
                <w:sz w:val="20"/>
                <w:szCs w:val="20"/>
              </w:rPr>
              <w:t>[new] This treatment is not suitable for ‘as-required’ pain relief.</w:t>
            </w:r>
          </w:p>
          <w:p w14:paraId="0B5BA8B8" w14:textId="77777777" w:rsidR="00F51305" w:rsidRPr="00F33674" w:rsidRDefault="00F51305" w:rsidP="00E41546">
            <w:pPr>
              <w:jc w:val="left"/>
              <w:rPr>
                <w:rFonts w:ascii="Arial Narrow" w:hAnsi="Arial Narrow" w:cs="Arial"/>
                <w:sz w:val="20"/>
                <w:szCs w:val="20"/>
              </w:rPr>
            </w:pPr>
          </w:p>
          <w:p w14:paraId="56644122" w14:textId="77777777" w:rsidR="00F51305" w:rsidRPr="00F33674" w:rsidRDefault="00F51305" w:rsidP="00E41546">
            <w:pPr>
              <w:jc w:val="left"/>
              <w:rPr>
                <w:rFonts w:ascii="Arial Narrow" w:hAnsi="Arial Narrow" w:cs="Arial"/>
                <w:sz w:val="20"/>
                <w:szCs w:val="20"/>
              </w:rPr>
            </w:pPr>
            <w:r w:rsidRPr="00F33674">
              <w:rPr>
                <w:rFonts w:ascii="Arial Narrow" w:hAnsi="Arial Narrow" w:cs="Arial"/>
                <w:sz w:val="20"/>
                <w:szCs w:val="20"/>
              </w:rPr>
              <w:t xml:space="preserve">[7901] Shared Care Model: For prescribing by nurse practitioners where care of a patient </w:t>
            </w:r>
            <w:proofErr w:type="gramStart"/>
            <w:r w:rsidRPr="00F33674">
              <w:rPr>
                <w:rFonts w:ascii="Arial Narrow" w:hAnsi="Arial Narrow" w:cs="Arial"/>
                <w:sz w:val="20"/>
                <w:szCs w:val="20"/>
              </w:rPr>
              <w:t>is shared</w:t>
            </w:r>
            <w:proofErr w:type="gramEnd"/>
            <w:r w:rsidRPr="00F33674">
              <w:rPr>
                <w:rFonts w:ascii="Arial Narrow" w:hAnsi="Arial Narrow" w:cs="Arial"/>
                <w:sz w:val="20"/>
                <w:szCs w:val="20"/>
              </w:rPr>
              <w:t xml:space="preserve"> between a nurse practitioner and medical practitioner in a formalised arrangement with an agreed management plan. Further information </w:t>
            </w:r>
            <w:proofErr w:type="gramStart"/>
            <w:r w:rsidRPr="00F33674">
              <w:rPr>
                <w:rFonts w:ascii="Arial Narrow" w:hAnsi="Arial Narrow" w:cs="Arial"/>
                <w:sz w:val="20"/>
                <w:szCs w:val="20"/>
              </w:rPr>
              <w:t>can be found</w:t>
            </w:r>
            <w:proofErr w:type="gramEnd"/>
            <w:r w:rsidRPr="00F33674">
              <w:rPr>
                <w:rFonts w:ascii="Arial Narrow" w:hAnsi="Arial Narrow" w:cs="Arial"/>
                <w:sz w:val="20"/>
                <w:szCs w:val="20"/>
              </w:rPr>
              <w:t xml:space="preserve"> in the Explanatory Notes for Nurse Practitioners.</w:t>
            </w:r>
          </w:p>
          <w:p w14:paraId="5F238838" w14:textId="77777777" w:rsidR="00F51305" w:rsidRPr="00F33674" w:rsidRDefault="00F51305" w:rsidP="00E41546">
            <w:pPr>
              <w:jc w:val="left"/>
              <w:rPr>
                <w:rFonts w:ascii="Arial Narrow" w:hAnsi="Arial Narrow" w:cs="Arial"/>
                <w:sz w:val="20"/>
                <w:szCs w:val="20"/>
              </w:rPr>
            </w:pPr>
          </w:p>
          <w:p w14:paraId="7BEE6691" w14:textId="77777777" w:rsidR="00F51305" w:rsidRPr="00F33674" w:rsidRDefault="00F51305" w:rsidP="00F51305">
            <w:pPr>
              <w:jc w:val="left"/>
              <w:rPr>
                <w:rFonts w:ascii="Arial Narrow" w:hAnsi="Arial Narrow" w:cs="Arial"/>
                <w:sz w:val="20"/>
                <w:szCs w:val="20"/>
              </w:rPr>
            </w:pPr>
            <w:r w:rsidRPr="00F33674">
              <w:rPr>
                <w:rFonts w:ascii="Arial Narrow" w:hAnsi="Arial Narrow" w:cs="Arial"/>
                <w:sz w:val="20"/>
                <w:szCs w:val="20"/>
              </w:rPr>
              <w:t>[21221] OxyContin and Novacodone modified release tablets are intended to be crush-deterrent and to reduce the rapid release of oxycodone upon accidental or intentional misuse.</w:t>
            </w:r>
          </w:p>
          <w:p w14:paraId="0471AF85" w14:textId="77777777" w:rsidR="00F51305" w:rsidRPr="00F33674" w:rsidRDefault="00F51305" w:rsidP="00E41546">
            <w:pPr>
              <w:jc w:val="left"/>
              <w:rPr>
                <w:rFonts w:ascii="Arial Narrow" w:hAnsi="Arial Narrow" w:cs="Arial"/>
                <w:sz w:val="20"/>
                <w:szCs w:val="20"/>
              </w:rPr>
            </w:pPr>
          </w:p>
          <w:p w14:paraId="18672CB4" w14:textId="77777777" w:rsidR="00F51305" w:rsidRPr="00F33674" w:rsidRDefault="00F51305" w:rsidP="00E41546">
            <w:pPr>
              <w:jc w:val="left"/>
              <w:rPr>
                <w:rFonts w:ascii="Arial Narrow" w:hAnsi="Arial Narrow" w:cs="Arial"/>
                <w:sz w:val="20"/>
                <w:szCs w:val="20"/>
              </w:rPr>
            </w:pPr>
            <w:r w:rsidRPr="00F33674">
              <w:rPr>
                <w:rFonts w:ascii="Arial Narrow" w:hAnsi="Arial Narrow" w:cs="Arial"/>
                <w:sz w:val="20"/>
                <w:szCs w:val="20"/>
              </w:rPr>
              <w:t>[new] Real time online applications for increased maximum quantities/repeats may be made using the Online PBS Authorities system (see www.servicesaustralia.gov.au/organisations/health-professionals/services/medicare/hpos/services/request-authority-using-online-pbs-authorities-hpos)</w:t>
            </w:r>
          </w:p>
          <w:p w14:paraId="492AAF63" w14:textId="77777777" w:rsidR="00F51305" w:rsidRPr="00F33674" w:rsidRDefault="00F51305" w:rsidP="00E41546">
            <w:pPr>
              <w:jc w:val="left"/>
              <w:rPr>
                <w:rFonts w:ascii="Arial Narrow" w:hAnsi="Arial Narrow" w:cs="Arial"/>
                <w:sz w:val="20"/>
                <w:szCs w:val="20"/>
              </w:rPr>
            </w:pPr>
          </w:p>
          <w:p w14:paraId="05973313" w14:textId="77777777" w:rsidR="00F51305" w:rsidRPr="00F33674" w:rsidRDefault="00F51305" w:rsidP="00E41546">
            <w:pPr>
              <w:jc w:val="left"/>
              <w:rPr>
                <w:rFonts w:ascii="Arial Narrow" w:hAnsi="Arial Narrow" w:cs="Arial"/>
                <w:sz w:val="20"/>
                <w:szCs w:val="20"/>
              </w:rPr>
            </w:pPr>
            <w:r w:rsidRPr="00F33674">
              <w:rPr>
                <w:rFonts w:ascii="Arial Narrow" w:hAnsi="Arial Narrow" w:cs="Arial"/>
                <w:sz w:val="20"/>
                <w:szCs w:val="20"/>
              </w:rPr>
              <w:t>Phone applications for increased maximum quantities/repeats may be made by calling 1800 888 333.</w:t>
            </w:r>
          </w:p>
          <w:p w14:paraId="148F05AB" w14:textId="77777777" w:rsidR="00F51305" w:rsidRPr="00F33674" w:rsidRDefault="00F51305" w:rsidP="00E41546">
            <w:pPr>
              <w:jc w:val="left"/>
              <w:rPr>
                <w:rFonts w:ascii="Arial Narrow" w:hAnsi="Arial Narrow" w:cs="Arial"/>
                <w:sz w:val="20"/>
                <w:szCs w:val="20"/>
              </w:rPr>
            </w:pPr>
          </w:p>
          <w:p w14:paraId="4DD93994" w14:textId="77777777" w:rsidR="00F51305" w:rsidRPr="00F33674" w:rsidRDefault="00F51305" w:rsidP="00E41546">
            <w:pPr>
              <w:jc w:val="left"/>
              <w:rPr>
                <w:rFonts w:ascii="Arial Narrow" w:hAnsi="Arial Narrow" w:cs="Arial"/>
                <w:sz w:val="20"/>
                <w:szCs w:val="20"/>
              </w:rPr>
            </w:pPr>
            <w:r w:rsidRPr="00F33674">
              <w:rPr>
                <w:rFonts w:ascii="Arial Narrow" w:hAnsi="Arial Narrow" w:cs="Arial"/>
                <w:sz w:val="20"/>
                <w:szCs w:val="20"/>
              </w:rPr>
              <w:t>Written authority applications for increased maximum quantities/repeats can be uploaded online through HPOS form upload or mailed to:</w:t>
            </w:r>
          </w:p>
          <w:p w14:paraId="2182AF0B" w14:textId="77777777" w:rsidR="00F51305" w:rsidRPr="00F33674" w:rsidRDefault="00F51305" w:rsidP="00E41546">
            <w:pPr>
              <w:jc w:val="left"/>
              <w:rPr>
                <w:rFonts w:ascii="Arial Narrow" w:hAnsi="Arial Narrow" w:cs="Arial"/>
                <w:sz w:val="20"/>
                <w:szCs w:val="20"/>
              </w:rPr>
            </w:pPr>
            <w:r w:rsidRPr="00F33674">
              <w:rPr>
                <w:rFonts w:ascii="Arial Narrow" w:hAnsi="Arial Narrow" w:cs="Arial"/>
                <w:sz w:val="20"/>
                <w:szCs w:val="20"/>
              </w:rPr>
              <w:t>Pharmaceutical Benefits Scheme</w:t>
            </w:r>
          </w:p>
          <w:p w14:paraId="2D820F64" w14:textId="77777777" w:rsidR="00F51305" w:rsidRPr="00F33674" w:rsidRDefault="00F51305" w:rsidP="00E41546">
            <w:pPr>
              <w:jc w:val="left"/>
              <w:rPr>
                <w:rFonts w:ascii="Arial Narrow" w:hAnsi="Arial Narrow" w:cs="Arial"/>
                <w:sz w:val="20"/>
                <w:szCs w:val="20"/>
              </w:rPr>
            </w:pPr>
            <w:r w:rsidRPr="00F33674">
              <w:rPr>
                <w:rFonts w:ascii="Arial Narrow" w:hAnsi="Arial Narrow" w:cs="Arial"/>
                <w:sz w:val="20"/>
                <w:szCs w:val="20"/>
              </w:rPr>
              <w:t>Reply Paid 9857</w:t>
            </w:r>
          </w:p>
          <w:p w14:paraId="7195335C" w14:textId="77777777" w:rsidR="00F51305" w:rsidRPr="00F33674" w:rsidRDefault="00F51305" w:rsidP="00E41546">
            <w:pPr>
              <w:jc w:val="left"/>
              <w:rPr>
                <w:rFonts w:ascii="Arial Narrow" w:hAnsi="Arial Narrow" w:cs="Arial"/>
                <w:sz w:val="20"/>
                <w:szCs w:val="20"/>
              </w:rPr>
            </w:pPr>
            <w:r w:rsidRPr="00F33674">
              <w:rPr>
                <w:rFonts w:ascii="Arial Narrow" w:hAnsi="Arial Narrow" w:cs="Arial"/>
                <w:sz w:val="20"/>
                <w:szCs w:val="20"/>
              </w:rPr>
              <w:t>[Your capital city]</w:t>
            </w:r>
          </w:p>
        </w:tc>
      </w:tr>
      <w:tr w:rsidR="00F51305" w:rsidRPr="00F33674" w14:paraId="13F6F152" w14:textId="77777777" w:rsidTr="00E41546">
        <w:trPr>
          <w:cantSplit/>
          <w:trHeight w:val="360"/>
        </w:trPr>
        <w:tc>
          <w:tcPr>
            <w:tcW w:w="2835" w:type="dxa"/>
            <w:tcBorders>
              <w:top w:val="single" w:sz="4" w:space="0" w:color="auto"/>
              <w:left w:val="single" w:sz="4" w:space="0" w:color="auto"/>
              <w:bottom w:val="single" w:sz="4" w:space="0" w:color="auto"/>
              <w:right w:val="single" w:sz="4" w:space="0" w:color="auto"/>
            </w:tcBorders>
          </w:tcPr>
          <w:p w14:paraId="4F1A6087" w14:textId="77777777" w:rsidR="00F51305" w:rsidRPr="00F33674" w:rsidRDefault="00F51305" w:rsidP="00E41546">
            <w:pPr>
              <w:rPr>
                <w:rFonts w:ascii="Arial Narrow" w:hAnsi="Arial Narrow" w:cs="Arial"/>
                <w:b/>
                <w:sz w:val="20"/>
                <w:szCs w:val="20"/>
              </w:rPr>
            </w:pPr>
            <w:r w:rsidRPr="00F33674">
              <w:rPr>
                <w:rFonts w:ascii="Arial Narrow" w:hAnsi="Arial Narrow" w:cs="Arial"/>
                <w:b/>
                <w:sz w:val="20"/>
                <w:szCs w:val="20"/>
              </w:rPr>
              <w:t>Cautions:</w:t>
            </w:r>
          </w:p>
        </w:tc>
        <w:tc>
          <w:tcPr>
            <w:tcW w:w="6379" w:type="dxa"/>
            <w:tcBorders>
              <w:top w:val="single" w:sz="4" w:space="0" w:color="auto"/>
              <w:left w:val="single" w:sz="4" w:space="0" w:color="auto"/>
              <w:bottom w:val="single" w:sz="4" w:space="0" w:color="auto"/>
              <w:right w:val="single" w:sz="4" w:space="0" w:color="auto"/>
            </w:tcBorders>
          </w:tcPr>
          <w:p w14:paraId="41F5F64E" w14:textId="77777777" w:rsidR="00F51305" w:rsidRPr="00F33674" w:rsidRDefault="00F51305" w:rsidP="00E41546">
            <w:pPr>
              <w:jc w:val="left"/>
              <w:rPr>
                <w:rFonts w:ascii="Arial Narrow" w:hAnsi="Arial Narrow" w:cs="Arial"/>
                <w:sz w:val="20"/>
                <w:szCs w:val="20"/>
              </w:rPr>
            </w:pPr>
            <w:r w:rsidRPr="00F33674">
              <w:rPr>
                <w:rFonts w:ascii="Arial Narrow" w:hAnsi="Arial Narrow" w:cs="Arial"/>
                <w:sz w:val="20"/>
                <w:szCs w:val="20"/>
              </w:rPr>
              <w:t>[6986] The risk of drug dependence is high.</w:t>
            </w:r>
          </w:p>
        </w:tc>
      </w:tr>
    </w:tbl>
    <w:p w14:paraId="0394883F" w14:textId="77777777" w:rsidR="00F51305" w:rsidRDefault="00F51305" w:rsidP="00F51305">
      <w:pPr>
        <w:pStyle w:val="3-BodyText"/>
        <w:numPr>
          <w:ilvl w:val="0"/>
          <w:numId w:val="0"/>
        </w:numPr>
        <w:ind w:left="720" w:hanging="720"/>
      </w:pPr>
    </w:p>
    <w:tbl>
      <w:tblPr>
        <w:tblW w:w="9214" w:type="dxa"/>
        <w:tblInd w:w="-5" w:type="dxa"/>
        <w:tblLayout w:type="fixed"/>
        <w:tblLook w:val="0000" w:firstRow="0" w:lastRow="0" w:firstColumn="0" w:lastColumn="0" w:noHBand="0" w:noVBand="0"/>
      </w:tblPr>
      <w:tblGrid>
        <w:gridCol w:w="2835"/>
        <w:gridCol w:w="6379"/>
      </w:tblGrid>
      <w:tr w:rsidR="00F51305" w:rsidRPr="00F33674" w14:paraId="4118999B" w14:textId="77777777" w:rsidTr="00E41546">
        <w:trPr>
          <w:cantSplit/>
          <w:trHeight w:val="360"/>
        </w:trPr>
        <w:tc>
          <w:tcPr>
            <w:tcW w:w="2835" w:type="dxa"/>
            <w:tcBorders>
              <w:top w:val="single" w:sz="4" w:space="0" w:color="auto"/>
              <w:left w:val="single" w:sz="4" w:space="0" w:color="auto"/>
              <w:bottom w:val="single" w:sz="4" w:space="0" w:color="auto"/>
              <w:right w:val="single" w:sz="4" w:space="0" w:color="auto"/>
            </w:tcBorders>
          </w:tcPr>
          <w:p w14:paraId="743B87DD" w14:textId="77777777" w:rsidR="00F51305" w:rsidRPr="00F33674" w:rsidRDefault="00F51305" w:rsidP="00E41546">
            <w:pPr>
              <w:rPr>
                <w:rFonts w:ascii="Arial Narrow" w:hAnsi="Arial Narrow" w:cs="Arial"/>
                <w:b/>
                <w:sz w:val="20"/>
                <w:szCs w:val="20"/>
              </w:rPr>
            </w:pPr>
            <w:r w:rsidRPr="00F33674">
              <w:rPr>
                <w:rFonts w:ascii="Arial Narrow" w:hAnsi="Arial Narrow" w:cs="Arial"/>
                <w:b/>
                <w:sz w:val="20"/>
                <w:szCs w:val="20"/>
              </w:rPr>
              <w:t>Category / Program:</w:t>
            </w:r>
          </w:p>
        </w:tc>
        <w:tc>
          <w:tcPr>
            <w:tcW w:w="6379" w:type="dxa"/>
            <w:tcBorders>
              <w:top w:val="single" w:sz="4" w:space="0" w:color="auto"/>
              <w:left w:val="single" w:sz="4" w:space="0" w:color="auto"/>
              <w:bottom w:val="single" w:sz="4" w:space="0" w:color="auto"/>
              <w:right w:val="single" w:sz="4" w:space="0" w:color="auto"/>
            </w:tcBorders>
          </w:tcPr>
          <w:p w14:paraId="2AD82538" w14:textId="77777777" w:rsidR="00F51305" w:rsidRPr="00F33674" w:rsidRDefault="00F51305" w:rsidP="00E41546">
            <w:pPr>
              <w:rPr>
                <w:rFonts w:ascii="Arial Narrow" w:hAnsi="Arial Narrow" w:cs="Arial"/>
                <w:sz w:val="20"/>
                <w:szCs w:val="20"/>
              </w:rPr>
            </w:pPr>
            <w:r w:rsidRPr="00F33674">
              <w:rPr>
                <w:rFonts w:ascii="Arial Narrow" w:hAnsi="Arial Narrow" w:cs="Arial"/>
                <w:sz w:val="20"/>
                <w:szCs w:val="20"/>
              </w:rPr>
              <w:t>GENERAL – General Schedule (Code GE)</w:t>
            </w:r>
          </w:p>
        </w:tc>
      </w:tr>
      <w:tr w:rsidR="00F51305" w:rsidRPr="00F33674" w14:paraId="4FC36276" w14:textId="77777777" w:rsidTr="00E41546">
        <w:trPr>
          <w:cantSplit/>
          <w:trHeight w:val="360"/>
        </w:trPr>
        <w:tc>
          <w:tcPr>
            <w:tcW w:w="2835" w:type="dxa"/>
            <w:tcBorders>
              <w:top w:val="single" w:sz="4" w:space="0" w:color="auto"/>
              <w:left w:val="single" w:sz="4" w:space="0" w:color="auto"/>
              <w:bottom w:val="single" w:sz="4" w:space="0" w:color="auto"/>
              <w:right w:val="single" w:sz="4" w:space="0" w:color="auto"/>
            </w:tcBorders>
          </w:tcPr>
          <w:p w14:paraId="67C994FD" w14:textId="77777777" w:rsidR="00F51305" w:rsidRPr="00F33674" w:rsidRDefault="00F51305" w:rsidP="00E41546">
            <w:pPr>
              <w:rPr>
                <w:rFonts w:ascii="Arial Narrow" w:hAnsi="Arial Narrow" w:cs="Arial"/>
                <w:b/>
                <w:sz w:val="20"/>
                <w:szCs w:val="20"/>
              </w:rPr>
            </w:pPr>
            <w:r w:rsidRPr="00F33674">
              <w:rPr>
                <w:rFonts w:ascii="Arial Narrow" w:hAnsi="Arial Narrow" w:cs="Arial"/>
                <w:b/>
                <w:sz w:val="20"/>
                <w:szCs w:val="20"/>
              </w:rPr>
              <w:t>Prescriber type:</w:t>
            </w:r>
          </w:p>
          <w:p w14:paraId="3B65AB44" w14:textId="77777777" w:rsidR="00F51305" w:rsidRPr="00F33674" w:rsidRDefault="00F51305" w:rsidP="00E41546">
            <w:pPr>
              <w:rPr>
                <w:rFonts w:ascii="Arial Narrow" w:hAnsi="Arial Narrow" w:cs="Arial"/>
                <w:b/>
                <w:sz w:val="20"/>
                <w:szCs w:val="20"/>
              </w:rPr>
            </w:pPr>
          </w:p>
        </w:tc>
        <w:tc>
          <w:tcPr>
            <w:tcW w:w="6379" w:type="dxa"/>
            <w:tcBorders>
              <w:top w:val="single" w:sz="4" w:space="0" w:color="auto"/>
              <w:left w:val="single" w:sz="4" w:space="0" w:color="auto"/>
              <w:bottom w:val="single" w:sz="4" w:space="0" w:color="auto"/>
              <w:right w:val="single" w:sz="4" w:space="0" w:color="auto"/>
            </w:tcBorders>
          </w:tcPr>
          <w:p w14:paraId="4668251F" w14:textId="77777777" w:rsidR="00F51305" w:rsidRPr="00F33674" w:rsidRDefault="00F51305" w:rsidP="00E41546">
            <w:pPr>
              <w:rPr>
                <w:rFonts w:ascii="Arial Narrow" w:hAnsi="Arial Narrow" w:cs="Arial"/>
                <w:sz w:val="20"/>
                <w:szCs w:val="20"/>
              </w:rPr>
            </w:pPr>
            <w:r w:rsidRPr="00F33674">
              <w:rPr>
                <w:rFonts w:ascii="Arial Narrow" w:hAnsi="Arial Narrow" w:cs="Arial"/>
                <w:sz w:val="20"/>
                <w:szCs w:val="20"/>
              </w:rPr>
              <w:fldChar w:fldCharType="begin">
                <w:ffData>
                  <w:name w:val="Check1"/>
                  <w:enabled/>
                  <w:calcOnExit w:val="0"/>
                  <w:checkBox>
                    <w:sizeAuto/>
                    <w:default w:val="0"/>
                  </w:checkBox>
                </w:ffData>
              </w:fldChar>
            </w:r>
            <w:r w:rsidRPr="00F33674">
              <w:rPr>
                <w:rFonts w:ascii="Arial Narrow" w:hAnsi="Arial Narrow" w:cs="Arial"/>
                <w:sz w:val="20"/>
                <w:szCs w:val="20"/>
              </w:rPr>
              <w:instrText xml:space="preserve"> FORMCHECKBOX </w:instrText>
            </w:r>
            <w:r w:rsidR="00233D13">
              <w:rPr>
                <w:rFonts w:ascii="Arial Narrow" w:hAnsi="Arial Narrow" w:cs="Arial"/>
                <w:sz w:val="20"/>
                <w:szCs w:val="20"/>
              </w:rPr>
            </w:r>
            <w:r w:rsidR="00233D13">
              <w:rPr>
                <w:rFonts w:ascii="Arial Narrow" w:hAnsi="Arial Narrow" w:cs="Arial"/>
                <w:sz w:val="20"/>
                <w:szCs w:val="20"/>
              </w:rPr>
              <w:fldChar w:fldCharType="separate"/>
            </w:r>
            <w:r w:rsidRPr="00F33674">
              <w:rPr>
                <w:rFonts w:ascii="Arial Narrow" w:hAnsi="Arial Narrow" w:cs="Arial"/>
                <w:sz w:val="20"/>
                <w:szCs w:val="20"/>
              </w:rPr>
              <w:fldChar w:fldCharType="end"/>
            </w:r>
            <w:r w:rsidRPr="00F33674">
              <w:rPr>
                <w:rFonts w:ascii="Arial Narrow" w:hAnsi="Arial Narrow" w:cs="Arial"/>
                <w:sz w:val="20"/>
                <w:szCs w:val="20"/>
              </w:rPr>
              <w:t>Dental</w:t>
            </w:r>
            <w:r>
              <w:rPr>
                <w:rFonts w:ascii="Arial Narrow" w:hAnsi="Arial Narrow" w:cs="Arial"/>
                <w:sz w:val="20"/>
                <w:szCs w:val="20"/>
              </w:rPr>
              <w:t xml:space="preserve"> </w:t>
            </w:r>
            <w:r w:rsidRPr="00F33674">
              <w:rPr>
                <w:rFonts w:ascii="Arial Narrow" w:hAnsi="Arial Narrow" w:cs="Arial"/>
                <w:sz w:val="20"/>
                <w:szCs w:val="20"/>
              </w:rPr>
              <w:fldChar w:fldCharType="begin">
                <w:ffData>
                  <w:name w:val=""/>
                  <w:enabled/>
                  <w:calcOnExit w:val="0"/>
                  <w:checkBox>
                    <w:sizeAuto/>
                    <w:default w:val="1"/>
                  </w:checkBox>
                </w:ffData>
              </w:fldChar>
            </w:r>
            <w:r w:rsidRPr="00F33674">
              <w:rPr>
                <w:rFonts w:ascii="Arial Narrow" w:hAnsi="Arial Narrow" w:cs="Arial"/>
                <w:sz w:val="20"/>
                <w:szCs w:val="20"/>
              </w:rPr>
              <w:instrText xml:space="preserve"> FORMCHECKBOX </w:instrText>
            </w:r>
            <w:r w:rsidR="00233D13">
              <w:rPr>
                <w:rFonts w:ascii="Arial Narrow" w:hAnsi="Arial Narrow" w:cs="Arial"/>
                <w:sz w:val="20"/>
                <w:szCs w:val="20"/>
              </w:rPr>
            </w:r>
            <w:r w:rsidR="00233D13">
              <w:rPr>
                <w:rFonts w:ascii="Arial Narrow" w:hAnsi="Arial Narrow" w:cs="Arial"/>
                <w:sz w:val="20"/>
                <w:szCs w:val="20"/>
              </w:rPr>
              <w:fldChar w:fldCharType="separate"/>
            </w:r>
            <w:r w:rsidRPr="00F33674">
              <w:rPr>
                <w:rFonts w:ascii="Arial Narrow" w:hAnsi="Arial Narrow" w:cs="Arial"/>
                <w:sz w:val="20"/>
                <w:szCs w:val="20"/>
              </w:rPr>
              <w:fldChar w:fldCharType="end"/>
            </w:r>
            <w:r w:rsidRPr="00F33674">
              <w:rPr>
                <w:rFonts w:ascii="Arial Narrow" w:hAnsi="Arial Narrow" w:cs="Arial"/>
                <w:sz w:val="20"/>
                <w:szCs w:val="20"/>
              </w:rPr>
              <w:t>Medical Practitioners</w:t>
            </w:r>
            <w:r>
              <w:rPr>
                <w:rFonts w:ascii="Arial Narrow" w:hAnsi="Arial Narrow" w:cs="Arial"/>
                <w:sz w:val="20"/>
                <w:szCs w:val="20"/>
              </w:rPr>
              <w:t xml:space="preserve"> </w:t>
            </w:r>
            <w:r w:rsidRPr="00F33674">
              <w:rPr>
                <w:rFonts w:ascii="Arial Narrow" w:hAnsi="Arial Narrow" w:cs="Arial"/>
                <w:sz w:val="20"/>
                <w:szCs w:val="20"/>
              </w:rPr>
              <w:fldChar w:fldCharType="begin">
                <w:ffData>
                  <w:name w:val="Check3"/>
                  <w:enabled/>
                  <w:calcOnExit w:val="0"/>
                  <w:checkBox>
                    <w:sizeAuto/>
                    <w:default w:val="1"/>
                  </w:checkBox>
                </w:ffData>
              </w:fldChar>
            </w:r>
            <w:r w:rsidRPr="00F33674">
              <w:rPr>
                <w:rFonts w:ascii="Arial Narrow" w:hAnsi="Arial Narrow" w:cs="Arial"/>
                <w:sz w:val="20"/>
                <w:szCs w:val="20"/>
              </w:rPr>
              <w:instrText xml:space="preserve"> FORMCHECKBOX </w:instrText>
            </w:r>
            <w:r w:rsidR="00233D13">
              <w:rPr>
                <w:rFonts w:ascii="Arial Narrow" w:hAnsi="Arial Narrow" w:cs="Arial"/>
                <w:sz w:val="20"/>
                <w:szCs w:val="20"/>
              </w:rPr>
            </w:r>
            <w:r w:rsidR="00233D13">
              <w:rPr>
                <w:rFonts w:ascii="Arial Narrow" w:hAnsi="Arial Narrow" w:cs="Arial"/>
                <w:sz w:val="20"/>
                <w:szCs w:val="20"/>
              </w:rPr>
              <w:fldChar w:fldCharType="separate"/>
            </w:r>
            <w:r w:rsidRPr="00F33674">
              <w:rPr>
                <w:rFonts w:ascii="Arial Narrow" w:hAnsi="Arial Narrow" w:cs="Arial"/>
                <w:sz w:val="20"/>
                <w:szCs w:val="20"/>
              </w:rPr>
              <w:fldChar w:fldCharType="end"/>
            </w:r>
            <w:r w:rsidRPr="00F33674">
              <w:rPr>
                <w:rFonts w:ascii="Arial Narrow" w:hAnsi="Arial Narrow" w:cs="Arial"/>
                <w:sz w:val="20"/>
                <w:szCs w:val="20"/>
              </w:rPr>
              <w:t>Nurse practitioners</w:t>
            </w:r>
            <w:r>
              <w:rPr>
                <w:rFonts w:ascii="Arial Narrow" w:hAnsi="Arial Narrow" w:cs="Arial"/>
                <w:sz w:val="20"/>
                <w:szCs w:val="20"/>
              </w:rPr>
              <w:t xml:space="preserve"> </w:t>
            </w:r>
            <w:r w:rsidRPr="00F33674">
              <w:rPr>
                <w:rFonts w:ascii="Arial Narrow" w:hAnsi="Arial Narrow" w:cs="Arial"/>
                <w:sz w:val="20"/>
                <w:szCs w:val="20"/>
              </w:rPr>
              <w:fldChar w:fldCharType="begin">
                <w:ffData>
                  <w:name w:val=""/>
                  <w:enabled/>
                  <w:calcOnExit w:val="0"/>
                  <w:checkBox>
                    <w:sizeAuto/>
                    <w:default w:val="0"/>
                  </w:checkBox>
                </w:ffData>
              </w:fldChar>
            </w:r>
            <w:r w:rsidRPr="00F33674">
              <w:rPr>
                <w:rFonts w:ascii="Arial Narrow" w:hAnsi="Arial Narrow" w:cs="Arial"/>
                <w:sz w:val="20"/>
                <w:szCs w:val="20"/>
              </w:rPr>
              <w:instrText xml:space="preserve"> FORMCHECKBOX </w:instrText>
            </w:r>
            <w:r w:rsidR="00233D13">
              <w:rPr>
                <w:rFonts w:ascii="Arial Narrow" w:hAnsi="Arial Narrow" w:cs="Arial"/>
                <w:sz w:val="20"/>
                <w:szCs w:val="20"/>
              </w:rPr>
            </w:r>
            <w:r w:rsidR="00233D13">
              <w:rPr>
                <w:rFonts w:ascii="Arial Narrow" w:hAnsi="Arial Narrow" w:cs="Arial"/>
                <w:sz w:val="20"/>
                <w:szCs w:val="20"/>
              </w:rPr>
              <w:fldChar w:fldCharType="separate"/>
            </w:r>
            <w:r w:rsidRPr="00F33674">
              <w:rPr>
                <w:rFonts w:ascii="Arial Narrow" w:hAnsi="Arial Narrow" w:cs="Arial"/>
                <w:sz w:val="20"/>
                <w:szCs w:val="20"/>
              </w:rPr>
              <w:fldChar w:fldCharType="end"/>
            </w:r>
            <w:r w:rsidRPr="00F33674">
              <w:rPr>
                <w:rFonts w:ascii="Arial Narrow" w:hAnsi="Arial Narrow" w:cs="Arial"/>
                <w:sz w:val="20"/>
                <w:szCs w:val="20"/>
              </w:rPr>
              <w:t>Optometrists</w:t>
            </w:r>
          </w:p>
          <w:p w14:paraId="2464F2CD" w14:textId="77777777" w:rsidR="00F51305" w:rsidRPr="00F33674" w:rsidRDefault="00F51305" w:rsidP="00E41546">
            <w:pPr>
              <w:rPr>
                <w:rFonts w:ascii="Arial Narrow" w:hAnsi="Arial Narrow" w:cs="Arial"/>
                <w:sz w:val="20"/>
                <w:szCs w:val="20"/>
              </w:rPr>
            </w:pPr>
            <w:r w:rsidRPr="00F33674">
              <w:rPr>
                <w:rFonts w:ascii="Arial Narrow" w:hAnsi="Arial Narrow" w:cs="Arial"/>
                <w:sz w:val="20"/>
                <w:szCs w:val="20"/>
              </w:rPr>
              <w:fldChar w:fldCharType="begin">
                <w:ffData>
                  <w:name w:val="Check5"/>
                  <w:enabled/>
                  <w:calcOnExit w:val="0"/>
                  <w:checkBox>
                    <w:sizeAuto/>
                    <w:default w:val="0"/>
                  </w:checkBox>
                </w:ffData>
              </w:fldChar>
            </w:r>
            <w:r w:rsidRPr="00F33674">
              <w:rPr>
                <w:rFonts w:ascii="Arial Narrow" w:hAnsi="Arial Narrow" w:cs="Arial"/>
                <w:sz w:val="20"/>
                <w:szCs w:val="20"/>
              </w:rPr>
              <w:instrText xml:space="preserve"> FORMCHECKBOX </w:instrText>
            </w:r>
            <w:r w:rsidR="00233D13">
              <w:rPr>
                <w:rFonts w:ascii="Arial Narrow" w:hAnsi="Arial Narrow" w:cs="Arial"/>
                <w:sz w:val="20"/>
                <w:szCs w:val="20"/>
              </w:rPr>
            </w:r>
            <w:r w:rsidR="00233D13">
              <w:rPr>
                <w:rFonts w:ascii="Arial Narrow" w:hAnsi="Arial Narrow" w:cs="Arial"/>
                <w:sz w:val="20"/>
                <w:szCs w:val="20"/>
              </w:rPr>
              <w:fldChar w:fldCharType="separate"/>
            </w:r>
            <w:r w:rsidRPr="00F33674">
              <w:rPr>
                <w:rFonts w:ascii="Arial Narrow" w:hAnsi="Arial Narrow" w:cs="Arial"/>
                <w:sz w:val="20"/>
                <w:szCs w:val="20"/>
              </w:rPr>
              <w:fldChar w:fldCharType="end"/>
            </w:r>
            <w:r w:rsidRPr="00F33674">
              <w:rPr>
                <w:rFonts w:ascii="Arial Narrow" w:hAnsi="Arial Narrow" w:cs="Arial"/>
                <w:sz w:val="20"/>
                <w:szCs w:val="20"/>
              </w:rPr>
              <w:t>Midwives</w:t>
            </w:r>
          </w:p>
        </w:tc>
      </w:tr>
      <w:tr w:rsidR="00F51305" w:rsidRPr="00F33674" w14:paraId="62351335" w14:textId="77777777" w:rsidTr="00E41546">
        <w:trPr>
          <w:cantSplit/>
          <w:trHeight w:val="369"/>
        </w:trPr>
        <w:tc>
          <w:tcPr>
            <w:tcW w:w="2835" w:type="dxa"/>
            <w:tcBorders>
              <w:top w:val="single" w:sz="4" w:space="0" w:color="auto"/>
              <w:left w:val="single" w:sz="4" w:space="0" w:color="auto"/>
              <w:bottom w:val="single" w:sz="4" w:space="0" w:color="auto"/>
              <w:right w:val="single" w:sz="4" w:space="0" w:color="auto"/>
            </w:tcBorders>
          </w:tcPr>
          <w:p w14:paraId="15A5275B" w14:textId="77777777" w:rsidR="00F51305" w:rsidRPr="00F33674" w:rsidRDefault="00F51305" w:rsidP="00E41546">
            <w:pPr>
              <w:rPr>
                <w:rFonts w:ascii="Arial Narrow" w:hAnsi="Arial Narrow" w:cs="Arial"/>
                <w:b/>
                <w:sz w:val="20"/>
                <w:szCs w:val="20"/>
              </w:rPr>
            </w:pPr>
            <w:r w:rsidRPr="00F33674">
              <w:rPr>
                <w:rFonts w:ascii="Arial Narrow" w:hAnsi="Arial Narrow" w:cs="Arial"/>
                <w:b/>
                <w:sz w:val="20"/>
                <w:szCs w:val="20"/>
              </w:rPr>
              <w:t>PBS indication:</w:t>
            </w:r>
          </w:p>
        </w:tc>
        <w:tc>
          <w:tcPr>
            <w:tcW w:w="6379" w:type="dxa"/>
            <w:tcBorders>
              <w:top w:val="single" w:sz="4" w:space="0" w:color="auto"/>
              <w:left w:val="single" w:sz="4" w:space="0" w:color="auto"/>
              <w:bottom w:val="single" w:sz="4" w:space="0" w:color="auto"/>
              <w:right w:val="single" w:sz="4" w:space="0" w:color="auto"/>
            </w:tcBorders>
          </w:tcPr>
          <w:p w14:paraId="7BE38367" w14:textId="77777777" w:rsidR="00F51305" w:rsidRPr="00F33674" w:rsidRDefault="00F51305" w:rsidP="00E41546">
            <w:pPr>
              <w:rPr>
                <w:rFonts w:ascii="Arial Narrow" w:hAnsi="Arial Narrow" w:cs="Arial"/>
                <w:sz w:val="20"/>
                <w:szCs w:val="20"/>
              </w:rPr>
            </w:pPr>
            <w:r w:rsidRPr="00F33674">
              <w:rPr>
                <w:rFonts w:ascii="Arial Narrow" w:hAnsi="Arial Narrow" w:cs="Arial"/>
                <w:sz w:val="20"/>
                <w:szCs w:val="20"/>
              </w:rPr>
              <w:t>[new] Chronic severe pain</w:t>
            </w:r>
          </w:p>
        </w:tc>
      </w:tr>
      <w:tr w:rsidR="00F51305" w:rsidRPr="00F33674" w14:paraId="57F1D2C3" w14:textId="77777777" w:rsidTr="00E41546">
        <w:trPr>
          <w:cantSplit/>
          <w:trHeight w:val="360"/>
        </w:trPr>
        <w:tc>
          <w:tcPr>
            <w:tcW w:w="2835" w:type="dxa"/>
            <w:tcBorders>
              <w:top w:val="single" w:sz="4" w:space="0" w:color="auto"/>
              <w:left w:val="single" w:sz="4" w:space="0" w:color="auto"/>
              <w:bottom w:val="single" w:sz="4" w:space="0" w:color="auto"/>
              <w:right w:val="single" w:sz="4" w:space="0" w:color="auto"/>
            </w:tcBorders>
          </w:tcPr>
          <w:p w14:paraId="292EBDC9" w14:textId="77777777" w:rsidR="00F51305" w:rsidRPr="00F33674" w:rsidRDefault="00F51305" w:rsidP="00E41546">
            <w:pPr>
              <w:rPr>
                <w:rFonts w:ascii="Arial Narrow" w:hAnsi="Arial Narrow" w:cs="Arial"/>
                <w:b/>
                <w:sz w:val="20"/>
                <w:szCs w:val="20"/>
              </w:rPr>
            </w:pPr>
            <w:r w:rsidRPr="00F33674">
              <w:rPr>
                <w:rFonts w:ascii="Arial Narrow" w:hAnsi="Arial Narrow" w:cs="Arial"/>
                <w:b/>
                <w:sz w:val="20"/>
                <w:szCs w:val="20"/>
              </w:rPr>
              <w:t>Restriction Level / Method:</w:t>
            </w:r>
          </w:p>
          <w:p w14:paraId="01338038" w14:textId="77777777" w:rsidR="00F51305" w:rsidRPr="00F33674" w:rsidRDefault="00F51305" w:rsidP="00E41546">
            <w:pPr>
              <w:rPr>
                <w:rFonts w:ascii="Arial Narrow" w:hAnsi="Arial Narrow" w:cs="Arial"/>
                <w:i/>
                <w:sz w:val="20"/>
                <w:szCs w:val="20"/>
              </w:rPr>
            </w:pPr>
          </w:p>
          <w:p w14:paraId="2FCAA0AA" w14:textId="77777777" w:rsidR="00F51305" w:rsidRPr="00F33674" w:rsidRDefault="00F51305" w:rsidP="00E41546">
            <w:pPr>
              <w:rPr>
                <w:rFonts w:ascii="Arial Narrow" w:hAnsi="Arial Narrow" w:cs="Arial"/>
                <w:i/>
                <w:sz w:val="20"/>
                <w:szCs w:val="20"/>
              </w:rPr>
            </w:pPr>
          </w:p>
          <w:p w14:paraId="0B8255B5" w14:textId="77777777" w:rsidR="00F51305" w:rsidRPr="00F33674" w:rsidRDefault="00F51305" w:rsidP="00E41546">
            <w:pPr>
              <w:rPr>
                <w:rFonts w:ascii="Arial Narrow" w:hAnsi="Arial Narrow" w:cs="Arial"/>
                <w:i/>
                <w:sz w:val="20"/>
                <w:szCs w:val="20"/>
              </w:rPr>
            </w:pPr>
          </w:p>
        </w:tc>
        <w:tc>
          <w:tcPr>
            <w:tcW w:w="6379" w:type="dxa"/>
            <w:tcBorders>
              <w:top w:val="single" w:sz="4" w:space="0" w:color="auto"/>
              <w:left w:val="single" w:sz="4" w:space="0" w:color="auto"/>
              <w:bottom w:val="single" w:sz="4" w:space="0" w:color="auto"/>
              <w:right w:val="single" w:sz="4" w:space="0" w:color="auto"/>
            </w:tcBorders>
          </w:tcPr>
          <w:p w14:paraId="221EA55C" w14:textId="77777777" w:rsidR="00F51305" w:rsidRPr="00F33674" w:rsidRDefault="00F51305" w:rsidP="00E41546">
            <w:pPr>
              <w:rPr>
                <w:rFonts w:ascii="Arial Narrow" w:hAnsi="Arial Narrow" w:cs="Arial"/>
                <w:sz w:val="20"/>
                <w:szCs w:val="20"/>
              </w:rPr>
            </w:pPr>
            <w:r w:rsidRPr="00F33674">
              <w:rPr>
                <w:rFonts w:ascii="Arial Narrow" w:hAnsi="Arial Narrow" w:cs="Arial"/>
                <w:sz w:val="20"/>
                <w:szCs w:val="20"/>
              </w:rPr>
              <w:fldChar w:fldCharType="begin">
                <w:ffData>
                  <w:name w:val=""/>
                  <w:enabled/>
                  <w:calcOnExit w:val="0"/>
                  <w:checkBox>
                    <w:sizeAuto/>
                    <w:default w:val="0"/>
                  </w:checkBox>
                </w:ffData>
              </w:fldChar>
            </w:r>
            <w:r w:rsidRPr="00F33674">
              <w:rPr>
                <w:rFonts w:ascii="Arial Narrow" w:hAnsi="Arial Narrow" w:cs="Arial"/>
                <w:sz w:val="20"/>
                <w:szCs w:val="20"/>
              </w:rPr>
              <w:instrText xml:space="preserve"> FORMCHECKBOX </w:instrText>
            </w:r>
            <w:r w:rsidR="00233D13">
              <w:rPr>
                <w:rFonts w:ascii="Arial Narrow" w:hAnsi="Arial Narrow" w:cs="Arial"/>
                <w:sz w:val="20"/>
                <w:szCs w:val="20"/>
              </w:rPr>
            </w:r>
            <w:r w:rsidR="00233D13">
              <w:rPr>
                <w:rFonts w:ascii="Arial Narrow" w:hAnsi="Arial Narrow" w:cs="Arial"/>
                <w:sz w:val="20"/>
                <w:szCs w:val="20"/>
              </w:rPr>
              <w:fldChar w:fldCharType="separate"/>
            </w:r>
            <w:r w:rsidRPr="00F33674">
              <w:rPr>
                <w:rFonts w:ascii="Arial Narrow" w:hAnsi="Arial Narrow" w:cs="Arial"/>
                <w:sz w:val="20"/>
                <w:szCs w:val="20"/>
              </w:rPr>
              <w:fldChar w:fldCharType="end"/>
            </w:r>
            <w:r w:rsidRPr="00F33674">
              <w:rPr>
                <w:rFonts w:ascii="Arial Narrow" w:hAnsi="Arial Narrow" w:cs="Arial"/>
                <w:sz w:val="20"/>
                <w:szCs w:val="20"/>
              </w:rPr>
              <w:t>Unrestricted benefit</w:t>
            </w:r>
          </w:p>
          <w:p w14:paraId="0CBA76C8" w14:textId="77777777" w:rsidR="00F51305" w:rsidRPr="00F33674" w:rsidRDefault="00F51305" w:rsidP="00E41546">
            <w:pPr>
              <w:rPr>
                <w:rFonts w:ascii="Arial Narrow" w:hAnsi="Arial Narrow" w:cs="Arial"/>
                <w:i/>
                <w:sz w:val="20"/>
                <w:szCs w:val="20"/>
              </w:rPr>
            </w:pPr>
            <w:r w:rsidRPr="00F33674">
              <w:rPr>
                <w:rFonts w:ascii="Arial Narrow" w:hAnsi="Arial Narrow" w:cs="Arial"/>
                <w:i/>
                <w:sz w:val="20"/>
                <w:szCs w:val="20"/>
              </w:rPr>
              <w:fldChar w:fldCharType="begin">
                <w:ffData>
                  <w:name w:val=""/>
                  <w:enabled/>
                  <w:calcOnExit w:val="0"/>
                  <w:checkBox>
                    <w:sizeAuto/>
                    <w:default w:val="0"/>
                  </w:checkBox>
                </w:ffData>
              </w:fldChar>
            </w:r>
            <w:r w:rsidRPr="00F33674">
              <w:rPr>
                <w:rFonts w:ascii="Arial Narrow" w:hAnsi="Arial Narrow" w:cs="Arial"/>
                <w:i/>
                <w:sz w:val="20"/>
                <w:szCs w:val="20"/>
              </w:rPr>
              <w:instrText xml:space="preserve"> FORMCHECKBOX </w:instrText>
            </w:r>
            <w:r w:rsidR="00233D13">
              <w:rPr>
                <w:rFonts w:ascii="Arial Narrow" w:hAnsi="Arial Narrow" w:cs="Arial"/>
                <w:i/>
                <w:sz w:val="20"/>
                <w:szCs w:val="20"/>
              </w:rPr>
            </w:r>
            <w:r w:rsidR="00233D13">
              <w:rPr>
                <w:rFonts w:ascii="Arial Narrow" w:hAnsi="Arial Narrow" w:cs="Arial"/>
                <w:i/>
                <w:sz w:val="20"/>
                <w:szCs w:val="20"/>
              </w:rPr>
              <w:fldChar w:fldCharType="separate"/>
            </w:r>
            <w:r w:rsidRPr="00F33674">
              <w:rPr>
                <w:rFonts w:ascii="Arial Narrow" w:hAnsi="Arial Narrow" w:cs="Arial"/>
                <w:i/>
                <w:sz w:val="20"/>
                <w:szCs w:val="20"/>
              </w:rPr>
              <w:fldChar w:fldCharType="end"/>
            </w:r>
            <w:r w:rsidRPr="00F33674">
              <w:rPr>
                <w:rFonts w:ascii="Arial Narrow" w:hAnsi="Arial Narrow" w:cs="Arial"/>
                <w:sz w:val="20"/>
                <w:szCs w:val="20"/>
              </w:rPr>
              <w:t>Restricted benefit</w:t>
            </w:r>
          </w:p>
          <w:p w14:paraId="686B82E6" w14:textId="77777777" w:rsidR="00F51305" w:rsidRPr="00F33674" w:rsidRDefault="00F51305" w:rsidP="00E41546">
            <w:pPr>
              <w:rPr>
                <w:rFonts w:ascii="Arial Narrow" w:hAnsi="Arial Narrow" w:cs="Arial"/>
                <w:sz w:val="20"/>
                <w:szCs w:val="20"/>
              </w:rPr>
            </w:pPr>
            <w:r w:rsidRPr="00F33674">
              <w:rPr>
                <w:rFonts w:ascii="Arial Narrow" w:hAnsi="Arial Narrow" w:cs="Arial"/>
                <w:sz w:val="20"/>
                <w:szCs w:val="20"/>
              </w:rPr>
              <w:fldChar w:fldCharType="begin">
                <w:ffData>
                  <w:name w:val=""/>
                  <w:enabled/>
                  <w:calcOnExit w:val="0"/>
                  <w:checkBox>
                    <w:sizeAuto/>
                    <w:default w:val="0"/>
                  </w:checkBox>
                </w:ffData>
              </w:fldChar>
            </w:r>
            <w:r w:rsidRPr="00F33674">
              <w:rPr>
                <w:rFonts w:ascii="Arial Narrow" w:hAnsi="Arial Narrow" w:cs="Arial"/>
                <w:sz w:val="20"/>
                <w:szCs w:val="20"/>
              </w:rPr>
              <w:instrText xml:space="preserve"> FORMCHECKBOX </w:instrText>
            </w:r>
            <w:r w:rsidR="00233D13">
              <w:rPr>
                <w:rFonts w:ascii="Arial Narrow" w:hAnsi="Arial Narrow" w:cs="Arial"/>
                <w:sz w:val="20"/>
                <w:szCs w:val="20"/>
              </w:rPr>
            </w:r>
            <w:r w:rsidR="00233D13">
              <w:rPr>
                <w:rFonts w:ascii="Arial Narrow" w:hAnsi="Arial Narrow" w:cs="Arial"/>
                <w:sz w:val="20"/>
                <w:szCs w:val="20"/>
              </w:rPr>
              <w:fldChar w:fldCharType="separate"/>
            </w:r>
            <w:r w:rsidRPr="00F33674">
              <w:rPr>
                <w:rFonts w:ascii="Arial Narrow" w:hAnsi="Arial Narrow" w:cs="Arial"/>
                <w:sz w:val="20"/>
                <w:szCs w:val="20"/>
              </w:rPr>
              <w:fldChar w:fldCharType="end"/>
            </w:r>
            <w:r w:rsidRPr="00F33674">
              <w:rPr>
                <w:rFonts w:ascii="Arial Narrow" w:hAnsi="Arial Narrow" w:cs="Arial"/>
                <w:sz w:val="20"/>
                <w:szCs w:val="20"/>
              </w:rPr>
              <w:t>Authority Required – In Writing</w:t>
            </w:r>
          </w:p>
          <w:p w14:paraId="7F89A880" w14:textId="77777777" w:rsidR="00F51305" w:rsidRPr="00F33674" w:rsidRDefault="00F51305" w:rsidP="00E41546">
            <w:pPr>
              <w:rPr>
                <w:rFonts w:ascii="Arial Narrow" w:hAnsi="Arial Narrow" w:cs="Arial"/>
                <w:sz w:val="20"/>
                <w:szCs w:val="20"/>
              </w:rPr>
            </w:pPr>
            <w:r w:rsidRPr="00F33674">
              <w:rPr>
                <w:rFonts w:ascii="Arial Narrow" w:hAnsi="Arial Narrow" w:cs="Arial"/>
                <w:sz w:val="20"/>
                <w:szCs w:val="20"/>
              </w:rPr>
              <w:fldChar w:fldCharType="begin">
                <w:ffData>
                  <w:name w:val="Check3"/>
                  <w:enabled/>
                  <w:calcOnExit w:val="0"/>
                  <w:checkBox>
                    <w:sizeAuto/>
                    <w:default w:val="0"/>
                  </w:checkBox>
                </w:ffData>
              </w:fldChar>
            </w:r>
            <w:r w:rsidRPr="00F33674">
              <w:rPr>
                <w:rFonts w:ascii="Arial Narrow" w:hAnsi="Arial Narrow" w:cs="Arial"/>
                <w:sz w:val="20"/>
                <w:szCs w:val="20"/>
              </w:rPr>
              <w:instrText xml:space="preserve"> FORMCHECKBOX </w:instrText>
            </w:r>
            <w:r w:rsidR="00233D13">
              <w:rPr>
                <w:rFonts w:ascii="Arial Narrow" w:hAnsi="Arial Narrow" w:cs="Arial"/>
                <w:sz w:val="20"/>
                <w:szCs w:val="20"/>
              </w:rPr>
            </w:r>
            <w:r w:rsidR="00233D13">
              <w:rPr>
                <w:rFonts w:ascii="Arial Narrow" w:hAnsi="Arial Narrow" w:cs="Arial"/>
                <w:sz w:val="20"/>
                <w:szCs w:val="20"/>
              </w:rPr>
              <w:fldChar w:fldCharType="separate"/>
            </w:r>
            <w:r w:rsidRPr="00F33674">
              <w:rPr>
                <w:rFonts w:ascii="Arial Narrow" w:hAnsi="Arial Narrow" w:cs="Arial"/>
                <w:sz w:val="20"/>
                <w:szCs w:val="20"/>
              </w:rPr>
              <w:fldChar w:fldCharType="end"/>
            </w:r>
            <w:r w:rsidRPr="00F33674">
              <w:rPr>
                <w:rFonts w:ascii="Arial Narrow" w:hAnsi="Arial Narrow" w:cs="Arial"/>
                <w:sz w:val="20"/>
                <w:szCs w:val="20"/>
              </w:rPr>
              <w:t>Authority Required – Telephone/Electronic/Emergency</w:t>
            </w:r>
          </w:p>
          <w:p w14:paraId="5F123115" w14:textId="77777777" w:rsidR="00F51305" w:rsidRPr="00F33674" w:rsidRDefault="00F51305" w:rsidP="00E41546">
            <w:pPr>
              <w:rPr>
                <w:rFonts w:ascii="Arial Narrow" w:hAnsi="Arial Narrow" w:cs="Arial"/>
                <w:sz w:val="20"/>
                <w:szCs w:val="20"/>
              </w:rPr>
            </w:pPr>
            <w:r w:rsidRPr="00F33674">
              <w:rPr>
                <w:rFonts w:ascii="Arial Narrow" w:hAnsi="Arial Narrow" w:cs="Arial"/>
                <w:sz w:val="20"/>
                <w:szCs w:val="20"/>
              </w:rPr>
              <w:fldChar w:fldCharType="begin">
                <w:ffData>
                  <w:name w:val=""/>
                  <w:enabled/>
                  <w:calcOnExit w:val="0"/>
                  <w:checkBox>
                    <w:sizeAuto/>
                    <w:default w:val="1"/>
                  </w:checkBox>
                </w:ffData>
              </w:fldChar>
            </w:r>
            <w:r w:rsidRPr="00F33674">
              <w:rPr>
                <w:rFonts w:ascii="Arial Narrow" w:hAnsi="Arial Narrow" w:cs="Arial"/>
                <w:sz w:val="20"/>
                <w:szCs w:val="20"/>
              </w:rPr>
              <w:instrText xml:space="preserve"> FORMCHECKBOX </w:instrText>
            </w:r>
            <w:r w:rsidR="00233D13">
              <w:rPr>
                <w:rFonts w:ascii="Arial Narrow" w:hAnsi="Arial Narrow" w:cs="Arial"/>
                <w:sz w:val="20"/>
                <w:szCs w:val="20"/>
              </w:rPr>
            </w:r>
            <w:r w:rsidR="00233D13">
              <w:rPr>
                <w:rFonts w:ascii="Arial Narrow" w:hAnsi="Arial Narrow" w:cs="Arial"/>
                <w:sz w:val="20"/>
                <w:szCs w:val="20"/>
              </w:rPr>
              <w:fldChar w:fldCharType="separate"/>
            </w:r>
            <w:r w:rsidRPr="00F33674">
              <w:rPr>
                <w:rFonts w:ascii="Arial Narrow" w:hAnsi="Arial Narrow" w:cs="Arial"/>
                <w:sz w:val="20"/>
                <w:szCs w:val="20"/>
              </w:rPr>
              <w:fldChar w:fldCharType="end"/>
            </w:r>
            <w:r w:rsidRPr="00F33674">
              <w:rPr>
                <w:rFonts w:ascii="Arial Narrow" w:hAnsi="Arial Narrow" w:cs="Arial"/>
                <w:sz w:val="20"/>
                <w:szCs w:val="20"/>
              </w:rPr>
              <w:t>Streamlined</w:t>
            </w:r>
          </w:p>
        </w:tc>
      </w:tr>
      <w:tr w:rsidR="00F51305" w:rsidRPr="00F33674" w14:paraId="31964B0D" w14:textId="77777777" w:rsidTr="00E41546">
        <w:trPr>
          <w:cantSplit/>
          <w:trHeight w:val="360"/>
        </w:trPr>
        <w:tc>
          <w:tcPr>
            <w:tcW w:w="2835" w:type="dxa"/>
            <w:tcBorders>
              <w:top w:val="single" w:sz="4" w:space="0" w:color="auto"/>
              <w:left w:val="single" w:sz="4" w:space="0" w:color="auto"/>
              <w:bottom w:val="single" w:sz="4" w:space="0" w:color="auto"/>
              <w:right w:val="single" w:sz="4" w:space="0" w:color="auto"/>
            </w:tcBorders>
          </w:tcPr>
          <w:p w14:paraId="732F5E66" w14:textId="77777777" w:rsidR="00F51305" w:rsidRPr="00F33674" w:rsidRDefault="00F51305" w:rsidP="00E41546">
            <w:pPr>
              <w:rPr>
                <w:rFonts w:ascii="Arial Narrow" w:hAnsi="Arial Narrow" w:cs="Arial"/>
                <w:b/>
                <w:sz w:val="20"/>
                <w:szCs w:val="20"/>
              </w:rPr>
            </w:pPr>
            <w:r>
              <w:rPr>
                <w:rFonts w:ascii="Arial Narrow" w:hAnsi="Arial Narrow" w:cs="Arial"/>
                <w:b/>
                <w:sz w:val="20"/>
                <w:szCs w:val="20"/>
              </w:rPr>
              <w:t>Treatment phase:</w:t>
            </w:r>
          </w:p>
        </w:tc>
        <w:tc>
          <w:tcPr>
            <w:tcW w:w="6379" w:type="dxa"/>
            <w:tcBorders>
              <w:top w:val="single" w:sz="4" w:space="0" w:color="auto"/>
              <w:left w:val="single" w:sz="4" w:space="0" w:color="auto"/>
              <w:bottom w:val="single" w:sz="4" w:space="0" w:color="auto"/>
              <w:right w:val="single" w:sz="4" w:space="0" w:color="auto"/>
            </w:tcBorders>
          </w:tcPr>
          <w:p w14:paraId="7B456DE8" w14:textId="77777777" w:rsidR="00F51305" w:rsidRPr="00F33674" w:rsidRDefault="00F51305" w:rsidP="00E41546">
            <w:pPr>
              <w:jc w:val="left"/>
              <w:rPr>
                <w:rFonts w:ascii="Arial Narrow" w:hAnsi="Arial Narrow" w:cs="Arial"/>
                <w:sz w:val="20"/>
                <w:szCs w:val="20"/>
              </w:rPr>
            </w:pPr>
            <w:r w:rsidRPr="00CB0FCB">
              <w:rPr>
                <w:rFonts w:ascii="Arial Narrow" w:hAnsi="Arial Narrow" w:cs="Arial"/>
                <w:sz w:val="20"/>
                <w:szCs w:val="20"/>
              </w:rPr>
              <w:t>Continuing PBS treatment after 1 June 2020</w:t>
            </w:r>
            <w:r>
              <w:rPr>
                <w:rFonts w:ascii="Arial Narrow" w:hAnsi="Arial Narrow" w:cs="Arial"/>
                <w:sz w:val="20"/>
                <w:szCs w:val="20"/>
              </w:rPr>
              <w:t>.</w:t>
            </w:r>
          </w:p>
        </w:tc>
      </w:tr>
      <w:tr w:rsidR="005E10AF" w:rsidRPr="00F33674" w14:paraId="72F5756C" w14:textId="77777777" w:rsidTr="00E41546">
        <w:trPr>
          <w:cantSplit/>
          <w:trHeight w:val="360"/>
        </w:trPr>
        <w:tc>
          <w:tcPr>
            <w:tcW w:w="2835" w:type="dxa"/>
            <w:tcBorders>
              <w:top w:val="single" w:sz="4" w:space="0" w:color="auto"/>
              <w:left w:val="single" w:sz="4" w:space="0" w:color="auto"/>
              <w:bottom w:val="single" w:sz="4" w:space="0" w:color="auto"/>
              <w:right w:val="single" w:sz="4" w:space="0" w:color="auto"/>
            </w:tcBorders>
          </w:tcPr>
          <w:p w14:paraId="6DCA0F9B" w14:textId="77777777" w:rsidR="005E10AF" w:rsidRPr="00F33674" w:rsidRDefault="005E10AF" w:rsidP="005E10AF">
            <w:pPr>
              <w:rPr>
                <w:rFonts w:ascii="Arial Narrow" w:hAnsi="Arial Narrow" w:cs="Arial"/>
                <w:b/>
                <w:sz w:val="20"/>
                <w:szCs w:val="20"/>
              </w:rPr>
            </w:pPr>
            <w:r w:rsidRPr="00F33674">
              <w:rPr>
                <w:rFonts w:ascii="Arial Narrow" w:hAnsi="Arial Narrow" w:cs="Arial"/>
                <w:b/>
                <w:sz w:val="20"/>
                <w:szCs w:val="20"/>
              </w:rPr>
              <w:t>Clinical criteria:</w:t>
            </w:r>
          </w:p>
        </w:tc>
        <w:tc>
          <w:tcPr>
            <w:tcW w:w="6379" w:type="dxa"/>
            <w:tcBorders>
              <w:top w:val="single" w:sz="4" w:space="0" w:color="auto"/>
              <w:left w:val="single" w:sz="4" w:space="0" w:color="auto"/>
              <w:bottom w:val="single" w:sz="4" w:space="0" w:color="auto"/>
              <w:right w:val="single" w:sz="4" w:space="0" w:color="auto"/>
            </w:tcBorders>
          </w:tcPr>
          <w:p w14:paraId="08FD2808" w14:textId="6013CC8B" w:rsidR="005E10AF" w:rsidRPr="00F33674" w:rsidRDefault="005E10AF" w:rsidP="005E10AF">
            <w:pPr>
              <w:jc w:val="left"/>
              <w:rPr>
                <w:rFonts w:ascii="Arial Narrow" w:hAnsi="Arial Narrow" w:cs="Arial"/>
                <w:sz w:val="20"/>
                <w:szCs w:val="20"/>
              </w:rPr>
            </w:pPr>
            <w:r w:rsidRPr="00F33674">
              <w:rPr>
                <w:rFonts w:ascii="Arial Narrow" w:hAnsi="Arial Narrow" w:cs="Arial"/>
                <w:sz w:val="20"/>
                <w:szCs w:val="20"/>
              </w:rPr>
              <w:t xml:space="preserve">[new] </w:t>
            </w:r>
            <w:r w:rsidRPr="00D36BEC">
              <w:rPr>
                <w:rFonts w:ascii="Arial Narrow" w:hAnsi="Arial Narrow" w:cs="Arial"/>
                <w:sz w:val="20"/>
                <w:szCs w:val="20"/>
              </w:rPr>
              <w:t>Patient must have previously received PBS-subsidised treatment with this form of this drug for this condition after 1 June 2020</w:t>
            </w:r>
            <w:r>
              <w:rPr>
                <w:rFonts w:ascii="Arial Narrow" w:hAnsi="Arial Narrow" w:cs="Arial"/>
                <w:sz w:val="20"/>
                <w:szCs w:val="20"/>
              </w:rPr>
              <w:t>.</w:t>
            </w:r>
          </w:p>
        </w:tc>
      </w:tr>
      <w:tr w:rsidR="00F51305" w:rsidRPr="00F33674" w14:paraId="5D7A3C49" w14:textId="77777777" w:rsidTr="00E41546">
        <w:trPr>
          <w:cantSplit/>
          <w:trHeight w:val="360"/>
        </w:trPr>
        <w:tc>
          <w:tcPr>
            <w:tcW w:w="2835" w:type="dxa"/>
            <w:tcBorders>
              <w:top w:val="single" w:sz="4" w:space="0" w:color="auto"/>
              <w:left w:val="single" w:sz="4" w:space="0" w:color="auto"/>
              <w:bottom w:val="single" w:sz="4" w:space="0" w:color="auto"/>
              <w:right w:val="single" w:sz="4" w:space="0" w:color="auto"/>
            </w:tcBorders>
          </w:tcPr>
          <w:p w14:paraId="4DA6AB1E" w14:textId="77777777" w:rsidR="00F51305" w:rsidRPr="00F33674" w:rsidRDefault="00F51305" w:rsidP="00E41546">
            <w:pPr>
              <w:rPr>
                <w:rFonts w:ascii="Arial Narrow" w:hAnsi="Arial Narrow" w:cs="Arial"/>
                <w:b/>
                <w:sz w:val="20"/>
                <w:szCs w:val="20"/>
              </w:rPr>
            </w:pPr>
            <w:r w:rsidRPr="00F33674">
              <w:rPr>
                <w:rFonts w:ascii="Arial Narrow" w:hAnsi="Arial Narrow" w:cs="Arial"/>
                <w:b/>
                <w:sz w:val="20"/>
                <w:szCs w:val="20"/>
              </w:rPr>
              <w:t>Prescriber instruction:</w:t>
            </w:r>
          </w:p>
        </w:tc>
        <w:tc>
          <w:tcPr>
            <w:tcW w:w="6379" w:type="dxa"/>
            <w:tcBorders>
              <w:top w:val="single" w:sz="4" w:space="0" w:color="auto"/>
              <w:left w:val="single" w:sz="4" w:space="0" w:color="auto"/>
              <w:bottom w:val="single" w:sz="4" w:space="0" w:color="auto"/>
              <w:right w:val="single" w:sz="4" w:space="0" w:color="auto"/>
            </w:tcBorders>
          </w:tcPr>
          <w:p w14:paraId="0DFF738B" w14:textId="77777777" w:rsidR="00F51305" w:rsidRPr="00CB0FCB" w:rsidRDefault="00F51305" w:rsidP="00E41546">
            <w:pPr>
              <w:jc w:val="left"/>
              <w:rPr>
                <w:rFonts w:ascii="Arial Narrow" w:hAnsi="Arial Narrow" w:cs="Arial"/>
                <w:sz w:val="20"/>
                <w:szCs w:val="20"/>
              </w:rPr>
            </w:pPr>
            <w:r w:rsidRPr="00F33674">
              <w:rPr>
                <w:rFonts w:ascii="Arial Narrow" w:hAnsi="Arial Narrow" w:cs="Arial"/>
                <w:sz w:val="20"/>
                <w:szCs w:val="20"/>
              </w:rPr>
              <w:t xml:space="preserve">[new] </w:t>
            </w:r>
            <w:r w:rsidRPr="00CB0FCB">
              <w:rPr>
                <w:rFonts w:ascii="Arial Narrow" w:hAnsi="Arial Narrow" w:cs="Arial"/>
                <w:sz w:val="20"/>
                <w:szCs w:val="20"/>
              </w:rPr>
              <w:t>Authorities for increased maximum quantities and/or repeats must only be considered for chronic severe disabling pain where the patient has received initial authority approval and the total duration of non-PBS and PBS opioid analgesic treatment:</w:t>
            </w:r>
          </w:p>
          <w:p w14:paraId="1C006694" w14:textId="77777777" w:rsidR="00F51305" w:rsidRPr="00CB0FCB" w:rsidRDefault="00F51305" w:rsidP="00E41546">
            <w:pPr>
              <w:jc w:val="left"/>
              <w:rPr>
                <w:rFonts w:ascii="Arial Narrow" w:hAnsi="Arial Narrow" w:cs="Arial"/>
                <w:sz w:val="20"/>
                <w:szCs w:val="20"/>
              </w:rPr>
            </w:pPr>
            <w:r w:rsidRPr="00CB0FCB">
              <w:rPr>
                <w:rFonts w:ascii="Arial Narrow" w:hAnsi="Arial Narrow" w:cs="Arial"/>
                <w:sz w:val="20"/>
                <w:szCs w:val="20"/>
              </w:rPr>
              <w:t>(i) is less than 12 months; or</w:t>
            </w:r>
          </w:p>
          <w:p w14:paraId="566BEF64" w14:textId="77777777" w:rsidR="00F51305" w:rsidRPr="00CB0FCB" w:rsidRDefault="00F51305" w:rsidP="00E41546">
            <w:pPr>
              <w:jc w:val="left"/>
              <w:rPr>
                <w:rFonts w:ascii="Arial Narrow" w:hAnsi="Arial Narrow" w:cs="Arial"/>
                <w:sz w:val="20"/>
                <w:szCs w:val="20"/>
              </w:rPr>
            </w:pPr>
            <w:r w:rsidRPr="00CB0FCB">
              <w:rPr>
                <w:rFonts w:ascii="Arial Narrow" w:hAnsi="Arial Narrow" w:cs="Arial"/>
                <w:sz w:val="20"/>
                <w:szCs w:val="20"/>
              </w:rPr>
              <w:t>(ii) exceeds 12 months and the palliative care patient is unable to have annual pain management review due to their clinical condition; or</w:t>
            </w:r>
          </w:p>
          <w:p w14:paraId="05CBAEF1" w14:textId="77777777" w:rsidR="00F51305" w:rsidRPr="00CB0FCB" w:rsidRDefault="00F51305" w:rsidP="00E41546">
            <w:pPr>
              <w:jc w:val="left"/>
              <w:rPr>
                <w:rFonts w:ascii="Arial Narrow" w:hAnsi="Arial Narrow" w:cs="Arial"/>
                <w:sz w:val="20"/>
                <w:szCs w:val="20"/>
              </w:rPr>
            </w:pPr>
            <w:r w:rsidRPr="00CB0FCB">
              <w:rPr>
                <w:rFonts w:ascii="Arial Narrow" w:hAnsi="Arial Narrow" w:cs="Arial"/>
                <w:sz w:val="20"/>
                <w:szCs w:val="20"/>
              </w:rPr>
              <w:t>(iii) exceeds 12 months and the patient's clinical need for continuing opioid treatment has been confirmed through consultation with the patient by another medical practitioner or a palliative care nurse practitioner in the past 12 months; or</w:t>
            </w:r>
          </w:p>
          <w:p w14:paraId="7202FE55" w14:textId="77777777" w:rsidR="00F51305" w:rsidRDefault="00F51305" w:rsidP="00E41546">
            <w:pPr>
              <w:jc w:val="left"/>
              <w:rPr>
                <w:rFonts w:ascii="Arial Narrow" w:hAnsi="Arial Narrow" w:cs="Arial"/>
                <w:sz w:val="20"/>
                <w:szCs w:val="20"/>
              </w:rPr>
            </w:pPr>
            <w:r w:rsidRPr="00CB0FCB">
              <w:rPr>
                <w:rFonts w:ascii="Arial Narrow" w:hAnsi="Arial Narrow" w:cs="Arial"/>
                <w:sz w:val="20"/>
                <w:szCs w:val="20"/>
              </w:rPr>
              <w:t xml:space="preserve">(iv) </w:t>
            </w:r>
            <w:proofErr w:type="gramStart"/>
            <w:r w:rsidRPr="00CB0FCB">
              <w:rPr>
                <w:rFonts w:ascii="Arial Narrow" w:hAnsi="Arial Narrow" w:cs="Arial"/>
                <w:sz w:val="20"/>
                <w:szCs w:val="20"/>
              </w:rPr>
              <w:t>has</w:t>
            </w:r>
            <w:proofErr w:type="gramEnd"/>
            <w:r w:rsidRPr="00CB0FCB">
              <w:rPr>
                <w:rFonts w:ascii="Arial Narrow" w:hAnsi="Arial Narrow" w:cs="Arial"/>
                <w:sz w:val="20"/>
                <w:szCs w:val="20"/>
              </w:rPr>
              <w:t xml:space="preserve"> exceeded 12 months prior to 1 June 2020 and the patient's pain management and clinical need for continuing opioid treatment has not been confirmed through consultation with the patient by another medical practitioner or a palliative care nurse practitioner in the past 12 months, but is planned in the next 3 months</w:t>
            </w:r>
            <w:r>
              <w:rPr>
                <w:rFonts w:ascii="Arial Narrow" w:hAnsi="Arial Narrow" w:cs="Arial"/>
                <w:sz w:val="20"/>
                <w:szCs w:val="20"/>
              </w:rPr>
              <w:t>.</w:t>
            </w:r>
          </w:p>
          <w:p w14:paraId="77E3F837" w14:textId="77777777" w:rsidR="00F51305" w:rsidRDefault="00F51305" w:rsidP="00E41546">
            <w:pPr>
              <w:jc w:val="left"/>
              <w:rPr>
                <w:rFonts w:ascii="Arial Narrow" w:hAnsi="Arial Narrow" w:cs="Arial"/>
                <w:sz w:val="20"/>
                <w:szCs w:val="20"/>
              </w:rPr>
            </w:pPr>
          </w:p>
          <w:p w14:paraId="7FB64133" w14:textId="77777777" w:rsidR="00F51305" w:rsidRPr="00F33674" w:rsidRDefault="00F51305" w:rsidP="00E41546">
            <w:pPr>
              <w:jc w:val="left"/>
              <w:rPr>
                <w:rFonts w:ascii="Arial Narrow" w:hAnsi="Arial Narrow" w:cs="Arial"/>
                <w:sz w:val="20"/>
                <w:szCs w:val="20"/>
              </w:rPr>
            </w:pPr>
            <w:r>
              <w:rPr>
                <w:rFonts w:ascii="Arial Narrow" w:hAnsi="Arial Narrow" w:cs="Arial"/>
                <w:sz w:val="20"/>
                <w:szCs w:val="20"/>
              </w:rPr>
              <w:t xml:space="preserve">[new] </w:t>
            </w:r>
            <w:r w:rsidRPr="009F3089">
              <w:rPr>
                <w:rFonts w:ascii="Arial Narrow" w:hAnsi="Arial Narrow" w:cs="Arial"/>
                <w:sz w:val="20"/>
                <w:szCs w:val="20"/>
              </w:rPr>
              <w:t>Palliative care nurses may conduct annual review under this item for the treatment of palliative care patients only.</w:t>
            </w:r>
          </w:p>
          <w:p w14:paraId="0DF03F09" w14:textId="77777777" w:rsidR="00F51305" w:rsidRPr="00F33674" w:rsidRDefault="00F51305" w:rsidP="00E41546">
            <w:pPr>
              <w:jc w:val="left"/>
              <w:rPr>
                <w:rFonts w:ascii="Arial Narrow" w:hAnsi="Arial Narrow" w:cs="Arial"/>
                <w:sz w:val="20"/>
                <w:szCs w:val="20"/>
              </w:rPr>
            </w:pPr>
          </w:p>
          <w:p w14:paraId="54AEF956" w14:textId="77777777" w:rsidR="00F51305" w:rsidRPr="00F33674" w:rsidRDefault="00F51305" w:rsidP="00E41546">
            <w:pPr>
              <w:jc w:val="left"/>
              <w:rPr>
                <w:rFonts w:ascii="Arial Narrow" w:hAnsi="Arial Narrow" w:cs="Arial"/>
                <w:sz w:val="20"/>
                <w:szCs w:val="20"/>
              </w:rPr>
            </w:pPr>
            <w:r w:rsidRPr="00F33674">
              <w:rPr>
                <w:rFonts w:ascii="Arial Narrow" w:hAnsi="Arial Narrow" w:cs="Arial"/>
                <w:sz w:val="20"/>
                <w:szCs w:val="20"/>
              </w:rPr>
              <w:t>[new] Authority requests extending treatment duration up to 1 month may be requested though the Online PBS Authorities system or by calling Services Australia.</w:t>
            </w:r>
          </w:p>
          <w:p w14:paraId="57A03381" w14:textId="77777777" w:rsidR="00F51305" w:rsidRPr="00F33674" w:rsidRDefault="00F51305" w:rsidP="00E41546">
            <w:pPr>
              <w:jc w:val="left"/>
              <w:rPr>
                <w:rFonts w:ascii="Arial Narrow" w:hAnsi="Arial Narrow" w:cs="Arial"/>
                <w:sz w:val="20"/>
                <w:szCs w:val="20"/>
              </w:rPr>
            </w:pPr>
          </w:p>
          <w:p w14:paraId="37E4BED8" w14:textId="77777777" w:rsidR="00F51305" w:rsidRPr="00F33674" w:rsidRDefault="00F51305" w:rsidP="00E41546">
            <w:pPr>
              <w:jc w:val="left"/>
              <w:rPr>
                <w:rFonts w:ascii="Arial Narrow" w:hAnsi="Arial Narrow" w:cs="Arial"/>
                <w:sz w:val="20"/>
                <w:szCs w:val="20"/>
              </w:rPr>
            </w:pPr>
            <w:r w:rsidRPr="00F33674">
              <w:rPr>
                <w:rFonts w:ascii="Arial Narrow" w:hAnsi="Arial Narrow" w:cs="Arial"/>
                <w:sz w:val="20"/>
                <w:szCs w:val="20"/>
              </w:rPr>
              <w:t xml:space="preserve">Authority requests extending treatment duration beyond 1 month </w:t>
            </w:r>
            <w:r w:rsidRPr="002C1329">
              <w:rPr>
                <w:rFonts w:ascii="Arial Narrow" w:hAnsi="Arial Narrow" w:cs="Arial"/>
                <w:sz w:val="20"/>
                <w:szCs w:val="20"/>
              </w:rPr>
              <w:t>may be requested through the Online PBS Authorities system</w:t>
            </w:r>
            <w:r w:rsidRPr="00F33674">
              <w:rPr>
                <w:rFonts w:ascii="Arial Narrow" w:hAnsi="Arial Narrow" w:cs="Arial"/>
                <w:sz w:val="20"/>
                <w:szCs w:val="20"/>
              </w:rPr>
              <w:t xml:space="preserve"> or in writing only and must not provide a treatment duration exceeding 3 months</w:t>
            </w:r>
            <w:r>
              <w:rPr>
                <w:rFonts w:ascii="Arial Narrow" w:hAnsi="Arial Narrow" w:cs="Arial"/>
                <w:sz w:val="20"/>
                <w:szCs w:val="20"/>
              </w:rPr>
              <w:t xml:space="preserve"> (</w:t>
            </w:r>
            <w:r w:rsidRPr="002C1329">
              <w:rPr>
                <w:rFonts w:ascii="Arial Narrow" w:hAnsi="Arial Narrow" w:cs="Arial"/>
                <w:sz w:val="20"/>
                <w:szCs w:val="20"/>
              </w:rPr>
              <w:t xml:space="preserve">quantity sufficient for up to </w:t>
            </w:r>
            <w:proofErr w:type="gramStart"/>
            <w:r w:rsidRPr="002C1329">
              <w:rPr>
                <w:rFonts w:ascii="Arial Narrow" w:hAnsi="Arial Narrow" w:cs="Arial"/>
                <w:sz w:val="20"/>
                <w:szCs w:val="20"/>
              </w:rPr>
              <w:t>1 month</w:t>
            </w:r>
            <w:proofErr w:type="gramEnd"/>
            <w:r w:rsidRPr="002C1329">
              <w:rPr>
                <w:rFonts w:ascii="Arial Narrow" w:hAnsi="Arial Narrow" w:cs="Arial"/>
                <w:sz w:val="20"/>
                <w:szCs w:val="20"/>
              </w:rPr>
              <w:t xml:space="preserve"> treatment and sufficient repeats)</w:t>
            </w:r>
            <w:r w:rsidRPr="00F33674">
              <w:rPr>
                <w:rFonts w:ascii="Arial Narrow" w:hAnsi="Arial Narrow" w:cs="Arial"/>
                <w:sz w:val="20"/>
                <w:szCs w:val="20"/>
              </w:rPr>
              <w:t>.</w:t>
            </w:r>
          </w:p>
        </w:tc>
      </w:tr>
      <w:tr w:rsidR="00F51305" w:rsidRPr="00F33674" w14:paraId="3F6FB066" w14:textId="77777777" w:rsidTr="00E41546">
        <w:trPr>
          <w:cantSplit/>
          <w:trHeight w:val="360"/>
        </w:trPr>
        <w:tc>
          <w:tcPr>
            <w:tcW w:w="2835" w:type="dxa"/>
            <w:tcBorders>
              <w:top w:val="single" w:sz="4" w:space="0" w:color="auto"/>
              <w:left w:val="single" w:sz="4" w:space="0" w:color="auto"/>
              <w:bottom w:val="single" w:sz="4" w:space="0" w:color="auto"/>
              <w:right w:val="single" w:sz="4" w:space="0" w:color="auto"/>
            </w:tcBorders>
          </w:tcPr>
          <w:p w14:paraId="356791DD" w14:textId="77777777" w:rsidR="00F51305" w:rsidRPr="00F33674" w:rsidRDefault="00F51305" w:rsidP="00E41546">
            <w:pPr>
              <w:rPr>
                <w:rFonts w:ascii="Arial Narrow" w:hAnsi="Arial Narrow" w:cs="Arial"/>
                <w:b/>
                <w:sz w:val="20"/>
                <w:szCs w:val="20"/>
              </w:rPr>
            </w:pPr>
            <w:r w:rsidRPr="00F33674">
              <w:rPr>
                <w:rFonts w:ascii="Arial Narrow" w:hAnsi="Arial Narrow" w:cs="Arial"/>
                <w:b/>
                <w:sz w:val="20"/>
                <w:szCs w:val="20"/>
              </w:rPr>
              <w:lastRenderedPageBreak/>
              <w:t>Administrative advice:</w:t>
            </w:r>
          </w:p>
        </w:tc>
        <w:tc>
          <w:tcPr>
            <w:tcW w:w="6379" w:type="dxa"/>
            <w:tcBorders>
              <w:top w:val="single" w:sz="4" w:space="0" w:color="auto"/>
              <w:left w:val="single" w:sz="4" w:space="0" w:color="auto"/>
              <w:bottom w:val="single" w:sz="4" w:space="0" w:color="auto"/>
              <w:right w:val="single" w:sz="4" w:space="0" w:color="auto"/>
            </w:tcBorders>
          </w:tcPr>
          <w:p w14:paraId="6153A0DA" w14:textId="77777777" w:rsidR="00F51305" w:rsidRPr="00F33674" w:rsidRDefault="00F51305" w:rsidP="00E41546">
            <w:pPr>
              <w:jc w:val="left"/>
              <w:rPr>
                <w:rFonts w:ascii="Arial Narrow" w:hAnsi="Arial Narrow" w:cs="Arial"/>
                <w:sz w:val="20"/>
                <w:szCs w:val="20"/>
              </w:rPr>
            </w:pPr>
            <w:r w:rsidRPr="00F33674">
              <w:rPr>
                <w:rFonts w:ascii="Arial Narrow" w:hAnsi="Arial Narrow" w:cs="Arial"/>
                <w:sz w:val="20"/>
                <w:szCs w:val="20"/>
              </w:rPr>
              <w:t>[new] This treatment is not suitable for ‘as-required’ pain relief.</w:t>
            </w:r>
          </w:p>
          <w:p w14:paraId="604EB5AB" w14:textId="77777777" w:rsidR="00F51305" w:rsidRPr="00F33674" w:rsidRDefault="00F51305" w:rsidP="00E41546">
            <w:pPr>
              <w:jc w:val="left"/>
              <w:rPr>
                <w:rFonts w:ascii="Arial Narrow" w:hAnsi="Arial Narrow" w:cs="Arial"/>
                <w:sz w:val="20"/>
                <w:szCs w:val="20"/>
              </w:rPr>
            </w:pPr>
          </w:p>
          <w:p w14:paraId="469C3F3B" w14:textId="77777777" w:rsidR="00F51305" w:rsidRPr="00F33674" w:rsidRDefault="00F51305" w:rsidP="00E41546">
            <w:pPr>
              <w:jc w:val="left"/>
              <w:rPr>
                <w:rFonts w:ascii="Arial Narrow" w:hAnsi="Arial Narrow" w:cs="Arial"/>
                <w:sz w:val="20"/>
                <w:szCs w:val="20"/>
              </w:rPr>
            </w:pPr>
            <w:r w:rsidRPr="00F33674">
              <w:rPr>
                <w:rFonts w:ascii="Arial Narrow" w:hAnsi="Arial Narrow" w:cs="Arial"/>
                <w:sz w:val="20"/>
                <w:szCs w:val="20"/>
              </w:rPr>
              <w:t xml:space="preserve">[7901] Shared Care Model: For prescribing by nurse practitioners where care of a patient </w:t>
            </w:r>
            <w:proofErr w:type="gramStart"/>
            <w:r w:rsidRPr="00F33674">
              <w:rPr>
                <w:rFonts w:ascii="Arial Narrow" w:hAnsi="Arial Narrow" w:cs="Arial"/>
                <w:sz w:val="20"/>
                <w:szCs w:val="20"/>
              </w:rPr>
              <w:t>is shared</w:t>
            </w:r>
            <w:proofErr w:type="gramEnd"/>
            <w:r w:rsidRPr="00F33674">
              <w:rPr>
                <w:rFonts w:ascii="Arial Narrow" w:hAnsi="Arial Narrow" w:cs="Arial"/>
                <w:sz w:val="20"/>
                <w:szCs w:val="20"/>
              </w:rPr>
              <w:t xml:space="preserve"> between a nurse practitioner and medical practitioner in a formalised arrangement with an agreed management plan. Further information </w:t>
            </w:r>
            <w:proofErr w:type="gramStart"/>
            <w:r w:rsidRPr="00F33674">
              <w:rPr>
                <w:rFonts w:ascii="Arial Narrow" w:hAnsi="Arial Narrow" w:cs="Arial"/>
                <w:sz w:val="20"/>
                <w:szCs w:val="20"/>
              </w:rPr>
              <w:t>can be found</w:t>
            </w:r>
            <w:proofErr w:type="gramEnd"/>
            <w:r w:rsidRPr="00F33674">
              <w:rPr>
                <w:rFonts w:ascii="Arial Narrow" w:hAnsi="Arial Narrow" w:cs="Arial"/>
                <w:sz w:val="20"/>
                <w:szCs w:val="20"/>
              </w:rPr>
              <w:t xml:space="preserve"> in the Explanatory Notes for Nurse Practitioners.</w:t>
            </w:r>
          </w:p>
          <w:p w14:paraId="733299AA" w14:textId="77777777" w:rsidR="00F51305" w:rsidRPr="00F33674" w:rsidRDefault="00F51305" w:rsidP="00E41546">
            <w:pPr>
              <w:jc w:val="left"/>
              <w:rPr>
                <w:rFonts w:ascii="Arial Narrow" w:hAnsi="Arial Narrow" w:cs="Arial"/>
                <w:sz w:val="20"/>
                <w:szCs w:val="20"/>
              </w:rPr>
            </w:pPr>
          </w:p>
          <w:p w14:paraId="04FBB2E9" w14:textId="77777777" w:rsidR="00F51305" w:rsidRPr="00F33674" w:rsidRDefault="00F51305" w:rsidP="00F51305">
            <w:pPr>
              <w:jc w:val="left"/>
              <w:rPr>
                <w:rFonts w:ascii="Arial Narrow" w:hAnsi="Arial Narrow" w:cs="Arial"/>
                <w:sz w:val="20"/>
                <w:szCs w:val="20"/>
              </w:rPr>
            </w:pPr>
            <w:r w:rsidRPr="00F33674">
              <w:rPr>
                <w:rFonts w:ascii="Arial Narrow" w:hAnsi="Arial Narrow" w:cs="Arial"/>
                <w:sz w:val="20"/>
                <w:szCs w:val="20"/>
              </w:rPr>
              <w:t>[21221] OxyContin and Novacodone modified release tablets are intended to be crush-deterrent and to reduce the rapid release of oxycodone upon accidental or intentional misuse.</w:t>
            </w:r>
          </w:p>
          <w:p w14:paraId="220A6E1D" w14:textId="77777777" w:rsidR="00F51305" w:rsidRPr="00F33674" w:rsidRDefault="00F51305" w:rsidP="00E41546">
            <w:pPr>
              <w:jc w:val="left"/>
              <w:rPr>
                <w:rFonts w:ascii="Arial Narrow" w:hAnsi="Arial Narrow" w:cs="Arial"/>
                <w:sz w:val="20"/>
                <w:szCs w:val="20"/>
              </w:rPr>
            </w:pPr>
          </w:p>
          <w:p w14:paraId="052F1F63" w14:textId="77777777" w:rsidR="00F51305" w:rsidRPr="00F33674" w:rsidRDefault="00F51305" w:rsidP="00E41546">
            <w:pPr>
              <w:jc w:val="left"/>
              <w:rPr>
                <w:rFonts w:ascii="Arial Narrow" w:hAnsi="Arial Narrow" w:cs="Arial"/>
                <w:sz w:val="20"/>
                <w:szCs w:val="20"/>
              </w:rPr>
            </w:pPr>
            <w:r w:rsidRPr="00F33674">
              <w:rPr>
                <w:rFonts w:ascii="Arial Narrow" w:hAnsi="Arial Narrow" w:cs="Arial"/>
                <w:sz w:val="20"/>
                <w:szCs w:val="20"/>
              </w:rPr>
              <w:t>[new] Real time online applications for increased maximum quantities/repeats may be made using the Online PBS Authorities system (see www.servicesaustralia.gov.au/organisations/health-professionals/services/medicare/hpos/services/request-authority-using-online-pbs-authorities-hpos)</w:t>
            </w:r>
          </w:p>
          <w:p w14:paraId="7BD3CC10" w14:textId="77777777" w:rsidR="00F51305" w:rsidRPr="00F33674" w:rsidRDefault="00F51305" w:rsidP="00E41546">
            <w:pPr>
              <w:jc w:val="left"/>
              <w:rPr>
                <w:rFonts w:ascii="Arial Narrow" w:hAnsi="Arial Narrow" w:cs="Arial"/>
                <w:sz w:val="20"/>
                <w:szCs w:val="20"/>
              </w:rPr>
            </w:pPr>
          </w:p>
          <w:p w14:paraId="07487D5F" w14:textId="77777777" w:rsidR="00F51305" w:rsidRPr="00F33674" w:rsidRDefault="00F51305" w:rsidP="00E41546">
            <w:pPr>
              <w:jc w:val="left"/>
              <w:rPr>
                <w:rFonts w:ascii="Arial Narrow" w:hAnsi="Arial Narrow" w:cs="Arial"/>
                <w:sz w:val="20"/>
                <w:szCs w:val="20"/>
              </w:rPr>
            </w:pPr>
            <w:r w:rsidRPr="00F33674">
              <w:rPr>
                <w:rFonts w:ascii="Arial Narrow" w:hAnsi="Arial Narrow" w:cs="Arial"/>
                <w:sz w:val="20"/>
                <w:szCs w:val="20"/>
              </w:rPr>
              <w:t>Phone applications for increased maximum quantities/repeats may be made by calling 1800 888 333.</w:t>
            </w:r>
          </w:p>
          <w:p w14:paraId="02FE6D39" w14:textId="77777777" w:rsidR="00F51305" w:rsidRPr="00F33674" w:rsidRDefault="00F51305" w:rsidP="00E41546">
            <w:pPr>
              <w:jc w:val="left"/>
              <w:rPr>
                <w:rFonts w:ascii="Arial Narrow" w:hAnsi="Arial Narrow" w:cs="Arial"/>
                <w:sz w:val="20"/>
                <w:szCs w:val="20"/>
              </w:rPr>
            </w:pPr>
          </w:p>
          <w:p w14:paraId="75B0D0A9" w14:textId="77777777" w:rsidR="00F51305" w:rsidRPr="00F33674" w:rsidRDefault="00F51305" w:rsidP="00E41546">
            <w:pPr>
              <w:jc w:val="left"/>
              <w:rPr>
                <w:rFonts w:ascii="Arial Narrow" w:hAnsi="Arial Narrow" w:cs="Arial"/>
                <w:sz w:val="20"/>
                <w:szCs w:val="20"/>
              </w:rPr>
            </w:pPr>
            <w:r w:rsidRPr="00F33674">
              <w:rPr>
                <w:rFonts w:ascii="Arial Narrow" w:hAnsi="Arial Narrow" w:cs="Arial"/>
                <w:sz w:val="20"/>
                <w:szCs w:val="20"/>
              </w:rPr>
              <w:t>Written authority applications for increased maximum quantities/repeats can be uploaded online through HPOS form upload or mailed to:</w:t>
            </w:r>
          </w:p>
          <w:p w14:paraId="1B41E301" w14:textId="77777777" w:rsidR="00F51305" w:rsidRPr="00F33674" w:rsidRDefault="00F51305" w:rsidP="00E41546">
            <w:pPr>
              <w:jc w:val="left"/>
              <w:rPr>
                <w:rFonts w:ascii="Arial Narrow" w:hAnsi="Arial Narrow" w:cs="Arial"/>
                <w:sz w:val="20"/>
                <w:szCs w:val="20"/>
              </w:rPr>
            </w:pPr>
            <w:r w:rsidRPr="00F33674">
              <w:rPr>
                <w:rFonts w:ascii="Arial Narrow" w:hAnsi="Arial Narrow" w:cs="Arial"/>
                <w:sz w:val="20"/>
                <w:szCs w:val="20"/>
              </w:rPr>
              <w:t>Pharmaceutical Benefits Scheme</w:t>
            </w:r>
          </w:p>
          <w:p w14:paraId="49AE4E4B" w14:textId="77777777" w:rsidR="00F51305" w:rsidRPr="00F33674" w:rsidRDefault="00F51305" w:rsidP="00E41546">
            <w:pPr>
              <w:jc w:val="left"/>
              <w:rPr>
                <w:rFonts w:ascii="Arial Narrow" w:hAnsi="Arial Narrow" w:cs="Arial"/>
                <w:sz w:val="20"/>
                <w:szCs w:val="20"/>
              </w:rPr>
            </w:pPr>
            <w:r w:rsidRPr="00F33674">
              <w:rPr>
                <w:rFonts w:ascii="Arial Narrow" w:hAnsi="Arial Narrow" w:cs="Arial"/>
                <w:sz w:val="20"/>
                <w:szCs w:val="20"/>
              </w:rPr>
              <w:t>Reply Paid 9857</w:t>
            </w:r>
          </w:p>
          <w:p w14:paraId="3EFE5E2D" w14:textId="77777777" w:rsidR="00F51305" w:rsidRPr="00F33674" w:rsidRDefault="00F51305" w:rsidP="00E41546">
            <w:pPr>
              <w:jc w:val="left"/>
              <w:rPr>
                <w:rFonts w:ascii="Arial Narrow" w:hAnsi="Arial Narrow" w:cs="Arial"/>
                <w:sz w:val="20"/>
                <w:szCs w:val="20"/>
              </w:rPr>
            </w:pPr>
            <w:r w:rsidRPr="00F33674">
              <w:rPr>
                <w:rFonts w:ascii="Arial Narrow" w:hAnsi="Arial Narrow" w:cs="Arial"/>
                <w:sz w:val="20"/>
                <w:szCs w:val="20"/>
              </w:rPr>
              <w:t>[Your capital city]</w:t>
            </w:r>
          </w:p>
        </w:tc>
      </w:tr>
      <w:tr w:rsidR="00F51305" w:rsidRPr="00F33674" w14:paraId="02A7CD3C" w14:textId="77777777" w:rsidTr="00E41546">
        <w:trPr>
          <w:cantSplit/>
          <w:trHeight w:val="360"/>
        </w:trPr>
        <w:tc>
          <w:tcPr>
            <w:tcW w:w="2835" w:type="dxa"/>
            <w:tcBorders>
              <w:top w:val="single" w:sz="4" w:space="0" w:color="auto"/>
              <w:left w:val="single" w:sz="4" w:space="0" w:color="auto"/>
              <w:bottom w:val="single" w:sz="4" w:space="0" w:color="auto"/>
              <w:right w:val="single" w:sz="4" w:space="0" w:color="auto"/>
            </w:tcBorders>
          </w:tcPr>
          <w:p w14:paraId="3ACF20E8" w14:textId="77777777" w:rsidR="00F51305" w:rsidRPr="00F33674" w:rsidRDefault="00F51305" w:rsidP="00E41546">
            <w:pPr>
              <w:rPr>
                <w:rFonts w:ascii="Arial Narrow" w:hAnsi="Arial Narrow" w:cs="Arial"/>
                <w:b/>
                <w:sz w:val="20"/>
                <w:szCs w:val="20"/>
              </w:rPr>
            </w:pPr>
            <w:r w:rsidRPr="00F33674">
              <w:rPr>
                <w:rFonts w:ascii="Arial Narrow" w:hAnsi="Arial Narrow" w:cs="Arial"/>
                <w:b/>
                <w:sz w:val="20"/>
                <w:szCs w:val="20"/>
              </w:rPr>
              <w:t>Cautions:</w:t>
            </w:r>
          </w:p>
        </w:tc>
        <w:tc>
          <w:tcPr>
            <w:tcW w:w="6379" w:type="dxa"/>
            <w:tcBorders>
              <w:top w:val="single" w:sz="4" w:space="0" w:color="auto"/>
              <w:left w:val="single" w:sz="4" w:space="0" w:color="auto"/>
              <w:bottom w:val="single" w:sz="4" w:space="0" w:color="auto"/>
              <w:right w:val="single" w:sz="4" w:space="0" w:color="auto"/>
            </w:tcBorders>
          </w:tcPr>
          <w:p w14:paraId="372E34AE" w14:textId="77777777" w:rsidR="00F51305" w:rsidRPr="00F33674" w:rsidRDefault="00F51305" w:rsidP="00E41546">
            <w:pPr>
              <w:jc w:val="left"/>
              <w:rPr>
                <w:rFonts w:ascii="Arial Narrow" w:hAnsi="Arial Narrow" w:cs="Arial"/>
                <w:sz w:val="20"/>
                <w:szCs w:val="20"/>
              </w:rPr>
            </w:pPr>
            <w:r w:rsidRPr="00F33674">
              <w:rPr>
                <w:rFonts w:ascii="Arial Narrow" w:hAnsi="Arial Narrow" w:cs="Arial"/>
                <w:sz w:val="20"/>
                <w:szCs w:val="20"/>
              </w:rPr>
              <w:t>[6986] The risk of drug dependence is high.</w:t>
            </w:r>
          </w:p>
        </w:tc>
      </w:tr>
    </w:tbl>
    <w:p w14:paraId="7A7917FD" w14:textId="186BE751" w:rsidR="001D7D71" w:rsidRDefault="001D7D71" w:rsidP="00F51305">
      <w:pPr>
        <w:pStyle w:val="3-BodyText"/>
        <w:numPr>
          <w:ilvl w:val="0"/>
          <w:numId w:val="0"/>
        </w:numPr>
        <w:ind w:left="720" w:hanging="720"/>
      </w:pPr>
    </w:p>
    <w:p w14:paraId="7E95D694" w14:textId="77777777" w:rsidR="001D7D71" w:rsidRDefault="001D7D71">
      <w:pPr>
        <w:jc w:val="left"/>
        <w:rPr>
          <w:rFonts w:asciiTheme="minorHAnsi" w:eastAsiaTheme="minorHAnsi" w:hAnsiTheme="minorHAnsi" w:cstheme="minorBidi"/>
          <w:szCs w:val="22"/>
        </w:rPr>
      </w:pPr>
      <w:r>
        <w:br w:type="page"/>
      </w:r>
    </w:p>
    <w:p w14:paraId="0016076F" w14:textId="6B4A6D09" w:rsidR="00F33674" w:rsidRPr="00F33674" w:rsidRDefault="00F33674" w:rsidP="00F33674">
      <w:pPr>
        <w:keepNext/>
        <w:jc w:val="left"/>
        <w:outlineLvl w:val="1"/>
        <w:rPr>
          <w:rFonts w:asciiTheme="minorHAnsi" w:eastAsiaTheme="majorEastAsia" w:hAnsiTheme="minorHAnsi" w:cstheme="majorBidi"/>
          <w:b/>
          <w:i/>
          <w:spacing w:val="5"/>
          <w:kern w:val="28"/>
          <w:sz w:val="28"/>
          <w:szCs w:val="36"/>
        </w:rPr>
      </w:pPr>
      <w:r w:rsidRPr="00F33674">
        <w:rPr>
          <w:rFonts w:asciiTheme="minorHAnsi" w:eastAsiaTheme="majorEastAsia" w:hAnsiTheme="minorHAnsi" w:cstheme="majorBidi"/>
          <w:b/>
          <w:i/>
          <w:spacing w:val="5"/>
          <w:kern w:val="28"/>
          <w:sz w:val="28"/>
          <w:szCs w:val="36"/>
        </w:rPr>
        <w:lastRenderedPageBreak/>
        <w:t xml:space="preserve">TGA long-term pain indication: PBS restrictions in </w:t>
      </w:r>
      <w:proofErr w:type="gramStart"/>
      <w:r w:rsidRPr="00F33674">
        <w:rPr>
          <w:rFonts w:asciiTheme="minorHAnsi" w:eastAsiaTheme="majorEastAsia" w:hAnsiTheme="minorHAnsi" w:cstheme="majorBidi"/>
          <w:b/>
          <w:i/>
          <w:spacing w:val="5"/>
          <w:kern w:val="28"/>
          <w:sz w:val="28"/>
          <w:szCs w:val="36"/>
        </w:rPr>
        <w:t>2</w:t>
      </w:r>
      <w:r w:rsidRPr="00F33674">
        <w:rPr>
          <w:rFonts w:asciiTheme="minorHAnsi" w:eastAsiaTheme="majorEastAsia" w:hAnsiTheme="minorHAnsi" w:cstheme="majorBidi"/>
          <w:b/>
          <w:i/>
          <w:spacing w:val="5"/>
          <w:kern w:val="28"/>
          <w:sz w:val="28"/>
          <w:szCs w:val="36"/>
          <w:vertAlign w:val="superscript"/>
        </w:rPr>
        <w:t>nd</w:t>
      </w:r>
      <w:proofErr w:type="gramEnd"/>
      <w:r w:rsidRPr="00F33674">
        <w:rPr>
          <w:rFonts w:asciiTheme="minorHAnsi" w:eastAsiaTheme="majorEastAsia" w:hAnsiTheme="minorHAnsi" w:cstheme="majorBidi"/>
          <w:b/>
          <w:i/>
          <w:spacing w:val="5"/>
          <w:kern w:val="28"/>
          <w:sz w:val="28"/>
          <w:szCs w:val="36"/>
        </w:rPr>
        <w:t xml:space="preserve"> line setting</w:t>
      </w:r>
      <w:bookmarkEnd w:id="37"/>
    </w:p>
    <w:p w14:paraId="6827CB12" w14:textId="77777777" w:rsidR="00F33674" w:rsidRPr="00F33674" w:rsidRDefault="00F33674" w:rsidP="00630FB2">
      <w:pPr>
        <w:pStyle w:val="3-BodyText"/>
      </w:pPr>
      <w:r w:rsidRPr="00F33674">
        <w:t>Amend items:</w:t>
      </w:r>
    </w:p>
    <w:p w14:paraId="59A64FA6" w14:textId="77777777" w:rsidR="00F33674" w:rsidRPr="00F33674" w:rsidRDefault="00F33674" w:rsidP="00F33674">
      <w:pPr>
        <w:keepNext/>
        <w:keepLines/>
        <w:spacing w:before="40"/>
        <w:jc w:val="left"/>
        <w:outlineLvl w:val="2"/>
        <w:rPr>
          <w:rFonts w:asciiTheme="minorHAnsi" w:eastAsiaTheme="majorEastAsia" w:hAnsiTheme="minorHAnsi" w:cstheme="majorBidi"/>
          <w:b/>
          <w:color w:val="000000" w:themeColor="text1"/>
        </w:rPr>
      </w:pPr>
      <w:bookmarkStart w:id="38" w:name="_Toc32300604"/>
      <w:r w:rsidRPr="00F33674">
        <w:rPr>
          <w:rFonts w:asciiTheme="minorHAnsi" w:eastAsiaTheme="majorEastAsia" w:hAnsiTheme="minorHAnsi" w:cstheme="majorBidi"/>
          <w:b/>
          <w:color w:val="000000" w:themeColor="text1"/>
        </w:rPr>
        <w:t xml:space="preserve">Listing 20: Restriction for long-term pain TGA indication in </w:t>
      </w:r>
      <w:proofErr w:type="gramStart"/>
      <w:r w:rsidRPr="00F33674">
        <w:rPr>
          <w:rFonts w:asciiTheme="minorHAnsi" w:eastAsiaTheme="majorEastAsia" w:hAnsiTheme="minorHAnsi" w:cstheme="majorBidi"/>
          <w:b/>
          <w:color w:val="000000" w:themeColor="text1"/>
        </w:rPr>
        <w:t>2</w:t>
      </w:r>
      <w:r w:rsidRPr="00F33674">
        <w:rPr>
          <w:rFonts w:asciiTheme="minorHAnsi" w:eastAsiaTheme="majorEastAsia" w:hAnsiTheme="minorHAnsi" w:cstheme="majorBidi"/>
          <w:b/>
          <w:color w:val="000000" w:themeColor="text1"/>
          <w:vertAlign w:val="superscript"/>
        </w:rPr>
        <w:t>nd</w:t>
      </w:r>
      <w:proofErr w:type="gramEnd"/>
      <w:r w:rsidRPr="00F33674">
        <w:rPr>
          <w:rFonts w:asciiTheme="minorHAnsi" w:eastAsiaTheme="majorEastAsia" w:hAnsiTheme="minorHAnsi" w:cstheme="majorBidi"/>
          <w:b/>
          <w:color w:val="000000" w:themeColor="text1"/>
        </w:rPr>
        <w:t xml:space="preserve"> line opioid setting on general schedule (fentanyl 12mcg/hr patch):</w:t>
      </w:r>
      <w:bookmarkEnd w:id="38"/>
    </w:p>
    <w:p w14:paraId="5C4A802D" w14:textId="77777777" w:rsidR="00F33674" w:rsidRPr="00F33674" w:rsidRDefault="00F33674" w:rsidP="00F33674">
      <w:pPr>
        <w:ind w:left="360" w:hanging="360"/>
        <w:contextualSpacing/>
        <w:jc w:val="left"/>
      </w:pPr>
    </w:p>
    <w:tbl>
      <w:tblPr>
        <w:tblW w:w="9015" w:type="dxa"/>
        <w:tblLook w:val="04A0" w:firstRow="1" w:lastRow="0" w:firstColumn="1" w:lastColumn="0" w:noHBand="0" w:noVBand="1"/>
      </w:tblPr>
      <w:tblGrid>
        <w:gridCol w:w="1264"/>
        <w:gridCol w:w="736"/>
        <w:gridCol w:w="2390"/>
        <w:gridCol w:w="572"/>
        <w:gridCol w:w="530"/>
        <w:gridCol w:w="1397"/>
        <w:gridCol w:w="2126"/>
      </w:tblGrid>
      <w:tr w:rsidR="00F33674" w:rsidRPr="00F33674" w14:paraId="5DF9A17E" w14:textId="77777777" w:rsidTr="00F33674">
        <w:trPr>
          <w:trHeight w:val="300"/>
        </w:trPr>
        <w:tc>
          <w:tcPr>
            <w:tcW w:w="1264" w:type="dxa"/>
            <w:tcBorders>
              <w:bottom w:val="single" w:sz="4" w:space="0" w:color="auto"/>
            </w:tcBorders>
            <w:shd w:val="clear" w:color="auto" w:fill="auto"/>
            <w:noWrap/>
            <w:hideMark/>
          </w:tcPr>
          <w:p w14:paraId="31241544"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LI Drug</w:t>
            </w:r>
          </w:p>
        </w:tc>
        <w:tc>
          <w:tcPr>
            <w:tcW w:w="736" w:type="dxa"/>
            <w:tcBorders>
              <w:bottom w:val="single" w:sz="4" w:space="0" w:color="auto"/>
            </w:tcBorders>
            <w:shd w:val="clear" w:color="auto" w:fill="auto"/>
          </w:tcPr>
          <w:p w14:paraId="5050A027"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Item Code</w:t>
            </w:r>
          </w:p>
        </w:tc>
        <w:tc>
          <w:tcPr>
            <w:tcW w:w="2390" w:type="dxa"/>
            <w:tcBorders>
              <w:bottom w:val="single" w:sz="4" w:space="0" w:color="auto"/>
            </w:tcBorders>
            <w:shd w:val="clear" w:color="auto" w:fill="auto"/>
            <w:noWrap/>
            <w:hideMark/>
          </w:tcPr>
          <w:p w14:paraId="401CD8D3"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Legal Instrument Form</w:t>
            </w:r>
          </w:p>
        </w:tc>
        <w:tc>
          <w:tcPr>
            <w:tcW w:w="572" w:type="dxa"/>
            <w:tcBorders>
              <w:bottom w:val="single" w:sz="4" w:space="0" w:color="auto"/>
            </w:tcBorders>
            <w:shd w:val="clear" w:color="auto" w:fill="auto"/>
            <w:noWrap/>
            <w:hideMark/>
          </w:tcPr>
          <w:p w14:paraId="2DB6FCA2"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Max. Qty</w:t>
            </w:r>
          </w:p>
        </w:tc>
        <w:tc>
          <w:tcPr>
            <w:tcW w:w="530" w:type="dxa"/>
            <w:tcBorders>
              <w:bottom w:val="single" w:sz="4" w:space="0" w:color="auto"/>
            </w:tcBorders>
            <w:shd w:val="clear" w:color="auto" w:fill="auto"/>
            <w:noWrap/>
            <w:hideMark/>
          </w:tcPr>
          <w:p w14:paraId="60068E7E"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No. Rpt</w:t>
            </w:r>
          </w:p>
        </w:tc>
        <w:tc>
          <w:tcPr>
            <w:tcW w:w="1397" w:type="dxa"/>
            <w:tcBorders>
              <w:bottom w:val="single" w:sz="4" w:space="0" w:color="auto"/>
            </w:tcBorders>
            <w:shd w:val="clear" w:color="auto" w:fill="auto"/>
            <w:noWrap/>
            <w:hideMark/>
          </w:tcPr>
          <w:p w14:paraId="76956817"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Brand Name</w:t>
            </w:r>
          </w:p>
        </w:tc>
        <w:tc>
          <w:tcPr>
            <w:tcW w:w="2126" w:type="dxa"/>
            <w:tcBorders>
              <w:bottom w:val="single" w:sz="4" w:space="0" w:color="auto"/>
            </w:tcBorders>
            <w:shd w:val="clear" w:color="auto" w:fill="auto"/>
            <w:noWrap/>
            <w:hideMark/>
          </w:tcPr>
          <w:p w14:paraId="5CC71EE8"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Responsible Person</w:t>
            </w:r>
          </w:p>
        </w:tc>
      </w:tr>
      <w:tr w:rsidR="00F33674" w:rsidRPr="00F33674" w14:paraId="4BE8E11A" w14:textId="77777777" w:rsidTr="00F33674">
        <w:trPr>
          <w:trHeight w:val="300"/>
        </w:trPr>
        <w:tc>
          <w:tcPr>
            <w:tcW w:w="1264" w:type="dxa"/>
            <w:tcBorders>
              <w:top w:val="single" w:sz="4" w:space="0" w:color="auto"/>
            </w:tcBorders>
            <w:shd w:val="clear" w:color="auto" w:fill="auto"/>
            <w:noWrap/>
            <w:hideMark/>
          </w:tcPr>
          <w:p w14:paraId="4CB5383D"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FENTANYL</w:t>
            </w:r>
          </w:p>
        </w:tc>
        <w:tc>
          <w:tcPr>
            <w:tcW w:w="736" w:type="dxa"/>
            <w:tcBorders>
              <w:top w:val="single" w:sz="4" w:space="0" w:color="auto"/>
            </w:tcBorders>
            <w:shd w:val="clear" w:color="auto" w:fill="auto"/>
          </w:tcPr>
          <w:p w14:paraId="5F3B515A"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5265D</w:t>
            </w:r>
          </w:p>
        </w:tc>
        <w:tc>
          <w:tcPr>
            <w:tcW w:w="2390" w:type="dxa"/>
            <w:tcBorders>
              <w:top w:val="single" w:sz="4" w:space="0" w:color="auto"/>
            </w:tcBorders>
            <w:shd w:val="clear" w:color="auto" w:fill="auto"/>
            <w:noWrap/>
            <w:hideMark/>
          </w:tcPr>
          <w:p w14:paraId="01ACD7B2"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Transdermal patch 1.28 mg</w:t>
            </w:r>
          </w:p>
        </w:tc>
        <w:tc>
          <w:tcPr>
            <w:tcW w:w="572" w:type="dxa"/>
            <w:tcBorders>
              <w:top w:val="single" w:sz="4" w:space="0" w:color="auto"/>
            </w:tcBorders>
            <w:shd w:val="clear" w:color="auto" w:fill="auto"/>
            <w:noWrap/>
            <w:hideMark/>
          </w:tcPr>
          <w:p w14:paraId="5EDB6DA7" w14:textId="77777777" w:rsidR="00F33674" w:rsidRPr="00F33674" w:rsidRDefault="00F33674" w:rsidP="00F33674">
            <w:pPr>
              <w:jc w:val="righ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5</w:t>
            </w:r>
          </w:p>
        </w:tc>
        <w:tc>
          <w:tcPr>
            <w:tcW w:w="530" w:type="dxa"/>
            <w:tcBorders>
              <w:top w:val="single" w:sz="4" w:space="0" w:color="auto"/>
            </w:tcBorders>
            <w:shd w:val="clear" w:color="auto" w:fill="auto"/>
            <w:noWrap/>
            <w:hideMark/>
          </w:tcPr>
          <w:p w14:paraId="230A7D08" w14:textId="77777777" w:rsidR="00F33674" w:rsidRPr="00F33674" w:rsidRDefault="00F33674" w:rsidP="00F33674">
            <w:pPr>
              <w:jc w:val="righ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0</w:t>
            </w:r>
          </w:p>
        </w:tc>
        <w:tc>
          <w:tcPr>
            <w:tcW w:w="1397" w:type="dxa"/>
            <w:tcBorders>
              <w:top w:val="single" w:sz="4" w:space="0" w:color="auto"/>
            </w:tcBorders>
            <w:shd w:val="clear" w:color="auto" w:fill="auto"/>
            <w:noWrap/>
            <w:hideMark/>
          </w:tcPr>
          <w:p w14:paraId="646B72D2"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Denpax</w:t>
            </w:r>
          </w:p>
        </w:tc>
        <w:tc>
          <w:tcPr>
            <w:tcW w:w="2126" w:type="dxa"/>
            <w:tcBorders>
              <w:top w:val="single" w:sz="4" w:space="0" w:color="auto"/>
            </w:tcBorders>
            <w:shd w:val="clear" w:color="auto" w:fill="auto"/>
            <w:noWrap/>
            <w:hideMark/>
          </w:tcPr>
          <w:p w14:paraId="0920D71B"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Alphapharm Pty Ltd</w:t>
            </w:r>
          </w:p>
        </w:tc>
      </w:tr>
      <w:tr w:rsidR="00F33674" w:rsidRPr="00F33674" w14:paraId="071053F1" w14:textId="77777777" w:rsidTr="00F33674">
        <w:trPr>
          <w:trHeight w:val="300"/>
        </w:trPr>
        <w:tc>
          <w:tcPr>
            <w:tcW w:w="1264" w:type="dxa"/>
            <w:shd w:val="clear" w:color="auto" w:fill="auto"/>
            <w:noWrap/>
          </w:tcPr>
          <w:p w14:paraId="4010886C" w14:textId="77777777" w:rsidR="00F33674" w:rsidRPr="00F33674" w:rsidRDefault="00F33674" w:rsidP="00F33674">
            <w:pPr>
              <w:jc w:val="left"/>
              <w:rPr>
                <w:rFonts w:ascii="Arial Narrow" w:hAnsi="Arial Narrow" w:cs="Calibri"/>
                <w:color w:val="000000"/>
                <w:sz w:val="20"/>
                <w:szCs w:val="20"/>
                <w:lang w:eastAsia="en-AU"/>
              </w:rPr>
            </w:pPr>
          </w:p>
        </w:tc>
        <w:tc>
          <w:tcPr>
            <w:tcW w:w="736" w:type="dxa"/>
            <w:shd w:val="clear" w:color="auto" w:fill="auto"/>
          </w:tcPr>
          <w:p w14:paraId="554E793D"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5437E</w:t>
            </w:r>
          </w:p>
        </w:tc>
        <w:tc>
          <w:tcPr>
            <w:tcW w:w="2390" w:type="dxa"/>
            <w:vMerge w:val="restart"/>
            <w:shd w:val="clear" w:color="auto" w:fill="auto"/>
            <w:noWrap/>
            <w:hideMark/>
          </w:tcPr>
          <w:p w14:paraId="3E8E097A"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Transdermal patch 2.063 mg</w:t>
            </w:r>
          </w:p>
        </w:tc>
        <w:tc>
          <w:tcPr>
            <w:tcW w:w="572" w:type="dxa"/>
            <w:shd w:val="clear" w:color="auto" w:fill="auto"/>
            <w:noWrap/>
            <w:hideMark/>
          </w:tcPr>
          <w:p w14:paraId="6A0E71DF" w14:textId="77777777" w:rsidR="00F33674" w:rsidRPr="00F33674" w:rsidRDefault="00F33674" w:rsidP="00F33674">
            <w:pPr>
              <w:jc w:val="righ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5</w:t>
            </w:r>
          </w:p>
        </w:tc>
        <w:tc>
          <w:tcPr>
            <w:tcW w:w="530" w:type="dxa"/>
            <w:shd w:val="clear" w:color="auto" w:fill="auto"/>
            <w:noWrap/>
            <w:hideMark/>
          </w:tcPr>
          <w:p w14:paraId="47336F13" w14:textId="77777777" w:rsidR="00F33674" w:rsidRPr="00F33674" w:rsidRDefault="00F33674" w:rsidP="00F33674">
            <w:pPr>
              <w:jc w:val="righ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0</w:t>
            </w:r>
          </w:p>
        </w:tc>
        <w:tc>
          <w:tcPr>
            <w:tcW w:w="1397" w:type="dxa"/>
            <w:shd w:val="clear" w:color="auto" w:fill="auto"/>
            <w:noWrap/>
            <w:hideMark/>
          </w:tcPr>
          <w:p w14:paraId="1B38F76F"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Dutran 12</w:t>
            </w:r>
          </w:p>
        </w:tc>
        <w:tc>
          <w:tcPr>
            <w:tcW w:w="2126" w:type="dxa"/>
            <w:shd w:val="clear" w:color="auto" w:fill="auto"/>
            <w:noWrap/>
            <w:hideMark/>
          </w:tcPr>
          <w:p w14:paraId="73791465"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Amneal Pharmaceuticals Pty Ltd</w:t>
            </w:r>
          </w:p>
        </w:tc>
      </w:tr>
      <w:tr w:rsidR="00F33674" w:rsidRPr="00F33674" w14:paraId="3919F171" w14:textId="77777777" w:rsidTr="00F33674">
        <w:trPr>
          <w:trHeight w:val="300"/>
        </w:trPr>
        <w:tc>
          <w:tcPr>
            <w:tcW w:w="1264" w:type="dxa"/>
            <w:shd w:val="clear" w:color="auto" w:fill="auto"/>
            <w:noWrap/>
          </w:tcPr>
          <w:p w14:paraId="1870F1BC" w14:textId="77777777" w:rsidR="00F33674" w:rsidRPr="00F33674" w:rsidRDefault="00F33674" w:rsidP="00F33674">
            <w:pPr>
              <w:jc w:val="left"/>
              <w:rPr>
                <w:rFonts w:ascii="Arial Narrow" w:hAnsi="Arial Narrow" w:cs="Calibri"/>
                <w:color w:val="000000"/>
                <w:sz w:val="20"/>
                <w:szCs w:val="20"/>
                <w:lang w:eastAsia="en-AU"/>
              </w:rPr>
            </w:pPr>
          </w:p>
        </w:tc>
        <w:tc>
          <w:tcPr>
            <w:tcW w:w="736" w:type="dxa"/>
            <w:shd w:val="clear" w:color="auto" w:fill="auto"/>
          </w:tcPr>
          <w:p w14:paraId="3FF68114" w14:textId="77777777" w:rsidR="00F33674" w:rsidRPr="00F33674" w:rsidRDefault="00F33674" w:rsidP="00F33674">
            <w:pPr>
              <w:jc w:val="left"/>
              <w:rPr>
                <w:rFonts w:ascii="Arial Narrow" w:hAnsi="Arial Narrow" w:cs="Calibri"/>
                <w:color w:val="000000"/>
                <w:sz w:val="20"/>
                <w:szCs w:val="20"/>
                <w:lang w:eastAsia="en-AU"/>
              </w:rPr>
            </w:pPr>
          </w:p>
        </w:tc>
        <w:tc>
          <w:tcPr>
            <w:tcW w:w="2390" w:type="dxa"/>
            <w:vMerge/>
            <w:shd w:val="clear" w:color="auto" w:fill="auto"/>
            <w:noWrap/>
          </w:tcPr>
          <w:p w14:paraId="6EC2B68D" w14:textId="77777777" w:rsidR="00F33674" w:rsidRPr="00F33674" w:rsidRDefault="00F33674" w:rsidP="00F33674">
            <w:pPr>
              <w:jc w:val="left"/>
              <w:rPr>
                <w:rFonts w:ascii="Arial Narrow" w:hAnsi="Arial Narrow" w:cs="Calibri"/>
                <w:color w:val="000000"/>
                <w:sz w:val="20"/>
                <w:szCs w:val="20"/>
                <w:lang w:eastAsia="en-AU"/>
              </w:rPr>
            </w:pPr>
          </w:p>
        </w:tc>
        <w:tc>
          <w:tcPr>
            <w:tcW w:w="572" w:type="dxa"/>
            <w:shd w:val="clear" w:color="auto" w:fill="auto"/>
            <w:noWrap/>
          </w:tcPr>
          <w:p w14:paraId="3EE23AB4" w14:textId="77777777" w:rsidR="00F33674" w:rsidRPr="00F33674" w:rsidRDefault="00F33674" w:rsidP="00F33674">
            <w:pPr>
              <w:jc w:val="right"/>
              <w:rPr>
                <w:rFonts w:ascii="Arial Narrow" w:hAnsi="Arial Narrow" w:cs="Calibri"/>
                <w:color w:val="000000"/>
                <w:sz w:val="20"/>
                <w:szCs w:val="20"/>
                <w:lang w:eastAsia="en-AU"/>
              </w:rPr>
            </w:pPr>
          </w:p>
        </w:tc>
        <w:tc>
          <w:tcPr>
            <w:tcW w:w="530" w:type="dxa"/>
            <w:shd w:val="clear" w:color="auto" w:fill="auto"/>
            <w:noWrap/>
          </w:tcPr>
          <w:p w14:paraId="07F2F26C" w14:textId="77777777" w:rsidR="00F33674" w:rsidRPr="00F33674" w:rsidRDefault="00F33674" w:rsidP="00F33674">
            <w:pPr>
              <w:jc w:val="right"/>
              <w:rPr>
                <w:rFonts w:ascii="Arial Narrow" w:hAnsi="Arial Narrow" w:cs="Calibri"/>
                <w:color w:val="000000"/>
                <w:sz w:val="20"/>
                <w:szCs w:val="20"/>
                <w:lang w:eastAsia="en-AU"/>
              </w:rPr>
            </w:pPr>
          </w:p>
        </w:tc>
        <w:tc>
          <w:tcPr>
            <w:tcW w:w="1397" w:type="dxa"/>
            <w:shd w:val="clear" w:color="auto" w:fill="auto"/>
            <w:noWrap/>
            <w:hideMark/>
          </w:tcPr>
          <w:p w14:paraId="0E4AC359"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Fenpatch 12</w:t>
            </w:r>
          </w:p>
        </w:tc>
        <w:tc>
          <w:tcPr>
            <w:tcW w:w="2126" w:type="dxa"/>
            <w:shd w:val="clear" w:color="auto" w:fill="auto"/>
            <w:noWrap/>
            <w:hideMark/>
          </w:tcPr>
          <w:p w14:paraId="6534E3F4"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Medis Pharma Pty Ltd</w:t>
            </w:r>
          </w:p>
        </w:tc>
      </w:tr>
      <w:tr w:rsidR="00F33674" w:rsidRPr="00F33674" w14:paraId="3BA54D76" w14:textId="77777777" w:rsidTr="00F33674">
        <w:trPr>
          <w:trHeight w:val="300"/>
        </w:trPr>
        <w:tc>
          <w:tcPr>
            <w:tcW w:w="1264" w:type="dxa"/>
            <w:shd w:val="clear" w:color="auto" w:fill="auto"/>
            <w:noWrap/>
          </w:tcPr>
          <w:p w14:paraId="335041CF" w14:textId="77777777" w:rsidR="00F33674" w:rsidRPr="00F33674" w:rsidRDefault="00F33674" w:rsidP="00F33674">
            <w:pPr>
              <w:jc w:val="left"/>
              <w:rPr>
                <w:rFonts w:ascii="Arial Narrow" w:hAnsi="Arial Narrow" w:cs="Calibri"/>
                <w:color w:val="000000"/>
                <w:sz w:val="20"/>
                <w:szCs w:val="20"/>
                <w:lang w:eastAsia="en-AU"/>
              </w:rPr>
            </w:pPr>
          </w:p>
        </w:tc>
        <w:tc>
          <w:tcPr>
            <w:tcW w:w="736" w:type="dxa"/>
            <w:shd w:val="clear" w:color="auto" w:fill="auto"/>
          </w:tcPr>
          <w:p w14:paraId="28F98029"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8878G</w:t>
            </w:r>
          </w:p>
        </w:tc>
        <w:tc>
          <w:tcPr>
            <w:tcW w:w="2390" w:type="dxa"/>
            <w:vMerge w:val="restart"/>
            <w:shd w:val="clear" w:color="auto" w:fill="auto"/>
            <w:noWrap/>
            <w:hideMark/>
          </w:tcPr>
          <w:p w14:paraId="06B67632"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Transdermal patch 2.1 mg</w:t>
            </w:r>
          </w:p>
        </w:tc>
        <w:tc>
          <w:tcPr>
            <w:tcW w:w="572" w:type="dxa"/>
            <w:shd w:val="clear" w:color="auto" w:fill="auto"/>
            <w:noWrap/>
            <w:hideMark/>
          </w:tcPr>
          <w:p w14:paraId="20E112B7" w14:textId="77777777" w:rsidR="00F33674" w:rsidRPr="00F33674" w:rsidRDefault="00F33674" w:rsidP="00F33674">
            <w:pPr>
              <w:jc w:val="righ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5</w:t>
            </w:r>
          </w:p>
        </w:tc>
        <w:tc>
          <w:tcPr>
            <w:tcW w:w="530" w:type="dxa"/>
            <w:shd w:val="clear" w:color="auto" w:fill="auto"/>
            <w:noWrap/>
            <w:hideMark/>
          </w:tcPr>
          <w:p w14:paraId="7597B2F2" w14:textId="77777777" w:rsidR="00F33674" w:rsidRPr="00F33674" w:rsidRDefault="00F33674" w:rsidP="00F33674">
            <w:pPr>
              <w:jc w:val="righ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0</w:t>
            </w:r>
          </w:p>
        </w:tc>
        <w:tc>
          <w:tcPr>
            <w:tcW w:w="1397" w:type="dxa"/>
            <w:shd w:val="clear" w:color="auto" w:fill="auto"/>
            <w:noWrap/>
            <w:hideMark/>
          </w:tcPr>
          <w:p w14:paraId="57B8DE28"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APO-Fentanyl</w:t>
            </w:r>
          </w:p>
        </w:tc>
        <w:tc>
          <w:tcPr>
            <w:tcW w:w="2126" w:type="dxa"/>
            <w:shd w:val="clear" w:color="auto" w:fill="auto"/>
            <w:noWrap/>
            <w:hideMark/>
          </w:tcPr>
          <w:p w14:paraId="6A2F8244"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Apotex Pty Ltd</w:t>
            </w:r>
          </w:p>
        </w:tc>
      </w:tr>
      <w:tr w:rsidR="00F33674" w:rsidRPr="00F33674" w14:paraId="5F51F9C8" w14:textId="77777777" w:rsidTr="00F33674">
        <w:trPr>
          <w:trHeight w:val="300"/>
        </w:trPr>
        <w:tc>
          <w:tcPr>
            <w:tcW w:w="1264" w:type="dxa"/>
            <w:shd w:val="clear" w:color="auto" w:fill="auto"/>
            <w:noWrap/>
          </w:tcPr>
          <w:p w14:paraId="4F996AC7" w14:textId="77777777" w:rsidR="00F33674" w:rsidRPr="00F33674" w:rsidRDefault="00F33674" w:rsidP="00F33674">
            <w:pPr>
              <w:jc w:val="left"/>
              <w:rPr>
                <w:rFonts w:ascii="Arial Narrow" w:hAnsi="Arial Narrow" w:cs="Calibri"/>
                <w:color w:val="000000"/>
                <w:sz w:val="20"/>
                <w:szCs w:val="20"/>
                <w:lang w:eastAsia="en-AU"/>
              </w:rPr>
            </w:pPr>
          </w:p>
        </w:tc>
        <w:tc>
          <w:tcPr>
            <w:tcW w:w="736" w:type="dxa"/>
            <w:shd w:val="clear" w:color="auto" w:fill="auto"/>
          </w:tcPr>
          <w:p w14:paraId="4BA23600" w14:textId="77777777" w:rsidR="00F33674" w:rsidRPr="00F33674" w:rsidRDefault="00F33674" w:rsidP="00F33674">
            <w:pPr>
              <w:jc w:val="left"/>
              <w:rPr>
                <w:rFonts w:ascii="Arial Narrow" w:hAnsi="Arial Narrow" w:cs="Calibri"/>
                <w:color w:val="000000"/>
                <w:sz w:val="20"/>
                <w:szCs w:val="20"/>
                <w:lang w:eastAsia="en-AU"/>
              </w:rPr>
            </w:pPr>
          </w:p>
        </w:tc>
        <w:tc>
          <w:tcPr>
            <w:tcW w:w="2390" w:type="dxa"/>
            <w:vMerge/>
            <w:shd w:val="clear" w:color="auto" w:fill="auto"/>
            <w:noWrap/>
          </w:tcPr>
          <w:p w14:paraId="28FE7272" w14:textId="77777777" w:rsidR="00F33674" w:rsidRPr="00F33674" w:rsidRDefault="00F33674" w:rsidP="00F33674">
            <w:pPr>
              <w:jc w:val="left"/>
              <w:rPr>
                <w:rFonts w:ascii="Arial Narrow" w:hAnsi="Arial Narrow" w:cs="Calibri"/>
                <w:color w:val="000000"/>
                <w:sz w:val="20"/>
                <w:szCs w:val="20"/>
                <w:lang w:eastAsia="en-AU"/>
              </w:rPr>
            </w:pPr>
          </w:p>
        </w:tc>
        <w:tc>
          <w:tcPr>
            <w:tcW w:w="572" w:type="dxa"/>
            <w:shd w:val="clear" w:color="auto" w:fill="auto"/>
            <w:noWrap/>
          </w:tcPr>
          <w:p w14:paraId="44794E17" w14:textId="77777777" w:rsidR="00F33674" w:rsidRPr="00F33674" w:rsidRDefault="00F33674" w:rsidP="00F33674">
            <w:pPr>
              <w:jc w:val="right"/>
              <w:rPr>
                <w:rFonts w:ascii="Arial Narrow" w:hAnsi="Arial Narrow" w:cs="Calibri"/>
                <w:color w:val="000000"/>
                <w:sz w:val="20"/>
                <w:szCs w:val="20"/>
                <w:lang w:eastAsia="en-AU"/>
              </w:rPr>
            </w:pPr>
          </w:p>
        </w:tc>
        <w:tc>
          <w:tcPr>
            <w:tcW w:w="530" w:type="dxa"/>
            <w:shd w:val="clear" w:color="auto" w:fill="auto"/>
            <w:noWrap/>
          </w:tcPr>
          <w:p w14:paraId="7CB5978D" w14:textId="77777777" w:rsidR="00F33674" w:rsidRPr="00F33674" w:rsidRDefault="00F33674" w:rsidP="00F33674">
            <w:pPr>
              <w:jc w:val="right"/>
              <w:rPr>
                <w:rFonts w:ascii="Arial Narrow" w:hAnsi="Arial Narrow" w:cs="Calibri"/>
                <w:color w:val="000000"/>
                <w:sz w:val="20"/>
                <w:szCs w:val="20"/>
                <w:lang w:eastAsia="en-AU"/>
              </w:rPr>
            </w:pPr>
          </w:p>
        </w:tc>
        <w:tc>
          <w:tcPr>
            <w:tcW w:w="1397" w:type="dxa"/>
            <w:shd w:val="clear" w:color="auto" w:fill="auto"/>
            <w:noWrap/>
            <w:hideMark/>
          </w:tcPr>
          <w:p w14:paraId="5D83FC33"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Durogesic 12</w:t>
            </w:r>
          </w:p>
        </w:tc>
        <w:tc>
          <w:tcPr>
            <w:tcW w:w="2126" w:type="dxa"/>
            <w:shd w:val="clear" w:color="auto" w:fill="auto"/>
            <w:noWrap/>
            <w:hideMark/>
          </w:tcPr>
          <w:p w14:paraId="2B6F13A9"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Janssen-Cilag Pty Ltd</w:t>
            </w:r>
          </w:p>
        </w:tc>
      </w:tr>
      <w:tr w:rsidR="00F33674" w:rsidRPr="00F33674" w14:paraId="5D2016E5" w14:textId="77777777" w:rsidTr="00F33674">
        <w:trPr>
          <w:trHeight w:val="300"/>
        </w:trPr>
        <w:tc>
          <w:tcPr>
            <w:tcW w:w="1264" w:type="dxa"/>
            <w:shd w:val="clear" w:color="auto" w:fill="auto"/>
            <w:noWrap/>
          </w:tcPr>
          <w:p w14:paraId="66E8611E" w14:textId="77777777" w:rsidR="00F33674" w:rsidRPr="00F33674" w:rsidRDefault="00F33674" w:rsidP="00F33674">
            <w:pPr>
              <w:jc w:val="left"/>
              <w:rPr>
                <w:rFonts w:ascii="Arial Narrow" w:hAnsi="Arial Narrow" w:cs="Calibri"/>
                <w:color w:val="000000"/>
                <w:sz w:val="20"/>
                <w:szCs w:val="20"/>
                <w:lang w:eastAsia="en-AU"/>
              </w:rPr>
            </w:pPr>
          </w:p>
        </w:tc>
        <w:tc>
          <w:tcPr>
            <w:tcW w:w="736" w:type="dxa"/>
            <w:shd w:val="clear" w:color="auto" w:fill="auto"/>
          </w:tcPr>
          <w:p w14:paraId="7BE2B893" w14:textId="77777777" w:rsidR="00F33674" w:rsidRPr="00F33674" w:rsidRDefault="00F33674" w:rsidP="00F33674">
            <w:pPr>
              <w:jc w:val="left"/>
              <w:rPr>
                <w:rFonts w:ascii="Arial Narrow" w:hAnsi="Arial Narrow" w:cs="Calibri"/>
                <w:color w:val="000000"/>
                <w:sz w:val="20"/>
                <w:szCs w:val="20"/>
                <w:lang w:eastAsia="en-AU"/>
              </w:rPr>
            </w:pPr>
          </w:p>
        </w:tc>
        <w:tc>
          <w:tcPr>
            <w:tcW w:w="2390" w:type="dxa"/>
            <w:vMerge/>
            <w:shd w:val="clear" w:color="auto" w:fill="auto"/>
            <w:noWrap/>
          </w:tcPr>
          <w:p w14:paraId="43CFE932" w14:textId="77777777" w:rsidR="00F33674" w:rsidRPr="00F33674" w:rsidRDefault="00F33674" w:rsidP="00F33674">
            <w:pPr>
              <w:jc w:val="left"/>
              <w:rPr>
                <w:rFonts w:ascii="Arial Narrow" w:hAnsi="Arial Narrow" w:cs="Calibri"/>
                <w:color w:val="000000"/>
                <w:sz w:val="20"/>
                <w:szCs w:val="20"/>
                <w:lang w:eastAsia="en-AU"/>
              </w:rPr>
            </w:pPr>
          </w:p>
        </w:tc>
        <w:tc>
          <w:tcPr>
            <w:tcW w:w="572" w:type="dxa"/>
            <w:shd w:val="clear" w:color="auto" w:fill="auto"/>
            <w:noWrap/>
          </w:tcPr>
          <w:p w14:paraId="1A31FE81" w14:textId="77777777" w:rsidR="00F33674" w:rsidRPr="00F33674" w:rsidRDefault="00F33674" w:rsidP="00F33674">
            <w:pPr>
              <w:jc w:val="right"/>
              <w:rPr>
                <w:rFonts w:ascii="Arial Narrow" w:hAnsi="Arial Narrow" w:cs="Calibri"/>
                <w:color w:val="000000"/>
                <w:sz w:val="20"/>
                <w:szCs w:val="20"/>
                <w:lang w:eastAsia="en-AU"/>
              </w:rPr>
            </w:pPr>
          </w:p>
        </w:tc>
        <w:tc>
          <w:tcPr>
            <w:tcW w:w="530" w:type="dxa"/>
            <w:shd w:val="clear" w:color="auto" w:fill="auto"/>
            <w:noWrap/>
          </w:tcPr>
          <w:p w14:paraId="0AFD5E74" w14:textId="77777777" w:rsidR="00F33674" w:rsidRPr="00F33674" w:rsidRDefault="00F33674" w:rsidP="00F33674">
            <w:pPr>
              <w:jc w:val="right"/>
              <w:rPr>
                <w:rFonts w:ascii="Arial Narrow" w:hAnsi="Arial Narrow" w:cs="Calibri"/>
                <w:color w:val="000000"/>
                <w:sz w:val="20"/>
                <w:szCs w:val="20"/>
                <w:lang w:eastAsia="en-AU"/>
              </w:rPr>
            </w:pPr>
          </w:p>
        </w:tc>
        <w:tc>
          <w:tcPr>
            <w:tcW w:w="1397" w:type="dxa"/>
            <w:shd w:val="clear" w:color="auto" w:fill="auto"/>
            <w:noWrap/>
            <w:hideMark/>
          </w:tcPr>
          <w:p w14:paraId="351D3579"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Fentanyl Sandoz</w:t>
            </w:r>
          </w:p>
        </w:tc>
        <w:tc>
          <w:tcPr>
            <w:tcW w:w="2126" w:type="dxa"/>
            <w:shd w:val="clear" w:color="auto" w:fill="auto"/>
            <w:noWrap/>
            <w:hideMark/>
          </w:tcPr>
          <w:p w14:paraId="3C9938AD"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Sandoz Pty Ltd</w:t>
            </w:r>
          </w:p>
        </w:tc>
      </w:tr>
    </w:tbl>
    <w:p w14:paraId="331B250F" w14:textId="77777777" w:rsidR="00F33674" w:rsidRPr="00F33674" w:rsidRDefault="00F33674" w:rsidP="00F33674">
      <w:pPr>
        <w:contextualSpacing/>
        <w:jc w:val="left"/>
      </w:pPr>
    </w:p>
    <w:tbl>
      <w:tblPr>
        <w:tblW w:w="9072" w:type="dxa"/>
        <w:tblInd w:w="-5" w:type="dxa"/>
        <w:tblLook w:val="0000" w:firstRow="0" w:lastRow="0" w:firstColumn="0" w:lastColumn="0" w:noHBand="0" w:noVBand="0"/>
      </w:tblPr>
      <w:tblGrid>
        <w:gridCol w:w="3183"/>
        <w:gridCol w:w="5889"/>
      </w:tblGrid>
      <w:tr w:rsidR="00F33674" w:rsidRPr="00F33674" w14:paraId="108EAE03" w14:textId="77777777" w:rsidTr="00C21DFA">
        <w:trPr>
          <w:cantSplit/>
          <w:trHeight w:val="360"/>
        </w:trPr>
        <w:tc>
          <w:tcPr>
            <w:tcW w:w="3183" w:type="dxa"/>
            <w:tcBorders>
              <w:top w:val="single" w:sz="4" w:space="0" w:color="auto"/>
              <w:left w:val="single" w:sz="4" w:space="0" w:color="auto"/>
              <w:bottom w:val="single" w:sz="4" w:space="0" w:color="auto"/>
              <w:right w:val="single" w:sz="4" w:space="0" w:color="auto"/>
            </w:tcBorders>
          </w:tcPr>
          <w:p w14:paraId="3369906F" w14:textId="77777777" w:rsidR="00F33674" w:rsidRPr="00F33674" w:rsidRDefault="00F33674" w:rsidP="00F33674">
            <w:pPr>
              <w:rPr>
                <w:rFonts w:ascii="Arial Narrow" w:hAnsi="Arial Narrow" w:cs="Arial"/>
                <w:b/>
                <w:sz w:val="20"/>
                <w:szCs w:val="20"/>
              </w:rPr>
            </w:pPr>
            <w:r w:rsidRPr="00F33674">
              <w:rPr>
                <w:rFonts w:ascii="Arial Narrow" w:hAnsi="Arial Narrow" w:cs="Arial"/>
                <w:b/>
                <w:sz w:val="20"/>
                <w:szCs w:val="20"/>
              </w:rPr>
              <w:t>Category / Program:</w:t>
            </w:r>
          </w:p>
        </w:tc>
        <w:tc>
          <w:tcPr>
            <w:tcW w:w="5889" w:type="dxa"/>
            <w:tcBorders>
              <w:top w:val="single" w:sz="4" w:space="0" w:color="auto"/>
              <w:left w:val="single" w:sz="4" w:space="0" w:color="auto"/>
              <w:bottom w:val="single" w:sz="4" w:space="0" w:color="auto"/>
              <w:right w:val="single" w:sz="4" w:space="0" w:color="auto"/>
            </w:tcBorders>
          </w:tcPr>
          <w:p w14:paraId="73D6BFF2" w14:textId="77777777" w:rsidR="00F33674" w:rsidRPr="00F33674" w:rsidRDefault="00F33674" w:rsidP="00F33674">
            <w:pPr>
              <w:rPr>
                <w:rFonts w:ascii="Arial Narrow" w:hAnsi="Arial Narrow" w:cs="Arial"/>
                <w:sz w:val="20"/>
                <w:szCs w:val="20"/>
              </w:rPr>
            </w:pPr>
            <w:r w:rsidRPr="00F33674">
              <w:rPr>
                <w:rFonts w:ascii="Arial Narrow" w:hAnsi="Arial Narrow" w:cs="Arial"/>
                <w:sz w:val="20"/>
                <w:szCs w:val="20"/>
              </w:rPr>
              <w:t>GENERAL – General Schedule (Code GE)</w:t>
            </w:r>
          </w:p>
        </w:tc>
      </w:tr>
      <w:tr w:rsidR="00F33674" w:rsidRPr="00F33674" w14:paraId="33EB968A" w14:textId="77777777" w:rsidTr="00C21DFA">
        <w:trPr>
          <w:cantSplit/>
          <w:trHeight w:val="360"/>
        </w:trPr>
        <w:tc>
          <w:tcPr>
            <w:tcW w:w="3183" w:type="dxa"/>
            <w:tcBorders>
              <w:top w:val="single" w:sz="4" w:space="0" w:color="auto"/>
              <w:left w:val="single" w:sz="4" w:space="0" w:color="auto"/>
              <w:bottom w:val="single" w:sz="4" w:space="0" w:color="auto"/>
              <w:right w:val="single" w:sz="4" w:space="0" w:color="auto"/>
            </w:tcBorders>
          </w:tcPr>
          <w:p w14:paraId="4CB66FBF" w14:textId="77777777" w:rsidR="00F33674" w:rsidRPr="00F33674" w:rsidRDefault="00F33674" w:rsidP="00F33674">
            <w:pPr>
              <w:rPr>
                <w:rFonts w:ascii="Arial Narrow" w:hAnsi="Arial Narrow" w:cs="Arial"/>
                <w:b/>
                <w:sz w:val="20"/>
                <w:szCs w:val="20"/>
              </w:rPr>
            </w:pPr>
            <w:r w:rsidRPr="00F33674">
              <w:rPr>
                <w:rFonts w:ascii="Arial Narrow" w:hAnsi="Arial Narrow" w:cs="Arial"/>
                <w:b/>
                <w:sz w:val="20"/>
                <w:szCs w:val="20"/>
              </w:rPr>
              <w:t>Prescriber type:</w:t>
            </w:r>
          </w:p>
          <w:p w14:paraId="0DE9D73E" w14:textId="77777777" w:rsidR="00F33674" w:rsidRPr="00F33674" w:rsidRDefault="00F33674" w:rsidP="00F33674">
            <w:pPr>
              <w:rPr>
                <w:rFonts w:ascii="Arial Narrow" w:hAnsi="Arial Narrow" w:cs="Arial"/>
                <w:b/>
                <w:sz w:val="20"/>
                <w:szCs w:val="20"/>
              </w:rPr>
            </w:pPr>
          </w:p>
        </w:tc>
        <w:tc>
          <w:tcPr>
            <w:tcW w:w="5889" w:type="dxa"/>
            <w:tcBorders>
              <w:top w:val="single" w:sz="4" w:space="0" w:color="auto"/>
              <w:left w:val="single" w:sz="4" w:space="0" w:color="auto"/>
              <w:bottom w:val="single" w:sz="4" w:space="0" w:color="auto"/>
              <w:right w:val="single" w:sz="4" w:space="0" w:color="auto"/>
            </w:tcBorders>
          </w:tcPr>
          <w:p w14:paraId="5EF32BBB" w14:textId="60E5E5E3" w:rsidR="00F33674" w:rsidRPr="00F33674" w:rsidRDefault="00F33674" w:rsidP="00F33674">
            <w:pPr>
              <w:rPr>
                <w:rFonts w:ascii="Arial Narrow" w:hAnsi="Arial Narrow" w:cs="Arial"/>
                <w:sz w:val="20"/>
                <w:szCs w:val="20"/>
              </w:rPr>
            </w:pPr>
            <w:r w:rsidRPr="00F33674">
              <w:rPr>
                <w:rFonts w:ascii="Arial Narrow" w:hAnsi="Arial Narrow" w:cs="Arial"/>
                <w:sz w:val="20"/>
                <w:szCs w:val="20"/>
              </w:rPr>
              <w:fldChar w:fldCharType="begin">
                <w:ffData>
                  <w:name w:val="Check1"/>
                  <w:enabled/>
                  <w:calcOnExit w:val="0"/>
                  <w:checkBox>
                    <w:sizeAuto/>
                    <w:default w:val="0"/>
                  </w:checkBox>
                </w:ffData>
              </w:fldChar>
            </w:r>
            <w:r w:rsidRPr="00F33674">
              <w:rPr>
                <w:rFonts w:ascii="Arial Narrow" w:hAnsi="Arial Narrow" w:cs="Arial"/>
                <w:sz w:val="20"/>
                <w:szCs w:val="20"/>
              </w:rPr>
              <w:instrText xml:space="preserve"> FORMCHECKBOX </w:instrText>
            </w:r>
            <w:r w:rsidR="00233D13">
              <w:rPr>
                <w:rFonts w:ascii="Arial Narrow" w:hAnsi="Arial Narrow" w:cs="Arial"/>
                <w:sz w:val="20"/>
                <w:szCs w:val="20"/>
              </w:rPr>
            </w:r>
            <w:r w:rsidR="00233D13">
              <w:rPr>
                <w:rFonts w:ascii="Arial Narrow" w:hAnsi="Arial Narrow" w:cs="Arial"/>
                <w:sz w:val="20"/>
                <w:szCs w:val="20"/>
              </w:rPr>
              <w:fldChar w:fldCharType="separate"/>
            </w:r>
            <w:r w:rsidRPr="00F33674">
              <w:rPr>
                <w:rFonts w:ascii="Arial Narrow" w:hAnsi="Arial Narrow" w:cs="Arial"/>
                <w:sz w:val="20"/>
                <w:szCs w:val="20"/>
              </w:rPr>
              <w:fldChar w:fldCharType="end"/>
            </w:r>
            <w:r w:rsidRPr="00F33674">
              <w:rPr>
                <w:rFonts w:ascii="Arial Narrow" w:hAnsi="Arial Narrow" w:cs="Arial"/>
                <w:sz w:val="20"/>
                <w:szCs w:val="20"/>
              </w:rPr>
              <w:t>Dental</w:t>
            </w:r>
            <w:r w:rsidR="002C1329">
              <w:rPr>
                <w:rFonts w:ascii="Arial Narrow" w:hAnsi="Arial Narrow" w:cs="Arial"/>
                <w:sz w:val="20"/>
                <w:szCs w:val="20"/>
              </w:rPr>
              <w:t xml:space="preserve"> </w:t>
            </w:r>
            <w:r w:rsidRPr="00F33674">
              <w:rPr>
                <w:rFonts w:ascii="Arial Narrow" w:hAnsi="Arial Narrow" w:cs="Arial"/>
                <w:sz w:val="20"/>
                <w:szCs w:val="20"/>
              </w:rPr>
              <w:fldChar w:fldCharType="begin">
                <w:ffData>
                  <w:name w:val=""/>
                  <w:enabled/>
                  <w:calcOnExit w:val="0"/>
                  <w:checkBox>
                    <w:sizeAuto/>
                    <w:default w:val="1"/>
                  </w:checkBox>
                </w:ffData>
              </w:fldChar>
            </w:r>
            <w:r w:rsidRPr="00F33674">
              <w:rPr>
                <w:rFonts w:ascii="Arial Narrow" w:hAnsi="Arial Narrow" w:cs="Arial"/>
                <w:sz w:val="20"/>
                <w:szCs w:val="20"/>
              </w:rPr>
              <w:instrText xml:space="preserve"> FORMCHECKBOX </w:instrText>
            </w:r>
            <w:r w:rsidR="00233D13">
              <w:rPr>
                <w:rFonts w:ascii="Arial Narrow" w:hAnsi="Arial Narrow" w:cs="Arial"/>
                <w:sz w:val="20"/>
                <w:szCs w:val="20"/>
              </w:rPr>
            </w:r>
            <w:r w:rsidR="00233D13">
              <w:rPr>
                <w:rFonts w:ascii="Arial Narrow" w:hAnsi="Arial Narrow" w:cs="Arial"/>
                <w:sz w:val="20"/>
                <w:szCs w:val="20"/>
              </w:rPr>
              <w:fldChar w:fldCharType="separate"/>
            </w:r>
            <w:r w:rsidRPr="00F33674">
              <w:rPr>
                <w:rFonts w:ascii="Arial Narrow" w:hAnsi="Arial Narrow" w:cs="Arial"/>
                <w:sz w:val="20"/>
                <w:szCs w:val="20"/>
              </w:rPr>
              <w:fldChar w:fldCharType="end"/>
            </w:r>
            <w:r w:rsidRPr="00F33674">
              <w:rPr>
                <w:rFonts w:ascii="Arial Narrow" w:hAnsi="Arial Narrow" w:cs="Arial"/>
                <w:sz w:val="20"/>
                <w:szCs w:val="20"/>
              </w:rPr>
              <w:t>Medical Practitioners</w:t>
            </w:r>
            <w:r w:rsidR="002C1329">
              <w:rPr>
                <w:rFonts w:ascii="Arial Narrow" w:hAnsi="Arial Narrow" w:cs="Arial"/>
                <w:sz w:val="20"/>
                <w:szCs w:val="20"/>
              </w:rPr>
              <w:t xml:space="preserve"> </w:t>
            </w:r>
            <w:r w:rsidRPr="00F33674">
              <w:rPr>
                <w:rFonts w:ascii="Arial Narrow" w:hAnsi="Arial Narrow" w:cs="Arial"/>
                <w:sz w:val="20"/>
                <w:szCs w:val="20"/>
              </w:rPr>
              <w:fldChar w:fldCharType="begin">
                <w:ffData>
                  <w:name w:val="Check3"/>
                  <w:enabled/>
                  <w:calcOnExit w:val="0"/>
                  <w:checkBox>
                    <w:sizeAuto/>
                    <w:default w:val="1"/>
                  </w:checkBox>
                </w:ffData>
              </w:fldChar>
            </w:r>
            <w:r w:rsidRPr="00F33674">
              <w:rPr>
                <w:rFonts w:ascii="Arial Narrow" w:hAnsi="Arial Narrow" w:cs="Arial"/>
                <w:sz w:val="20"/>
                <w:szCs w:val="20"/>
              </w:rPr>
              <w:instrText xml:space="preserve"> FORMCHECKBOX </w:instrText>
            </w:r>
            <w:r w:rsidR="00233D13">
              <w:rPr>
                <w:rFonts w:ascii="Arial Narrow" w:hAnsi="Arial Narrow" w:cs="Arial"/>
                <w:sz w:val="20"/>
                <w:szCs w:val="20"/>
              </w:rPr>
            </w:r>
            <w:r w:rsidR="00233D13">
              <w:rPr>
                <w:rFonts w:ascii="Arial Narrow" w:hAnsi="Arial Narrow" w:cs="Arial"/>
                <w:sz w:val="20"/>
                <w:szCs w:val="20"/>
              </w:rPr>
              <w:fldChar w:fldCharType="separate"/>
            </w:r>
            <w:r w:rsidRPr="00F33674">
              <w:rPr>
                <w:rFonts w:ascii="Arial Narrow" w:hAnsi="Arial Narrow" w:cs="Arial"/>
                <w:sz w:val="20"/>
                <w:szCs w:val="20"/>
              </w:rPr>
              <w:fldChar w:fldCharType="end"/>
            </w:r>
            <w:r w:rsidRPr="00F33674">
              <w:rPr>
                <w:rFonts w:ascii="Arial Narrow" w:hAnsi="Arial Narrow" w:cs="Arial"/>
                <w:sz w:val="20"/>
                <w:szCs w:val="20"/>
              </w:rPr>
              <w:t>Nurse practitioners</w:t>
            </w:r>
            <w:r w:rsidR="002C1329">
              <w:rPr>
                <w:rFonts w:ascii="Arial Narrow" w:hAnsi="Arial Narrow" w:cs="Arial"/>
                <w:sz w:val="20"/>
                <w:szCs w:val="20"/>
              </w:rPr>
              <w:t xml:space="preserve"> </w:t>
            </w:r>
            <w:r w:rsidRPr="00F33674">
              <w:rPr>
                <w:rFonts w:ascii="Arial Narrow" w:hAnsi="Arial Narrow" w:cs="Arial"/>
                <w:sz w:val="20"/>
                <w:szCs w:val="20"/>
              </w:rPr>
              <w:fldChar w:fldCharType="begin">
                <w:ffData>
                  <w:name w:val=""/>
                  <w:enabled/>
                  <w:calcOnExit w:val="0"/>
                  <w:checkBox>
                    <w:sizeAuto/>
                    <w:default w:val="0"/>
                  </w:checkBox>
                </w:ffData>
              </w:fldChar>
            </w:r>
            <w:r w:rsidRPr="00F33674">
              <w:rPr>
                <w:rFonts w:ascii="Arial Narrow" w:hAnsi="Arial Narrow" w:cs="Arial"/>
                <w:sz w:val="20"/>
                <w:szCs w:val="20"/>
              </w:rPr>
              <w:instrText xml:space="preserve"> FORMCHECKBOX </w:instrText>
            </w:r>
            <w:r w:rsidR="00233D13">
              <w:rPr>
                <w:rFonts w:ascii="Arial Narrow" w:hAnsi="Arial Narrow" w:cs="Arial"/>
                <w:sz w:val="20"/>
                <w:szCs w:val="20"/>
              </w:rPr>
            </w:r>
            <w:r w:rsidR="00233D13">
              <w:rPr>
                <w:rFonts w:ascii="Arial Narrow" w:hAnsi="Arial Narrow" w:cs="Arial"/>
                <w:sz w:val="20"/>
                <w:szCs w:val="20"/>
              </w:rPr>
              <w:fldChar w:fldCharType="separate"/>
            </w:r>
            <w:r w:rsidRPr="00F33674">
              <w:rPr>
                <w:rFonts w:ascii="Arial Narrow" w:hAnsi="Arial Narrow" w:cs="Arial"/>
                <w:sz w:val="20"/>
                <w:szCs w:val="20"/>
              </w:rPr>
              <w:fldChar w:fldCharType="end"/>
            </w:r>
            <w:r w:rsidRPr="00F33674">
              <w:rPr>
                <w:rFonts w:ascii="Arial Narrow" w:hAnsi="Arial Narrow" w:cs="Arial"/>
                <w:sz w:val="20"/>
                <w:szCs w:val="20"/>
              </w:rPr>
              <w:t>Optometrists</w:t>
            </w:r>
          </w:p>
          <w:p w14:paraId="31E18657" w14:textId="77777777" w:rsidR="00F33674" w:rsidRPr="00F33674" w:rsidRDefault="00F33674" w:rsidP="00F33674">
            <w:pPr>
              <w:rPr>
                <w:rFonts w:ascii="Arial Narrow" w:hAnsi="Arial Narrow" w:cs="Arial"/>
                <w:sz w:val="20"/>
                <w:szCs w:val="20"/>
              </w:rPr>
            </w:pPr>
            <w:r w:rsidRPr="00F33674">
              <w:rPr>
                <w:rFonts w:ascii="Arial Narrow" w:hAnsi="Arial Narrow" w:cs="Arial"/>
                <w:sz w:val="20"/>
                <w:szCs w:val="20"/>
              </w:rPr>
              <w:fldChar w:fldCharType="begin">
                <w:ffData>
                  <w:name w:val="Check5"/>
                  <w:enabled/>
                  <w:calcOnExit w:val="0"/>
                  <w:checkBox>
                    <w:sizeAuto/>
                    <w:default w:val="0"/>
                  </w:checkBox>
                </w:ffData>
              </w:fldChar>
            </w:r>
            <w:r w:rsidRPr="00F33674">
              <w:rPr>
                <w:rFonts w:ascii="Arial Narrow" w:hAnsi="Arial Narrow" w:cs="Arial"/>
                <w:sz w:val="20"/>
                <w:szCs w:val="20"/>
              </w:rPr>
              <w:instrText xml:space="preserve"> FORMCHECKBOX </w:instrText>
            </w:r>
            <w:r w:rsidR="00233D13">
              <w:rPr>
                <w:rFonts w:ascii="Arial Narrow" w:hAnsi="Arial Narrow" w:cs="Arial"/>
                <w:sz w:val="20"/>
                <w:szCs w:val="20"/>
              </w:rPr>
            </w:r>
            <w:r w:rsidR="00233D13">
              <w:rPr>
                <w:rFonts w:ascii="Arial Narrow" w:hAnsi="Arial Narrow" w:cs="Arial"/>
                <w:sz w:val="20"/>
                <w:szCs w:val="20"/>
              </w:rPr>
              <w:fldChar w:fldCharType="separate"/>
            </w:r>
            <w:r w:rsidRPr="00F33674">
              <w:rPr>
                <w:rFonts w:ascii="Arial Narrow" w:hAnsi="Arial Narrow" w:cs="Arial"/>
                <w:sz w:val="20"/>
                <w:szCs w:val="20"/>
              </w:rPr>
              <w:fldChar w:fldCharType="end"/>
            </w:r>
            <w:r w:rsidRPr="00F33674">
              <w:rPr>
                <w:rFonts w:ascii="Arial Narrow" w:hAnsi="Arial Narrow" w:cs="Arial"/>
                <w:sz w:val="20"/>
                <w:szCs w:val="20"/>
              </w:rPr>
              <w:t>Midwives</w:t>
            </w:r>
          </w:p>
        </w:tc>
      </w:tr>
      <w:tr w:rsidR="00F33674" w:rsidRPr="00F33674" w14:paraId="7CA370B0" w14:textId="77777777" w:rsidTr="00C21DFA">
        <w:trPr>
          <w:cantSplit/>
          <w:trHeight w:val="369"/>
        </w:trPr>
        <w:tc>
          <w:tcPr>
            <w:tcW w:w="3183" w:type="dxa"/>
            <w:tcBorders>
              <w:top w:val="single" w:sz="4" w:space="0" w:color="auto"/>
              <w:left w:val="single" w:sz="4" w:space="0" w:color="auto"/>
              <w:bottom w:val="single" w:sz="4" w:space="0" w:color="auto"/>
              <w:right w:val="single" w:sz="4" w:space="0" w:color="auto"/>
            </w:tcBorders>
          </w:tcPr>
          <w:p w14:paraId="6FFB0B4A" w14:textId="77777777" w:rsidR="00F33674" w:rsidRPr="00F33674" w:rsidRDefault="00F33674" w:rsidP="00F33674">
            <w:pPr>
              <w:rPr>
                <w:rFonts w:ascii="Arial Narrow" w:hAnsi="Arial Narrow" w:cs="Arial"/>
                <w:b/>
                <w:sz w:val="20"/>
                <w:szCs w:val="20"/>
              </w:rPr>
            </w:pPr>
            <w:r w:rsidRPr="00F33674">
              <w:rPr>
                <w:rFonts w:ascii="Arial Narrow" w:hAnsi="Arial Narrow" w:cs="Arial"/>
                <w:b/>
                <w:sz w:val="20"/>
                <w:szCs w:val="20"/>
              </w:rPr>
              <w:t>PBS indication:</w:t>
            </w:r>
          </w:p>
        </w:tc>
        <w:tc>
          <w:tcPr>
            <w:tcW w:w="5889" w:type="dxa"/>
            <w:tcBorders>
              <w:top w:val="single" w:sz="4" w:space="0" w:color="auto"/>
              <w:left w:val="single" w:sz="4" w:space="0" w:color="auto"/>
              <w:bottom w:val="single" w:sz="4" w:space="0" w:color="auto"/>
              <w:right w:val="single" w:sz="4" w:space="0" w:color="auto"/>
            </w:tcBorders>
          </w:tcPr>
          <w:p w14:paraId="0CED09F3" w14:textId="77777777" w:rsidR="00F33674" w:rsidRPr="00F33674" w:rsidRDefault="00F33674" w:rsidP="00F33674">
            <w:pPr>
              <w:rPr>
                <w:rFonts w:ascii="Arial Narrow" w:hAnsi="Arial Narrow" w:cs="Arial"/>
                <w:sz w:val="20"/>
                <w:szCs w:val="20"/>
              </w:rPr>
            </w:pPr>
            <w:r w:rsidRPr="00F33674">
              <w:rPr>
                <w:rFonts w:ascii="Arial Narrow" w:hAnsi="Arial Narrow" w:cs="Arial"/>
                <w:sz w:val="20"/>
                <w:szCs w:val="20"/>
              </w:rPr>
              <w:t>[9729] Chronic severe disabling pain</w:t>
            </w:r>
          </w:p>
        </w:tc>
      </w:tr>
      <w:tr w:rsidR="00F33674" w:rsidRPr="00F33674" w14:paraId="2A96FA58" w14:textId="77777777" w:rsidTr="00C21DFA">
        <w:trPr>
          <w:cantSplit/>
          <w:trHeight w:val="360"/>
        </w:trPr>
        <w:tc>
          <w:tcPr>
            <w:tcW w:w="3183" w:type="dxa"/>
            <w:tcBorders>
              <w:top w:val="single" w:sz="4" w:space="0" w:color="auto"/>
              <w:left w:val="single" w:sz="4" w:space="0" w:color="auto"/>
              <w:bottom w:val="single" w:sz="4" w:space="0" w:color="auto"/>
              <w:right w:val="single" w:sz="4" w:space="0" w:color="auto"/>
            </w:tcBorders>
          </w:tcPr>
          <w:p w14:paraId="2526FFBC" w14:textId="77777777" w:rsidR="00F33674" w:rsidRPr="00F33674" w:rsidRDefault="00F33674" w:rsidP="00F33674">
            <w:pPr>
              <w:rPr>
                <w:rFonts w:ascii="Arial Narrow" w:hAnsi="Arial Narrow" w:cs="Arial"/>
                <w:b/>
                <w:sz w:val="20"/>
                <w:szCs w:val="20"/>
              </w:rPr>
            </w:pPr>
            <w:r w:rsidRPr="00F33674">
              <w:rPr>
                <w:rFonts w:ascii="Arial Narrow" w:hAnsi="Arial Narrow" w:cs="Arial"/>
                <w:b/>
                <w:sz w:val="20"/>
                <w:szCs w:val="20"/>
              </w:rPr>
              <w:t>Restriction Level / Method:</w:t>
            </w:r>
          </w:p>
          <w:p w14:paraId="642D8312" w14:textId="77777777" w:rsidR="00F33674" w:rsidRPr="00F33674" w:rsidRDefault="00F33674" w:rsidP="00F33674">
            <w:pPr>
              <w:rPr>
                <w:rFonts w:ascii="Arial Narrow" w:hAnsi="Arial Narrow" w:cs="Arial"/>
                <w:i/>
                <w:sz w:val="20"/>
                <w:szCs w:val="20"/>
              </w:rPr>
            </w:pPr>
          </w:p>
          <w:p w14:paraId="410A3716" w14:textId="77777777" w:rsidR="00F33674" w:rsidRPr="00F33674" w:rsidRDefault="00F33674" w:rsidP="00F33674">
            <w:pPr>
              <w:rPr>
                <w:rFonts w:ascii="Arial Narrow" w:hAnsi="Arial Narrow" w:cs="Arial"/>
                <w:i/>
                <w:sz w:val="20"/>
                <w:szCs w:val="20"/>
              </w:rPr>
            </w:pPr>
          </w:p>
          <w:p w14:paraId="3FF00FE6" w14:textId="77777777" w:rsidR="00F33674" w:rsidRPr="00F33674" w:rsidRDefault="00F33674" w:rsidP="00F33674">
            <w:pPr>
              <w:rPr>
                <w:rFonts w:ascii="Arial Narrow" w:hAnsi="Arial Narrow" w:cs="Arial"/>
                <w:i/>
                <w:sz w:val="20"/>
                <w:szCs w:val="20"/>
              </w:rPr>
            </w:pPr>
          </w:p>
        </w:tc>
        <w:tc>
          <w:tcPr>
            <w:tcW w:w="5889" w:type="dxa"/>
            <w:tcBorders>
              <w:top w:val="single" w:sz="4" w:space="0" w:color="auto"/>
              <w:left w:val="single" w:sz="4" w:space="0" w:color="auto"/>
              <w:bottom w:val="single" w:sz="4" w:space="0" w:color="auto"/>
              <w:right w:val="single" w:sz="4" w:space="0" w:color="auto"/>
            </w:tcBorders>
          </w:tcPr>
          <w:p w14:paraId="779EBA46" w14:textId="77777777" w:rsidR="00F33674" w:rsidRPr="00F33674" w:rsidRDefault="00F33674" w:rsidP="00F33674">
            <w:pPr>
              <w:rPr>
                <w:rFonts w:ascii="Arial Narrow" w:hAnsi="Arial Narrow" w:cs="Arial"/>
                <w:sz w:val="20"/>
                <w:szCs w:val="20"/>
              </w:rPr>
            </w:pPr>
            <w:r w:rsidRPr="00F33674">
              <w:rPr>
                <w:rFonts w:ascii="Arial Narrow" w:hAnsi="Arial Narrow" w:cs="Arial"/>
                <w:sz w:val="20"/>
                <w:szCs w:val="20"/>
              </w:rPr>
              <w:fldChar w:fldCharType="begin">
                <w:ffData>
                  <w:name w:val=""/>
                  <w:enabled/>
                  <w:calcOnExit w:val="0"/>
                  <w:checkBox>
                    <w:sizeAuto/>
                    <w:default w:val="0"/>
                  </w:checkBox>
                </w:ffData>
              </w:fldChar>
            </w:r>
            <w:r w:rsidRPr="00F33674">
              <w:rPr>
                <w:rFonts w:ascii="Arial Narrow" w:hAnsi="Arial Narrow" w:cs="Arial"/>
                <w:sz w:val="20"/>
                <w:szCs w:val="20"/>
              </w:rPr>
              <w:instrText xml:space="preserve"> FORMCHECKBOX </w:instrText>
            </w:r>
            <w:r w:rsidR="00233D13">
              <w:rPr>
                <w:rFonts w:ascii="Arial Narrow" w:hAnsi="Arial Narrow" w:cs="Arial"/>
                <w:sz w:val="20"/>
                <w:szCs w:val="20"/>
              </w:rPr>
            </w:r>
            <w:r w:rsidR="00233D13">
              <w:rPr>
                <w:rFonts w:ascii="Arial Narrow" w:hAnsi="Arial Narrow" w:cs="Arial"/>
                <w:sz w:val="20"/>
                <w:szCs w:val="20"/>
              </w:rPr>
              <w:fldChar w:fldCharType="separate"/>
            </w:r>
            <w:r w:rsidRPr="00F33674">
              <w:rPr>
                <w:rFonts w:ascii="Arial Narrow" w:hAnsi="Arial Narrow" w:cs="Arial"/>
                <w:sz w:val="20"/>
                <w:szCs w:val="20"/>
              </w:rPr>
              <w:fldChar w:fldCharType="end"/>
            </w:r>
            <w:r w:rsidRPr="00F33674">
              <w:rPr>
                <w:rFonts w:ascii="Arial Narrow" w:hAnsi="Arial Narrow" w:cs="Arial"/>
                <w:sz w:val="20"/>
                <w:szCs w:val="20"/>
              </w:rPr>
              <w:t>Unrestricted benefit</w:t>
            </w:r>
          </w:p>
          <w:p w14:paraId="1F5D19D3" w14:textId="77777777" w:rsidR="00F33674" w:rsidRPr="00F33674" w:rsidRDefault="00F33674" w:rsidP="00F33674">
            <w:pPr>
              <w:rPr>
                <w:rFonts w:ascii="Arial Narrow" w:hAnsi="Arial Narrow" w:cs="Arial"/>
                <w:i/>
                <w:sz w:val="20"/>
                <w:szCs w:val="20"/>
              </w:rPr>
            </w:pPr>
            <w:r w:rsidRPr="00F33674">
              <w:rPr>
                <w:rFonts w:ascii="Arial Narrow" w:hAnsi="Arial Narrow" w:cs="Arial"/>
                <w:i/>
                <w:sz w:val="20"/>
                <w:szCs w:val="20"/>
              </w:rPr>
              <w:fldChar w:fldCharType="begin">
                <w:ffData>
                  <w:name w:val=""/>
                  <w:enabled/>
                  <w:calcOnExit w:val="0"/>
                  <w:checkBox>
                    <w:sizeAuto/>
                    <w:default w:val="0"/>
                  </w:checkBox>
                </w:ffData>
              </w:fldChar>
            </w:r>
            <w:r w:rsidRPr="00F33674">
              <w:rPr>
                <w:rFonts w:ascii="Arial Narrow" w:hAnsi="Arial Narrow" w:cs="Arial"/>
                <w:i/>
                <w:sz w:val="20"/>
                <w:szCs w:val="20"/>
              </w:rPr>
              <w:instrText xml:space="preserve"> FORMCHECKBOX </w:instrText>
            </w:r>
            <w:r w:rsidR="00233D13">
              <w:rPr>
                <w:rFonts w:ascii="Arial Narrow" w:hAnsi="Arial Narrow" w:cs="Arial"/>
                <w:i/>
                <w:sz w:val="20"/>
                <w:szCs w:val="20"/>
              </w:rPr>
            </w:r>
            <w:r w:rsidR="00233D13">
              <w:rPr>
                <w:rFonts w:ascii="Arial Narrow" w:hAnsi="Arial Narrow" w:cs="Arial"/>
                <w:i/>
                <w:sz w:val="20"/>
                <w:szCs w:val="20"/>
              </w:rPr>
              <w:fldChar w:fldCharType="separate"/>
            </w:r>
            <w:r w:rsidRPr="00F33674">
              <w:rPr>
                <w:rFonts w:ascii="Arial Narrow" w:hAnsi="Arial Narrow" w:cs="Arial"/>
                <w:i/>
                <w:sz w:val="20"/>
                <w:szCs w:val="20"/>
              </w:rPr>
              <w:fldChar w:fldCharType="end"/>
            </w:r>
            <w:r w:rsidRPr="00F33674">
              <w:rPr>
                <w:rFonts w:ascii="Arial Narrow" w:hAnsi="Arial Narrow" w:cs="Arial"/>
                <w:sz w:val="20"/>
                <w:szCs w:val="20"/>
              </w:rPr>
              <w:t>Restricted benefit</w:t>
            </w:r>
          </w:p>
          <w:p w14:paraId="51B47A02" w14:textId="77777777" w:rsidR="00F33674" w:rsidRPr="00F33674" w:rsidRDefault="00F33674" w:rsidP="00F33674">
            <w:pPr>
              <w:rPr>
                <w:rFonts w:ascii="Arial Narrow" w:hAnsi="Arial Narrow" w:cs="Arial"/>
                <w:sz w:val="20"/>
                <w:szCs w:val="20"/>
              </w:rPr>
            </w:pPr>
            <w:r w:rsidRPr="00F33674">
              <w:rPr>
                <w:rFonts w:ascii="Arial Narrow" w:hAnsi="Arial Narrow" w:cs="Arial"/>
                <w:sz w:val="20"/>
                <w:szCs w:val="20"/>
              </w:rPr>
              <w:fldChar w:fldCharType="begin">
                <w:ffData>
                  <w:name w:val=""/>
                  <w:enabled/>
                  <w:calcOnExit w:val="0"/>
                  <w:checkBox>
                    <w:sizeAuto/>
                    <w:default w:val="0"/>
                  </w:checkBox>
                </w:ffData>
              </w:fldChar>
            </w:r>
            <w:r w:rsidRPr="00F33674">
              <w:rPr>
                <w:rFonts w:ascii="Arial Narrow" w:hAnsi="Arial Narrow" w:cs="Arial"/>
                <w:sz w:val="20"/>
                <w:szCs w:val="20"/>
              </w:rPr>
              <w:instrText xml:space="preserve"> FORMCHECKBOX </w:instrText>
            </w:r>
            <w:r w:rsidR="00233D13">
              <w:rPr>
                <w:rFonts w:ascii="Arial Narrow" w:hAnsi="Arial Narrow" w:cs="Arial"/>
                <w:sz w:val="20"/>
                <w:szCs w:val="20"/>
              </w:rPr>
            </w:r>
            <w:r w:rsidR="00233D13">
              <w:rPr>
                <w:rFonts w:ascii="Arial Narrow" w:hAnsi="Arial Narrow" w:cs="Arial"/>
                <w:sz w:val="20"/>
                <w:szCs w:val="20"/>
              </w:rPr>
              <w:fldChar w:fldCharType="separate"/>
            </w:r>
            <w:r w:rsidRPr="00F33674">
              <w:rPr>
                <w:rFonts w:ascii="Arial Narrow" w:hAnsi="Arial Narrow" w:cs="Arial"/>
                <w:sz w:val="20"/>
                <w:szCs w:val="20"/>
              </w:rPr>
              <w:fldChar w:fldCharType="end"/>
            </w:r>
            <w:r w:rsidRPr="00F33674">
              <w:rPr>
                <w:rFonts w:ascii="Arial Narrow" w:hAnsi="Arial Narrow" w:cs="Arial"/>
                <w:sz w:val="20"/>
                <w:szCs w:val="20"/>
              </w:rPr>
              <w:t>Authority Required – In Writing</w:t>
            </w:r>
          </w:p>
          <w:p w14:paraId="13B98E13" w14:textId="77777777" w:rsidR="00F33674" w:rsidRPr="00F33674" w:rsidRDefault="00F33674" w:rsidP="00F33674">
            <w:pPr>
              <w:rPr>
                <w:rFonts w:ascii="Arial Narrow" w:hAnsi="Arial Narrow" w:cs="Arial"/>
                <w:sz w:val="20"/>
                <w:szCs w:val="20"/>
              </w:rPr>
            </w:pPr>
            <w:r w:rsidRPr="00F33674">
              <w:rPr>
                <w:rFonts w:ascii="Arial Narrow" w:hAnsi="Arial Narrow" w:cs="Arial"/>
                <w:sz w:val="20"/>
                <w:szCs w:val="20"/>
              </w:rPr>
              <w:fldChar w:fldCharType="begin">
                <w:ffData>
                  <w:name w:val="Check3"/>
                  <w:enabled/>
                  <w:calcOnExit w:val="0"/>
                  <w:checkBox>
                    <w:sizeAuto/>
                    <w:default w:val="0"/>
                  </w:checkBox>
                </w:ffData>
              </w:fldChar>
            </w:r>
            <w:r w:rsidRPr="00F33674">
              <w:rPr>
                <w:rFonts w:ascii="Arial Narrow" w:hAnsi="Arial Narrow" w:cs="Arial"/>
                <w:sz w:val="20"/>
                <w:szCs w:val="20"/>
              </w:rPr>
              <w:instrText xml:space="preserve"> FORMCHECKBOX </w:instrText>
            </w:r>
            <w:r w:rsidR="00233D13">
              <w:rPr>
                <w:rFonts w:ascii="Arial Narrow" w:hAnsi="Arial Narrow" w:cs="Arial"/>
                <w:sz w:val="20"/>
                <w:szCs w:val="20"/>
              </w:rPr>
            </w:r>
            <w:r w:rsidR="00233D13">
              <w:rPr>
                <w:rFonts w:ascii="Arial Narrow" w:hAnsi="Arial Narrow" w:cs="Arial"/>
                <w:sz w:val="20"/>
                <w:szCs w:val="20"/>
              </w:rPr>
              <w:fldChar w:fldCharType="separate"/>
            </w:r>
            <w:r w:rsidRPr="00F33674">
              <w:rPr>
                <w:rFonts w:ascii="Arial Narrow" w:hAnsi="Arial Narrow" w:cs="Arial"/>
                <w:sz w:val="20"/>
                <w:szCs w:val="20"/>
              </w:rPr>
              <w:fldChar w:fldCharType="end"/>
            </w:r>
            <w:r w:rsidRPr="00F33674">
              <w:rPr>
                <w:rFonts w:ascii="Arial Narrow" w:hAnsi="Arial Narrow" w:cs="Arial"/>
                <w:sz w:val="20"/>
                <w:szCs w:val="20"/>
              </w:rPr>
              <w:t>Authority Required – Telephone/Electronic/Emergency</w:t>
            </w:r>
          </w:p>
          <w:p w14:paraId="508C1F3B" w14:textId="77777777" w:rsidR="00F33674" w:rsidRPr="00F33674" w:rsidRDefault="00F33674" w:rsidP="00F33674">
            <w:pPr>
              <w:rPr>
                <w:rFonts w:ascii="Arial Narrow" w:hAnsi="Arial Narrow" w:cs="Arial"/>
                <w:sz w:val="20"/>
                <w:szCs w:val="20"/>
              </w:rPr>
            </w:pPr>
            <w:r w:rsidRPr="00F33674">
              <w:rPr>
                <w:rFonts w:ascii="Arial Narrow" w:hAnsi="Arial Narrow" w:cs="Arial"/>
                <w:sz w:val="20"/>
                <w:szCs w:val="20"/>
              </w:rPr>
              <w:fldChar w:fldCharType="begin">
                <w:ffData>
                  <w:name w:val="Check5"/>
                  <w:enabled/>
                  <w:calcOnExit w:val="0"/>
                  <w:checkBox>
                    <w:sizeAuto/>
                    <w:default w:val="1"/>
                  </w:checkBox>
                </w:ffData>
              </w:fldChar>
            </w:r>
            <w:bookmarkStart w:id="39" w:name="Check5"/>
            <w:r w:rsidRPr="00F33674">
              <w:rPr>
                <w:rFonts w:ascii="Arial Narrow" w:hAnsi="Arial Narrow" w:cs="Arial"/>
                <w:sz w:val="20"/>
                <w:szCs w:val="20"/>
              </w:rPr>
              <w:instrText xml:space="preserve"> FORMCHECKBOX </w:instrText>
            </w:r>
            <w:r w:rsidR="00233D13">
              <w:rPr>
                <w:rFonts w:ascii="Arial Narrow" w:hAnsi="Arial Narrow" w:cs="Arial"/>
                <w:sz w:val="20"/>
                <w:szCs w:val="20"/>
              </w:rPr>
            </w:r>
            <w:r w:rsidR="00233D13">
              <w:rPr>
                <w:rFonts w:ascii="Arial Narrow" w:hAnsi="Arial Narrow" w:cs="Arial"/>
                <w:sz w:val="20"/>
                <w:szCs w:val="20"/>
              </w:rPr>
              <w:fldChar w:fldCharType="separate"/>
            </w:r>
            <w:r w:rsidRPr="00F33674">
              <w:rPr>
                <w:rFonts w:ascii="Arial Narrow" w:hAnsi="Arial Narrow" w:cs="Arial"/>
                <w:sz w:val="20"/>
                <w:szCs w:val="20"/>
              </w:rPr>
              <w:fldChar w:fldCharType="end"/>
            </w:r>
            <w:bookmarkEnd w:id="39"/>
            <w:r w:rsidRPr="00F33674">
              <w:rPr>
                <w:rFonts w:ascii="Arial Narrow" w:hAnsi="Arial Narrow" w:cs="Arial"/>
                <w:sz w:val="20"/>
                <w:szCs w:val="20"/>
              </w:rPr>
              <w:t>Streamlined</w:t>
            </w:r>
          </w:p>
        </w:tc>
      </w:tr>
      <w:tr w:rsidR="004811F3" w:rsidRPr="00F33674" w14:paraId="65CE0B40" w14:textId="77777777" w:rsidTr="00C21DFA">
        <w:trPr>
          <w:cantSplit/>
          <w:trHeight w:val="360"/>
        </w:trPr>
        <w:tc>
          <w:tcPr>
            <w:tcW w:w="3183" w:type="dxa"/>
            <w:tcBorders>
              <w:top w:val="single" w:sz="4" w:space="0" w:color="auto"/>
              <w:left w:val="single" w:sz="4" w:space="0" w:color="auto"/>
              <w:bottom w:val="single" w:sz="4" w:space="0" w:color="auto"/>
              <w:right w:val="single" w:sz="4" w:space="0" w:color="auto"/>
            </w:tcBorders>
          </w:tcPr>
          <w:p w14:paraId="73AD70CD" w14:textId="785070DA" w:rsidR="004811F3" w:rsidRPr="00F33674" w:rsidRDefault="004811F3" w:rsidP="00F33674">
            <w:pPr>
              <w:rPr>
                <w:rFonts w:ascii="Arial Narrow" w:hAnsi="Arial Narrow" w:cs="Arial"/>
                <w:b/>
                <w:sz w:val="20"/>
                <w:szCs w:val="20"/>
              </w:rPr>
            </w:pPr>
            <w:r>
              <w:rPr>
                <w:rFonts w:ascii="Arial Narrow" w:hAnsi="Arial Narrow" w:cs="Arial"/>
                <w:b/>
                <w:sz w:val="20"/>
                <w:szCs w:val="20"/>
              </w:rPr>
              <w:t>Treatment phase:</w:t>
            </w:r>
          </w:p>
        </w:tc>
        <w:tc>
          <w:tcPr>
            <w:tcW w:w="5889" w:type="dxa"/>
            <w:tcBorders>
              <w:top w:val="single" w:sz="4" w:space="0" w:color="auto"/>
              <w:left w:val="single" w:sz="4" w:space="0" w:color="auto"/>
              <w:bottom w:val="single" w:sz="4" w:space="0" w:color="auto"/>
              <w:right w:val="single" w:sz="4" w:space="0" w:color="auto"/>
            </w:tcBorders>
          </w:tcPr>
          <w:p w14:paraId="5FCD65FA" w14:textId="645ABB1D" w:rsidR="004811F3" w:rsidRPr="00F33674" w:rsidRDefault="00265869" w:rsidP="00F33674">
            <w:pPr>
              <w:jc w:val="left"/>
              <w:rPr>
                <w:rFonts w:ascii="Arial Narrow" w:hAnsi="Arial Narrow" w:cs="Arial"/>
                <w:sz w:val="20"/>
                <w:szCs w:val="20"/>
              </w:rPr>
            </w:pPr>
            <w:r>
              <w:rPr>
                <w:rFonts w:ascii="Arial Narrow" w:hAnsi="Arial Narrow" w:cs="Arial"/>
                <w:sz w:val="20"/>
                <w:szCs w:val="20"/>
              </w:rPr>
              <w:t xml:space="preserve">Initial PBS treatment after 1 June 2020 where patient </w:t>
            </w:r>
            <w:proofErr w:type="gramStart"/>
            <w:r>
              <w:rPr>
                <w:rFonts w:ascii="Arial Narrow" w:hAnsi="Arial Narrow" w:cs="Arial"/>
                <w:sz w:val="20"/>
                <w:szCs w:val="20"/>
              </w:rPr>
              <w:t>has been treated</w:t>
            </w:r>
            <w:proofErr w:type="gramEnd"/>
            <w:r>
              <w:rPr>
                <w:rFonts w:ascii="Arial Narrow" w:hAnsi="Arial Narrow" w:cs="Arial"/>
                <w:sz w:val="20"/>
                <w:szCs w:val="20"/>
              </w:rPr>
              <w:t xml:space="preserve"> with opioids for less than 12 months.</w:t>
            </w:r>
          </w:p>
        </w:tc>
      </w:tr>
      <w:tr w:rsidR="00F33674" w:rsidRPr="00F33674" w14:paraId="180698FD" w14:textId="77777777" w:rsidTr="00C21DFA">
        <w:trPr>
          <w:cantSplit/>
          <w:trHeight w:val="360"/>
        </w:trPr>
        <w:tc>
          <w:tcPr>
            <w:tcW w:w="3183" w:type="dxa"/>
            <w:tcBorders>
              <w:top w:val="single" w:sz="4" w:space="0" w:color="auto"/>
              <w:left w:val="single" w:sz="4" w:space="0" w:color="auto"/>
              <w:bottom w:val="single" w:sz="4" w:space="0" w:color="auto"/>
              <w:right w:val="single" w:sz="4" w:space="0" w:color="auto"/>
            </w:tcBorders>
          </w:tcPr>
          <w:p w14:paraId="7D0EC89F" w14:textId="77777777" w:rsidR="00F33674" w:rsidRPr="00F33674" w:rsidRDefault="00F33674" w:rsidP="00F33674">
            <w:pPr>
              <w:rPr>
                <w:rFonts w:ascii="Arial Narrow" w:hAnsi="Arial Narrow" w:cs="Arial"/>
                <w:b/>
                <w:sz w:val="20"/>
                <w:szCs w:val="20"/>
              </w:rPr>
            </w:pPr>
            <w:r w:rsidRPr="00F33674">
              <w:rPr>
                <w:rFonts w:ascii="Arial Narrow" w:hAnsi="Arial Narrow" w:cs="Arial"/>
                <w:b/>
                <w:sz w:val="20"/>
                <w:szCs w:val="20"/>
              </w:rPr>
              <w:t>Clinical criteria:</w:t>
            </w:r>
          </w:p>
        </w:tc>
        <w:tc>
          <w:tcPr>
            <w:tcW w:w="5889" w:type="dxa"/>
            <w:tcBorders>
              <w:top w:val="single" w:sz="4" w:space="0" w:color="auto"/>
              <w:left w:val="single" w:sz="4" w:space="0" w:color="auto"/>
              <w:bottom w:val="single" w:sz="4" w:space="0" w:color="auto"/>
              <w:right w:val="single" w:sz="4" w:space="0" w:color="auto"/>
            </w:tcBorders>
          </w:tcPr>
          <w:p w14:paraId="3B3386FB" w14:textId="6EB11F09" w:rsidR="00F33674" w:rsidRPr="00F33674" w:rsidRDefault="00F33674" w:rsidP="00F33674">
            <w:pPr>
              <w:jc w:val="left"/>
              <w:rPr>
                <w:rFonts w:ascii="Arial Narrow" w:hAnsi="Arial Narrow" w:cs="Arial"/>
                <w:sz w:val="20"/>
                <w:szCs w:val="20"/>
              </w:rPr>
            </w:pPr>
            <w:r w:rsidRPr="00F33674">
              <w:rPr>
                <w:rFonts w:ascii="Arial Narrow" w:hAnsi="Arial Narrow" w:cs="Arial"/>
                <w:sz w:val="20"/>
                <w:szCs w:val="20"/>
              </w:rPr>
              <w:t>[new] The condition must require daily, continuous, long term treatment</w:t>
            </w:r>
          </w:p>
          <w:p w14:paraId="42CE118B" w14:textId="77777777" w:rsidR="00F33674" w:rsidRPr="00F33674" w:rsidRDefault="00F33674" w:rsidP="00F33674">
            <w:pPr>
              <w:jc w:val="left"/>
              <w:rPr>
                <w:rFonts w:ascii="Arial Narrow" w:hAnsi="Arial Narrow" w:cs="Arial"/>
                <w:sz w:val="20"/>
                <w:szCs w:val="20"/>
              </w:rPr>
            </w:pPr>
          </w:p>
          <w:p w14:paraId="7683CA79" w14:textId="77777777" w:rsidR="00F33674" w:rsidRPr="00F33674" w:rsidRDefault="00F33674" w:rsidP="00F33674">
            <w:pPr>
              <w:jc w:val="left"/>
              <w:rPr>
                <w:rFonts w:ascii="Arial Narrow" w:hAnsi="Arial Narrow" w:cs="Arial"/>
                <w:sz w:val="20"/>
                <w:szCs w:val="20"/>
              </w:rPr>
            </w:pPr>
            <w:r w:rsidRPr="00F33674">
              <w:rPr>
                <w:rFonts w:ascii="Arial Narrow" w:hAnsi="Arial Narrow" w:cs="Arial"/>
                <w:sz w:val="20"/>
                <w:szCs w:val="20"/>
              </w:rPr>
              <w:t>AND</w:t>
            </w:r>
          </w:p>
          <w:p w14:paraId="38FB8103" w14:textId="77777777" w:rsidR="00F33674" w:rsidRPr="00F33674" w:rsidRDefault="00F33674" w:rsidP="00F33674">
            <w:pPr>
              <w:jc w:val="left"/>
              <w:rPr>
                <w:rFonts w:ascii="Arial Narrow" w:hAnsi="Arial Narrow" w:cs="Arial"/>
                <w:sz w:val="20"/>
                <w:szCs w:val="20"/>
              </w:rPr>
            </w:pPr>
          </w:p>
          <w:p w14:paraId="23913013" w14:textId="77777777" w:rsidR="00F33674" w:rsidRPr="00F33674" w:rsidRDefault="00F33674" w:rsidP="00F33674">
            <w:pPr>
              <w:jc w:val="left"/>
              <w:rPr>
                <w:rFonts w:ascii="Arial Narrow" w:hAnsi="Arial Narrow" w:cs="Arial"/>
                <w:sz w:val="20"/>
                <w:szCs w:val="20"/>
              </w:rPr>
            </w:pPr>
            <w:r w:rsidRPr="00F33674">
              <w:rPr>
                <w:rFonts w:ascii="Arial Narrow" w:hAnsi="Arial Narrow" w:cs="Arial"/>
                <w:sz w:val="20"/>
                <w:szCs w:val="20"/>
              </w:rPr>
              <w:t>[new] Patient must not be opioid naïve</w:t>
            </w:r>
          </w:p>
          <w:p w14:paraId="13EE1688" w14:textId="77777777" w:rsidR="00F33674" w:rsidRPr="00F33674" w:rsidRDefault="00F33674" w:rsidP="00F33674">
            <w:pPr>
              <w:jc w:val="left"/>
              <w:rPr>
                <w:rFonts w:ascii="Arial Narrow" w:hAnsi="Arial Narrow" w:cs="Arial"/>
                <w:sz w:val="20"/>
                <w:szCs w:val="20"/>
              </w:rPr>
            </w:pPr>
          </w:p>
          <w:p w14:paraId="2FE319C7" w14:textId="77777777" w:rsidR="00F33674" w:rsidRPr="00F33674" w:rsidRDefault="00F33674" w:rsidP="00F33674">
            <w:pPr>
              <w:jc w:val="left"/>
              <w:rPr>
                <w:rFonts w:ascii="Arial Narrow" w:hAnsi="Arial Narrow" w:cs="Arial"/>
                <w:sz w:val="20"/>
                <w:szCs w:val="20"/>
              </w:rPr>
            </w:pPr>
            <w:r w:rsidRPr="00F33674">
              <w:rPr>
                <w:rFonts w:ascii="Arial Narrow" w:hAnsi="Arial Narrow" w:cs="Arial"/>
                <w:sz w:val="20"/>
                <w:szCs w:val="20"/>
              </w:rPr>
              <w:t>AND</w:t>
            </w:r>
          </w:p>
          <w:p w14:paraId="3660ADE0" w14:textId="77777777" w:rsidR="00F33674" w:rsidRPr="00F33674" w:rsidRDefault="00F33674" w:rsidP="00F33674">
            <w:pPr>
              <w:jc w:val="left"/>
              <w:rPr>
                <w:rFonts w:ascii="Arial Narrow" w:hAnsi="Arial Narrow" w:cs="Arial"/>
                <w:sz w:val="20"/>
                <w:szCs w:val="20"/>
              </w:rPr>
            </w:pPr>
          </w:p>
          <w:p w14:paraId="35FB4843" w14:textId="1C0099DA" w:rsidR="00F33674" w:rsidRPr="00F33674" w:rsidRDefault="00F33674" w:rsidP="00F33674">
            <w:pPr>
              <w:jc w:val="left"/>
              <w:rPr>
                <w:rFonts w:ascii="Arial Narrow" w:hAnsi="Arial Narrow" w:cs="Arial"/>
                <w:sz w:val="20"/>
                <w:szCs w:val="20"/>
              </w:rPr>
            </w:pPr>
            <w:r w:rsidRPr="00F33674">
              <w:rPr>
                <w:rFonts w:ascii="Arial Narrow" w:hAnsi="Arial Narrow" w:cs="Arial"/>
                <w:sz w:val="20"/>
                <w:szCs w:val="20"/>
              </w:rPr>
              <w:t xml:space="preserve">[18096] Patient must have </w:t>
            </w:r>
            <w:r w:rsidR="00FE50AF">
              <w:rPr>
                <w:rFonts w:ascii="Arial Narrow" w:hAnsi="Arial Narrow" w:cs="Arial"/>
                <w:sz w:val="20"/>
                <w:szCs w:val="20"/>
              </w:rPr>
              <w:t>cancer pain</w:t>
            </w:r>
          </w:p>
          <w:p w14:paraId="040FFCAC" w14:textId="77777777" w:rsidR="00F33674" w:rsidRPr="00F33674" w:rsidRDefault="00F33674" w:rsidP="00F33674">
            <w:pPr>
              <w:jc w:val="left"/>
              <w:rPr>
                <w:rFonts w:ascii="Arial Narrow" w:hAnsi="Arial Narrow" w:cs="Arial"/>
                <w:sz w:val="20"/>
                <w:szCs w:val="20"/>
              </w:rPr>
            </w:pPr>
            <w:r w:rsidRPr="00F33674">
              <w:rPr>
                <w:rFonts w:ascii="Arial Narrow" w:hAnsi="Arial Narrow" w:cs="Arial"/>
                <w:sz w:val="20"/>
                <w:szCs w:val="20"/>
              </w:rPr>
              <w:t>OR</w:t>
            </w:r>
          </w:p>
          <w:p w14:paraId="745D0D26" w14:textId="776B4A91" w:rsidR="00F33674" w:rsidRPr="00F33674" w:rsidRDefault="00F33674" w:rsidP="00F33674">
            <w:pPr>
              <w:jc w:val="left"/>
              <w:rPr>
                <w:rFonts w:ascii="Arial Narrow" w:hAnsi="Arial Narrow" w:cs="Arial"/>
                <w:sz w:val="20"/>
                <w:szCs w:val="20"/>
              </w:rPr>
            </w:pPr>
            <w:r w:rsidRPr="00F33674">
              <w:rPr>
                <w:rFonts w:ascii="Arial Narrow" w:hAnsi="Arial Narrow" w:cs="Arial"/>
                <w:sz w:val="20"/>
                <w:szCs w:val="20"/>
              </w:rPr>
              <w:t xml:space="preserve">[new] Patient must have </w:t>
            </w:r>
            <w:r w:rsidR="004811F3">
              <w:rPr>
                <w:rFonts w:ascii="Arial Narrow" w:hAnsi="Arial Narrow" w:cs="Arial"/>
                <w:sz w:val="20"/>
                <w:szCs w:val="20"/>
              </w:rPr>
              <w:t>had or would have</w:t>
            </w:r>
            <w:r w:rsidRPr="00F33674">
              <w:rPr>
                <w:rFonts w:ascii="Arial Narrow" w:hAnsi="Arial Narrow" w:cs="Arial"/>
                <w:sz w:val="20"/>
                <w:szCs w:val="20"/>
              </w:rPr>
              <w:t xml:space="preserve"> </w:t>
            </w:r>
            <w:r w:rsidR="004811F3">
              <w:rPr>
                <w:rFonts w:ascii="Arial Narrow" w:hAnsi="Arial Narrow" w:cs="Arial"/>
                <w:sz w:val="20"/>
                <w:szCs w:val="20"/>
              </w:rPr>
              <w:t>inadequate pain management</w:t>
            </w:r>
            <w:r w:rsidRPr="00F33674">
              <w:rPr>
                <w:rFonts w:ascii="Arial Narrow" w:hAnsi="Arial Narrow" w:cs="Arial"/>
                <w:sz w:val="20"/>
                <w:szCs w:val="20"/>
              </w:rPr>
              <w:t xml:space="preserve"> </w:t>
            </w:r>
            <w:r w:rsidR="004811F3">
              <w:rPr>
                <w:rFonts w:ascii="Arial Narrow" w:hAnsi="Arial Narrow" w:cs="Arial"/>
                <w:sz w:val="20"/>
                <w:szCs w:val="20"/>
              </w:rPr>
              <w:t>with</w:t>
            </w:r>
            <w:r w:rsidRPr="00F33674">
              <w:rPr>
                <w:rFonts w:ascii="Arial Narrow" w:hAnsi="Arial Narrow" w:cs="Arial"/>
                <w:sz w:val="20"/>
                <w:szCs w:val="20"/>
              </w:rPr>
              <w:t xml:space="preserve"> tolerated doses of non-opioid and other opioid analgesics</w:t>
            </w:r>
          </w:p>
          <w:p w14:paraId="770C5C9C" w14:textId="77777777" w:rsidR="00F33674" w:rsidRPr="00F33674" w:rsidRDefault="00F33674" w:rsidP="00F33674">
            <w:pPr>
              <w:jc w:val="left"/>
              <w:rPr>
                <w:rFonts w:ascii="Arial Narrow" w:hAnsi="Arial Narrow" w:cs="Arial"/>
                <w:sz w:val="20"/>
                <w:szCs w:val="20"/>
              </w:rPr>
            </w:pPr>
            <w:r w:rsidRPr="00F33674">
              <w:rPr>
                <w:rFonts w:ascii="Arial Narrow" w:hAnsi="Arial Narrow" w:cs="Arial"/>
                <w:sz w:val="20"/>
                <w:szCs w:val="20"/>
              </w:rPr>
              <w:t>OR</w:t>
            </w:r>
          </w:p>
          <w:p w14:paraId="3049BDE4" w14:textId="3517437D" w:rsidR="00F33674" w:rsidRPr="00F33674" w:rsidRDefault="00F33674" w:rsidP="00F33674">
            <w:pPr>
              <w:jc w:val="left"/>
              <w:rPr>
                <w:rFonts w:ascii="Arial Narrow" w:hAnsi="Arial Narrow" w:cs="Arial"/>
                <w:sz w:val="20"/>
                <w:szCs w:val="20"/>
              </w:rPr>
            </w:pPr>
            <w:r w:rsidRPr="00F33674">
              <w:rPr>
                <w:rFonts w:ascii="Arial Narrow" w:hAnsi="Arial Narrow" w:cs="Arial"/>
                <w:sz w:val="20"/>
                <w:szCs w:val="20"/>
              </w:rPr>
              <w:t>[new] Patient must be unable to use non-opioid and other opioid analgesics due to contraindications or intolerance.</w:t>
            </w:r>
          </w:p>
        </w:tc>
      </w:tr>
      <w:tr w:rsidR="00F33674" w:rsidRPr="00F33674" w14:paraId="2565E16E" w14:textId="77777777" w:rsidTr="00C21DFA">
        <w:trPr>
          <w:cantSplit/>
          <w:trHeight w:val="360"/>
        </w:trPr>
        <w:tc>
          <w:tcPr>
            <w:tcW w:w="3183" w:type="dxa"/>
            <w:tcBorders>
              <w:top w:val="single" w:sz="4" w:space="0" w:color="auto"/>
              <w:left w:val="single" w:sz="4" w:space="0" w:color="auto"/>
              <w:bottom w:val="single" w:sz="4" w:space="0" w:color="auto"/>
              <w:right w:val="single" w:sz="4" w:space="0" w:color="auto"/>
            </w:tcBorders>
          </w:tcPr>
          <w:p w14:paraId="5027EE7C" w14:textId="77777777" w:rsidR="00F33674" w:rsidRPr="00F33674" w:rsidRDefault="00F33674" w:rsidP="00F33674">
            <w:pPr>
              <w:rPr>
                <w:rFonts w:ascii="Arial Narrow" w:hAnsi="Arial Narrow" w:cs="Arial"/>
                <w:b/>
                <w:sz w:val="20"/>
                <w:szCs w:val="20"/>
              </w:rPr>
            </w:pPr>
            <w:r w:rsidRPr="00F33674">
              <w:rPr>
                <w:rFonts w:ascii="Arial Narrow" w:hAnsi="Arial Narrow" w:cs="Arial"/>
                <w:b/>
                <w:sz w:val="20"/>
                <w:szCs w:val="20"/>
              </w:rPr>
              <w:t>Prescriber instruction:</w:t>
            </w:r>
          </w:p>
        </w:tc>
        <w:tc>
          <w:tcPr>
            <w:tcW w:w="5889" w:type="dxa"/>
            <w:tcBorders>
              <w:top w:val="single" w:sz="4" w:space="0" w:color="auto"/>
              <w:left w:val="single" w:sz="4" w:space="0" w:color="auto"/>
              <w:bottom w:val="single" w:sz="4" w:space="0" w:color="auto"/>
              <w:right w:val="single" w:sz="4" w:space="0" w:color="auto"/>
            </w:tcBorders>
          </w:tcPr>
          <w:p w14:paraId="6A0E2E22" w14:textId="4E4D110B" w:rsidR="00F33674" w:rsidRPr="00F33674" w:rsidRDefault="00F33674" w:rsidP="00193259">
            <w:pPr>
              <w:jc w:val="left"/>
              <w:rPr>
                <w:rFonts w:ascii="Arial Narrow" w:hAnsi="Arial Narrow" w:cs="Arial"/>
                <w:sz w:val="20"/>
                <w:szCs w:val="20"/>
              </w:rPr>
            </w:pPr>
            <w:r w:rsidRPr="00F33674">
              <w:rPr>
                <w:rFonts w:ascii="Arial Narrow" w:hAnsi="Arial Narrow" w:cs="Arial"/>
                <w:sz w:val="20"/>
                <w:szCs w:val="20"/>
              </w:rPr>
              <w:t xml:space="preserve">[new] Authorities for increased maximum quantities and/or repeats </w:t>
            </w:r>
            <w:r w:rsidR="00BB2EAC">
              <w:rPr>
                <w:rFonts w:ascii="Arial Narrow" w:hAnsi="Arial Narrow" w:cs="Arial"/>
                <w:sz w:val="20"/>
                <w:szCs w:val="20"/>
              </w:rPr>
              <w:t xml:space="preserve">under this restriction </w:t>
            </w:r>
            <w:proofErr w:type="gramStart"/>
            <w:r w:rsidRPr="00F33674">
              <w:rPr>
                <w:rFonts w:ascii="Arial Narrow" w:hAnsi="Arial Narrow" w:cs="Arial"/>
                <w:sz w:val="20"/>
                <w:szCs w:val="20"/>
              </w:rPr>
              <w:t>will be granted</w:t>
            </w:r>
            <w:proofErr w:type="gramEnd"/>
            <w:r w:rsidRPr="00F33674">
              <w:rPr>
                <w:rFonts w:ascii="Arial Narrow" w:hAnsi="Arial Narrow" w:cs="Arial"/>
                <w:sz w:val="20"/>
                <w:szCs w:val="20"/>
              </w:rPr>
              <w:t xml:space="preserve"> only for chronic severe disabling pain</w:t>
            </w:r>
            <w:r w:rsidR="00827DF7">
              <w:rPr>
                <w:rFonts w:ascii="Arial Narrow" w:hAnsi="Arial Narrow" w:cs="Arial"/>
                <w:sz w:val="20"/>
                <w:szCs w:val="20"/>
              </w:rPr>
              <w:t xml:space="preserve"> </w:t>
            </w:r>
            <w:r w:rsidRPr="00F33674">
              <w:rPr>
                <w:rFonts w:ascii="Arial Narrow" w:hAnsi="Arial Narrow" w:cs="Arial"/>
                <w:sz w:val="20"/>
                <w:szCs w:val="20"/>
              </w:rPr>
              <w:t>where the total duration of non-PBS and PBS subsidised opioid analgesic treatment is less than 12 months.</w:t>
            </w:r>
          </w:p>
          <w:p w14:paraId="3D0CC351" w14:textId="77777777" w:rsidR="00F33674" w:rsidRPr="00F33674" w:rsidRDefault="00F33674" w:rsidP="00F33674">
            <w:pPr>
              <w:jc w:val="left"/>
              <w:rPr>
                <w:rFonts w:ascii="Arial Narrow" w:hAnsi="Arial Narrow" w:cs="Arial"/>
                <w:sz w:val="20"/>
                <w:szCs w:val="20"/>
              </w:rPr>
            </w:pPr>
          </w:p>
          <w:p w14:paraId="2DADC2A8" w14:textId="77777777" w:rsidR="00F33674" w:rsidRPr="00F33674" w:rsidRDefault="00F33674" w:rsidP="00F33674">
            <w:pPr>
              <w:jc w:val="left"/>
              <w:rPr>
                <w:rFonts w:ascii="Arial Narrow" w:hAnsi="Arial Narrow" w:cs="Arial"/>
                <w:sz w:val="20"/>
                <w:szCs w:val="20"/>
              </w:rPr>
            </w:pPr>
            <w:r w:rsidRPr="00F33674">
              <w:rPr>
                <w:rFonts w:ascii="Arial Narrow" w:hAnsi="Arial Narrow" w:cs="Arial"/>
                <w:sz w:val="20"/>
                <w:szCs w:val="20"/>
              </w:rPr>
              <w:t>[new] Authority requests extending treatment duration up to 1 month may be requested though the Online PBS Authorities system or by calling Services Australia.</w:t>
            </w:r>
          </w:p>
          <w:p w14:paraId="7E1184C3" w14:textId="77777777" w:rsidR="00F33674" w:rsidRPr="00F33674" w:rsidRDefault="00F33674" w:rsidP="00F33674">
            <w:pPr>
              <w:jc w:val="left"/>
              <w:rPr>
                <w:rFonts w:ascii="Arial Narrow" w:hAnsi="Arial Narrow" w:cs="Arial"/>
                <w:sz w:val="20"/>
                <w:szCs w:val="20"/>
              </w:rPr>
            </w:pPr>
          </w:p>
          <w:p w14:paraId="011F35F6" w14:textId="24D3457F" w:rsidR="00F33674" w:rsidRPr="00F33674" w:rsidRDefault="00F33674" w:rsidP="00F33674">
            <w:pPr>
              <w:jc w:val="left"/>
              <w:rPr>
                <w:rFonts w:ascii="Arial Narrow" w:hAnsi="Arial Narrow" w:cs="Arial"/>
                <w:sz w:val="20"/>
                <w:szCs w:val="20"/>
              </w:rPr>
            </w:pPr>
            <w:r w:rsidRPr="00F33674">
              <w:rPr>
                <w:rFonts w:ascii="Arial Narrow" w:hAnsi="Arial Narrow" w:cs="Arial"/>
                <w:sz w:val="20"/>
                <w:szCs w:val="20"/>
              </w:rPr>
              <w:t xml:space="preserve">Authority requests extending treatment duration beyond 1 month </w:t>
            </w:r>
            <w:r w:rsidR="00827DF7">
              <w:rPr>
                <w:rFonts w:ascii="Arial Narrow" w:hAnsi="Arial Narrow" w:cs="Arial"/>
                <w:sz w:val="20"/>
                <w:szCs w:val="20"/>
              </w:rPr>
              <w:t>may be requested through the Online PBS Authorities system</w:t>
            </w:r>
            <w:r w:rsidRPr="00F33674">
              <w:rPr>
                <w:rFonts w:ascii="Arial Narrow" w:hAnsi="Arial Narrow" w:cs="Arial"/>
                <w:sz w:val="20"/>
                <w:szCs w:val="20"/>
              </w:rPr>
              <w:t xml:space="preserve"> or in writing only and must not provide a treatment duration exceeding </w:t>
            </w:r>
            <w:r w:rsidR="00827DF7">
              <w:rPr>
                <w:rFonts w:ascii="Arial Narrow" w:hAnsi="Arial Narrow" w:cs="Arial"/>
                <w:sz w:val="20"/>
                <w:szCs w:val="20"/>
              </w:rPr>
              <w:t xml:space="preserve">3 months (quantity sufficient for up to </w:t>
            </w:r>
            <w:proofErr w:type="gramStart"/>
            <w:r w:rsidR="00827DF7">
              <w:rPr>
                <w:rFonts w:ascii="Arial Narrow" w:hAnsi="Arial Narrow" w:cs="Arial"/>
                <w:sz w:val="20"/>
                <w:szCs w:val="20"/>
              </w:rPr>
              <w:t>1 month</w:t>
            </w:r>
            <w:proofErr w:type="gramEnd"/>
            <w:r w:rsidR="00827DF7">
              <w:rPr>
                <w:rFonts w:ascii="Arial Narrow" w:hAnsi="Arial Narrow" w:cs="Arial"/>
                <w:sz w:val="20"/>
                <w:szCs w:val="20"/>
              </w:rPr>
              <w:t xml:space="preserve"> treatment and sufficient repeats).</w:t>
            </w:r>
          </w:p>
        </w:tc>
      </w:tr>
      <w:tr w:rsidR="00F33674" w:rsidRPr="00F33674" w14:paraId="7EB49CE2" w14:textId="77777777" w:rsidTr="00C21DFA">
        <w:trPr>
          <w:cantSplit/>
          <w:trHeight w:val="360"/>
        </w:trPr>
        <w:tc>
          <w:tcPr>
            <w:tcW w:w="3183" w:type="dxa"/>
            <w:tcBorders>
              <w:top w:val="single" w:sz="4" w:space="0" w:color="auto"/>
              <w:left w:val="single" w:sz="4" w:space="0" w:color="auto"/>
              <w:bottom w:val="single" w:sz="4" w:space="0" w:color="auto"/>
              <w:right w:val="single" w:sz="4" w:space="0" w:color="auto"/>
            </w:tcBorders>
          </w:tcPr>
          <w:p w14:paraId="5086023E" w14:textId="77777777" w:rsidR="00F33674" w:rsidRPr="00F33674" w:rsidRDefault="00F33674" w:rsidP="00F33674">
            <w:pPr>
              <w:rPr>
                <w:rFonts w:ascii="Arial Narrow" w:hAnsi="Arial Narrow" w:cs="Arial"/>
                <w:b/>
                <w:sz w:val="20"/>
                <w:szCs w:val="20"/>
              </w:rPr>
            </w:pPr>
            <w:r w:rsidRPr="00F33674">
              <w:rPr>
                <w:rFonts w:ascii="Arial Narrow" w:hAnsi="Arial Narrow" w:cs="Arial"/>
                <w:b/>
                <w:sz w:val="20"/>
                <w:szCs w:val="20"/>
              </w:rPr>
              <w:lastRenderedPageBreak/>
              <w:t>Administrative advice:</w:t>
            </w:r>
          </w:p>
        </w:tc>
        <w:tc>
          <w:tcPr>
            <w:tcW w:w="5889" w:type="dxa"/>
            <w:tcBorders>
              <w:top w:val="single" w:sz="4" w:space="0" w:color="auto"/>
              <w:left w:val="single" w:sz="4" w:space="0" w:color="auto"/>
              <w:bottom w:val="single" w:sz="4" w:space="0" w:color="auto"/>
              <w:right w:val="single" w:sz="4" w:space="0" w:color="auto"/>
            </w:tcBorders>
          </w:tcPr>
          <w:p w14:paraId="4010DC3A" w14:textId="77777777" w:rsidR="00F33674" w:rsidRPr="00F33674" w:rsidRDefault="00F33674" w:rsidP="00F33674">
            <w:pPr>
              <w:jc w:val="left"/>
              <w:rPr>
                <w:rFonts w:ascii="Arial Narrow" w:hAnsi="Arial Narrow"/>
                <w:sz w:val="20"/>
                <w:szCs w:val="20"/>
              </w:rPr>
            </w:pPr>
            <w:r w:rsidRPr="00F33674">
              <w:rPr>
                <w:rFonts w:ascii="Arial Narrow" w:hAnsi="Arial Narrow"/>
                <w:sz w:val="20"/>
                <w:szCs w:val="20"/>
              </w:rPr>
              <w:t xml:space="preserve">[13978] Fentanyl transdermal patches </w:t>
            </w:r>
            <w:proofErr w:type="gramStart"/>
            <w:r w:rsidRPr="00F33674">
              <w:rPr>
                <w:rFonts w:ascii="Arial Narrow" w:hAnsi="Arial Narrow"/>
                <w:sz w:val="20"/>
                <w:szCs w:val="20"/>
              </w:rPr>
              <w:t>are not recommended</w:t>
            </w:r>
            <w:proofErr w:type="gramEnd"/>
            <w:r w:rsidRPr="00F33674">
              <w:rPr>
                <w:rFonts w:ascii="Arial Narrow" w:hAnsi="Arial Narrow"/>
                <w:sz w:val="20"/>
                <w:szCs w:val="20"/>
              </w:rPr>
              <w:t xml:space="preserve"> in opioid naive patients with non-cancer pain because of a high incidence of adverse events in these patients. Patients with cancer pain </w:t>
            </w:r>
            <w:proofErr w:type="gramStart"/>
            <w:r w:rsidRPr="00F33674">
              <w:rPr>
                <w:rFonts w:ascii="Arial Narrow" w:hAnsi="Arial Narrow"/>
                <w:sz w:val="20"/>
                <w:szCs w:val="20"/>
              </w:rPr>
              <w:t>may be initiated</w:t>
            </w:r>
            <w:proofErr w:type="gramEnd"/>
            <w:r w:rsidRPr="00F33674">
              <w:rPr>
                <w:rFonts w:ascii="Arial Narrow" w:hAnsi="Arial Narrow"/>
                <w:sz w:val="20"/>
                <w:szCs w:val="20"/>
              </w:rPr>
              <w:t xml:space="preserve"> on the lowest strength patch (12 micrograms per hour).</w:t>
            </w:r>
          </w:p>
          <w:p w14:paraId="61DD7B2E" w14:textId="77777777" w:rsidR="00F33674" w:rsidRPr="00F33674" w:rsidRDefault="00F33674" w:rsidP="00F33674">
            <w:pPr>
              <w:jc w:val="left"/>
              <w:rPr>
                <w:rFonts w:ascii="Arial Narrow" w:hAnsi="Arial Narrow"/>
                <w:sz w:val="20"/>
                <w:szCs w:val="20"/>
              </w:rPr>
            </w:pPr>
          </w:p>
          <w:p w14:paraId="08CB72F3" w14:textId="77777777" w:rsidR="00F33674" w:rsidRPr="00F33674" w:rsidRDefault="00F33674" w:rsidP="00F33674">
            <w:pPr>
              <w:jc w:val="left"/>
              <w:rPr>
                <w:rFonts w:ascii="Arial Narrow" w:hAnsi="Arial Narrow"/>
                <w:sz w:val="20"/>
                <w:szCs w:val="20"/>
              </w:rPr>
            </w:pPr>
            <w:r w:rsidRPr="00F33674">
              <w:rPr>
                <w:rFonts w:ascii="Arial Narrow" w:hAnsi="Arial Narrow"/>
                <w:sz w:val="20"/>
                <w:szCs w:val="20"/>
              </w:rPr>
              <w:t>[new] Consider consultation with a multidisciplinary pain service prior to, or after commencement of this medication.</w:t>
            </w:r>
          </w:p>
          <w:p w14:paraId="00058296" w14:textId="77777777" w:rsidR="00F33674" w:rsidRPr="00F33674" w:rsidRDefault="00F33674" w:rsidP="00F33674">
            <w:pPr>
              <w:jc w:val="left"/>
              <w:rPr>
                <w:rFonts w:ascii="Arial Narrow" w:hAnsi="Arial Narrow"/>
                <w:sz w:val="20"/>
                <w:szCs w:val="20"/>
              </w:rPr>
            </w:pPr>
          </w:p>
          <w:p w14:paraId="6E6F71B5" w14:textId="77777777" w:rsidR="00F33674" w:rsidRPr="00F33674" w:rsidRDefault="00F33674" w:rsidP="00F33674">
            <w:pPr>
              <w:jc w:val="left"/>
              <w:rPr>
                <w:rFonts w:ascii="Arial Narrow" w:hAnsi="Arial Narrow" w:cs="Arial"/>
                <w:sz w:val="20"/>
                <w:szCs w:val="20"/>
              </w:rPr>
            </w:pPr>
            <w:r w:rsidRPr="00F33674">
              <w:rPr>
                <w:rFonts w:ascii="Arial Narrow" w:hAnsi="Arial Narrow" w:cs="Arial"/>
                <w:sz w:val="20"/>
                <w:szCs w:val="20"/>
              </w:rPr>
              <w:t>[new] This treatment is not suitable for ‘as-required’ pain relief.</w:t>
            </w:r>
          </w:p>
          <w:p w14:paraId="446A15F4" w14:textId="77777777" w:rsidR="00F33674" w:rsidRPr="00F33674" w:rsidRDefault="00F33674" w:rsidP="00F33674">
            <w:pPr>
              <w:jc w:val="left"/>
              <w:rPr>
                <w:rFonts w:ascii="Arial Narrow" w:hAnsi="Arial Narrow"/>
                <w:sz w:val="20"/>
                <w:szCs w:val="20"/>
              </w:rPr>
            </w:pPr>
          </w:p>
          <w:p w14:paraId="34D91A51" w14:textId="77777777" w:rsidR="00F33674" w:rsidRPr="00F33674" w:rsidRDefault="00F33674" w:rsidP="00F33674">
            <w:pPr>
              <w:jc w:val="left"/>
              <w:rPr>
                <w:rFonts w:ascii="Arial Narrow" w:hAnsi="Arial Narrow" w:cs="Arial"/>
                <w:sz w:val="20"/>
                <w:szCs w:val="20"/>
              </w:rPr>
            </w:pPr>
            <w:r w:rsidRPr="00F33674">
              <w:rPr>
                <w:rFonts w:ascii="Arial Narrow" w:hAnsi="Arial Narrow" w:cs="Arial"/>
                <w:sz w:val="20"/>
                <w:szCs w:val="20"/>
              </w:rPr>
              <w:t>[13979] Pharmaceutical benefits that have the form fentanyl 12 microgram/hour patch are equivalent for the purposes of substitution.</w:t>
            </w:r>
          </w:p>
          <w:p w14:paraId="07D365C1" w14:textId="77777777" w:rsidR="00F33674" w:rsidRPr="00F33674" w:rsidRDefault="00F33674" w:rsidP="00F33674">
            <w:pPr>
              <w:jc w:val="left"/>
              <w:rPr>
                <w:rFonts w:ascii="Arial Narrow" w:hAnsi="Arial Narrow" w:cs="Arial"/>
                <w:sz w:val="20"/>
                <w:szCs w:val="20"/>
              </w:rPr>
            </w:pPr>
          </w:p>
          <w:p w14:paraId="53F345CC" w14:textId="77777777" w:rsidR="00F33674" w:rsidRPr="00F33674" w:rsidRDefault="00F33674" w:rsidP="00F33674">
            <w:pPr>
              <w:jc w:val="left"/>
              <w:rPr>
                <w:rFonts w:ascii="Arial Narrow" w:hAnsi="Arial Narrow" w:cs="Arial"/>
                <w:sz w:val="20"/>
                <w:szCs w:val="20"/>
              </w:rPr>
            </w:pPr>
            <w:r w:rsidRPr="00F33674">
              <w:rPr>
                <w:rFonts w:ascii="Arial Narrow" w:hAnsi="Arial Narrow" w:cs="Arial"/>
                <w:sz w:val="20"/>
                <w:szCs w:val="20"/>
              </w:rPr>
              <w:t xml:space="preserve">[7901] Shared Care Model: For prescribing by nurse practitioners where care of a patient </w:t>
            </w:r>
            <w:proofErr w:type="gramStart"/>
            <w:r w:rsidRPr="00F33674">
              <w:rPr>
                <w:rFonts w:ascii="Arial Narrow" w:hAnsi="Arial Narrow" w:cs="Arial"/>
                <w:sz w:val="20"/>
                <w:szCs w:val="20"/>
              </w:rPr>
              <w:t>is shared</w:t>
            </w:r>
            <w:proofErr w:type="gramEnd"/>
            <w:r w:rsidRPr="00F33674">
              <w:rPr>
                <w:rFonts w:ascii="Arial Narrow" w:hAnsi="Arial Narrow" w:cs="Arial"/>
                <w:sz w:val="20"/>
                <w:szCs w:val="20"/>
              </w:rPr>
              <w:t xml:space="preserve"> between a nurse practitioner and medical practitioner in a formalised arrangement with an agreed management plan. Further information </w:t>
            </w:r>
            <w:proofErr w:type="gramStart"/>
            <w:r w:rsidRPr="00F33674">
              <w:rPr>
                <w:rFonts w:ascii="Arial Narrow" w:hAnsi="Arial Narrow" w:cs="Arial"/>
                <w:sz w:val="20"/>
                <w:szCs w:val="20"/>
              </w:rPr>
              <w:t>can be found</w:t>
            </w:r>
            <w:proofErr w:type="gramEnd"/>
            <w:r w:rsidRPr="00F33674">
              <w:rPr>
                <w:rFonts w:ascii="Arial Narrow" w:hAnsi="Arial Narrow" w:cs="Arial"/>
                <w:sz w:val="20"/>
                <w:szCs w:val="20"/>
              </w:rPr>
              <w:t xml:space="preserve"> in the Explanatory Notes for Nurse Practitioners.</w:t>
            </w:r>
          </w:p>
          <w:p w14:paraId="36C99527" w14:textId="77777777" w:rsidR="00F33674" w:rsidRPr="00F33674" w:rsidRDefault="00F33674" w:rsidP="00F33674">
            <w:pPr>
              <w:jc w:val="left"/>
              <w:rPr>
                <w:rFonts w:ascii="Arial Narrow" w:hAnsi="Arial Narrow" w:cs="Arial"/>
                <w:sz w:val="20"/>
                <w:szCs w:val="20"/>
              </w:rPr>
            </w:pPr>
          </w:p>
          <w:p w14:paraId="6E6BBE2D" w14:textId="77777777" w:rsidR="00F33674" w:rsidRPr="00F33674" w:rsidRDefault="00F33674" w:rsidP="00F33674">
            <w:pPr>
              <w:jc w:val="left"/>
              <w:rPr>
                <w:rFonts w:ascii="Arial Narrow" w:hAnsi="Arial Narrow" w:cs="Arial"/>
                <w:sz w:val="20"/>
                <w:szCs w:val="20"/>
              </w:rPr>
            </w:pPr>
            <w:r w:rsidRPr="00F33674">
              <w:rPr>
                <w:rFonts w:ascii="Arial Narrow" w:hAnsi="Arial Narrow" w:cs="Arial"/>
                <w:sz w:val="20"/>
                <w:szCs w:val="20"/>
              </w:rPr>
              <w:t>[new] Real time online applications for increased maximum quantities/repeats may be made using the Online PBS Authorities system (see www.servicesaustralia.gov.au/organisations/health-professionals/services/medicare/hpos/services/request-authority-using-online-pbs-authorities-hpos)</w:t>
            </w:r>
          </w:p>
          <w:p w14:paraId="366BA95A" w14:textId="77777777" w:rsidR="00F33674" w:rsidRPr="00F33674" w:rsidRDefault="00F33674" w:rsidP="00F33674">
            <w:pPr>
              <w:jc w:val="left"/>
              <w:rPr>
                <w:rFonts w:ascii="Arial Narrow" w:hAnsi="Arial Narrow" w:cs="Arial"/>
                <w:sz w:val="20"/>
                <w:szCs w:val="20"/>
              </w:rPr>
            </w:pPr>
          </w:p>
          <w:p w14:paraId="5B4CB5D7" w14:textId="581DCE1C" w:rsidR="00F33674" w:rsidRPr="00F33674" w:rsidRDefault="00F33674" w:rsidP="00F33674">
            <w:pPr>
              <w:jc w:val="left"/>
              <w:rPr>
                <w:rFonts w:ascii="Arial Narrow" w:hAnsi="Arial Narrow" w:cs="Arial"/>
                <w:sz w:val="20"/>
                <w:szCs w:val="20"/>
              </w:rPr>
            </w:pPr>
            <w:r w:rsidRPr="00F33674">
              <w:rPr>
                <w:rFonts w:ascii="Arial Narrow" w:hAnsi="Arial Narrow" w:cs="Arial"/>
                <w:sz w:val="20"/>
                <w:szCs w:val="20"/>
              </w:rPr>
              <w:t>Phone applications for increased maximum quantities/repeats may be made by calling 1800 888 333.</w:t>
            </w:r>
          </w:p>
          <w:p w14:paraId="28E8D246" w14:textId="77777777" w:rsidR="00F33674" w:rsidRPr="00F33674" w:rsidRDefault="00F33674" w:rsidP="00F33674">
            <w:pPr>
              <w:jc w:val="left"/>
              <w:rPr>
                <w:rFonts w:ascii="Arial Narrow" w:hAnsi="Arial Narrow" w:cs="Arial"/>
                <w:sz w:val="20"/>
                <w:szCs w:val="20"/>
              </w:rPr>
            </w:pPr>
          </w:p>
          <w:p w14:paraId="06D780C1" w14:textId="77777777" w:rsidR="00F33674" w:rsidRPr="00F33674" w:rsidRDefault="00F33674" w:rsidP="00F33674">
            <w:pPr>
              <w:jc w:val="left"/>
              <w:rPr>
                <w:rFonts w:ascii="Arial Narrow" w:hAnsi="Arial Narrow" w:cs="Arial"/>
                <w:sz w:val="20"/>
                <w:szCs w:val="20"/>
              </w:rPr>
            </w:pPr>
            <w:r w:rsidRPr="00F33674">
              <w:rPr>
                <w:rFonts w:ascii="Arial Narrow" w:hAnsi="Arial Narrow" w:cs="Arial"/>
                <w:sz w:val="20"/>
                <w:szCs w:val="20"/>
              </w:rPr>
              <w:t>Written authority applications for increased maximum quantities/repeats can be uploaded online through HPOS form upload or mailed to:</w:t>
            </w:r>
          </w:p>
          <w:p w14:paraId="14731DDE" w14:textId="77777777" w:rsidR="00F33674" w:rsidRPr="00F33674" w:rsidRDefault="00F33674" w:rsidP="00F33674">
            <w:pPr>
              <w:jc w:val="left"/>
              <w:rPr>
                <w:rFonts w:ascii="Arial Narrow" w:hAnsi="Arial Narrow" w:cs="Arial"/>
                <w:sz w:val="20"/>
                <w:szCs w:val="20"/>
              </w:rPr>
            </w:pPr>
            <w:r w:rsidRPr="00F33674">
              <w:rPr>
                <w:rFonts w:ascii="Arial Narrow" w:hAnsi="Arial Narrow" w:cs="Arial"/>
                <w:sz w:val="20"/>
                <w:szCs w:val="20"/>
              </w:rPr>
              <w:t>Pharmaceutical Benefits Scheme</w:t>
            </w:r>
          </w:p>
          <w:p w14:paraId="1F4D9881" w14:textId="77777777" w:rsidR="00F33674" w:rsidRPr="00F33674" w:rsidRDefault="00F33674" w:rsidP="00F33674">
            <w:pPr>
              <w:jc w:val="left"/>
              <w:rPr>
                <w:rFonts w:ascii="Arial Narrow" w:hAnsi="Arial Narrow" w:cs="Arial"/>
                <w:sz w:val="20"/>
                <w:szCs w:val="20"/>
              </w:rPr>
            </w:pPr>
            <w:r w:rsidRPr="00F33674">
              <w:rPr>
                <w:rFonts w:ascii="Arial Narrow" w:hAnsi="Arial Narrow" w:cs="Arial"/>
                <w:sz w:val="20"/>
                <w:szCs w:val="20"/>
              </w:rPr>
              <w:t>Reply Paid 9857</w:t>
            </w:r>
          </w:p>
          <w:p w14:paraId="7EE051F2" w14:textId="77777777" w:rsidR="00F33674" w:rsidRPr="00F33674" w:rsidRDefault="00F33674" w:rsidP="00F33674">
            <w:pPr>
              <w:jc w:val="left"/>
              <w:rPr>
                <w:rFonts w:ascii="Arial Narrow" w:hAnsi="Arial Narrow" w:cs="Arial"/>
                <w:sz w:val="20"/>
                <w:szCs w:val="20"/>
              </w:rPr>
            </w:pPr>
            <w:r w:rsidRPr="00F33674">
              <w:rPr>
                <w:rFonts w:ascii="Arial Narrow" w:hAnsi="Arial Narrow" w:cs="Arial"/>
                <w:sz w:val="20"/>
                <w:szCs w:val="20"/>
              </w:rPr>
              <w:t>[Your capital city]</w:t>
            </w:r>
          </w:p>
        </w:tc>
      </w:tr>
      <w:tr w:rsidR="00F33674" w:rsidRPr="00F33674" w14:paraId="519AD446" w14:textId="77777777" w:rsidTr="00C21DFA">
        <w:trPr>
          <w:cantSplit/>
          <w:trHeight w:val="360"/>
        </w:trPr>
        <w:tc>
          <w:tcPr>
            <w:tcW w:w="3183" w:type="dxa"/>
            <w:tcBorders>
              <w:top w:val="single" w:sz="4" w:space="0" w:color="auto"/>
              <w:left w:val="single" w:sz="4" w:space="0" w:color="auto"/>
              <w:bottom w:val="single" w:sz="4" w:space="0" w:color="auto"/>
              <w:right w:val="single" w:sz="4" w:space="0" w:color="auto"/>
            </w:tcBorders>
          </w:tcPr>
          <w:p w14:paraId="71F3808F" w14:textId="77777777" w:rsidR="00F33674" w:rsidRPr="00F33674" w:rsidRDefault="00F33674" w:rsidP="00F33674">
            <w:pPr>
              <w:rPr>
                <w:rFonts w:ascii="Arial Narrow" w:hAnsi="Arial Narrow" w:cs="Arial"/>
                <w:b/>
                <w:sz w:val="20"/>
                <w:szCs w:val="20"/>
              </w:rPr>
            </w:pPr>
            <w:r w:rsidRPr="00F33674">
              <w:rPr>
                <w:rFonts w:ascii="Arial Narrow" w:hAnsi="Arial Narrow" w:cs="Arial"/>
                <w:b/>
                <w:sz w:val="20"/>
                <w:szCs w:val="20"/>
              </w:rPr>
              <w:t>Cautions:</w:t>
            </w:r>
          </w:p>
        </w:tc>
        <w:tc>
          <w:tcPr>
            <w:tcW w:w="5889" w:type="dxa"/>
            <w:tcBorders>
              <w:top w:val="single" w:sz="4" w:space="0" w:color="auto"/>
              <w:left w:val="single" w:sz="4" w:space="0" w:color="auto"/>
              <w:bottom w:val="single" w:sz="4" w:space="0" w:color="auto"/>
              <w:right w:val="single" w:sz="4" w:space="0" w:color="auto"/>
            </w:tcBorders>
          </w:tcPr>
          <w:p w14:paraId="2597F4E6" w14:textId="77777777" w:rsidR="00F33674" w:rsidRPr="00F33674" w:rsidRDefault="00F33674" w:rsidP="00F33674">
            <w:pPr>
              <w:jc w:val="left"/>
              <w:rPr>
                <w:rFonts w:ascii="Arial Narrow" w:hAnsi="Arial Narrow" w:cs="Arial"/>
                <w:sz w:val="20"/>
                <w:szCs w:val="20"/>
              </w:rPr>
            </w:pPr>
            <w:r w:rsidRPr="00F33674">
              <w:rPr>
                <w:rFonts w:ascii="Arial Narrow" w:hAnsi="Arial Narrow" w:cs="Arial"/>
                <w:sz w:val="20"/>
                <w:szCs w:val="20"/>
              </w:rPr>
              <w:t>[6986] The risk of drug dependence is high.</w:t>
            </w:r>
          </w:p>
        </w:tc>
      </w:tr>
    </w:tbl>
    <w:p w14:paraId="7C0A0051" w14:textId="26BB2EDF" w:rsidR="002C42AC" w:rsidRDefault="002C42AC" w:rsidP="00193259">
      <w:pPr>
        <w:pStyle w:val="3-BodyText"/>
        <w:numPr>
          <w:ilvl w:val="0"/>
          <w:numId w:val="0"/>
        </w:numPr>
        <w:ind w:left="720" w:hanging="720"/>
      </w:pPr>
    </w:p>
    <w:tbl>
      <w:tblPr>
        <w:tblW w:w="9214" w:type="dxa"/>
        <w:tblInd w:w="-5" w:type="dxa"/>
        <w:tblLook w:val="0000" w:firstRow="0" w:lastRow="0" w:firstColumn="0" w:lastColumn="0" w:noHBand="0" w:noVBand="0"/>
      </w:tblPr>
      <w:tblGrid>
        <w:gridCol w:w="3183"/>
        <w:gridCol w:w="6031"/>
      </w:tblGrid>
      <w:tr w:rsidR="002C42AC" w:rsidRPr="00F33674" w14:paraId="4C9CADB1" w14:textId="77777777" w:rsidTr="00C21DFA">
        <w:trPr>
          <w:cantSplit/>
          <w:trHeight w:val="360"/>
        </w:trPr>
        <w:tc>
          <w:tcPr>
            <w:tcW w:w="3183" w:type="dxa"/>
            <w:tcBorders>
              <w:top w:val="single" w:sz="4" w:space="0" w:color="auto"/>
              <w:left w:val="single" w:sz="4" w:space="0" w:color="auto"/>
              <w:bottom w:val="single" w:sz="4" w:space="0" w:color="auto"/>
              <w:right w:val="single" w:sz="4" w:space="0" w:color="auto"/>
            </w:tcBorders>
          </w:tcPr>
          <w:p w14:paraId="3F754EC1" w14:textId="77777777" w:rsidR="002C42AC" w:rsidRPr="00F33674" w:rsidRDefault="002C42AC" w:rsidP="00265869">
            <w:pPr>
              <w:rPr>
                <w:rFonts w:ascii="Arial Narrow" w:hAnsi="Arial Narrow" w:cs="Arial"/>
                <w:b/>
                <w:sz w:val="20"/>
                <w:szCs w:val="20"/>
              </w:rPr>
            </w:pPr>
            <w:r w:rsidRPr="00F33674">
              <w:rPr>
                <w:rFonts w:ascii="Arial Narrow" w:hAnsi="Arial Narrow" w:cs="Arial"/>
                <w:b/>
                <w:sz w:val="20"/>
                <w:szCs w:val="20"/>
              </w:rPr>
              <w:t>Category / Program:</w:t>
            </w:r>
          </w:p>
        </w:tc>
        <w:tc>
          <w:tcPr>
            <w:tcW w:w="6031" w:type="dxa"/>
            <w:tcBorders>
              <w:top w:val="single" w:sz="4" w:space="0" w:color="auto"/>
              <w:left w:val="single" w:sz="4" w:space="0" w:color="auto"/>
              <w:bottom w:val="single" w:sz="4" w:space="0" w:color="auto"/>
              <w:right w:val="single" w:sz="4" w:space="0" w:color="auto"/>
            </w:tcBorders>
          </w:tcPr>
          <w:p w14:paraId="125B1E0E" w14:textId="77777777" w:rsidR="002C42AC" w:rsidRPr="00F33674" w:rsidRDefault="002C42AC" w:rsidP="00265869">
            <w:pPr>
              <w:rPr>
                <w:rFonts w:ascii="Arial Narrow" w:hAnsi="Arial Narrow" w:cs="Arial"/>
                <w:sz w:val="20"/>
                <w:szCs w:val="20"/>
              </w:rPr>
            </w:pPr>
            <w:r w:rsidRPr="00F33674">
              <w:rPr>
                <w:rFonts w:ascii="Arial Narrow" w:hAnsi="Arial Narrow" w:cs="Arial"/>
                <w:sz w:val="20"/>
                <w:szCs w:val="20"/>
              </w:rPr>
              <w:t>GENERAL – General Schedule (Code GE)</w:t>
            </w:r>
          </w:p>
        </w:tc>
      </w:tr>
      <w:tr w:rsidR="002C42AC" w:rsidRPr="00F33674" w14:paraId="69780765" w14:textId="77777777" w:rsidTr="00C21DFA">
        <w:trPr>
          <w:cantSplit/>
          <w:trHeight w:val="360"/>
        </w:trPr>
        <w:tc>
          <w:tcPr>
            <w:tcW w:w="3183" w:type="dxa"/>
            <w:tcBorders>
              <w:top w:val="single" w:sz="4" w:space="0" w:color="auto"/>
              <w:left w:val="single" w:sz="4" w:space="0" w:color="auto"/>
              <w:bottom w:val="single" w:sz="4" w:space="0" w:color="auto"/>
              <w:right w:val="single" w:sz="4" w:space="0" w:color="auto"/>
            </w:tcBorders>
          </w:tcPr>
          <w:p w14:paraId="31C03864" w14:textId="77777777" w:rsidR="002C42AC" w:rsidRPr="00F33674" w:rsidRDefault="002C42AC" w:rsidP="00265869">
            <w:pPr>
              <w:rPr>
                <w:rFonts w:ascii="Arial Narrow" w:hAnsi="Arial Narrow" w:cs="Arial"/>
                <w:b/>
                <w:sz w:val="20"/>
                <w:szCs w:val="20"/>
              </w:rPr>
            </w:pPr>
            <w:r w:rsidRPr="00F33674">
              <w:rPr>
                <w:rFonts w:ascii="Arial Narrow" w:hAnsi="Arial Narrow" w:cs="Arial"/>
                <w:b/>
                <w:sz w:val="20"/>
                <w:szCs w:val="20"/>
              </w:rPr>
              <w:t>Prescriber type:</w:t>
            </w:r>
          </w:p>
          <w:p w14:paraId="36402D0B" w14:textId="77777777" w:rsidR="002C42AC" w:rsidRPr="00F33674" w:rsidRDefault="002C42AC" w:rsidP="00265869">
            <w:pPr>
              <w:rPr>
                <w:rFonts w:ascii="Arial Narrow" w:hAnsi="Arial Narrow" w:cs="Arial"/>
                <w:b/>
                <w:sz w:val="20"/>
                <w:szCs w:val="20"/>
              </w:rPr>
            </w:pPr>
          </w:p>
        </w:tc>
        <w:tc>
          <w:tcPr>
            <w:tcW w:w="6031" w:type="dxa"/>
            <w:tcBorders>
              <w:top w:val="single" w:sz="4" w:space="0" w:color="auto"/>
              <w:left w:val="single" w:sz="4" w:space="0" w:color="auto"/>
              <w:bottom w:val="single" w:sz="4" w:space="0" w:color="auto"/>
              <w:right w:val="single" w:sz="4" w:space="0" w:color="auto"/>
            </w:tcBorders>
          </w:tcPr>
          <w:p w14:paraId="570CDB3B" w14:textId="77777777" w:rsidR="002C42AC" w:rsidRPr="00F33674" w:rsidRDefault="002C42AC" w:rsidP="00265869">
            <w:pPr>
              <w:rPr>
                <w:rFonts w:ascii="Arial Narrow" w:hAnsi="Arial Narrow" w:cs="Arial"/>
                <w:sz w:val="20"/>
                <w:szCs w:val="20"/>
              </w:rPr>
            </w:pPr>
            <w:r w:rsidRPr="00F33674">
              <w:rPr>
                <w:rFonts w:ascii="Arial Narrow" w:hAnsi="Arial Narrow" w:cs="Arial"/>
                <w:sz w:val="20"/>
                <w:szCs w:val="20"/>
              </w:rPr>
              <w:fldChar w:fldCharType="begin">
                <w:ffData>
                  <w:name w:val="Check1"/>
                  <w:enabled/>
                  <w:calcOnExit w:val="0"/>
                  <w:checkBox>
                    <w:sizeAuto/>
                    <w:default w:val="0"/>
                  </w:checkBox>
                </w:ffData>
              </w:fldChar>
            </w:r>
            <w:r w:rsidRPr="00F33674">
              <w:rPr>
                <w:rFonts w:ascii="Arial Narrow" w:hAnsi="Arial Narrow" w:cs="Arial"/>
                <w:sz w:val="20"/>
                <w:szCs w:val="20"/>
              </w:rPr>
              <w:instrText xml:space="preserve"> FORMCHECKBOX </w:instrText>
            </w:r>
            <w:r w:rsidR="00233D13">
              <w:rPr>
                <w:rFonts w:ascii="Arial Narrow" w:hAnsi="Arial Narrow" w:cs="Arial"/>
                <w:sz w:val="20"/>
                <w:szCs w:val="20"/>
              </w:rPr>
            </w:r>
            <w:r w:rsidR="00233D13">
              <w:rPr>
                <w:rFonts w:ascii="Arial Narrow" w:hAnsi="Arial Narrow" w:cs="Arial"/>
                <w:sz w:val="20"/>
                <w:szCs w:val="20"/>
              </w:rPr>
              <w:fldChar w:fldCharType="separate"/>
            </w:r>
            <w:r w:rsidRPr="00F33674">
              <w:rPr>
                <w:rFonts w:ascii="Arial Narrow" w:hAnsi="Arial Narrow" w:cs="Arial"/>
                <w:sz w:val="20"/>
                <w:szCs w:val="20"/>
              </w:rPr>
              <w:fldChar w:fldCharType="end"/>
            </w:r>
            <w:r w:rsidRPr="00F33674">
              <w:rPr>
                <w:rFonts w:ascii="Arial Narrow" w:hAnsi="Arial Narrow" w:cs="Arial"/>
                <w:sz w:val="20"/>
                <w:szCs w:val="20"/>
              </w:rPr>
              <w:t>Dental</w:t>
            </w:r>
            <w:r>
              <w:rPr>
                <w:rFonts w:ascii="Arial Narrow" w:hAnsi="Arial Narrow" w:cs="Arial"/>
                <w:sz w:val="20"/>
                <w:szCs w:val="20"/>
              </w:rPr>
              <w:t xml:space="preserve"> </w:t>
            </w:r>
            <w:r w:rsidRPr="00F33674">
              <w:rPr>
                <w:rFonts w:ascii="Arial Narrow" w:hAnsi="Arial Narrow" w:cs="Arial"/>
                <w:sz w:val="20"/>
                <w:szCs w:val="20"/>
              </w:rPr>
              <w:fldChar w:fldCharType="begin">
                <w:ffData>
                  <w:name w:val=""/>
                  <w:enabled/>
                  <w:calcOnExit w:val="0"/>
                  <w:checkBox>
                    <w:sizeAuto/>
                    <w:default w:val="1"/>
                  </w:checkBox>
                </w:ffData>
              </w:fldChar>
            </w:r>
            <w:r w:rsidRPr="00F33674">
              <w:rPr>
                <w:rFonts w:ascii="Arial Narrow" w:hAnsi="Arial Narrow" w:cs="Arial"/>
                <w:sz w:val="20"/>
                <w:szCs w:val="20"/>
              </w:rPr>
              <w:instrText xml:space="preserve"> FORMCHECKBOX </w:instrText>
            </w:r>
            <w:r w:rsidR="00233D13">
              <w:rPr>
                <w:rFonts w:ascii="Arial Narrow" w:hAnsi="Arial Narrow" w:cs="Arial"/>
                <w:sz w:val="20"/>
                <w:szCs w:val="20"/>
              </w:rPr>
            </w:r>
            <w:r w:rsidR="00233D13">
              <w:rPr>
                <w:rFonts w:ascii="Arial Narrow" w:hAnsi="Arial Narrow" w:cs="Arial"/>
                <w:sz w:val="20"/>
                <w:szCs w:val="20"/>
              </w:rPr>
              <w:fldChar w:fldCharType="separate"/>
            </w:r>
            <w:r w:rsidRPr="00F33674">
              <w:rPr>
                <w:rFonts w:ascii="Arial Narrow" w:hAnsi="Arial Narrow" w:cs="Arial"/>
                <w:sz w:val="20"/>
                <w:szCs w:val="20"/>
              </w:rPr>
              <w:fldChar w:fldCharType="end"/>
            </w:r>
            <w:r w:rsidRPr="00F33674">
              <w:rPr>
                <w:rFonts w:ascii="Arial Narrow" w:hAnsi="Arial Narrow" w:cs="Arial"/>
                <w:sz w:val="20"/>
                <w:szCs w:val="20"/>
              </w:rPr>
              <w:t>Medical Practitioners</w:t>
            </w:r>
            <w:r>
              <w:rPr>
                <w:rFonts w:ascii="Arial Narrow" w:hAnsi="Arial Narrow" w:cs="Arial"/>
                <w:sz w:val="20"/>
                <w:szCs w:val="20"/>
              </w:rPr>
              <w:t xml:space="preserve"> </w:t>
            </w:r>
            <w:r w:rsidRPr="00F33674">
              <w:rPr>
                <w:rFonts w:ascii="Arial Narrow" w:hAnsi="Arial Narrow" w:cs="Arial"/>
                <w:sz w:val="20"/>
                <w:szCs w:val="20"/>
              </w:rPr>
              <w:fldChar w:fldCharType="begin">
                <w:ffData>
                  <w:name w:val="Check3"/>
                  <w:enabled/>
                  <w:calcOnExit w:val="0"/>
                  <w:checkBox>
                    <w:sizeAuto/>
                    <w:default w:val="1"/>
                  </w:checkBox>
                </w:ffData>
              </w:fldChar>
            </w:r>
            <w:r w:rsidRPr="00F33674">
              <w:rPr>
                <w:rFonts w:ascii="Arial Narrow" w:hAnsi="Arial Narrow" w:cs="Arial"/>
                <w:sz w:val="20"/>
                <w:szCs w:val="20"/>
              </w:rPr>
              <w:instrText xml:space="preserve"> FORMCHECKBOX </w:instrText>
            </w:r>
            <w:r w:rsidR="00233D13">
              <w:rPr>
                <w:rFonts w:ascii="Arial Narrow" w:hAnsi="Arial Narrow" w:cs="Arial"/>
                <w:sz w:val="20"/>
                <w:szCs w:val="20"/>
              </w:rPr>
            </w:r>
            <w:r w:rsidR="00233D13">
              <w:rPr>
                <w:rFonts w:ascii="Arial Narrow" w:hAnsi="Arial Narrow" w:cs="Arial"/>
                <w:sz w:val="20"/>
                <w:szCs w:val="20"/>
              </w:rPr>
              <w:fldChar w:fldCharType="separate"/>
            </w:r>
            <w:r w:rsidRPr="00F33674">
              <w:rPr>
                <w:rFonts w:ascii="Arial Narrow" w:hAnsi="Arial Narrow" w:cs="Arial"/>
                <w:sz w:val="20"/>
                <w:szCs w:val="20"/>
              </w:rPr>
              <w:fldChar w:fldCharType="end"/>
            </w:r>
            <w:r w:rsidRPr="00F33674">
              <w:rPr>
                <w:rFonts w:ascii="Arial Narrow" w:hAnsi="Arial Narrow" w:cs="Arial"/>
                <w:sz w:val="20"/>
                <w:szCs w:val="20"/>
              </w:rPr>
              <w:t>Nurse practitioners</w:t>
            </w:r>
            <w:r>
              <w:rPr>
                <w:rFonts w:ascii="Arial Narrow" w:hAnsi="Arial Narrow" w:cs="Arial"/>
                <w:sz w:val="20"/>
                <w:szCs w:val="20"/>
              </w:rPr>
              <w:t xml:space="preserve"> </w:t>
            </w:r>
            <w:r w:rsidRPr="00F33674">
              <w:rPr>
                <w:rFonts w:ascii="Arial Narrow" w:hAnsi="Arial Narrow" w:cs="Arial"/>
                <w:sz w:val="20"/>
                <w:szCs w:val="20"/>
              </w:rPr>
              <w:fldChar w:fldCharType="begin">
                <w:ffData>
                  <w:name w:val=""/>
                  <w:enabled/>
                  <w:calcOnExit w:val="0"/>
                  <w:checkBox>
                    <w:sizeAuto/>
                    <w:default w:val="0"/>
                  </w:checkBox>
                </w:ffData>
              </w:fldChar>
            </w:r>
            <w:r w:rsidRPr="00F33674">
              <w:rPr>
                <w:rFonts w:ascii="Arial Narrow" w:hAnsi="Arial Narrow" w:cs="Arial"/>
                <w:sz w:val="20"/>
                <w:szCs w:val="20"/>
              </w:rPr>
              <w:instrText xml:space="preserve"> FORMCHECKBOX </w:instrText>
            </w:r>
            <w:r w:rsidR="00233D13">
              <w:rPr>
                <w:rFonts w:ascii="Arial Narrow" w:hAnsi="Arial Narrow" w:cs="Arial"/>
                <w:sz w:val="20"/>
                <w:szCs w:val="20"/>
              </w:rPr>
            </w:r>
            <w:r w:rsidR="00233D13">
              <w:rPr>
                <w:rFonts w:ascii="Arial Narrow" w:hAnsi="Arial Narrow" w:cs="Arial"/>
                <w:sz w:val="20"/>
                <w:szCs w:val="20"/>
              </w:rPr>
              <w:fldChar w:fldCharType="separate"/>
            </w:r>
            <w:r w:rsidRPr="00F33674">
              <w:rPr>
                <w:rFonts w:ascii="Arial Narrow" w:hAnsi="Arial Narrow" w:cs="Arial"/>
                <w:sz w:val="20"/>
                <w:szCs w:val="20"/>
              </w:rPr>
              <w:fldChar w:fldCharType="end"/>
            </w:r>
            <w:r w:rsidRPr="00F33674">
              <w:rPr>
                <w:rFonts w:ascii="Arial Narrow" w:hAnsi="Arial Narrow" w:cs="Arial"/>
                <w:sz w:val="20"/>
                <w:szCs w:val="20"/>
              </w:rPr>
              <w:t>Optometrists</w:t>
            </w:r>
          </w:p>
          <w:p w14:paraId="23435747" w14:textId="77777777" w:rsidR="002C42AC" w:rsidRPr="00F33674" w:rsidRDefault="002C42AC" w:rsidP="00265869">
            <w:pPr>
              <w:rPr>
                <w:rFonts w:ascii="Arial Narrow" w:hAnsi="Arial Narrow" w:cs="Arial"/>
                <w:sz w:val="20"/>
                <w:szCs w:val="20"/>
              </w:rPr>
            </w:pPr>
            <w:r w:rsidRPr="00F33674">
              <w:rPr>
                <w:rFonts w:ascii="Arial Narrow" w:hAnsi="Arial Narrow" w:cs="Arial"/>
                <w:sz w:val="20"/>
                <w:szCs w:val="20"/>
              </w:rPr>
              <w:fldChar w:fldCharType="begin">
                <w:ffData>
                  <w:name w:val="Check5"/>
                  <w:enabled/>
                  <w:calcOnExit w:val="0"/>
                  <w:checkBox>
                    <w:sizeAuto/>
                    <w:default w:val="0"/>
                  </w:checkBox>
                </w:ffData>
              </w:fldChar>
            </w:r>
            <w:r w:rsidRPr="00F33674">
              <w:rPr>
                <w:rFonts w:ascii="Arial Narrow" w:hAnsi="Arial Narrow" w:cs="Arial"/>
                <w:sz w:val="20"/>
                <w:szCs w:val="20"/>
              </w:rPr>
              <w:instrText xml:space="preserve"> FORMCHECKBOX </w:instrText>
            </w:r>
            <w:r w:rsidR="00233D13">
              <w:rPr>
                <w:rFonts w:ascii="Arial Narrow" w:hAnsi="Arial Narrow" w:cs="Arial"/>
                <w:sz w:val="20"/>
                <w:szCs w:val="20"/>
              </w:rPr>
            </w:r>
            <w:r w:rsidR="00233D13">
              <w:rPr>
                <w:rFonts w:ascii="Arial Narrow" w:hAnsi="Arial Narrow" w:cs="Arial"/>
                <w:sz w:val="20"/>
                <w:szCs w:val="20"/>
              </w:rPr>
              <w:fldChar w:fldCharType="separate"/>
            </w:r>
            <w:r w:rsidRPr="00F33674">
              <w:rPr>
                <w:rFonts w:ascii="Arial Narrow" w:hAnsi="Arial Narrow" w:cs="Arial"/>
                <w:sz w:val="20"/>
                <w:szCs w:val="20"/>
              </w:rPr>
              <w:fldChar w:fldCharType="end"/>
            </w:r>
            <w:r w:rsidRPr="00F33674">
              <w:rPr>
                <w:rFonts w:ascii="Arial Narrow" w:hAnsi="Arial Narrow" w:cs="Arial"/>
                <w:sz w:val="20"/>
                <w:szCs w:val="20"/>
              </w:rPr>
              <w:t>Midwives</w:t>
            </w:r>
          </w:p>
        </w:tc>
      </w:tr>
      <w:tr w:rsidR="002C42AC" w:rsidRPr="00F33674" w14:paraId="27BA3821" w14:textId="77777777" w:rsidTr="00C21DFA">
        <w:trPr>
          <w:cantSplit/>
          <w:trHeight w:val="369"/>
        </w:trPr>
        <w:tc>
          <w:tcPr>
            <w:tcW w:w="3183" w:type="dxa"/>
            <w:tcBorders>
              <w:top w:val="single" w:sz="4" w:space="0" w:color="auto"/>
              <w:left w:val="single" w:sz="4" w:space="0" w:color="auto"/>
              <w:bottom w:val="single" w:sz="4" w:space="0" w:color="auto"/>
              <w:right w:val="single" w:sz="4" w:space="0" w:color="auto"/>
            </w:tcBorders>
          </w:tcPr>
          <w:p w14:paraId="3CC0AE45" w14:textId="77777777" w:rsidR="002C42AC" w:rsidRPr="00F33674" w:rsidRDefault="002C42AC" w:rsidP="00265869">
            <w:pPr>
              <w:rPr>
                <w:rFonts w:ascii="Arial Narrow" w:hAnsi="Arial Narrow" w:cs="Arial"/>
                <w:b/>
                <w:sz w:val="20"/>
                <w:szCs w:val="20"/>
              </w:rPr>
            </w:pPr>
            <w:r w:rsidRPr="00F33674">
              <w:rPr>
                <w:rFonts w:ascii="Arial Narrow" w:hAnsi="Arial Narrow" w:cs="Arial"/>
                <w:b/>
                <w:sz w:val="20"/>
                <w:szCs w:val="20"/>
              </w:rPr>
              <w:t>PBS indication:</w:t>
            </w:r>
          </w:p>
        </w:tc>
        <w:tc>
          <w:tcPr>
            <w:tcW w:w="6031" w:type="dxa"/>
            <w:tcBorders>
              <w:top w:val="single" w:sz="4" w:space="0" w:color="auto"/>
              <w:left w:val="single" w:sz="4" w:space="0" w:color="auto"/>
              <w:bottom w:val="single" w:sz="4" w:space="0" w:color="auto"/>
              <w:right w:val="single" w:sz="4" w:space="0" w:color="auto"/>
            </w:tcBorders>
          </w:tcPr>
          <w:p w14:paraId="46EA5B37" w14:textId="77777777" w:rsidR="002C42AC" w:rsidRPr="00F33674" w:rsidRDefault="002C42AC" w:rsidP="00265869">
            <w:pPr>
              <w:rPr>
                <w:rFonts w:ascii="Arial Narrow" w:hAnsi="Arial Narrow" w:cs="Arial"/>
                <w:sz w:val="20"/>
                <w:szCs w:val="20"/>
              </w:rPr>
            </w:pPr>
            <w:r w:rsidRPr="00F33674">
              <w:rPr>
                <w:rFonts w:ascii="Arial Narrow" w:hAnsi="Arial Narrow" w:cs="Arial"/>
                <w:sz w:val="20"/>
                <w:szCs w:val="20"/>
              </w:rPr>
              <w:t>[9729] Chronic severe disabling pain</w:t>
            </w:r>
          </w:p>
        </w:tc>
      </w:tr>
      <w:tr w:rsidR="002C42AC" w:rsidRPr="00F33674" w14:paraId="64DBDD63" w14:textId="77777777" w:rsidTr="00C21DFA">
        <w:trPr>
          <w:cantSplit/>
          <w:trHeight w:val="360"/>
        </w:trPr>
        <w:tc>
          <w:tcPr>
            <w:tcW w:w="3183" w:type="dxa"/>
            <w:tcBorders>
              <w:top w:val="single" w:sz="4" w:space="0" w:color="auto"/>
              <w:left w:val="single" w:sz="4" w:space="0" w:color="auto"/>
              <w:bottom w:val="single" w:sz="4" w:space="0" w:color="auto"/>
              <w:right w:val="single" w:sz="4" w:space="0" w:color="auto"/>
            </w:tcBorders>
          </w:tcPr>
          <w:p w14:paraId="2E081A17" w14:textId="77777777" w:rsidR="002C42AC" w:rsidRPr="00F33674" w:rsidRDefault="002C42AC" w:rsidP="00265869">
            <w:pPr>
              <w:rPr>
                <w:rFonts w:ascii="Arial Narrow" w:hAnsi="Arial Narrow" w:cs="Arial"/>
                <w:b/>
                <w:sz w:val="20"/>
                <w:szCs w:val="20"/>
              </w:rPr>
            </w:pPr>
            <w:r w:rsidRPr="00F33674">
              <w:rPr>
                <w:rFonts w:ascii="Arial Narrow" w:hAnsi="Arial Narrow" w:cs="Arial"/>
                <w:b/>
                <w:sz w:val="20"/>
                <w:szCs w:val="20"/>
              </w:rPr>
              <w:t>Restriction Level / Method:</w:t>
            </w:r>
          </w:p>
          <w:p w14:paraId="07DD9E81" w14:textId="77777777" w:rsidR="002C42AC" w:rsidRPr="00F33674" w:rsidRDefault="002C42AC" w:rsidP="00265869">
            <w:pPr>
              <w:rPr>
                <w:rFonts w:ascii="Arial Narrow" w:hAnsi="Arial Narrow" w:cs="Arial"/>
                <w:i/>
                <w:sz w:val="20"/>
                <w:szCs w:val="20"/>
              </w:rPr>
            </w:pPr>
          </w:p>
          <w:p w14:paraId="5C166C8A" w14:textId="77777777" w:rsidR="002C42AC" w:rsidRPr="00F33674" w:rsidRDefault="002C42AC" w:rsidP="00265869">
            <w:pPr>
              <w:rPr>
                <w:rFonts w:ascii="Arial Narrow" w:hAnsi="Arial Narrow" w:cs="Arial"/>
                <w:i/>
                <w:sz w:val="20"/>
                <w:szCs w:val="20"/>
              </w:rPr>
            </w:pPr>
          </w:p>
          <w:p w14:paraId="634ED461" w14:textId="77777777" w:rsidR="002C42AC" w:rsidRPr="00F33674" w:rsidRDefault="002C42AC" w:rsidP="00265869">
            <w:pPr>
              <w:rPr>
                <w:rFonts w:ascii="Arial Narrow" w:hAnsi="Arial Narrow" w:cs="Arial"/>
                <w:i/>
                <w:sz w:val="20"/>
                <w:szCs w:val="20"/>
              </w:rPr>
            </w:pPr>
          </w:p>
        </w:tc>
        <w:tc>
          <w:tcPr>
            <w:tcW w:w="6031" w:type="dxa"/>
            <w:tcBorders>
              <w:top w:val="single" w:sz="4" w:space="0" w:color="auto"/>
              <w:left w:val="single" w:sz="4" w:space="0" w:color="auto"/>
              <w:bottom w:val="single" w:sz="4" w:space="0" w:color="auto"/>
              <w:right w:val="single" w:sz="4" w:space="0" w:color="auto"/>
            </w:tcBorders>
          </w:tcPr>
          <w:p w14:paraId="62367CCE" w14:textId="77777777" w:rsidR="002C42AC" w:rsidRPr="00F33674" w:rsidRDefault="002C42AC" w:rsidP="00265869">
            <w:pPr>
              <w:rPr>
                <w:rFonts w:ascii="Arial Narrow" w:hAnsi="Arial Narrow" w:cs="Arial"/>
                <w:sz w:val="20"/>
                <w:szCs w:val="20"/>
              </w:rPr>
            </w:pPr>
            <w:r w:rsidRPr="00F33674">
              <w:rPr>
                <w:rFonts w:ascii="Arial Narrow" w:hAnsi="Arial Narrow" w:cs="Arial"/>
                <w:sz w:val="20"/>
                <w:szCs w:val="20"/>
              </w:rPr>
              <w:fldChar w:fldCharType="begin">
                <w:ffData>
                  <w:name w:val=""/>
                  <w:enabled/>
                  <w:calcOnExit w:val="0"/>
                  <w:checkBox>
                    <w:sizeAuto/>
                    <w:default w:val="0"/>
                  </w:checkBox>
                </w:ffData>
              </w:fldChar>
            </w:r>
            <w:r w:rsidRPr="00F33674">
              <w:rPr>
                <w:rFonts w:ascii="Arial Narrow" w:hAnsi="Arial Narrow" w:cs="Arial"/>
                <w:sz w:val="20"/>
                <w:szCs w:val="20"/>
              </w:rPr>
              <w:instrText xml:space="preserve"> FORMCHECKBOX </w:instrText>
            </w:r>
            <w:r w:rsidR="00233D13">
              <w:rPr>
                <w:rFonts w:ascii="Arial Narrow" w:hAnsi="Arial Narrow" w:cs="Arial"/>
                <w:sz w:val="20"/>
                <w:szCs w:val="20"/>
              </w:rPr>
            </w:r>
            <w:r w:rsidR="00233D13">
              <w:rPr>
                <w:rFonts w:ascii="Arial Narrow" w:hAnsi="Arial Narrow" w:cs="Arial"/>
                <w:sz w:val="20"/>
                <w:szCs w:val="20"/>
              </w:rPr>
              <w:fldChar w:fldCharType="separate"/>
            </w:r>
            <w:r w:rsidRPr="00F33674">
              <w:rPr>
                <w:rFonts w:ascii="Arial Narrow" w:hAnsi="Arial Narrow" w:cs="Arial"/>
                <w:sz w:val="20"/>
                <w:szCs w:val="20"/>
              </w:rPr>
              <w:fldChar w:fldCharType="end"/>
            </w:r>
            <w:r w:rsidRPr="00F33674">
              <w:rPr>
                <w:rFonts w:ascii="Arial Narrow" w:hAnsi="Arial Narrow" w:cs="Arial"/>
                <w:sz w:val="20"/>
                <w:szCs w:val="20"/>
              </w:rPr>
              <w:t>Unrestricted benefit</w:t>
            </w:r>
          </w:p>
          <w:p w14:paraId="5F5ED66E" w14:textId="77777777" w:rsidR="002C42AC" w:rsidRPr="00F33674" w:rsidRDefault="002C42AC" w:rsidP="00265869">
            <w:pPr>
              <w:rPr>
                <w:rFonts w:ascii="Arial Narrow" w:hAnsi="Arial Narrow" w:cs="Arial"/>
                <w:i/>
                <w:sz w:val="20"/>
                <w:szCs w:val="20"/>
              </w:rPr>
            </w:pPr>
            <w:r w:rsidRPr="00F33674">
              <w:rPr>
                <w:rFonts w:ascii="Arial Narrow" w:hAnsi="Arial Narrow" w:cs="Arial"/>
                <w:i/>
                <w:sz w:val="20"/>
                <w:szCs w:val="20"/>
              </w:rPr>
              <w:fldChar w:fldCharType="begin">
                <w:ffData>
                  <w:name w:val=""/>
                  <w:enabled/>
                  <w:calcOnExit w:val="0"/>
                  <w:checkBox>
                    <w:sizeAuto/>
                    <w:default w:val="0"/>
                  </w:checkBox>
                </w:ffData>
              </w:fldChar>
            </w:r>
            <w:r w:rsidRPr="00F33674">
              <w:rPr>
                <w:rFonts w:ascii="Arial Narrow" w:hAnsi="Arial Narrow" w:cs="Arial"/>
                <w:i/>
                <w:sz w:val="20"/>
                <w:szCs w:val="20"/>
              </w:rPr>
              <w:instrText xml:space="preserve"> FORMCHECKBOX </w:instrText>
            </w:r>
            <w:r w:rsidR="00233D13">
              <w:rPr>
                <w:rFonts w:ascii="Arial Narrow" w:hAnsi="Arial Narrow" w:cs="Arial"/>
                <w:i/>
                <w:sz w:val="20"/>
                <w:szCs w:val="20"/>
              </w:rPr>
            </w:r>
            <w:r w:rsidR="00233D13">
              <w:rPr>
                <w:rFonts w:ascii="Arial Narrow" w:hAnsi="Arial Narrow" w:cs="Arial"/>
                <w:i/>
                <w:sz w:val="20"/>
                <w:szCs w:val="20"/>
              </w:rPr>
              <w:fldChar w:fldCharType="separate"/>
            </w:r>
            <w:r w:rsidRPr="00F33674">
              <w:rPr>
                <w:rFonts w:ascii="Arial Narrow" w:hAnsi="Arial Narrow" w:cs="Arial"/>
                <w:i/>
                <w:sz w:val="20"/>
                <w:szCs w:val="20"/>
              </w:rPr>
              <w:fldChar w:fldCharType="end"/>
            </w:r>
            <w:r w:rsidRPr="00F33674">
              <w:rPr>
                <w:rFonts w:ascii="Arial Narrow" w:hAnsi="Arial Narrow" w:cs="Arial"/>
                <w:sz w:val="20"/>
                <w:szCs w:val="20"/>
              </w:rPr>
              <w:t>Restricted benefit</w:t>
            </w:r>
          </w:p>
          <w:p w14:paraId="545533DE" w14:textId="77777777" w:rsidR="002C42AC" w:rsidRPr="00F33674" w:rsidRDefault="002C42AC" w:rsidP="00265869">
            <w:pPr>
              <w:rPr>
                <w:rFonts w:ascii="Arial Narrow" w:hAnsi="Arial Narrow" w:cs="Arial"/>
                <w:sz w:val="20"/>
                <w:szCs w:val="20"/>
              </w:rPr>
            </w:pPr>
            <w:r w:rsidRPr="00F33674">
              <w:rPr>
                <w:rFonts w:ascii="Arial Narrow" w:hAnsi="Arial Narrow" w:cs="Arial"/>
                <w:sz w:val="20"/>
                <w:szCs w:val="20"/>
              </w:rPr>
              <w:fldChar w:fldCharType="begin">
                <w:ffData>
                  <w:name w:val=""/>
                  <w:enabled/>
                  <w:calcOnExit w:val="0"/>
                  <w:checkBox>
                    <w:sizeAuto/>
                    <w:default w:val="0"/>
                  </w:checkBox>
                </w:ffData>
              </w:fldChar>
            </w:r>
            <w:r w:rsidRPr="00F33674">
              <w:rPr>
                <w:rFonts w:ascii="Arial Narrow" w:hAnsi="Arial Narrow" w:cs="Arial"/>
                <w:sz w:val="20"/>
                <w:szCs w:val="20"/>
              </w:rPr>
              <w:instrText xml:space="preserve"> FORMCHECKBOX </w:instrText>
            </w:r>
            <w:r w:rsidR="00233D13">
              <w:rPr>
                <w:rFonts w:ascii="Arial Narrow" w:hAnsi="Arial Narrow" w:cs="Arial"/>
                <w:sz w:val="20"/>
                <w:szCs w:val="20"/>
              </w:rPr>
            </w:r>
            <w:r w:rsidR="00233D13">
              <w:rPr>
                <w:rFonts w:ascii="Arial Narrow" w:hAnsi="Arial Narrow" w:cs="Arial"/>
                <w:sz w:val="20"/>
                <w:szCs w:val="20"/>
              </w:rPr>
              <w:fldChar w:fldCharType="separate"/>
            </w:r>
            <w:r w:rsidRPr="00F33674">
              <w:rPr>
                <w:rFonts w:ascii="Arial Narrow" w:hAnsi="Arial Narrow" w:cs="Arial"/>
                <w:sz w:val="20"/>
                <w:szCs w:val="20"/>
              </w:rPr>
              <w:fldChar w:fldCharType="end"/>
            </w:r>
            <w:r w:rsidRPr="00F33674">
              <w:rPr>
                <w:rFonts w:ascii="Arial Narrow" w:hAnsi="Arial Narrow" w:cs="Arial"/>
                <w:sz w:val="20"/>
                <w:szCs w:val="20"/>
              </w:rPr>
              <w:t>Authority Required – In Writing</w:t>
            </w:r>
          </w:p>
          <w:p w14:paraId="63B3B9CB" w14:textId="77777777" w:rsidR="002C42AC" w:rsidRPr="00F33674" w:rsidRDefault="002C42AC" w:rsidP="00265869">
            <w:pPr>
              <w:rPr>
                <w:rFonts w:ascii="Arial Narrow" w:hAnsi="Arial Narrow" w:cs="Arial"/>
                <w:sz w:val="20"/>
                <w:szCs w:val="20"/>
              </w:rPr>
            </w:pPr>
            <w:r w:rsidRPr="00F33674">
              <w:rPr>
                <w:rFonts w:ascii="Arial Narrow" w:hAnsi="Arial Narrow" w:cs="Arial"/>
                <w:sz w:val="20"/>
                <w:szCs w:val="20"/>
              </w:rPr>
              <w:fldChar w:fldCharType="begin">
                <w:ffData>
                  <w:name w:val="Check3"/>
                  <w:enabled/>
                  <w:calcOnExit w:val="0"/>
                  <w:checkBox>
                    <w:sizeAuto/>
                    <w:default w:val="0"/>
                  </w:checkBox>
                </w:ffData>
              </w:fldChar>
            </w:r>
            <w:r w:rsidRPr="00F33674">
              <w:rPr>
                <w:rFonts w:ascii="Arial Narrow" w:hAnsi="Arial Narrow" w:cs="Arial"/>
                <w:sz w:val="20"/>
                <w:szCs w:val="20"/>
              </w:rPr>
              <w:instrText xml:space="preserve"> FORMCHECKBOX </w:instrText>
            </w:r>
            <w:r w:rsidR="00233D13">
              <w:rPr>
                <w:rFonts w:ascii="Arial Narrow" w:hAnsi="Arial Narrow" w:cs="Arial"/>
                <w:sz w:val="20"/>
                <w:szCs w:val="20"/>
              </w:rPr>
            </w:r>
            <w:r w:rsidR="00233D13">
              <w:rPr>
                <w:rFonts w:ascii="Arial Narrow" w:hAnsi="Arial Narrow" w:cs="Arial"/>
                <w:sz w:val="20"/>
                <w:szCs w:val="20"/>
              </w:rPr>
              <w:fldChar w:fldCharType="separate"/>
            </w:r>
            <w:r w:rsidRPr="00F33674">
              <w:rPr>
                <w:rFonts w:ascii="Arial Narrow" w:hAnsi="Arial Narrow" w:cs="Arial"/>
                <w:sz w:val="20"/>
                <w:szCs w:val="20"/>
              </w:rPr>
              <w:fldChar w:fldCharType="end"/>
            </w:r>
            <w:r w:rsidRPr="00F33674">
              <w:rPr>
                <w:rFonts w:ascii="Arial Narrow" w:hAnsi="Arial Narrow" w:cs="Arial"/>
                <w:sz w:val="20"/>
                <w:szCs w:val="20"/>
              </w:rPr>
              <w:t>Authority Required – Telephone/Electronic/Emergency</w:t>
            </w:r>
          </w:p>
          <w:p w14:paraId="00EB7B0A" w14:textId="77777777" w:rsidR="002C42AC" w:rsidRPr="00F33674" w:rsidRDefault="002C42AC" w:rsidP="00265869">
            <w:pPr>
              <w:rPr>
                <w:rFonts w:ascii="Arial Narrow" w:hAnsi="Arial Narrow" w:cs="Arial"/>
                <w:sz w:val="20"/>
                <w:szCs w:val="20"/>
              </w:rPr>
            </w:pPr>
            <w:r w:rsidRPr="00F33674">
              <w:rPr>
                <w:rFonts w:ascii="Arial Narrow" w:hAnsi="Arial Narrow" w:cs="Arial"/>
                <w:sz w:val="20"/>
                <w:szCs w:val="20"/>
              </w:rPr>
              <w:fldChar w:fldCharType="begin">
                <w:ffData>
                  <w:name w:val="Check5"/>
                  <w:enabled/>
                  <w:calcOnExit w:val="0"/>
                  <w:checkBox>
                    <w:sizeAuto/>
                    <w:default w:val="1"/>
                  </w:checkBox>
                </w:ffData>
              </w:fldChar>
            </w:r>
            <w:r w:rsidRPr="00F33674">
              <w:rPr>
                <w:rFonts w:ascii="Arial Narrow" w:hAnsi="Arial Narrow" w:cs="Arial"/>
                <w:sz w:val="20"/>
                <w:szCs w:val="20"/>
              </w:rPr>
              <w:instrText xml:space="preserve"> FORMCHECKBOX </w:instrText>
            </w:r>
            <w:r w:rsidR="00233D13">
              <w:rPr>
                <w:rFonts w:ascii="Arial Narrow" w:hAnsi="Arial Narrow" w:cs="Arial"/>
                <w:sz w:val="20"/>
                <w:szCs w:val="20"/>
              </w:rPr>
            </w:r>
            <w:r w:rsidR="00233D13">
              <w:rPr>
                <w:rFonts w:ascii="Arial Narrow" w:hAnsi="Arial Narrow" w:cs="Arial"/>
                <w:sz w:val="20"/>
                <w:szCs w:val="20"/>
              </w:rPr>
              <w:fldChar w:fldCharType="separate"/>
            </w:r>
            <w:r w:rsidRPr="00F33674">
              <w:rPr>
                <w:rFonts w:ascii="Arial Narrow" w:hAnsi="Arial Narrow" w:cs="Arial"/>
                <w:sz w:val="20"/>
                <w:szCs w:val="20"/>
              </w:rPr>
              <w:fldChar w:fldCharType="end"/>
            </w:r>
            <w:r w:rsidRPr="00F33674">
              <w:rPr>
                <w:rFonts w:ascii="Arial Narrow" w:hAnsi="Arial Narrow" w:cs="Arial"/>
                <w:sz w:val="20"/>
                <w:szCs w:val="20"/>
              </w:rPr>
              <w:t>Streamlined</w:t>
            </w:r>
          </w:p>
        </w:tc>
      </w:tr>
      <w:tr w:rsidR="002C42AC" w:rsidRPr="00F33674" w14:paraId="76229595" w14:textId="77777777" w:rsidTr="00C21DFA">
        <w:trPr>
          <w:cantSplit/>
          <w:trHeight w:val="360"/>
        </w:trPr>
        <w:tc>
          <w:tcPr>
            <w:tcW w:w="3183" w:type="dxa"/>
            <w:tcBorders>
              <w:top w:val="single" w:sz="4" w:space="0" w:color="auto"/>
              <w:left w:val="single" w:sz="4" w:space="0" w:color="auto"/>
              <w:bottom w:val="single" w:sz="4" w:space="0" w:color="auto"/>
              <w:right w:val="single" w:sz="4" w:space="0" w:color="auto"/>
            </w:tcBorders>
          </w:tcPr>
          <w:p w14:paraId="61C905FE" w14:textId="77777777" w:rsidR="002C42AC" w:rsidRPr="00F33674" w:rsidRDefault="002C42AC" w:rsidP="00265869">
            <w:pPr>
              <w:rPr>
                <w:rFonts w:ascii="Arial Narrow" w:hAnsi="Arial Narrow" w:cs="Arial"/>
                <w:b/>
                <w:sz w:val="20"/>
                <w:szCs w:val="20"/>
              </w:rPr>
            </w:pPr>
            <w:r>
              <w:rPr>
                <w:rFonts w:ascii="Arial Narrow" w:hAnsi="Arial Narrow" w:cs="Arial"/>
                <w:b/>
                <w:sz w:val="20"/>
                <w:szCs w:val="20"/>
              </w:rPr>
              <w:t>Treatment phase:</w:t>
            </w:r>
          </w:p>
        </w:tc>
        <w:tc>
          <w:tcPr>
            <w:tcW w:w="6031" w:type="dxa"/>
            <w:tcBorders>
              <w:top w:val="single" w:sz="4" w:space="0" w:color="auto"/>
              <w:left w:val="single" w:sz="4" w:space="0" w:color="auto"/>
              <w:bottom w:val="single" w:sz="4" w:space="0" w:color="auto"/>
              <w:right w:val="single" w:sz="4" w:space="0" w:color="auto"/>
            </w:tcBorders>
          </w:tcPr>
          <w:p w14:paraId="77F7BD35" w14:textId="023F2E96" w:rsidR="002C42AC" w:rsidRPr="00F33674" w:rsidRDefault="002C42AC">
            <w:pPr>
              <w:jc w:val="left"/>
              <w:rPr>
                <w:rFonts w:ascii="Arial Narrow" w:hAnsi="Arial Narrow" w:cs="Arial"/>
                <w:sz w:val="20"/>
                <w:szCs w:val="20"/>
              </w:rPr>
            </w:pPr>
            <w:r w:rsidRPr="004811F3">
              <w:rPr>
                <w:rFonts w:ascii="Arial Narrow" w:hAnsi="Arial Narrow" w:cs="Arial"/>
                <w:sz w:val="20"/>
                <w:szCs w:val="20"/>
              </w:rPr>
              <w:t xml:space="preserve">Initial PBS treatment after 1 June 2020 where patient </w:t>
            </w:r>
            <w:proofErr w:type="gramStart"/>
            <w:r w:rsidRPr="004811F3">
              <w:rPr>
                <w:rFonts w:ascii="Arial Narrow" w:hAnsi="Arial Narrow" w:cs="Arial"/>
                <w:sz w:val="20"/>
                <w:szCs w:val="20"/>
              </w:rPr>
              <w:t>has been treated</w:t>
            </w:r>
            <w:proofErr w:type="gramEnd"/>
            <w:r w:rsidRPr="004811F3">
              <w:rPr>
                <w:rFonts w:ascii="Arial Narrow" w:hAnsi="Arial Narrow" w:cs="Arial"/>
                <w:sz w:val="20"/>
                <w:szCs w:val="20"/>
              </w:rPr>
              <w:t xml:space="preserve"> with opioids for </w:t>
            </w:r>
            <w:r w:rsidR="00744FB8">
              <w:rPr>
                <w:rFonts w:ascii="Arial Narrow" w:hAnsi="Arial Narrow" w:cs="Arial"/>
                <w:sz w:val="20"/>
                <w:szCs w:val="20"/>
              </w:rPr>
              <w:t>more</w:t>
            </w:r>
            <w:r w:rsidRPr="004811F3">
              <w:rPr>
                <w:rFonts w:ascii="Arial Narrow" w:hAnsi="Arial Narrow" w:cs="Arial"/>
                <w:sz w:val="20"/>
                <w:szCs w:val="20"/>
              </w:rPr>
              <w:t xml:space="preserve"> than 12 months</w:t>
            </w:r>
            <w:r>
              <w:rPr>
                <w:rFonts w:ascii="Arial Narrow" w:hAnsi="Arial Narrow" w:cs="Arial"/>
                <w:sz w:val="20"/>
                <w:szCs w:val="20"/>
              </w:rPr>
              <w:t>.</w:t>
            </w:r>
          </w:p>
        </w:tc>
      </w:tr>
      <w:tr w:rsidR="002C42AC" w:rsidRPr="00F33674" w14:paraId="1846C2BA" w14:textId="77777777" w:rsidTr="00C21DFA">
        <w:trPr>
          <w:cantSplit/>
          <w:trHeight w:val="360"/>
        </w:trPr>
        <w:tc>
          <w:tcPr>
            <w:tcW w:w="3183" w:type="dxa"/>
            <w:tcBorders>
              <w:top w:val="single" w:sz="4" w:space="0" w:color="auto"/>
              <w:left w:val="single" w:sz="4" w:space="0" w:color="auto"/>
              <w:bottom w:val="single" w:sz="4" w:space="0" w:color="auto"/>
              <w:right w:val="single" w:sz="4" w:space="0" w:color="auto"/>
            </w:tcBorders>
          </w:tcPr>
          <w:p w14:paraId="27D174BC" w14:textId="77777777" w:rsidR="002C42AC" w:rsidRPr="00F33674" w:rsidRDefault="002C42AC" w:rsidP="00265869">
            <w:pPr>
              <w:rPr>
                <w:rFonts w:ascii="Arial Narrow" w:hAnsi="Arial Narrow" w:cs="Arial"/>
                <w:b/>
                <w:sz w:val="20"/>
                <w:szCs w:val="20"/>
              </w:rPr>
            </w:pPr>
            <w:r w:rsidRPr="00F33674">
              <w:rPr>
                <w:rFonts w:ascii="Arial Narrow" w:hAnsi="Arial Narrow" w:cs="Arial"/>
                <w:b/>
                <w:sz w:val="20"/>
                <w:szCs w:val="20"/>
              </w:rPr>
              <w:lastRenderedPageBreak/>
              <w:t>Clinical criteria:</w:t>
            </w:r>
          </w:p>
        </w:tc>
        <w:tc>
          <w:tcPr>
            <w:tcW w:w="6031" w:type="dxa"/>
            <w:tcBorders>
              <w:top w:val="single" w:sz="4" w:space="0" w:color="auto"/>
              <w:left w:val="single" w:sz="4" w:space="0" w:color="auto"/>
              <w:bottom w:val="single" w:sz="4" w:space="0" w:color="auto"/>
              <w:right w:val="single" w:sz="4" w:space="0" w:color="auto"/>
            </w:tcBorders>
          </w:tcPr>
          <w:p w14:paraId="297810A9" w14:textId="77777777" w:rsidR="002C42AC" w:rsidRPr="00F33674" w:rsidRDefault="002C42AC" w:rsidP="00265869">
            <w:pPr>
              <w:jc w:val="left"/>
              <w:rPr>
                <w:rFonts w:ascii="Arial Narrow" w:hAnsi="Arial Narrow" w:cs="Arial"/>
                <w:sz w:val="20"/>
                <w:szCs w:val="20"/>
              </w:rPr>
            </w:pPr>
            <w:r w:rsidRPr="00F33674">
              <w:rPr>
                <w:rFonts w:ascii="Arial Narrow" w:hAnsi="Arial Narrow" w:cs="Arial"/>
                <w:sz w:val="20"/>
                <w:szCs w:val="20"/>
              </w:rPr>
              <w:t>[new] The condition must require daily, continuous, long term treatment</w:t>
            </w:r>
          </w:p>
          <w:p w14:paraId="7E23FE5B" w14:textId="77777777" w:rsidR="002C42AC" w:rsidRPr="00F33674" w:rsidRDefault="002C42AC" w:rsidP="00265869">
            <w:pPr>
              <w:jc w:val="left"/>
              <w:rPr>
                <w:rFonts w:ascii="Arial Narrow" w:hAnsi="Arial Narrow" w:cs="Arial"/>
                <w:sz w:val="20"/>
                <w:szCs w:val="20"/>
              </w:rPr>
            </w:pPr>
          </w:p>
          <w:p w14:paraId="45E1D687" w14:textId="77777777" w:rsidR="002C42AC" w:rsidRPr="00F33674" w:rsidRDefault="002C42AC" w:rsidP="00265869">
            <w:pPr>
              <w:jc w:val="left"/>
              <w:rPr>
                <w:rFonts w:ascii="Arial Narrow" w:hAnsi="Arial Narrow" w:cs="Arial"/>
                <w:sz w:val="20"/>
                <w:szCs w:val="20"/>
              </w:rPr>
            </w:pPr>
            <w:r w:rsidRPr="00F33674">
              <w:rPr>
                <w:rFonts w:ascii="Arial Narrow" w:hAnsi="Arial Narrow" w:cs="Arial"/>
                <w:sz w:val="20"/>
                <w:szCs w:val="20"/>
              </w:rPr>
              <w:t>AND</w:t>
            </w:r>
          </w:p>
          <w:p w14:paraId="03EFE16C" w14:textId="77777777" w:rsidR="002C42AC" w:rsidRPr="00F33674" w:rsidRDefault="002C42AC" w:rsidP="00265869">
            <w:pPr>
              <w:jc w:val="left"/>
              <w:rPr>
                <w:rFonts w:ascii="Arial Narrow" w:hAnsi="Arial Narrow" w:cs="Arial"/>
                <w:sz w:val="20"/>
                <w:szCs w:val="20"/>
              </w:rPr>
            </w:pPr>
          </w:p>
          <w:p w14:paraId="24A7A0B0" w14:textId="77777777" w:rsidR="002C42AC" w:rsidRPr="00F33674" w:rsidRDefault="002C42AC" w:rsidP="00265869">
            <w:pPr>
              <w:jc w:val="left"/>
              <w:rPr>
                <w:rFonts w:ascii="Arial Narrow" w:hAnsi="Arial Narrow" w:cs="Arial"/>
                <w:sz w:val="20"/>
                <w:szCs w:val="20"/>
              </w:rPr>
            </w:pPr>
            <w:r w:rsidRPr="00F33674">
              <w:rPr>
                <w:rFonts w:ascii="Arial Narrow" w:hAnsi="Arial Narrow" w:cs="Arial"/>
                <w:sz w:val="20"/>
                <w:szCs w:val="20"/>
              </w:rPr>
              <w:t>[new] Patient must not be opioid naïve</w:t>
            </w:r>
          </w:p>
          <w:p w14:paraId="4DCC391B" w14:textId="77777777" w:rsidR="002C42AC" w:rsidRPr="00F33674" w:rsidRDefault="002C42AC" w:rsidP="00265869">
            <w:pPr>
              <w:jc w:val="left"/>
              <w:rPr>
                <w:rFonts w:ascii="Arial Narrow" w:hAnsi="Arial Narrow" w:cs="Arial"/>
                <w:sz w:val="20"/>
                <w:szCs w:val="20"/>
              </w:rPr>
            </w:pPr>
          </w:p>
          <w:p w14:paraId="2EB7B15A" w14:textId="77777777" w:rsidR="002C42AC" w:rsidRPr="00F33674" w:rsidRDefault="002C42AC" w:rsidP="00265869">
            <w:pPr>
              <w:jc w:val="left"/>
              <w:rPr>
                <w:rFonts w:ascii="Arial Narrow" w:hAnsi="Arial Narrow" w:cs="Arial"/>
                <w:sz w:val="20"/>
                <w:szCs w:val="20"/>
              </w:rPr>
            </w:pPr>
            <w:r w:rsidRPr="00F33674">
              <w:rPr>
                <w:rFonts w:ascii="Arial Narrow" w:hAnsi="Arial Narrow" w:cs="Arial"/>
                <w:sz w:val="20"/>
                <w:szCs w:val="20"/>
              </w:rPr>
              <w:t>AND</w:t>
            </w:r>
          </w:p>
          <w:p w14:paraId="581B9CCA" w14:textId="77777777" w:rsidR="002C42AC" w:rsidRPr="00F33674" w:rsidRDefault="002C42AC" w:rsidP="00265869">
            <w:pPr>
              <w:jc w:val="left"/>
              <w:rPr>
                <w:rFonts w:ascii="Arial Narrow" w:hAnsi="Arial Narrow" w:cs="Arial"/>
                <w:sz w:val="20"/>
                <w:szCs w:val="20"/>
              </w:rPr>
            </w:pPr>
          </w:p>
          <w:p w14:paraId="365ADC15" w14:textId="77777777" w:rsidR="002C42AC" w:rsidRPr="00F33674" w:rsidRDefault="002C42AC" w:rsidP="00265869">
            <w:pPr>
              <w:jc w:val="left"/>
              <w:rPr>
                <w:rFonts w:ascii="Arial Narrow" w:hAnsi="Arial Narrow" w:cs="Arial"/>
                <w:sz w:val="20"/>
                <w:szCs w:val="20"/>
              </w:rPr>
            </w:pPr>
            <w:r w:rsidRPr="00F33674">
              <w:rPr>
                <w:rFonts w:ascii="Arial Narrow" w:hAnsi="Arial Narrow" w:cs="Arial"/>
                <w:sz w:val="20"/>
                <w:szCs w:val="20"/>
              </w:rPr>
              <w:t xml:space="preserve">[18096] Patient must have </w:t>
            </w:r>
            <w:r>
              <w:rPr>
                <w:rFonts w:ascii="Arial Narrow" w:hAnsi="Arial Narrow" w:cs="Arial"/>
                <w:sz w:val="20"/>
                <w:szCs w:val="20"/>
              </w:rPr>
              <w:t>cancer pain</w:t>
            </w:r>
          </w:p>
          <w:p w14:paraId="56B9DE48" w14:textId="77777777" w:rsidR="002C42AC" w:rsidRPr="00F33674" w:rsidRDefault="002C42AC" w:rsidP="00265869">
            <w:pPr>
              <w:jc w:val="left"/>
              <w:rPr>
                <w:rFonts w:ascii="Arial Narrow" w:hAnsi="Arial Narrow" w:cs="Arial"/>
                <w:sz w:val="20"/>
                <w:szCs w:val="20"/>
              </w:rPr>
            </w:pPr>
            <w:r w:rsidRPr="00F33674">
              <w:rPr>
                <w:rFonts w:ascii="Arial Narrow" w:hAnsi="Arial Narrow" w:cs="Arial"/>
                <w:sz w:val="20"/>
                <w:szCs w:val="20"/>
              </w:rPr>
              <w:t>OR</w:t>
            </w:r>
          </w:p>
          <w:p w14:paraId="33914307" w14:textId="77777777" w:rsidR="002C42AC" w:rsidRPr="00F33674" w:rsidRDefault="002C42AC" w:rsidP="00265869">
            <w:pPr>
              <w:jc w:val="left"/>
              <w:rPr>
                <w:rFonts w:ascii="Arial Narrow" w:hAnsi="Arial Narrow" w:cs="Arial"/>
                <w:sz w:val="20"/>
                <w:szCs w:val="20"/>
              </w:rPr>
            </w:pPr>
            <w:r w:rsidRPr="00F33674">
              <w:rPr>
                <w:rFonts w:ascii="Arial Narrow" w:hAnsi="Arial Narrow" w:cs="Arial"/>
                <w:sz w:val="20"/>
                <w:szCs w:val="20"/>
              </w:rPr>
              <w:t xml:space="preserve">[new] Patient must have </w:t>
            </w:r>
            <w:r>
              <w:rPr>
                <w:rFonts w:ascii="Arial Narrow" w:hAnsi="Arial Narrow" w:cs="Arial"/>
                <w:sz w:val="20"/>
                <w:szCs w:val="20"/>
              </w:rPr>
              <w:t>had or would have</w:t>
            </w:r>
            <w:r w:rsidRPr="00F33674">
              <w:rPr>
                <w:rFonts w:ascii="Arial Narrow" w:hAnsi="Arial Narrow" w:cs="Arial"/>
                <w:sz w:val="20"/>
                <w:szCs w:val="20"/>
              </w:rPr>
              <w:t xml:space="preserve"> </w:t>
            </w:r>
            <w:r>
              <w:rPr>
                <w:rFonts w:ascii="Arial Narrow" w:hAnsi="Arial Narrow" w:cs="Arial"/>
                <w:sz w:val="20"/>
                <w:szCs w:val="20"/>
              </w:rPr>
              <w:t>inadequate pain management</w:t>
            </w:r>
            <w:r w:rsidRPr="00F33674">
              <w:rPr>
                <w:rFonts w:ascii="Arial Narrow" w:hAnsi="Arial Narrow" w:cs="Arial"/>
                <w:sz w:val="20"/>
                <w:szCs w:val="20"/>
              </w:rPr>
              <w:t xml:space="preserve"> </w:t>
            </w:r>
            <w:r>
              <w:rPr>
                <w:rFonts w:ascii="Arial Narrow" w:hAnsi="Arial Narrow" w:cs="Arial"/>
                <w:sz w:val="20"/>
                <w:szCs w:val="20"/>
              </w:rPr>
              <w:t>with</w:t>
            </w:r>
            <w:r w:rsidRPr="00F33674">
              <w:rPr>
                <w:rFonts w:ascii="Arial Narrow" w:hAnsi="Arial Narrow" w:cs="Arial"/>
                <w:sz w:val="20"/>
                <w:szCs w:val="20"/>
              </w:rPr>
              <w:t xml:space="preserve"> tolerated doses of non-opioid and other opioid analgesics</w:t>
            </w:r>
          </w:p>
          <w:p w14:paraId="66C53955" w14:textId="77777777" w:rsidR="002C42AC" w:rsidRPr="00F33674" w:rsidRDefault="002C42AC" w:rsidP="00265869">
            <w:pPr>
              <w:jc w:val="left"/>
              <w:rPr>
                <w:rFonts w:ascii="Arial Narrow" w:hAnsi="Arial Narrow" w:cs="Arial"/>
                <w:sz w:val="20"/>
                <w:szCs w:val="20"/>
              </w:rPr>
            </w:pPr>
            <w:r w:rsidRPr="00F33674">
              <w:rPr>
                <w:rFonts w:ascii="Arial Narrow" w:hAnsi="Arial Narrow" w:cs="Arial"/>
                <w:sz w:val="20"/>
                <w:szCs w:val="20"/>
              </w:rPr>
              <w:t>OR</w:t>
            </w:r>
          </w:p>
          <w:p w14:paraId="37357142" w14:textId="77777777" w:rsidR="002C42AC" w:rsidRPr="00F33674" w:rsidRDefault="002C42AC" w:rsidP="00265869">
            <w:pPr>
              <w:jc w:val="left"/>
              <w:rPr>
                <w:rFonts w:ascii="Arial Narrow" w:hAnsi="Arial Narrow" w:cs="Arial"/>
                <w:sz w:val="20"/>
                <w:szCs w:val="20"/>
              </w:rPr>
            </w:pPr>
            <w:r w:rsidRPr="00F33674">
              <w:rPr>
                <w:rFonts w:ascii="Arial Narrow" w:hAnsi="Arial Narrow" w:cs="Arial"/>
                <w:sz w:val="20"/>
                <w:szCs w:val="20"/>
              </w:rPr>
              <w:t>[new] Patient must be unable to use non-opioid and other opioid analgesics due to contraindications or intolerance.</w:t>
            </w:r>
          </w:p>
        </w:tc>
      </w:tr>
      <w:tr w:rsidR="002C42AC" w:rsidRPr="00F33674" w14:paraId="6DDC1318" w14:textId="77777777" w:rsidTr="00C21DFA">
        <w:trPr>
          <w:cantSplit/>
          <w:trHeight w:val="360"/>
        </w:trPr>
        <w:tc>
          <w:tcPr>
            <w:tcW w:w="3183" w:type="dxa"/>
            <w:tcBorders>
              <w:top w:val="single" w:sz="4" w:space="0" w:color="auto"/>
              <w:left w:val="single" w:sz="4" w:space="0" w:color="auto"/>
              <w:bottom w:val="single" w:sz="4" w:space="0" w:color="auto"/>
              <w:right w:val="single" w:sz="4" w:space="0" w:color="auto"/>
            </w:tcBorders>
          </w:tcPr>
          <w:p w14:paraId="6DA91390" w14:textId="77777777" w:rsidR="002C42AC" w:rsidRPr="00F33674" w:rsidRDefault="002C42AC" w:rsidP="00265869">
            <w:pPr>
              <w:rPr>
                <w:rFonts w:ascii="Arial Narrow" w:hAnsi="Arial Narrow" w:cs="Arial"/>
                <w:b/>
                <w:sz w:val="20"/>
                <w:szCs w:val="20"/>
              </w:rPr>
            </w:pPr>
            <w:r w:rsidRPr="00F33674">
              <w:rPr>
                <w:rFonts w:ascii="Arial Narrow" w:hAnsi="Arial Narrow" w:cs="Arial"/>
                <w:b/>
                <w:sz w:val="20"/>
                <w:szCs w:val="20"/>
              </w:rPr>
              <w:t>Prescriber instruction:</w:t>
            </w:r>
          </w:p>
        </w:tc>
        <w:tc>
          <w:tcPr>
            <w:tcW w:w="6031" w:type="dxa"/>
            <w:tcBorders>
              <w:top w:val="single" w:sz="4" w:space="0" w:color="auto"/>
              <w:left w:val="single" w:sz="4" w:space="0" w:color="auto"/>
              <w:bottom w:val="single" w:sz="4" w:space="0" w:color="auto"/>
              <w:right w:val="single" w:sz="4" w:space="0" w:color="auto"/>
            </w:tcBorders>
          </w:tcPr>
          <w:p w14:paraId="58F6BA2E" w14:textId="77777777" w:rsidR="00744FB8" w:rsidRPr="00744FB8" w:rsidRDefault="002C42AC" w:rsidP="00744FB8">
            <w:pPr>
              <w:jc w:val="left"/>
              <w:rPr>
                <w:rFonts w:ascii="Arial Narrow" w:hAnsi="Arial Narrow" w:cs="Arial"/>
                <w:sz w:val="20"/>
                <w:szCs w:val="20"/>
              </w:rPr>
            </w:pPr>
            <w:r w:rsidRPr="00F33674">
              <w:rPr>
                <w:rFonts w:ascii="Arial Narrow" w:hAnsi="Arial Narrow" w:cs="Arial"/>
                <w:sz w:val="20"/>
                <w:szCs w:val="20"/>
              </w:rPr>
              <w:t xml:space="preserve">[new] </w:t>
            </w:r>
            <w:r w:rsidR="00744FB8" w:rsidRPr="00744FB8">
              <w:rPr>
                <w:rFonts w:ascii="Arial Narrow" w:hAnsi="Arial Narrow" w:cs="Arial"/>
                <w:sz w:val="20"/>
                <w:szCs w:val="20"/>
              </w:rPr>
              <w:t>Authorities for increased maximum quantities and/or repeats must only be considered for chronic severe disabling pain where the total duration of non-PBS and PBS opioid analgesic treatment:</w:t>
            </w:r>
          </w:p>
          <w:p w14:paraId="0C5160F6" w14:textId="77777777" w:rsidR="00744FB8" w:rsidRPr="00744FB8" w:rsidRDefault="00744FB8" w:rsidP="00744FB8">
            <w:pPr>
              <w:jc w:val="left"/>
              <w:rPr>
                <w:rFonts w:ascii="Arial Narrow" w:hAnsi="Arial Narrow" w:cs="Arial"/>
                <w:sz w:val="20"/>
                <w:szCs w:val="20"/>
              </w:rPr>
            </w:pPr>
            <w:r w:rsidRPr="00744FB8">
              <w:rPr>
                <w:rFonts w:ascii="Arial Narrow" w:hAnsi="Arial Narrow" w:cs="Arial"/>
                <w:sz w:val="20"/>
                <w:szCs w:val="20"/>
              </w:rPr>
              <w:t>(i) exceeds 12 months and the palliative care patient is unable to have annual pain management review due to their clinical condition; or</w:t>
            </w:r>
          </w:p>
          <w:p w14:paraId="29018693" w14:textId="77777777" w:rsidR="00744FB8" w:rsidRPr="00744FB8" w:rsidRDefault="00744FB8" w:rsidP="00744FB8">
            <w:pPr>
              <w:jc w:val="left"/>
              <w:rPr>
                <w:rFonts w:ascii="Arial Narrow" w:hAnsi="Arial Narrow" w:cs="Arial"/>
                <w:sz w:val="20"/>
                <w:szCs w:val="20"/>
              </w:rPr>
            </w:pPr>
            <w:r w:rsidRPr="00744FB8">
              <w:rPr>
                <w:rFonts w:ascii="Arial Narrow" w:hAnsi="Arial Narrow" w:cs="Arial"/>
                <w:sz w:val="20"/>
                <w:szCs w:val="20"/>
              </w:rPr>
              <w:t>(ii) exceeds 12 months and the patient's clinical need for continuing opioid treatment has been confirmed through consultation with the patient by another medical practitioner or a palliative care nurse practitioner in the past 12 months; or</w:t>
            </w:r>
          </w:p>
          <w:p w14:paraId="0A606BC9" w14:textId="3A947AA3" w:rsidR="002C42AC" w:rsidRPr="00F33674" w:rsidRDefault="00744FB8" w:rsidP="00744FB8">
            <w:pPr>
              <w:jc w:val="left"/>
              <w:rPr>
                <w:rFonts w:ascii="Arial Narrow" w:hAnsi="Arial Narrow" w:cs="Arial"/>
                <w:sz w:val="20"/>
                <w:szCs w:val="20"/>
              </w:rPr>
            </w:pPr>
            <w:r w:rsidRPr="00744FB8">
              <w:rPr>
                <w:rFonts w:ascii="Arial Narrow" w:hAnsi="Arial Narrow" w:cs="Arial"/>
                <w:sz w:val="20"/>
                <w:szCs w:val="20"/>
              </w:rPr>
              <w:t xml:space="preserve">(iii) </w:t>
            </w:r>
            <w:proofErr w:type="gramStart"/>
            <w:r w:rsidRPr="00744FB8">
              <w:rPr>
                <w:rFonts w:ascii="Arial Narrow" w:hAnsi="Arial Narrow" w:cs="Arial"/>
                <w:sz w:val="20"/>
                <w:szCs w:val="20"/>
              </w:rPr>
              <w:t>has</w:t>
            </w:r>
            <w:proofErr w:type="gramEnd"/>
            <w:r w:rsidRPr="00744FB8">
              <w:rPr>
                <w:rFonts w:ascii="Arial Narrow" w:hAnsi="Arial Narrow" w:cs="Arial"/>
                <w:sz w:val="20"/>
                <w:szCs w:val="20"/>
              </w:rPr>
              <w:t xml:space="preserve"> exceeded 12 months prior to 1 June 2020 and the patient's clinical need for continuing opioid treatment has not been confirmed through consultation with the patient by another medical practitioner or a palliative care nurse practitioner in the past 12 months, but is planned in the next 3 months.</w:t>
            </w:r>
          </w:p>
          <w:p w14:paraId="3013A3DC" w14:textId="77777777" w:rsidR="002C42AC" w:rsidRPr="00F33674" w:rsidRDefault="002C42AC" w:rsidP="00265869">
            <w:pPr>
              <w:jc w:val="left"/>
              <w:rPr>
                <w:rFonts w:ascii="Arial Narrow" w:hAnsi="Arial Narrow" w:cs="Arial"/>
                <w:sz w:val="20"/>
                <w:szCs w:val="20"/>
              </w:rPr>
            </w:pPr>
          </w:p>
          <w:p w14:paraId="7C81FE58" w14:textId="77777777" w:rsidR="002C42AC" w:rsidRPr="00F33674" w:rsidRDefault="002C42AC" w:rsidP="00265869">
            <w:pPr>
              <w:jc w:val="left"/>
              <w:rPr>
                <w:rFonts w:ascii="Arial Narrow" w:hAnsi="Arial Narrow" w:cs="Arial"/>
                <w:sz w:val="20"/>
                <w:szCs w:val="20"/>
              </w:rPr>
            </w:pPr>
            <w:r w:rsidRPr="00F33674">
              <w:rPr>
                <w:rFonts w:ascii="Arial Narrow" w:hAnsi="Arial Narrow" w:cs="Arial"/>
                <w:sz w:val="20"/>
                <w:szCs w:val="20"/>
              </w:rPr>
              <w:t>[new] Authority requests extending treatment duration up to 1 month may be requested though the Online PBS Authorities system or by calling Services Australia.</w:t>
            </w:r>
          </w:p>
          <w:p w14:paraId="2207647D" w14:textId="77777777" w:rsidR="002C42AC" w:rsidRPr="00F33674" w:rsidRDefault="002C42AC" w:rsidP="00265869">
            <w:pPr>
              <w:jc w:val="left"/>
              <w:rPr>
                <w:rFonts w:ascii="Arial Narrow" w:hAnsi="Arial Narrow" w:cs="Arial"/>
                <w:sz w:val="20"/>
                <w:szCs w:val="20"/>
              </w:rPr>
            </w:pPr>
          </w:p>
          <w:p w14:paraId="10A6E641" w14:textId="77777777" w:rsidR="002C42AC" w:rsidRPr="00F33674" w:rsidRDefault="002C42AC" w:rsidP="00265869">
            <w:pPr>
              <w:jc w:val="left"/>
              <w:rPr>
                <w:rFonts w:ascii="Arial Narrow" w:hAnsi="Arial Narrow" w:cs="Arial"/>
                <w:sz w:val="20"/>
                <w:szCs w:val="20"/>
              </w:rPr>
            </w:pPr>
            <w:r w:rsidRPr="00F33674">
              <w:rPr>
                <w:rFonts w:ascii="Arial Narrow" w:hAnsi="Arial Narrow" w:cs="Arial"/>
                <w:sz w:val="20"/>
                <w:szCs w:val="20"/>
              </w:rPr>
              <w:t xml:space="preserve">Authority requests extending treatment duration beyond 1 month </w:t>
            </w:r>
            <w:r>
              <w:rPr>
                <w:rFonts w:ascii="Arial Narrow" w:hAnsi="Arial Narrow" w:cs="Arial"/>
                <w:sz w:val="20"/>
                <w:szCs w:val="20"/>
              </w:rPr>
              <w:t>may be requested through the Online PBS Authorities system</w:t>
            </w:r>
            <w:r w:rsidRPr="00F33674">
              <w:rPr>
                <w:rFonts w:ascii="Arial Narrow" w:hAnsi="Arial Narrow" w:cs="Arial"/>
                <w:sz w:val="20"/>
                <w:szCs w:val="20"/>
              </w:rPr>
              <w:t xml:space="preserve"> or in writing only and must not provide a treatment duration exceeding </w:t>
            </w:r>
            <w:r>
              <w:rPr>
                <w:rFonts w:ascii="Arial Narrow" w:hAnsi="Arial Narrow" w:cs="Arial"/>
                <w:sz w:val="20"/>
                <w:szCs w:val="20"/>
              </w:rPr>
              <w:t xml:space="preserve">3 months (quantity sufficient for up to </w:t>
            </w:r>
            <w:proofErr w:type="gramStart"/>
            <w:r>
              <w:rPr>
                <w:rFonts w:ascii="Arial Narrow" w:hAnsi="Arial Narrow" w:cs="Arial"/>
                <w:sz w:val="20"/>
                <w:szCs w:val="20"/>
              </w:rPr>
              <w:t>1 month</w:t>
            </w:r>
            <w:proofErr w:type="gramEnd"/>
            <w:r>
              <w:rPr>
                <w:rFonts w:ascii="Arial Narrow" w:hAnsi="Arial Narrow" w:cs="Arial"/>
                <w:sz w:val="20"/>
                <w:szCs w:val="20"/>
              </w:rPr>
              <w:t xml:space="preserve"> treatment and sufficient repeats).</w:t>
            </w:r>
          </w:p>
        </w:tc>
      </w:tr>
      <w:tr w:rsidR="002C42AC" w:rsidRPr="00F33674" w14:paraId="28C0C49F" w14:textId="77777777" w:rsidTr="00C21DFA">
        <w:trPr>
          <w:cantSplit/>
          <w:trHeight w:val="360"/>
        </w:trPr>
        <w:tc>
          <w:tcPr>
            <w:tcW w:w="3183" w:type="dxa"/>
            <w:tcBorders>
              <w:top w:val="single" w:sz="4" w:space="0" w:color="auto"/>
              <w:left w:val="single" w:sz="4" w:space="0" w:color="auto"/>
              <w:bottom w:val="single" w:sz="4" w:space="0" w:color="auto"/>
              <w:right w:val="single" w:sz="4" w:space="0" w:color="auto"/>
            </w:tcBorders>
          </w:tcPr>
          <w:p w14:paraId="2ED56480" w14:textId="77777777" w:rsidR="002C42AC" w:rsidRPr="00F33674" w:rsidRDefault="002C42AC" w:rsidP="00265869">
            <w:pPr>
              <w:rPr>
                <w:rFonts w:ascii="Arial Narrow" w:hAnsi="Arial Narrow" w:cs="Arial"/>
                <w:b/>
                <w:sz w:val="20"/>
                <w:szCs w:val="20"/>
              </w:rPr>
            </w:pPr>
            <w:r w:rsidRPr="00F33674">
              <w:rPr>
                <w:rFonts w:ascii="Arial Narrow" w:hAnsi="Arial Narrow" w:cs="Arial"/>
                <w:b/>
                <w:sz w:val="20"/>
                <w:szCs w:val="20"/>
              </w:rPr>
              <w:lastRenderedPageBreak/>
              <w:t>Administrative advice:</w:t>
            </w:r>
          </w:p>
        </w:tc>
        <w:tc>
          <w:tcPr>
            <w:tcW w:w="6031" w:type="dxa"/>
            <w:tcBorders>
              <w:top w:val="single" w:sz="4" w:space="0" w:color="auto"/>
              <w:left w:val="single" w:sz="4" w:space="0" w:color="auto"/>
              <w:bottom w:val="single" w:sz="4" w:space="0" w:color="auto"/>
              <w:right w:val="single" w:sz="4" w:space="0" w:color="auto"/>
            </w:tcBorders>
          </w:tcPr>
          <w:p w14:paraId="4B7D41D0" w14:textId="77777777" w:rsidR="002C42AC" w:rsidRPr="00F33674" w:rsidRDefault="002C42AC" w:rsidP="00265869">
            <w:pPr>
              <w:jc w:val="left"/>
              <w:rPr>
                <w:rFonts w:ascii="Arial Narrow" w:hAnsi="Arial Narrow"/>
                <w:sz w:val="20"/>
                <w:szCs w:val="20"/>
              </w:rPr>
            </w:pPr>
            <w:r w:rsidRPr="00F33674">
              <w:rPr>
                <w:rFonts w:ascii="Arial Narrow" w:hAnsi="Arial Narrow"/>
                <w:sz w:val="20"/>
                <w:szCs w:val="20"/>
              </w:rPr>
              <w:t xml:space="preserve">[13978] Fentanyl transdermal patches </w:t>
            </w:r>
            <w:proofErr w:type="gramStart"/>
            <w:r w:rsidRPr="00F33674">
              <w:rPr>
                <w:rFonts w:ascii="Arial Narrow" w:hAnsi="Arial Narrow"/>
                <w:sz w:val="20"/>
                <w:szCs w:val="20"/>
              </w:rPr>
              <w:t>are not recommended</w:t>
            </w:r>
            <w:proofErr w:type="gramEnd"/>
            <w:r w:rsidRPr="00F33674">
              <w:rPr>
                <w:rFonts w:ascii="Arial Narrow" w:hAnsi="Arial Narrow"/>
                <w:sz w:val="20"/>
                <w:szCs w:val="20"/>
              </w:rPr>
              <w:t xml:space="preserve"> in opioid naive patients with non-cancer pain because of a high incidence of adverse events in these patients. Patients with cancer pain </w:t>
            </w:r>
            <w:proofErr w:type="gramStart"/>
            <w:r w:rsidRPr="00F33674">
              <w:rPr>
                <w:rFonts w:ascii="Arial Narrow" w:hAnsi="Arial Narrow"/>
                <w:sz w:val="20"/>
                <w:szCs w:val="20"/>
              </w:rPr>
              <w:t>may be initiated</w:t>
            </w:r>
            <w:proofErr w:type="gramEnd"/>
            <w:r w:rsidRPr="00F33674">
              <w:rPr>
                <w:rFonts w:ascii="Arial Narrow" w:hAnsi="Arial Narrow"/>
                <w:sz w:val="20"/>
                <w:szCs w:val="20"/>
              </w:rPr>
              <w:t xml:space="preserve"> on the lowest strength patch (12 micrograms per hour).</w:t>
            </w:r>
          </w:p>
          <w:p w14:paraId="1F52B510" w14:textId="77777777" w:rsidR="002C42AC" w:rsidRPr="00F33674" w:rsidRDefault="002C42AC" w:rsidP="00265869">
            <w:pPr>
              <w:jc w:val="left"/>
              <w:rPr>
                <w:rFonts w:ascii="Arial Narrow" w:hAnsi="Arial Narrow"/>
                <w:sz w:val="20"/>
                <w:szCs w:val="20"/>
              </w:rPr>
            </w:pPr>
          </w:p>
          <w:p w14:paraId="42F8DAE3" w14:textId="77777777" w:rsidR="002C42AC" w:rsidRPr="00F33674" w:rsidRDefault="002C42AC" w:rsidP="00265869">
            <w:pPr>
              <w:jc w:val="left"/>
              <w:rPr>
                <w:rFonts w:ascii="Arial Narrow" w:hAnsi="Arial Narrow"/>
                <w:sz w:val="20"/>
                <w:szCs w:val="20"/>
              </w:rPr>
            </w:pPr>
            <w:r w:rsidRPr="00F33674">
              <w:rPr>
                <w:rFonts w:ascii="Arial Narrow" w:hAnsi="Arial Narrow"/>
                <w:sz w:val="20"/>
                <w:szCs w:val="20"/>
              </w:rPr>
              <w:t>[new] Consider consultation with a multidisciplinary pain service prior to, or after commencement of this medication.</w:t>
            </w:r>
          </w:p>
          <w:p w14:paraId="5FF21985" w14:textId="77777777" w:rsidR="002C42AC" w:rsidRPr="00F33674" w:rsidRDefault="002C42AC" w:rsidP="00265869">
            <w:pPr>
              <w:jc w:val="left"/>
              <w:rPr>
                <w:rFonts w:ascii="Arial Narrow" w:hAnsi="Arial Narrow"/>
                <w:sz w:val="20"/>
                <w:szCs w:val="20"/>
              </w:rPr>
            </w:pPr>
          </w:p>
          <w:p w14:paraId="65C9E219" w14:textId="77777777" w:rsidR="002C42AC" w:rsidRPr="00F33674" w:rsidRDefault="002C42AC" w:rsidP="00265869">
            <w:pPr>
              <w:jc w:val="left"/>
              <w:rPr>
                <w:rFonts w:ascii="Arial Narrow" w:hAnsi="Arial Narrow" w:cs="Arial"/>
                <w:sz w:val="20"/>
                <w:szCs w:val="20"/>
              </w:rPr>
            </w:pPr>
            <w:r w:rsidRPr="00F33674">
              <w:rPr>
                <w:rFonts w:ascii="Arial Narrow" w:hAnsi="Arial Narrow" w:cs="Arial"/>
                <w:sz w:val="20"/>
                <w:szCs w:val="20"/>
              </w:rPr>
              <w:t>[new] This treatment is not suitable for ‘as-required’ pain relief.</w:t>
            </w:r>
          </w:p>
          <w:p w14:paraId="0CF3D0AC" w14:textId="77777777" w:rsidR="002C42AC" w:rsidRPr="00F33674" w:rsidRDefault="002C42AC" w:rsidP="00265869">
            <w:pPr>
              <w:jc w:val="left"/>
              <w:rPr>
                <w:rFonts w:ascii="Arial Narrow" w:hAnsi="Arial Narrow"/>
                <w:sz w:val="20"/>
                <w:szCs w:val="20"/>
              </w:rPr>
            </w:pPr>
          </w:p>
          <w:p w14:paraId="00990611" w14:textId="77777777" w:rsidR="002C42AC" w:rsidRPr="00F33674" w:rsidRDefault="002C42AC" w:rsidP="00265869">
            <w:pPr>
              <w:jc w:val="left"/>
              <w:rPr>
                <w:rFonts w:ascii="Arial Narrow" w:hAnsi="Arial Narrow" w:cs="Arial"/>
                <w:sz w:val="20"/>
                <w:szCs w:val="20"/>
              </w:rPr>
            </w:pPr>
            <w:r w:rsidRPr="00F33674">
              <w:rPr>
                <w:rFonts w:ascii="Arial Narrow" w:hAnsi="Arial Narrow" w:cs="Arial"/>
                <w:sz w:val="20"/>
                <w:szCs w:val="20"/>
              </w:rPr>
              <w:t>[13979] Pharmaceutical benefits that have the form fentanyl 12 microgram/hour patch are equivalent for the purposes of substitution.</w:t>
            </w:r>
          </w:p>
          <w:p w14:paraId="098A7AC5" w14:textId="77777777" w:rsidR="002C42AC" w:rsidRPr="00F33674" w:rsidRDefault="002C42AC" w:rsidP="00265869">
            <w:pPr>
              <w:jc w:val="left"/>
              <w:rPr>
                <w:rFonts w:ascii="Arial Narrow" w:hAnsi="Arial Narrow" w:cs="Arial"/>
                <w:sz w:val="20"/>
                <w:szCs w:val="20"/>
              </w:rPr>
            </w:pPr>
          </w:p>
          <w:p w14:paraId="20947AB6" w14:textId="77777777" w:rsidR="002C42AC" w:rsidRPr="00F33674" w:rsidRDefault="002C42AC" w:rsidP="00265869">
            <w:pPr>
              <w:jc w:val="left"/>
              <w:rPr>
                <w:rFonts w:ascii="Arial Narrow" w:hAnsi="Arial Narrow" w:cs="Arial"/>
                <w:sz w:val="20"/>
                <w:szCs w:val="20"/>
              </w:rPr>
            </w:pPr>
            <w:r w:rsidRPr="00F33674">
              <w:rPr>
                <w:rFonts w:ascii="Arial Narrow" w:hAnsi="Arial Narrow" w:cs="Arial"/>
                <w:sz w:val="20"/>
                <w:szCs w:val="20"/>
              </w:rPr>
              <w:t xml:space="preserve">[7901] Shared Care Model: For prescribing by nurse practitioners where care of a patient </w:t>
            </w:r>
            <w:proofErr w:type="gramStart"/>
            <w:r w:rsidRPr="00F33674">
              <w:rPr>
                <w:rFonts w:ascii="Arial Narrow" w:hAnsi="Arial Narrow" w:cs="Arial"/>
                <w:sz w:val="20"/>
                <w:szCs w:val="20"/>
              </w:rPr>
              <w:t>is shared</w:t>
            </w:r>
            <w:proofErr w:type="gramEnd"/>
            <w:r w:rsidRPr="00F33674">
              <w:rPr>
                <w:rFonts w:ascii="Arial Narrow" w:hAnsi="Arial Narrow" w:cs="Arial"/>
                <w:sz w:val="20"/>
                <w:szCs w:val="20"/>
              </w:rPr>
              <w:t xml:space="preserve"> between a nurse practitioner and medical practitioner in a formalised arrangement with an agreed management plan. Further information </w:t>
            </w:r>
            <w:proofErr w:type="gramStart"/>
            <w:r w:rsidRPr="00F33674">
              <w:rPr>
                <w:rFonts w:ascii="Arial Narrow" w:hAnsi="Arial Narrow" w:cs="Arial"/>
                <w:sz w:val="20"/>
                <w:szCs w:val="20"/>
              </w:rPr>
              <w:t>can be found</w:t>
            </w:r>
            <w:proofErr w:type="gramEnd"/>
            <w:r w:rsidRPr="00F33674">
              <w:rPr>
                <w:rFonts w:ascii="Arial Narrow" w:hAnsi="Arial Narrow" w:cs="Arial"/>
                <w:sz w:val="20"/>
                <w:szCs w:val="20"/>
              </w:rPr>
              <w:t xml:space="preserve"> in the Explanatory Notes for Nurse Practitioners.</w:t>
            </w:r>
          </w:p>
          <w:p w14:paraId="7B345E5C" w14:textId="77777777" w:rsidR="002C42AC" w:rsidRPr="00F33674" w:rsidRDefault="002C42AC" w:rsidP="00265869">
            <w:pPr>
              <w:jc w:val="left"/>
              <w:rPr>
                <w:rFonts w:ascii="Arial Narrow" w:hAnsi="Arial Narrow" w:cs="Arial"/>
                <w:sz w:val="20"/>
                <w:szCs w:val="20"/>
              </w:rPr>
            </w:pPr>
          </w:p>
          <w:p w14:paraId="2314E77F" w14:textId="77777777" w:rsidR="002C42AC" w:rsidRPr="00F33674" w:rsidRDefault="002C42AC" w:rsidP="00265869">
            <w:pPr>
              <w:jc w:val="left"/>
              <w:rPr>
                <w:rFonts w:ascii="Arial Narrow" w:hAnsi="Arial Narrow" w:cs="Arial"/>
                <w:sz w:val="20"/>
                <w:szCs w:val="20"/>
              </w:rPr>
            </w:pPr>
            <w:r w:rsidRPr="00F33674">
              <w:rPr>
                <w:rFonts w:ascii="Arial Narrow" w:hAnsi="Arial Narrow" w:cs="Arial"/>
                <w:sz w:val="20"/>
                <w:szCs w:val="20"/>
              </w:rPr>
              <w:t>[new] Real time online applications for increased maximum quantities/repeats may be made using the Online PBS Authorities system (see www.servicesaustralia.gov.au/organisations/health-professionals/services/medicare/hpos/services/request-authority-using-online-pbs-authorities-hpos)</w:t>
            </w:r>
          </w:p>
          <w:p w14:paraId="7401BCF0" w14:textId="77777777" w:rsidR="002C42AC" w:rsidRPr="00F33674" w:rsidRDefault="002C42AC" w:rsidP="00265869">
            <w:pPr>
              <w:jc w:val="left"/>
              <w:rPr>
                <w:rFonts w:ascii="Arial Narrow" w:hAnsi="Arial Narrow" w:cs="Arial"/>
                <w:sz w:val="20"/>
                <w:szCs w:val="20"/>
              </w:rPr>
            </w:pPr>
          </w:p>
          <w:p w14:paraId="01BA402C" w14:textId="77777777" w:rsidR="002C42AC" w:rsidRPr="00F33674" w:rsidRDefault="002C42AC" w:rsidP="00265869">
            <w:pPr>
              <w:jc w:val="left"/>
              <w:rPr>
                <w:rFonts w:ascii="Arial Narrow" w:hAnsi="Arial Narrow" w:cs="Arial"/>
                <w:sz w:val="20"/>
                <w:szCs w:val="20"/>
              </w:rPr>
            </w:pPr>
            <w:r w:rsidRPr="00F33674">
              <w:rPr>
                <w:rFonts w:ascii="Arial Narrow" w:hAnsi="Arial Narrow" w:cs="Arial"/>
                <w:sz w:val="20"/>
                <w:szCs w:val="20"/>
              </w:rPr>
              <w:t>Phone applications for increased maximum quantities/repeats may be made by calling 1800 888 333.</w:t>
            </w:r>
          </w:p>
          <w:p w14:paraId="613C8A8F" w14:textId="77777777" w:rsidR="002C42AC" w:rsidRPr="00F33674" w:rsidRDefault="002C42AC" w:rsidP="00265869">
            <w:pPr>
              <w:jc w:val="left"/>
              <w:rPr>
                <w:rFonts w:ascii="Arial Narrow" w:hAnsi="Arial Narrow" w:cs="Arial"/>
                <w:sz w:val="20"/>
                <w:szCs w:val="20"/>
              </w:rPr>
            </w:pPr>
          </w:p>
          <w:p w14:paraId="6A9C8117" w14:textId="77777777" w:rsidR="002C42AC" w:rsidRPr="00F33674" w:rsidRDefault="002C42AC" w:rsidP="00265869">
            <w:pPr>
              <w:jc w:val="left"/>
              <w:rPr>
                <w:rFonts w:ascii="Arial Narrow" w:hAnsi="Arial Narrow" w:cs="Arial"/>
                <w:sz w:val="20"/>
                <w:szCs w:val="20"/>
              </w:rPr>
            </w:pPr>
            <w:r w:rsidRPr="00F33674">
              <w:rPr>
                <w:rFonts w:ascii="Arial Narrow" w:hAnsi="Arial Narrow" w:cs="Arial"/>
                <w:sz w:val="20"/>
                <w:szCs w:val="20"/>
              </w:rPr>
              <w:t>Written authority applications for increased maximum quantities/repeats can be uploaded online through HPOS form upload or mailed to:</w:t>
            </w:r>
          </w:p>
          <w:p w14:paraId="11114AD7" w14:textId="77777777" w:rsidR="002C42AC" w:rsidRPr="00F33674" w:rsidRDefault="002C42AC" w:rsidP="00265869">
            <w:pPr>
              <w:jc w:val="left"/>
              <w:rPr>
                <w:rFonts w:ascii="Arial Narrow" w:hAnsi="Arial Narrow" w:cs="Arial"/>
                <w:sz w:val="20"/>
                <w:szCs w:val="20"/>
              </w:rPr>
            </w:pPr>
            <w:r w:rsidRPr="00F33674">
              <w:rPr>
                <w:rFonts w:ascii="Arial Narrow" w:hAnsi="Arial Narrow" w:cs="Arial"/>
                <w:sz w:val="20"/>
                <w:szCs w:val="20"/>
              </w:rPr>
              <w:t>Pharmaceutical Benefits Scheme</w:t>
            </w:r>
          </w:p>
          <w:p w14:paraId="5F70DAC4" w14:textId="77777777" w:rsidR="002C42AC" w:rsidRPr="00F33674" w:rsidRDefault="002C42AC" w:rsidP="00265869">
            <w:pPr>
              <w:jc w:val="left"/>
              <w:rPr>
                <w:rFonts w:ascii="Arial Narrow" w:hAnsi="Arial Narrow" w:cs="Arial"/>
                <w:sz w:val="20"/>
                <w:szCs w:val="20"/>
              </w:rPr>
            </w:pPr>
            <w:r w:rsidRPr="00F33674">
              <w:rPr>
                <w:rFonts w:ascii="Arial Narrow" w:hAnsi="Arial Narrow" w:cs="Arial"/>
                <w:sz w:val="20"/>
                <w:szCs w:val="20"/>
              </w:rPr>
              <w:t>Reply Paid 9857</w:t>
            </w:r>
          </w:p>
          <w:p w14:paraId="0785880B" w14:textId="77777777" w:rsidR="002C42AC" w:rsidRPr="00F33674" w:rsidRDefault="002C42AC" w:rsidP="00265869">
            <w:pPr>
              <w:jc w:val="left"/>
              <w:rPr>
                <w:rFonts w:ascii="Arial Narrow" w:hAnsi="Arial Narrow" w:cs="Arial"/>
                <w:sz w:val="20"/>
                <w:szCs w:val="20"/>
              </w:rPr>
            </w:pPr>
            <w:r w:rsidRPr="00F33674">
              <w:rPr>
                <w:rFonts w:ascii="Arial Narrow" w:hAnsi="Arial Narrow" w:cs="Arial"/>
                <w:sz w:val="20"/>
                <w:szCs w:val="20"/>
              </w:rPr>
              <w:t>[Your capital city]</w:t>
            </w:r>
          </w:p>
        </w:tc>
      </w:tr>
      <w:tr w:rsidR="002C42AC" w:rsidRPr="00F33674" w14:paraId="6657B37A" w14:textId="77777777" w:rsidTr="00C21DFA">
        <w:trPr>
          <w:cantSplit/>
          <w:trHeight w:val="360"/>
        </w:trPr>
        <w:tc>
          <w:tcPr>
            <w:tcW w:w="3183" w:type="dxa"/>
            <w:tcBorders>
              <w:top w:val="single" w:sz="4" w:space="0" w:color="auto"/>
              <w:left w:val="single" w:sz="4" w:space="0" w:color="auto"/>
              <w:bottom w:val="single" w:sz="4" w:space="0" w:color="auto"/>
              <w:right w:val="single" w:sz="4" w:space="0" w:color="auto"/>
            </w:tcBorders>
          </w:tcPr>
          <w:p w14:paraId="0643CB33" w14:textId="77777777" w:rsidR="002C42AC" w:rsidRPr="00F33674" w:rsidRDefault="002C42AC" w:rsidP="00265869">
            <w:pPr>
              <w:rPr>
                <w:rFonts w:ascii="Arial Narrow" w:hAnsi="Arial Narrow" w:cs="Arial"/>
                <w:b/>
                <w:sz w:val="20"/>
                <w:szCs w:val="20"/>
              </w:rPr>
            </w:pPr>
            <w:r w:rsidRPr="00F33674">
              <w:rPr>
                <w:rFonts w:ascii="Arial Narrow" w:hAnsi="Arial Narrow" w:cs="Arial"/>
                <w:b/>
                <w:sz w:val="20"/>
                <w:szCs w:val="20"/>
              </w:rPr>
              <w:t>Cautions:</w:t>
            </w:r>
          </w:p>
        </w:tc>
        <w:tc>
          <w:tcPr>
            <w:tcW w:w="6031" w:type="dxa"/>
            <w:tcBorders>
              <w:top w:val="single" w:sz="4" w:space="0" w:color="auto"/>
              <w:left w:val="single" w:sz="4" w:space="0" w:color="auto"/>
              <w:bottom w:val="single" w:sz="4" w:space="0" w:color="auto"/>
              <w:right w:val="single" w:sz="4" w:space="0" w:color="auto"/>
            </w:tcBorders>
          </w:tcPr>
          <w:p w14:paraId="71D72948" w14:textId="77777777" w:rsidR="002C42AC" w:rsidRPr="00F33674" w:rsidRDefault="002C42AC" w:rsidP="00265869">
            <w:pPr>
              <w:jc w:val="left"/>
              <w:rPr>
                <w:rFonts w:ascii="Arial Narrow" w:hAnsi="Arial Narrow" w:cs="Arial"/>
                <w:sz w:val="20"/>
                <w:szCs w:val="20"/>
              </w:rPr>
            </w:pPr>
            <w:r w:rsidRPr="00F33674">
              <w:rPr>
                <w:rFonts w:ascii="Arial Narrow" w:hAnsi="Arial Narrow" w:cs="Arial"/>
                <w:sz w:val="20"/>
                <w:szCs w:val="20"/>
              </w:rPr>
              <w:t>[6986] The risk of drug dependence is high.</w:t>
            </w:r>
          </w:p>
        </w:tc>
      </w:tr>
    </w:tbl>
    <w:p w14:paraId="7601D5D5" w14:textId="6D3192C2" w:rsidR="002C42AC" w:rsidRDefault="002C42AC" w:rsidP="00193259">
      <w:pPr>
        <w:pStyle w:val="3-BodyText"/>
        <w:numPr>
          <w:ilvl w:val="0"/>
          <w:numId w:val="0"/>
        </w:numPr>
        <w:ind w:left="720" w:hanging="720"/>
      </w:pPr>
    </w:p>
    <w:tbl>
      <w:tblPr>
        <w:tblW w:w="9072" w:type="dxa"/>
        <w:tblInd w:w="-5" w:type="dxa"/>
        <w:tblLook w:val="0000" w:firstRow="0" w:lastRow="0" w:firstColumn="0" w:lastColumn="0" w:noHBand="0" w:noVBand="0"/>
      </w:tblPr>
      <w:tblGrid>
        <w:gridCol w:w="3183"/>
        <w:gridCol w:w="5889"/>
      </w:tblGrid>
      <w:tr w:rsidR="00744FB8" w:rsidRPr="00F33674" w14:paraId="23B393BB" w14:textId="77777777" w:rsidTr="00C21DFA">
        <w:trPr>
          <w:cantSplit/>
          <w:trHeight w:val="360"/>
        </w:trPr>
        <w:tc>
          <w:tcPr>
            <w:tcW w:w="3183" w:type="dxa"/>
            <w:tcBorders>
              <w:top w:val="single" w:sz="4" w:space="0" w:color="auto"/>
              <w:left w:val="single" w:sz="4" w:space="0" w:color="auto"/>
              <w:bottom w:val="single" w:sz="4" w:space="0" w:color="auto"/>
              <w:right w:val="single" w:sz="4" w:space="0" w:color="auto"/>
            </w:tcBorders>
          </w:tcPr>
          <w:p w14:paraId="61425502" w14:textId="77777777" w:rsidR="00744FB8" w:rsidRPr="00F33674" w:rsidRDefault="00744FB8" w:rsidP="00265869">
            <w:pPr>
              <w:rPr>
                <w:rFonts w:ascii="Arial Narrow" w:hAnsi="Arial Narrow" w:cs="Arial"/>
                <w:b/>
                <w:sz w:val="20"/>
                <w:szCs w:val="20"/>
              </w:rPr>
            </w:pPr>
            <w:r w:rsidRPr="00F33674">
              <w:rPr>
                <w:rFonts w:ascii="Arial Narrow" w:hAnsi="Arial Narrow" w:cs="Arial"/>
                <w:b/>
                <w:sz w:val="20"/>
                <w:szCs w:val="20"/>
              </w:rPr>
              <w:t>Category / Program:</w:t>
            </w:r>
          </w:p>
        </w:tc>
        <w:tc>
          <w:tcPr>
            <w:tcW w:w="5889" w:type="dxa"/>
            <w:tcBorders>
              <w:top w:val="single" w:sz="4" w:space="0" w:color="auto"/>
              <w:left w:val="single" w:sz="4" w:space="0" w:color="auto"/>
              <w:bottom w:val="single" w:sz="4" w:space="0" w:color="auto"/>
              <w:right w:val="single" w:sz="4" w:space="0" w:color="auto"/>
            </w:tcBorders>
          </w:tcPr>
          <w:p w14:paraId="48C409AA" w14:textId="77777777" w:rsidR="00744FB8" w:rsidRPr="00F33674" w:rsidRDefault="00744FB8" w:rsidP="00265869">
            <w:pPr>
              <w:rPr>
                <w:rFonts w:ascii="Arial Narrow" w:hAnsi="Arial Narrow" w:cs="Arial"/>
                <w:sz w:val="20"/>
                <w:szCs w:val="20"/>
              </w:rPr>
            </w:pPr>
            <w:r w:rsidRPr="00F33674">
              <w:rPr>
                <w:rFonts w:ascii="Arial Narrow" w:hAnsi="Arial Narrow" w:cs="Arial"/>
                <w:sz w:val="20"/>
                <w:szCs w:val="20"/>
              </w:rPr>
              <w:t>GENERAL – General Schedule (Code GE)</w:t>
            </w:r>
          </w:p>
        </w:tc>
      </w:tr>
      <w:tr w:rsidR="00744FB8" w:rsidRPr="00F33674" w14:paraId="7DB799E0" w14:textId="77777777" w:rsidTr="00C21DFA">
        <w:trPr>
          <w:cantSplit/>
          <w:trHeight w:val="360"/>
        </w:trPr>
        <w:tc>
          <w:tcPr>
            <w:tcW w:w="3183" w:type="dxa"/>
            <w:tcBorders>
              <w:top w:val="single" w:sz="4" w:space="0" w:color="auto"/>
              <w:left w:val="single" w:sz="4" w:space="0" w:color="auto"/>
              <w:bottom w:val="single" w:sz="4" w:space="0" w:color="auto"/>
              <w:right w:val="single" w:sz="4" w:space="0" w:color="auto"/>
            </w:tcBorders>
          </w:tcPr>
          <w:p w14:paraId="3B371FA9" w14:textId="77777777" w:rsidR="00744FB8" w:rsidRPr="00F33674" w:rsidRDefault="00744FB8" w:rsidP="00265869">
            <w:pPr>
              <w:rPr>
                <w:rFonts w:ascii="Arial Narrow" w:hAnsi="Arial Narrow" w:cs="Arial"/>
                <w:b/>
                <w:sz w:val="20"/>
                <w:szCs w:val="20"/>
              </w:rPr>
            </w:pPr>
            <w:r w:rsidRPr="00F33674">
              <w:rPr>
                <w:rFonts w:ascii="Arial Narrow" w:hAnsi="Arial Narrow" w:cs="Arial"/>
                <w:b/>
                <w:sz w:val="20"/>
                <w:szCs w:val="20"/>
              </w:rPr>
              <w:t>Prescriber type:</w:t>
            </w:r>
          </w:p>
          <w:p w14:paraId="4CC66F1C" w14:textId="77777777" w:rsidR="00744FB8" w:rsidRPr="00F33674" w:rsidRDefault="00744FB8" w:rsidP="00265869">
            <w:pPr>
              <w:rPr>
                <w:rFonts w:ascii="Arial Narrow" w:hAnsi="Arial Narrow" w:cs="Arial"/>
                <w:b/>
                <w:sz w:val="20"/>
                <w:szCs w:val="20"/>
              </w:rPr>
            </w:pPr>
          </w:p>
        </w:tc>
        <w:tc>
          <w:tcPr>
            <w:tcW w:w="5889" w:type="dxa"/>
            <w:tcBorders>
              <w:top w:val="single" w:sz="4" w:space="0" w:color="auto"/>
              <w:left w:val="single" w:sz="4" w:space="0" w:color="auto"/>
              <w:bottom w:val="single" w:sz="4" w:space="0" w:color="auto"/>
              <w:right w:val="single" w:sz="4" w:space="0" w:color="auto"/>
            </w:tcBorders>
          </w:tcPr>
          <w:p w14:paraId="73A16168" w14:textId="77777777" w:rsidR="00744FB8" w:rsidRPr="00F33674" w:rsidRDefault="00744FB8" w:rsidP="00265869">
            <w:pPr>
              <w:rPr>
                <w:rFonts w:ascii="Arial Narrow" w:hAnsi="Arial Narrow" w:cs="Arial"/>
                <w:sz w:val="20"/>
                <w:szCs w:val="20"/>
              </w:rPr>
            </w:pPr>
            <w:r w:rsidRPr="00F33674">
              <w:rPr>
                <w:rFonts w:ascii="Arial Narrow" w:hAnsi="Arial Narrow" w:cs="Arial"/>
                <w:sz w:val="20"/>
                <w:szCs w:val="20"/>
              </w:rPr>
              <w:fldChar w:fldCharType="begin">
                <w:ffData>
                  <w:name w:val="Check1"/>
                  <w:enabled/>
                  <w:calcOnExit w:val="0"/>
                  <w:checkBox>
                    <w:sizeAuto/>
                    <w:default w:val="0"/>
                  </w:checkBox>
                </w:ffData>
              </w:fldChar>
            </w:r>
            <w:r w:rsidRPr="00F33674">
              <w:rPr>
                <w:rFonts w:ascii="Arial Narrow" w:hAnsi="Arial Narrow" w:cs="Arial"/>
                <w:sz w:val="20"/>
                <w:szCs w:val="20"/>
              </w:rPr>
              <w:instrText xml:space="preserve"> FORMCHECKBOX </w:instrText>
            </w:r>
            <w:r w:rsidR="00233D13">
              <w:rPr>
                <w:rFonts w:ascii="Arial Narrow" w:hAnsi="Arial Narrow" w:cs="Arial"/>
                <w:sz w:val="20"/>
                <w:szCs w:val="20"/>
              </w:rPr>
            </w:r>
            <w:r w:rsidR="00233D13">
              <w:rPr>
                <w:rFonts w:ascii="Arial Narrow" w:hAnsi="Arial Narrow" w:cs="Arial"/>
                <w:sz w:val="20"/>
                <w:szCs w:val="20"/>
              </w:rPr>
              <w:fldChar w:fldCharType="separate"/>
            </w:r>
            <w:r w:rsidRPr="00F33674">
              <w:rPr>
                <w:rFonts w:ascii="Arial Narrow" w:hAnsi="Arial Narrow" w:cs="Arial"/>
                <w:sz w:val="20"/>
                <w:szCs w:val="20"/>
              </w:rPr>
              <w:fldChar w:fldCharType="end"/>
            </w:r>
            <w:r w:rsidRPr="00F33674">
              <w:rPr>
                <w:rFonts w:ascii="Arial Narrow" w:hAnsi="Arial Narrow" w:cs="Arial"/>
                <w:sz w:val="20"/>
                <w:szCs w:val="20"/>
              </w:rPr>
              <w:t>Dental</w:t>
            </w:r>
            <w:r>
              <w:rPr>
                <w:rFonts w:ascii="Arial Narrow" w:hAnsi="Arial Narrow" w:cs="Arial"/>
                <w:sz w:val="20"/>
                <w:szCs w:val="20"/>
              </w:rPr>
              <w:t xml:space="preserve"> </w:t>
            </w:r>
            <w:r w:rsidRPr="00F33674">
              <w:rPr>
                <w:rFonts w:ascii="Arial Narrow" w:hAnsi="Arial Narrow" w:cs="Arial"/>
                <w:sz w:val="20"/>
                <w:szCs w:val="20"/>
              </w:rPr>
              <w:fldChar w:fldCharType="begin">
                <w:ffData>
                  <w:name w:val=""/>
                  <w:enabled/>
                  <w:calcOnExit w:val="0"/>
                  <w:checkBox>
                    <w:sizeAuto/>
                    <w:default w:val="1"/>
                  </w:checkBox>
                </w:ffData>
              </w:fldChar>
            </w:r>
            <w:r w:rsidRPr="00F33674">
              <w:rPr>
                <w:rFonts w:ascii="Arial Narrow" w:hAnsi="Arial Narrow" w:cs="Arial"/>
                <w:sz w:val="20"/>
                <w:szCs w:val="20"/>
              </w:rPr>
              <w:instrText xml:space="preserve"> FORMCHECKBOX </w:instrText>
            </w:r>
            <w:r w:rsidR="00233D13">
              <w:rPr>
                <w:rFonts w:ascii="Arial Narrow" w:hAnsi="Arial Narrow" w:cs="Arial"/>
                <w:sz w:val="20"/>
                <w:szCs w:val="20"/>
              </w:rPr>
            </w:r>
            <w:r w:rsidR="00233D13">
              <w:rPr>
                <w:rFonts w:ascii="Arial Narrow" w:hAnsi="Arial Narrow" w:cs="Arial"/>
                <w:sz w:val="20"/>
                <w:szCs w:val="20"/>
              </w:rPr>
              <w:fldChar w:fldCharType="separate"/>
            </w:r>
            <w:r w:rsidRPr="00F33674">
              <w:rPr>
                <w:rFonts w:ascii="Arial Narrow" w:hAnsi="Arial Narrow" w:cs="Arial"/>
                <w:sz w:val="20"/>
                <w:szCs w:val="20"/>
              </w:rPr>
              <w:fldChar w:fldCharType="end"/>
            </w:r>
            <w:r w:rsidRPr="00F33674">
              <w:rPr>
                <w:rFonts w:ascii="Arial Narrow" w:hAnsi="Arial Narrow" w:cs="Arial"/>
                <w:sz w:val="20"/>
                <w:szCs w:val="20"/>
              </w:rPr>
              <w:t>Medical Practitioners</w:t>
            </w:r>
            <w:r>
              <w:rPr>
                <w:rFonts w:ascii="Arial Narrow" w:hAnsi="Arial Narrow" w:cs="Arial"/>
                <w:sz w:val="20"/>
                <w:szCs w:val="20"/>
              </w:rPr>
              <w:t xml:space="preserve"> </w:t>
            </w:r>
            <w:r w:rsidRPr="00F33674">
              <w:rPr>
                <w:rFonts w:ascii="Arial Narrow" w:hAnsi="Arial Narrow" w:cs="Arial"/>
                <w:sz w:val="20"/>
                <w:szCs w:val="20"/>
              </w:rPr>
              <w:fldChar w:fldCharType="begin">
                <w:ffData>
                  <w:name w:val="Check3"/>
                  <w:enabled/>
                  <w:calcOnExit w:val="0"/>
                  <w:checkBox>
                    <w:sizeAuto/>
                    <w:default w:val="1"/>
                  </w:checkBox>
                </w:ffData>
              </w:fldChar>
            </w:r>
            <w:r w:rsidRPr="00F33674">
              <w:rPr>
                <w:rFonts w:ascii="Arial Narrow" w:hAnsi="Arial Narrow" w:cs="Arial"/>
                <w:sz w:val="20"/>
                <w:szCs w:val="20"/>
              </w:rPr>
              <w:instrText xml:space="preserve"> FORMCHECKBOX </w:instrText>
            </w:r>
            <w:r w:rsidR="00233D13">
              <w:rPr>
                <w:rFonts w:ascii="Arial Narrow" w:hAnsi="Arial Narrow" w:cs="Arial"/>
                <w:sz w:val="20"/>
                <w:szCs w:val="20"/>
              </w:rPr>
            </w:r>
            <w:r w:rsidR="00233D13">
              <w:rPr>
                <w:rFonts w:ascii="Arial Narrow" w:hAnsi="Arial Narrow" w:cs="Arial"/>
                <w:sz w:val="20"/>
                <w:szCs w:val="20"/>
              </w:rPr>
              <w:fldChar w:fldCharType="separate"/>
            </w:r>
            <w:r w:rsidRPr="00F33674">
              <w:rPr>
                <w:rFonts w:ascii="Arial Narrow" w:hAnsi="Arial Narrow" w:cs="Arial"/>
                <w:sz w:val="20"/>
                <w:szCs w:val="20"/>
              </w:rPr>
              <w:fldChar w:fldCharType="end"/>
            </w:r>
            <w:r w:rsidRPr="00F33674">
              <w:rPr>
                <w:rFonts w:ascii="Arial Narrow" w:hAnsi="Arial Narrow" w:cs="Arial"/>
                <w:sz w:val="20"/>
                <w:szCs w:val="20"/>
              </w:rPr>
              <w:t>Nurse practitioners</w:t>
            </w:r>
            <w:r>
              <w:rPr>
                <w:rFonts w:ascii="Arial Narrow" w:hAnsi="Arial Narrow" w:cs="Arial"/>
                <w:sz w:val="20"/>
                <w:szCs w:val="20"/>
              </w:rPr>
              <w:t xml:space="preserve"> </w:t>
            </w:r>
            <w:r w:rsidRPr="00F33674">
              <w:rPr>
                <w:rFonts w:ascii="Arial Narrow" w:hAnsi="Arial Narrow" w:cs="Arial"/>
                <w:sz w:val="20"/>
                <w:szCs w:val="20"/>
              </w:rPr>
              <w:fldChar w:fldCharType="begin">
                <w:ffData>
                  <w:name w:val=""/>
                  <w:enabled/>
                  <w:calcOnExit w:val="0"/>
                  <w:checkBox>
                    <w:sizeAuto/>
                    <w:default w:val="0"/>
                  </w:checkBox>
                </w:ffData>
              </w:fldChar>
            </w:r>
            <w:r w:rsidRPr="00F33674">
              <w:rPr>
                <w:rFonts w:ascii="Arial Narrow" w:hAnsi="Arial Narrow" w:cs="Arial"/>
                <w:sz w:val="20"/>
                <w:szCs w:val="20"/>
              </w:rPr>
              <w:instrText xml:space="preserve"> FORMCHECKBOX </w:instrText>
            </w:r>
            <w:r w:rsidR="00233D13">
              <w:rPr>
                <w:rFonts w:ascii="Arial Narrow" w:hAnsi="Arial Narrow" w:cs="Arial"/>
                <w:sz w:val="20"/>
                <w:szCs w:val="20"/>
              </w:rPr>
            </w:r>
            <w:r w:rsidR="00233D13">
              <w:rPr>
                <w:rFonts w:ascii="Arial Narrow" w:hAnsi="Arial Narrow" w:cs="Arial"/>
                <w:sz w:val="20"/>
                <w:szCs w:val="20"/>
              </w:rPr>
              <w:fldChar w:fldCharType="separate"/>
            </w:r>
            <w:r w:rsidRPr="00F33674">
              <w:rPr>
                <w:rFonts w:ascii="Arial Narrow" w:hAnsi="Arial Narrow" w:cs="Arial"/>
                <w:sz w:val="20"/>
                <w:szCs w:val="20"/>
              </w:rPr>
              <w:fldChar w:fldCharType="end"/>
            </w:r>
            <w:r w:rsidRPr="00F33674">
              <w:rPr>
                <w:rFonts w:ascii="Arial Narrow" w:hAnsi="Arial Narrow" w:cs="Arial"/>
                <w:sz w:val="20"/>
                <w:szCs w:val="20"/>
              </w:rPr>
              <w:t>Optometrists</w:t>
            </w:r>
          </w:p>
          <w:p w14:paraId="1122C3A0" w14:textId="77777777" w:rsidR="00744FB8" w:rsidRPr="00F33674" w:rsidRDefault="00744FB8" w:rsidP="00265869">
            <w:pPr>
              <w:rPr>
                <w:rFonts w:ascii="Arial Narrow" w:hAnsi="Arial Narrow" w:cs="Arial"/>
                <w:sz w:val="20"/>
                <w:szCs w:val="20"/>
              </w:rPr>
            </w:pPr>
            <w:r w:rsidRPr="00F33674">
              <w:rPr>
                <w:rFonts w:ascii="Arial Narrow" w:hAnsi="Arial Narrow" w:cs="Arial"/>
                <w:sz w:val="20"/>
                <w:szCs w:val="20"/>
              </w:rPr>
              <w:fldChar w:fldCharType="begin">
                <w:ffData>
                  <w:name w:val="Check5"/>
                  <w:enabled/>
                  <w:calcOnExit w:val="0"/>
                  <w:checkBox>
                    <w:sizeAuto/>
                    <w:default w:val="0"/>
                  </w:checkBox>
                </w:ffData>
              </w:fldChar>
            </w:r>
            <w:r w:rsidRPr="00F33674">
              <w:rPr>
                <w:rFonts w:ascii="Arial Narrow" w:hAnsi="Arial Narrow" w:cs="Arial"/>
                <w:sz w:val="20"/>
                <w:szCs w:val="20"/>
              </w:rPr>
              <w:instrText xml:space="preserve"> FORMCHECKBOX </w:instrText>
            </w:r>
            <w:r w:rsidR="00233D13">
              <w:rPr>
                <w:rFonts w:ascii="Arial Narrow" w:hAnsi="Arial Narrow" w:cs="Arial"/>
                <w:sz w:val="20"/>
                <w:szCs w:val="20"/>
              </w:rPr>
            </w:r>
            <w:r w:rsidR="00233D13">
              <w:rPr>
                <w:rFonts w:ascii="Arial Narrow" w:hAnsi="Arial Narrow" w:cs="Arial"/>
                <w:sz w:val="20"/>
                <w:szCs w:val="20"/>
              </w:rPr>
              <w:fldChar w:fldCharType="separate"/>
            </w:r>
            <w:r w:rsidRPr="00F33674">
              <w:rPr>
                <w:rFonts w:ascii="Arial Narrow" w:hAnsi="Arial Narrow" w:cs="Arial"/>
                <w:sz w:val="20"/>
                <w:szCs w:val="20"/>
              </w:rPr>
              <w:fldChar w:fldCharType="end"/>
            </w:r>
            <w:r w:rsidRPr="00F33674">
              <w:rPr>
                <w:rFonts w:ascii="Arial Narrow" w:hAnsi="Arial Narrow" w:cs="Arial"/>
                <w:sz w:val="20"/>
                <w:szCs w:val="20"/>
              </w:rPr>
              <w:t>Midwives</w:t>
            </w:r>
          </w:p>
        </w:tc>
      </w:tr>
      <w:tr w:rsidR="00744FB8" w:rsidRPr="00F33674" w14:paraId="55F7DBEF" w14:textId="77777777" w:rsidTr="00C21DFA">
        <w:trPr>
          <w:cantSplit/>
          <w:trHeight w:val="369"/>
        </w:trPr>
        <w:tc>
          <w:tcPr>
            <w:tcW w:w="3183" w:type="dxa"/>
            <w:tcBorders>
              <w:top w:val="single" w:sz="4" w:space="0" w:color="auto"/>
              <w:left w:val="single" w:sz="4" w:space="0" w:color="auto"/>
              <w:bottom w:val="single" w:sz="4" w:space="0" w:color="auto"/>
              <w:right w:val="single" w:sz="4" w:space="0" w:color="auto"/>
            </w:tcBorders>
          </w:tcPr>
          <w:p w14:paraId="079734E4" w14:textId="77777777" w:rsidR="00744FB8" w:rsidRPr="00F33674" w:rsidRDefault="00744FB8" w:rsidP="00265869">
            <w:pPr>
              <w:rPr>
                <w:rFonts w:ascii="Arial Narrow" w:hAnsi="Arial Narrow" w:cs="Arial"/>
                <w:b/>
                <w:sz w:val="20"/>
                <w:szCs w:val="20"/>
              </w:rPr>
            </w:pPr>
            <w:r w:rsidRPr="00F33674">
              <w:rPr>
                <w:rFonts w:ascii="Arial Narrow" w:hAnsi="Arial Narrow" w:cs="Arial"/>
                <w:b/>
                <w:sz w:val="20"/>
                <w:szCs w:val="20"/>
              </w:rPr>
              <w:t>PBS indication:</w:t>
            </w:r>
          </w:p>
        </w:tc>
        <w:tc>
          <w:tcPr>
            <w:tcW w:w="5889" w:type="dxa"/>
            <w:tcBorders>
              <w:top w:val="single" w:sz="4" w:space="0" w:color="auto"/>
              <w:left w:val="single" w:sz="4" w:space="0" w:color="auto"/>
              <w:bottom w:val="single" w:sz="4" w:space="0" w:color="auto"/>
              <w:right w:val="single" w:sz="4" w:space="0" w:color="auto"/>
            </w:tcBorders>
          </w:tcPr>
          <w:p w14:paraId="4ED4D4E3" w14:textId="77777777" w:rsidR="00744FB8" w:rsidRPr="00F33674" w:rsidRDefault="00744FB8" w:rsidP="00265869">
            <w:pPr>
              <w:rPr>
                <w:rFonts w:ascii="Arial Narrow" w:hAnsi="Arial Narrow" w:cs="Arial"/>
                <w:sz w:val="20"/>
                <w:szCs w:val="20"/>
              </w:rPr>
            </w:pPr>
            <w:r w:rsidRPr="00F33674">
              <w:rPr>
                <w:rFonts w:ascii="Arial Narrow" w:hAnsi="Arial Narrow" w:cs="Arial"/>
                <w:sz w:val="20"/>
                <w:szCs w:val="20"/>
              </w:rPr>
              <w:t>[9729] Chronic severe disabling pain</w:t>
            </w:r>
          </w:p>
        </w:tc>
      </w:tr>
      <w:tr w:rsidR="00744FB8" w:rsidRPr="00F33674" w14:paraId="0762994F" w14:textId="77777777" w:rsidTr="00C21DFA">
        <w:trPr>
          <w:cantSplit/>
          <w:trHeight w:val="360"/>
        </w:trPr>
        <w:tc>
          <w:tcPr>
            <w:tcW w:w="3183" w:type="dxa"/>
            <w:tcBorders>
              <w:top w:val="single" w:sz="4" w:space="0" w:color="auto"/>
              <w:left w:val="single" w:sz="4" w:space="0" w:color="auto"/>
              <w:bottom w:val="single" w:sz="4" w:space="0" w:color="auto"/>
              <w:right w:val="single" w:sz="4" w:space="0" w:color="auto"/>
            </w:tcBorders>
          </w:tcPr>
          <w:p w14:paraId="20BD4701" w14:textId="77777777" w:rsidR="00744FB8" w:rsidRPr="00F33674" w:rsidRDefault="00744FB8" w:rsidP="00265869">
            <w:pPr>
              <w:rPr>
                <w:rFonts w:ascii="Arial Narrow" w:hAnsi="Arial Narrow" w:cs="Arial"/>
                <w:b/>
                <w:sz w:val="20"/>
                <w:szCs w:val="20"/>
              </w:rPr>
            </w:pPr>
            <w:r w:rsidRPr="00F33674">
              <w:rPr>
                <w:rFonts w:ascii="Arial Narrow" w:hAnsi="Arial Narrow" w:cs="Arial"/>
                <w:b/>
                <w:sz w:val="20"/>
                <w:szCs w:val="20"/>
              </w:rPr>
              <w:t>Restriction Level / Method:</w:t>
            </w:r>
          </w:p>
          <w:p w14:paraId="1859A96A" w14:textId="77777777" w:rsidR="00744FB8" w:rsidRPr="00F33674" w:rsidRDefault="00744FB8" w:rsidP="00265869">
            <w:pPr>
              <w:rPr>
                <w:rFonts w:ascii="Arial Narrow" w:hAnsi="Arial Narrow" w:cs="Arial"/>
                <w:i/>
                <w:sz w:val="20"/>
                <w:szCs w:val="20"/>
              </w:rPr>
            </w:pPr>
          </w:p>
          <w:p w14:paraId="42C4F5E3" w14:textId="77777777" w:rsidR="00744FB8" w:rsidRPr="00F33674" w:rsidRDefault="00744FB8" w:rsidP="00265869">
            <w:pPr>
              <w:rPr>
                <w:rFonts w:ascii="Arial Narrow" w:hAnsi="Arial Narrow" w:cs="Arial"/>
                <w:i/>
                <w:sz w:val="20"/>
                <w:szCs w:val="20"/>
              </w:rPr>
            </w:pPr>
          </w:p>
          <w:p w14:paraId="1919F004" w14:textId="77777777" w:rsidR="00744FB8" w:rsidRPr="00F33674" w:rsidRDefault="00744FB8" w:rsidP="00265869">
            <w:pPr>
              <w:rPr>
                <w:rFonts w:ascii="Arial Narrow" w:hAnsi="Arial Narrow" w:cs="Arial"/>
                <w:i/>
                <w:sz w:val="20"/>
                <w:szCs w:val="20"/>
              </w:rPr>
            </w:pPr>
          </w:p>
        </w:tc>
        <w:tc>
          <w:tcPr>
            <w:tcW w:w="5889" w:type="dxa"/>
            <w:tcBorders>
              <w:top w:val="single" w:sz="4" w:space="0" w:color="auto"/>
              <w:left w:val="single" w:sz="4" w:space="0" w:color="auto"/>
              <w:bottom w:val="single" w:sz="4" w:space="0" w:color="auto"/>
              <w:right w:val="single" w:sz="4" w:space="0" w:color="auto"/>
            </w:tcBorders>
          </w:tcPr>
          <w:p w14:paraId="1319882C" w14:textId="77777777" w:rsidR="00744FB8" w:rsidRPr="00F33674" w:rsidRDefault="00744FB8" w:rsidP="00265869">
            <w:pPr>
              <w:rPr>
                <w:rFonts w:ascii="Arial Narrow" w:hAnsi="Arial Narrow" w:cs="Arial"/>
                <w:sz w:val="20"/>
                <w:szCs w:val="20"/>
              </w:rPr>
            </w:pPr>
            <w:r w:rsidRPr="00F33674">
              <w:rPr>
                <w:rFonts w:ascii="Arial Narrow" w:hAnsi="Arial Narrow" w:cs="Arial"/>
                <w:sz w:val="20"/>
                <w:szCs w:val="20"/>
              </w:rPr>
              <w:fldChar w:fldCharType="begin">
                <w:ffData>
                  <w:name w:val=""/>
                  <w:enabled/>
                  <w:calcOnExit w:val="0"/>
                  <w:checkBox>
                    <w:sizeAuto/>
                    <w:default w:val="0"/>
                  </w:checkBox>
                </w:ffData>
              </w:fldChar>
            </w:r>
            <w:r w:rsidRPr="00F33674">
              <w:rPr>
                <w:rFonts w:ascii="Arial Narrow" w:hAnsi="Arial Narrow" w:cs="Arial"/>
                <w:sz w:val="20"/>
                <w:szCs w:val="20"/>
              </w:rPr>
              <w:instrText xml:space="preserve"> FORMCHECKBOX </w:instrText>
            </w:r>
            <w:r w:rsidR="00233D13">
              <w:rPr>
                <w:rFonts w:ascii="Arial Narrow" w:hAnsi="Arial Narrow" w:cs="Arial"/>
                <w:sz w:val="20"/>
                <w:szCs w:val="20"/>
              </w:rPr>
            </w:r>
            <w:r w:rsidR="00233D13">
              <w:rPr>
                <w:rFonts w:ascii="Arial Narrow" w:hAnsi="Arial Narrow" w:cs="Arial"/>
                <w:sz w:val="20"/>
                <w:szCs w:val="20"/>
              </w:rPr>
              <w:fldChar w:fldCharType="separate"/>
            </w:r>
            <w:r w:rsidRPr="00F33674">
              <w:rPr>
                <w:rFonts w:ascii="Arial Narrow" w:hAnsi="Arial Narrow" w:cs="Arial"/>
                <w:sz w:val="20"/>
                <w:szCs w:val="20"/>
              </w:rPr>
              <w:fldChar w:fldCharType="end"/>
            </w:r>
            <w:r w:rsidRPr="00F33674">
              <w:rPr>
                <w:rFonts w:ascii="Arial Narrow" w:hAnsi="Arial Narrow" w:cs="Arial"/>
                <w:sz w:val="20"/>
                <w:szCs w:val="20"/>
              </w:rPr>
              <w:t>Unrestricted benefit</w:t>
            </w:r>
          </w:p>
          <w:p w14:paraId="5589B4BC" w14:textId="77777777" w:rsidR="00744FB8" w:rsidRPr="00F33674" w:rsidRDefault="00744FB8" w:rsidP="00265869">
            <w:pPr>
              <w:rPr>
                <w:rFonts w:ascii="Arial Narrow" w:hAnsi="Arial Narrow" w:cs="Arial"/>
                <w:i/>
                <w:sz w:val="20"/>
                <w:szCs w:val="20"/>
              </w:rPr>
            </w:pPr>
            <w:r w:rsidRPr="00F33674">
              <w:rPr>
                <w:rFonts w:ascii="Arial Narrow" w:hAnsi="Arial Narrow" w:cs="Arial"/>
                <w:i/>
                <w:sz w:val="20"/>
                <w:szCs w:val="20"/>
              </w:rPr>
              <w:fldChar w:fldCharType="begin">
                <w:ffData>
                  <w:name w:val=""/>
                  <w:enabled/>
                  <w:calcOnExit w:val="0"/>
                  <w:checkBox>
                    <w:sizeAuto/>
                    <w:default w:val="0"/>
                  </w:checkBox>
                </w:ffData>
              </w:fldChar>
            </w:r>
            <w:r w:rsidRPr="00F33674">
              <w:rPr>
                <w:rFonts w:ascii="Arial Narrow" w:hAnsi="Arial Narrow" w:cs="Arial"/>
                <w:i/>
                <w:sz w:val="20"/>
                <w:szCs w:val="20"/>
              </w:rPr>
              <w:instrText xml:space="preserve"> FORMCHECKBOX </w:instrText>
            </w:r>
            <w:r w:rsidR="00233D13">
              <w:rPr>
                <w:rFonts w:ascii="Arial Narrow" w:hAnsi="Arial Narrow" w:cs="Arial"/>
                <w:i/>
                <w:sz w:val="20"/>
                <w:szCs w:val="20"/>
              </w:rPr>
            </w:r>
            <w:r w:rsidR="00233D13">
              <w:rPr>
                <w:rFonts w:ascii="Arial Narrow" w:hAnsi="Arial Narrow" w:cs="Arial"/>
                <w:i/>
                <w:sz w:val="20"/>
                <w:szCs w:val="20"/>
              </w:rPr>
              <w:fldChar w:fldCharType="separate"/>
            </w:r>
            <w:r w:rsidRPr="00F33674">
              <w:rPr>
                <w:rFonts w:ascii="Arial Narrow" w:hAnsi="Arial Narrow" w:cs="Arial"/>
                <w:i/>
                <w:sz w:val="20"/>
                <w:szCs w:val="20"/>
              </w:rPr>
              <w:fldChar w:fldCharType="end"/>
            </w:r>
            <w:r w:rsidRPr="00F33674">
              <w:rPr>
                <w:rFonts w:ascii="Arial Narrow" w:hAnsi="Arial Narrow" w:cs="Arial"/>
                <w:sz w:val="20"/>
                <w:szCs w:val="20"/>
              </w:rPr>
              <w:t>Restricted benefit</w:t>
            </w:r>
          </w:p>
          <w:p w14:paraId="1EE76558" w14:textId="77777777" w:rsidR="00744FB8" w:rsidRPr="00F33674" w:rsidRDefault="00744FB8" w:rsidP="00265869">
            <w:pPr>
              <w:rPr>
                <w:rFonts w:ascii="Arial Narrow" w:hAnsi="Arial Narrow" w:cs="Arial"/>
                <w:sz w:val="20"/>
                <w:szCs w:val="20"/>
              </w:rPr>
            </w:pPr>
            <w:r w:rsidRPr="00F33674">
              <w:rPr>
                <w:rFonts w:ascii="Arial Narrow" w:hAnsi="Arial Narrow" w:cs="Arial"/>
                <w:sz w:val="20"/>
                <w:szCs w:val="20"/>
              </w:rPr>
              <w:fldChar w:fldCharType="begin">
                <w:ffData>
                  <w:name w:val=""/>
                  <w:enabled/>
                  <w:calcOnExit w:val="0"/>
                  <w:checkBox>
                    <w:sizeAuto/>
                    <w:default w:val="0"/>
                  </w:checkBox>
                </w:ffData>
              </w:fldChar>
            </w:r>
            <w:r w:rsidRPr="00F33674">
              <w:rPr>
                <w:rFonts w:ascii="Arial Narrow" w:hAnsi="Arial Narrow" w:cs="Arial"/>
                <w:sz w:val="20"/>
                <w:szCs w:val="20"/>
              </w:rPr>
              <w:instrText xml:space="preserve"> FORMCHECKBOX </w:instrText>
            </w:r>
            <w:r w:rsidR="00233D13">
              <w:rPr>
                <w:rFonts w:ascii="Arial Narrow" w:hAnsi="Arial Narrow" w:cs="Arial"/>
                <w:sz w:val="20"/>
                <w:szCs w:val="20"/>
              </w:rPr>
            </w:r>
            <w:r w:rsidR="00233D13">
              <w:rPr>
                <w:rFonts w:ascii="Arial Narrow" w:hAnsi="Arial Narrow" w:cs="Arial"/>
                <w:sz w:val="20"/>
                <w:szCs w:val="20"/>
              </w:rPr>
              <w:fldChar w:fldCharType="separate"/>
            </w:r>
            <w:r w:rsidRPr="00F33674">
              <w:rPr>
                <w:rFonts w:ascii="Arial Narrow" w:hAnsi="Arial Narrow" w:cs="Arial"/>
                <w:sz w:val="20"/>
                <w:szCs w:val="20"/>
              </w:rPr>
              <w:fldChar w:fldCharType="end"/>
            </w:r>
            <w:r w:rsidRPr="00F33674">
              <w:rPr>
                <w:rFonts w:ascii="Arial Narrow" w:hAnsi="Arial Narrow" w:cs="Arial"/>
                <w:sz w:val="20"/>
                <w:szCs w:val="20"/>
              </w:rPr>
              <w:t>Authority Required – In Writing</w:t>
            </w:r>
          </w:p>
          <w:p w14:paraId="2E279AAA" w14:textId="77777777" w:rsidR="00744FB8" w:rsidRPr="00F33674" w:rsidRDefault="00744FB8" w:rsidP="00265869">
            <w:pPr>
              <w:rPr>
                <w:rFonts w:ascii="Arial Narrow" w:hAnsi="Arial Narrow" w:cs="Arial"/>
                <w:sz w:val="20"/>
                <w:szCs w:val="20"/>
              </w:rPr>
            </w:pPr>
            <w:r w:rsidRPr="00F33674">
              <w:rPr>
                <w:rFonts w:ascii="Arial Narrow" w:hAnsi="Arial Narrow" w:cs="Arial"/>
                <w:sz w:val="20"/>
                <w:szCs w:val="20"/>
              </w:rPr>
              <w:fldChar w:fldCharType="begin">
                <w:ffData>
                  <w:name w:val="Check3"/>
                  <w:enabled/>
                  <w:calcOnExit w:val="0"/>
                  <w:checkBox>
                    <w:sizeAuto/>
                    <w:default w:val="0"/>
                  </w:checkBox>
                </w:ffData>
              </w:fldChar>
            </w:r>
            <w:r w:rsidRPr="00F33674">
              <w:rPr>
                <w:rFonts w:ascii="Arial Narrow" w:hAnsi="Arial Narrow" w:cs="Arial"/>
                <w:sz w:val="20"/>
                <w:szCs w:val="20"/>
              </w:rPr>
              <w:instrText xml:space="preserve"> FORMCHECKBOX </w:instrText>
            </w:r>
            <w:r w:rsidR="00233D13">
              <w:rPr>
                <w:rFonts w:ascii="Arial Narrow" w:hAnsi="Arial Narrow" w:cs="Arial"/>
                <w:sz w:val="20"/>
                <w:szCs w:val="20"/>
              </w:rPr>
            </w:r>
            <w:r w:rsidR="00233D13">
              <w:rPr>
                <w:rFonts w:ascii="Arial Narrow" w:hAnsi="Arial Narrow" w:cs="Arial"/>
                <w:sz w:val="20"/>
                <w:szCs w:val="20"/>
              </w:rPr>
              <w:fldChar w:fldCharType="separate"/>
            </w:r>
            <w:r w:rsidRPr="00F33674">
              <w:rPr>
                <w:rFonts w:ascii="Arial Narrow" w:hAnsi="Arial Narrow" w:cs="Arial"/>
                <w:sz w:val="20"/>
                <w:szCs w:val="20"/>
              </w:rPr>
              <w:fldChar w:fldCharType="end"/>
            </w:r>
            <w:r w:rsidRPr="00F33674">
              <w:rPr>
                <w:rFonts w:ascii="Arial Narrow" w:hAnsi="Arial Narrow" w:cs="Arial"/>
                <w:sz w:val="20"/>
                <w:szCs w:val="20"/>
              </w:rPr>
              <w:t>Authority Required – Telephone/Electronic/Emergency</w:t>
            </w:r>
          </w:p>
          <w:p w14:paraId="4065405A" w14:textId="77777777" w:rsidR="00744FB8" w:rsidRPr="00F33674" w:rsidRDefault="00744FB8" w:rsidP="00265869">
            <w:pPr>
              <w:rPr>
                <w:rFonts w:ascii="Arial Narrow" w:hAnsi="Arial Narrow" w:cs="Arial"/>
                <w:sz w:val="20"/>
                <w:szCs w:val="20"/>
              </w:rPr>
            </w:pPr>
            <w:r w:rsidRPr="00F33674">
              <w:rPr>
                <w:rFonts w:ascii="Arial Narrow" w:hAnsi="Arial Narrow" w:cs="Arial"/>
                <w:sz w:val="20"/>
                <w:szCs w:val="20"/>
              </w:rPr>
              <w:fldChar w:fldCharType="begin">
                <w:ffData>
                  <w:name w:val="Check5"/>
                  <w:enabled/>
                  <w:calcOnExit w:val="0"/>
                  <w:checkBox>
                    <w:sizeAuto/>
                    <w:default w:val="1"/>
                  </w:checkBox>
                </w:ffData>
              </w:fldChar>
            </w:r>
            <w:r w:rsidRPr="00F33674">
              <w:rPr>
                <w:rFonts w:ascii="Arial Narrow" w:hAnsi="Arial Narrow" w:cs="Arial"/>
                <w:sz w:val="20"/>
                <w:szCs w:val="20"/>
              </w:rPr>
              <w:instrText xml:space="preserve"> FORMCHECKBOX </w:instrText>
            </w:r>
            <w:r w:rsidR="00233D13">
              <w:rPr>
                <w:rFonts w:ascii="Arial Narrow" w:hAnsi="Arial Narrow" w:cs="Arial"/>
                <w:sz w:val="20"/>
                <w:szCs w:val="20"/>
              </w:rPr>
            </w:r>
            <w:r w:rsidR="00233D13">
              <w:rPr>
                <w:rFonts w:ascii="Arial Narrow" w:hAnsi="Arial Narrow" w:cs="Arial"/>
                <w:sz w:val="20"/>
                <w:szCs w:val="20"/>
              </w:rPr>
              <w:fldChar w:fldCharType="separate"/>
            </w:r>
            <w:r w:rsidRPr="00F33674">
              <w:rPr>
                <w:rFonts w:ascii="Arial Narrow" w:hAnsi="Arial Narrow" w:cs="Arial"/>
                <w:sz w:val="20"/>
                <w:szCs w:val="20"/>
              </w:rPr>
              <w:fldChar w:fldCharType="end"/>
            </w:r>
            <w:r w:rsidRPr="00F33674">
              <w:rPr>
                <w:rFonts w:ascii="Arial Narrow" w:hAnsi="Arial Narrow" w:cs="Arial"/>
                <w:sz w:val="20"/>
                <w:szCs w:val="20"/>
              </w:rPr>
              <w:t>Streamlined</w:t>
            </w:r>
          </w:p>
        </w:tc>
      </w:tr>
      <w:tr w:rsidR="00744FB8" w:rsidRPr="00F33674" w14:paraId="79A7CBED" w14:textId="77777777" w:rsidTr="00C21DFA">
        <w:trPr>
          <w:cantSplit/>
          <w:trHeight w:val="360"/>
        </w:trPr>
        <w:tc>
          <w:tcPr>
            <w:tcW w:w="3183" w:type="dxa"/>
            <w:tcBorders>
              <w:top w:val="single" w:sz="4" w:space="0" w:color="auto"/>
              <w:left w:val="single" w:sz="4" w:space="0" w:color="auto"/>
              <w:bottom w:val="single" w:sz="4" w:space="0" w:color="auto"/>
              <w:right w:val="single" w:sz="4" w:space="0" w:color="auto"/>
            </w:tcBorders>
          </w:tcPr>
          <w:p w14:paraId="6CA032A7" w14:textId="77777777" w:rsidR="00744FB8" w:rsidRPr="00F33674" w:rsidRDefault="00744FB8" w:rsidP="00265869">
            <w:pPr>
              <w:rPr>
                <w:rFonts w:ascii="Arial Narrow" w:hAnsi="Arial Narrow" w:cs="Arial"/>
                <w:b/>
                <w:sz w:val="20"/>
                <w:szCs w:val="20"/>
              </w:rPr>
            </w:pPr>
            <w:r>
              <w:rPr>
                <w:rFonts w:ascii="Arial Narrow" w:hAnsi="Arial Narrow" w:cs="Arial"/>
                <w:b/>
                <w:sz w:val="20"/>
                <w:szCs w:val="20"/>
              </w:rPr>
              <w:t>Treatment phase:</w:t>
            </w:r>
          </w:p>
        </w:tc>
        <w:tc>
          <w:tcPr>
            <w:tcW w:w="5889" w:type="dxa"/>
            <w:tcBorders>
              <w:top w:val="single" w:sz="4" w:space="0" w:color="auto"/>
              <w:left w:val="single" w:sz="4" w:space="0" w:color="auto"/>
              <w:bottom w:val="single" w:sz="4" w:space="0" w:color="auto"/>
              <w:right w:val="single" w:sz="4" w:space="0" w:color="auto"/>
            </w:tcBorders>
          </w:tcPr>
          <w:p w14:paraId="58C43165" w14:textId="61EBC27B" w:rsidR="00744FB8" w:rsidRPr="00F33674" w:rsidRDefault="005E5921" w:rsidP="005E5921">
            <w:pPr>
              <w:jc w:val="left"/>
              <w:rPr>
                <w:rFonts w:ascii="Arial Narrow" w:hAnsi="Arial Narrow" w:cs="Arial"/>
                <w:sz w:val="20"/>
                <w:szCs w:val="20"/>
              </w:rPr>
            </w:pPr>
            <w:r w:rsidRPr="00CB0FCB">
              <w:rPr>
                <w:rFonts w:ascii="Arial Narrow" w:hAnsi="Arial Narrow" w:cs="Arial"/>
                <w:sz w:val="20"/>
                <w:szCs w:val="20"/>
              </w:rPr>
              <w:t>Continuing PBS treatment after 1 June 2020</w:t>
            </w:r>
            <w:r>
              <w:rPr>
                <w:rFonts w:ascii="Arial Narrow" w:hAnsi="Arial Narrow" w:cs="Arial"/>
                <w:sz w:val="20"/>
                <w:szCs w:val="20"/>
              </w:rPr>
              <w:t>.</w:t>
            </w:r>
          </w:p>
        </w:tc>
      </w:tr>
      <w:tr w:rsidR="00744FB8" w:rsidRPr="00F33674" w14:paraId="0476286F" w14:textId="77777777" w:rsidTr="00C21DFA">
        <w:trPr>
          <w:cantSplit/>
          <w:trHeight w:val="360"/>
        </w:trPr>
        <w:tc>
          <w:tcPr>
            <w:tcW w:w="3183" w:type="dxa"/>
            <w:tcBorders>
              <w:top w:val="single" w:sz="4" w:space="0" w:color="auto"/>
              <w:left w:val="single" w:sz="4" w:space="0" w:color="auto"/>
              <w:bottom w:val="single" w:sz="4" w:space="0" w:color="auto"/>
              <w:right w:val="single" w:sz="4" w:space="0" w:color="auto"/>
            </w:tcBorders>
          </w:tcPr>
          <w:p w14:paraId="354733F1" w14:textId="77777777" w:rsidR="00744FB8" w:rsidRPr="00F33674" w:rsidRDefault="00744FB8" w:rsidP="00265869">
            <w:pPr>
              <w:rPr>
                <w:rFonts w:ascii="Arial Narrow" w:hAnsi="Arial Narrow" w:cs="Arial"/>
                <w:b/>
                <w:sz w:val="20"/>
                <w:szCs w:val="20"/>
              </w:rPr>
            </w:pPr>
            <w:r w:rsidRPr="00F33674">
              <w:rPr>
                <w:rFonts w:ascii="Arial Narrow" w:hAnsi="Arial Narrow" w:cs="Arial"/>
                <w:b/>
                <w:sz w:val="20"/>
                <w:szCs w:val="20"/>
              </w:rPr>
              <w:t>Clinical criteria:</w:t>
            </w:r>
          </w:p>
        </w:tc>
        <w:tc>
          <w:tcPr>
            <w:tcW w:w="5889" w:type="dxa"/>
            <w:tcBorders>
              <w:top w:val="single" w:sz="4" w:space="0" w:color="auto"/>
              <w:left w:val="single" w:sz="4" w:space="0" w:color="auto"/>
              <w:bottom w:val="single" w:sz="4" w:space="0" w:color="auto"/>
              <w:right w:val="single" w:sz="4" w:space="0" w:color="auto"/>
            </w:tcBorders>
          </w:tcPr>
          <w:p w14:paraId="3795AF63" w14:textId="77400C8C" w:rsidR="00744FB8" w:rsidRPr="00F33674" w:rsidRDefault="00744FB8">
            <w:pPr>
              <w:jc w:val="left"/>
              <w:rPr>
                <w:rFonts w:ascii="Arial Narrow" w:hAnsi="Arial Narrow" w:cs="Arial"/>
                <w:sz w:val="20"/>
                <w:szCs w:val="20"/>
              </w:rPr>
            </w:pPr>
            <w:r w:rsidRPr="00F33674">
              <w:rPr>
                <w:rFonts w:ascii="Arial Narrow" w:hAnsi="Arial Narrow" w:cs="Arial"/>
                <w:sz w:val="20"/>
                <w:szCs w:val="20"/>
              </w:rPr>
              <w:t xml:space="preserve">[new] </w:t>
            </w:r>
            <w:r w:rsidRPr="00744FB8">
              <w:rPr>
                <w:rFonts w:ascii="Arial Narrow" w:hAnsi="Arial Narrow" w:cs="Arial"/>
                <w:sz w:val="20"/>
                <w:szCs w:val="20"/>
              </w:rPr>
              <w:t>Patient must have previously received PBS-subsidised treatment with this form of this drug for this condition after 1 June 2020</w:t>
            </w:r>
            <w:r>
              <w:rPr>
                <w:rFonts w:ascii="Arial Narrow" w:hAnsi="Arial Narrow" w:cs="Arial"/>
                <w:sz w:val="20"/>
                <w:szCs w:val="20"/>
              </w:rPr>
              <w:t>.</w:t>
            </w:r>
          </w:p>
        </w:tc>
      </w:tr>
      <w:tr w:rsidR="00744FB8" w:rsidRPr="00F33674" w14:paraId="28BF6559" w14:textId="77777777" w:rsidTr="00C21DFA">
        <w:trPr>
          <w:cantSplit/>
          <w:trHeight w:val="360"/>
        </w:trPr>
        <w:tc>
          <w:tcPr>
            <w:tcW w:w="3183" w:type="dxa"/>
            <w:tcBorders>
              <w:top w:val="single" w:sz="4" w:space="0" w:color="auto"/>
              <w:left w:val="single" w:sz="4" w:space="0" w:color="auto"/>
              <w:bottom w:val="single" w:sz="4" w:space="0" w:color="auto"/>
              <w:right w:val="single" w:sz="4" w:space="0" w:color="auto"/>
            </w:tcBorders>
          </w:tcPr>
          <w:p w14:paraId="43F9D808" w14:textId="77777777" w:rsidR="00744FB8" w:rsidRPr="00F33674" w:rsidRDefault="00744FB8" w:rsidP="00265869">
            <w:pPr>
              <w:rPr>
                <w:rFonts w:ascii="Arial Narrow" w:hAnsi="Arial Narrow" w:cs="Arial"/>
                <w:b/>
                <w:sz w:val="20"/>
                <w:szCs w:val="20"/>
              </w:rPr>
            </w:pPr>
            <w:r w:rsidRPr="00F33674">
              <w:rPr>
                <w:rFonts w:ascii="Arial Narrow" w:hAnsi="Arial Narrow" w:cs="Arial"/>
                <w:b/>
                <w:sz w:val="20"/>
                <w:szCs w:val="20"/>
              </w:rPr>
              <w:lastRenderedPageBreak/>
              <w:t>Prescriber instruction:</w:t>
            </w:r>
          </w:p>
        </w:tc>
        <w:tc>
          <w:tcPr>
            <w:tcW w:w="5889" w:type="dxa"/>
            <w:tcBorders>
              <w:top w:val="single" w:sz="4" w:space="0" w:color="auto"/>
              <w:left w:val="single" w:sz="4" w:space="0" w:color="auto"/>
              <w:bottom w:val="single" w:sz="4" w:space="0" w:color="auto"/>
              <w:right w:val="single" w:sz="4" w:space="0" w:color="auto"/>
            </w:tcBorders>
          </w:tcPr>
          <w:p w14:paraId="07B0819B" w14:textId="77777777" w:rsidR="00744FB8" w:rsidRPr="00744FB8" w:rsidRDefault="00744FB8" w:rsidP="00744FB8">
            <w:pPr>
              <w:jc w:val="left"/>
              <w:rPr>
                <w:rFonts w:ascii="Arial Narrow" w:hAnsi="Arial Narrow" w:cs="Arial"/>
                <w:sz w:val="20"/>
                <w:szCs w:val="20"/>
              </w:rPr>
            </w:pPr>
            <w:r w:rsidRPr="00F33674">
              <w:rPr>
                <w:rFonts w:ascii="Arial Narrow" w:hAnsi="Arial Narrow" w:cs="Arial"/>
                <w:sz w:val="20"/>
                <w:szCs w:val="20"/>
              </w:rPr>
              <w:t xml:space="preserve">[new] </w:t>
            </w:r>
            <w:r w:rsidRPr="00744FB8">
              <w:rPr>
                <w:rFonts w:ascii="Arial Narrow" w:hAnsi="Arial Narrow" w:cs="Arial"/>
                <w:sz w:val="20"/>
                <w:szCs w:val="20"/>
              </w:rPr>
              <w:t>Authorities for increased maximum quantities and/or repeats must only be considered for chronic severe disabling pain where the patient has received initial authority approval and the total duration of non-PBS and PBS opioid analgesic treatment:</w:t>
            </w:r>
          </w:p>
          <w:p w14:paraId="1968C7A4" w14:textId="77777777" w:rsidR="00744FB8" w:rsidRPr="00744FB8" w:rsidRDefault="00744FB8" w:rsidP="00744FB8">
            <w:pPr>
              <w:jc w:val="left"/>
              <w:rPr>
                <w:rFonts w:ascii="Arial Narrow" w:hAnsi="Arial Narrow" w:cs="Arial"/>
                <w:sz w:val="20"/>
                <w:szCs w:val="20"/>
              </w:rPr>
            </w:pPr>
            <w:r w:rsidRPr="00744FB8">
              <w:rPr>
                <w:rFonts w:ascii="Arial Narrow" w:hAnsi="Arial Narrow" w:cs="Arial"/>
                <w:sz w:val="20"/>
                <w:szCs w:val="20"/>
              </w:rPr>
              <w:t>(i) is less than 12 months; or</w:t>
            </w:r>
          </w:p>
          <w:p w14:paraId="63BF981F" w14:textId="77777777" w:rsidR="00744FB8" w:rsidRPr="00744FB8" w:rsidRDefault="00744FB8" w:rsidP="00744FB8">
            <w:pPr>
              <w:jc w:val="left"/>
              <w:rPr>
                <w:rFonts w:ascii="Arial Narrow" w:hAnsi="Arial Narrow" w:cs="Arial"/>
                <w:sz w:val="20"/>
                <w:szCs w:val="20"/>
              </w:rPr>
            </w:pPr>
            <w:r w:rsidRPr="00744FB8">
              <w:rPr>
                <w:rFonts w:ascii="Arial Narrow" w:hAnsi="Arial Narrow" w:cs="Arial"/>
                <w:sz w:val="20"/>
                <w:szCs w:val="20"/>
              </w:rPr>
              <w:t>(ii) exceeds 12 months and the palliative care patient is unable to have annual pain management review due to their clinical condition; or</w:t>
            </w:r>
          </w:p>
          <w:p w14:paraId="483BCA48" w14:textId="77777777" w:rsidR="00744FB8" w:rsidRPr="00744FB8" w:rsidRDefault="00744FB8" w:rsidP="00744FB8">
            <w:pPr>
              <w:jc w:val="left"/>
              <w:rPr>
                <w:rFonts w:ascii="Arial Narrow" w:hAnsi="Arial Narrow" w:cs="Arial"/>
                <w:sz w:val="20"/>
                <w:szCs w:val="20"/>
              </w:rPr>
            </w:pPr>
            <w:r w:rsidRPr="00744FB8">
              <w:rPr>
                <w:rFonts w:ascii="Arial Narrow" w:hAnsi="Arial Narrow" w:cs="Arial"/>
                <w:sz w:val="20"/>
                <w:szCs w:val="20"/>
              </w:rPr>
              <w:t>(iii) exceeds 12 months and the patient's clinical need for continuing opioid treatment has been confirmed through consultation with the patient by another medical practitioner or a palliative care nurse practitioner in the past 12 months; or</w:t>
            </w:r>
          </w:p>
          <w:p w14:paraId="522797DD" w14:textId="07B5664D" w:rsidR="00744FB8" w:rsidRDefault="00744FB8" w:rsidP="00744FB8">
            <w:pPr>
              <w:jc w:val="left"/>
              <w:rPr>
                <w:rFonts w:ascii="Arial Narrow" w:hAnsi="Arial Narrow" w:cs="Arial"/>
                <w:sz w:val="20"/>
                <w:szCs w:val="20"/>
              </w:rPr>
            </w:pPr>
            <w:r w:rsidRPr="00744FB8">
              <w:rPr>
                <w:rFonts w:ascii="Arial Narrow" w:hAnsi="Arial Narrow" w:cs="Arial"/>
                <w:sz w:val="20"/>
                <w:szCs w:val="20"/>
              </w:rPr>
              <w:t xml:space="preserve">(iv) </w:t>
            </w:r>
            <w:proofErr w:type="gramStart"/>
            <w:r w:rsidRPr="00744FB8">
              <w:rPr>
                <w:rFonts w:ascii="Arial Narrow" w:hAnsi="Arial Narrow" w:cs="Arial"/>
                <w:sz w:val="20"/>
                <w:szCs w:val="20"/>
              </w:rPr>
              <w:t>has</w:t>
            </w:r>
            <w:proofErr w:type="gramEnd"/>
            <w:r w:rsidRPr="00744FB8">
              <w:rPr>
                <w:rFonts w:ascii="Arial Narrow" w:hAnsi="Arial Narrow" w:cs="Arial"/>
                <w:sz w:val="20"/>
                <w:szCs w:val="20"/>
              </w:rPr>
              <w:t xml:space="preserve"> exceeded 12 months prior to 1 June 2020 and the patient's pain management and clinical need for continuing opioid treatment has not been confirmed through consultation with the patient by another medical practitioner or a palliative care nurse practitioner in the past 12 months, but is planned in the next 3 months.</w:t>
            </w:r>
          </w:p>
          <w:p w14:paraId="55225304" w14:textId="77777777" w:rsidR="00744FB8" w:rsidRPr="00F33674" w:rsidRDefault="00744FB8" w:rsidP="00744FB8">
            <w:pPr>
              <w:jc w:val="left"/>
              <w:rPr>
                <w:rFonts w:ascii="Arial Narrow" w:hAnsi="Arial Narrow" w:cs="Arial"/>
                <w:sz w:val="20"/>
                <w:szCs w:val="20"/>
              </w:rPr>
            </w:pPr>
          </w:p>
          <w:p w14:paraId="53F9DF43" w14:textId="77777777" w:rsidR="00744FB8" w:rsidRPr="00F33674" w:rsidRDefault="00744FB8" w:rsidP="00265869">
            <w:pPr>
              <w:jc w:val="left"/>
              <w:rPr>
                <w:rFonts w:ascii="Arial Narrow" w:hAnsi="Arial Narrow" w:cs="Arial"/>
                <w:sz w:val="20"/>
                <w:szCs w:val="20"/>
              </w:rPr>
            </w:pPr>
            <w:r w:rsidRPr="00F33674">
              <w:rPr>
                <w:rFonts w:ascii="Arial Narrow" w:hAnsi="Arial Narrow" w:cs="Arial"/>
                <w:sz w:val="20"/>
                <w:szCs w:val="20"/>
              </w:rPr>
              <w:t>[new] Authority requests extending treatment duration up to 1 month may be requested though the Online PBS Authorities system or by calling Services Australia.</w:t>
            </w:r>
          </w:p>
          <w:p w14:paraId="33F6FAD0" w14:textId="77777777" w:rsidR="00744FB8" w:rsidRPr="00F33674" w:rsidRDefault="00744FB8" w:rsidP="00265869">
            <w:pPr>
              <w:jc w:val="left"/>
              <w:rPr>
                <w:rFonts w:ascii="Arial Narrow" w:hAnsi="Arial Narrow" w:cs="Arial"/>
                <w:sz w:val="20"/>
                <w:szCs w:val="20"/>
              </w:rPr>
            </w:pPr>
          </w:p>
          <w:p w14:paraId="2500BF80" w14:textId="77777777" w:rsidR="00744FB8" w:rsidRPr="00F33674" w:rsidRDefault="00744FB8" w:rsidP="00265869">
            <w:pPr>
              <w:jc w:val="left"/>
              <w:rPr>
                <w:rFonts w:ascii="Arial Narrow" w:hAnsi="Arial Narrow" w:cs="Arial"/>
                <w:sz w:val="20"/>
                <w:szCs w:val="20"/>
              </w:rPr>
            </w:pPr>
            <w:r w:rsidRPr="00F33674">
              <w:rPr>
                <w:rFonts w:ascii="Arial Narrow" w:hAnsi="Arial Narrow" w:cs="Arial"/>
                <w:sz w:val="20"/>
                <w:szCs w:val="20"/>
              </w:rPr>
              <w:t xml:space="preserve">Authority requests extending treatment duration beyond 1 month </w:t>
            </w:r>
            <w:r>
              <w:rPr>
                <w:rFonts w:ascii="Arial Narrow" w:hAnsi="Arial Narrow" w:cs="Arial"/>
                <w:sz w:val="20"/>
                <w:szCs w:val="20"/>
              </w:rPr>
              <w:t>may be requested through the Online PBS Authorities system</w:t>
            </w:r>
            <w:r w:rsidRPr="00F33674">
              <w:rPr>
                <w:rFonts w:ascii="Arial Narrow" w:hAnsi="Arial Narrow" w:cs="Arial"/>
                <w:sz w:val="20"/>
                <w:szCs w:val="20"/>
              </w:rPr>
              <w:t xml:space="preserve"> or in writing only and must not provide a treatment duration exceeding </w:t>
            </w:r>
            <w:r>
              <w:rPr>
                <w:rFonts w:ascii="Arial Narrow" w:hAnsi="Arial Narrow" w:cs="Arial"/>
                <w:sz w:val="20"/>
                <w:szCs w:val="20"/>
              </w:rPr>
              <w:t xml:space="preserve">3 months (quantity sufficient for up to </w:t>
            </w:r>
            <w:proofErr w:type="gramStart"/>
            <w:r>
              <w:rPr>
                <w:rFonts w:ascii="Arial Narrow" w:hAnsi="Arial Narrow" w:cs="Arial"/>
                <w:sz w:val="20"/>
                <w:szCs w:val="20"/>
              </w:rPr>
              <w:t>1 month</w:t>
            </w:r>
            <w:proofErr w:type="gramEnd"/>
            <w:r>
              <w:rPr>
                <w:rFonts w:ascii="Arial Narrow" w:hAnsi="Arial Narrow" w:cs="Arial"/>
                <w:sz w:val="20"/>
                <w:szCs w:val="20"/>
              </w:rPr>
              <w:t xml:space="preserve"> treatment and sufficient repeats).</w:t>
            </w:r>
          </w:p>
        </w:tc>
      </w:tr>
      <w:tr w:rsidR="00744FB8" w:rsidRPr="00F33674" w14:paraId="60010E53" w14:textId="77777777" w:rsidTr="00C21DFA">
        <w:trPr>
          <w:cantSplit/>
          <w:trHeight w:val="360"/>
        </w:trPr>
        <w:tc>
          <w:tcPr>
            <w:tcW w:w="3183" w:type="dxa"/>
            <w:tcBorders>
              <w:top w:val="single" w:sz="4" w:space="0" w:color="auto"/>
              <w:left w:val="single" w:sz="4" w:space="0" w:color="auto"/>
              <w:bottom w:val="single" w:sz="4" w:space="0" w:color="auto"/>
              <w:right w:val="single" w:sz="4" w:space="0" w:color="auto"/>
            </w:tcBorders>
          </w:tcPr>
          <w:p w14:paraId="519FC49F" w14:textId="77777777" w:rsidR="00744FB8" w:rsidRPr="00F33674" w:rsidRDefault="00744FB8" w:rsidP="00265869">
            <w:pPr>
              <w:rPr>
                <w:rFonts w:ascii="Arial Narrow" w:hAnsi="Arial Narrow" w:cs="Arial"/>
                <w:b/>
                <w:sz w:val="20"/>
                <w:szCs w:val="20"/>
              </w:rPr>
            </w:pPr>
            <w:r w:rsidRPr="00F33674">
              <w:rPr>
                <w:rFonts w:ascii="Arial Narrow" w:hAnsi="Arial Narrow" w:cs="Arial"/>
                <w:b/>
                <w:sz w:val="20"/>
                <w:szCs w:val="20"/>
              </w:rPr>
              <w:t>Administrative advice:</w:t>
            </w:r>
          </w:p>
        </w:tc>
        <w:tc>
          <w:tcPr>
            <w:tcW w:w="5889" w:type="dxa"/>
            <w:tcBorders>
              <w:top w:val="single" w:sz="4" w:space="0" w:color="auto"/>
              <w:left w:val="single" w:sz="4" w:space="0" w:color="auto"/>
              <w:bottom w:val="single" w:sz="4" w:space="0" w:color="auto"/>
              <w:right w:val="single" w:sz="4" w:space="0" w:color="auto"/>
            </w:tcBorders>
          </w:tcPr>
          <w:p w14:paraId="7946F7ED" w14:textId="77777777" w:rsidR="00744FB8" w:rsidRPr="00F33674" w:rsidRDefault="00744FB8" w:rsidP="00265869">
            <w:pPr>
              <w:jc w:val="left"/>
              <w:rPr>
                <w:rFonts w:ascii="Arial Narrow" w:hAnsi="Arial Narrow"/>
                <w:sz w:val="20"/>
                <w:szCs w:val="20"/>
              </w:rPr>
            </w:pPr>
            <w:r w:rsidRPr="00F33674">
              <w:rPr>
                <w:rFonts w:ascii="Arial Narrow" w:hAnsi="Arial Narrow"/>
                <w:sz w:val="20"/>
                <w:szCs w:val="20"/>
              </w:rPr>
              <w:t xml:space="preserve">[13978] Fentanyl transdermal patches </w:t>
            </w:r>
            <w:proofErr w:type="gramStart"/>
            <w:r w:rsidRPr="00F33674">
              <w:rPr>
                <w:rFonts w:ascii="Arial Narrow" w:hAnsi="Arial Narrow"/>
                <w:sz w:val="20"/>
                <w:szCs w:val="20"/>
              </w:rPr>
              <w:t>are not recommended</w:t>
            </w:r>
            <w:proofErr w:type="gramEnd"/>
            <w:r w:rsidRPr="00F33674">
              <w:rPr>
                <w:rFonts w:ascii="Arial Narrow" w:hAnsi="Arial Narrow"/>
                <w:sz w:val="20"/>
                <w:szCs w:val="20"/>
              </w:rPr>
              <w:t xml:space="preserve"> in opioid naive patients with non-cancer pain because of a high incidence of adverse events in these patients. Patients with cancer pain </w:t>
            </w:r>
            <w:proofErr w:type="gramStart"/>
            <w:r w:rsidRPr="00F33674">
              <w:rPr>
                <w:rFonts w:ascii="Arial Narrow" w:hAnsi="Arial Narrow"/>
                <w:sz w:val="20"/>
                <w:szCs w:val="20"/>
              </w:rPr>
              <w:t>may be initiated</w:t>
            </w:r>
            <w:proofErr w:type="gramEnd"/>
            <w:r w:rsidRPr="00F33674">
              <w:rPr>
                <w:rFonts w:ascii="Arial Narrow" w:hAnsi="Arial Narrow"/>
                <w:sz w:val="20"/>
                <w:szCs w:val="20"/>
              </w:rPr>
              <w:t xml:space="preserve"> on the lowest strength patch (12 micrograms per hour).</w:t>
            </w:r>
          </w:p>
          <w:p w14:paraId="32A23C14" w14:textId="77777777" w:rsidR="00744FB8" w:rsidRPr="00F33674" w:rsidRDefault="00744FB8" w:rsidP="00265869">
            <w:pPr>
              <w:jc w:val="left"/>
              <w:rPr>
                <w:rFonts w:ascii="Arial Narrow" w:hAnsi="Arial Narrow"/>
                <w:sz w:val="20"/>
                <w:szCs w:val="20"/>
              </w:rPr>
            </w:pPr>
          </w:p>
          <w:p w14:paraId="14E7A435" w14:textId="77777777" w:rsidR="00744FB8" w:rsidRPr="00F33674" w:rsidRDefault="00744FB8" w:rsidP="00265869">
            <w:pPr>
              <w:jc w:val="left"/>
              <w:rPr>
                <w:rFonts w:ascii="Arial Narrow" w:hAnsi="Arial Narrow"/>
                <w:sz w:val="20"/>
                <w:szCs w:val="20"/>
              </w:rPr>
            </w:pPr>
            <w:r w:rsidRPr="00F33674">
              <w:rPr>
                <w:rFonts w:ascii="Arial Narrow" w:hAnsi="Arial Narrow"/>
                <w:sz w:val="20"/>
                <w:szCs w:val="20"/>
              </w:rPr>
              <w:t>[new] Consider consultation with a multidisciplinary pain service prior to, or after commencement of this medication.</w:t>
            </w:r>
          </w:p>
          <w:p w14:paraId="15935009" w14:textId="77777777" w:rsidR="00744FB8" w:rsidRPr="00F33674" w:rsidRDefault="00744FB8" w:rsidP="00265869">
            <w:pPr>
              <w:jc w:val="left"/>
              <w:rPr>
                <w:rFonts w:ascii="Arial Narrow" w:hAnsi="Arial Narrow"/>
                <w:sz w:val="20"/>
                <w:szCs w:val="20"/>
              </w:rPr>
            </w:pPr>
          </w:p>
          <w:p w14:paraId="4F722762" w14:textId="77777777" w:rsidR="00744FB8" w:rsidRPr="00F33674" w:rsidRDefault="00744FB8" w:rsidP="00265869">
            <w:pPr>
              <w:jc w:val="left"/>
              <w:rPr>
                <w:rFonts w:ascii="Arial Narrow" w:hAnsi="Arial Narrow" w:cs="Arial"/>
                <w:sz w:val="20"/>
                <w:szCs w:val="20"/>
              </w:rPr>
            </w:pPr>
            <w:r w:rsidRPr="00F33674">
              <w:rPr>
                <w:rFonts w:ascii="Arial Narrow" w:hAnsi="Arial Narrow" w:cs="Arial"/>
                <w:sz w:val="20"/>
                <w:szCs w:val="20"/>
              </w:rPr>
              <w:t>[new] This treatment is not suitable for ‘as-required’ pain relief.</w:t>
            </w:r>
          </w:p>
          <w:p w14:paraId="695DCAB1" w14:textId="77777777" w:rsidR="00744FB8" w:rsidRPr="00F33674" w:rsidRDefault="00744FB8" w:rsidP="00265869">
            <w:pPr>
              <w:jc w:val="left"/>
              <w:rPr>
                <w:rFonts w:ascii="Arial Narrow" w:hAnsi="Arial Narrow"/>
                <w:sz w:val="20"/>
                <w:szCs w:val="20"/>
              </w:rPr>
            </w:pPr>
          </w:p>
          <w:p w14:paraId="4E35DE50" w14:textId="77777777" w:rsidR="00744FB8" w:rsidRPr="00F33674" w:rsidRDefault="00744FB8" w:rsidP="00265869">
            <w:pPr>
              <w:jc w:val="left"/>
              <w:rPr>
                <w:rFonts w:ascii="Arial Narrow" w:hAnsi="Arial Narrow" w:cs="Arial"/>
                <w:sz w:val="20"/>
                <w:szCs w:val="20"/>
              </w:rPr>
            </w:pPr>
            <w:r w:rsidRPr="00F33674">
              <w:rPr>
                <w:rFonts w:ascii="Arial Narrow" w:hAnsi="Arial Narrow" w:cs="Arial"/>
                <w:sz w:val="20"/>
                <w:szCs w:val="20"/>
              </w:rPr>
              <w:t>[13979] Pharmaceutical benefits that have the form fentanyl 12 microgram/hour patch are equivalent for the purposes of substitution.</w:t>
            </w:r>
          </w:p>
          <w:p w14:paraId="039E8021" w14:textId="77777777" w:rsidR="00744FB8" w:rsidRPr="00F33674" w:rsidRDefault="00744FB8" w:rsidP="00265869">
            <w:pPr>
              <w:jc w:val="left"/>
              <w:rPr>
                <w:rFonts w:ascii="Arial Narrow" w:hAnsi="Arial Narrow" w:cs="Arial"/>
                <w:sz w:val="20"/>
                <w:szCs w:val="20"/>
              </w:rPr>
            </w:pPr>
          </w:p>
          <w:p w14:paraId="72A61607" w14:textId="77777777" w:rsidR="00744FB8" w:rsidRPr="00F33674" w:rsidRDefault="00744FB8" w:rsidP="00265869">
            <w:pPr>
              <w:jc w:val="left"/>
              <w:rPr>
                <w:rFonts w:ascii="Arial Narrow" w:hAnsi="Arial Narrow" w:cs="Arial"/>
                <w:sz w:val="20"/>
                <w:szCs w:val="20"/>
              </w:rPr>
            </w:pPr>
            <w:r w:rsidRPr="00F33674">
              <w:rPr>
                <w:rFonts w:ascii="Arial Narrow" w:hAnsi="Arial Narrow" w:cs="Arial"/>
                <w:sz w:val="20"/>
                <w:szCs w:val="20"/>
              </w:rPr>
              <w:t xml:space="preserve">[7901] Shared Care Model: For prescribing by nurse practitioners where care of a patient </w:t>
            </w:r>
            <w:proofErr w:type="gramStart"/>
            <w:r w:rsidRPr="00F33674">
              <w:rPr>
                <w:rFonts w:ascii="Arial Narrow" w:hAnsi="Arial Narrow" w:cs="Arial"/>
                <w:sz w:val="20"/>
                <w:szCs w:val="20"/>
              </w:rPr>
              <w:t>is shared</w:t>
            </w:r>
            <w:proofErr w:type="gramEnd"/>
            <w:r w:rsidRPr="00F33674">
              <w:rPr>
                <w:rFonts w:ascii="Arial Narrow" w:hAnsi="Arial Narrow" w:cs="Arial"/>
                <w:sz w:val="20"/>
                <w:szCs w:val="20"/>
              </w:rPr>
              <w:t xml:space="preserve"> between a nurse practitioner and medical practitioner in a formalised arrangement with an agreed management plan. Further information </w:t>
            </w:r>
            <w:proofErr w:type="gramStart"/>
            <w:r w:rsidRPr="00F33674">
              <w:rPr>
                <w:rFonts w:ascii="Arial Narrow" w:hAnsi="Arial Narrow" w:cs="Arial"/>
                <w:sz w:val="20"/>
                <w:szCs w:val="20"/>
              </w:rPr>
              <w:t>can be found</w:t>
            </w:r>
            <w:proofErr w:type="gramEnd"/>
            <w:r w:rsidRPr="00F33674">
              <w:rPr>
                <w:rFonts w:ascii="Arial Narrow" w:hAnsi="Arial Narrow" w:cs="Arial"/>
                <w:sz w:val="20"/>
                <w:szCs w:val="20"/>
              </w:rPr>
              <w:t xml:space="preserve"> in the Explanatory Notes for Nurse Practitioners.</w:t>
            </w:r>
          </w:p>
          <w:p w14:paraId="68A7F28B" w14:textId="77777777" w:rsidR="00744FB8" w:rsidRPr="00F33674" w:rsidRDefault="00744FB8" w:rsidP="00265869">
            <w:pPr>
              <w:jc w:val="left"/>
              <w:rPr>
                <w:rFonts w:ascii="Arial Narrow" w:hAnsi="Arial Narrow" w:cs="Arial"/>
                <w:sz w:val="20"/>
                <w:szCs w:val="20"/>
              </w:rPr>
            </w:pPr>
          </w:p>
          <w:p w14:paraId="0E109CD6" w14:textId="77777777" w:rsidR="00744FB8" w:rsidRPr="00F33674" w:rsidRDefault="00744FB8" w:rsidP="00265869">
            <w:pPr>
              <w:jc w:val="left"/>
              <w:rPr>
                <w:rFonts w:ascii="Arial Narrow" w:hAnsi="Arial Narrow" w:cs="Arial"/>
                <w:sz w:val="20"/>
                <w:szCs w:val="20"/>
              </w:rPr>
            </w:pPr>
            <w:r w:rsidRPr="00F33674">
              <w:rPr>
                <w:rFonts w:ascii="Arial Narrow" w:hAnsi="Arial Narrow" w:cs="Arial"/>
                <w:sz w:val="20"/>
                <w:szCs w:val="20"/>
              </w:rPr>
              <w:t>[new] Real time online applications for increased maximum quantities/repeats may be made using the Online PBS Authorities system (see www.servicesaustralia.gov.au/organisations/health-professionals/services/medicare/hpos/services/request-authority-using-online-pbs-authorities-hpos)</w:t>
            </w:r>
          </w:p>
          <w:p w14:paraId="2E5D6528" w14:textId="77777777" w:rsidR="00744FB8" w:rsidRPr="00F33674" w:rsidRDefault="00744FB8" w:rsidP="00265869">
            <w:pPr>
              <w:jc w:val="left"/>
              <w:rPr>
                <w:rFonts w:ascii="Arial Narrow" w:hAnsi="Arial Narrow" w:cs="Arial"/>
                <w:sz w:val="20"/>
                <w:szCs w:val="20"/>
              </w:rPr>
            </w:pPr>
          </w:p>
          <w:p w14:paraId="4FFE77D6" w14:textId="77777777" w:rsidR="00744FB8" w:rsidRPr="00F33674" w:rsidRDefault="00744FB8" w:rsidP="00265869">
            <w:pPr>
              <w:jc w:val="left"/>
              <w:rPr>
                <w:rFonts w:ascii="Arial Narrow" w:hAnsi="Arial Narrow" w:cs="Arial"/>
                <w:sz w:val="20"/>
                <w:szCs w:val="20"/>
              </w:rPr>
            </w:pPr>
            <w:r w:rsidRPr="00F33674">
              <w:rPr>
                <w:rFonts w:ascii="Arial Narrow" w:hAnsi="Arial Narrow" w:cs="Arial"/>
                <w:sz w:val="20"/>
                <w:szCs w:val="20"/>
              </w:rPr>
              <w:t>Phone applications for increased maximum quantities/repeats may be made by calling 1800 888 333.</w:t>
            </w:r>
          </w:p>
          <w:p w14:paraId="70483171" w14:textId="77777777" w:rsidR="00744FB8" w:rsidRPr="00F33674" w:rsidRDefault="00744FB8" w:rsidP="00265869">
            <w:pPr>
              <w:jc w:val="left"/>
              <w:rPr>
                <w:rFonts w:ascii="Arial Narrow" w:hAnsi="Arial Narrow" w:cs="Arial"/>
                <w:sz w:val="20"/>
                <w:szCs w:val="20"/>
              </w:rPr>
            </w:pPr>
          </w:p>
          <w:p w14:paraId="1C9DC10D" w14:textId="77777777" w:rsidR="00744FB8" w:rsidRPr="00F33674" w:rsidRDefault="00744FB8" w:rsidP="00265869">
            <w:pPr>
              <w:jc w:val="left"/>
              <w:rPr>
                <w:rFonts w:ascii="Arial Narrow" w:hAnsi="Arial Narrow" w:cs="Arial"/>
                <w:sz w:val="20"/>
                <w:szCs w:val="20"/>
              </w:rPr>
            </w:pPr>
            <w:r w:rsidRPr="00F33674">
              <w:rPr>
                <w:rFonts w:ascii="Arial Narrow" w:hAnsi="Arial Narrow" w:cs="Arial"/>
                <w:sz w:val="20"/>
                <w:szCs w:val="20"/>
              </w:rPr>
              <w:t>Written authority applications for increased maximum quantities/repeats can be uploaded online through HPOS form upload or mailed to:</w:t>
            </w:r>
          </w:p>
          <w:p w14:paraId="6B03D315" w14:textId="77777777" w:rsidR="00744FB8" w:rsidRPr="00F33674" w:rsidRDefault="00744FB8" w:rsidP="00265869">
            <w:pPr>
              <w:jc w:val="left"/>
              <w:rPr>
                <w:rFonts w:ascii="Arial Narrow" w:hAnsi="Arial Narrow" w:cs="Arial"/>
                <w:sz w:val="20"/>
                <w:szCs w:val="20"/>
              </w:rPr>
            </w:pPr>
            <w:r w:rsidRPr="00F33674">
              <w:rPr>
                <w:rFonts w:ascii="Arial Narrow" w:hAnsi="Arial Narrow" w:cs="Arial"/>
                <w:sz w:val="20"/>
                <w:szCs w:val="20"/>
              </w:rPr>
              <w:t>Pharmaceutical Benefits Scheme</w:t>
            </w:r>
          </w:p>
          <w:p w14:paraId="0CC5B1C9" w14:textId="77777777" w:rsidR="00744FB8" w:rsidRPr="00F33674" w:rsidRDefault="00744FB8" w:rsidP="00265869">
            <w:pPr>
              <w:jc w:val="left"/>
              <w:rPr>
                <w:rFonts w:ascii="Arial Narrow" w:hAnsi="Arial Narrow" w:cs="Arial"/>
                <w:sz w:val="20"/>
                <w:szCs w:val="20"/>
              </w:rPr>
            </w:pPr>
            <w:r w:rsidRPr="00F33674">
              <w:rPr>
                <w:rFonts w:ascii="Arial Narrow" w:hAnsi="Arial Narrow" w:cs="Arial"/>
                <w:sz w:val="20"/>
                <w:szCs w:val="20"/>
              </w:rPr>
              <w:t>Reply Paid 9857</w:t>
            </w:r>
          </w:p>
          <w:p w14:paraId="174227E4" w14:textId="77777777" w:rsidR="00744FB8" w:rsidRPr="00F33674" w:rsidRDefault="00744FB8" w:rsidP="00265869">
            <w:pPr>
              <w:jc w:val="left"/>
              <w:rPr>
                <w:rFonts w:ascii="Arial Narrow" w:hAnsi="Arial Narrow" w:cs="Arial"/>
                <w:sz w:val="20"/>
                <w:szCs w:val="20"/>
              </w:rPr>
            </w:pPr>
            <w:r w:rsidRPr="00F33674">
              <w:rPr>
                <w:rFonts w:ascii="Arial Narrow" w:hAnsi="Arial Narrow" w:cs="Arial"/>
                <w:sz w:val="20"/>
                <w:szCs w:val="20"/>
              </w:rPr>
              <w:t>[Your capital city]</w:t>
            </w:r>
          </w:p>
        </w:tc>
      </w:tr>
      <w:tr w:rsidR="00744FB8" w:rsidRPr="00F33674" w14:paraId="35BA57B6" w14:textId="77777777" w:rsidTr="00C21DFA">
        <w:trPr>
          <w:cantSplit/>
          <w:trHeight w:val="360"/>
        </w:trPr>
        <w:tc>
          <w:tcPr>
            <w:tcW w:w="3183" w:type="dxa"/>
            <w:tcBorders>
              <w:top w:val="single" w:sz="4" w:space="0" w:color="auto"/>
              <w:left w:val="single" w:sz="4" w:space="0" w:color="auto"/>
              <w:bottom w:val="single" w:sz="4" w:space="0" w:color="auto"/>
              <w:right w:val="single" w:sz="4" w:space="0" w:color="auto"/>
            </w:tcBorders>
          </w:tcPr>
          <w:p w14:paraId="238F5E58" w14:textId="77777777" w:rsidR="00744FB8" w:rsidRPr="00F33674" w:rsidRDefault="00744FB8" w:rsidP="00265869">
            <w:pPr>
              <w:rPr>
                <w:rFonts w:ascii="Arial Narrow" w:hAnsi="Arial Narrow" w:cs="Arial"/>
                <w:b/>
                <w:sz w:val="20"/>
                <w:szCs w:val="20"/>
              </w:rPr>
            </w:pPr>
            <w:r w:rsidRPr="00F33674">
              <w:rPr>
                <w:rFonts w:ascii="Arial Narrow" w:hAnsi="Arial Narrow" w:cs="Arial"/>
                <w:b/>
                <w:sz w:val="20"/>
                <w:szCs w:val="20"/>
              </w:rPr>
              <w:t>Cautions:</w:t>
            </w:r>
          </w:p>
        </w:tc>
        <w:tc>
          <w:tcPr>
            <w:tcW w:w="5889" w:type="dxa"/>
            <w:tcBorders>
              <w:top w:val="single" w:sz="4" w:space="0" w:color="auto"/>
              <w:left w:val="single" w:sz="4" w:space="0" w:color="auto"/>
              <w:bottom w:val="single" w:sz="4" w:space="0" w:color="auto"/>
              <w:right w:val="single" w:sz="4" w:space="0" w:color="auto"/>
            </w:tcBorders>
          </w:tcPr>
          <w:p w14:paraId="4E2327CA" w14:textId="77777777" w:rsidR="00744FB8" w:rsidRPr="00F33674" w:rsidRDefault="00744FB8" w:rsidP="00265869">
            <w:pPr>
              <w:jc w:val="left"/>
              <w:rPr>
                <w:rFonts w:ascii="Arial Narrow" w:hAnsi="Arial Narrow" w:cs="Arial"/>
                <w:sz w:val="20"/>
                <w:szCs w:val="20"/>
              </w:rPr>
            </w:pPr>
            <w:r w:rsidRPr="00F33674">
              <w:rPr>
                <w:rFonts w:ascii="Arial Narrow" w:hAnsi="Arial Narrow" w:cs="Arial"/>
                <w:sz w:val="20"/>
                <w:szCs w:val="20"/>
              </w:rPr>
              <w:t>[6986] The risk of drug dependence is high.</w:t>
            </w:r>
          </w:p>
        </w:tc>
      </w:tr>
    </w:tbl>
    <w:p w14:paraId="2E675E2D" w14:textId="51BB6D48" w:rsidR="00744FB8" w:rsidRDefault="00744FB8">
      <w:pPr>
        <w:jc w:val="left"/>
        <w:rPr>
          <w:rFonts w:asciiTheme="minorHAnsi" w:eastAsiaTheme="minorHAnsi" w:hAnsiTheme="minorHAnsi" w:cstheme="minorBidi"/>
          <w:szCs w:val="22"/>
        </w:rPr>
      </w:pPr>
      <w:r>
        <w:br w:type="page"/>
      </w:r>
    </w:p>
    <w:p w14:paraId="3BCE6E87" w14:textId="7FDDD38F" w:rsidR="00F33674" w:rsidRPr="00F33674" w:rsidRDefault="00F33674" w:rsidP="00243407">
      <w:pPr>
        <w:pStyle w:val="3-BodyText"/>
      </w:pPr>
      <w:r w:rsidRPr="00F33674">
        <w:lastRenderedPageBreak/>
        <w:t>Amend items:</w:t>
      </w:r>
    </w:p>
    <w:p w14:paraId="7972F680" w14:textId="77777777" w:rsidR="00F33674" w:rsidRPr="00F33674" w:rsidRDefault="00F33674" w:rsidP="00F33674">
      <w:pPr>
        <w:keepNext/>
        <w:keepLines/>
        <w:spacing w:before="40"/>
        <w:jc w:val="left"/>
        <w:outlineLvl w:val="2"/>
        <w:rPr>
          <w:rFonts w:asciiTheme="minorHAnsi" w:eastAsiaTheme="majorEastAsia" w:hAnsiTheme="minorHAnsi" w:cstheme="majorBidi"/>
          <w:b/>
          <w:color w:val="000000" w:themeColor="text1"/>
        </w:rPr>
      </w:pPr>
      <w:bookmarkStart w:id="40" w:name="_Toc32300605"/>
      <w:r w:rsidRPr="00F33674">
        <w:rPr>
          <w:rFonts w:asciiTheme="minorHAnsi" w:eastAsiaTheme="majorEastAsia" w:hAnsiTheme="minorHAnsi" w:cstheme="majorBidi"/>
          <w:b/>
          <w:color w:val="000000" w:themeColor="text1"/>
        </w:rPr>
        <w:t xml:space="preserve">Listing 21: Restriction for long-term pain TGA indication in </w:t>
      </w:r>
      <w:proofErr w:type="gramStart"/>
      <w:r w:rsidRPr="00F33674">
        <w:rPr>
          <w:rFonts w:asciiTheme="minorHAnsi" w:eastAsiaTheme="majorEastAsia" w:hAnsiTheme="minorHAnsi" w:cstheme="majorBidi"/>
          <w:b/>
          <w:color w:val="000000" w:themeColor="text1"/>
        </w:rPr>
        <w:t>2</w:t>
      </w:r>
      <w:r w:rsidRPr="00F33674">
        <w:rPr>
          <w:rFonts w:asciiTheme="minorHAnsi" w:eastAsiaTheme="majorEastAsia" w:hAnsiTheme="minorHAnsi" w:cstheme="majorBidi"/>
          <w:b/>
          <w:color w:val="000000" w:themeColor="text1"/>
          <w:vertAlign w:val="superscript"/>
        </w:rPr>
        <w:t>nd</w:t>
      </w:r>
      <w:proofErr w:type="gramEnd"/>
      <w:r w:rsidRPr="00F33674">
        <w:rPr>
          <w:rFonts w:asciiTheme="minorHAnsi" w:eastAsiaTheme="majorEastAsia" w:hAnsiTheme="minorHAnsi" w:cstheme="majorBidi"/>
          <w:b/>
          <w:color w:val="000000" w:themeColor="text1"/>
        </w:rPr>
        <w:t xml:space="preserve"> line opioid setting on general schedule (fentanyl 25mcg/hr patch):</w:t>
      </w:r>
      <w:bookmarkEnd w:id="40"/>
    </w:p>
    <w:p w14:paraId="4A6774F3" w14:textId="77777777" w:rsidR="00F33674" w:rsidRPr="00F33674" w:rsidRDefault="00F33674" w:rsidP="00F33674">
      <w:pPr>
        <w:ind w:left="360" w:hanging="360"/>
        <w:contextualSpacing/>
        <w:jc w:val="left"/>
      </w:pPr>
    </w:p>
    <w:tbl>
      <w:tblPr>
        <w:tblW w:w="9015" w:type="dxa"/>
        <w:tblLook w:val="04A0" w:firstRow="1" w:lastRow="0" w:firstColumn="1" w:lastColumn="0" w:noHBand="0" w:noVBand="1"/>
      </w:tblPr>
      <w:tblGrid>
        <w:gridCol w:w="1264"/>
        <w:gridCol w:w="736"/>
        <w:gridCol w:w="2390"/>
        <w:gridCol w:w="572"/>
        <w:gridCol w:w="530"/>
        <w:gridCol w:w="1397"/>
        <w:gridCol w:w="2126"/>
      </w:tblGrid>
      <w:tr w:rsidR="00F33674" w:rsidRPr="00F33674" w14:paraId="4A597360" w14:textId="77777777" w:rsidTr="00F33674">
        <w:trPr>
          <w:trHeight w:val="300"/>
        </w:trPr>
        <w:tc>
          <w:tcPr>
            <w:tcW w:w="1264" w:type="dxa"/>
            <w:tcBorders>
              <w:bottom w:val="single" w:sz="4" w:space="0" w:color="auto"/>
            </w:tcBorders>
            <w:shd w:val="clear" w:color="auto" w:fill="auto"/>
            <w:noWrap/>
            <w:hideMark/>
          </w:tcPr>
          <w:p w14:paraId="7DFE7035"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LI Drug</w:t>
            </w:r>
          </w:p>
        </w:tc>
        <w:tc>
          <w:tcPr>
            <w:tcW w:w="736" w:type="dxa"/>
            <w:tcBorders>
              <w:bottom w:val="single" w:sz="4" w:space="0" w:color="auto"/>
            </w:tcBorders>
            <w:shd w:val="clear" w:color="auto" w:fill="auto"/>
          </w:tcPr>
          <w:p w14:paraId="25238A9B"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Item Code</w:t>
            </w:r>
          </w:p>
        </w:tc>
        <w:tc>
          <w:tcPr>
            <w:tcW w:w="2390" w:type="dxa"/>
            <w:tcBorders>
              <w:bottom w:val="single" w:sz="4" w:space="0" w:color="auto"/>
            </w:tcBorders>
            <w:shd w:val="clear" w:color="auto" w:fill="auto"/>
            <w:noWrap/>
            <w:hideMark/>
          </w:tcPr>
          <w:p w14:paraId="5F891EC5"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Legal Instrument Form</w:t>
            </w:r>
          </w:p>
        </w:tc>
        <w:tc>
          <w:tcPr>
            <w:tcW w:w="572" w:type="dxa"/>
            <w:tcBorders>
              <w:bottom w:val="single" w:sz="4" w:space="0" w:color="auto"/>
            </w:tcBorders>
            <w:shd w:val="clear" w:color="auto" w:fill="auto"/>
            <w:noWrap/>
            <w:hideMark/>
          </w:tcPr>
          <w:p w14:paraId="2A6E49D4"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Max. Qty</w:t>
            </w:r>
          </w:p>
        </w:tc>
        <w:tc>
          <w:tcPr>
            <w:tcW w:w="530" w:type="dxa"/>
            <w:tcBorders>
              <w:bottom w:val="single" w:sz="4" w:space="0" w:color="auto"/>
            </w:tcBorders>
            <w:shd w:val="clear" w:color="auto" w:fill="auto"/>
            <w:noWrap/>
            <w:hideMark/>
          </w:tcPr>
          <w:p w14:paraId="641310D2"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No. Rpt</w:t>
            </w:r>
          </w:p>
        </w:tc>
        <w:tc>
          <w:tcPr>
            <w:tcW w:w="1397" w:type="dxa"/>
            <w:tcBorders>
              <w:bottom w:val="single" w:sz="4" w:space="0" w:color="auto"/>
            </w:tcBorders>
            <w:shd w:val="clear" w:color="auto" w:fill="auto"/>
            <w:noWrap/>
            <w:hideMark/>
          </w:tcPr>
          <w:p w14:paraId="4A793B14"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Brand Name</w:t>
            </w:r>
          </w:p>
        </w:tc>
        <w:tc>
          <w:tcPr>
            <w:tcW w:w="2126" w:type="dxa"/>
            <w:tcBorders>
              <w:bottom w:val="single" w:sz="4" w:space="0" w:color="auto"/>
            </w:tcBorders>
            <w:shd w:val="clear" w:color="auto" w:fill="auto"/>
            <w:noWrap/>
            <w:hideMark/>
          </w:tcPr>
          <w:p w14:paraId="27DC5299"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Responsible Person</w:t>
            </w:r>
          </w:p>
        </w:tc>
      </w:tr>
      <w:tr w:rsidR="00F33674" w:rsidRPr="00F33674" w14:paraId="2A60CE4F" w14:textId="77777777" w:rsidTr="00F33674">
        <w:trPr>
          <w:trHeight w:val="300"/>
        </w:trPr>
        <w:tc>
          <w:tcPr>
            <w:tcW w:w="1264" w:type="dxa"/>
            <w:shd w:val="clear" w:color="auto" w:fill="auto"/>
            <w:noWrap/>
          </w:tcPr>
          <w:p w14:paraId="64AC01C4"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FENTANYL</w:t>
            </w:r>
          </w:p>
        </w:tc>
        <w:tc>
          <w:tcPr>
            <w:tcW w:w="736" w:type="dxa"/>
            <w:shd w:val="clear" w:color="auto" w:fill="auto"/>
          </w:tcPr>
          <w:p w14:paraId="35CC9884"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5277R</w:t>
            </w:r>
          </w:p>
        </w:tc>
        <w:tc>
          <w:tcPr>
            <w:tcW w:w="2390" w:type="dxa"/>
            <w:shd w:val="clear" w:color="auto" w:fill="auto"/>
            <w:noWrap/>
            <w:hideMark/>
          </w:tcPr>
          <w:p w14:paraId="0503D167"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Transdermal patch 2.55 mg</w:t>
            </w:r>
          </w:p>
        </w:tc>
        <w:tc>
          <w:tcPr>
            <w:tcW w:w="572" w:type="dxa"/>
            <w:shd w:val="clear" w:color="auto" w:fill="auto"/>
            <w:noWrap/>
            <w:hideMark/>
          </w:tcPr>
          <w:p w14:paraId="7E8520E6" w14:textId="77777777" w:rsidR="00F33674" w:rsidRPr="00F33674" w:rsidRDefault="00F33674" w:rsidP="00F33674">
            <w:pPr>
              <w:jc w:val="righ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5</w:t>
            </w:r>
          </w:p>
        </w:tc>
        <w:tc>
          <w:tcPr>
            <w:tcW w:w="530" w:type="dxa"/>
            <w:shd w:val="clear" w:color="auto" w:fill="auto"/>
            <w:noWrap/>
            <w:hideMark/>
          </w:tcPr>
          <w:p w14:paraId="544C1881" w14:textId="77777777" w:rsidR="00F33674" w:rsidRPr="00F33674" w:rsidRDefault="00F33674" w:rsidP="00F33674">
            <w:pPr>
              <w:jc w:val="righ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0</w:t>
            </w:r>
          </w:p>
        </w:tc>
        <w:tc>
          <w:tcPr>
            <w:tcW w:w="1397" w:type="dxa"/>
            <w:shd w:val="clear" w:color="auto" w:fill="auto"/>
            <w:noWrap/>
            <w:hideMark/>
          </w:tcPr>
          <w:p w14:paraId="0654FDEF"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Denpax</w:t>
            </w:r>
          </w:p>
        </w:tc>
        <w:tc>
          <w:tcPr>
            <w:tcW w:w="2126" w:type="dxa"/>
            <w:shd w:val="clear" w:color="auto" w:fill="auto"/>
            <w:noWrap/>
            <w:hideMark/>
          </w:tcPr>
          <w:p w14:paraId="059E70FA"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Alphapharm Pty Ltd</w:t>
            </w:r>
          </w:p>
        </w:tc>
      </w:tr>
      <w:tr w:rsidR="00F33674" w:rsidRPr="00F33674" w14:paraId="2B808E92" w14:textId="77777777" w:rsidTr="00F33674">
        <w:trPr>
          <w:trHeight w:val="300"/>
        </w:trPr>
        <w:tc>
          <w:tcPr>
            <w:tcW w:w="1264" w:type="dxa"/>
            <w:shd w:val="clear" w:color="auto" w:fill="auto"/>
            <w:noWrap/>
          </w:tcPr>
          <w:p w14:paraId="5ED77BF9" w14:textId="77777777" w:rsidR="00F33674" w:rsidRPr="00F33674" w:rsidRDefault="00F33674" w:rsidP="00F33674">
            <w:pPr>
              <w:jc w:val="left"/>
              <w:rPr>
                <w:rFonts w:ascii="Arial Narrow" w:hAnsi="Arial Narrow" w:cs="Calibri"/>
                <w:color w:val="000000"/>
                <w:sz w:val="20"/>
                <w:szCs w:val="20"/>
                <w:lang w:eastAsia="en-AU"/>
              </w:rPr>
            </w:pPr>
          </w:p>
        </w:tc>
        <w:tc>
          <w:tcPr>
            <w:tcW w:w="736" w:type="dxa"/>
            <w:shd w:val="clear" w:color="auto" w:fill="auto"/>
          </w:tcPr>
          <w:p w14:paraId="0BBBE00B"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5438F</w:t>
            </w:r>
          </w:p>
        </w:tc>
        <w:tc>
          <w:tcPr>
            <w:tcW w:w="2390" w:type="dxa"/>
            <w:vMerge w:val="restart"/>
            <w:shd w:val="clear" w:color="auto" w:fill="auto"/>
            <w:noWrap/>
            <w:hideMark/>
          </w:tcPr>
          <w:p w14:paraId="418EBEA4"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Transdermal patch 4.125 mg</w:t>
            </w:r>
          </w:p>
        </w:tc>
        <w:tc>
          <w:tcPr>
            <w:tcW w:w="572" w:type="dxa"/>
            <w:shd w:val="clear" w:color="auto" w:fill="auto"/>
            <w:noWrap/>
            <w:hideMark/>
          </w:tcPr>
          <w:p w14:paraId="1C347FB5" w14:textId="77777777" w:rsidR="00F33674" w:rsidRPr="00F33674" w:rsidRDefault="00F33674" w:rsidP="00F33674">
            <w:pPr>
              <w:jc w:val="righ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5</w:t>
            </w:r>
          </w:p>
        </w:tc>
        <w:tc>
          <w:tcPr>
            <w:tcW w:w="530" w:type="dxa"/>
            <w:shd w:val="clear" w:color="auto" w:fill="auto"/>
            <w:noWrap/>
            <w:hideMark/>
          </w:tcPr>
          <w:p w14:paraId="25140C56" w14:textId="77777777" w:rsidR="00F33674" w:rsidRPr="00F33674" w:rsidRDefault="00F33674" w:rsidP="00F33674">
            <w:pPr>
              <w:jc w:val="righ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0</w:t>
            </w:r>
          </w:p>
        </w:tc>
        <w:tc>
          <w:tcPr>
            <w:tcW w:w="1397" w:type="dxa"/>
            <w:shd w:val="clear" w:color="auto" w:fill="auto"/>
            <w:noWrap/>
            <w:hideMark/>
          </w:tcPr>
          <w:p w14:paraId="0D2A00F5"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Dutran 25</w:t>
            </w:r>
          </w:p>
        </w:tc>
        <w:tc>
          <w:tcPr>
            <w:tcW w:w="2126" w:type="dxa"/>
            <w:shd w:val="clear" w:color="auto" w:fill="auto"/>
            <w:noWrap/>
            <w:hideMark/>
          </w:tcPr>
          <w:p w14:paraId="1F7375F2"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Amneal Pharmaceuticals Pty Ltd</w:t>
            </w:r>
          </w:p>
        </w:tc>
      </w:tr>
      <w:tr w:rsidR="00F33674" w:rsidRPr="00F33674" w14:paraId="19FED262" w14:textId="77777777" w:rsidTr="00F33674">
        <w:trPr>
          <w:trHeight w:val="300"/>
        </w:trPr>
        <w:tc>
          <w:tcPr>
            <w:tcW w:w="1264" w:type="dxa"/>
            <w:shd w:val="clear" w:color="auto" w:fill="auto"/>
            <w:noWrap/>
          </w:tcPr>
          <w:p w14:paraId="7DEA3FB7" w14:textId="77777777" w:rsidR="00F33674" w:rsidRPr="00F33674" w:rsidRDefault="00F33674" w:rsidP="00F33674">
            <w:pPr>
              <w:jc w:val="left"/>
              <w:rPr>
                <w:rFonts w:ascii="Arial Narrow" w:hAnsi="Arial Narrow" w:cs="Calibri"/>
                <w:color w:val="000000"/>
                <w:sz w:val="20"/>
                <w:szCs w:val="20"/>
                <w:lang w:eastAsia="en-AU"/>
              </w:rPr>
            </w:pPr>
          </w:p>
        </w:tc>
        <w:tc>
          <w:tcPr>
            <w:tcW w:w="736" w:type="dxa"/>
            <w:shd w:val="clear" w:color="auto" w:fill="auto"/>
          </w:tcPr>
          <w:p w14:paraId="1E9B5707" w14:textId="77777777" w:rsidR="00F33674" w:rsidRPr="00F33674" w:rsidRDefault="00F33674" w:rsidP="00F33674">
            <w:pPr>
              <w:jc w:val="left"/>
              <w:rPr>
                <w:rFonts w:ascii="Arial Narrow" w:hAnsi="Arial Narrow" w:cs="Calibri"/>
                <w:color w:val="000000"/>
                <w:sz w:val="20"/>
                <w:szCs w:val="20"/>
                <w:lang w:eastAsia="en-AU"/>
              </w:rPr>
            </w:pPr>
          </w:p>
        </w:tc>
        <w:tc>
          <w:tcPr>
            <w:tcW w:w="2390" w:type="dxa"/>
            <w:vMerge/>
            <w:shd w:val="clear" w:color="auto" w:fill="auto"/>
            <w:noWrap/>
          </w:tcPr>
          <w:p w14:paraId="486671A6" w14:textId="77777777" w:rsidR="00F33674" w:rsidRPr="00F33674" w:rsidRDefault="00F33674" w:rsidP="00F33674">
            <w:pPr>
              <w:jc w:val="left"/>
              <w:rPr>
                <w:rFonts w:ascii="Arial Narrow" w:hAnsi="Arial Narrow" w:cs="Calibri"/>
                <w:color w:val="000000"/>
                <w:sz w:val="20"/>
                <w:szCs w:val="20"/>
                <w:lang w:eastAsia="en-AU"/>
              </w:rPr>
            </w:pPr>
          </w:p>
        </w:tc>
        <w:tc>
          <w:tcPr>
            <w:tcW w:w="572" w:type="dxa"/>
            <w:shd w:val="clear" w:color="auto" w:fill="auto"/>
            <w:noWrap/>
          </w:tcPr>
          <w:p w14:paraId="1D22B96F" w14:textId="77777777" w:rsidR="00F33674" w:rsidRPr="00F33674" w:rsidRDefault="00F33674" w:rsidP="00F33674">
            <w:pPr>
              <w:jc w:val="right"/>
              <w:rPr>
                <w:rFonts w:ascii="Arial Narrow" w:hAnsi="Arial Narrow" w:cs="Calibri"/>
                <w:color w:val="000000"/>
                <w:sz w:val="20"/>
                <w:szCs w:val="20"/>
                <w:lang w:eastAsia="en-AU"/>
              </w:rPr>
            </w:pPr>
          </w:p>
        </w:tc>
        <w:tc>
          <w:tcPr>
            <w:tcW w:w="530" w:type="dxa"/>
            <w:shd w:val="clear" w:color="auto" w:fill="auto"/>
            <w:noWrap/>
          </w:tcPr>
          <w:p w14:paraId="58309FC7" w14:textId="77777777" w:rsidR="00F33674" w:rsidRPr="00F33674" w:rsidRDefault="00F33674" w:rsidP="00F33674">
            <w:pPr>
              <w:jc w:val="right"/>
              <w:rPr>
                <w:rFonts w:ascii="Arial Narrow" w:hAnsi="Arial Narrow" w:cs="Calibri"/>
                <w:color w:val="000000"/>
                <w:sz w:val="20"/>
                <w:szCs w:val="20"/>
                <w:lang w:eastAsia="en-AU"/>
              </w:rPr>
            </w:pPr>
          </w:p>
        </w:tc>
        <w:tc>
          <w:tcPr>
            <w:tcW w:w="1397" w:type="dxa"/>
            <w:shd w:val="clear" w:color="auto" w:fill="auto"/>
            <w:noWrap/>
            <w:hideMark/>
          </w:tcPr>
          <w:p w14:paraId="5C6E87EF"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Fenpatch 25</w:t>
            </w:r>
          </w:p>
        </w:tc>
        <w:tc>
          <w:tcPr>
            <w:tcW w:w="2126" w:type="dxa"/>
            <w:shd w:val="clear" w:color="auto" w:fill="auto"/>
            <w:noWrap/>
            <w:hideMark/>
          </w:tcPr>
          <w:p w14:paraId="1761B238"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Medis Pharma Pty Ltd</w:t>
            </w:r>
          </w:p>
        </w:tc>
      </w:tr>
      <w:tr w:rsidR="00F33674" w:rsidRPr="00F33674" w14:paraId="13003AE5" w14:textId="77777777" w:rsidTr="00F33674">
        <w:trPr>
          <w:trHeight w:val="300"/>
        </w:trPr>
        <w:tc>
          <w:tcPr>
            <w:tcW w:w="1264" w:type="dxa"/>
            <w:shd w:val="clear" w:color="auto" w:fill="auto"/>
            <w:noWrap/>
          </w:tcPr>
          <w:p w14:paraId="5FD9AA61" w14:textId="77777777" w:rsidR="00F33674" w:rsidRPr="00F33674" w:rsidRDefault="00F33674" w:rsidP="00F33674">
            <w:pPr>
              <w:jc w:val="left"/>
              <w:rPr>
                <w:rFonts w:ascii="Arial Narrow" w:hAnsi="Arial Narrow" w:cs="Calibri"/>
                <w:color w:val="000000"/>
                <w:sz w:val="20"/>
                <w:szCs w:val="20"/>
                <w:lang w:eastAsia="en-AU"/>
              </w:rPr>
            </w:pPr>
          </w:p>
        </w:tc>
        <w:tc>
          <w:tcPr>
            <w:tcW w:w="736" w:type="dxa"/>
            <w:shd w:val="clear" w:color="auto" w:fill="auto"/>
          </w:tcPr>
          <w:p w14:paraId="3C6A2E98"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8891Y</w:t>
            </w:r>
          </w:p>
        </w:tc>
        <w:tc>
          <w:tcPr>
            <w:tcW w:w="2390" w:type="dxa"/>
            <w:vMerge w:val="restart"/>
            <w:shd w:val="clear" w:color="auto" w:fill="auto"/>
            <w:noWrap/>
            <w:hideMark/>
          </w:tcPr>
          <w:p w14:paraId="508A5183"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Transdermal patch 4.2 mg</w:t>
            </w:r>
          </w:p>
        </w:tc>
        <w:tc>
          <w:tcPr>
            <w:tcW w:w="572" w:type="dxa"/>
            <w:shd w:val="clear" w:color="auto" w:fill="auto"/>
            <w:noWrap/>
            <w:hideMark/>
          </w:tcPr>
          <w:p w14:paraId="6565F5B0" w14:textId="77777777" w:rsidR="00F33674" w:rsidRPr="00F33674" w:rsidRDefault="00F33674" w:rsidP="00F33674">
            <w:pPr>
              <w:jc w:val="righ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5</w:t>
            </w:r>
          </w:p>
        </w:tc>
        <w:tc>
          <w:tcPr>
            <w:tcW w:w="530" w:type="dxa"/>
            <w:shd w:val="clear" w:color="auto" w:fill="auto"/>
            <w:noWrap/>
            <w:hideMark/>
          </w:tcPr>
          <w:p w14:paraId="138F5EBF" w14:textId="77777777" w:rsidR="00F33674" w:rsidRPr="00F33674" w:rsidRDefault="00F33674" w:rsidP="00F33674">
            <w:pPr>
              <w:jc w:val="righ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0</w:t>
            </w:r>
          </w:p>
        </w:tc>
        <w:tc>
          <w:tcPr>
            <w:tcW w:w="1397" w:type="dxa"/>
            <w:shd w:val="clear" w:color="auto" w:fill="auto"/>
            <w:noWrap/>
            <w:hideMark/>
          </w:tcPr>
          <w:p w14:paraId="7E3277E3"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APO-Fentanyl</w:t>
            </w:r>
          </w:p>
        </w:tc>
        <w:tc>
          <w:tcPr>
            <w:tcW w:w="2126" w:type="dxa"/>
            <w:shd w:val="clear" w:color="auto" w:fill="auto"/>
            <w:noWrap/>
            <w:hideMark/>
          </w:tcPr>
          <w:p w14:paraId="712E29A3"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Apotex Pty Ltd</w:t>
            </w:r>
          </w:p>
        </w:tc>
      </w:tr>
      <w:tr w:rsidR="00F33674" w:rsidRPr="00F33674" w14:paraId="2C19B220" w14:textId="77777777" w:rsidTr="00F33674">
        <w:trPr>
          <w:trHeight w:val="300"/>
        </w:trPr>
        <w:tc>
          <w:tcPr>
            <w:tcW w:w="1264" w:type="dxa"/>
            <w:shd w:val="clear" w:color="auto" w:fill="auto"/>
            <w:noWrap/>
          </w:tcPr>
          <w:p w14:paraId="0AE00D3B" w14:textId="77777777" w:rsidR="00F33674" w:rsidRPr="00F33674" w:rsidRDefault="00F33674" w:rsidP="00F33674">
            <w:pPr>
              <w:jc w:val="left"/>
              <w:rPr>
                <w:rFonts w:ascii="Arial Narrow" w:hAnsi="Arial Narrow" w:cs="Calibri"/>
                <w:color w:val="000000"/>
                <w:sz w:val="20"/>
                <w:szCs w:val="20"/>
                <w:lang w:eastAsia="en-AU"/>
              </w:rPr>
            </w:pPr>
          </w:p>
        </w:tc>
        <w:tc>
          <w:tcPr>
            <w:tcW w:w="736" w:type="dxa"/>
            <w:shd w:val="clear" w:color="auto" w:fill="auto"/>
          </w:tcPr>
          <w:p w14:paraId="50684016" w14:textId="77777777" w:rsidR="00F33674" w:rsidRPr="00F33674" w:rsidRDefault="00F33674" w:rsidP="00F33674">
            <w:pPr>
              <w:jc w:val="left"/>
              <w:rPr>
                <w:rFonts w:ascii="Arial Narrow" w:hAnsi="Arial Narrow" w:cs="Calibri"/>
                <w:color w:val="000000"/>
                <w:sz w:val="20"/>
                <w:szCs w:val="20"/>
                <w:lang w:eastAsia="en-AU"/>
              </w:rPr>
            </w:pPr>
          </w:p>
        </w:tc>
        <w:tc>
          <w:tcPr>
            <w:tcW w:w="2390" w:type="dxa"/>
            <w:vMerge/>
            <w:shd w:val="clear" w:color="auto" w:fill="auto"/>
            <w:noWrap/>
          </w:tcPr>
          <w:p w14:paraId="4A6F79E9" w14:textId="77777777" w:rsidR="00F33674" w:rsidRPr="00F33674" w:rsidRDefault="00F33674" w:rsidP="00F33674">
            <w:pPr>
              <w:jc w:val="left"/>
              <w:rPr>
                <w:rFonts w:ascii="Arial Narrow" w:hAnsi="Arial Narrow" w:cs="Calibri"/>
                <w:color w:val="000000"/>
                <w:sz w:val="20"/>
                <w:szCs w:val="20"/>
                <w:lang w:eastAsia="en-AU"/>
              </w:rPr>
            </w:pPr>
          </w:p>
        </w:tc>
        <w:tc>
          <w:tcPr>
            <w:tcW w:w="572" w:type="dxa"/>
            <w:shd w:val="clear" w:color="auto" w:fill="auto"/>
            <w:noWrap/>
          </w:tcPr>
          <w:p w14:paraId="31A4CB65" w14:textId="77777777" w:rsidR="00F33674" w:rsidRPr="00F33674" w:rsidRDefault="00F33674" w:rsidP="00F33674">
            <w:pPr>
              <w:jc w:val="right"/>
              <w:rPr>
                <w:rFonts w:ascii="Arial Narrow" w:hAnsi="Arial Narrow" w:cs="Calibri"/>
                <w:color w:val="000000"/>
                <w:sz w:val="20"/>
                <w:szCs w:val="20"/>
                <w:lang w:eastAsia="en-AU"/>
              </w:rPr>
            </w:pPr>
          </w:p>
        </w:tc>
        <w:tc>
          <w:tcPr>
            <w:tcW w:w="530" w:type="dxa"/>
            <w:shd w:val="clear" w:color="auto" w:fill="auto"/>
            <w:noWrap/>
          </w:tcPr>
          <w:p w14:paraId="1A1B9CD0" w14:textId="77777777" w:rsidR="00F33674" w:rsidRPr="00F33674" w:rsidRDefault="00F33674" w:rsidP="00F33674">
            <w:pPr>
              <w:jc w:val="right"/>
              <w:rPr>
                <w:rFonts w:ascii="Arial Narrow" w:hAnsi="Arial Narrow" w:cs="Calibri"/>
                <w:color w:val="000000"/>
                <w:sz w:val="20"/>
                <w:szCs w:val="20"/>
                <w:lang w:eastAsia="en-AU"/>
              </w:rPr>
            </w:pPr>
          </w:p>
        </w:tc>
        <w:tc>
          <w:tcPr>
            <w:tcW w:w="1397" w:type="dxa"/>
            <w:shd w:val="clear" w:color="auto" w:fill="auto"/>
            <w:noWrap/>
            <w:hideMark/>
          </w:tcPr>
          <w:p w14:paraId="305B971A"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Durogesic 25</w:t>
            </w:r>
          </w:p>
        </w:tc>
        <w:tc>
          <w:tcPr>
            <w:tcW w:w="2126" w:type="dxa"/>
            <w:shd w:val="clear" w:color="auto" w:fill="auto"/>
            <w:noWrap/>
            <w:hideMark/>
          </w:tcPr>
          <w:p w14:paraId="44C09B7C"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Janssen-Cilag Pty Ltd</w:t>
            </w:r>
          </w:p>
        </w:tc>
      </w:tr>
      <w:tr w:rsidR="00F33674" w:rsidRPr="00F33674" w14:paraId="7C51F17F" w14:textId="77777777" w:rsidTr="00F33674">
        <w:trPr>
          <w:trHeight w:val="300"/>
        </w:trPr>
        <w:tc>
          <w:tcPr>
            <w:tcW w:w="1264" w:type="dxa"/>
            <w:shd w:val="clear" w:color="auto" w:fill="auto"/>
            <w:noWrap/>
          </w:tcPr>
          <w:p w14:paraId="70D33370" w14:textId="77777777" w:rsidR="00F33674" w:rsidRPr="00F33674" w:rsidRDefault="00F33674" w:rsidP="00F33674">
            <w:pPr>
              <w:jc w:val="left"/>
              <w:rPr>
                <w:rFonts w:ascii="Arial Narrow" w:hAnsi="Arial Narrow" w:cs="Calibri"/>
                <w:color w:val="000000"/>
                <w:sz w:val="20"/>
                <w:szCs w:val="20"/>
                <w:lang w:eastAsia="en-AU"/>
              </w:rPr>
            </w:pPr>
          </w:p>
        </w:tc>
        <w:tc>
          <w:tcPr>
            <w:tcW w:w="736" w:type="dxa"/>
            <w:shd w:val="clear" w:color="auto" w:fill="auto"/>
          </w:tcPr>
          <w:p w14:paraId="71694A44" w14:textId="77777777" w:rsidR="00F33674" w:rsidRPr="00F33674" w:rsidRDefault="00F33674" w:rsidP="00F33674">
            <w:pPr>
              <w:jc w:val="left"/>
              <w:rPr>
                <w:rFonts w:ascii="Arial Narrow" w:hAnsi="Arial Narrow" w:cs="Calibri"/>
                <w:color w:val="000000"/>
                <w:sz w:val="20"/>
                <w:szCs w:val="20"/>
                <w:lang w:eastAsia="en-AU"/>
              </w:rPr>
            </w:pPr>
          </w:p>
        </w:tc>
        <w:tc>
          <w:tcPr>
            <w:tcW w:w="2390" w:type="dxa"/>
            <w:vMerge/>
            <w:shd w:val="clear" w:color="auto" w:fill="auto"/>
            <w:noWrap/>
          </w:tcPr>
          <w:p w14:paraId="6F531932" w14:textId="77777777" w:rsidR="00F33674" w:rsidRPr="00F33674" w:rsidRDefault="00F33674" w:rsidP="00F33674">
            <w:pPr>
              <w:jc w:val="left"/>
              <w:rPr>
                <w:rFonts w:ascii="Arial Narrow" w:hAnsi="Arial Narrow" w:cs="Calibri"/>
                <w:color w:val="000000"/>
                <w:sz w:val="20"/>
                <w:szCs w:val="20"/>
                <w:lang w:eastAsia="en-AU"/>
              </w:rPr>
            </w:pPr>
          </w:p>
        </w:tc>
        <w:tc>
          <w:tcPr>
            <w:tcW w:w="572" w:type="dxa"/>
            <w:shd w:val="clear" w:color="auto" w:fill="auto"/>
            <w:noWrap/>
          </w:tcPr>
          <w:p w14:paraId="61FA952A" w14:textId="77777777" w:rsidR="00F33674" w:rsidRPr="00F33674" w:rsidRDefault="00F33674" w:rsidP="00F33674">
            <w:pPr>
              <w:jc w:val="right"/>
              <w:rPr>
                <w:rFonts w:ascii="Arial Narrow" w:hAnsi="Arial Narrow" w:cs="Calibri"/>
                <w:color w:val="000000"/>
                <w:sz w:val="20"/>
                <w:szCs w:val="20"/>
                <w:lang w:eastAsia="en-AU"/>
              </w:rPr>
            </w:pPr>
          </w:p>
        </w:tc>
        <w:tc>
          <w:tcPr>
            <w:tcW w:w="530" w:type="dxa"/>
            <w:shd w:val="clear" w:color="auto" w:fill="auto"/>
            <w:noWrap/>
          </w:tcPr>
          <w:p w14:paraId="65394BCA" w14:textId="77777777" w:rsidR="00F33674" w:rsidRPr="00F33674" w:rsidRDefault="00F33674" w:rsidP="00F33674">
            <w:pPr>
              <w:jc w:val="right"/>
              <w:rPr>
                <w:rFonts w:ascii="Arial Narrow" w:hAnsi="Arial Narrow" w:cs="Calibri"/>
                <w:color w:val="000000"/>
                <w:sz w:val="20"/>
                <w:szCs w:val="20"/>
                <w:lang w:eastAsia="en-AU"/>
              </w:rPr>
            </w:pPr>
          </w:p>
        </w:tc>
        <w:tc>
          <w:tcPr>
            <w:tcW w:w="1397" w:type="dxa"/>
            <w:shd w:val="clear" w:color="auto" w:fill="auto"/>
            <w:noWrap/>
            <w:hideMark/>
          </w:tcPr>
          <w:p w14:paraId="621D74EC"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Fentanyl Sandoz</w:t>
            </w:r>
          </w:p>
        </w:tc>
        <w:tc>
          <w:tcPr>
            <w:tcW w:w="2126" w:type="dxa"/>
            <w:shd w:val="clear" w:color="auto" w:fill="auto"/>
            <w:noWrap/>
            <w:hideMark/>
          </w:tcPr>
          <w:p w14:paraId="1F1B7B32"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Sandoz Pty Ltd</w:t>
            </w:r>
          </w:p>
        </w:tc>
      </w:tr>
    </w:tbl>
    <w:p w14:paraId="6EAA8826" w14:textId="77777777" w:rsidR="00F33674" w:rsidRPr="00F33674" w:rsidRDefault="00F33674" w:rsidP="00F33674">
      <w:pPr>
        <w:contextualSpacing/>
        <w:jc w:val="left"/>
      </w:pPr>
    </w:p>
    <w:tbl>
      <w:tblPr>
        <w:tblW w:w="9214" w:type="dxa"/>
        <w:tblInd w:w="-5" w:type="dxa"/>
        <w:tblLook w:val="0000" w:firstRow="0" w:lastRow="0" w:firstColumn="0" w:lastColumn="0" w:noHBand="0" w:noVBand="0"/>
      </w:tblPr>
      <w:tblGrid>
        <w:gridCol w:w="3183"/>
        <w:gridCol w:w="6031"/>
      </w:tblGrid>
      <w:tr w:rsidR="00F33674" w:rsidRPr="00F33674" w14:paraId="18B54460" w14:textId="77777777" w:rsidTr="00C21DFA">
        <w:trPr>
          <w:cantSplit/>
          <w:trHeight w:val="360"/>
        </w:trPr>
        <w:tc>
          <w:tcPr>
            <w:tcW w:w="3183" w:type="dxa"/>
            <w:tcBorders>
              <w:top w:val="single" w:sz="4" w:space="0" w:color="auto"/>
              <w:left w:val="single" w:sz="4" w:space="0" w:color="auto"/>
              <w:bottom w:val="single" w:sz="4" w:space="0" w:color="auto"/>
              <w:right w:val="single" w:sz="4" w:space="0" w:color="auto"/>
            </w:tcBorders>
          </w:tcPr>
          <w:p w14:paraId="1F36131E" w14:textId="77777777" w:rsidR="00F33674" w:rsidRPr="00F33674" w:rsidRDefault="00F33674" w:rsidP="00F33674">
            <w:pPr>
              <w:rPr>
                <w:rFonts w:ascii="Arial Narrow" w:hAnsi="Arial Narrow" w:cs="Arial"/>
                <w:b/>
                <w:sz w:val="20"/>
                <w:szCs w:val="20"/>
              </w:rPr>
            </w:pPr>
            <w:r w:rsidRPr="00F33674">
              <w:rPr>
                <w:rFonts w:ascii="Arial Narrow" w:hAnsi="Arial Narrow" w:cs="Arial"/>
                <w:b/>
                <w:sz w:val="20"/>
                <w:szCs w:val="20"/>
              </w:rPr>
              <w:t>Category / Program:</w:t>
            </w:r>
          </w:p>
        </w:tc>
        <w:tc>
          <w:tcPr>
            <w:tcW w:w="6031" w:type="dxa"/>
            <w:tcBorders>
              <w:top w:val="single" w:sz="4" w:space="0" w:color="auto"/>
              <w:left w:val="single" w:sz="4" w:space="0" w:color="auto"/>
              <w:bottom w:val="single" w:sz="4" w:space="0" w:color="auto"/>
              <w:right w:val="single" w:sz="4" w:space="0" w:color="auto"/>
            </w:tcBorders>
          </w:tcPr>
          <w:p w14:paraId="78881C5E" w14:textId="77777777" w:rsidR="00F33674" w:rsidRPr="00F33674" w:rsidRDefault="00F33674" w:rsidP="00F33674">
            <w:pPr>
              <w:rPr>
                <w:rFonts w:ascii="Arial Narrow" w:hAnsi="Arial Narrow" w:cs="Arial"/>
                <w:sz w:val="20"/>
                <w:szCs w:val="20"/>
              </w:rPr>
            </w:pPr>
            <w:r w:rsidRPr="00F33674">
              <w:rPr>
                <w:rFonts w:ascii="Arial Narrow" w:hAnsi="Arial Narrow" w:cs="Arial"/>
                <w:sz w:val="20"/>
                <w:szCs w:val="20"/>
              </w:rPr>
              <w:t>GENERAL – General Schedule (Code GE)</w:t>
            </w:r>
          </w:p>
        </w:tc>
      </w:tr>
      <w:tr w:rsidR="00F33674" w:rsidRPr="00F33674" w14:paraId="59AAEB30" w14:textId="77777777" w:rsidTr="00C21DFA">
        <w:trPr>
          <w:cantSplit/>
          <w:trHeight w:val="360"/>
        </w:trPr>
        <w:tc>
          <w:tcPr>
            <w:tcW w:w="3183" w:type="dxa"/>
            <w:tcBorders>
              <w:top w:val="single" w:sz="4" w:space="0" w:color="auto"/>
              <w:left w:val="single" w:sz="4" w:space="0" w:color="auto"/>
              <w:bottom w:val="single" w:sz="4" w:space="0" w:color="auto"/>
              <w:right w:val="single" w:sz="4" w:space="0" w:color="auto"/>
            </w:tcBorders>
          </w:tcPr>
          <w:p w14:paraId="7D0CE506" w14:textId="77777777" w:rsidR="00F33674" w:rsidRPr="00F33674" w:rsidRDefault="00F33674" w:rsidP="00F33674">
            <w:pPr>
              <w:rPr>
                <w:rFonts w:ascii="Arial Narrow" w:hAnsi="Arial Narrow" w:cs="Arial"/>
                <w:b/>
                <w:sz w:val="20"/>
                <w:szCs w:val="20"/>
              </w:rPr>
            </w:pPr>
            <w:r w:rsidRPr="00F33674">
              <w:rPr>
                <w:rFonts w:ascii="Arial Narrow" w:hAnsi="Arial Narrow" w:cs="Arial"/>
                <w:b/>
                <w:sz w:val="20"/>
                <w:szCs w:val="20"/>
              </w:rPr>
              <w:t>Prescriber type:</w:t>
            </w:r>
          </w:p>
          <w:p w14:paraId="72BB0253" w14:textId="77777777" w:rsidR="00F33674" w:rsidRPr="00F33674" w:rsidRDefault="00F33674" w:rsidP="00F33674">
            <w:pPr>
              <w:rPr>
                <w:rFonts w:ascii="Arial Narrow" w:hAnsi="Arial Narrow" w:cs="Arial"/>
                <w:b/>
                <w:sz w:val="20"/>
                <w:szCs w:val="20"/>
              </w:rPr>
            </w:pPr>
          </w:p>
        </w:tc>
        <w:tc>
          <w:tcPr>
            <w:tcW w:w="6031" w:type="dxa"/>
            <w:tcBorders>
              <w:top w:val="single" w:sz="4" w:space="0" w:color="auto"/>
              <w:left w:val="single" w:sz="4" w:space="0" w:color="auto"/>
              <w:bottom w:val="single" w:sz="4" w:space="0" w:color="auto"/>
              <w:right w:val="single" w:sz="4" w:space="0" w:color="auto"/>
            </w:tcBorders>
          </w:tcPr>
          <w:p w14:paraId="0B5520C4" w14:textId="042B96AC" w:rsidR="00F33674" w:rsidRPr="00F33674" w:rsidRDefault="00F33674" w:rsidP="00F33674">
            <w:pPr>
              <w:rPr>
                <w:rFonts w:ascii="Arial Narrow" w:hAnsi="Arial Narrow" w:cs="Arial"/>
                <w:sz w:val="20"/>
                <w:szCs w:val="20"/>
              </w:rPr>
            </w:pPr>
            <w:r w:rsidRPr="00F33674">
              <w:rPr>
                <w:rFonts w:ascii="Arial Narrow" w:hAnsi="Arial Narrow" w:cs="Arial"/>
                <w:sz w:val="20"/>
                <w:szCs w:val="20"/>
              </w:rPr>
              <w:fldChar w:fldCharType="begin">
                <w:ffData>
                  <w:name w:val="Check1"/>
                  <w:enabled/>
                  <w:calcOnExit w:val="0"/>
                  <w:checkBox>
                    <w:sizeAuto/>
                    <w:default w:val="0"/>
                  </w:checkBox>
                </w:ffData>
              </w:fldChar>
            </w:r>
            <w:r w:rsidRPr="00F33674">
              <w:rPr>
                <w:rFonts w:ascii="Arial Narrow" w:hAnsi="Arial Narrow" w:cs="Arial"/>
                <w:sz w:val="20"/>
                <w:szCs w:val="20"/>
              </w:rPr>
              <w:instrText xml:space="preserve"> FORMCHECKBOX </w:instrText>
            </w:r>
            <w:r w:rsidR="00233D13">
              <w:rPr>
                <w:rFonts w:ascii="Arial Narrow" w:hAnsi="Arial Narrow" w:cs="Arial"/>
                <w:sz w:val="20"/>
                <w:szCs w:val="20"/>
              </w:rPr>
            </w:r>
            <w:r w:rsidR="00233D13">
              <w:rPr>
                <w:rFonts w:ascii="Arial Narrow" w:hAnsi="Arial Narrow" w:cs="Arial"/>
                <w:sz w:val="20"/>
                <w:szCs w:val="20"/>
              </w:rPr>
              <w:fldChar w:fldCharType="separate"/>
            </w:r>
            <w:r w:rsidRPr="00F33674">
              <w:rPr>
                <w:rFonts w:ascii="Arial Narrow" w:hAnsi="Arial Narrow" w:cs="Arial"/>
                <w:sz w:val="20"/>
                <w:szCs w:val="20"/>
              </w:rPr>
              <w:fldChar w:fldCharType="end"/>
            </w:r>
            <w:r w:rsidRPr="00F33674">
              <w:rPr>
                <w:rFonts w:ascii="Arial Narrow" w:hAnsi="Arial Narrow" w:cs="Arial"/>
                <w:sz w:val="20"/>
                <w:szCs w:val="20"/>
              </w:rPr>
              <w:t>Dental</w:t>
            </w:r>
            <w:r w:rsidR="002C1329">
              <w:rPr>
                <w:rFonts w:ascii="Arial Narrow" w:hAnsi="Arial Narrow" w:cs="Arial"/>
                <w:sz w:val="20"/>
                <w:szCs w:val="20"/>
              </w:rPr>
              <w:t xml:space="preserve"> </w:t>
            </w:r>
            <w:r w:rsidRPr="00F33674">
              <w:rPr>
                <w:rFonts w:ascii="Arial Narrow" w:hAnsi="Arial Narrow" w:cs="Arial"/>
                <w:sz w:val="20"/>
                <w:szCs w:val="20"/>
              </w:rPr>
              <w:fldChar w:fldCharType="begin">
                <w:ffData>
                  <w:name w:val=""/>
                  <w:enabled/>
                  <w:calcOnExit w:val="0"/>
                  <w:checkBox>
                    <w:sizeAuto/>
                    <w:default w:val="1"/>
                  </w:checkBox>
                </w:ffData>
              </w:fldChar>
            </w:r>
            <w:r w:rsidRPr="00F33674">
              <w:rPr>
                <w:rFonts w:ascii="Arial Narrow" w:hAnsi="Arial Narrow" w:cs="Arial"/>
                <w:sz w:val="20"/>
                <w:szCs w:val="20"/>
              </w:rPr>
              <w:instrText xml:space="preserve"> FORMCHECKBOX </w:instrText>
            </w:r>
            <w:r w:rsidR="00233D13">
              <w:rPr>
                <w:rFonts w:ascii="Arial Narrow" w:hAnsi="Arial Narrow" w:cs="Arial"/>
                <w:sz w:val="20"/>
                <w:szCs w:val="20"/>
              </w:rPr>
            </w:r>
            <w:r w:rsidR="00233D13">
              <w:rPr>
                <w:rFonts w:ascii="Arial Narrow" w:hAnsi="Arial Narrow" w:cs="Arial"/>
                <w:sz w:val="20"/>
                <w:szCs w:val="20"/>
              </w:rPr>
              <w:fldChar w:fldCharType="separate"/>
            </w:r>
            <w:r w:rsidRPr="00F33674">
              <w:rPr>
                <w:rFonts w:ascii="Arial Narrow" w:hAnsi="Arial Narrow" w:cs="Arial"/>
                <w:sz w:val="20"/>
                <w:szCs w:val="20"/>
              </w:rPr>
              <w:fldChar w:fldCharType="end"/>
            </w:r>
            <w:r w:rsidRPr="00F33674">
              <w:rPr>
                <w:rFonts w:ascii="Arial Narrow" w:hAnsi="Arial Narrow" w:cs="Arial"/>
                <w:sz w:val="20"/>
                <w:szCs w:val="20"/>
              </w:rPr>
              <w:t>Medical Practitioners</w:t>
            </w:r>
            <w:r w:rsidR="002C1329">
              <w:rPr>
                <w:rFonts w:ascii="Arial Narrow" w:hAnsi="Arial Narrow" w:cs="Arial"/>
                <w:sz w:val="20"/>
                <w:szCs w:val="20"/>
              </w:rPr>
              <w:t xml:space="preserve"> </w:t>
            </w:r>
            <w:r w:rsidRPr="00F33674">
              <w:rPr>
                <w:rFonts w:ascii="Arial Narrow" w:hAnsi="Arial Narrow" w:cs="Arial"/>
                <w:sz w:val="20"/>
                <w:szCs w:val="20"/>
              </w:rPr>
              <w:fldChar w:fldCharType="begin">
                <w:ffData>
                  <w:name w:val="Check3"/>
                  <w:enabled/>
                  <w:calcOnExit w:val="0"/>
                  <w:checkBox>
                    <w:sizeAuto/>
                    <w:default w:val="1"/>
                  </w:checkBox>
                </w:ffData>
              </w:fldChar>
            </w:r>
            <w:r w:rsidRPr="00F33674">
              <w:rPr>
                <w:rFonts w:ascii="Arial Narrow" w:hAnsi="Arial Narrow" w:cs="Arial"/>
                <w:sz w:val="20"/>
                <w:szCs w:val="20"/>
              </w:rPr>
              <w:instrText xml:space="preserve"> FORMCHECKBOX </w:instrText>
            </w:r>
            <w:r w:rsidR="00233D13">
              <w:rPr>
                <w:rFonts w:ascii="Arial Narrow" w:hAnsi="Arial Narrow" w:cs="Arial"/>
                <w:sz w:val="20"/>
                <w:szCs w:val="20"/>
              </w:rPr>
            </w:r>
            <w:r w:rsidR="00233D13">
              <w:rPr>
                <w:rFonts w:ascii="Arial Narrow" w:hAnsi="Arial Narrow" w:cs="Arial"/>
                <w:sz w:val="20"/>
                <w:szCs w:val="20"/>
              </w:rPr>
              <w:fldChar w:fldCharType="separate"/>
            </w:r>
            <w:r w:rsidRPr="00F33674">
              <w:rPr>
                <w:rFonts w:ascii="Arial Narrow" w:hAnsi="Arial Narrow" w:cs="Arial"/>
                <w:sz w:val="20"/>
                <w:szCs w:val="20"/>
              </w:rPr>
              <w:fldChar w:fldCharType="end"/>
            </w:r>
            <w:r w:rsidRPr="00F33674">
              <w:rPr>
                <w:rFonts w:ascii="Arial Narrow" w:hAnsi="Arial Narrow" w:cs="Arial"/>
                <w:sz w:val="20"/>
                <w:szCs w:val="20"/>
              </w:rPr>
              <w:t>Nurse practitioners</w:t>
            </w:r>
            <w:r w:rsidR="002C1329">
              <w:rPr>
                <w:rFonts w:ascii="Arial Narrow" w:hAnsi="Arial Narrow" w:cs="Arial"/>
                <w:sz w:val="20"/>
                <w:szCs w:val="20"/>
              </w:rPr>
              <w:t xml:space="preserve"> </w:t>
            </w:r>
            <w:r w:rsidRPr="00F33674">
              <w:rPr>
                <w:rFonts w:ascii="Arial Narrow" w:hAnsi="Arial Narrow" w:cs="Arial"/>
                <w:sz w:val="20"/>
                <w:szCs w:val="20"/>
              </w:rPr>
              <w:fldChar w:fldCharType="begin">
                <w:ffData>
                  <w:name w:val=""/>
                  <w:enabled/>
                  <w:calcOnExit w:val="0"/>
                  <w:checkBox>
                    <w:sizeAuto/>
                    <w:default w:val="0"/>
                  </w:checkBox>
                </w:ffData>
              </w:fldChar>
            </w:r>
            <w:r w:rsidRPr="00F33674">
              <w:rPr>
                <w:rFonts w:ascii="Arial Narrow" w:hAnsi="Arial Narrow" w:cs="Arial"/>
                <w:sz w:val="20"/>
                <w:szCs w:val="20"/>
              </w:rPr>
              <w:instrText xml:space="preserve"> FORMCHECKBOX </w:instrText>
            </w:r>
            <w:r w:rsidR="00233D13">
              <w:rPr>
                <w:rFonts w:ascii="Arial Narrow" w:hAnsi="Arial Narrow" w:cs="Arial"/>
                <w:sz w:val="20"/>
                <w:szCs w:val="20"/>
              </w:rPr>
            </w:r>
            <w:r w:rsidR="00233D13">
              <w:rPr>
                <w:rFonts w:ascii="Arial Narrow" w:hAnsi="Arial Narrow" w:cs="Arial"/>
                <w:sz w:val="20"/>
                <w:szCs w:val="20"/>
              </w:rPr>
              <w:fldChar w:fldCharType="separate"/>
            </w:r>
            <w:r w:rsidRPr="00F33674">
              <w:rPr>
                <w:rFonts w:ascii="Arial Narrow" w:hAnsi="Arial Narrow" w:cs="Arial"/>
                <w:sz w:val="20"/>
                <w:szCs w:val="20"/>
              </w:rPr>
              <w:fldChar w:fldCharType="end"/>
            </w:r>
            <w:r w:rsidRPr="00F33674">
              <w:rPr>
                <w:rFonts w:ascii="Arial Narrow" w:hAnsi="Arial Narrow" w:cs="Arial"/>
                <w:sz w:val="20"/>
                <w:szCs w:val="20"/>
              </w:rPr>
              <w:t>Optometrists</w:t>
            </w:r>
          </w:p>
          <w:p w14:paraId="5BD6C75C" w14:textId="77777777" w:rsidR="00F33674" w:rsidRPr="00F33674" w:rsidRDefault="00F33674" w:rsidP="00F33674">
            <w:pPr>
              <w:rPr>
                <w:rFonts w:ascii="Arial Narrow" w:hAnsi="Arial Narrow" w:cs="Arial"/>
                <w:sz w:val="20"/>
                <w:szCs w:val="20"/>
              </w:rPr>
            </w:pPr>
            <w:r w:rsidRPr="00F33674">
              <w:rPr>
                <w:rFonts w:ascii="Arial Narrow" w:hAnsi="Arial Narrow" w:cs="Arial"/>
                <w:sz w:val="20"/>
                <w:szCs w:val="20"/>
              </w:rPr>
              <w:fldChar w:fldCharType="begin">
                <w:ffData>
                  <w:name w:val="Check5"/>
                  <w:enabled/>
                  <w:calcOnExit w:val="0"/>
                  <w:checkBox>
                    <w:sizeAuto/>
                    <w:default w:val="0"/>
                  </w:checkBox>
                </w:ffData>
              </w:fldChar>
            </w:r>
            <w:r w:rsidRPr="00F33674">
              <w:rPr>
                <w:rFonts w:ascii="Arial Narrow" w:hAnsi="Arial Narrow" w:cs="Arial"/>
                <w:sz w:val="20"/>
                <w:szCs w:val="20"/>
              </w:rPr>
              <w:instrText xml:space="preserve"> FORMCHECKBOX </w:instrText>
            </w:r>
            <w:r w:rsidR="00233D13">
              <w:rPr>
                <w:rFonts w:ascii="Arial Narrow" w:hAnsi="Arial Narrow" w:cs="Arial"/>
                <w:sz w:val="20"/>
                <w:szCs w:val="20"/>
              </w:rPr>
            </w:r>
            <w:r w:rsidR="00233D13">
              <w:rPr>
                <w:rFonts w:ascii="Arial Narrow" w:hAnsi="Arial Narrow" w:cs="Arial"/>
                <w:sz w:val="20"/>
                <w:szCs w:val="20"/>
              </w:rPr>
              <w:fldChar w:fldCharType="separate"/>
            </w:r>
            <w:r w:rsidRPr="00F33674">
              <w:rPr>
                <w:rFonts w:ascii="Arial Narrow" w:hAnsi="Arial Narrow" w:cs="Arial"/>
                <w:sz w:val="20"/>
                <w:szCs w:val="20"/>
              </w:rPr>
              <w:fldChar w:fldCharType="end"/>
            </w:r>
            <w:r w:rsidRPr="00F33674">
              <w:rPr>
                <w:rFonts w:ascii="Arial Narrow" w:hAnsi="Arial Narrow" w:cs="Arial"/>
                <w:sz w:val="20"/>
                <w:szCs w:val="20"/>
              </w:rPr>
              <w:t>Midwives</w:t>
            </w:r>
          </w:p>
        </w:tc>
      </w:tr>
      <w:tr w:rsidR="00F33674" w:rsidRPr="00F33674" w14:paraId="1EA86299" w14:textId="77777777" w:rsidTr="00C21DFA">
        <w:trPr>
          <w:cantSplit/>
          <w:trHeight w:val="369"/>
        </w:trPr>
        <w:tc>
          <w:tcPr>
            <w:tcW w:w="3183" w:type="dxa"/>
            <w:tcBorders>
              <w:top w:val="single" w:sz="4" w:space="0" w:color="auto"/>
              <w:left w:val="single" w:sz="4" w:space="0" w:color="auto"/>
              <w:bottom w:val="single" w:sz="4" w:space="0" w:color="auto"/>
              <w:right w:val="single" w:sz="4" w:space="0" w:color="auto"/>
            </w:tcBorders>
          </w:tcPr>
          <w:p w14:paraId="0D0D7751" w14:textId="77777777" w:rsidR="00F33674" w:rsidRPr="00F33674" w:rsidRDefault="00F33674" w:rsidP="00F33674">
            <w:pPr>
              <w:rPr>
                <w:rFonts w:ascii="Arial Narrow" w:hAnsi="Arial Narrow" w:cs="Arial"/>
                <w:b/>
                <w:sz w:val="20"/>
                <w:szCs w:val="20"/>
              </w:rPr>
            </w:pPr>
            <w:r w:rsidRPr="00F33674">
              <w:rPr>
                <w:rFonts w:ascii="Arial Narrow" w:hAnsi="Arial Narrow" w:cs="Arial"/>
                <w:b/>
                <w:sz w:val="20"/>
                <w:szCs w:val="20"/>
              </w:rPr>
              <w:t>PBS indication:</w:t>
            </w:r>
          </w:p>
        </w:tc>
        <w:tc>
          <w:tcPr>
            <w:tcW w:w="6031" w:type="dxa"/>
            <w:tcBorders>
              <w:top w:val="single" w:sz="4" w:space="0" w:color="auto"/>
              <w:left w:val="single" w:sz="4" w:space="0" w:color="auto"/>
              <w:bottom w:val="single" w:sz="4" w:space="0" w:color="auto"/>
              <w:right w:val="single" w:sz="4" w:space="0" w:color="auto"/>
            </w:tcBorders>
          </w:tcPr>
          <w:p w14:paraId="58A720F6" w14:textId="77777777" w:rsidR="00F33674" w:rsidRPr="00F33674" w:rsidRDefault="00F33674" w:rsidP="00F33674">
            <w:pPr>
              <w:rPr>
                <w:rFonts w:ascii="Arial Narrow" w:hAnsi="Arial Narrow" w:cs="Arial"/>
                <w:sz w:val="20"/>
                <w:szCs w:val="20"/>
              </w:rPr>
            </w:pPr>
            <w:r w:rsidRPr="00F33674">
              <w:rPr>
                <w:rFonts w:ascii="Arial Narrow" w:hAnsi="Arial Narrow" w:cs="Arial"/>
                <w:sz w:val="20"/>
                <w:szCs w:val="20"/>
              </w:rPr>
              <w:t>[9729] Chronic severe disabling pain</w:t>
            </w:r>
          </w:p>
        </w:tc>
      </w:tr>
      <w:tr w:rsidR="00F33674" w:rsidRPr="00F33674" w14:paraId="2B6E1775" w14:textId="77777777" w:rsidTr="00C21DFA">
        <w:trPr>
          <w:cantSplit/>
          <w:trHeight w:val="360"/>
        </w:trPr>
        <w:tc>
          <w:tcPr>
            <w:tcW w:w="3183" w:type="dxa"/>
            <w:tcBorders>
              <w:top w:val="single" w:sz="4" w:space="0" w:color="auto"/>
              <w:left w:val="single" w:sz="4" w:space="0" w:color="auto"/>
              <w:bottom w:val="single" w:sz="4" w:space="0" w:color="auto"/>
              <w:right w:val="single" w:sz="4" w:space="0" w:color="auto"/>
            </w:tcBorders>
          </w:tcPr>
          <w:p w14:paraId="3CDB4A45" w14:textId="77777777" w:rsidR="00F33674" w:rsidRPr="00F33674" w:rsidRDefault="00F33674" w:rsidP="00F33674">
            <w:pPr>
              <w:rPr>
                <w:rFonts w:ascii="Arial Narrow" w:hAnsi="Arial Narrow" w:cs="Arial"/>
                <w:b/>
                <w:sz w:val="20"/>
                <w:szCs w:val="20"/>
              </w:rPr>
            </w:pPr>
            <w:r w:rsidRPr="00F33674">
              <w:rPr>
                <w:rFonts w:ascii="Arial Narrow" w:hAnsi="Arial Narrow" w:cs="Arial"/>
                <w:b/>
                <w:sz w:val="20"/>
                <w:szCs w:val="20"/>
              </w:rPr>
              <w:t>Restriction Level / Method:</w:t>
            </w:r>
          </w:p>
          <w:p w14:paraId="43BD05DE" w14:textId="77777777" w:rsidR="00F33674" w:rsidRPr="00F33674" w:rsidRDefault="00F33674" w:rsidP="00F33674">
            <w:pPr>
              <w:rPr>
                <w:rFonts w:ascii="Arial Narrow" w:hAnsi="Arial Narrow" w:cs="Arial"/>
                <w:i/>
                <w:sz w:val="20"/>
                <w:szCs w:val="20"/>
              </w:rPr>
            </w:pPr>
          </w:p>
          <w:p w14:paraId="4596F675" w14:textId="77777777" w:rsidR="00F33674" w:rsidRPr="00F33674" w:rsidRDefault="00F33674" w:rsidP="00F33674">
            <w:pPr>
              <w:rPr>
                <w:rFonts w:ascii="Arial Narrow" w:hAnsi="Arial Narrow" w:cs="Arial"/>
                <w:i/>
                <w:sz w:val="20"/>
                <w:szCs w:val="20"/>
              </w:rPr>
            </w:pPr>
          </w:p>
          <w:p w14:paraId="4B79B40E" w14:textId="77777777" w:rsidR="00F33674" w:rsidRPr="00F33674" w:rsidRDefault="00F33674" w:rsidP="00F33674">
            <w:pPr>
              <w:rPr>
                <w:rFonts w:ascii="Arial Narrow" w:hAnsi="Arial Narrow" w:cs="Arial"/>
                <w:i/>
                <w:sz w:val="20"/>
                <w:szCs w:val="20"/>
              </w:rPr>
            </w:pPr>
          </w:p>
        </w:tc>
        <w:tc>
          <w:tcPr>
            <w:tcW w:w="6031" w:type="dxa"/>
            <w:tcBorders>
              <w:top w:val="single" w:sz="4" w:space="0" w:color="auto"/>
              <w:left w:val="single" w:sz="4" w:space="0" w:color="auto"/>
              <w:bottom w:val="single" w:sz="4" w:space="0" w:color="auto"/>
              <w:right w:val="single" w:sz="4" w:space="0" w:color="auto"/>
            </w:tcBorders>
          </w:tcPr>
          <w:p w14:paraId="16FD56DA" w14:textId="77777777" w:rsidR="00F33674" w:rsidRPr="00F33674" w:rsidRDefault="00F33674" w:rsidP="00F33674">
            <w:pPr>
              <w:rPr>
                <w:rFonts w:ascii="Arial Narrow" w:hAnsi="Arial Narrow" w:cs="Arial"/>
                <w:sz w:val="20"/>
                <w:szCs w:val="20"/>
              </w:rPr>
            </w:pPr>
            <w:r w:rsidRPr="00F33674">
              <w:rPr>
                <w:rFonts w:ascii="Arial Narrow" w:hAnsi="Arial Narrow" w:cs="Arial"/>
                <w:sz w:val="20"/>
                <w:szCs w:val="20"/>
              </w:rPr>
              <w:fldChar w:fldCharType="begin">
                <w:ffData>
                  <w:name w:val=""/>
                  <w:enabled/>
                  <w:calcOnExit w:val="0"/>
                  <w:checkBox>
                    <w:sizeAuto/>
                    <w:default w:val="0"/>
                  </w:checkBox>
                </w:ffData>
              </w:fldChar>
            </w:r>
            <w:r w:rsidRPr="00F33674">
              <w:rPr>
                <w:rFonts w:ascii="Arial Narrow" w:hAnsi="Arial Narrow" w:cs="Arial"/>
                <w:sz w:val="20"/>
                <w:szCs w:val="20"/>
              </w:rPr>
              <w:instrText xml:space="preserve"> FORMCHECKBOX </w:instrText>
            </w:r>
            <w:r w:rsidR="00233D13">
              <w:rPr>
                <w:rFonts w:ascii="Arial Narrow" w:hAnsi="Arial Narrow" w:cs="Arial"/>
                <w:sz w:val="20"/>
                <w:szCs w:val="20"/>
              </w:rPr>
            </w:r>
            <w:r w:rsidR="00233D13">
              <w:rPr>
                <w:rFonts w:ascii="Arial Narrow" w:hAnsi="Arial Narrow" w:cs="Arial"/>
                <w:sz w:val="20"/>
                <w:szCs w:val="20"/>
              </w:rPr>
              <w:fldChar w:fldCharType="separate"/>
            </w:r>
            <w:r w:rsidRPr="00F33674">
              <w:rPr>
                <w:rFonts w:ascii="Arial Narrow" w:hAnsi="Arial Narrow" w:cs="Arial"/>
                <w:sz w:val="20"/>
                <w:szCs w:val="20"/>
              </w:rPr>
              <w:fldChar w:fldCharType="end"/>
            </w:r>
            <w:r w:rsidRPr="00F33674">
              <w:rPr>
                <w:rFonts w:ascii="Arial Narrow" w:hAnsi="Arial Narrow" w:cs="Arial"/>
                <w:sz w:val="20"/>
                <w:szCs w:val="20"/>
              </w:rPr>
              <w:t>Unrestricted benefit</w:t>
            </w:r>
          </w:p>
          <w:p w14:paraId="0FF9B3E7" w14:textId="77777777" w:rsidR="00F33674" w:rsidRPr="00F33674" w:rsidRDefault="00F33674" w:rsidP="00F33674">
            <w:pPr>
              <w:rPr>
                <w:rFonts w:ascii="Arial Narrow" w:hAnsi="Arial Narrow" w:cs="Arial"/>
                <w:i/>
                <w:sz w:val="20"/>
                <w:szCs w:val="20"/>
              </w:rPr>
            </w:pPr>
            <w:r w:rsidRPr="00F33674">
              <w:rPr>
                <w:rFonts w:ascii="Arial Narrow" w:hAnsi="Arial Narrow" w:cs="Arial"/>
                <w:i/>
                <w:sz w:val="20"/>
                <w:szCs w:val="20"/>
              </w:rPr>
              <w:fldChar w:fldCharType="begin">
                <w:ffData>
                  <w:name w:val=""/>
                  <w:enabled/>
                  <w:calcOnExit w:val="0"/>
                  <w:checkBox>
                    <w:sizeAuto/>
                    <w:default w:val="0"/>
                  </w:checkBox>
                </w:ffData>
              </w:fldChar>
            </w:r>
            <w:r w:rsidRPr="00F33674">
              <w:rPr>
                <w:rFonts w:ascii="Arial Narrow" w:hAnsi="Arial Narrow" w:cs="Arial"/>
                <w:i/>
                <w:sz w:val="20"/>
                <w:szCs w:val="20"/>
              </w:rPr>
              <w:instrText xml:space="preserve"> FORMCHECKBOX </w:instrText>
            </w:r>
            <w:r w:rsidR="00233D13">
              <w:rPr>
                <w:rFonts w:ascii="Arial Narrow" w:hAnsi="Arial Narrow" w:cs="Arial"/>
                <w:i/>
                <w:sz w:val="20"/>
                <w:szCs w:val="20"/>
              </w:rPr>
            </w:r>
            <w:r w:rsidR="00233D13">
              <w:rPr>
                <w:rFonts w:ascii="Arial Narrow" w:hAnsi="Arial Narrow" w:cs="Arial"/>
                <w:i/>
                <w:sz w:val="20"/>
                <w:szCs w:val="20"/>
              </w:rPr>
              <w:fldChar w:fldCharType="separate"/>
            </w:r>
            <w:r w:rsidRPr="00F33674">
              <w:rPr>
                <w:rFonts w:ascii="Arial Narrow" w:hAnsi="Arial Narrow" w:cs="Arial"/>
                <w:i/>
                <w:sz w:val="20"/>
                <w:szCs w:val="20"/>
              </w:rPr>
              <w:fldChar w:fldCharType="end"/>
            </w:r>
            <w:r w:rsidRPr="00F33674">
              <w:rPr>
                <w:rFonts w:ascii="Arial Narrow" w:hAnsi="Arial Narrow" w:cs="Arial"/>
                <w:sz w:val="20"/>
                <w:szCs w:val="20"/>
              </w:rPr>
              <w:t>Restricted benefit</w:t>
            </w:r>
          </w:p>
          <w:p w14:paraId="79775C10" w14:textId="77777777" w:rsidR="00F33674" w:rsidRPr="00F33674" w:rsidRDefault="00F33674" w:rsidP="00F33674">
            <w:pPr>
              <w:rPr>
                <w:rFonts w:ascii="Arial Narrow" w:hAnsi="Arial Narrow" w:cs="Arial"/>
                <w:sz w:val="20"/>
                <w:szCs w:val="20"/>
              </w:rPr>
            </w:pPr>
            <w:r w:rsidRPr="00F33674">
              <w:rPr>
                <w:rFonts w:ascii="Arial Narrow" w:hAnsi="Arial Narrow" w:cs="Arial"/>
                <w:sz w:val="20"/>
                <w:szCs w:val="20"/>
              </w:rPr>
              <w:fldChar w:fldCharType="begin">
                <w:ffData>
                  <w:name w:val=""/>
                  <w:enabled/>
                  <w:calcOnExit w:val="0"/>
                  <w:checkBox>
                    <w:sizeAuto/>
                    <w:default w:val="0"/>
                  </w:checkBox>
                </w:ffData>
              </w:fldChar>
            </w:r>
            <w:r w:rsidRPr="00F33674">
              <w:rPr>
                <w:rFonts w:ascii="Arial Narrow" w:hAnsi="Arial Narrow" w:cs="Arial"/>
                <w:sz w:val="20"/>
                <w:szCs w:val="20"/>
              </w:rPr>
              <w:instrText xml:space="preserve"> FORMCHECKBOX </w:instrText>
            </w:r>
            <w:r w:rsidR="00233D13">
              <w:rPr>
                <w:rFonts w:ascii="Arial Narrow" w:hAnsi="Arial Narrow" w:cs="Arial"/>
                <w:sz w:val="20"/>
                <w:szCs w:val="20"/>
              </w:rPr>
            </w:r>
            <w:r w:rsidR="00233D13">
              <w:rPr>
                <w:rFonts w:ascii="Arial Narrow" w:hAnsi="Arial Narrow" w:cs="Arial"/>
                <w:sz w:val="20"/>
                <w:szCs w:val="20"/>
              </w:rPr>
              <w:fldChar w:fldCharType="separate"/>
            </w:r>
            <w:r w:rsidRPr="00F33674">
              <w:rPr>
                <w:rFonts w:ascii="Arial Narrow" w:hAnsi="Arial Narrow" w:cs="Arial"/>
                <w:sz w:val="20"/>
                <w:szCs w:val="20"/>
              </w:rPr>
              <w:fldChar w:fldCharType="end"/>
            </w:r>
            <w:r w:rsidRPr="00F33674">
              <w:rPr>
                <w:rFonts w:ascii="Arial Narrow" w:hAnsi="Arial Narrow" w:cs="Arial"/>
                <w:sz w:val="20"/>
                <w:szCs w:val="20"/>
              </w:rPr>
              <w:t>Authority Required – In Writing</w:t>
            </w:r>
          </w:p>
          <w:p w14:paraId="7313C606" w14:textId="77777777" w:rsidR="00F33674" w:rsidRPr="00F33674" w:rsidRDefault="00F33674" w:rsidP="00F33674">
            <w:pPr>
              <w:rPr>
                <w:rFonts w:ascii="Arial Narrow" w:hAnsi="Arial Narrow" w:cs="Arial"/>
                <w:sz w:val="20"/>
                <w:szCs w:val="20"/>
              </w:rPr>
            </w:pPr>
            <w:r w:rsidRPr="00F33674">
              <w:rPr>
                <w:rFonts w:ascii="Arial Narrow" w:hAnsi="Arial Narrow" w:cs="Arial"/>
                <w:sz w:val="20"/>
                <w:szCs w:val="20"/>
              </w:rPr>
              <w:fldChar w:fldCharType="begin">
                <w:ffData>
                  <w:name w:val="Check3"/>
                  <w:enabled/>
                  <w:calcOnExit w:val="0"/>
                  <w:checkBox>
                    <w:sizeAuto/>
                    <w:default w:val="0"/>
                  </w:checkBox>
                </w:ffData>
              </w:fldChar>
            </w:r>
            <w:r w:rsidRPr="00F33674">
              <w:rPr>
                <w:rFonts w:ascii="Arial Narrow" w:hAnsi="Arial Narrow" w:cs="Arial"/>
                <w:sz w:val="20"/>
                <w:szCs w:val="20"/>
              </w:rPr>
              <w:instrText xml:space="preserve"> FORMCHECKBOX </w:instrText>
            </w:r>
            <w:r w:rsidR="00233D13">
              <w:rPr>
                <w:rFonts w:ascii="Arial Narrow" w:hAnsi="Arial Narrow" w:cs="Arial"/>
                <w:sz w:val="20"/>
                <w:szCs w:val="20"/>
              </w:rPr>
            </w:r>
            <w:r w:rsidR="00233D13">
              <w:rPr>
                <w:rFonts w:ascii="Arial Narrow" w:hAnsi="Arial Narrow" w:cs="Arial"/>
                <w:sz w:val="20"/>
                <w:szCs w:val="20"/>
              </w:rPr>
              <w:fldChar w:fldCharType="separate"/>
            </w:r>
            <w:r w:rsidRPr="00F33674">
              <w:rPr>
                <w:rFonts w:ascii="Arial Narrow" w:hAnsi="Arial Narrow" w:cs="Arial"/>
                <w:sz w:val="20"/>
                <w:szCs w:val="20"/>
              </w:rPr>
              <w:fldChar w:fldCharType="end"/>
            </w:r>
            <w:r w:rsidRPr="00F33674">
              <w:rPr>
                <w:rFonts w:ascii="Arial Narrow" w:hAnsi="Arial Narrow" w:cs="Arial"/>
                <w:sz w:val="20"/>
                <w:szCs w:val="20"/>
              </w:rPr>
              <w:t>Authority Required – Telephone/Electronic/Emergency</w:t>
            </w:r>
          </w:p>
          <w:p w14:paraId="58A0C9E4" w14:textId="77777777" w:rsidR="00F33674" w:rsidRPr="00F33674" w:rsidRDefault="00F33674" w:rsidP="00F33674">
            <w:pPr>
              <w:rPr>
                <w:rFonts w:ascii="Arial Narrow" w:hAnsi="Arial Narrow" w:cs="Arial"/>
                <w:sz w:val="20"/>
                <w:szCs w:val="20"/>
              </w:rPr>
            </w:pPr>
            <w:r w:rsidRPr="00F33674">
              <w:rPr>
                <w:rFonts w:ascii="Arial Narrow" w:hAnsi="Arial Narrow" w:cs="Arial"/>
                <w:sz w:val="20"/>
                <w:szCs w:val="20"/>
              </w:rPr>
              <w:fldChar w:fldCharType="begin">
                <w:ffData>
                  <w:name w:val="Check5"/>
                  <w:enabled/>
                  <w:calcOnExit w:val="0"/>
                  <w:checkBox>
                    <w:sizeAuto/>
                    <w:default w:val="1"/>
                  </w:checkBox>
                </w:ffData>
              </w:fldChar>
            </w:r>
            <w:r w:rsidRPr="00F33674">
              <w:rPr>
                <w:rFonts w:ascii="Arial Narrow" w:hAnsi="Arial Narrow" w:cs="Arial"/>
                <w:sz w:val="20"/>
                <w:szCs w:val="20"/>
              </w:rPr>
              <w:instrText xml:space="preserve"> FORMCHECKBOX </w:instrText>
            </w:r>
            <w:r w:rsidR="00233D13">
              <w:rPr>
                <w:rFonts w:ascii="Arial Narrow" w:hAnsi="Arial Narrow" w:cs="Arial"/>
                <w:sz w:val="20"/>
                <w:szCs w:val="20"/>
              </w:rPr>
            </w:r>
            <w:r w:rsidR="00233D13">
              <w:rPr>
                <w:rFonts w:ascii="Arial Narrow" w:hAnsi="Arial Narrow" w:cs="Arial"/>
                <w:sz w:val="20"/>
                <w:szCs w:val="20"/>
              </w:rPr>
              <w:fldChar w:fldCharType="separate"/>
            </w:r>
            <w:r w:rsidRPr="00F33674">
              <w:rPr>
                <w:rFonts w:ascii="Arial Narrow" w:hAnsi="Arial Narrow" w:cs="Arial"/>
                <w:sz w:val="20"/>
                <w:szCs w:val="20"/>
              </w:rPr>
              <w:fldChar w:fldCharType="end"/>
            </w:r>
            <w:r w:rsidRPr="00F33674">
              <w:rPr>
                <w:rFonts w:ascii="Arial Narrow" w:hAnsi="Arial Narrow" w:cs="Arial"/>
                <w:sz w:val="20"/>
                <w:szCs w:val="20"/>
              </w:rPr>
              <w:t>Streamlined</w:t>
            </w:r>
          </w:p>
        </w:tc>
      </w:tr>
      <w:tr w:rsidR="004811F3" w:rsidRPr="00F33674" w14:paraId="12807E73" w14:textId="77777777" w:rsidTr="00C21DFA">
        <w:trPr>
          <w:cantSplit/>
          <w:trHeight w:val="360"/>
        </w:trPr>
        <w:tc>
          <w:tcPr>
            <w:tcW w:w="3183" w:type="dxa"/>
            <w:tcBorders>
              <w:top w:val="single" w:sz="4" w:space="0" w:color="auto"/>
              <w:left w:val="single" w:sz="4" w:space="0" w:color="auto"/>
              <w:bottom w:val="single" w:sz="4" w:space="0" w:color="auto"/>
              <w:right w:val="single" w:sz="4" w:space="0" w:color="auto"/>
            </w:tcBorders>
          </w:tcPr>
          <w:p w14:paraId="3167F41D" w14:textId="232581B6" w:rsidR="004811F3" w:rsidRPr="00F33674" w:rsidRDefault="004811F3" w:rsidP="00F33674">
            <w:pPr>
              <w:rPr>
                <w:rFonts w:ascii="Arial Narrow" w:hAnsi="Arial Narrow" w:cs="Arial"/>
                <w:b/>
                <w:sz w:val="20"/>
                <w:szCs w:val="20"/>
              </w:rPr>
            </w:pPr>
            <w:r>
              <w:rPr>
                <w:rFonts w:ascii="Arial Narrow" w:hAnsi="Arial Narrow" w:cs="Arial"/>
                <w:b/>
                <w:sz w:val="20"/>
                <w:szCs w:val="20"/>
              </w:rPr>
              <w:t>Treatment phase:</w:t>
            </w:r>
          </w:p>
        </w:tc>
        <w:tc>
          <w:tcPr>
            <w:tcW w:w="6031" w:type="dxa"/>
            <w:tcBorders>
              <w:top w:val="single" w:sz="4" w:space="0" w:color="auto"/>
              <w:left w:val="single" w:sz="4" w:space="0" w:color="auto"/>
              <w:bottom w:val="single" w:sz="4" w:space="0" w:color="auto"/>
              <w:right w:val="single" w:sz="4" w:space="0" w:color="auto"/>
            </w:tcBorders>
          </w:tcPr>
          <w:p w14:paraId="7C0CCF7A" w14:textId="1027006C" w:rsidR="004811F3" w:rsidRPr="00F33674" w:rsidRDefault="00265869" w:rsidP="00F33674">
            <w:pPr>
              <w:jc w:val="left"/>
              <w:rPr>
                <w:rFonts w:ascii="Arial Narrow" w:hAnsi="Arial Narrow" w:cs="Arial"/>
                <w:sz w:val="20"/>
                <w:szCs w:val="20"/>
              </w:rPr>
            </w:pPr>
            <w:r>
              <w:rPr>
                <w:rFonts w:ascii="Arial Narrow" w:hAnsi="Arial Narrow" w:cs="Arial"/>
                <w:sz w:val="20"/>
                <w:szCs w:val="20"/>
              </w:rPr>
              <w:t xml:space="preserve">Initial PBS treatment after 1 June 2020 where patient </w:t>
            </w:r>
            <w:proofErr w:type="gramStart"/>
            <w:r>
              <w:rPr>
                <w:rFonts w:ascii="Arial Narrow" w:hAnsi="Arial Narrow" w:cs="Arial"/>
                <w:sz w:val="20"/>
                <w:szCs w:val="20"/>
              </w:rPr>
              <w:t>has been treated</w:t>
            </w:r>
            <w:proofErr w:type="gramEnd"/>
            <w:r>
              <w:rPr>
                <w:rFonts w:ascii="Arial Narrow" w:hAnsi="Arial Narrow" w:cs="Arial"/>
                <w:sz w:val="20"/>
                <w:szCs w:val="20"/>
              </w:rPr>
              <w:t xml:space="preserve"> with opioids for less than 12 months.</w:t>
            </w:r>
          </w:p>
        </w:tc>
      </w:tr>
      <w:tr w:rsidR="00F33674" w:rsidRPr="00F33674" w14:paraId="419E58E2" w14:textId="77777777" w:rsidTr="00C21DFA">
        <w:trPr>
          <w:cantSplit/>
          <w:trHeight w:val="360"/>
        </w:trPr>
        <w:tc>
          <w:tcPr>
            <w:tcW w:w="3183" w:type="dxa"/>
            <w:tcBorders>
              <w:top w:val="single" w:sz="4" w:space="0" w:color="auto"/>
              <w:left w:val="single" w:sz="4" w:space="0" w:color="auto"/>
              <w:bottom w:val="single" w:sz="4" w:space="0" w:color="auto"/>
              <w:right w:val="single" w:sz="4" w:space="0" w:color="auto"/>
            </w:tcBorders>
          </w:tcPr>
          <w:p w14:paraId="39869EFF" w14:textId="77777777" w:rsidR="00F33674" w:rsidRPr="00F33674" w:rsidRDefault="00F33674" w:rsidP="00F33674">
            <w:pPr>
              <w:rPr>
                <w:rFonts w:ascii="Arial Narrow" w:hAnsi="Arial Narrow" w:cs="Arial"/>
                <w:b/>
                <w:sz w:val="20"/>
                <w:szCs w:val="20"/>
              </w:rPr>
            </w:pPr>
            <w:r w:rsidRPr="00F33674">
              <w:rPr>
                <w:rFonts w:ascii="Arial Narrow" w:hAnsi="Arial Narrow" w:cs="Arial"/>
                <w:b/>
                <w:sz w:val="20"/>
                <w:szCs w:val="20"/>
              </w:rPr>
              <w:t>Clinical criteria:</w:t>
            </w:r>
          </w:p>
        </w:tc>
        <w:tc>
          <w:tcPr>
            <w:tcW w:w="6031" w:type="dxa"/>
            <w:tcBorders>
              <w:top w:val="single" w:sz="4" w:space="0" w:color="auto"/>
              <w:left w:val="single" w:sz="4" w:space="0" w:color="auto"/>
              <w:bottom w:val="single" w:sz="4" w:space="0" w:color="auto"/>
              <w:right w:val="single" w:sz="4" w:space="0" w:color="auto"/>
            </w:tcBorders>
          </w:tcPr>
          <w:p w14:paraId="7C8E7F04" w14:textId="173FEBD3" w:rsidR="00F33674" w:rsidRPr="00F33674" w:rsidRDefault="00F33674" w:rsidP="00F33674">
            <w:pPr>
              <w:jc w:val="left"/>
              <w:rPr>
                <w:rFonts w:ascii="Arial Narrow" w:hAnsi="Arial Narrow" w:cs="Arial"/>
                <w:sz w:val="20"/>
                <w:szCs w:val="20"/>
              </w:rPr>
            </w:pPr>
            <w:r w:rsidRPr="00F33674">
              <w:rPr>
                <w:rFonts w:ascii="Arial Narrow" w:hAnsi="Arial Narrow" w:cs="Arial"/>
                <w:sz w:val="20"/>
                <w:szCs w:val="20"/>
              </w:rPr>
              <w:t>[new] The condition must require daily, continuous, long term treatment</w:t>
            </w:r>
          </w:p>
          <w:p w14:paraId="01ABA941" w14:textId="77777777" w:rsidR="00F33674" w:rsidRPr="00F33674" w:rsidRDefault="00F33674" w:rsidP="00F33674">
            <w:pPr>
              <w:jc w:val="left"/>
              <w:rPr>
                <w:rFonts w:ascii="Arial Narrow" w:hAnsi="Arial Narrow" w:cs="Arial"/>
                <w:sz w:val="20"/>
                <w:szCs w:val="20"/>
              </w:rPr>
            </w:pPr>
          </w:p>
          <w:p w14:paraId="3188CC33" w14:textId="77777777" w:rsidR="00F33674" w:rsidRPr="00F33674" w:rsidRDefault="00F33674" w:rsidP="00F33674">
            <w:pPr>
              <w:jc w:val="left"/>
              <w:rPr>
                <w:rFonts w:ascii="Arial Narrow" w:hAnsi="Arial Narrow" w:cs="Arial"/>
                <w:sz w:val="20"/>
                <w:szCs w:val="20"/>
              </w:rPr>
            </w:pPr>
            <w:r w:rsidRPr="00F33674">
              <w:rPr>
                <w:rFonts w:ascii="Arial Narrow" w:hAnsi="Arial Narrow" w:cs="Arial"/>
                <w:sz w:val="20"/>
                <w:szCs w:val="20"/>
              </w:rPr>
              <w:t>AND</w:t>
            </w:r>
          </w:p>
          <w:p w14:paraId="680E9319" w14:textId="77777777" w:rsidR="00F33674" w:rsidRPr="00F33674" w:rsidRDefault="00F33674" w:rsidP="00F33674">
            <w:pPr>
              <w:jc w:val="left"/>
              <w:rPr>
                <w:rFonts w:ascii="Arial Narrow" w:hAnsi="Arial Narrow" w:cs="Arial"/>
                <w:sz w:val="20"/>
                <w:szCs w:val="20"/>
              </w:rPr>
            </w:pPr>
          </w:p>
          <w:p w14:paraId="122E1D5F" w14:textId="77777777" w:rsidR="00F33674" w:rsidRPr="00F33674" w:rsidRDefault="00F33674" w:rsidP="00F33674">
            <w:pPr>
              <w:jc w:val="left"/>
              <w:rPr>
                <w:rFonts w:ascii="Arial Narrow" w:hAnsi="Arial Narrow" w:cs="Arial"/>
                <w:sz w:val="20"/>
                <w:szCs w:val="20"/>
              </w:rPr>
            </w:pPr>
            <w:r w:rsidRPr="00F33674">
              <w:rPr>
                <w:rFonts w:ascii="Arial Narrow" w:hAnsi="Arial Narrow" w:cs="Arial"/>
                <w:sz w:val="20"/>
                <w:szCs w:val="20"/>
              </w:rPr>
              <w:t>[new] Patient must not be opioid naïve</w:t>
            </w:r>
          </w:p>
          <w:p w14:paraId="0E297F96" w14:textId="77777777" w:rsidR="00F33674" w:rsidRPr="00F33674" w:rsidRDefault="00F33674" w:rsidP="00F33674">
            <w:pPr>
              <w:jc w:val="left"/>
              <w:rPr>
                <w:rFonts w:ascii="Arial Narrow" w:hAnsi="Arial Narrow" w:cs="Arial"/>
                <w:sz w:val="20"/>
                <w:szCs w:val="20"/>
              </w:rPr>
            </w:pPr>
          </w:p>
          <w:p w14:paraId="69104833" w14:textId="77777777" w:rsidR="00F33674" w:rsidRPr="00F33674" w:rsidRDefault="00F33674" w:rsidP="00F33674">
            <w:pPr>
              <w:jc w:val="left"/>
              <w:rPr>
                <w:rFonts w:ascii="Arial Narrow" w:hAnsi="Arial Narrow" w:cs="Arial"/>
                <w:sz w:val="20"/>
                <w:szCs w:val="20"/>
              </w:rPr>
            </w:pPr>
            <w:r w:rsidRPr="00F33674">
              <w:rPr>
                <w:rFonts w:ascii="Arial Narrow" w:hAnsi="Arial Narrow" w:cs="Arial"/>
                <w:sz w:val="20"/>
                <w:szCs w:val="20"/>
              </w:rPr>
              <w:t>AND</w:t>
            </w:r>
          </w:p>
          <w:p w14:paraId="30AEBAE6" w14:textId="77777777" w:rsidR="00F33674" w:rsidRPr="00F33674" w:rsidRDefault="00F33674" w:rsidP="00F33674">
            <w:pPr>
              <w:jc w:val="left"/>
              <w:rPr>
                <w:rFonts w:ascii="Arial Narrow" w:hAnsi="Arial Narrow" w:cs="Arial"/>
                <w:sz w:val="20"/>
                <w:szCs w:val="20"/>
              </w:rPr>
            </w:pPr>
          </w:p>
          <w:p w14:paraId="3A44D263" w14:textId="0A46BEFE" w:rsidR="00F33674" w:rsidRPr="00F33674" w:rsidRDefault="00F33674" w:rsidP="00F33674">
            <w:pPr>
              <w:jc w:val="left"/>
              <w:rPr>
                <w:rFonts w:ascii="Arial Narrow" w:hAnsi="Arial Narrow" w:cs="Arial"/>
                <w:sz w:val="20"/>
                <w:szCs w:val="20"/>
              </w:rPr>
            </w:pPr>
            <w:r w:rsidRPr="00F33674">
              <w:rPr>
                <w:rFonts w:ascii="Arial Narrow" w:hAnsi="Arial Narrow" w:cs="Arial"/>
                <w:sz w:val="20"/>
                <w:szCs w:val="20"/>
              </w:rPr>
              <w:t xml:space="preserve">[18096] Patient must have </w:t>
            </w:r>
            <w:r w:rsidR="00FE50AF">
              <w:rPr>
                <w:rFonts w:ascii="Arial Narrow" w:hAnsi="Arial Narrow" w:cs="Arial"/>
                <w:sz w:val="20"/>
                <w:szCs w:val="20"/>
              </w:rPr>
              <w:t>cancer pain</w:t>
            </w:r>
          </w:p>
          <w:p w14:paraId="7D47E8B8" w14:textId="77777777" w:rsidR="00F33674" w:rsidRPr="00F33674" w:rsidRDefault="00F33674" w:rsidP="00F33674">
            <w:pPr>
              <w:jc w:val="left"/>
              <w:rPr>
                <w:rFonts w:ascii="Arial Narrow" w:hAnsi="Arial Narrow" w:cs="Arial"/>
                <w:sz w:val="20"/>
                <w:szCs w:val="20"/>
              </w:rPr>
            </w:pPr>
            <w:r w:rsidRPr="00F33674">
              <w:rPr>
                <w:rFonts w:ascii="Arial Narrow" w:hAnsi="Arial Narrow" w:cs="Arial"/>
                <w:sz w:val="20"/>
                <w:szCs w:val="20"/>
              </w:rPr>
              <w:t>OR</w:t>
            </w:r>
          </w:p>
          <w:p w14:paraId="4AB7C2FE" w14:textId="30496EC2" w:rsidR="00F33674" w:rsidRPr="00F33674" w:rsidRDefault="00F33674" w:rsidP="00F33674">
            <w:pPr>
              <w:jc w:val="left"/>
              <w:rPr>
                <w:rFonts w:ascii="Arial Narrow" w:hAnsi="Arial Narrow" w:cs="Arial"/>
                <w:sz w:val="20"/>
                <w:szCs w:val="20"/>
              </w:rPr>
            </w:pPr>
            <w:r w:rsidRPr="00F33674">
              <w:rPr>
                <w:rFonts w:ascii="Arial Narrow" w:hAnsi="Arial Narrow" w:cs="Arial"/>
                <w:sz w:val="20"/>
                <w:szCs w:val="20"/>
              </w:rPr>
              <w:t xml:space="preserve">[new] Patient must have </w:t>
            </w:r>
            <w:r w:rsidR="004811F3">
              <w:rPr>
                <w:rFonts w:ascii="Arial Narrow" w:hAnsi="Arial Narrow" w:cs="Arial"/>
                <w:sz w:val="20"/>
                <w:szCs w:val="20"/>
              </w:rPr>
              <w:t>had or would have</w:t>
            </w:r>
            <w:r w:rsidRPr="00F33674">
              <w:rPr>
                <w:rFonts w:ascii="Arial Narrow" w:hAnsi="Arial Narrow" w:cs="Arial"/>
                <w:sz w:val="20"/>
                <w:szCs w:val="20"/>
              </w:rPr>
              <w:t xml:space="preserve"> </w:t>
            </w:r>
            <w:r w:rsidR="004811F3">
              <w:rPr>
                <w:rFonts w:ascii="Arial Narrow" w:hAnsi="Arial Narrow" w:cs="Arial"/>
                <w:sz w:val="20"/>
                <w:szCs w:val="20"/>
              </w:rPr>
              <w:t>inadequate pain management</w:t>
            </w:r>
            <w:r w:rsidRPr="00F33674">
              <w:rPr>
                <w:rFonts w:ascii="Arial Narrow" w:hAnsi="Arial Narrow" w:cs="Arial"/>
                <w:sz w:val="20"/>
                <w:szCs w:val="20"/>
              </w:rPr>
              <w:t xml:space="preserve"> </w:t>
            </w:r>
            <w:r w:rsidR="004811F3">
              <w:rPr>
                <w:rFonts w:ascii="Arial Narrow" w:hAnsi="Arial Narrow" w:cs="Arial"/>
                <w:sz w:val="20"/>
                <w:szCs w:val="20"/>
              </w:rPr>
              <w:t>with</w:t>
            </w:r>
            <w:r w:rsidRPr="00F33674">
              <w:rPr>
                <w:rFonts w:ascii="Arial Narrow" w:hAnsi="Arial Narrow" w:cs="Arial"/>
                <w:sz w:val="20"/>
                <w:szCs w:val="20"/>
              </w:rPr>
              <w:t xml:space="preserve"> tolerated doses of non-opioid and other opioid analgesics</w:t>
            </w:r>
          </w:p>
          <w:p w14:paraId="43A62587" w14:textId="77777777" w:rsidR="00F33674" w:rsidRPr="00F33674" w:rsidRDefault="00F33674" w:rsidP="00F33674">
            <w:pPr>
              <w:jc w:val="left"/>
              <w:rPr>
                <w:rFonts w:ascii="Arial Narrow" w:hAnsi="Arial Narrow" w:cs="Arial"/>
                <w:sz w:val="20"/>
                <w:szCs w:val="20"/>
              </w:rPr>
            </w:pPr>
            <w:r w:rsidRPr="00F33674">
              <w:rPr>
                <w:rFonts w:ascii="Arial Narrow" w:hAnsi="Arial Narrow" w:cs="Arial"/>
                <w:sz w:val="20"/>
                <w:szCs w:val="20"/>
              </w:rPr>
              <w:t>OR</w:t>
            </w:r>
          </w:p>
          <w:p w14:paraId="57FA8A74" w14:textId="1A39DAE4" w:rsidR="00F33674" w:rsidRPr="00F33674" w:rsidRDefault="00F33674" w:rsidP="00F33674">
            <w:pPr>
              <w:jc w:val="left"/>
              <w:rPr>
                <w:rFonts w:ascii="Arial Narrow" w:hAnsi="Arial Narrow" w:cs="Arial"/>
                <w:sz w:val="20"/>
                <w:szCs w:val="20"/>
              </w:rPr>
            </w:pPr>
            <w:r w:rsidRPr="00F33674">
              <w:rPr>
                <w:rFonts w:ascii="Arial Narrow" w:hAnsi="Arial Narrow" w:cs="Arial"/>
                <w:sz w:val="20"/>
                <w:szCs w:val="20"/>
              </w:rPr>
              <w:t>[new] Patient must be unable to use non-opioid and other opioid analgesics due to contraindications or intolerance.</w:t>
            </w:r>
          </w:p>
        </w:tc>
      </w:tr>
      <w:tr w:rsidR="00F33674" w:rsidRPr="00F33674" w14:paraId="051060C5" w14:textId="77777777" w:rsidTr="00C21DFA">
        <w:trPr>
          <w:cantSplit/>
          <w:trHeight w:val="360"/>
        </w:trPr>
        <w:tc>
          <w:tcPr>
            <w:tcW w:w="3183" w:type="dxa"/>
            <w:tcBorders>
              <w:top w:val="single" w:sz="4" w:space="0" w:color="auto"/>
              <w:left w:val="single" w:sz="4" w:space="0" w:color="auto"/>
              <w:bottom w:val="single" w:sz="4" w:space="0" w:color="auto"/>
              <w:right w:val="single" w:sz="4" w:space="0" w:color="auto"/>
            </w:tcBorders>
          </w:tcPr>
          <w:p w14:paraId="72C4C0A6" w14:textId="77777777" w:rsidR="00F33674" w:rsidRPr="00F33674" w:rsidRDefault="00F33674" w:rsidP="00F33674">
            <w:pPr>
              <w:rPr>
                <w:rFonts w:ascii="Arial Narrow" w:hAnsi="Arial Narrow" w:cs="Arial"/>
                <w:b/>
                <w:sz w:val="20"/>
                <w:szCs w:val="20"/>
              </w:rPr>
            </w:pPr>
            <w:r w:rsidRPr="00F33674">
              <w:rPr>
                <w:rFonts w:ascii="Arial Narrow" w:hAnsi="Arial Narrow" w:cs="Arial"/>
                <w:b/>
                <w:sz w:val="20"/>
                <w:szCs w:val="20"/>
              </w:rPr>
              <w:t>Prescriber instruction:</w:t>
            </w:r>
          </w:p>
        </w:tc>
        <w:tc>
          <w:tcPr>
            <w:tcW w:w="6031" w:type="dxa"/>
            <w:tcBorders>
              <w:top w:val="single" w:sz="4" w:space="0" w:color="auto"/>
              <w:left w:val="single" w:sz="4" w:space="0" w:color="auto"/>
              <w:bottom w:val="single" w:sz="4" w:space="0" w:color="auto"/>
              <w:right w:val="single" w:sz="4" w:space="0" w:color="auto"/>
            </w:tcBorders>
          </w:tcPr>
          <w:p w14:paraId="38B3FA21" w14:textId="133EBEAD" w:rsidR="00F33674" w:rsidRPr="00F33674" w:rsidRDefault="00F33674" w:rsidP="00193259">
            <w:pPr>
              <w:jc w:val="left"/>
              <w:rPr>
                <w:rFonts w:ascii="Arial Narrow" w:hAnsi="Arial Narrow" w:cs="Arial"/>
                <w:sz w:val="20"/>
                <w:szCs w:val="20"/>
              </w:rPr>
            </w:pPr>
            <w:r w:rsidRPr="00F33674">
              <w:rPr>
                <w:rFonts w:ascii="Arial Narrow" w:hAnsi="Arial Narrow" w:cs="Arial"/>
                <w:sz w:val="20"/>
                <w:szCs w:val="20"/>
              </w:rPr>
              <w:t xml:space="preserve">[new] Authorities for increased maximum quantities </w:t>
            </w:r>
            <w:r w:rsidR="00BB2EAC">
              <w:rPr>
                <w:rFonts w:ascii="Arial Narrow" w:hAnsi="Arial Narrow" w:cs="Arial"/>
                <w:sz w:val="20"/>
                <w:szCs w:val="20"/>
              </w:rPr>
              <w:t>and/or repeats under this restriction</w:t>
            </w:r>
            <w:r w:rsidRPr="00F33674">
              <w:rPr>
                <w:rFonts w:ascii="Arial Narrow" w:hAnsi="Arial Narrow" w:cs="Arial"/>
                <w:sz w:val="20"/>
                <w:szCs w:val="20"/>
              </w:rPr>
              <w:t xml:space="preserve"> </w:t>
            </w:r>
            <w:proofErr w:type="gramStart"/>
            <w:r w:rsidRPr="00F33674">
              <w:rPr>
                <w:rFonts w:ascii="Arial Narrow" w:hAnsi="Arial Narrow" w:cs="Arial"/>
                <w:sz w:val="20"/>
                <w:szCs w:val="20"/>
              </w:rPr>
              <w:t>will be granted</w:t>
            </w:r>
            <w:proofErr w:type="gramEnd"/>
            <w:r w:rsidRPr="00F33674">
              <w:rPr>
                <w:rFonts w:ascii="Arial Narrow" w:hAnsi="Arial Narrow" w:cs="Arial"/>
                <w:sz w:val="20"/>
                <w:szCs w:val="20"/>
              </w:rPr>
              <w:t xml:space="preserve"> only for chronic severe disabling pain</w:t>
            </w:r>
            <w:r w:rsidR="002900EB">
              <w:rPr>
                <w:rFonts w:ascii="Arial Narrow" w:hAnsi="Arial Narrow" w:cs="Arial"/>
                <w:sz w:val="20"/>
                <w:szCs w:val="20"/>
              </w:rPr>
              <w:t xml:space="preserve"> </w:t>
            </w:r>
            <w:r w:rsidRPr="00F33674">
              <w:rPr>
                <w:rFonts w:ascii="Arial Narrow" w:hAnsi="Arial Narrow" w:cs="Arial"/>
                <w:sz w:val="20"/>
                <w:szCs w:val="20"/>
              </w:rPr>
              <w:t>where the total duration of non-PBS and PBS subsidised opioid analgesic treatment is less than 12 months.</w:t>
            </w:r>
          </w:p>
          <w:p w14:paraId="6B8FA7B7" w14:textId="77777777" w:rsidR="00F33674" w:rsidRPr="00F33674" w:rsidRDefault="00F33674" w:rsidP="00F33674">
            <w:pPr>
              <w:jc w:val="left"/>
              <w:rPr>
                <w:rFonts w:ascii="Arial Narrow" w:hAnsi="Arial Narrow" w:cs="Arial"/>
                <w:sz w:val="20"/>
                <w:szCs w:val="20"/>
              </w:rPr>
            </w:pPr>
          </w:p>
          <w:p w14:paraId="01220E9F" w14:textId="77777777" w:rsidR="00F33674" w:rsidRPr="00F33674" w:rsidRDefault="00F33674" w:rsidP="00F33674">
            <w:pPr>
              <w:jc w:val="left"/>
              <w:rPr>
                <w:rFonts w:ascii="Arial Narrow" w:hAnsi="Arial Narrow" w:cs="Arial"/>
                <w:sz w:val="20"/>
                <w:szCs w:val="20"/>
              </w:rPr>
            </w:pPr>
            <w:r w:rsidRPr="00F33674">
              <w:rPr>
                <w:rFonts w:ascii="Arial Narrow" w:hAnsi="Arial Narrow" w:cs="Arial"/>
                <w:sz w:val="20"/>
                <w:szCs w:val="20"/>
              </w:rPr>
              <w:t>[new] Authority requests extending treatment duration up to 1 month may be requested though the Online PBS Authorities system or by calling Services Australia.</w:t>
            </w:r>
          </w:p>
          <w:p w14:paraId="1297960C" w14:textId="77777777" w:rsidR="00F33674" w:rsidRPr="00F33674" w:rsidRDefault="00F33674" w:rsidP="00F33674">
            <w:pPr>
              <w:jc w:val="left"/>
              <w:rPr>
                <w:rFonts w:ascii="Arial Narrow" w:hAnsi="Arial Narrow" w:cs="Arial"/>
                <w:sz w:val="20"/>
                <w:szCs w:val="20"/>
              </w:rPr>
            </w:pPr>
          </w:p>
          <w:p w14:paraId="5C640B3F" w14:textId="67C60927" w:rsidR="00F33674" w:rsidRPr="00F33674" w:rsidRDefault="00F33674" w:rsidP="00F33674">
            <w:pPr>
              <w:jc w:val="left"/>
              <w:rPr>
                <w:rFonts w:ascii="Arial Narrow" w:hAnsi="Arial Narrow" w:cs="Arial"/>
                <w:sz w:val="20"/>
                <w:szCs w:val="20"/>
              </w:rPr>
            </w:pPr>
            <w:r w:rsidRPr="00F33674">
              <w:rPr>
                <w:rFonts w:ascii="Arial Narrow" w:hAnsi="Arial Narrow" w:cs="Arial"/>
                <w:sz w:val="20"/>
                <w:szCs w:val="20"/>
              </w:rPr>
              <w:t xml:space="preserve">Authority requests extending treatment duration beyond 1 month </w:t>
            </w:r>
            <w:r w:rsidR="00827DF7">
              <w:rPr>
                <w:rFonts w:ascii="Arial Narrow" w:hAnsi="Arial Narrow" w:cs="Arial"/>
                <w:sz w:val="20"/>
                <w:szCs w:val="20"/>
              </w:rPr>
              <w:t>may be requested through the Online PBS Authorities system</w:t>
            </w:r>
            <w:r w:rsidRPr="00F33674">
              <w:rPr>
                <w:rFonts w:ascii="Arial Narrow" w:hAnsi="Arial Narrow" w:cs="Arial"/>
                <w:sz w:val="20"/>
                <w:szCs w:val="20"/>
              </w:rPr>
              <w:t xml:space="preserve"> or in writing only and must not provide a treatment duration exceeding </w:t>
            </w:r>
            <w:r w:rsidR="00827DF7">
              <w:rPr>
                <w:rFonts w:ascii="Arial Narrow" w:hAnsi="Arial Narrow" w:cs="Arial"/>
                <w:sz w:val="20"/>
                <w:szCs w:val="20"/>
              </w:rPr>
              <w:t xml:space="preserve">3 months (quantity sufficient for up to </w:t>
            </w:r>
            <w:proofErr w:type="gramStart"/>
            <w:r w:rsidR="00827DF7">
              <w:rPr>
                <w:rFonts w:ascii="Arial Narrow" w:hAnsi="Arial Narrow" w:cs="Arial"/>
                <w:sz w:val="20"/>
                <w:szCs w:val="20"/>
              </w:rPr>
              <w:t>1 month</w:t>
            </w:r>
            <w:proofErr w:type="gramEnd"/>
            <w:r w:rsidR="00827DF7">
              <w:rPr>
                <w:rFonts w:ascii="Arial Narrow" w:hAnsi="Arial Narrow" w:cs="Arial"/>
                <w:sz w:val="20"/>
                <w:szCs w:val="20"/>
              </w:rPr>
              <w:t xml:space="preserve"> treatment and sufficient repeats).</w:t>
            </w:r>
          </w:p>
        </w:tc>
      </w:tr>
      <w:tr w:rsidR="00F33674" w:rsidRPr="00F33674" w14:paraId="7DFCAFA1" w14:textId="77777777" w:rsidTr="00C21DFA">
        <w:trPr>
          <w:cantSplit/>
          <w:trHeight w:val="360"/>
        </w:trPr>
        <w:tc>
          <w:tcPr>
            <w:tcW w:w="3183" w:type="dxa"/>
            <w:tcBorders>
              <w:top w:val="single" w:sz="4" w:space="0" w:color="auto"/>
              <w:left w:val="single" w:sz="4" w:space="0" w:color="auto"/>
              <w:bottom w:val="single" w:sz="4" w:space="0" w:color="auto"/>
              <w:right w:val="single" w:sz="4" w:space="0" w:color="auto"/>
            </w:tcBorders>
          </w:tcPr>
          <w:p w14:paraId="605D1E83" w14:textId="77777777" w:rsidR="00F33674" w:rsidRPr="00F33674" w:rsidRDefault="00F33674" w:rsidP="00F33674">
            <w:pPr>
              <w:rPr>
                <w:rFonts w:ascii="Arial Narrow" w:hAnsi="Arial Narrow" w:cs="Arial"/>
                <w:b/>
                <w:sz w:val="20"/>
                <w:szCs w:val="20"/>
              </w:rPr>
            </w:pPr>
            <w:r w:rsidRPr="00F33674">
              <w:rPr>
                <w:rFonts w:ascii="Arial Narrow" w:hAnsi="Arial Narrow" w:cs="Arial"/>
                <w:b/>
                <w:sz w:val="20"/>
                <w:szCs w:val="20"/>
              </w:rPr>
              <w:lastRenderedPageBreak/>
              <w:t>Administrative advice:</w:t>
            </w:r>
          </w:p>
        </w:tc>
        <w:tc>
          <w:tcPr>
            <w:tcW w:w="6031" w:type="dxa"/>
            <w:tcBorders>
              <w:top w:val="single" w:sz="4" w:space="0" w:color="auto"/>
              <w:left w:val="single" w:sz="4" w:space="0" w:color="auto"/>
              <w:bottom w:val="single" w:sz="4" w:space="0" w:color="auto"/>
              <w:right w:val="single" w:sz="4" w:space="0" w:color="auto"/>
            </w:tcBorders>
          </w:tcPr>
          <w:p w14:paraId="6F686339" w14:textId="77777777" w:rsidR="00F33674" w:rsidRPr="00F33674" w:rsidRDefault="00F33674" w:rsidP="00F33674">
            <w:pPr>
              <w:jc w:val="left"/>
              <w:rPr>
                <w:rFonts w:ascii="Arial Narrow" w:hAnsi="Arial Narrow"/>
                <w:sz w:val="20"/>
                <w:szCs w:val="20"/>
              </w:rPr>
            </w:pPr>
            <w:r w:rsidRPr="00F33674">
              <w:rPr>
                <w:rFonts w:ascii="Arial Narrow" w:hAnsi="Arial Narrow"/>
                <w:sz w:val="20"/>
                <w:szCs w:val="20"/>
              </w:rPr>
              <w:t xml:space="preserve">[13978] Fentanyl transdermal patches </w:t>
            </w:r>
            <w:proofErr w:type="gramStart"/>
            <w:r w:rsidRPr="00F33674">
              <w:rPr>
                <w:rFonts w:ascii="Arial Narrow" w:hAnsi="Arial Narrow"/>
                <w:sz w:val="20"/>
                <w:szCs w:val="20"/>
              </w:rPr>
              <w:t>are not recommended</w:t>
            </w:r>
            <w:proofErr w:type="gramEnd"/>
            <w:r w:rsidRPr="00F33674">
              <w:rPr>
                <w:rFonts w:ascii="Arial Narrow" w:hAnsi="Arial Narrow"/>
                <w:sz w:val="20"/>
                <w:szCs w:val="20"/>
              </w:rPr>
              <w:t xml:space="preserve"> in opioid naive patients with non-cancer pain because of a high incidence of adverse events in these patients. Patients with cancer pain </w:t>
            </w:r>
            <w:proofErr w:type="gramStart"/>
            <w:r w:rsidRPr="00F33674">
              <w:rPr>
                <w:rFonts w:ascii="Arial Narrow" w:hAnsi="Arial Narrow"/>
                <w:sz w:val="20"/>
                <w:szCs w:val="20"/>
              </w:rPr>
              <w:t>may be initiated</w:t>
            </w:r>
            <w:proofErr w:type="gramEnd"/>
            <w:r w:rsidRPr="00F33674">
              <w:rPr>
                <w:rFonts w:ascii="Arial Narrow" w:hAnsi="Arial Narrow"/>
                <w:sz w:val="20"/>
                <w:szCs w:val="20"/>
              </w:rPr>
              <w:t xml:space="preserve"> on the lowest strength patch (12 micrograms per hour).</w:t>
            </w:r>
          </w:p>
          <w:p w14:paraId="12B38788" w14:textId="77777777" w:rsidR="00F33674" w:rsidRPr="00F33674" w:rsidRDefault="00F33674" w:rsidP="00F33674">
            <w:pPr>
              <w:jc w:val="left"/>
              <w:rPr>
                <w:rFonts w:ascii="Arial Narrow" w:hAnsi="Arial Narrow"/>
                <w:sz w:val="20"/>
                <w:szCs w:val="20"/>
              </w:rPr>
            </w:pPr>
          </w:p>
          <w:p w14:paraId="0C632FC5" w14:textId="77777777" w:rsidR="00F33674" w:rsidRPr="00F33674" w:rsidRDefault="00F33674" w:rsidP="00F33674">
            <w:pPr>
              <w:jc w:val="left"/>
              <w:rPr>
                <w:rFonts w:ascii="Arial Narrow" w:hAnsi="Arial Narrow"/>
                <w:sz w:val="20"/>
                <w:szCs w:val="20"/>
              </w:rPr>
            </w:pPr>
            <w:r w:rsidRPr="00F33674">
              <w:rPr>
                <w:rFonts w:ascii="Arial Narrow" w:hAnsi="Arial Narrow"/>
                <w:sz w:val="20"/>
                <w:szCs w:val="20"/>
              </w:rPr>
              <w:t>[new] Consider consultation with a multidisciplinary pain service prior to, or after commencement of this medication.</w:t>
            </w:r>
          </w:p>
          <w:p w14:paraId="542C575B" w14:textId="77777777" w:rsidR="00F33674" w:rsidRPr="00F33674" w:rsidRDefault="00F33674" w:rsidP="00F33674">
            <w:pPr>
              <w:jc w:val="left"/>
              <w:rPr>
                <w:rFonts w:ascii="Arial Narrow" w:hAnsi="Arial Narrow"/>
                <w:sz w:val="20"/>
                <w:szCs w:val="20"/>
              </w:rPr>
            </w:pPr>
          </w:p>
          <w:p w14:paraId="44202024" w14:textId="77777777" w:rsidR="00F33674" w:rsidRPr="00F33674" w:rsidRDefault="00F33674" w:rsidP="00F33674">
            <w:pPr>
              <w:jc w:val="left"/>
              <w:rPr>
                <w:rFonts w:ascii="Arial Narrow" w:hAnsi="Arial Narrow" w:cs="Arial"/>
                <w:sz w:val="20"/>
                <w:szCs w:val="20"/>
              </w:rPr>
            </w:pPr>
            <w:r w:rsidRPr="00F33674">
              <w:rPr>
                <w:rFonts w:ascii="Arial Narrow" w:hAnsi="Arial Narrow" w:cs="Arial"/>
                <w:sz w:val="20"/>
                <w:szCs w:val="20"/>
              </w:rPr>
              <w:t>[new] This treatment is not suitable for ‘as-required’ pain relief.</w:t>
            </w:r>
          </w:p>
          <w:p w14:paraId="1F7DD601" w14:textId="77777777" w:rsidR="00F33674" w:rsidRPr="00F33674" w:rsidRDefault="00F33674" w:rsidP="00F33674">
            <w:pPr>
              <w:jc w:val="left"/>
              <w:rPr>
                <w:rFonts w:ascii="Arial Narrow" w:hAnsi="Arial Narrow"/>
                <w:sz w:val="20"/>
                <w:szCs w:val="20"/>
              </w:rPr>
            </w:pPr>
          </w:p>
          <w:p w14:paraId="39879E6F" w14:textId="77777777" w:rsidR="00F33674" w:rsidRPr="00F33674" w:rsidRDefault="00F33674" w:rsidP="00F33674">
            <w:pPr>
              <w:jc w:val="left"/>
              <w:rPr>
                <w:rFonts w:ascii="Arial Narrow" w:hAnsi="Arial Narrow" w:cs="Arial"/>
                <w:sz w:val="20"/>
                <w:szCs w:val="20"/>
              </w:rPr>
            </w:pPr>
            <w:r w:rsidRPr="00F33674">
              <w:rPr>
                <w:rFonts w:ascii="Arial Narrow" w:hAnsi="Arial Narrow" w:cs="Arial"/>
                <w:sz w:val="20"/>
                <w:szCs w:val="20"/>
              </w:rPr>
              <w:t>[13980] Pharmaceutical benefits that have the form fentanyl 25 microgram/hour patch are equivalent for the purposes of substitution.</w:t>
            </w:r>
          </w:p>
          <w:p w14:paraId="22D5D966" w14:textId="77777777" w:rsidR="00F33674" w:rsidRPr="00F33674" w:rsidRDefault="00F33674" w:rsidP="00F33674">
            <w:pPr>
              <w:jc w:val="left"/>
              <w:rPr>
                <w:rFonts w:ascii="Arial Narrow" w:hAnsi="Arial Narrow" w:cs="Arial"/>
                <w:sz w:val="20"/>
                <w:szCs w:val="20"/>
              </w:rPr>
            </w:pPr>
          </w:p>
          <w:p w14:paraId="0101E611" w14:textId="77777777" w:rsidR="00F33674" w:rsidRPr="00F33674" w:rsidRDefault="00F33674" w:rsidP="00F33674">
            <w:pPr>
              <w:jc w:val="left"/>
              <w:rPr>
                <w:rFonts w:ascii="Arial Narrow" w:hAnsi="Arial Narrow" w:cs="Arial"/>
                <w:sz w:val="20"/>
                <w:szCs w:val="20"/>
              </w:rPr>
            </w:pPr>
            <w:r w:rsidRPr="00F33674">
              <w:rPr>
                <w:rFonts w:ascii="Arial Narrow" w:hAnsi="Arial Narrow" w:cs="Arial"/>
                <w:sz w:val="20"/>
                <w:szCs w:val="20"/>
              </w:rPr>
              <w:t xml:space="preserve">[7901] Shared Care Model: For prescribing by nurse practitioners where care of a patient </w:t>
            </w:r>
            <w:proofErr w:type="gramStart"/>
            <w:r w:rsidRPr="00F33674">
              <w:rPr>
                <w:rFonts w:ascii="Arial Narrow" w:hAnsi="Arial Narrow" w:cs="Arial"/>
                <w:sz w:val="20"/>
                <w:szCs w:val="20"/>
              </w:rPr>
              <w:t>is shared</w:t>
            </w:r>
            <w:proofErr w:type="gramEnd"/>
            <w:r w:rsidRPr="00F33674">
              <w:rPr>
                <w:rFonts w:ascii="Arial Narrow" w:hAnsi="Arial Narrow" w:cs="Arial"/>
                <w:sz w:val="20"/>
                <w:szCs w:val="20"/>
              </w:rPr>
              <w:t xml:space="preserve"> between a nurse practitioner and medical practitioner in a formalised arrangement with an agreed management plan. Further information </w:t>
            </w:r>
            <w:proofErr w:type="gramStart"/>
            <w:r w:rsidRPr="00F33674">
              <w:rPr>
                <w:rFonts w:ascii="Arial Narrow" w:hAnsi="Arial Narrow" w:cs="Arial"/>
                <w:sz w:val="20"/>
                <w:szCs w:val="20"/>
              </w:rPr>
              <w:t>can be found</w:t>
            </w:r>
            <w:proofErr w:type="gramEnd"/>
            <w:r w:rsidRPr="00F33674">
              <w:rPr>
                <w:rFonts w:ascii="Arial Narrow" w:hAnsi="Arial Narrow" w:cs="Arial"/>
                <w:sz w:val="20"/>
                <w:szCs w:val="20"/>
              </w:rPr>
              <w:t xml:space="preserve"> in the Explanatory Notes for Nurse Practitioners.</w:t>
            </w:r>
          </w:p>
          <w:p w14:paraId="40E3BCA5" w14:textId="77777777" w:rsidR="00F33674" w:rsidRPr="00F33674" w:rsidRDefault="00F33674" w:rsidP="00F33674">
            <w:pPr>
              <w:jc w:val="left"/>
              <w:rPr>
                <w:rFonts w:ascii="Arial Narrow" w:hAnsi="Arial Narrow" w:cs="Arial"/>
                <w:sz w:val="20"/>
                <w:szCs w:val="20"/>
              </w:rPr>
            </w:pPr>
          </w:p>
          <w:p w14:paraId="7BC8CEB2" w14:textId="77777777" w:rsidR="00F33674" w:rsidRPr="00F33674" w:rsidRDefault="00F33674" w:rsidP="00F33674">
            <w:pPr>
              <w:jc w:val="left"/>
              <w:rPr>
                <w:rFonts w:ascii="Arial Narrow" w:hAnsi="Arial Narrow" w:cs="Arial"/>
                <w:sz w:val="20"/>
                <w:szCs w:val="20"/>
              </w:rPr>
            </w:pPr>
            <w:r w:rsidRPr="00F33674">
              <w:rPr>
                <w:rFonts w:ascii="Arial Narrow" w:hAnsi="Arial Narrow" w:cs="Arial"/>
                <w:sz w:val="20"/>
                <w:szCs w:val="20"/>
              </w:rPr>
              <w:t>[new] Real time online applications for increased maximum quantities/repeats may be made using the Online PBS Authorities system (see www.servicesaustralia.gov.au/organisations/health-professionals/services/medicare/hpos/services/request-authority-using-online-pbs-authorities-hpos)</w:t>
            </w:r>
          </w:p>
          <w:p w14:paraId="61AE7647" w14:textId="77777777" w:rsidR="00F33674" w:rsidRPr="00F33674" w:rsidRDefault="00F33674" w:rsidP="00F33674">
            <w:pPr>
              <w:jc w:val="left"/>
              <w:rPr>
                <w:rFonts w:ascii="Arial Narrow" w:hAnsi="Arial Narrow" w:cs="Arial"/>
                <w:sz w:val="20"/>
                <w:szCs w:val="20"/>
              </w:rPr>
            </w:pPr>
          </w:p>
          <w:p w14:paraId="7CFC661E" w14:textId="335A185A" w:rsidR="00F33674" w:rsidRPr="00F33674" w:rsidRDefault="00F33674" w:rsidP="00F33674">
            <w:pPr>
              <w:jc w:val="left"/>
              <w:rPr>
                <w:rFonts w:ascii="Arial Narrow" w:hAnsi="Arial Narrow" w:cs="Arial"/>
                <w:sz w:val="20"/>
                <w:szCs w:val="20"/>
              </w:rPr>
            </w:pPr>
            <w:r w:rsidRPr="00F33674">
              <w:rPr>
                <w:rFonts w:ascii="Arial Narrow" w:hAnsi="Arial Narrow" w:cs="Arial"/>
                <w:sz w:val="20"/>
                <w:szCs w:val="20"/>
              </w:rPr>
              <w:t>Phone applications for increased maximum quantities/repeats may be made by calling 1800 888 333.</w:t>
            </w:r>
          </w:p>
          <w:p w14:paraId="79E6956A" w14:textId="77777777" w:rsidR="00F33674" w:rsidRPr="00F33674" w:rsidRDefault="00F33674" w:rsidP="00F33674">
            <w:pPr>
              <w:jc w:val="left"/>
              <w:rPr>
                <w:rFonts w:ascii="Arial Narrow" w:hAnsi="Arial Narrow" w:cs="Arial"/>
                <w:sz w:val="20"/>
                <w:szCs w:val="20"/>
              </w:rPr>
            </w:pPr>
          </w:p>
          <w:p w14:paraId="1DFF01EA" w14:textId="77777777" w:rsidR="00F33674" w:rsidRPr="00F33674" w:rsidRDefault="00F33674" w:rsidP="00F33674">
            <w:pPr>
              <w:jc w:val="left"/>
              <w:rPr>
                <w:rFonts w:ascii="Arial Narrow" w:hAnsi="Arial Narrow" w:cs="Arial"/>
                <w:sz w:val="20"/>
                <w:szCs w:val="20"/>
              </w:rPr>
            </w:pPr>
            <w:r w:rsidRPr="00F33674">
              <w:rPr>
                <w:rFonts w:ascii="Arial Narrow" w:hAnsi="Arial Narrow" w:cs="Arial"/>
                <w:sz w:val="20"/>
                <w:szCs w:val="20"/>
              </w:rPr>
              <w:t>Written authority applications for increased maximum quantities/repeats can be uploaded online through HPOS form upload or mailed to:</w:t>
            </w:r>
          </w:p>
          <w:p w14:paraId="5AF931F7" w14:textId="77777777" w:rsidR="00F33674" w:rsidRPr="00F33674" w:rsidRDefault="00F33674" w:rsidP="00F33674">
            <w:pPr>
              <w:jc w:val="left"/>
              <w:rPr>
                <w:rFonts w:ascii="Arial Narrow" w:hAnsi="Arial Narrow" w:cs="Arial"/>
                <w:sz w:val="20"/>
                <w:szCs w:val="20"/>
              </w:rPr>
            </w:pPr>
            <w:r w:rsidRPr="00F33674">
              <w:rPr>
                <w:rFonts w:ascii="Arial Narrow" w:hAnsi="Arial Narrow" w:cs="Arial"/>
                <w:sz w:val="20"/>
                <w:szCs w:val="20"/>
              </w:rPr>
              <w:t>Pharmaceutical Benefits Scheme</w:t>
            </w:r>
          </w:p>
          <w:p w14:paraId="24FEC745" w14:textId="77777777" w:rsidR="00F33674" w:rsidRPr="00F33674" w:rsidRDefault="00F33674" w:rsidP="00F33674">
            <w:pPr>
              <w:jc w:val="left"/>
              <w:rPr>
                <w:rFonts w:ascii="Arial Narrow" w:hAnsi="Arial Narrow" w:cs="Arial"/>
                <w:sz w:val="20"/>
                <w:szCs w:val="20"/>
              </w:rPr>
            </w:pPr>
            <w:r w:rsidRPr="00F33674">
              <w:rPr>
                <w:rFonts w:ascii="Arial Narrow" w:hAnsi="Arial Narrow" w:cs="Arial"/>
                <w:sz w:val="20"/>
                <w:szCs w:val="20"/>
              </w:rPr>
              <w:t>Reply Paid 9857</w:t>
            </w:r>
          </w:p>
          <w:p w14:paraId="5D2F632D" w14:textId="77777777" w:rsidR="00F33674" w:rsidRPr="00F33674" w:rsidRDefault="00F33674" w:rsidP="00F33674">
            <w:pPr>
              <w:jc w:val="left"/>
              <w:rPr>
                <w:rFonts w:ascii="Arial Narrow" w:hAnsi="Arial Narrow" w:cs="Arial"/>
                <w:sz w:val="20"/>
                <w:szCs w:val="20"/>
              </w:rPr>
            </w:pPr>
            <w:r w:rsidRPr="00F33674">
              <w:rPr>
                <w:rFonts w:ascii="Arial Narrow" w:hAnsi="Arial Narrow" w:cs="Arial"/>
                <w:sz w:val="20"/>
                <w:szCs w:val="20"/>
              </w:rPr>
              <w:t>[Your capital city]</w:t>
            </w:r>
          </w:p>
        </w:tc>
      </w:tr>
      <w:tr w:rsidR="00F33674" w:rsidRPr="00F33674" w14:paraId="74A00F34" w14:textId="77777777" w:rsidTr="00C21DFA">
        <w:trPr>
          <w:cantSplit/>
          <w:trHeight w:val="360"/>
        </w:trPr>
        <w:tc>
          <w:tcPr>
            <w:tcW w:w="3183" w:type="dxa"/>
            <w:tcBorders>
              <w:top w:val="single" w:sz="4" w:space="0" w:color="auto"/>
              <w:left w:val="single" w:sz="4" w:space="0" w:color="auto"/>
              <w:bottom w:val="single" w:sz="4" w:space="0" w:color="auto"/>
              <w:right w:val="single" w:sz="4" w:space="0" w:color="auto"/>
            </w:tcBorders>
          </w:tcPr>
          <w:p w14:paraId="61EA9E1C" w14:textId="77777777" w:rsidR="00F33674" w:rsidRPr="00F33674" w:rsidRDefault="00F33674" w:rsidP="00F33674">
            <w:pPr>
              <w:rPr>
                <w:rFonts w:ascii="Arial Narrow" w:hAnsi="Arial Narrow" w:cs="Arial"/>
                <w:b/>
                <w:sz w:val="20"/>
                <w:szCs w:val="20"/>
              </w:rPr>
            </w:pPr>
            <w:r w:rsidRPr="00F33674">
              <w:rPr>
                <w:rFonts w:ascii="Arial Narrow" w:hAnsi="Arial Narrow" w:cs="Arial"/>
                <w:b/>
                <w:sz w:val="20"/>
                <w:szCs w:val="20"/>
              </w:rPr>
              <w:t>Cautions:</w:t>
            </w:r>
          </w:p>
        </w:tc>
        <w:tc>
          <w:tcPr>
            <w:tcW w:w="6031" w:type="dxa"/>
            <w:tcBorders>
              <w:top w:val="single" w:sz="4" w:space="0" w:color="auto"/>
              <w:left w:val="single" w:sz="4" w:space="0" w:color="auto"/>
              <w:bottom w:val="single" w:sz="4" w:space="0" w:color="auto"/>
              <w:right w:val="single" w:sz="4" w:space="0" w:color="auto"/>
            </w:tcBorders>
          </w:tcPr>
          <w:p w14:paraId="00C0844C" w14:textId="77777777" w:rsidR="00F33674" w:rsidRPr="00F33674" w:rsidRDefault="00F33674" w:rsidP="00F33674">
            <w:pPr>
              <w:jc w:val="left"/>
              <w:rPr>
                <w:rFonts w:ascii="Arial Narrow" w:hAnsi="Arial Narrow" w:cs="Arial"/>
                <w:sz w:val="20"/>
                <w:szCs w:val="20"/>
              </w:rPr>
            </w:pPr>
            <w:r w:rsidRPr="00F33674">
              <w:rPr>
                <w:rFonts w:ascii="Arial Narrow" w:hAnsi="Arial Narrow" w:cs="Arial"/>
                <w:sz w:val="20"/>
                <w:szCs w:val="20"/>
              </w:rPr>
              <w:t>[6986] The risk of drug dependence is high.</w:t>
            </w:r>
          </w:p>
        </w:tc>
      </w:tr>
    </w:tbl>
    <w:p w14:paraId="5991834A" w14:textId="3E669F66" w:rsidR="00744FB8" w:rsidRDefault="00744FB8" w:rsidP="00193259">
      <w:pPr>
        <w:pStyle w:val="3-BodyText"/>
        <w:numPr>
          <w:ilvl w:val="0"/>
          <w:numId w:val="0"/>
        </w:numPr>
        <w:ind w:left="720" w:hanging="720"/>
      </w:pPr>
    </w:p>
    <w:tbl>
      <w:tblPr>
        <w:tblW w:w="9214" w:type="dxa"/>
        <w:tblInd w:w="-5" w:type="dxa"/>
        <w:tblLook w:val="0000" w:firstRow="0" w:lastRow="0" w:firstColumn="0" w:lastColumn="0" w:noHBand="0" w:noVBand="0"/>
      </w:tblPr>
      <w:tblGrid>
        <w:gridCol w:w="3183"/>
        <w:gridCol w:w="6031"/>
      </w:tblGrid>
      <w:tr w:rsidR="00744FB8" w:rsidRPr="00F33674" w14:paraId="2CCE7B55" w14:textId="77777777" w:rsidTr="00C21DFA">
        <w:trPr>
          <w:cantSplit/>
          <w:trHeight w:val="360"/>
        </w:trPr>
        <w:tc>
          <w:tcPr>
            <w:tcW w:w="3183" w:type="dxa"/>
            <w:tcBorders>
              <w:top w:val="single" w:sz="4" w:space="0" w:color="auto"/>
              <w:left w:val="single" w:sz="4" w:space="0" w:color="auto"/>
              <w:bottom w:val="single" w:sz="4" w:space="0" w:color="auto"/>
              <w:right w:val="single" w:sz="4" w:space="0" w:color="auto"/>
            </w:tcBorders>
          </w:tcPr>
          <w:p w14:paraId="057A6795" w14:textId="77777777" w:rsidR="00744FB8" w:rsidRPr="00F33674" w:rsidRDefault="00744FB8" w:rsidP="00265869">
            <w:pPr>
              <w:rPr>
                <w:rFonts w:ascii="Arial Narrow" w:hAnsi="Arial Narrow" w:cs="Arial"/>
                <w:b/>
                <w:sz w:val="20"/>
                <w:szCs w:val="20"/>
              </w:rPr>
            </w:pPr>
            <w:r w:rsidRPr="00F33674">
              <w:rPr>
                <w:rFonts w:ascii="Arial Narrow" w:hAnsi="Arial Narrow" w:cs="Arial"/>
                <w:b/>
                <w:sz w:val="20"/>
                <w:szCs w:val="20"/>
              </w:rPr>
              <w:t>Category / Program:</w:t>
            </w:r>
          </w:p>
        </w:tc>
        <w:tc>
          <w:tcPr>
            <w:tcW w:w="6031" w:type="dxa"/>
            <w:tcBorders>
              <w:top w:val="single" w:sz="4" w:space="0" w:color="auto"/>
              <w:left w:val="single" w:sz="4" w:space="0" w:color="auto"/>
              <w:bottom w:val="single" w:sz="4" w:space="0" w:color="auto"/>
              <w:right w:val="single" w:sz="4" w:space="0" w:color="auto"/>
            </w:tcBorders>
          </w:tcPr>
          <w:p w14:paraId="43E46A4A" w14:textId="77777777" w:rsidR="00744FB8" w:rsidRPr="00F33674" w:rsidRDefault="00744FB8" w:rsidP="00265869">
            <w:pPr>
              <w:rPr>
                <w:rFonts w:ascii="Arial Narrow" w:hAnsi="Arial Narrow" w:cs="Arial"/>
                <w:sz w:val="20"/>
                <w:szCs w:val="20"/>
              </w:rPr>
            </w:pPr>
            <w:r w:rsidRPr="00F33674">
              <w:rPr>
                <w:rFonts w:ascii="Arial Narrow" w:hAnsi="Arial Narrow" w:cs="Arial"/>
                <w:sz w:val="20"/>
                <w:szCs w:val="20"/>
              </w:rPr>
              <w:t>GENERAL – General Schedule (Code GE)</w:t>
            </w:r>
          </w:p>
        </w:tc>
      </w:tr>
      <w:tr w:rsidR="00744FB8" w:rsidRPr="00F33674" w14:paraId="21E0FB64" w14:textId="77777777" w:rsidTr="00C21DFA">
        <w:trPr>
          <w:cantSplit/>
          <w:trHeight w:val="360"/>
        </w:trPr>
        <w:tc>
          <w:tcPr>
            <w:tcW w:w="3183" w:type="dxa"/>
            <w:tcBorders>
              <w:top w:val="single" w:sz="4" w:space="0" w:color="auto"/>
              <w:left w:val="single" w:sz="4" w:space="0" w:color="auto"/>
              <w:bottom w:val="single" w:sz="4" w:space="0" w:color="auto"/>
              <w:right w:val="single" w:sz="4" w:space="0" w:color="auto"/>
            </w:tcBorders>
          </w:tcPr>
          <w:p w14:paraId="085E2A00" w14:textId="77777777" w:rsidR="00744FB8" w:rsidRPr="00F33674" w:rsidRDefault="00744FB8" w:rsidP="00265869">
            <w:pPr>
              <w:rPr>
                <w:rFonts w:ascii="Arial Narrow" w:hAnsi="Arial Narrow" w:cs="Arial"/>
                <w:b/>
                <w:sz w:val="20"/>
                <w:szCs w:val="20"/>
              </w:rPr>
            </w:pPr>
            <w:r w:rsidRPr="00F33674">
              <w:rPr>
                <w:rFonts w:ascii="Arial Narrow" w:hAnsi="Arial Narrow" w:cs="Arial"/>
                <w:b/>
                <w:sz w:val="20"/>
                <w:szCs w:val="20"/>
              </w:rPr>
              <w:t>Prescriber type:</w:t>
            </w:r>
          </w:p>
          <w:p w14:paraId="1F7DE55E" w14:textId="77777777" w:rsidR="00744FB8" w:rsidRPr="00F33674" w:rsidRDefault="00744FB8" w:rsidP="00265869">
            <w:pPr>
              <w:rPr>
                <w:rFonts w:ascii="Arial Narrow" w:hAnsi="Arial Narrow" w:cs="Arial"/>
                <w:b/>
                <w:sz w:val="20"/>
                <w:szCs w:val="20"/>
              </w:rPr>
            </w:pPr>
          </w:p>
        </w:tc>
        <w:tc>
          <w:tcPr>
            <w:tcW w:w="6031" w:type="dxa"/>
            <w:tcBorders>
              <w:top w:val="single" w:sz="4" w:space="0" w:color="auto"/>
              <w:left w:val="single" w:sz="4" w:space="0" w:color="auto"/>
              <w:bottom w:val="single" w:sz="4" w:space="0" w:color="auto"/>
              <w:right w:val="single" w:sz="4" w:space="0" w:color="auto"/>
            </w:tcBorders>
          </w:tcPr>
          <w:p w14:paraId="3BD516CC" w14:textId="77777777" w:rsidR="00744FB8" w:rsidRPr="00F33674" w:rsidRDefault="00744FB8" w:rsidP="00265869">
            <w:pPr>
              <w:rPr>
                <w:rFonts w:ascii="Arial Narrow" w:hAnsi="Arial Narrow" w:cs="Arial"/>
                <w:sz w:val="20"/>
                <w:szCs w:val="20"/>
              </w:rPr>
            </w:pPr>
            <w:r w:rsidRPr="00F33674">
              <w:rPr>
                <w:rFonts w:ascii="Arial Narrow" w:hAnsi="Arial Narrow" w:cs="Arial"/>
                <w:sz w:val="20"/>
                <w:szCs w:val="20"/>
              </w:rPr>
              <w:fldChar w:fldCharType="begin">
                <w:ffData>
                  <w:name w:val="Check1"/>
                  <w:enabled/>
                  <w:calcOnExit w:val="0"/>
                  <w:checkBox>
                    <w:sizeAuto/>
                    <w:default w:val="0"/>
                  </w:checkBox>
                </w:ffData>
              </w:fldChar>
            </w:r>
            <w:r w:rsidRPr="00F33674">
              <w:rPr>
                <w:rFonts w:ascii="Arial Narrow" w:hAnsi="Arial Narrow" w:cs="Arial"/>
                <w:sz w:val="20"/>
                <w:szCs w:val="20"/>
              </w:rPr>
              <w:instrText xml:space="preserve"> FORMCHECKBOX </w:instrText>
            </w:r>
            <w:r w:rsidR="00233D13">
              <w:rPr>
                <w:rFonts w:ascii="Arial Narrow" w:hAnsi="Arial Narrow" w:cs="Arial"/>
                <w:sz w:val="20"/>
                <w:szCs w:val="20"/>
              </w:rPr>
            </w:r>
            <w:r w:rsidR="00233D13">
              <w:rPr>
                <w:rFonts w:ascii="Arial Narrow" w:hAnsi="Arial Narrow" w:cs="Arial"/>
                <w:sz w:val="20"/>
                <w:szCs w:val="20"/>
              </w:rPr>
              <w:fldChar w:fldCharType="separate"/>
            </w:r>
            <w:r w:rsidRPr="00F33674">
              <w:rPr>
                <w:rFonts w:ascii="Arial Narrow" w:hAnsi="Arial Narrow" w:cs="Arial"/>
                <w:sz w:val="20"/>
                <w:szCs w:val="20"/>
              </w:rPr>
              <w:fldChar w:fldCharType="end"/>
            </w:r>
            <w:r w:rsidRPr="00F33674">
              <w:rPr>
                <w:rFonts w:ascii="Arial Narrow" w:hAnsi="Arial Narrow" w:cs="Arial"/>
                <w:sz w:val="20"/>
                <w:szCs w:val="20"/>
              </w:rPr>
              <w:t>Dental</w:t>
            </w:r>
            <w:r>
              <w:rPr>
                <w:rFonts w:ascii="Arial Narrow" w:hAnsi="Arial Narrow" w:cs="Arial"/>
                <w:sz w:val="20"/>
                <w:szCs w:val="20"/>
              </w:rPr>
              <w:t xml:space="preserve"> </w:t>
            </w:r>
            <w:r w:rsidRPr="00F33674">
              <w:rPr>
                <w:rFonts w:ascii="Arial Narrow" w:hAnsi="Arial Narrow" w:cs="Arial"/>
                <w:sz w:val="20"/>
                <w:szCs w:val="20"/>
              </w:rPr>
              <w:fldChar w:fldCharType="begin">
                <w:ffData>
                  <w:name w:val=""/>
                  <w:enabled/>
                  <w:calcOnExit w:val="0"/>
                  <w:checkBox>
                    <w:sizeAuto/>
                    <w:default w:val="1"/>
                  </w:checkBox>
                </w:ffData>
              </w:fldChar>
            </w:r>
            <w:r w:rsidRPr="00F33674">
              <w:rPr>
                <w:rFonts w:ascii="Arial Narrow" w:hAnsi="Arial Narrow" w:cs="Arial"/>
                <w:sz w:val="20"/>
                <w:szCs w:val="20"/>
              </w:rPr>
              <w:instrText xml:space="preserve"> FORMCHECKBOX </w:instrText>
            </w:r>
            <w:r w:rsidR="00233D13">
              <w:rPr>
                <w:rFonts w:ascii="Arial Narrow" w:hAnsi="Arial Narrow" w:cs="Arial"/>
                <w:sz w:val="20"/>
                <w:szCs w:val="20"/>
              </w:rPr>
            </w:r>
            <w:r w:rsidR="00233D13">
              <w:rPr>
                <w:rFonts w:ascii="Arial Narrow" w:hAnsi="Arial Narrow" w:cs="Arial"/>
                <w:sz w:val="20"/>
                <w:szCs w:val="20"/>
              </w:rPr>
              <w:fldChar w:fldCharType="separate"/>
            </w:r>
            <w:r w:rsidRPr="00F33674">
              <w:rPr>
                <w:rFonts w:ascii="Arial Narrow" w:hAnsi="Arial Narrow" w:cs="Arial"/>
                <w:sz w:val="20"/>
                <w:szCs w:val="20"/>
              </w:rPr>
              <w:fldChar w:fldCharType="end"/>
            </w:r>
            <w:r w:rsidRPr="00F33674">
              <w:rPr>
                <w:rFonts w:ascii="Arial Narrow" w:hAnsi="Arial Narrow" w:cs="Arial"/>
                <w:sz w:val="20"/>
                <w:szCs w:val="20"/>
              </w:rPr>
              <w:t>Medical Practitioners</w:t>
            </w:r>
            <w:r>
              <w:rPr>
                <w:rFonts w:ascii="Arial Narrow" w:hAnsi="Arial Narrow" w:cs="Arial"/>
                <w:sz w:val="20"/>
                <w:szCs w:val="20"/>
              </w:rPr>
              <w:t xml:space="preserve"> </w:t>
            </w:r>
            <w:r w:rsidRPr="00F33674">
              <w:rPr>
                <w:rFonts w:ascii="Arial Narrow" w:hAnsi="Arial Narrow" w:cs="Arial"/>
                <w:sz w:val="20"/>
                <w:szCs w:val="20"/>
              </w:rPr>
              <w:fldChar w:fldCharType="begin">
                <w:ffData>
                  <w:name w:val="Check3"/>
                  <w:enabled/>
                  <w:calcOnExit w:val="0"/>
                  <w:checkBox>
                    <w:sizeAuto/>
                    <w:default w:val="1"/>
                  </w:checkBox>
                </w:ffData>
              </w:fldChar>
            </w:r>
            <w:r w:rsidRPr="00F33674">
              <w:rPr>
                <w:rFonts w:ascii="Arial Narrow" w:hAnsi="Arial Narrow" w:cs="Arial"/>
                <w:sz w:val="20"/>
                <w:szCs w:val="20"/>
              </w:rPr>
              <w:instrText xml:space="preserve"> FORMCHECKBOX </w:instrText>
            </w:r>
            <w:r w:rsidR="00233D13">
              <w:rPr>
                <w:rFonts w:ascii="Arial Narrow" w:hAnsi="Arial Narrow" w:cs="Arial"/>
                <w:sz w:val="20"/>
                <w:szCs w:val="20"/>
              </w:rPr>
            </w:r>
            <w:r w:rsidR="00233D13">
              <w:rPr>
                <w:rFonts w:ascii="Arial Narrow" w:hAnsi="Arial Narrow" w:cs="Arial"/>
                <w:sz w:val="20"/>
                <w:szCs w:val="20"/>
              </w:rPr>
              <w:fldChar w:fldCharType="separate"/>
            </w:r>
            <w:r w:rsidRPr="00F33674">
              <w:rPr>
                <w:rFonts w:ascii="Arial Narrow" w:hAnsi="Arial Narrow" w:cs="Arial"/>
                <w:sz w:val="20"/>
                <w:szCs w:val="20"/>
              </w:rPr>
              <w:fldChar w:fldCharType="end"/>
            </w:r>
            <w:r w:rsidRPr="00F33674">
              <w:rPr>
                <w:rFonts w:ascii="Arial Narrow" w:hAnsi="Arial Narrow" w:cs="Arial"/>
                <w:sz w:val="20"/>
                <w:szCs w:val="20"/>
              </w:rPr>
              <w:t>Nurse practitioners</w:t>
            </w:r>
            <w:r>
              <w:rPr>
                <w:rFonts w:ascii="Arial Narrow" w:hAnsi="Arial Narrow" w:cs="Arial"/>
                <w:sz w:val="20"/>
                <w:szCs w:val="20"/>
              </w:rPr>
              <w:t xml:space="preserve"> </w:t>
            </w:r>
            <w:r w:rsidRPr="00F33674">
              <w:rPr>
                <w:rFonts w:ascii="Arial Narrow" w:hAnsi="Arial Narrow" w:cs="Arial"/>
                <w:sz w:val="20"/>
                <w:szCs w:val="20"/>
              </w:rPr>
              <w:fldChar w:fldCharType="begin">
                <w:ffData>
                  <w:name w:val=""/>
                  <w:enabled/>
                  <w:calcOnExit w:val="0"/>
                  <w:checkBox>
                    <w:sizeAuto/>
                    <w:default w:val="0"/>
                  </w:checkBox>
                </w:ffData>
              </w:fldChar>
            </w:r>
            <w:r w:rsidRPr="00F33674">
              <w:rPr>
                <w:rFonts w:ascii="Arial Narrow" w:hAnsi="Arial Narrow" w:cs="Arial"/>
                <w:sz w:val="20"/>
                <w:szCs w:val="20"/>
              </w:rPr>
              <w:instrText xml:space="preserve"> FORMCHECKBOX </w:instrText>
            </w:r>
            <w:r w:rsidR="00233D13">
              <w:rPr>
                <w:rFonts w:ascii="Arial Narrow" w:hAnsi="Arial Narrow" w:cs="Arial"/>
                <w:sz w:val="20"/>
                <w:szCs w:val="20"/>
              </w:rPr>
            </w:r>
            <w:r w:rsidR="00233D13">
              <w:rPr>
                <w:rFonts w:ascii="Arial Narrow" w:hAnsi="Arial Narrow" w:cs="Arial"/>
                <w:sz w:val="20"/>
                <w:szCs w:val="20"/>
              </w:rPr>
              <w:fldChar w:fldCharType="separate"/>
            </w:r>
            <w:r w:rsidRPr="00F33674">
              <w:rPr>
                <w:rFonts w:ascii="Arial Narrow" w:hAnsi="Arial Narrow" w:cs="Arial"/>
                <w:sz w:val="20"/>
                <w:szCs w:val="20"/>
              </w:rPr>
              <w:fldChar w:fldCharType="end"/>
            </w:r>
            <w:r w:rsidRPr="00F33674">
              <w:rPr>
                <w:rFonts w:ascii="Arial Narrow" w:hAnsi="Arial Narrow" w:cs="Arial"/>
                <w:sz w:val="20"/>
                <w:szCs w:val="20"/>
              </w:rPr>
              <w:t>Optometrists</w:t>
            </w:r>
          </w:p>
          <w:p w14:paraId="78D86D2B" w14:textId="77777777" w:rsidR="00744FB8" w:rsidRPr="00F33674" w:rsidRDefault="00744FB8" w:rsidP="00265869">
            <w:pPr>
              <w:rPr>
                <w:rFonts w:ascii="Arial Narrow" w:hAnsi="Arial Narrow" w:cs="Arial"/>
                <w:sz w:val="20"/>
                <w:szCs w:val="20"/>
              </w:rPr>
            </w:pPr>
            <w:r w:rsidRPr="00F33674">
              <w:rPr>
                <w:rFonts w:ascii="Arial Narrow" w:hAnsi="Arial Narrow" w:cs="Arial"/>
                <w:sz w:val="20"/>
                <w:szCs w:val="20"/>
              </w:rPr>
              <w:fldChar w:fldCharType="begin">
                <w:ffData>
                  <w:name w:val="Check5"/>
                  <w:enabled/>
                  <w:calcOnExit w:val="0"/>
                  <w:checkBox>
                    <w:sizeAuto/>
                    <w:default w:val="0"/>
                  </w:checkBox>
                </w:ffData>
              </w:fldChar>
            </w:r>
            <w:r w:rsidRPr="00F33674">
              <w:rPr>
                <w:rFonts w:ascii="Arial Narrow" w:hAnsi="Arial Narrow" w:cs="Arial"/>
                <w:sz w:val="20"/>
                <w:szCs w:val="20"/>
              </w:rPr>
              <w:instrText xml:space="preserve"> FORMCHECKBOX </w:instrText>
            </w:r>
            <w:r w:rsidR="00233D13">
              <w:rPr>
                <w:rFonts w:ascii="Arial Narrow" w:hAnsi="Arial Narrow" w:cs="Arial"/>
                <w:sz w:val="20"/>
                <w:szCs w:val="20"/>
              </w:rPr>
            </w:r>
            <w:r w:rsidR="00233D13">
              <w:rPr>
                <w:rFonts w:ascii="Arial Narrow" w:hAnsi="Arial Narrow" w:cs="Arial"/>
                <w:sz w:val="20"/>
                <w:szCs w:val="20"/>
              </w:rPr>
              <w:fldChar w:fldCharType="separate"/>
            </w:r>
            <w:r w:rsidRPr="00F33674">
              <w:rPr>
                <w:rFonts w:ascii="Arial Narrow" w:hAnsi="Arial Narrow" w:cs="Arial"/>
                <w:sz w:val="20"/>
                <w:szCs w:val="20"/>
              </w:rPr>
              <w:fldChar w:fldCharType="end"/>
            </w:r>
            <w:r w:rsidRPr="00F33674">
              <w:rPr>
                <w:rFonts w:ascii="Arial Narrow" w:hAnsi="Arial Narrow" w:cs="Arial"/>
                <w:sz w:val="20"/>
                <w:szCs w:val="20"/>
              </w:rPr>
              <w:t>Midwives</w:t>
            </w:r>
          </w:p>
        </w:tc>
      </w:tr>
      <w:tr w:rsidR="00744FB8" w:rsidRPr="00F33674" w14:paraId="66CE29D7" w14:textId="77777777" w:rsidTr="00C21DFA">
        <w:trPr>
          <w:cantSplit/>
          <w:trHeight w:val="369"/>
        </w:trPr>
        <w:tc>
          <w:tcPr>
            <w:tcW w:w="3183" w:type="dxa"/>
            <w:tcBorders>
              <w:top w:val="single" w:sz="4" w:space="0" w:color="auto"/>
              <w:left w:val="single" w:sz="4" w:space="0" w:color="auto"/>
              <w:bottom w:val="single" w:sz="4" w:space="0" w:color="auto"/>
              <w:right w:val="single" w:sz="4" w:space="0" w:color="auto"/>
            </w:tcBorders>
          </w:tcPr>
          <w:p w14:paraId="4F18ED0A" w14:textId="77777777" w:rsidR="00744FB8" w:rsidRPr="00F33674" w:rsidRDefault="00744FB8" w:rsidP="00265869">
            <w:pPr>
              <w:rPr>
                <w:rFonts w:ascii="Arial Narrow" w:hAnsi="Arial Narrow" w:cs="Arial"/>
                <w:b/>
                <w:sz w:val="20"/>
                <w:szCs w:val="20"/>
              </w:rPr>
            </w:pPr>
            <w:r w:rsidRPr="00F33674">
              <w:rPr>
                <w:rFonts w:ascii="Arial Narrow" w:hAnsi="Arial Narrow" w:cs="Arial"/>
                <w:b/>
                <w:sz w:val="20"/>
                <w:szCs w:val="20"/>
              </w:rPr>
              <w:t>PBS indication:</w:t>
            </w:r>
          </w:p>
        </w:tc>
        <w:tc>
          <w:tcPr>
            <w:tcW w:w="6031" w:type="dxa"/>
            <w:tcBorders>
              <w:top w:val="single" w:sz="4" w:space="0" w:color="auto"/>
              <w:left w:val="single" w:sz="4" w:space="0" w:color="auto"/>
              <w:bottom w:val="single" w:sz="4" w:space="0" w:color="auto"/>
              <w:right w:val="single" w:sz="4" w:space="0" w:color="auto"/>
            </w:tcBorders>
          </w:tcPr>
          <w:p w14:paraId="0A4A7DF1" w14:textId="77777777" w:rsidR="00744FB8" w:rsidRPr="00F33674" w:rsidRDefault="00744FB8" w:rsidP="00265869">
            <w:pPr>
              <w:rPr>
                <w:rFonts w:ascii="Arial Narrow" w:hAnsi="Arial Narrow" w:cs="Arial"/>
                <w:sz w:val="20"/>
                <w:szCs w:val="20"/>
              </w:rPr>
            </w:pPr>
            <w:r w:rsidRPr="00F33674">
              <w:rPr>
                <w:rFonts w:ascii="Arial Narrow" w:hAnsi="Arial Narrow" w:cs="Arial"/>
                <w:sz w:val="20"/>
                <w:szCs w:val="20"/>
              </w:rPr>
              <w:t>[9729] Chronic severe disabling pain</w:t>
            </w:r>
          </w:p>
        </w:tc>
      </w:tr>
      <w:tr w:rsidR="00744FB8" w:rsidRPr="00F33674" w14:paraId="2A22A362" w14:textId="77777777" w:rsidTr="00C21DFA">
        <w:trPr>
          <w:cantSplit/>
          <w:trHeight w:val="360"/>
        </w:trPr>
        <w:tc>
          <w:tcPr>
            <w:tcW w:w="3183" w:type="dxa"/>
            <w:tcBorders>
              <w:top w:val="single" w:sz="4" w:space="0" w:color="auto"/>
              <w:left w:val="single" w:sz="4" w:space="0" w:color="auto"/>
              <w:bottom w:val="single" w:sz="4" w:space="0" w:color="auto"/>
              <w:right w:val="single" w:sz="4" w:space="0" w:color="auto"/>
            </w:tcBorders>
          </w:tcPr>
          <w:p w14:paraId="0E280C27" w14:textId="77777777" w:rsidR="00744FB8" w:rsidRPr="00F33674" w:rsidRDefault="00744FB8" w:rsidP="00265869">
            <w:pPr>
              <w:rPr>
                <w:rFonts w:ascii="Arial Narrow" w:hAnsi="Arial Narrow" w:cs="Arial"/>
                <w:b/>
                <w:sz w:val="20"/>
                <w:szCs w:val="20"/>
              </w:rPr>
            </w:pPr>
            <w:r w:rsidRPr="00F33674">
              <w:rPr>
                <w:rFonts w:ascii="Arial Narrow" w:hAnsi="Arial Narrow" w:cs="Arial"/>
                <w:b/>
                <w:sz w:val="20"/>
                <w:szCs w:val="20"/>
              </w:rPr>
              <w:t>Restriction Level / Method:</w:t>
            </w:r>
          </w:p>
          <w:p w14:paraId="3166EEFD" w14:textId="77777777" w:rsidR="00744FB8" w:rsidRPr="00F33674" w:rsidRDefault="00744FB8" w:rsidP="00265869">
            <w:pPr>
              <w:rPr>
                <w:rFonts w:ascii="Arial Narrow" w:hAnsi="Arial Narrow" w:cs="Arial"/>
                <w:i/>
                <w:sz w:val="20"/>
                <w:szCs w:val="20"/>
              </w:rPr>
            </w:pPr>
          </w:p>
          <w:p w14:paraId="54EB29F0" w14:textId="77777777" w:rsidR="00744FB8" w:rsidRPr="00F33674" w:rsidRDefault="00744FB8" w:rsidP="00265869">
            <w:pPr>
              <w:rPr>
                <w:rFonts w:ascii="Arial Narrow" w:hAnsi="Arial Narrow" w:cs="Arial"/>
                <w:i/>
                <w:sz w:val="20"/>
                <w:szCs w:val="20"/>
              </w:rPr>
            </w:pPr>
          </w:p>
          <w:p w14:paraId="5CB4C7B5" w14:textId="77777777" w:rsidR="00744FB8" w:rsidRPr="00F33674" w:rsidRDefault="00744FB8" w:rsidP="00265869">
            <w:pPr>
              <w:rPr>
                <w:rFonts w:ascii="Arial Narrow" w:hAnsi="Arial Narrow" w:cs="Arial"/>
                <w:i/>
                <w:sz w:val="20"/>
                <w:szCs w:val="20"/>
              </w:rPr>
            </w:pPr>
          </w:p>
        </w:tc>
        <w:tc>
          <w:tcPr>
            <w:tcW w:w="6031" w:type="dxa"/>
            <w:tcBorders>
              <w:top w:val="single" w:sz="4" w:space="0" w:color="auto"/>
              <w:left w:val="single" w:sz="4" w:space="0" w:color="auto"/>
              <w:bottom w:val="single" w:sz="4" w:space="0" w:color="auto"/>
              <w:right w:val="single" w:sz="4" w:space="0" w:color="auto"/>
            </w:tcBorders>
          </w:tcPr>
          <w:p w14:paraId="1E5E5DB2" w14:textId="77777777" w:rsidR="00744FB8" w:rsidRPr="00F33674" w:rsidRDefault="00744FB8" w:rsidP="00265869">
            <w:pPr>
              <w:rPr>
                <w:rFonts w:ascii="Arial Narrow" w:hAnsi="Arial Narrow" w:cs="Arial"/>
                <w:sz w:val="20"/>
                <w:szCs w:val="20"/>
              </w:rPr>
            </w:pPr>
            <w:r w:rsidRPr="00F33674">
              <w:rPr>
                <w:rFonts w:ascii="Arial Narrow" w:hAnsi="Arial Narrow" w:cs="Arial"/>
                <w:sz w:val="20"/>
                <w:szCs w:val="20"/>
              </w:rPr>
              <w:fldChar w:fldCharType="begin">
                <w:ffData>
                  <w:name w:val=""/>
                  <w:enabled/>
                  <w:calcOnExit w:val="0"/>
                  <w:checkBox>
                    <w:sizeAuto/>
                    <w:default w:val="0"/>
                  </w:checkBox>
                </w:ffData>
              </w:fldChar>
            </w:r>
            <w:r w:rsidRPr="00F33674">
              <w:rPr>
                <w:rFonts w:ascii="Arial Narrow" w:hAnsi="Arial Narrow" w:cs="Arial"/>
                <w:sz w:val="20"/>
                <w:szCs w:val="20"/>
              </w:rPr>
              <w:instrText xml:space="preserve"> FORMCHECKBOX </w:instrText>
            </w:r>
            <w:r w:rsidR="00233D13">
              <w:rPr>
                <w:rFonts w:ascii="Arial Narrow" w:hAnsi="Arial Narrow" w:cs="Arial"/>
                <w:sz w:val="20"/>
                <w:szCs w:val="20"/>
              </w:rPr>
            </w:r>
            <w:r w:rsidR="00233D13">
              <w:rPr>
                <w:rFonts w:ascii="Arial Narrow" w:hAnsi="Arial Narrow" w:cs="Arial"/>
                <w:sz w:val="20"/>
                <w:szCs w:val="20"/>
              </w:rPr>
              <w:fldChar w:fldCharType="separate"/>
            </w:r>
            <w:r w:rsidRPr="00F33674">
              <w:rPr>
                <w:rFonts w:ascii="Arial Narrow" w:hAnsi="Arial Narrow" w:cs="Arial"/>
                <w:sz w:val="20"/>
                <w:szCs w:val="20"/>
              </w:rPr>
              <w:fldChar w:fldCharType="end"/>
            </w:r>
            <w:r w:rsidRPr="00F33674">
              <w:rPr>
                <w:rFonts w:ascii="Arial Narrow" w:hAnsi="Arial Narrow" w:cs="Arial"/>
                <w:sz w:val="20"/>
                <w:szCs w:val="20"/>
              </w:rPr>
              <w:t>Unrestricted benefit</w:t>
            </w:r>
          </w:p>
          <w:p w14:paraId="253D4192" w14:textId="77777777" w:rsidR="00744FB8" w:rsidRPr="00F33674" w:rsidRDefault="00744FB8" w:rsidP="00265869">
            <w:pPr>
              <w:rPr>
                <w:rFonts w:ascii="Arial Narrow" w:hAnsi="Arial Narrow" w:cs="Arial"/>
                <w:i/>
                <w:sz w:val="20"/>
                <w:szCs w:val="20"/>
              </w:rPr>
            </w:pPr>
            <w:r w:rsidRPr="00F33674">
              <w:rPr>
                <w:rFonts w:ascii="Arial Narrow" w:hAnsi="Arial Narrow" w:cs="Arial"/>
                <w:i/>
                <w:sz w:val="20"/>
                <w:szCs w:val="20"/>
              </w:rPr>
              <w:fldChar w:fldCharType="begin">
                <w:ffData>
                  <w:name w:val=""/>
                  <w:enabled/>
                  <w:calcOnExit w:val="0"/>
                  <w:checkBox>
                    <w:sizeAuto/>
                    <w:default w:val="0"/>
                  </w:checkBox>
                </w:ffData>
              </w:fldChar>
            </w:r>
            <w:r w:rsidRPr="00F33674">
              <w:rPr>
                <w:rFonts w:ascii="Arial Narrow" w:hAnsi="Arial Narrow" w:cs="Arial"/>
                <w:i/>
                <w:sz w:val="20"/>
                <w:szCs w:val="20"/>
              </w:rPr>
              <w:instrText xml:space="preserve"> FORMCHECKBOX </w:instrText>
            </w:r>
            <w:r w:rsidR="00233D13">
              <w:rPr>
                <w:rFonts w:ascii="Arial Narrow" w:hAnsi="Arial Narrow" w:cs="Arial"/>
                <w:i/>
                <w:sz w:val="20"/>
                <w:szCs w:val="20"/>
              </w:rPr>
            </w:r>
            <w:r w:rsidR="00233D13">
              <w:rPr>
                <w:rFonts w:ascii="Arial Narrow" w:hAnsi="Arial Narrow" w:cs="Arial"/>
                <w:i/>
                <w:sz w:val="20"/>
                <w:szCs w:val="20"/>
              </w:rPr>
              <w:fldChar w:fldCharType="separate"/>
            </w:r>
            <w:r w:rsidRPr="00F33674">
              <w:rPr>
                <w:rFonts w:ascii="Arial Narrow" w:hAnsi="Arial Narrow" w:cs="Arial"/>
                <w:i/>
                <w:sz w:val="20"/>
                <w:szCs w:val="20"/>
              </w:rPr>
              <w:fldChar w:fldCharType="end"/>
            </w:r>
            <w:r w:rsidRPr="00F33674">
              <w:rPr>
                <w:rFonts w:ascii="Arial Narrow" w:hAnsi="Arial Narrow" w:cs="Arial"/>
                <w:sz w:val="20"/>
                <w:szCs w:val="20"/>
              </w:rPr>
              <w:t>Restricted benefit</w:t>
            </w:r>
          </w:p>
          <w:p w14:paraId="3A093197" w14:textId="77777777" w:rsidR="00744FB8" w:rsidRPr="00F33674" w:rsidRDefault="00744FB8" w:rsidP="00265869">
            <w:pPr>
              <w:rPr>
                <w:rFonts w:ascii="Arial Narrow" w:hAnsi="Arial Narrow" w:cs="Arial"/>
                <w:sz w:val="20"/>
                <w:szCs w:val="20"/>
              </w:rPr>
            </w:pPr>
            <w:r w:rsidRPr="00F33674">
              <w:rPr>
                <w:rFonts w:ascii="Arial Narrow" w:hAnsi="Arial Narrow" w:cs="Arial"/>
                <w:sz w:val="20"/>
                <w:szCs w:val="20"/>
              </w:rPr>
              <w:fldChar w:fldCharType="begin">
                <w:ffData>
                  <w:name w:val=""/>
                  <w:enabled/>
                  <w:calcOnExit w:val="0"/>
                  <w:checkBox>
                    <w:sizeAuto/>
                    <w:default w:val="0"/>
                  </w:checkBox>
                </w:ffData>
              </w:fldChar>
            </w:r>
            <w:r w:rsidRPr="00F33674">
              <w:rPr>
                <w:rFonts w:ascii="Arial Narrow" w:hAnsi="Arial Narrow" w:cs="Arial"/>
                <w:sz w:val="20"/>
                <w:szCs w:val="20"/>
              </w:rPr>
              <w:instrText xml:space="preserve"> FORMCHECKBOX </w:instrText>
            </w:r>
            <w:r w:rsidR="00233D13">
              <w:rPr>
                <w:rFonts w:ascii="Arial Narrow" w:hAnsi="Arial Narrow" w:cs="Arial"/>
                <w:sz w:val="20"/>
                <w:szCs w:val="20"/>
              </w:rPr>
            </w:r>
            <w:r w:rsidR="00233D13">
              <w:rPr>
                <w:rFonts w:ascii="Arial Narrow" w:hAnsi="Arial Narrow" w:cs="Arial"/>
                <w:sz w:val="20"/>
                <w:szCs w:val="20"/>
              </w:rPr>
              <w:fldChar w:fldCharType="separate"/>
            </w:r>
            <w:r w:rsidRPr="00F33674">
              <w:rPr>
                <w:rFonts w:ascii="Arial Narrow" w:hAnsi="Arial Narrow" w:cs="Arial"/>
                <w:sz w:val="20"/>
                <w:szCs w:val="20"/>
              </w:rPr>
              <w:fldChar w:fldCharType="end"/>
            </w:r>
            <w:r w:rsidRPr="00F33674">
              <w:rPr>
                <w:rFonts w:ascii="Arial Narrow" w:hAnsi="Arial Narrow" w:cs="Arial"/>
                <w:sz w:val="20"/>
                <w:szCs w:val="20"/>
              </w:rPr>
              <w:t>Authority Required – In Writing</w:t>
            </w:r>
          </w:p>
          <w:p w14:paraId="0DC04680" w14:textId="77777777" w:rsidR="00744FB8" w:rsidRPr="00F33674" w:rsidRDefault="00744FB8" w:rsidP="00265869">
            <w:pPr>
              <w:rPr>
                <w:rFonts w:ascii="Arial Narrow" w:hAnsi="Arial Narrow" w:cs="Arial"/>
                <w:sz w:val="20"/>
                <w:szCs w:val="20"/>
              </w:rPr>
            </w:pPr>
            <w:r w:rsidRPr="00F33674">
              <w:rPr>
                <w:rFonts w:ascii="Arial Narrow" w:hAnsi="Arial Narrow" w:cs="Arial"/>
                <w:sz w:val="20"/>
                <w:szCs w:val="20"/>
              </w:rPr>
              <w:fldChar w:fldCharType="begin">
                <w:ffData>
                  <w:name w:val="Check3"/>
                  <w:enabled/>
                  <w:calcOnExit w:val="0"/>
                  <w:checkBox>
                    <w:sizeAuto/>
                    <w:default w:val="0"/>
                  </w:checkBox>
                </w:ffData>
              </w:fldChar>
            </w:r>
            <w:r w:rsidRPr="00F33674">
              <w:rPr>
                <w:rFonts w:ascii="Arial Narrow" w:hAnsi="Arial Narrow" w:cs="Arial"/>
                <w:sz w:val="20"/>
                <w:szCs w:val="20"/>
              </w:rPr>
              <w:instrText xml:space="preserve"> FORMCHECKBOX </w:instrText>
            </w:r>
            <w:r w:rsidR="00233D13">
              <w:rPr>
                <w:rFonts w:ascii="Arial Narrow" w:hAnsi="Arial Narrow" w:cs="Arial"/>
                <w:sz w:val="20"/>
                <w:szCs w:val="20"/>
              </w:rPr>
            </w:r>
            <w:r w:rsidR="00233D13">
              <w:rPr>
                <w:rFonts w:ascii="Arial Narrow" w:hAnsi="Arial Narrow" w:cs="Arial"/>
                <w:sz w:val="20"/>
                <w:szCs w:val="20"/>
              </w:rPr>
              <w:fldChar w:fldCharType="separate"/>
            </w:r>
            <w:r w:rsidRPr="00F33674">
              <w:rPr>
                <w:rFonts w:ascii="Arial Narrow" w:hAnsi="Arial Narrow" w:cs="Arial"/>
                <w:sz w:val="20"/>
                <w:szCs w:val="20"/>
              </w:rPr>
              <w:fldChar w:fldCharType="end"/>
            </w:r>
            <w:r w:rsidRPr="00F33674">
              <w:rPr>
                <w:rFonts w:ascii="Arial Narrow" w:hAnsi="Arial Narrow" w:cs="Arial"/>
                <w:sz w:val="20"/>
                <w:szCs w:val="20"/>
              </w:rPr>
              <w:t>Authority Required – Telephone/Electronic/Emergency</w:t>
            </w:r>
          </w:p>
          <w:p w14:paraId="245D4B68" w14:textId="77777777" w:rsidR="00744FB8" w:rsidRPr="00F33674" w:rsidRDefault="00744FB8" w:rsidP="00265869">
            <w:pPr>
              <w:rPr>
                <w:rFonts w:ascii="Arial Narrow" w:hAnsi="Arial Narrow" w:cs="Arial"/>
                <w:sz w:val="20"/>
                <w:szCs w:val="20"/>
              </w:rPr>
            </w:pPr>
            <w:r w:rsidRPr="00F33674">
              <w:rPr>
                <w:rFonts w:ascii="Arial Narrow" w:hAnsi="Arial Narrow" w:cs="Arial"/>
                <w:sz w:val="20"/>
                <w:szCs w:val="20"/>
              </w:rPr>
              <w:fldChar w:fldCharType="begin">
                <w:ffData>
                  <w:name w:val="Check5"/>
                  <w:enabled/>
                  <w:calcOnExit w:val="0"/>
                  <w:checkBox>
                    <w:sizeAuto/>
                    <w:default w:val="1"/>
                  </w:checkBox>
                </w:ffData>
              </w:fldChar>
            </w:r>
            <w:r w:rsidRPr="00F33674">
              <w:rPr>
                <w:rFonts w:ascii="Arial Narrow" w:hAnsi="Arial Narrow" w:cs="Arial"/>
                <w:sz w:val="20"/>
                <w:szCs w:val="20"/>
              </w:rPr>
              <w:instrText xml:space="preserve"> FORMCHECKBOX </w:instrText>
            </w:r>
            <w:r w:rsidR="00233D13">
              <w:rPr>
                <w:rFonts w:ascii="Arial Narrow" w:hAnsi="Arial Narrow" w:cs="Arial"/>
                <w:sz w:val="20"/>
                <w:szCs w:val="20"/>
              </w:rPr>
            </w:r>
            <w:r w:rsidR="00233D13">
              <w:rPr>
                <w:rFonts w:ascii="Arial Narrow" w:hAnsi="Arial Narrow" w:cs="Arial"/>
                <w:sz w:val="20"/>
                <w:szCs w:val="20"/>
              </w:rPr>
              <w:fldChar w:fldCharType="separate"/>
            </w:r>
            <w:r w:rsidRPr="00F33674">
              <w:rPr>
                <w:rFonts w:ascii="Arial Narrow" w:hAnsi="Arial Narrow" w:cs="Arial"/>
                <w:sz w:val="20"/>
                <w:szCs w:val="20"/>
              </w:rPr>
              <w:fldChar w:fldCharType="end"/>
            </w:r>
            <w:r w:rsidRPr="00F33674">
              <w:rPr>
                <w:rFonts w:ascii="Arial Narrow" w:hAnsi="Arial Narrow" w:cs="Arial"/>
                <w:sz w:val="20"/>
                <w:szCs w:val="20"/>
              </w:rPr>
              <w:t>Streamlined</w:t>
            </w:r>
          </w:p>
        </w:tc>
      </w:tr>
      <w:tr w:rsidR="00744FB8" w:rsidRPr="00F33674" w14:paraId="339CDE4B" w14:textId="77777777" w:rsidTr="00C21DFA">
        <w:trPr>
          <w:cantSplit/>
          <w:trHeight w:val="360"/>
        </w:trPr>
        <w:tc>
          <w:tcPr>
            <w:tcW w:w="3183" w:type="dxa"/>
            <w:tcBorders>
              <w:top w:val="single" w:sz="4" w:space="0" w:color="auto"/>
              <w:left w:val="single" w:sz="4" w:space="0" w:color="auto"/>
              <w:bottom w:val="single" w:sz="4" w:space="0" w:color="auto"/>
              <w:right w:val="single" w:sz="4" w:space="0" w:color="auto"/>
            </w:tcBorders>
          </w:tcPr>
          <w:p w14:paraId="0DE2AED6" w14:textId="77777777" w:rsidR="00744FB8" w:rsidRPr="00F33674" w:rsidRDefault="00744FB8" w:rsidP="00265869">
            <w:pPr>
              <w:rPr>
                <w:rFonts w:ascii="Arial Narrow" w:hAnsi="Arial Narrow" w:cs="Arial"/>
                <w:b/>
                <w:sz w:val="20"/>
                <w:szCs w:val="20"/>
              </w:rPr>
            </w:pPr>
            <w:r>
              <w:rPr>
                <w:rFonts w:ascii="Arial Narrow" w:hAnsi="Arial Narrow" w:cs="Arial"/>
                <w:b/>
                <w:sz w:val="20"/>
                <w:szCs w:val="20"/>
              </w:rPr>
              <w:t>Treatment phase:</w:t>
            </w:r>
          </w:p>
        </w:tc>
        <w:tc>
          <w:tcPr>
            <w:tcW w:w="6031" w:type="dxa"/>
            <w:tcBorders>
              <w:top w:val="single" w:sz="4" w:space="0" w:color="auto"/>
              <w:left w:val="single" w:sz="4" w:space="0" w:color="auto"/>
              <w:bottom w:val="single" w:sz="4" w:space="0" w:color="auto"/>
              <w:right w:val="single" w:sz="4" w:space="0" w:color="auto"/>
            </w:tcBorders>
          </w:tcPr>
          <w:p w14:paraId="4C59FF1D" w14:textId="77777777" w:rsidR="00744FB8" w:rsidRPr="00F33674" w:rsidRDefault="00744FB8" w:rsidP="00265869">
            <w:pPr>
              <w:jc w:val="left"/>
              <w:rPr>
                <w:rFonts w:ascii="Arial Narrow" w:hAnsi="Arial Narrow" w:cs="Arial"/>
                <w:sz w:val="20"/>
                <w:szCs w:val="20"/>
              </w:rPr>
            </w:pPr>
            <w:r w:rsidRPr="004811F3">
              <w:rPr>
                <w:rFonts w:ascii="Arial Narrow" w:hAnsi="Arial Narrow" w:cs="Arial"/>
                <w:sz w:val="20"/>
                <w:szCs w:val="20"/>
              </w:rPr>
              <w:t xml:space="preserve">Initial PBS treatment after 1 June 2020 where patient </w:t>
            </w:r>
            <w:proofErr w:type="gramStart"/>
            <w:r w:rsidRPr="004811F3">
              <w:rPr>
                <w:rFonts w:ascii="Arial Narrow" w:hAnsi="Arial Narrow" w:cs="Arial"/>
                <w:sz w:val="20"/>
                <w:szCs w:val="20"/>
              </w:rPr>
              <w:t>has been treated</w:t>
            </w:r>
            <w:proofErr w:type="gramEnd"/>
            <w:r w:rsidRPr="004811F3">
              <w:rPr>
                <w:rFonts w:ascii="Arial Narrow" w:hAnsi="Arial Narrow" w:cs="Arial"/>
                <w:sz w:val="20"/>
                <w:szCs w:val="20"/>
              </w:rPr>
              <w:t xml:space="preserve"> with opioids for </w:t>
            </w:r>
            <w:r>
              <w:rPr>
                <w:rFonts w:ascii="Arial Narrow" w:hAnsi="Arial Narrow" w:cs="Arial"/>
                <w:sz w:val="20"/>
                <w:szCs w:val="20"/>
              </w:rPr>
              <w:t>more</w:t>
            </w:r>
            <w:r w:rsidRPr="004811F3">
              <w:rPr>
                <w:rFonts w:ascii="Arial Narrow" w:hAnsi="Arial Narrow" w:cs="Arial"/>
                <w:sz w:val="20"/>
                <w:szCs w:val="20"/>
              </w:rPr>
              <w:t xml:space="preserve"> than 12 months</w:t>
            </w:r>
            <w:r>
              <w:rPr>
                <w:rFonts w:ascii="Arial Narrow" w:hAnsi="Arial Narrow" w:cs="Arial"/>
                <w:sz w:val="20"/>
                <w:szCs w:val="20"/>
              </w:rPr>
              <w:t>.</w:t>
            </w:r>
          </w:p>
        </w:tc>
      </w:tr>
      <w:tr w:rsidR="00744FB8" w:rsidRPr="00F33674" w14:paraId="3A850A3F" w14:textId="77777777" w:rsidTr="00C21DFA">
        <w:trPr>
          <w:cantSplit/>
          <w:trHeight w:val="360"/>
        </w:trPr>
        <w:tc>
          <w:tcPr>
            <w:tcW w:w="3183" w:type="dxa"/>
            <w:tcBorders>
              <w:top w:val="single" w:sz="4" w:space="0" w:color="auto"/>
              <w:left w:val="single" w:sz="4" w:space="0" w:color="auto"/>
              <w:bottom w:val="single" w:sz="4" w:space="0" w:color="auto"/>
              <w:right w:val="single" w:sz="4" w:space="0" w:color="auto"/>
            </w:tcBorders>
          </w:tcPr>
          <w:p w14:paraId="2408A629" w14:textId="77777777" w:rsidR="00744FB8" w:rsidRPr="00F33674" w:rsidRDefault="00744FB8" w:rsidP="00265869">
            <w:pPr>
              <w:rPr>
                <w:rFonts w:ascii="Arial Narrow" w:hAnsi="Arial Narrow" w:cs="Arial"/>
                <w:b/>
                <w:sz w:val="20"/>
                <w:szCs w:val="20"/>
              </w:rPr>
            </w:pPr>
            <w:r w:rsidRPr="00F33674">
              <w:rPr>
                <w:rFonts w:ascii="Arial Narrow" w:hAnsi="Arial Narrow" w:cs="Arial"/>
                <w:b/>
                <w:sz w:val="20"/>
                <w:szCs w:val="20"/>
              </w:rPr>
              <w:lastRenderedPageBreak/>
              <w:t>Clinical criteria:</w:t>
            </w:r>
          </w:p>
        </w:tc>
        <w:tc>
          <w:tcPr>
            <w:tcW w:w="6031" w:type="dxa"/>
            <w:tcBorders>
              <w:top w:val="single" w:sz="4" w:space="0" w:color="auto"/>
              <w:left w:val="single" w:sz="4" w:space="0" w:color="auto"/>
              <w:bottom w:val="single" w:sz="4" w:space="0" w:color="auto"/>
              <w:right w:val="single" w:sz="4" w:space="0" w:color="auto"/>
            </w:tcBorders>
          </w:tcPr>
          <w:p w14:paraId="7ADB2E3C" w14:textId="77777777" w:rsidR="00744FB8" w:rsidRPr="00F33674" w:rsidRDefault="00744FB8" w:rsidP="00265869">
            <w:pPr>
              <w:jc w:val="left"/>
              <w:rPr>
                <w:rFonts w:ascii="Arial Narrow" w:hAnsi="Arial Narrow" w:cs="Arial"/>
                <w:sz w:val="20"/>
                <w:szCs w:val="20"/>
              </w:rPr>
            </w:pPr>
            <w:r w:rsidRPr="00F33674">
              <w:rPr>
                <w:rFonts w:ascii="Arial Narrow" w:hAnsi="Arial Narrow" w:cs="Arial"/>
                <w:sz w:val="20"/>
                <w:szCs w:val="20"/>
              </w:rPr>
              <w:t>[new] The condition must require daily, continuous, long term treatment</w:t>
            </w:r>
          </w:p>
          <w:p w14:paraId="4589AE9B" w14:textId="77777777" w:rsidR="00744FB8" w:rsidRPr="00F33674" w:rsidRDefault="00744FB8" w:rsidP="00265869">
            <w:pPr>
              <w:jc w:val="left"/>
              <w:rPr>
                <w:rFonts w:ascii="Arial Narrow" w:hAnsi="Arial Narrow" w:cs="Arial"/>
                <w:sz w:val="20"/>
                <w:szCs w:val="20"/>
              </w:rPr>
            </w:pPr>
          </w:p>
          <w:p w14:paraId="4DFC3F0F" w14:textId="77777777" w:rsidR="00744FB8" w:rsidRPr="00F33674" w:rsidRDefault="00744FB8" w:rsidP="00265869">
            <w:pPr>
              <w:jc w:val="left"/>
              <w:rPr>
                <w:rFonts w:ascii="Arial Narrow" w:hAnsi="Arial Narrow" w:cs="Arial"/>
                <w:sz w:val="20"/>
                <w:szCs w:val="20"/>
              </w:rPr>
            </w:pPr>
            <w:r w:rsidRPr="00F33674">
              <w:rPr>
                <w:rFonts w:ascii="Arial Narrow" w:hAnsi="Arial Narrow" w:cs="Arial"/>
                <w:sz w:val="20"/>
                <w:szCs w:val="20"/>
              </w:rPr>
              <w:t>AND</w:t>
            </w:r>
          </w:p>
          <w:p w14:paraId="610BF89D" w14:textId="77777777" w:rsidR="00744FB8" w:rsidRPr="00F33674" w:rsidRDefault="00744FB8" w:rsidP="00265869">
            <w:pPr>
              <w:jc w:val="left"/>
              <w:rPr>
                <w:rFonts w:ascii="Arial Narrow" w:hAnsi="Arial Narrow" w:cs="Arial"/>
                <w:sz w:val="20"/>
                <w:szCs w:val="20"/>
              </w:rPr>
            </w:pPr>
          </w:p>
          <w:p w14:paraId="234D9AE5" w14:textId="77777777" w:rsidR="00744FB8" w:rsidRPr="00F33674" w:rsidRDefault="00744FB8" w:rsidP="00265869">
            <w:pPr>
              <w:jc w:val="left"/>
              <w:rPr>
                <w:rFonts w:ascii="Arial Narrow" w:hAnsi="Arial Narrow" w:cs="Arial"/>
                <w:sz w:val="20"/>
                <w:szCs w:val="20"/>
              </w:rPr>
            </w:pPr>
            <w:r w:rsidRPr="00F33674">
              <w:rPr>
                <w:rFonts w:ascii="Arial Narrow" w:hAnsi="Arial Narrow" w:cs="Arial"/>
                <w:sz w:val="20"/>
                <w:szCs w:val="20"/>
              </w:rPr>
              <w:t>[new] Patient must not be opioid naïve</w:t>
            </w:r>
          </w:p>
          <w:p w14:paraId="733C0055" w14:textId="77777777" w:rsidR="00744FB8" w:rsidRPr="00F33674" w:rsidRDefault="00744FB8" w:rsidP="00265869">
            <w:pPr>
              <w:jc w:val="left"/>
              <w:rPr>
                <w:rFonts w:ascii="Arial Narrow" w:hAnsi="Arial Narrow" w:cs="Arial"/>
                <w:sz w:val="20"/>
                <w:szCs w:val="20"/>
              </w:rPr>
            </w:pPr>
          </w:p>
          <w:p w14:paraId="5FE59F1C" w14:textId="77777777" w:rsidR="00744FB8" w:rsidRPr="00F33674" w:rsidRDefault="00744FB8" w:rsidP="00265869">
            <w:pPr>
              <w:jc w:val="left"/>
              <w:rPr>
                <w:rFonts w:ascii="Arial Narrow" w:hAnsi="Arial Narrow" w:cs="Arial"/>
                <w:sz w:val="20"/>
                <w:szCs w:val="20"/>
              </w:rPr>
            </w:pPr>
            <w:r w:rsidRPr="00F33674">
              <w:rPr>
                <w:rFonts w:ascii="Arial Narrow" w:hAnsi="Arial Narrow" w:cs="Arial"/>
                <w:sz w:val="20"/>
                <w:szCs w:val="20"/>
              </w:rPr>
              <w:t>AND</w:t>
            </w:r>
          </w:p>
          <w:p w14:paraId="0715D41C" w14:textId="77777777" w:rsidR="00744FB8" w:rsidRPr="00F33674" w:rsidRDefault="00744FB8" w:rsidP="00265869">
            <w:pPr>
              <w:jc w:val="left"/>
              <w:rPr>
                <w:rFonts w:ascii="Arial Narrow" w:hAnsi="Arial Narrow" w:cs="Arial"/>
                <w:sz w:val="20"/>
                <w:szCs w:val="20"/>
              </w:rPr>
            </w:pPr>
          </w:p>
          <w:p w14:paraId="6B76EEF7" w14:textId="77777777" w:rsidR="00744FB8" w:rsidRPr="00F33674" w:rsidRDefault="00744FB8" w:rsidP="00265869">
            <w:pPr>
              <w:jc w:val="left"/>
              <w:rPr>
                <w:rFonts w:ascii="Arial Narrow" w:hAnsi="Arial Narrow" w:cs="Arial"/>
                <w:sz w:val="20"/>
                <w:szCs w:val="20"/>
              </w:rPr>
            </w:pPr>
            <w:r w:rsidRPr="00F33674">
              <w:rPr>
                <w:rFonts w:ascii="Arial Narrow" w:hAnsi="Arial Narrow" w:cs="Arial"/>
                <w:sz w:val="20"/>
                <w:szCs w:val="20"/>
              </w:rPr>
              <w:t xml:space="preserve">[18096] Patient must have </w:t>
            </w:r>
            <w:r>
              <w:rPr>
                <w:rFonts w:ascii="Arial Narrow" w:hAnsi="Arial Narrow" w:cs="Arial"/>
                <w:sz w:val="20"/>
                <w:szCs w:val="20"/>
              </w:rPr>
              <w:t>cancer pain</w:t>
            </w:r>
          </w:p>
          <w:p w14:paraId="4CBA6DCB" w14:textId="77777777" w:rsidR="00744FB8" w:rsidRPr="00F33674" w:rsidRDefault="00744FB8" w:rsidP="00265869">
            <w:pPr>
              <w:jc w:val="left"/>
              <w:rPr>
                <w:rFonts w:ascii="Arial Narrow" w:hAnsi="Arial Narrow" w:cs="Arial"/>
                <w:sz w:val="20"/>
                <w:szCs w:val="20"/>
              </w:rPr>
            </w:pPr>
            <w:r w:rsidRPr="00F33674">
              <w:rPr>
                <w:rFonts w:ascii="Arial Narrow" w:hAnsi="Arial Narrow" w:cs="Arial"/>
                <w:sz w:val="20"/>
                <w:szCs w:val="20"/>
              </w:rPr>
              <w:t>OR</w:t>
            </w:r>
          </w:p>
          <w:p w14:paraId="2712EC86" w14:textId="77777777" w:rsidR="00744FB8" w:rsidRPr="00F33674" w:rsidRDefault="00744FB8" w:rsidP="00265869">
            <w:pPr>
              <w:jc w:val="left"/>
              <w:rPr>
                <w:rFonts w:ascii="Arial Narrow" w:hAnsi="Arial Narrow" w:cs="Arial"/>
                <w:sz w:val="20"/>
                <w:szCs w:val="20"/>
              </w:rPr>
            </w:pPr>
            <w:r w:rsidRPr="00F33674">
              <w:rPr>
                <w:rFonts w:ascii="Arial Narrow" w:hAnsi="Arial Narrow" w:cs="Arial"/>
                <w:sz w:val="20"/>
                <w:szCs w:val="20"/>
              </w:rPr>
              <w:t xml:space="preserve">[new] Patient must have </w:t>
            </w:r>
            <w:r>
              <w:rPr>
                <w:rFonts w:ascii="Arial Narrow" w:hAnsi="Arial Narrow" w:cs="Arial"/>
                <w:sz w:val="20"/>
                <w:szCs w:val="20"/>
              </w:rPr>
              <w:t>had or would have</w:t>
            </w:r>
            <w:r w:rsidRPr="00F33674">
              <w:rPr>
                <w:rFonts w:ascii="Arial Narrow" w:hAnsi="Arial Narrow" w:cs="Arial"/>
                <w:sz w:val="20"/>
                <w:szCs w:val="20"/>
              </w:rPr>
              <w:t xml:space="preserve"> </w:t>
            </w:r>
            <w:r>
              <w:rPr>
                <w:rFonts w:ascii="Arial Narrow" w:hAnsi="Arial Narrow" w:cs="Arial"/>
                <w:sz w:val="20"/>
                <w:szCs w:val="20"/>
              </w:rPr>
              <w:t>inadequate pain management</w:t>
            </w:r>
            <w:r w:rsidRPr="00F33674">
              <w:rPr>
                <w:rFonts w:ascii="Arial Narrow" w:hAnsi="Arial Narrow" w:cs="Arial"/>
                <w:sz w:val="20"/>
                <w:szCs w:val="20"/>
              </w:rPr>
              <w:t xml:space="preserve"> </w:t>
            </w:r>
            <w:r>
              <w:rPr>
                <w:rFonts w:ascii="Arial Narrow" w:hAnsi="Arial Narrow" w:cs="Arial"/>
                <w:sz w:val="20"/>
                <w:szCs w:val="20"/>
              </w:rPr>
              <w:t>with</w:t>
            </w:r>
            <w:r w:rsidRPr="00F33674">
              <w:rPr>
                <w:rFonts w:ascii="Arial Narrow" w:hAnsi="Arial Narrow" w:cs="Arial"/>
                <w:sz w:val="20"/>
                <w:szCs w:val="20"/>
              </w:rPr>
              <w:t xml:space="preserve"> tolerated doses of non-opioid and other opioid analgesics</w:t>
            </w:r>
          </w:p>
          <w:p w14:paraId="1C089A1D" w14:textId="77777777" w:rsidR="00744FB8" w:rsidRPr="00F33674" w:rsidRDefault="00744FB8" w:rsidP="00265869">
            <w:pPr>
              <w:jc w:val="left"/>
              <w:rPr>
                <w:rFonts w:ascii="Arial Narrow" w:hAnsi="Arial Narrow" w:cs="Arial"/>
                <w:sz w:val="20"/>
                <w:szCs w:val="20"/>
              </w:rPr>
            </w:pPr>
            <w:r w:rsidRPr="00F33674">
              <w:rPr>
                <w:rFonts w:ascii="Arial Narrow" w:hAnsi="Arial Narrow" w:cs="Arial"/>
                <w:sz w:val="20"/>
                <w:szCs w:val="20"/>
              </w:rPr>
              <w:t>OR</w:t>
            </w:r>
          </w:p>
          <w:p w14:paraId="110CFE50" w14:textId="77777777" w:rsidR="00744FB8" w:rsidRPr="00F33674" w:rsidRDefault="00744FB8" w:rsidP="00265869">
            <w:pPr>
              <w:jc w:val="left"/>
              <w:rPr>
                <w:rFonts w:ascii="Arial Narrow" w:hAnsi="Arial Narrow" w:cs="Arial"/>
                <w:sz w:val="20"/>
                <w:szCs w:val="20"/>
              </w:rPr>
            </w:pPr>
            <w:r w:rsidRPr="00F33674">
              <w:rPr>
                <w:rFonts w:ascii="Arial Narrow" w:hAnsi="Arial Narrow" w:cs="Arial"/>
                <w:sz w:val="20"/>
                <w:szCs w:val="20"/>
              </w:rPr>
              <w:t>[new] Patient must be unable to use non-opioid and other opioid analgesics due to contraindications or intolerance.</w:t>
            </w:r>
          </w:p>
        </w:tc>
      </w:tr>
      <w:tr w:rsidR="00744FB8" w:rsidRPr="00F33674" w14:paraId="4F2841F2" w14:textId="77777777" w:rsidTr="00C21DFA">
        <w:trPr>
          <w:cantSplit/>
          <w:trHeight w:val="360"/>
        </w:trPr>
        <w:tc>
          <w:tcPr>
            <w:tcW w:w="3183" w:type="dxa"/>
            <w:tcBorders>
              <w:top w:val="single" w:sz="4" w:space="0" w:color="auto"/>
              <w:left w:val="single" w:sz="4" w:space="0" w:color="auto"/>
              <w:bottom w:val="single" w:sz="4" w:space="0" w:color="auto"/>
              <w:right w:val="single" w:sz="4" w:space="0" w:color="auto"/>
            </w:tcBorders>
          </w:tcPr>
          <w:p w14:paraId="1CE6DBCB" w14:textId="77777777" w:rsidR="00744FB8" w:rsidRPr="00F33674" w:rsidRDefault="00744FB8" w:rsidP="00265869">
            <w:pPr>
              <w:rPr>
                <w:rFonts w:ascii="Arial Narrow" w:hAnsi="Arial Narrow" w:cs="Arial"/>
                <w:b/>
                <w:sz w:val="20"/>
                <w:szCs w:val="20"/>
              </w:rPr>
            </w:pPr>
            <w:r w:rsidRPr="00F33674">
              <w:rPr>
                <w:rFonts w:ascii="Arial Narrow" w:hAnsi="Arial Narrow" w:cs="Arial"/>
                <w:b/>
                <w:sz w:val="20"/>
                <w:szCs w:val="20"/>
              </w:rPr>
              <w:t>Prescriber instruction:</w:t>
            </w:r>
          </w:p>
        </w:tc>
        <w:tc>
          <w:tcPr>
            <w:tcW w:w="6031" w:type="dxa"/>
            <w:tcBorders>
              <w:top w:val="single" w:sz="4" w:space="0" w:color="auto"/>
              <w:left w:val="single" w:sz="4" w:space="0" w:color="auto"/>
              <w:bottom w:val="single" w:sz="4" w:space="0" w:color="auto"/>
              <w:right w:val="single" w:sz="4" w:space="0" w:color="auto"/>
            </w:tcBorders>
          </w:tcPr>
          <w:p w14:paraId="5F8ACA78" w14:textId="77777777" w:rsidR="00744FB8" w:rsidRPr="00744FB8" w:rsidRDefault="00744FB8" w:rsidP="00265869">
            <w:pPr>
              <w:jc w:val="left"/>
              <w:rPr>
                <w:rFonts w:ascii="Arial Narrow" w:hAnsi="Arial Narrow" w:cs="Arial"/>
                <w:sz w:val="20"/>
                <w:szCs w:val="20"/>
              </w:rPr>
            </w:pPr>
            <w:r w:rsidRPr="00F33674">
              <w:rPr>
                <w:rFonts w:ascii="Arial Narrow" w:hAnsi="Arial Narrow" w:cs="Arial"/>
                <w:sz w:val="20"/>
                <w:szCs w:val="20"/>
              </w:rPr>
              <w:t xml:space="preserve">[new] </w:t>
            </w:r>
            <w:r w:rsidRPr="00744FB8">
              <w:rPr>
                <w:rFonts w:ascii="Arial Narrow" w:hAnsi="Arial Narrow" w:cs="Arial"/>
                <w:sz w:val="20"/>
                <w:szCs w:val="20"/>
              </w:rPr>
              <w:t>Authorities for increased maximum quantities and/or repeats must only be considered for chronic severe disabling pain where the total duration of non-PBS and PBS opioid analgesic treatment:</w:t>
            </w:r>
          </w:p>
          <w:p w14:paraId="6A86419F" w14:textId="77777777" w:rsidR="00744FB8" w:rsidRPr="00744FB8" w:rsidRDefault="00744FB8" w:rsidP="00265869">
            <w:pPr>
              <w:jc w:val="left"/>
              <w:rPr>
                <w:rFonts w:ascii="Arial Narrow" w:hAnsi="Arial Narrow" w:cs="Arial"/>
                <w:sz w:val="20"/>
                <w:szCs w:val="20"/>
              </w:rPr>
            </w:pPr>
            <w:r w:rsidRPr="00744FB8">
              <w:rPr>
                <w:rFonts w:ascii="Arial Narrow" w:hAnsi="Arial Narrow" w:cs="Arial"/>
                <w:sz w:val="20"/>
                <w:szCs w:val="20"/>
              </w:rPr>
              <w:t>(i) exceeds 12 months and the palliative care patient is unable to have annual pain management review due to their clinical condition; or</w:t>
            </w:r>
          </w:p>
          <w:p w14:paraId="3B905D69" w14:textId="77777777" w:rsidR="00744FB8" w:rsidRPr="00744FB8" w:rsidRDefault="00744FB8" w:rsidP="00265869">
            <w:pPr>
              <w:jc w:val="left"/>
              <w:rPr>
                <w:rFonts w:ascii="Arial Narrow" w:hAnsi="Arial Narrow" w:cs="Arial"/>
                <w:sz w:val="20"/>
                <w:szCs w:val="20"/>
              </w:rPr>
            </w:pPr>
            <w:r w:rsidRPr="00744FB8">
              <w:rPr>
                <w:rFonts w:ascii="Arial Narrow" w:hAnsi="Arial Narrow" w:cs="Arial"/>
                <w:sz w:val="20"/>
                <w:szCs w:val="20"/>
              </w:rPr>
              <w:t>(ii) exceeds 12 months and the patient's clinical need for continuing opioid treatment has been confirmed through consultation with the patient by another medical practitioner or a palliative care nurse practitioner in the past 12 months; or</w:t>
            </w:r>
          </w:p>
          <w:p w14:paraId="2C5C4728" w14:textId="77777777" w:rsidR="00744FB8" w:rsidRPr="00F33674" w:rsidRDefault="00744FB8" w:rsidP="00265869">
            <w:pPr>
              <w:jc w:val="left"/>
              <w:rPr>
                <w:rFonts w:ascii="Arial Narrow" w:hAnsi="Arial Narrow" w:cs="Arial"/>
                <w:sz w:val="20"/>
                <w:szCs w:val="20"/>
              </w:rPr>
            </w:pPr>
            <w:r w:rsidRPr="00744FB8">
              <w:rPr>
                <w:rFonts w:ascii="Arial Narrow" w:hAnsi="Arial Narrow" w:cs="Arial"/>
                <w:sz w:val="20"/>
                <w:szCs w:val="20"/>
              </w:rPr>
              <w:t xml:space="preserve">(iii) </w:t>
            </w:r>
            <w:proofErr w:type="gramStart"/>
            <w:r w:rsidRPr="00744FB8">
              <w:rPr>
                <w:rFonts w:ascii="Arial Narrow" w:hAnsi="Arial Narrow" w:cs="Arial"/>
                <w:sz w:val="20"/>
                <w:szCs w:val="20"/>
              </w:rPr>
              <w:t>has</w:t>
            </w:r>
            <w:proofErr w:type="gramEnd"/>
            <w:r w:rsidRPr="00744FB8">
              <w:rPr>
                <w:rFonts w:ascii="Arial Narrow" w:hAnsi="Arial Narrow" w:cs="Arial"/>
                <w:sz w:val="20"/>
                <w:szCs w:val="20"/>
              </w:rPr>
              <w:t xml:space="preserve"> exceeded 12 months prior to 1 June 2020 and the patient's clinical need for continuing opioid treatment has not been confirmed through consultation with the patient by another medical practitioner or a palliative care nurse practitioner in the past 12 months, but is planned in the next 3 months.</w:t>
            </w:r>
          </w:p>
          <w:p w14:paraId="6B22A458" w14:textId="77777777" w:rsidR="00744FB8" w:rsidRPr="00F33674" w:rsidRDefault="00744FB8" w:rsidP="00265869">
            <w:pPr>
              <w:jc w:val="left"/>
              <w:rPr>
                <w:rFonts w:ascii="Arial Narrow" w:hAnsi="Arial Narrow" w:cs="Arial"/>
                <w:sz w:val="20"/>
                <w:szCs w:val="20"/>
              </w:rPr>
            </w:pPr>
          </w:p>
          <w:p w14:paraId="2B07A381" w14:textId="77777777" w:rsidR="00744FB8" w:rsidRPr="00F33674" w:rsidRDefault="00744FB8" w:rsidP="00265869">
            <w:pPr>
              <w:jc w:val="left"/>
              <w:rPr>
                <w:rFonts w:ascii="Arial Narrow" w:hAnsi="Arial Narrow" w:cs="Arial"/>
                <w:sz w:val="20"/>
                <w:szCs w:val="20"/>
              </w:rPr>
            </w:pPr>
            <w:r w:rsidRPr="00F33674">
              <w:rPr>
                <w:rFonts w:ascii="Arial Narrow" w:hAnsi="Arial Narrow" w:cs="Arial"/>
                <w:sz w:val="20"/>
                <w:szCs w:val="20"/>
              </w:rPr>
              <w:t>[new] Authority requests extending treatment duration up to 1 month may be requested though the Online PBS Authorities system or by calling Services Australia.</w:t>
            </w:r>
          </w:p>
          <w:p w14:paraId="5F18561E" w14:textId="77777777" w:rsidR="00744FB8" w:rsidRPr="00F33674" w:rsidRDefault="00744FB8" w:rsidP="00265869">
            <w:pPr>
              <w:jc w:val="left"/>
              <w:rPr>
                <w:rFonts w:ascii="Arial Narrow" w:hAnsi="Arial Narrow" w:cs="Arial"/>
                <w:sz w:val="20"/>
                <w:szCs w:val="20"/>
              </w:rPr>
            </w:pPr>
          </w:p>
          <w:p w14:paraId="43AC96F6" w14:textId="77777777" w:rsidR="00744FB8" w:rsidRPr="00F33674" w:rsidRDefault="00744FB8" w:rsidP="00265869">
            <w:pPr>
              <w:jc w:val="left"/>
              <w:rPr>
                <w:rFonts w:ascii="Arial Narrow" w:hAnsi="Arial Narrow" w:cs="Arial"/>
                <w:sz w:val="20"/>
                <w:szCs w:val="20"/>
              </w:rPr>
            </w:pPr>
            <w:r w:rsidRPr="00F33674">
              <w:rPr>
                <w:rFonts w:ascii="Arial Narrow" w:hAnsi="Arial Narrow" w:cs="Arial"/>
                <w:sz w:val="20"/>
                <w:szCs w:val="20"/>
              </w:rPr>
              <w:t xml:space="preserve">Authority requests extending treatment duration beyond 1 month </w:t>
            </w:r>
            <w:r>
              <w:rPr>
                <w:rFonts w:ascii="Arial Narrow" w:hAnsi="Arial Narrow" w:cs="Arial"/>
                <w:sz w:val="20"/>
                <w:szCs w:val="20"/>
              </w:rPr>
              <w:t>may be requested through the Online PBS Authorities system</w:t>
            </w:r>
            <w:r w:rsidRPr="00F33674">
              <w:rPr>
                <w:rFonts w:ascii="Arial Narrow" w:hAnsi="Arial Narrow" w:cs="Arial"/>
                <w:sz w:val="20"/>
                <w:szCs w:val="20"/>
              </w:rPr>
              <w:t xml:space="preserve"> or in writing only and must not provide a treatment duration exceeding </w:t>
            </w:r>
            <w:r>
              <w:rPr>
                <w:rFonts w:ascii="Arial Narrow" w:hAnsi="Arial Narrow" w:cs="Arial"/>
                <w:sz w:val="20"/>
                <w:szCs w:val="20"/>
              </w:rPr>
              <w:t xml:space="preserve">3 months (quantity sufficient for up to </w:t>
            </w:r>
            <w:proofErr w:type="gramStart"/>
            <w:r>
              <w:rPr>
                <w:rFonts w:ascii="Arial Narrow" w:hAnsi="Arial Narrow" w:cs="Arial"/>
                <w:sz w:val="20"/>
                <w:szCs w:val="20"/>
              </w:rPr>
              <w:t>1 month</w:t>
            </w:r>
            <w:proofErr w:type="gramEnd"/>
            <w:r>
              <w:rPr>
                <w:rFonts w:ascii="Arial Narrow" w:hAnsi="Arial Narrow" w:cs="Arial"/>
                <w:sz w:val="20"/>
                <w:szCs w:val="20"/>
              </w:rPr>
              <w:t xml:space="preserve"> treatment and sufficient repeats).</w:t>
            </w:r>
          </w:p>
        </w:tc>
      </w:tr>
      <w:tr w:rsidR="002900EB" w:rsidRPr="00F33674" w14:paraId="4F79D962" w14:textId="77777777" w:rsidTr="00C21DFA">
        <w:trPr>
          <w:cantSplit/>
          <w:trHeight w:val="360"/>
        </w:trPr>
        <w:tc>
          <w:tcPr>
            <w:tcW w:w="3183" w:type="dxa"/>
            <w:tcBorders>
              <w:top w:val="single" w:sz="4" w:space="0" w:color="auto"/>
              <w:left w:val="single" w:sz="4" w:space="0" w:color="auto"/>
              <w:bottom w:val="single" w:sz="4" w:space="0" w:color="auto"/>
              <w:right w:val="single" w:sz="4" w:space="0" w:color="auto"/>
            </w:tcBorders>
          </w:tcPr>
          <w:p w14:paraId="5676ADF0" w14:textId="0294B451" w:rsidR="002900EB" w:rsidRPr="00F33674" w:rsidRDefault="002900EB" w:rsidP="002900EB">
            <w:pPr>
              <w:rPr>
                <w:rFonts w:ascii="Arial Narrow" w:hAnsi="Arial Narrow" w:cs="Arial"/>
                <w:b/>
                <w:sz w:val="20"/>
                <w:szCs w:val="20"/>
              </w:rPr>
            </w:pPr>
            <w:r w:rsidRPr="00F33674">
              <w:rPr>
                <w:rFonts w:ascii="Arial Narrow" w:hAnsi="Arial Narrow" w:cs="Arial"/>
                <w:b/>
                <w:sz w:val="20"/>
                <w:szCs w:val="20"/>
              </w:rPr>
              <w:lastRenderedPageBreak/>
              <w:t>Administrative advice:</w:t>
            </w:r>
          </w:p>
        </w:tc>
        <w:tc>
          <w:tcPr>
            <w:tcW w:w="6031" w:type="dxa"/>
            <w:tcBorders>
              <w:top w:val="single" w:sz="4" w:space="0" w:color="auto"/>
              <w:left w:val="single" w:sz="4" w:space="0" w:color="auto"/>
              <w:bottom w:val="single" w:sz="4" w:space="0" w:color="auto"/>
              <w:right w:val="single" w:sz="4" w:space="0" w:color="auto"/>
            </w:tcBorders>
          </w:tcPr>
          <w:p w14:paraId="29C27D29" w14:textId="77777777" w:rsidR="002900EB" w:rsidRPr="00F33674" w:rsidRDefault="002900EB" w:rsidP="002900EB">
            <w:pPr>
              <w:jc w:val="left"/>
              <w:rPr>
                <w:rFonts w:ascii="Arial Narrow" w:hAnsi="Arial Narrow"/>
                <w:sz w:val="20"/>
                <w:szCs w:val="20"/>
              </w:rPr>
            </w:pPr>
            <w:r w:rsidRPr="00F33674">
              <w:rPr>
                <w:rFonts w:ascii="Arial Narrow" w:hAnsi="Arial Narrow"/>
                <w:sz w:val="20"/>
                <w:szCs w:val="20"/>
              </w:rPr>
              <w:t xml:space="preserve">[13978] Fentanyl transdermal patches </w:t>
            </w:r>
            <w:proofErr w:type="gramStart"/>
            <w:r w:rsidRPr="00F33674">
              <w:rPr>
                <w:rFonts w:ascii="Arial Narrow" w:hAnsi="Arial Narrow"/>
                <w:sz w:val="20"/>
                <w:szCs w:val="20"/>
              </w:rPr>
              <w:t>are not recommended</w:t>
            </w:r>
            <w:proofErr w:type="gramEnd"/>
            <w:r w:rsidRPr="00F33674">
              <w:rPr>
                <w:rFonts w:ascii="Arial Narrow" w:hAnsi="Arial Narrow"/>
                <w:sz w:val="20"/>
                <w:szCs w:val="20"/>
              </w:rPr>
              <w:t xml:space="preserve"> in opioid naive patients with non-cancer pain because of a high incidence of adverse events in these patients. Patients with cancer pain </w:t>
            </w:r>
            <w:proofErr w:type="gramStart"/>
            <w:r w:rsidRPr="00F33674">
              <w:rPr>
                <w:rFonts w:ascii="Arial Narrow" w:hAnsi="Arial Narrow"/>
                <w:sz w:val="20"/>
                <w:szCs w:val="20"/>
              </w:rPr>
              <w:t>may be initiated</w:t>
            </w:r>
            <w:proofErr w:type="gramEnd"/>
            <w:r w:rsidRPr="00F33674">
              <w:rPr>
                <w:rFonts w:ascii="Arial Narrow" w:hAnsi="Arial Narrow"/>
                <w:sz w:val="20"/>
                <w:szCs w:val="20"/>
              </w:rPr>
              <w:t xml:space="preserve"> on the lowest strength patch (12 micrograms per hour).</w:t>
            </w:r>
          </w:p>
          <w:p w14:paraId="2548462B" w14:textId="77777777" w:rsidR="002900EB" w:rsidRPr="00F33674" w:rsidRDefault="002900EB" w:rsidP="002900EB">
            <w:pPr>
              <w:jc w:val="left"/>
              <w:rPr>
                <w:rFonts w:ascii="Arial Narrow" w:hAnsi="Arial Narrow"/>
                <w:sz w:val="20"/>
                <w:szCs w:val="20"/>
              </w:rPr>
            </w:pPr>
          </w:p>
          <w:p w14:paraId="60B8A2E8" w14:textId="77777777" w:rsidR="002900EB" w:rsidRPr="00F33674" w:rsidRDefault="002900EB" w:rsidP="002900EB">
            <w:pPr>
              <w:jc w:val="left"/>
              <w:rPr>
                <w:rFonts w:ascii="Arial Narrow" w:hAnsi="Arial Narrow"/>
                <w:sz w:val="20"/>
                <w:szCs w:val="20"/>
              </w:rPr>
            </w:pPr>
            <w:r w:rsidRPr="00F33674">
              <w:rPr>
                <w:rFonts w:ascii="Arial Narrow" w:hAnsi="Arial Narrow"/>
                <w:sz w:val="20"/>
                <w:szCs w:val="20"/>
              </w:rPr>
              <w:t>[new] Consider consultation with a multidisciplinary pain service prior to, or after commencement of this medication.</w:t>
            </w:r>
          </w:p>
          <w:p w14:paraId="264E7C78" w14:textId="77777777" w:rsidR="002900EB" w:rsidRPr="00F33674" w:rsidRDefault="002900EB" w:rsidP="002900EB">
            <w:pPr>
              <w:jc w:val="left"/>
              <w:rPr>
                <w:rFonts w:ascii="Arial Narrow" w:hAnsi="Arial Narrow"/>
                <w:sz w:val="20"/>
                <w:szCs w:val="20"/>
              </w:rPr>
            </w:pPr>
          </w:p>
          <w:p w14:paraId="2C09C76F" w14:textId="77777777" w:rsidR="002900EB" w:rsidRPr="00F33674" w:rsidRDefault="002900EB" w:rsidP="002900EB">
            <w:pPr>
              <w:jc w:val="left"/>
              <w:rPr>
                <w:rFonts w:ascii="Arial Narrow" w:hAnsi="Arial Narrow" w:cs="Arial"/>
                <w:sz w:val="20"/>
                <w:szCs w:val="20"/>
              </w:rPr>
            </w:pPr>
            <w:r w:rsidRPr="00F33674">
              <w:rPr>
                <w:rFonts w:ascii="Arial Narrow" w:hAnsi="Arial Narrow" w:cs="Arial"/>
                <w:sz w:val="20"/>
                <w:szCs w:val="20"/>
              </w:rPr>
              <w:t>[new] This treatment is not suitable for ‘as-required’ pain relief.</w:t>
            </w:r>
          </w:p>
          <w:p w14:paraId="0E34BDE0" w14:textId="77777777" w:rsidR="002900EB" w:rsidRPr="00F33674" w:rsidRDefault="002900EB" w:rsidP="002900EB">
            <w:pPr>
              <w:jc w:val="left"/>
              <w:rPr>
                <w:rFonts w:ascii="Arial Narrow" w:hAnsi="Arial Narrow"/>
                <w:sz w:val="20"/>
                <w:szCs w:val="20"/>
              </w:rPr>
            </w:pPr>
          </w:p>
          <w:p w14:paraId="1864F7F8" w14:textId="77777777" w:rsidR="002900EB" w:rsidRPr="00F33674" w:rsidRDefault="002900EB" w:rsidP="002900EB">
            <w:pPr>
              <w:jc w:val="left"/>
              <w:rPr>
                <w:rFonts w:ascii="Arial Narrow" w:hAnsi="Arial Narrow" w:cs="Arial"/>
                <w:sz w:val="20"/>
                <w:szCs w:val="20"/>
              </w:rPr>
            </w:pPr>
            <w:r w:rsidRPr="00F33674">
              <w:rPr>
                <w:rFonts w:ascii="Arial Narrow" w:hAnsi="Arial Narrow" w:cs="Arial"/>
                <w:sz w:val="20"/>
                <w:szCs w:val="20"/>
              </w:rPr>
              <w:t>[13980] Pharmaceutical benefits that have the form fentanyl 25 microgram/hour patch are equivalent for the purposes of substitution.</w:t>
            </w:r>
          </w:p>
          <w:p w14:paraId="7489A468" w14:textId="77777777" w:rsidR="002900EB" w:rsidRPr="00F33674" w:rsidRDefault="002900EB" w:rsidP="002900EB">
            <w:pPr>
              <w:jc w:val="left"/>
              <w:rPr>
                <w:rFonts w:ascii="Arial Narrow" w:hAnsi="Arial Narrow" w:cs="Arial"/>
                <w:sz w:val="20"/>
                <w:szCs w:val="20"/>
              </w:rPr>
            </w:pPr>
          </w:p>
          <w:p w14:paraId="5F751647" w14:textId="77777777" w:rsidR="002900EB" w:rsidRPr="00F33674" w:rsidRDefault="002900EB" w:rsidP="002900EB">
            <w:pPr>
              <w:jc w:val="left"/>
              <w:rPr>
                <w:rFonts w:ascii="Arial Narrow" w:hAnsi="Arial Narrow" w:cs="Arial"/>
                <w:sz w:val="20"/>
                <w:szCs w:val="20"/>
              </w:rPr>
            </w:pPr>
            <w:r w:rsidRPr="00F33674">
              <w:rPr>
                <w:rFonts w:ascii="Arial Narrow" w:hAnsi="Arial Narrow" w:cs="Arial"/>
                <w:sz w:val="20"/>
                <w:szCs w:val="20"/>
              </w:rPr>
              <w:t xml:space="preserve">[7901] Shared Care Model: For prescribing by nurse practitioners where care of a patient </w:t>
            </w:r>
            <w:proofErr w:type="gramStart"/>
            <w:r w:rsidRPr="00F33674">
              <w:rPr>
                <w:rFonts w:ascii="Arial Narrow" w:hAnsi="Arial Narrow" w:cs="Arial"/>
                <w:sz w:val="20"/>
                <w:szCs w:val="20"/>
              </w:rPr>
              <w:t>is shared</w:t>
            </w:r>
            <w:proofErr w:type="gramEnd"/>
            <w:r w:rsidRPr="00F33674">
              <w:rPr>
                <w:rFonts w:ascii="Arial Narrow" w:hAnsi="Arial Narrow" w:cs="Arial"/>
                <w:sz w:val="20"/>
                <w:szCs w:val="20"/>
              </w:rPr>
              <w:t xml:space="preserve"> between a nurse practitioner and medical practitioner in a formalised arrangement with an agreed management plan. Further information </w:t>
            </w:r>
            <w:proofErr w:type="gramStart"/>
            <w:r w:rsidRPr="00F33674">
              <w:rPr>
                <w:rFonts w:ascii="Arial Narrow" w:hAnsi="Arial Narrow" w:cs="Arial"/>
                <w:sz w:val="20"/>
                <w:szCs w:val="20"/>
              </w:rPr>
              <w:t>can be found</w:t>
            </w:r>
            <w:proofErr w:type="gramEnd"/>
            <w:r w:rsidRPr="00F33674">
              <w:rPr>
                <w:rFonts w:ascii="Arial Narrow" w:hAnsi="Arial Narrow" w:cs="Arial"/>
                <w:sz w:val="20"/>
                <w:szCs w:val="20"/>
              </w:rPr>
              <w:t xml:space="preserve"> in the Explanatory Notes for Nurse Practitioners.</w:t>
            </w:r>
          </w:p>
          <w:p w14:paraId="29E47C3C" w14:textId="77777777" w:rsidR="002900EB" w:rsidRPr="00F33674" w:rsidRDefault="002900EB" w:rsidP="002900EB">
            <w:pPr>
              <w:jc w:val="left"/>
              <w:rPr>
                <w:rFonts w:ascii="Arial Narrow" w:hAnsi="Arial Narrow" w:cs="Arial"/>
                <w:sz w:val="20"/>
                <w:szCs w:val="20"/>
              </w:rPr>
            </w:pPr>
          </w:p>
          <w:p w14:paraId="3D7EC67D" w14:textId="77777777" w:rsidR="002900EB" w:rsidRPr="00F33674" w:rsidRDefault="002900EB" w:rsidP="002900EB">
            <w:pPr>
              <w:jc w:val="left"/>
              <w:rPr>
                <w:rFonts w:ascii="Arial Narrow" w:hAnsi="Arial Narrow" w:cs="Arial"/>
                <w:sz w:val="20"/>
                <w:szCs w:val="20"/>
              </w:rPr>
            </w:pPr>
            <w:r w:rsidRPr="00F33674">
              <w:rPr>
                <w:rFonts w:ascii="Arial Narrow" w:hAnsi="Arial Narrow" w:cs="Arial"/>
                <w:sz w:val="20"/>
                <w:szCs w:val="20"/>
              </w:rPr>
              <w:t>[new] Real time online applications for increased maximum quantities/repeats may be made using the Online PBS Authorities system (see www.servicesaustralia.gov.au/organisations/health-professionals/services/medicare/hpos/services/request-authority-using-online-pbs-authorities-hpos)</w:t>
            </w:r>
          </w:p>
          <w:p w14:paraId="43918832" w14:textId="77777777" w:rsidR="002900EB" w:rsidRPr="00F33674" w:rsidRDefault="002900EB" w:rsidP="002900EB">
            <w:pPr>
              <w:jc w:val="left"/>
              <w:rPr>
                <w:rFonts w:ascii="Arial Narrow" w:hAnsi="Arial Narrow" w:cs="Arial"/>
                <w:sz w:val="20"/>
                <w:szCs w:val="20"/>
              </w:rPr>
            </w:pPr>
          </w:p>
          <w:p w14:paraId="4122B763" w14:textId="77777777" w:rsidR="002900EB" w:rsidRPr="00F33674" w:rsidRDefault="002900EB" w:rsidP="002900EB">
            <w:pPr>
              <w:jc w:val="left"/>
              <w:rPr>
                <w:rFonts w:ascii="Arial Narrow" w:hAnsi="Arial Narrow" w:cs="Arial"/>
                <w:sz w:val="20"/>
                <w:szCs w:val="20"/>
              </w:rPr>
            </w:pPr>
            <w:r w:rsidRPr="00F33674">
              <w:rPr>
                <w:rFonts w:ascii="Arial Narrow" w:hAnsi="Arial Narrow" w:cs="Arial"/>
                <w:sz w:val="20"/>
                <w:szCs w:val="20"/>
              </w:rPr>
              <w:t>Phone applications for increased maximum quantities/repeats may be made by calling 1800 888 333.</w:t>
            </w:r>
          </w:p>
          <w:p w14:paraId="6BE226E8" w14:textId="77777777" w:rsidR="002900EB" w:rsidRPr="00F33674" w:rsidRDefault="002900EB" w:rsidP="002900EB">
            <w:pPr>
              <w:jc w:val="left"/>
              <w:rPr>
                <w:rFonts w:ascii="Arial Narrow" w:hAnsi="Arial Narrow" w:cs="Arial"/>
                <w:sz w:val="20"/>
                <w:szCs w:val="20"/>
              </w:rPr>
            </w:pPr>
          </w:p>
          <w:p w14:paraId="5DFB793B" w14:textId="77777777" w:rsidR="002900EB" w:rsidRPr="00F33674" w:rsidRDefault="002900EB" w:rsidP="002900EB">
            <w:pPr>
              <w:jc w:val="left"/>
              <w:rPr>
                <w:rFonts w:ascii="Arial Narrow" w:hAnsi="Arial Narrow" w:cs="Arial"/>
                <w:sz w:val="20"/>
                <w:szCs w:val="20"/>
              </w:rPr>
            </w:pPr>
            <w:r w:rsidRPr="00F33674">
              <w:rPr>
                <w:rFonts w:ascii="Arial Narrow" w:hAnsi="Arial Narrow" w:cs="Arial"/>
                <w:sz w:val="20"/>
                <w:szCs w:val="20"/>
              </w:rPr>
              <w:t>Written authority applications for increased maximum quantities/repeats can be uploaded online through HPOS form upload or mailed to:</w:t>
            </w:r>
          </w:p>
          <w:p w14:paraId="1366BC74" w14:textId="77777777" w:rsidR="002900EB" w:rsidRPr="00F33674" w:rsidRDefault="002900EB" w:rsidP="002900EB">
            <w:pPr>
              <w:jc w:val="left"/>
              <w:rPr>
                <w:rFonts w:ascii="Arial Narrow" w:hAnsi="Arial Narrow" w:cs="Arial"/>
                <w:sz w:val="20"/>
                <w:szCs w:val="20"/>
              </w:rPr>
            </w:pPr>
            <w:r w:rsidRPr="00F33674">
              <w:rPr>
                <w:rFonts w:ascii="Arial Narrow" w:hAnsi="Arial Narrow" w:cs="Arial"/>
                <w:sz w:val="20"/>
                <w:szCs w:val="20"/>
              </w:rPr>
              <w:t>Pharmaceutical Benefits Scheme</w:t>
            </w:r>
          </w:p>
          <w:p w14:paraId="675876D2" w14:textId="77777777" w:rsidR="002900EB" w:rsidRPr="00F33674" w:rsidRDefault="002900EB" w:rsidP="002900EB">
            <w:pPr>
              <w:jc w:val="left"/>
              <w:rPr>
                <w:rFonts w:ascii="Arial Narrow" w:hAnsi="Arial Narrow" w:cs="Arial"/>
                <w:sz w:val="20"/>
                <w:szCs w:val="20"/>
              </w:rPr>
            </w:pPr>
            <w:r w:rsidRPr="00F33674">
              <w:rPr>
                <w:rFonts w:ascii="Arial Narrow" w:hAnsi="Arial Narrow" w:cs="Arial"/>
                <w:sz w:val="20"/>
                <w:szCs w:val="20"/>
              </w:rPr>
              <w:t>Reply Paid 9857</w:t>
            </w:r>
          </w:p>
          <w:p w14:paraId="33F8163C" w14:textId="47D33779" w:rsidR="002900EB" w:rsidRPr="00F33674" w:rsidRDefault="002900EB" w:rsidP="002900EB">
            <w:pPr>
              <w:jc w:val="left"/>
              <w:rPr>
                <w:rFonts w:ascii="Arial Narrow" w:hAnsi="Arial Narrow" w:cs="Arial"/>
                <w:sz w:val="20"/>
                <w:szCs w:val="20"/>
              </w:rPr>
            </w:pPr>
            <w:r w:rsidRPr="00F33674">
              <w:rPr>
                <w:rFonts w:ascii="Arial Narrow" w:hAnsi="Arial Narrow" w:cs="Arial"/>
                <w:sz w:val="20"/>
                <w:szCs w:val="20"/>
              </w:rPr>
              <w:t>[Your capital city]</w:t>
            </w:r>
          </w:p>
        </w:tc>
      </w:tr>
      <w:tr w:rsidR="00744FB8" w:rsidRPr="00F33674" w14:paraId="70B669EB" w14:textId="77777777" w:rsidTr="00C21DFA">
        <w:trPr>
          <w:cantSplit/>
          <w:trHeight w:val="360"/>
        </w:trPr>
        <w:tc>
          <w:tcPr>
            <w:tcW w:w="3183" w:type="dxa"/>
            <w:tcBorders>
              <w:top w:val="single" w:sz="4" w:space="0" w:color="auto"/>
              <w:left w:val="single" w:sz="4" w:space="0" w:color="auto"/>
              <w:bottom w:val="single" w:sz="4" w:space="0" w:color="auto"/>
              <w:right w:val="single" w:sz="4" w:space="0" w:color="auto"/>
            </w:tcBorders>
          </w:tcPr>
          <w:p w14:paraId="1095596C" w14:textId="77777777" w:rsidR="00744FB8" w:rsidRPr="00F33674" w:rsidRDefault="00744FB8" w:rsidP="00265869">
            <w:pPr>
              <w:rPr>
                <w:rFonts w:ascii="Arial Narrow" w:hAnsi="Arial Narrow" w:cs="Arial"/>
                <w:b/>
                <w:sz w:val="20"/>
                <w:szCs w:val="20"/>
              </w:rPr>
            </w:pPr>
            <w:r w:rsidRPr="00F33674">
              <w:rPr>
                <w:rFonts w:ascii="Arial Narrow" w:hAnsi="Arial Narrow" w:cs="Arial"/>
                <w:b/>
                <w:sz w:val="20"/>
                <w:szCs w:val="20"/>
              </w:rPr>
              <w:t>Cautions:</w:t>
            </w:r>
          </w:p>
        </w:tc>
        <w:tc>
          <w:tcPr>
            <w:tcW w:w="6031" w:type="dxa"/>
            <w:tcBorders>
              <w:top w:val="single" w:sz="4" w:space="0" w:color="auto"/>
              <w:left w:val="single" w:sz="4" w:space="0" w:color="auto"/>
              <w:bottom w:val="single" w:sz="4" w:space="0" w:color="auto"/>
              <w:right w:val="single" w:sz="4" w:space="0" w:color="auto"/>
            </w:tcBorders>
          </w:tcPr>
          <w:p w14:paraId="4C944F63" w14:textId="77777777" w:rsidR="00744FB8" w:rsidRPr="00F33674" w:rsidRDefault="00744FB8" w:rsidP="00265869">
            <w:pPr>
              <w:jc w:val="left"/>
              <w:rPr>
                <w:rFonts w:ascii="Arial Narrow" w:hAnsi="Arial Narrow" w:cs="Arial"/>
                <w:sz w:val="20"/>
                <w:szCs w:val="20"/>
              </w:rPr>
            </w:pPr>
            <w:r w:rsidRPr="00F33674">
              <w:rPr>
                <w:rFonts w:ascii="Arial Narrow" w:hAnsi="Arial Narrow" w:cs="Arial"/>
                <w:sz w:val="20"/>
                <w:szCs w:val="20"/>
              </w:rPr>
              <w:t>[6986] The risk of drug dependence is high.</w:t>
            </w:r>
          </w:p>
        </w:tc>
      </w:tr>
    </w:tbl>
    <w:p w14:paraId="210A5E39" w14:textId="77777777" w:rsidR="00744FB8" w:rsidRDefault="00744FB8" w:rsidP="00744FB8">
      <w:pPr>
        <w:pStyle w:val="3-BodyText"/>
        <w:numPr>
          <w:ilvl w:val="0"/>
          <w:numId w:val="0"/>
        </w:numPr>
        <w:ind w:left="720" w:hanging="720"/>
      </w:pPr>
    </w:p>
    <w:tbl>
      <w:tblPr>
        <w:tblW w:w="9214" w:type="dxa"/>
        <w:tblInd w:w="-5" w:type="dxa"/>
        <w:tblLook w:val="0000" w:firstRow="0" w:lastRow="0" w:firstColumn="0" w:lastColumn="0" w:noHBand="0" w:noVBand="0"/>
      </w:tblPr>
      <w:tblGrid>
        <w:gridCol w:w="3183"/>
        <w:gridCol w:w="6031"/>
      </w:tblGrid>
      <w:tr w:rsidR="00744FB8" w:rsidRPr="00F33674" w14:paraId="7BB230D2" w14:textId="77777777" w:rsidTr="00C21DFA">
        <w:trPr>
          <w:cantSplit/>
          <w:trHeight w:val="360"/>
        </w:trPr>
        <w:tc>
          <w:tcPr>
            <w:tcW w:w="3183" w:type="dxa"/>
            <w:tcBorders>
              <w:top w:val="single" w:sz="4" w:space="0" w:color="auto"/>
              <w:left w:val="single" w:sz="4" w:space="0" w:color="auto"/>
              <w:bottom w:val="single" w:sz="4" w:space="0" w:color="auto"/>
              <w:right w:val="single" w:sz="4" w:space="0" w:color="auto"/>
            </w:tcBorders>
          </w:tcPr>
          <w:p w14:paraId="25CD824E" w14:textId="77777777" w:rsidR="00744FB8" w:rsidRPr="00F33674" w:rsidRDefault="00744FB8" w:rsidP="00265869">
            <w:pPr>
              <w:rPr>
                <w:rFonts w:ascii="Arial Narrow" w:hAnsi="Arial Narrow" w:cs="Arial"/>
                <w:b/>
                <w:sz w:val="20"/>
                <w:szCs w:val="20"/>
              </w:rPr>
            </w:pPr>
            <w:r w:rsidRPr="00F33674">
              <w:rPr>
                <w:rFonts w:ascii="Arial Narrow" w:hAnsi="Arial Narrow" w:cs="Arial"/>
                <w:b/>
                <w:sz w:val="20"/>
                <w:szCs w:val="20"/>
              </w:rPr>
              <w:t>Category / Program:</w:t>
            </w:r>
          </w:p>
        </w:tc>
        <w:tc>
          <w:tcPr>
            <w:tcW w:w="6031" w:type="dxa"/>
            <w:tcBorders>
              <w:top w:val="single" w:sz="4" w:space="0" w:color="auto"/>
              <w:left w:val="single" w:sz="4" w:space="0" w:color="auto"/>
              <w:bottom w:val="single" w:sz="4" w:space="0" w:color="auto"/>
              <w:right w:val="single" w:sz="4" w:space="0" w:color="auto"/>
            </w:tcBorders>
          </w:tcPr>
          <w:p w14:paraId="580CBCC2" w14:textId="77777777" w:rsidR="00744FB8" w:rsidRPr="00F33674" w:rsidRDefault="00744FB8" w:rsidP="00265869">
            <w:pPr>
              <w:rPr>
                <w:rFonts w:ascii="Arial Narrow" w:hAnsi="Arial Narrow" w:cs="Arial"/>
                <w:sz w:val="20"/>
                <w:szCs w:val="20"/>
              </w:rPr>
            </w:pPr>
            <w:r w:rsidRPr="00F33674">
              <w:rPr>
                <w:rFonts w:ascii="Arial Narrow" w:hAnsi="Arial Narrow" w:cs="Arial"/>
                <w:sz w:val="20"/>
                <w:szCs w:val="20"/>
              </w:rPr>
              <w:t>GENERAL – General Schedule (Code GE)</w:t>
            </w:r>
          </w:p>
        </w:tc>
      </w:tr>
      <w:tr w:rsidR="00744FB8" w:rsidRPr="00F33674" w14:paraId="47B07BA5" w14:textId="77777777" w:rsidTr="00C21DFA">
        <w:trPr>
          <w:cantSplit/>
          <w:trHeight w:val="360"/>
        </w:trPr>
        <w:tc>
          <w:tcPr>
            <w:tcW w:w="3183" w:type="dxa"/>
            <w:tcBorders>
              <w:top w:val="single" w:sz="4" w:space="0" w:color="auto"/>
              <w:left w:val="single" w:sz="4" w:space="0" w:color="auto"/>
              <w:bottom w:val="single" w:sz="4" w:space="0" w:color="auto"/>
              <w:right w:val="single" w:sz="4" w:space="0" w:color="auto"/>
            </w:tcBorders>
          </w:tcPr>
          <w:p w14:paraId="7E07DA07" w14:textId="77777777" w:rsidR="00744FB8" w:rsidRPr="00F33674" w:rsidRDefault="00744FB8" w:rsidP="00265869">
            <w:pPr>
              <w:rPr>
                <w:rFonts w:ascii="Arial Narrow" w:hAnsi="Arial Narrow" w:cs="Arial"/>
                <w:b/>
                <w:sz w:val="20"/>
                <w:szCs w:val="20"/>
              </w:rPr>
            </w:pPr>
            <w:r w:rsidRPr="00F33674">
              <w:rPr>
                <w:rFonts w:ascii="Arial Narrow" w:hAnsi="Arial Narrow" w:cs="Arial"/>
                <w:b/>
                <w:sz w:val="20"/>
                <w:szCs w:val="20"/>
              </w:rPr>
              <w:t>Prescriber type:</w:t>
            </w:r>
          </w:p>
          <w:p w14:paraId="0E44348F" w14:textId="77777777" w:rsidR="00744FB8" w:rsidRPr="00F33674" w:rsidRDefault="00744FB8" w:rsidP="00265869">
            <w:pPr>
              <w:rPr>
                <w:rFonts w:ascii="Arial Narrow" w:hAnsi="Arial Narrow" w:cs="Arial"/>
                <w:b/>
                <w:sz w:val="20"/>
                <w:szCs w:val="20"/>
              </w:rPr>
            </w:pPr>
          </w:p>
        </w:tc>
        <w:tc>
          <w:tcPr>
            <w:tcW w:w="6031" w:type="dxa"/>
            <w:tcBorders>
              <w:top w:val="single" w:sz="4" w:space="0" w:color="auto"/>
              <w:left w:val="single" w:sz="4" w:space="0" w:color="auto"/>
              <w:bottom w:val="single" w:sz="4" w:space="0" w:color="auto"/>
              <w:right w:val="single" w:sz="4" w:space="0" w:color="auto"/>
            </w:tcBorders>
          </w:tcPr>
          <w:p w14:paraId="69A108B8" w14:textId="77777777" w:rsidR="00744FB8" w:rsidRPr="00F33674" w:rsidRDefault="00744FB8" w:rsidP="00265869">
            <w:pPr>
              <w:rPr>
                <w:rFonts w:ascii="Arial Narrow" w:hAnsi="Arial Narrow" w:cs="Arial"/>
                <w:sz w:val="20"/>
                <w:szCs w:val="20"/>
              </w:rPr>
            </w:pPr>
            <w:r w:rsidRPr="00F33674">
              <w:rPr>
                <w:rFonts w:ascii="Arial Narrow" w:hAnsi="Arial Narrow" w:cs="Arial"/>
                <w:sz w:val="20"/>
                <w:szCs w:val="20"/>
              </w:rPr>
              <w:fldChar w:fldCharType="begin">
                <w:ffData>
                  <w:name w:val="Check1"/>
                  <w:enabled/>
                  <w:calcOnExit w:val="0"/>
                  <w:checkBox>
                    <w:sizeAuto/>
                    <w:default w:val="0"/>
                  </w:checkBox>
                </w:ffData>
              </w:fldChar>
            </w:r>
            <w:r w:rsidRPr="00F33674">
              <w:rPr>
                <w:rFonts w:ascii="Arial Narrow" w:hAnsi="Arial Narrow" w:cs="Arial"/>
                <w:sz w:val="20"/>
                <w:szCs w:val="20"/>
              </w:rPr>
              <w:instrText xml:space="preserve"> FORMCHECKBOX </w:instrText>
            </w:r>
            <w:r w:rsidR="00233D13">
              <w:rPr>
                <w:rFonts w:ascii="Arial Narrow" w:hAnsi="Arial Narrow" w:cs="Arial"/>
                <w:sz w:val="20"/>
                <w:szCs w:val="20"/>
              </w:rPr>
            </w:r>
            <w:r w:rsidR="00233D13">
              <w:rPr>
                <w:rFonts w:ascii="Arial Narrow" w:hAnsi="Arial Narrow" w:cs="Arial"/>
                <w:sz w:val="20"/>
                <w:szCs w:val="20"/>
              </w:rPr>
              <w:fldChar w:fldCharType="separate"/>
            </w:r>
            <w:r w:rsidRPr="00F33674">
              <w:rPr>
                <w:rFonts w:ascii="Arial Narrow" w:hAnsi="Arial Narrow" w:cs="Arial"/>
                <w:sz w:val="20"/>
                <w:szCs w:val="20"/>
              </w:rPr>
              <w:fldChar w:fldCharType="end"/>
            </w:r>
            <w:r w:rsidRPr="00F33674">
              <w:rPr>
                <w:rFonts w:ascii="Arial Narrow" w:hAnsi="Arial Narrow" w:cs="Arial"/>
                <w:sz w:val="20"/>
                <w:szCs w:val="20"/>
              </w:rPr>
              <w:t>Dental</w:t>
            </w:r>
            <w:r>
              <w:rPr>
                <w:rFonts w:ascii="Arial Narrow" w:hAnsi="Arial Narrow" w:cs="Arial"/>
                <w:sz w:val="20"/>
                <w:szCs w:val="20"/>
              </w:rPr>
              <w:t xml:space="preserve"> </w:t>
            </w:r>
            <w:r w:rsidRPr="00F33674">
              <w:rPr>
                <w:rFonts w:ascii="Arial Narrow" w:hAnsi="Arial Narrow" w:cs="Arial"/>
                <w:sz w:val="20"/>
                <w:szCs w:val="20"/>
              </w:rPr>
              <w:fldChar w:fldCharType="begin">
                <w:ffData>
                  <w:name w:val=""/>
                  <w:enabled/>
                  <w:calcOnExit w:val="0"/>
                  <w:checkBox>
                    <w:sizeAuto/>
                    <w:default w:val="1"/>
                  </w:checkBox>
                </w:ffData>
              </w:fldChar>
            </w:r>
            <w:r w:rsidRPr="00F33674">
              <w:rPr>
                <w:rFonts w:ascii="Arial Narrow" w:hAnsi="Arial Narrow" w:cs="Arial"/>
                <w:sz w:val="20"/>
                <w:szCs w:val="20"/>
              </w:rPr>
              <w:instrText xml:space="preserve"> FORMCHECKBOX </w:instrText>
            </w:r>
            <w:r w:rsidR="00233D13">
              <w:rPr>
                <w:rFonts w:ascii="Arial Narrow" w:hAnsi="Arial Narrow" w:cs="Arial"/>
                <w:sz w:val="20"/>
                <w:szCs w:val="20"/>
              </w:rPr>
            </w:r>
            <w:r w:rsidR="00233D13">
              <w:rPr>
                <w:rFonts w:ascii="Arial Narrow" w:hAnsi="Arial Narrow" w:cs="Arial"/>
                <w:sz w:val="20"/>
                <w:szCs w:val="20"/>
              </w:rPr>
              <w:fldChar w:fldCharType="separate"/>
            </w:r>
            <w:r w:rsidRPr="00F33674">
              <w:rPr>
                <w:rFonts w:ascii="Arial Narrow" w:hAnsi="Arial Narrow" w:cs="Arial"/>
                <w:sz w:val="20"/>
                <w:szCs w:val="20"/>
              </w:rPr>
              <w:fldChar w:fldCharType="end"/>
            </w:r>
            <w:r w:rsidRPr="00F33674">
              <w:rPr>
                <w:rFonts w:ascii="Arial Narrow" w:hAnsi="Arial Narrow" w:cs="Arial"/>
                <w:sz w:val="20"/>
                <w:szCs w:val="20"/>
              </w:rPr>
              <w:t>Medical Practitioners</w:t>
            </w:r>
            <w:r>
              <w:rPr>
                <w:rFonts w:ascii="Arial Narrow" w:hAnsi="Arial Narrow" w:cs="Arial"/>
                <w:sz w:val="20"/>
                <w:szCs w:val="20"/>
              </w:rPr>
              <w:t xml:space="preserve"> </w:t>
            </w:r>
            <w:r w:rsidRPr="00F33674">
              <w:rPr>
                <w:rFonts w:ascii="Arial Narrow" w:hAnsi="Arial Narrow" w:cs="Arial"/>
                <w:sz w:val="20"/>
                <w:szCs w:val="20"/>
              </w:rPr>
              <w:fldChar w:fldCharType="begin">
                <w:ffData>
                  <w:name w:val="Check3"/>
                  <w:enabled/>
                  <w:calcOnExit w:val="0"/>
                  <w:checkBox>
                    <w:sizeAuto/>
                    <w:default w:val="1"/>
                  </w:checkBox>
                </w:ffData>
              </w:fldChar>
            </w:r>
            <w:r w:rsidRPr="00F33674">
              <w:rPr>
                <w:rFonts w:ascii="Arial Narrow" w:hAnsi="Arial Narrow" w:cs="Arial"/>
                <w:sz w:val="20"/>
                <w:szCs w:val="20"/>
              </w:rPr>
              <w:instrText xml:space="preserve"> FORMCHECKBOX </w:instrText>
            </w:r>
            <w:r w:rsidR="00233D13">
              <w:rPr>
                <w:rFonts w:ascii="Arial Narrow" w:hAnsi="Arial Narrow" w:cs="Arial"/>
                <w:sz w:val="20"/>
                <w:szCs w:val="20"/>
              </w:rPr>
            </w:r>
            <w:r w:rsidR="00233D13">
              <w:rPr>
                <w:rFonts w:ascii="Arial Narrow" w:hAnsi="Arial Narrow" w:cs="Arial"/>
                <w:sz w:val="20"/>
                <w:szCs w:val="20"/>
              </w:rPr>
              <w:fldChar w:fldCharType="separate"/>
            </w:r>
            <w:r w:rsidRPr="00F33674">
              <w:rPr>
                <w:rFonts w:ascii="Arial Narrow" w:hAnsi="Arial Narrow" w:cs="Arial"/>
                <w:sz w:val="20"/>
                <w:szCs w:val="20"/>
              </w:rPr>
              <w:fldChar w:fldCharType="end"/>
            </w:r>
            <w:r w:rsidRPr="00F33674">
              <w:rPr>
                <w:rFonts w:ascii="Arial Narrow" w:hAnsi="Arial Narrow" w:cs="Arial"/>
                <w:sz w:val="20"/>
                <w:szCs w:val="20"/>
              </w:rPr>
              <w:t>Nurse practitioners</w:t>
            </w:r>
            <w:r>
              <w:rPr>
                <w:rFonts w:ascii="Arial Narrow" w:hAnsi="Arial Narrow" w:cs="Arial"/>
                <w:sz w:val="20"/>
                <w:szCs w:val="20"/>
              </w:rPr>
              <w:t xml:space="preserve"> </w:t>
            </w:r>
            <w:r w:rsidRPr="00F33674">
              <w:rPr>
                <w:rFonts w:ascii="Arial Narrow" w:hAnsi="Arial Narrow" w:cs="Arial"/>
                <w:sz w:val="20"/>
                <w:szCs w:val="20"/>
              </w:rPr>
              <w:fldChar w:fldCharType="begin">
                <w:ffData>
                  <w:name w:val=""/>
                  <w:enabled/>
                  <w:calcOnExit w:val="0"/>
                  <w:checkBox>
                    <w:sizeAuto/>
                    <w:default w:val="0"/>
                  </w:checkBox>
                </w:ffData>
              </w:fldChar>
            </w:r>
            <w:r w:rsidRPr="00F33674">
              <w:rPr>
                <w:rFonts w:ascii="Arial Narrow" w:hAnsi="Arial Narrow" w:cs="Arial"/>
                <w:sz w:val="20"/>
                <w:szCs w:val="20"/>
              </w:rPr>
              <w:instrText xml:space="preserve"> FORMCHECKBOX </w:instrText>
            </w:r>
            <w:r w:rsidR="00233D13">
              <w:rPr>
                <w:rFonts w:ascii="Arial Narrow" w:hAnsi="Arial Narrow" w:cs="Arial"/>
                <w:sz w:val="20"/>
                <w:szCs w:val="20"/>
              </w:rPr>
            </w:r>
            <w:r w:rsidR="00233D13">
              <w:rPr>
                <w:rFonts w:ascii="Arial Narrow" w:hAnsi="Arial Narrow" w:cs="Arial"/>
                <w:sz w:val="20"/>
                <w:szCs w:val="20"/>
              </w:rPr>
              <w:fldChar w:fldCharType="separate"/>
            </w:r>
            <w:r w:rsidRPr="00F33674">
              <w:rPr>
                <w:rFonts w:ascii="Arial Narrow" w:hAnsi="Arial Narrow" w:cs="Arial"/>
                <w:sz w:val="20"/>
                <w:szCs w:val="20"/>
              </w:rPr>
              <w:fldChar w:fldCharType="end"/>
            </w:r>
            <w:r w:rsidRPr="00F33674">
              <w:rPr>
                <w:rFonts w:ascii="Arial Narrow" w:hAnsi="Arial Narrow" w:cs="Arial"/>
                <w:sz w:val="20"/>
                <w:szCs w:val="20"/>
              </w:rPr>
              <w:t>Optometrists</w:t>
            </w:r>
          </w:p>
          <w:p w14:paraId="61D87294" w14:textId="77777777" w:rsidR="00744FB8" w:rsidRPr="00F33674" w:rsidRDefault="00744FB8" w:rsidP="00265869">
            <w:pPr>
              <w:rPr>
                <w:rFonts w:ascii="Arial Narrow" w:hAnsi="Arial Narrow" w:cs="Arial"/>
                <w:sz w:val="20"/>
                <w:szCs w:val="20"/>
              </w:rPr>
            </w:pPr>
            <w:r w:rsidRPr="00F33674">
              <w:rPr>
                <w:rFonts w:ascii="Arial Narrow" w:hAnsi="Arial Narrow" w:cs="Arial"/>
                <w:sz w:val="20"/>
                <w:szCs w:val="20"/>
              </w:rPr>
              <w:fldChar w:fldCharType="begin">
                <w:ffData>
                  <w:name w:val="Check5"/>
                  <w:enabled/>
                  <w:calcOnExit w:val="0"/>
                  <w:checkBox>
                    <w:sizeAuto/>
                    <w:default w:val="0"/>
                  </w:checkBox>
                </w:ffData>
              </w:fldChar>
            </w:r>
            <w:r w:rsidRPr="00F33674">
              <w:rPr>
                <w:rFonts w:ascii="Arial Narrow" w:hAnsi="Arial Narrow" w:cs="Arial"/>
                <w:sz w:val="20"/>
                <w:szCs w:val="20"/>
              </w:rPr>
              <w:instrText xml:space="preserve"> FORMCHECKBOX </w:instrText>
            </w:r>
            <w:r w:rsidR="00233D13">
              <w:rPr>
                <w:rFonts w:ascii="Arial Narrow" w:hAnsi="Arial Narrow" w:cs="Arial"/>
                <w:sz w:val="20"/>
                <w:szCs w:val="20"/>
              </w:rPr>
            </w:r>
            <w:r w:rsidR="00233D13">
              <w:rPr>
                <w:rFonts w:ascii="Arial Narrow" w:hAnsi="Arial Narrow" w:cs="Arial"/>
                <w:sz w:val="20"/>
                <w:szCs w:val="20"/>
              </w:rPr>
              <w:fldChar w:fldCharType="separate"/>
            </w:r>
            <w:r w:rsidRPr="00F33674">
              <w:rPr>
                <w:rFonts w:ascii="Arial Narrow" w:hAnsi="Arial Narrow" w:cs="Arial"/>
                <w:sz w:val="20"/>
                <w:szCs w:val="20"/>
              </w:rPr>
              <w:fldChar w:fldCharType="end"/>
            </w:r>
            <w:r w:rsidRPr="00F33674">
              <w:rPr>
                <w:rFonts w:ascii="Arial Narrow" w:hAnsi="Arial Narrow" w:cs="Arial"/>
                <w:sz w:val="20"/>
                <w:szCs w:val="20"/>
              </w:rPr>
              <w:t>Midwives</w:t>
            </w:r>
          </w:p>
        </w:tc>
      </w:tr>
      <w:tr w:rsidR="00744FB8" w:rsidRPr="00F33674" w14:paraId="361386CD" w14:textId="77777777" w:rsidTr="00C21DFA">
        <w:trPr>
          <w:cantSplit/>
          <w:trHeight w:val="369"/>
        </w:trPr>
        <w:tc>
          <w:tcPr>
            <w:tcW w:w="3183" w:type="dxa"/>
            <w:tcBorders>
              <w:top w:val="single" w:sz="4" w:space="0" w:color="auto"/>
              <w:left w:val="single" w:sz="4" w:space="0" w:color="auto"/>
              <w:bottom w:val="single" w:sz="4" w:space="0" w:color="auto"/>
              <w:right w:val="single" w:sz="4" w:space="0" w:color="auto"/>
            </w:tcBorders>
          </w:tcPr>
          <w:p w14:paraId="588447A6" w14:textId="77777777" w:rsidR="00744FB8" w:rsidRPr="00F33674" w:rsidRDefault="00744FB8" w:rsidP="00265869">
            <w:pPr>
              <w:rPr>
                <w:rFonts w:ascii="Arial Narrow" w:hAnsi="Arial Narrow" w:cs="Arial"/>
                <w:b/>
                <w:sz w:val="20"/>
                <w:szCs w:val="20"/>
              </w:rPr>
            </w:pPr>
            <w:r w:rsidRPr="00F33674">
              <w:rPr>
                <w:rFonts w:ascii="Arial Narrow" w:hAnsi="Arial Narrow" w:cs="Arial"/>
                <w:b/>
                <w:sz w:val="20"/>
                <w:szCs w:val="20"/>
              </w:rPr>
              <w:t>PBS indication:</w:t>
            </w:r>
          </w:p>
        </w:tc>
        <w:tc>
          <w:tcPr>
            <w:tcW w:w="6031" w:type="dxa"/>
            <w:tcBorders>
              <w:top w:val="single" w:sz="4" w:space="0" w:color="auto"/>
              <w:left w:val="single" w:sz="4" w:space="0" w:color="auto"/>
              <w:bottom w:val="single" w:sz="4" w:space="0" w:color="auto"/>
              <w:right w:val="single" w:sz="4" w:space="0" w:color="auto"/>
            </w:tcBorders>
          </w:tcPr>
          <w:p w14:paraId="65BD9BEC" w14:textId="77777777" w:rsidR="00744FB8" w:rsidRPr="00F33674" w:rsidRDefault="00744FB8" w:rsidP="00265869">
            <w:pPr>
              <w:rPr>
                <w:rFonts w:ascii="Arial Narrow" w:hAnsi="Arial Narrow" w:cs="Arial"/>
                <w:sz w:val="20"/>
                <w:szCs w:val="20"/>
              </w:rPr>
            </w:pPr>
            <w:r w:rsidRPr="00F33674">
              <w:rPr>
                <w:rFonts w:ascii="Arial Narrow" w:hAnsi="Arial Narrow" w:cs="Arial"/>
                <w:sz w:val="20"/>
                <w:szCs w:val="20"/>
              </w:rPr>
              <w:t>[9729] Chronic severe disabling pain</w:t>
            </w:r>
          </w:p>
        </w:tc>
      </w:tr>
      <w:tr w:rsidR="00744FB8" w:rsidRPr="00F33674" w14:paraId="161196F7" w14:textId="77777777" w:rsidTr="00C21DFA">
        <w:trPr>
          <w:cantSplit/>
          <w:trHeight w:val="360"/>
        </w:trPr>
        <w:tc>
          <w:tcPr>
            <w:tcW w:w="3183" w:type="dxa"/>
            <w:tcBorders>
              <w:top w:val="single" w:sz="4" w:space="0" w:color="auto"/>
              <w:left w:val="single" w:sz="4" w:space="0" w:color="auto"/>
              <w:bottom w:val="single" w:sz="4" w:space="0" w:color="auto"/>
              <w:right w:val="single" w:sz="4" w:space="0" w:color="auto"/>
            </w:tcBorders>
          </w:tcPr>
          <w:p w14:paraId="262726B0" w14:textId="77777777" w:rsidR="00744FB8" w:rsidRPr="00F33674" w:rsidRDefault="00744FB8" w:rsidP="00265869">
            <w:pPr>
              <w:rPr>
                <w:rFonts w:ascii="Arial Narrow" w:hAnsi="Arial Narrow" w:cs="Arial"/>
                <w:b/>
                <w:sz w:val="20"/>
                <w:szCs w:val="20"/>
              </w:rPr>
            </w:pPr>
            <w:r w:rsidRPr="00F33674">
              <w:rPr>
                <w:rFonts w:ascii="Arial Narrow" w:hAnsi="Arial Narrow" w:cs="Arial"/>
                <w:b/>
                <w:sz w:val="20"/>
                <w:szCs w:val="20"/>
              </w:rPr>
              <w:t>Restriction Level / Method:</w:t>
            </w:r>
          </w:p>
          <w:p w14:paraId="4703FAF7" w14:textId="77777777" w:rsidR="00744FB8" w:rsidRPr="00F33674" w:rsidRDefault="00744FB8" w:rsidP="00265869">
            <w:pPr>
              <w:rPr>
                <w:rFonts w:ascii="Arial Narrow" w:hAnsi="Arial Narrow" w:cs="Arial"/>
                <w:i/>
                <w:sz w:val="20"/>
                <w:szCs w:val="20"/>
              </w:rPr>
            </w:pPr>
          </w:p>
          <w:p w14:paraId="7EBFA513" w14:textId="77777777" w:rsidR="00744FB8" w:rsidRPr="00F33674" w:rsidRDefault="00744FB8" w:rsidP="00265869">
            <w:pPr>
              <w:rPr>
                <w:rFonts w:ascii="Arial Narrow" w:hAnsi="Arial Narrow" w:cs="Arial"/>
                <w:i/>
                <w:sz w:val="20"/>
                <w:szCs w:val="20"/>
              </w:rPr>
            </w:pPr>
          </w:p>
          <w:p w14:paraId="192CD7D2" w14:textId="77777777" w:rsidR="00744FB8" w:rsidRPr="00F33674" w:rsidRDefault="00744FB8" w:rsidP="00265869">
            <w:pPr>
              <w:rPr>
                <w:rFonts w:ascii="Arial Narrow" w:hAnsi="Arial Narrow" w:cs="Arial"/>
                <w:i/>
                <w:sz w:val="20"/>
                <w:szCs w:val="20"/>
              </w:rPr>
            </w:pPr>
          </w:p>
        </w:tc>
        <w:tc>
          <w:tcPr>
            <w:tcW w:w="6031" w:type="dxa"/>
            <w:tcBorders>
              <w:top w:val="single" w:sz="4" w:space="0" w:color="auto"/>
              <w:left w:val="single" w:sz="4" w:space="0" w:color="auto"/>
              <w:bottom w:val="single" w:sz="4" w:space="0" w:color="auto"/>
              <w:right w:val="single" w:sz="4" w:space="0" w:color="auto"/>
            </w:tcBorders>
          </w:tcPr>
          <w:p w14:paraId="686047F6" w14:textId="77777777" w:rsidR="00744FB8" w:rsidRPr="00F33674" w:rsidRDefault="00744FB8" w:rsidP="00265869">
            <w:pPr>
              <w:rPr>
                <w:rFonts w:ascii="Arial Narrow" w:hAnsi="Arial Narrow" w:cs="Arial"/>
                <w:sz w:val="20"/>
                <w:szCs w:val="20"/>
              </w:rPr>
            </w:pPr>
            <w:r w:rsidRPr="00F33674">
              <w:rPr>
                <w:rFonts w:ascii="Arial Narrow" w:hAnsi="Arial Narrow" w:cs="Arial"/>
                <w:sz w:val="20"/>
                <w:szCs w:val="20"/>
              </w:rPr>
              <w:fldChar w:fldCharType="begin">
                <w:ffData>
                  <w:name w:val=""/>
                  <w:enabled/>
                  <w:calcOnExit w:val="0"/>
                  <w:checkBox>
                    <w:sizeAuto/>
                    <w:default w:val="0"/>
                  </w:checkBox>
                </w:ffData>
              </w:fldChar>
            </w:r>
            <w:r w:rsidRPr="00F33674">
              <w:rPr>
                <w:rFonts w:ascii="Arial Narrow" w:hAnsi="Arial Narrow" w:cs="Arial"/>
                <w:sz w:val="20"/>
                <w:szCs w:val="20"/>
              </w:rPr>
              <w:instrText xml:space="preserve"> FORMCHECKBOX </w:instrText>
            </w:r>
            <w:r w:rsidR="00233D13">
              <w:rPr>
                <w:rFonts w:ascii="Arial Narrow" w:hAnsi="Arial Narrow" w:cs="Arial"/>
                <w:sz w:val="20"/>
                <w:szCs w:val="20"/>
              </w:rPr>
            </w:r>
            <w:r w:rsidR="00233D13">
              <w:rPr>
                <w:rFonts w:ascii="Arial Narrow" w:hAnsi="Arial Narrow" w:cs="Arial"/>
                <w:sz w:val="20"/>
                <w:szCs w:val="20"/>
              </w:rPr>
              <w:fldChar w:fldCharType="separate"/>
            </w:r>
            <w:r w:rsidRPr="00F33674">
              <w:rPr>
                <w:rFonts w:ascii="Arial Narrow" w:hAnsi="Arial Narrow" w:cs="Arial"/>
                <w:sz w:val="20"/>
                <w:szCs w:val="20"/>
              </w:rPr>
              <w:fldChar w:fldCharType="end"/>
            </w:r>
            <w:r w:rsidRPr="00F33674">
              <w:rPr>
                <w:rFonts w:ascii="Arial Narrow" w:hAnsi="Arial Narrow" w:cs="Arial"/>
                <w:sz w:val="20"/>
                <w:szCs w:val="20"/>
              </w:rPr>
              <w:t>Unrestricted benefit</w:t>
            </w:r>
          </w:p>
          <w:p w14:paraId="50B59CCE" w14:textId="77777777" w:rsidR="00744FB8" w:rsidRPr="00F33674" w:rsidRDefault="00744FB8" w:rsidP="00265869">
            <w:pPr>
              <w:rPr>
                <w:rFonts w:ascii="Arial Narrow" w:hAnsi="Arial Narrow" w:cs="Arial"/>
                <w:i/>
                <w:sz w:val="20"/>
                <w:szCs w:val="20"/>
              </w:rPr>
            </w:pPr>
            <w:r w:rsidRPr="00F33674">
              <w:rPr>
                <w:rFonts w:ascii="Arial Narrow" w:hAnsi="Arial Narrow" w:cs="Arial"/>
                <w:i/>
                <w:sz w:val="20"/>
                <w:szCs w:val="20"/>
              </w:rPr>
              <w:fldChar w:fldCharType="begin">
                <w:ffData>
                  <w:name w:val=""/>
                  <w:enabled/>
                  <w:calcOnExit w:val="0"/>
                  <w:checkBox>
                    <w:sizeAuto/>
                    <w:default w:val="0"/>
                  </w:checkBox>
                </w:ffData>
              </w:fldChar>
            </w:r>
            <w:r w:rsidRPr="00F33674">
              <w:rPr>
                <w:rFonts w:ascii="Arial Narrow" w:hAnsi="Arial Narrow" w:cs="Arial"/>
                <w:i/>
                <w:sz w:val="20"/>
                <w:szCs w:val="20"/>
              </w:rPr>
              <w:instrText xml:space="preserve"> FORMCHECKBOX </w:instrText>
            </w:r>
            <w:r w:rsidR="00233D13">
              <w:rPr>
                <w:rFonts w:ascii="Arial Narrow" w:hAnsi="Arial Narrow" w:cs="Arial"/>
                <w:i/>
                <w:sz w:val="20"/>
                <w:szCs w:val="20"/>
              </w:rPr>
            </w:r>
            <w:r w:rsidR="00233D13">
              <w:rPr>
                <w:rFonts w:ascii="Arial Narrow" w:hAnsi="Arial Narrow" w:cs="Arial"/>
                <w:i/>
                <w:sz w:val="20"/>
                <w:szCs w:val="20"/>
              </w:rPr>
              <w:fldChar w:fldCharType="separate"/>
            </w:r>
            <w:r w:rsidRPr="00F33674">
              <w:rPr>
                <w:rFonts w:ascii="Arial Narrow" w:hAnsi="Arial Narrow" w:cs="Arial"/>
                <w:i/>
                <w:sz w:val="20"/>
                <w:szCs w:val="20"/>
              </w:rPr>
              <w:fldChar w:fldCharType="end"/>
            </w:r>
            <w:r w:rsidRPr="00F33674">
              <w:rPr>
                <w:rFonts w:ascii="Arial Narrow" w:hAnsi="Arial Narrow" w:cs="Arial"/>
                <w:sz w:val="20"/>
                <w:szCs w:val="20"/>
              </w:rPr>
              <w:t>Restricted benefit</w:t>
            </w:r>
          </w:p>
          <w:p w14:paraId="624D6F03" w14:textId="77777777" w:rsidR="00744FB8" w:rsidRPr="00F33674" w:rsidRDefault="00744FB8" w:rsidP="00265869">
            <w:pPr>
              <w:rPr>
                <w:rFonts w:ascii="Arial Narrow" w:hAnsi="Arial Narrow" w:cs="Arial"/>
                <w:sz w:val="20"/>
                <w:szCs w:val="20"/>
              </w:rPr>
            </w:pPr>
            <w:r w:rsidRPr="00F33674">
              <w:rPr>
                <w:rFonts w:ascii="Arial Narrow" w:hAnsi="Arial Narrow" w:cs="Arial"/>
                <w:sz w:val="20"/>
                <w:szCs w:val="20"/>
              </w:rPr>
              <w:fldChar w:fldCharType="begin">
                <w:ffData>
                  <w:name w:val=""/>
                  <w:enabled/>
                  <w:calcOnExit w:val="0"/>
                  <w:checkBox>
                    <w:sizeAuto/>
                    <w:default w:val="0"/>
                  </w:checkBox>
                </w:ffData>
              </w:fldChar>
            </w:r>
            <w:r w:rsidRPr="00F33674">
              <w:rPr>
                <w:rFonts w:ascii="Arial Narrow" w:hAnsi="Arial Narrow" w:cs="Arial"/>
                <w:sz w:val="20"/>
                <w:szCs w:val="20"/>
              </w:rPr>
              <w:instrText xml:space="preserve"> FORMCHECKBOX </w:instrText>
            </w:r>
            <w:r w:rsidR="00233D13">
              <w:rPr>
                <w:rFonts w:ascii="Arial Narrow" w:hAnsi="Arial Narrow" w:cs="Arial"/>
                <w:sz w:val="20"/>
                <w:szCs w:val="20"/>
              </w:rPr>
            </w:r>
            <w:r w:rsidR="00233D13">
              <w:rPr>
                <w:rFonts w:ascii="Arial Narrow" w:hAnsi="Arial Narrow" w:cs="Arial"/>
                <w:sz w:val="20"/>
                <w:szCs w:val="20"/>
              </w:rPr>
              <w:fldChar w:fldCharType="separate"/>
            </w:r>
            <w:r w:rsidRPr="00F33674">
              <w:rPr>
                <w:rFonts w:ascii="Arial Narrow" w:hAnsi="Arial Narrow" w:cs="Arial"/>
                <w:sz w:val="20"/>
                <w:szCs w:val="20"/>
              </w:rPr>
              <w:fldChar w:fldCharType="end"/>
            </w:r>
            <w:r w:rsidRPr="00F33674">
              <w:rPr>
                <w:rFonts w:ascii="Arial Narrow" w:hAnsi="Arial Narrow" w:cs="Arial"/>
                <w:sz w:val="20"/>
                <w:szCs w:val="20"/>
              </w:rPr>
              <w:t>Authority Required – In Writing</w:t>
            </w:r>
          </w:p>
          <w:p w14:paraId="4FA8C0AC" w14:textId="77777777" w:rsidR="00744FB8" w:rsidRPr="00F33674" w:rsidRDefault="00744FB8" w:rsidP="00265869">
            <w:pPr>
              <w:rPr>
                <w:rFonts w:ascii="Arial Narrow" w:hAnsi="Arial Narrow" w:cs="Arial"/>
                <w:sz w:val="20"/>
                <w:szCs w:val="20"/>
              </w:rPr>
            </w:pPr>
            <w:r w:rsidRPr="00F33674">
              <w:rPr>
                <w:rFonts w:ascii="Arial Narrow" w:hAnsi="Arial Narrow" w:cs="Arial"/>
                <w:sz w:val="20"/>
                <w:szCs w:val="20"/>
              </w:rPr>
              <w:fldChar w:fldCharType="begin">
                <w:ffData>
                  <w:name w:val="Check3"/>
                  <w:enabled/>
                  <w:calcOnExit w:val="0"/>
                  <w:checkBox>
                    <w:sizeAuto/>
                    <w:default w:val="0"/>
                  </w:checkBox>
                </w:ffData>
              </w:fldChar>
            </w:r>
            <w:r w:rsidRPr="00F33674">
              <w:rPr>
                <w:rFonts w:ascii="Arial Narrow" w:hAnsi="Arial Narrow" w:cs="Arial"/>
                <w:sz w:val="20"/>
                <w:szCs w:val="20"/>
              </w:rPr>
              <w:instrText xml:space="preserve"> FORMCHECKBOX </w:instrText>
            </w:r>
            <w:r w:rsidR="00233D13">
              <w:rPr>
                <w:rFonts w:ascii="Arial Narrow" w:hAnsi="Arial Narrow" w:cs="Arial"/>
                <w:sz w:val="20"/>
                <w:szCs w:val="20"/>
              </w:rPr>
            </w:r>
            <w:r w:rsidR="00233D13">
              <w:rPr>
                <w:rFonts w:ascii="Arial Narrow" w:hAnsi="Arial Narrow" w:cs="Arial"/>
                <w:sz w:val="20"/>
                <w:szCs w:val="20"/>
              </w:rPr>
              <w:fldChar w:fldCharType="separate"/>
            </w:r>
            <w:r w:rsidRPr="00F33674">
              <w:rPr>
                <w:rFonts w:ascii="Arial Narrow" w:hAnsi="Arial Narrow" w:cs="Arial"/>
                <w:sz w:val="20"/>
                <w:szCs w:val="20"/>
              </w:rPr>
              <w:fldChar w:fldCharType="end"/>
            </w:r>
            <w:r w:rsidRPr="00F33674">
              <w:rPr>
                <w:rFonts w:ascii="Arial Narrow" w:hAnsi="Arial Narrow" w:cs="Arial"/>
                <w:sz w:val="20"/>
                <w:szCs w:val="20"/>
              </w:rPr>
              <w:t>Authority Required – Telephone/Electronic/Emergency</w:t>
            </w:r>
          </w:p>
          <w:p w14:paraId="17F4669F" w14:textId="77777777" w:rsidR="00744FB8" w:rsidRPr="00F33674" w:rsidRDefault="00744FB8" w:rsidP="00265869">
            <w:pPr>
              <w:rPr>
                <w:rFonts w:ascii="Arial Narrow" w:hAnsi="Arial Narrow" w:cs="Arial"/>
                <w:sz w:val="20"/>
                <w:szCs w:val="20"/>
              </w:rPr>
            </w:pPr>
            <w:r w:rsidRPr="00F33674">
              <w:rPr>
                <w:rFonts w:ascii="Arial Narrow" w:hAnsi="Arial Narrow" w:cs="Arial"/>
                <w:sz w:val="20"/>
                <w:szCs w:val="20"/>
              </w:rPr>
              <w:fldChar w:fldCharType="begin">
                <w:ffData>
                  <w:name w:val="Check5"/>
                  <w:enabled/>
                  <w:calcOnExit w:val="0"/>
                  <w:checkBox>
                    <w:sizeAuto/>
                    <w:default w:val="1"/>
                  </w:checkBox>
                </w:ffData>
              </w:fldChar>
            </w:r>
            <w:r w:rsidRPr="00F33674">
              <w:rPr>
                <w:rFonts w:ascii="Arial Narrow" w:hAnsi="Arial Narrow" w:cs="Arial"/>
                <w:sz w:val="20"/>
                <w:szCs w:val="20"/>
              </w:rPr>
              <w:instrText xml:space="preserve"> FORMCHECKBOX </w:instrText>
            </w:r>
            <w:r w:rsidR="00233D13">
              <w:rPr>
                <w:rFonts w:ascii="Arial Narrow" w:hAnsi="Arial Narrow" w:cs="Arial"/>
                <w:sz w:val="20"/>
                <w:szCs w:val="20"/>
              </w:rPr>
            </w:r>
            <w:r w:rsidR="00233D13">
              <w:rPr>
                <w:rFonts w:ascii="Arial Narrow" w:hAnsi="Arial Narrow" w:cs="Arial"/>
                <w:sz w:val="20"/>
                <w:szCs w:val="20"/>
              </w:rPr>
              <w:fldChar w:fldCharType="separate"/>
            </w:r>
            <w:r w:rsidRPr="00F33674">
              <w:rPr>
                <w:rFonts w:ascii="Arial Narrow" w:hAnsi="Arial Narrow" w:cs="Arial"/>
                <w:sz w:val="20"/>
                <w:szCs w:val="20"/>
              </w:rPr>
              <w:fldChar w:fldCharType="end"/>
            </w:r>
            <w:r w:rsidRPr="00F33674">
              <w:rPr>
                <w:rFonts w:ascii="Arial Narrow" w:hAnsi="Arial Narrow" w:cs="Arial"/>
                <w:sz w:val="20"/>
                <w:szCs w:val="20"/>
              </w:rPr>
              <w:t>Streamlined</w:t>
            </w:r>
          </w:p>
        </w:tc>
      </w:tr>
      <w:tr w:rsidR="00744FB8" w:rsidRPr="00F33674" w14:paraId="2A3F0275" w14:textId="77777777" w:rsidTr="00C21DFA">
        <w:trPr>
          <w:cantSplit/>
          <w:trHeight w:val="360"/>
        </w:trPr>
        <w:tc>
          <w:tcPr>
            <w:tcW w:w="3183" w:type="dxa"/>
            <w:tcBorders>
              <w:top w:val="single" w:sz="4" w:space="0" w:color="auto"/>
              <w:left w:val="single" w:sz="4" w:space="0" w:color="auto"/>
              <w:bottom w:val="single" w:sz="4" w:space="0" w:color="auto"/>
              <w:right w:val="single" w:sz="4" w:space="0" w:color="auto"/>
            </w:tcBorders>
          </w:tcPr>
          <w:p w14:paraId="3BD933DC" w14:textId="77777777" w:rsidR="00744FB8" w:rsidRPr="00F33674" w:rsidRDefault="00744FB8" w:rsidP="00265869">
            <w:pPr>
              <w:rPr>
                <w:rFonts w:ascii="Arial Narrow" w:hAnsi="Arial Narrow" w:cs="Arial"/>
                <w:b/>
                <w:sz w:val="20"/>
                <w:szCs w:val="20"/>
              </w:rPr>
            </w:pPr>
            <w:r>
              <w:rPr>
                <w:rFonts w:ascii="Arial Narrow" w:hAnsi="Arial Narrow" w:cs="Arial"/>
                <w:b/>
                <w:sz w:val="20"/>
                <w:szCs w:val="20"/>
              </w:rPr>
              <w:t>Treatment phase:</w:t>
            </w:r>
          </w:p>
        </w:tc>
        <w:tc>
          <w:tcPr>
            <w:tcW w:w="6031" w:type="dxa"/>
            <w:tcBorders>
              <w:top w:val="single" w:sz="4" w:space="0" w:color="auto"/>
              <w:left w:val="single" w:sz="4" w:space="0" w:color="auto"/>
              <w:bottom w:val="single" w:sz="4" w:space="0" w:color="auto"/>
              <w:right w:val="single" w:sz="4" w:space="0" w:color="auto"/>
            </w:tcBorders>
          </w:tcPr>
          <w:p w14:paraId="16A74642" w14:textId="46397D24" w:rsidR="00744FB8" w:rsidRPr="00F33674" w:rsidRDefault="005E5921" w:rsidP="00265869">
            <w:pPr>
              <w:jc w:val="left"/>
              <w:rPr>
                <w:rFonts w:ascii="Arial Narrow" w:hAnsi="Arial Narrow" w:cs="Arial"/>
                <w:sz w:val="20"/>
                <w:szCs w:val="20"/>
              </w:rPr>
            </w:pPr>
            <w:r w:rsidRPr="00CB0FCB">
              <w:rPr>
                <w:rFonts w:ascii="Arial Narrow" w:hAnsi="Arial Narrow" w:cs="Arial"/>
                <w:sz w:val="20"/>
                <w:szCs w:val="20"/>
              </w:rPr>
              <w:t>Continuing PBS treatment after 1 June 2020</w:t>
            </w:r>
            <w:r>
              <w:rPr>
                <w:rFonts w:ascii="Arial Narrow" w:hAnsi="Arial Narrow" w:cs="Arial"/>
                <w:sz w:val="20"/>
                <w:szCs w:val="20"/>
              </w:rPr>
              <w:t>.</w:t>
            </w:r>
          </w:p>
        </w:tc>
      </w:tr>
      <w:tr w:rsidR="00744FB8" w:rsidRPr="00F33674" w14:paraId="505A6EC1" w14:textId="77777777" w:rsidTr="00C21DFA">
        <w:trPr>
          <w:cantSplit/>
          <w:trHeight w:val="360"/>
        </w:trPr>
        <w:tc>
          <w:tcPr>
            <w:tcW w:w="3183" w:type="dxa"/>
            <w:tcBorders>
              <w:top w:val="single" w:sz="4" w:space="0" w:color="auto"/>
              <w:left w:val="single" w:sz="4" w:space="0" w:color="auto"/>
              <w:bottom w:val="single" w:sz="4" w:space="0" w:color="auto"/>
              <w:right w:val="single" w:sz="4" w:space="0" w:color="auto"/>
            </w:tcBorders>
          </w:tcPr>
          <w:p w14:paraId="4E4E09FC" w14:textId="77777777" w:rsidR="00744FB8" w:rsidRPr="00F33674" w:rsidRDefault="00744FB8" w:rsidP="00265869">
            <w:pPr>
              <w:rPr>
                <w:rFonts w:ascii="Arial Narrow" w:hAnsi="Arial Narrow" w:cs="Arial"/>
                <w:b/>
                <w:sz w:val="20"/>
                <w:szCs w:val="20"/>
              </w:rPr>
            </w:pPr>
            <w:r w:rsidRPr="00F33674">
              <w:rPr>
                <w:rFonts w:ascii="Arial Narrow" w:hAnsi="Arial Narrow" w:cs="Arial"/>
                <w:b/>
                <w:sz w:val="20"/>
                <w:szCs w:val="20"/>
              </w:rPr>
              <w:t>Clinical criteria:</w:t>
            </w:r>
          </w:p>
        </w:tc>
        <w:tc>
          <w:tcPr>
            <w:tcW w:w="6031" w:type="dxa"/>
            <w:tcBorders>
              <w:top w:val="single" w:sz="4" w:space="0" w:color="auto"/>
              <w:left w:val="single" w:sz="4" w:space="0" w:color="auto"/>
              <w:bottom w:val="single" w:sz="4" w:space="0" w:color="auto"/>
              <w:right w:val="single" w:sz="4" w:space="0" w:color="auto"/>
            </w:tcBorders>
          </w:tcPr>
          <w:p w14:paraId="22E1ED54" w14:textId="77777777" w:rsidR="00744FB8" w:rsidRPr="00F33674" w:rsidRDefault="00744FB8" w:rsidP="00265869">
            <w:pPr>
              <w:jc w:val="left"/>
              <w:rPr>
                <w:rFonts w:ascii="Arial Narrow" w:hAnsi="Arial Narrow" w:cs="Arial"/>
                <w:sz w:val="20"/>
                <w:szCs w:val="20"/>
              </w:rPr>
            </w:pPr>
            <w:r w:rsidRPr="00F33674">
              <w:rPr>
                <w:rFonts w:ascii="Arial Narrow" w:hAnsi="Arial Narrow" w:cs="Arial"/>
                <w:sz w:val="20"/>
                <w:szCs w:val="20"/>
              </w:rPr>
              <w:t xml:space="preserve">[new] </w:t>
            </w:r>
            <w:r w:rsidRPr="00744FB8">
              <w:rPr>
                <w:rFonts w:ascii="Arial Narrow" w:hAnsi="Arial Narrow" w:cs="Arial"/>
                <w:sz w:val="20"/>
                <w:szCs w:val="20"/>
              </w:rPr>
              <w:t>Patient must have previously received PBS-subsidised treatment with this form of this drug for this condition after 1 June 2020</w:t>
            </w:r>
            <w:r>
              <w:rPr>
                <w:rFonts w:ascii="Arial Narrow" w:hAnsi="Arial Narrow" w:cs="Arial"/>
                <w:sz w:val="20"/>
                <w:szCs w:val="20"/>
              </w:rPr>
              <w:t>.</w:t>
            </w:r>
          </w:p>
        </w:tc>
      </w:tr>
      <w:tr w:rsidR="00744FB8" w:rsidRPr="00F33674" w14:paraId="28323AE0" w14:textId="77777777" w:rsidTr="00C21DFA">
        <w:trPr>
          <w:cantSplit/>
          <w:trHeight w:val="360"/>
        </w:trPr>
        <w:tc>
          <w:tcPr>
            <w:tcW w:w="3183" w:type="dxa"/>
            <w:tcBorders>
              <w:top w:val="single" w:sz="4" w:space="0" w:color="auto"/>
              <w:left w:val="single" w:sz="4" w:space="0" w:color="auto"/>
              <w:bottom w:val="single" w:sz="4" w:space="0" w:color="auto"/>
              <w:right w:val="single" w:sz="4" w:space="0" w:color="auto"/>
            </w:tcBorders>
          </w:tcPr>
          <w:p w14:paraId="3857C7A4" w14:textId="77777777" w:rsidR="00744FB8" w:rsidRPr="00F33674" w:rsidRDefault="00744FB8" w:rsidP="00265869">
            <w:pPr>
              <w:rPr>
                <w:rFonts w:ascii="Arial Narrow" w:hAnsi="Arial Narrow" w:cs="Arial"/>
                <w:b/>
                <w:sz w:val="20"/>
                <w:szCs w:val="20"/>
              </w:rPr>
            </w:pPr>
            <w:r w:rsidRPr="00F33674">
              <w:rPr>
                <w:rFonts w:ascii="Arial Narrow" w:hAnsi="Arial Narrow" w:cs="Arial"/>
                <w:b/>
                <w:sz w:val="20"/>
                <w:szCs w:val="20"/>
              </w:rPr>
              <w:lastRenderedPageBreak/>
              <w:t>Prescriber instruction:</w:t>
            </w:r>
          </w:p>
        </w:tc>
        <w:tc>
          <w:tcPr>
            <w:tcW w:w="6031" w:type="dxa"/>
            <w:tcBorders>
              <w:top w:val="single" w:sz="4" w:space="0" w:color="auto"/>
              <w:left w:val="single" w:sz="4" w:space="0" w:color="auto"/>
              <w:bottom w:val="single" w:sz="4" w:space="0" w:color="auto"/>
              <w:right w:val="single" w:sz="4" w:space="0" w:color="auto"/>
            </w:tcBorders>
          </w:tcPr>
          <w:p w14:paraId="1A92BD24" w14:textId="77777777" w:rsidR="00744FB8" w:rsidRPr="00744FB8" w:rsidRDefault="00744FB8" w:rsidP="00265869">
            <w:pPr>
              <w:jc w:val="left"/>
              <w:rPr>
                <w:rFonts w:ascii="Arial Narrow" w:hAnsi="Arial Narrow" w:cs="Arial"/>
                <w:sz w:val="20"/>
                <w:szCs w:val="20"/>
              </w:rPr>
            </w:pPr>
            <w:r w:rsidRPr="00F33674">
              <w:rPr>
                <w:rFonts w:ascii="Arial Narrow" w:hAnsi="Arial Narrow" w:cs="Arial"/>
                <w:sz w:val="20"/>
                <w:szCs w:val="20"/>
              </w:rPr>
              <w:t xml:space="preserve">[new] </w:t>
            </w:r>
            <w:r w:rsidRPr="00744FB8">
              <w:rPr>
                <w:rFonts w:ascii="Arial Narrow" w:hAnsi="Arial Narrow" w:cs="Arial"/>
                <w:sz w:val="20"/>
                <w:szCs w:val="20"/>
              </w:rPr>
              <w:t>Authorities for increased maximum quantities and/or repeats must only be considered for chronic severe disabling pain where the patient has received initial authority approval and the total duration of non-PBS and PBS opioid analgesic treatment:</w:t>
            </w:r>
          </w:p>
          <w:p w14:paraId="0A6ECA66" w14:textId="77777777" w:rsidR="00744FB8" w:rsidRPr="00744FB8" w:rsidRDefault="00744FB8" w:rsidP="00265869">
            <w:pPr>
              <w:jc w:val="left"/>
              <w:rPr>
                <w:rFonts w:ascii="Arial Narrow" w:hAnsi="Arial Narrow" w:cs="Arial"/>
                <w:sz w:val="20"/>
                <w:szCs w:val="20"/>
              </w:rPr>
            </w:pPr>
            <w:r w:rsidRPr="00744FB8">
              <w:rPr>
                <w:rFonts w:ascii="Arial Narrow" w:hAnsi="Arial Narrow" w:cs="Arial"/>
                <w:sz w:val="20"/>
                <w:szCs w:val="20"/>
              </w:rPr>
              <w:t>(i) is less than 12 months; or</w:t>
            </w:r>
          </w:p>
          <w:p w14:paraId="575766FF" w14:textId="77777777" w:rsidR="00744FB8" w:rsidRPr="00744FB8" w:rsidRDefault="00744FB8" w:rsidP="00265869">
            <w:pPr>
              <w:jc w:val="left"/>
              <w:rPr>
                <w:rFonts w:ascii="Arial Narrow" w:hAnsi="Arial Narrow" w:cs="Arial"/>
                <w:sz w:val="20"/>
                <w:szCs w:val="20"/>
              </w:rPr>
            </w:pPr>
            <w:r w:rsidRPr="00744FB8">
              <w:rPr>
                <w:rFonts w:ascii="Arial Narrow" w:hAnsi="Arial Narrow" w:cs="Arial"/>
                <w:sz w:val="20"/>
                <w:szCs w:val="20"/>
              </w:rPr>
              <w:t>(ii) exceeds 12 months and the palliative care patient is unable to have annual pain management review due to their clinical condition; or</w:t>
            </w:r>
          </w:p>
          <w:p w14:paraId="4F172A77" w14:textId="77777777" w:rsidR="00744FB8" w:rsidRPr="00744FB8" w:rsidRDefault="00744FB8" w:rsidP="00265869">
            <w:pPr>
              <w:jc w:val="left"/>
              <w:rPr>
                <w:rFonts w:ascii="Arial Narrow" w:hAnsi="Arial Narrow" w:cs="Arial"/>
                <w:sz w:val="20"/>
                <w:szCs w:val="20"/>
              </w:rPr>
            </w:pPr>
            <w:r w:rsidRPr="00744FB8">
              <w:rPr>
                <w:rFonts w:ascii="Arial Narrow" w:hAnsi="Arial Narrow" w:cs="Arial"/>
                <w:sz w:val="20"/>
                <w:szCs w:val="20"/>
              </w:rPr>
              <w:t>(iii) exceeds 12 months and the patient's clinical need for continuing opioid treatment has been confirmed through consultation with the patient by another medical practitioner or a palliative care nurse practitioner in the past 12 months; or</w:t>
            </w:r>
          </w:p>
          <w:p w14:paraId="46C4EB4D" w14:textId="77777777" w:rsidR="00744FB8" w:rsidRDefault="00744FB8" w:rsidP="00265869">
            <w:pPr>
              <w:jc w:val="left"/>
              <w:rPr>
                <w:rFonts w:ascii="Arial Narrow" w:hAnsi="Arial Narrow" w:cs="Arial"/>
                <w:sz w:val="20"/>
                <w:szCs w:val="20"/>
              </w:rPr>
            </w:pPr>
            <w:r w:rsidRPr="00744FB8">
              <w:rPr>
                <w:rFonts w:ascii="Arial Narrow" w:hAnsi="Arial Narrow" w:cs="Arial"/>
                <w:sz w:val="20"/>
                <w:szCs w:val="20"/>
              </w:rPr>
              <w:t xml:space="preserve">(iv) </w:t>
            </w:r>
            <w:proofErr w:type="gramStart"/>
            <w:r w:rsidRPr="00744FB8">
              <w:rPr>
                <w:rFonts w:ascii="Arial Narrow" w:hAnsi="Arial Narrow" w:cs="Arial"/>
                <w:sz w:val="20"/>
                <w:szCs w:val="20"/>
              </w:rPr>
              <w:t>has</w:t>
            </w:r>
            <w:proofErr w:type="gramEnd"/>
            <w:r w:rsidRPr="00744FB8">
              <w:rPr>
                <w:rFonts w:ascii="Arial Narrow" w:hAnsi="Arial Narrow" w:cs="Arial"/>
                <w:sz w:val="20"/>
                <w:szCs w:val="20"/>
              </w:rPr>
              <w:t xml:space="preserve"> exceeded 12 months prior to 1 June 2020 and the patient's pain management and clinical need for continuing opioid treatment has not been confirmed through consultation with the patient by another medical practitioner or a palliative care nurse practitioner in the past 12 months, but is planned in the next 3 months.</w:t>
            </w:r>
          </w:p>
          <w:p w14:paraId="0B83BB2C" w14:textId="77777777" w:rsidR="00744FB8" w:rsidRPr="00F33674" w:rsidRDefault="00744FB8" w:rsidP="00265869">
            <w:pPr>
              <w:jc w:val="left"/>
              <w:rPr>
                <w:rFonts w:ascii="Arial Narrow" w:hAnsi="Arial Narrow" w:cs="Arial"/>
                <w:sz w:val="20"/>
                <w:szCs w:val="20"/>
              </w:rPr>
            </w:pPr>
          </w:p>
          <w:p w14:paraId="57B0446D" w14:textId="77777777" w:rsidR="00744FB8" w:rsidRPr="00F33674" w:rsidRDefault="00744FB8" w:rsidP="00265869">
            <w:pPr>
              <w:jc w:val="left"/>
              <w:rPr>
                <w:rFonts w:ascii="Arial Narrow" w:hAnsi="Arial Narrow" w:cs="Arial"/>
                <w:sz w:val="20"/>
                <w:szCs w:val="20"/>
              </w:rPr>
            </w:pPr>
            <w:r w:rsidRPr="00F33674">
              <w:rPr>
                <w:rFonts w:ascii="Arial Narrow" w:hAnsi="Arial Narrow" w:cs="Arial"/>
                <w:sz w:val="20"/>
                <w:szCs w:val="20"/>
              </w:rPr>
              <w:t>[new] Authority requests extending treatment duration up to 1 month may be requested though the Online PBS Authorities system or by calling Services Australia.</w:t>
            </w:r>
          </w:p>
          <w:p w14:paraId="203DE157" w14:textId="77777777" w:rsidR="00744FB8" w:rsidRPr="00F33674" w:rsidRDefault="00744FB8" w:rsidP="00265869">
            <w:pPr>
              <w:jc w:val="left"/>
              <w:rPr>
                <w:rFonts w:ascii="Arial Narrow" w:hAnsi="Arial Narrow" w:cs="Arial"/>
                <w:sz w:val="20"/>
                <w:szCs w:val="20"/>
              </w:rPr>
            </w:pPr>
          </w:p>
          <w:p w14:paraId="00FA94FC" w14:textId="77777777" w:rsidR="00744FB8" w:rsidRPr="00F33674" w:rsidRDefault="00744FB8" w:rsidP="00265869">
            <w:pPr>
              <w:jc w:val="left"/>
              <w:rPr>
                <w:rFonts w:ascii="Arial Narrow" w:hAnsi="Arial Narrow" w:cs="Arial"/>
                <w:sz w:val="20"/>
                <w:szCs w:val="20"/>
              </w:rPr>
            </w:pPr>
            <w:r w:rsidRPr="00F33674">
              <w:rPr>
                <w:rFonts w:ascii="Arial Narrow" w:hAnsi="Arial Narrow" w:cs="Arial"/>
                <w:sz w:val="20"/>
                <w:szCs w:val="20"/>
              </w:rPr>
              <w:t xml:space="preserve">Authority requests extending treatment duration beyond 1 month </w:t>
            </w:r>
            <w:r>
              <w:rPr>
                <w:rFonts w:ascii="Arial Narrow" w:hAnsi="Arial Narrow" w:cs="Arial"/>
                <w:sz w:val="20"/>
                <w:szCs w:val="20"/>
              </w:rPr>
              <w:t>may be requested through the Online PBS Authorities system</w:t>
            </w:r>
            <w:r w:rsidRPr="00F33674">
              <w:rPr>
                <w:rFonts w:ascii="Arial Narrow" w:hAnsi="Arial Narrow" w:cs="Arial"/>
                <w:sz w:val="20"/>
                <w:szCs w:val="20"/>
              </w:rPr>
              <w:t xml:space="preserve"> or in writing only and must not provide a treatment duration exceeding </w:t>
            </w:r>
            <w:r>
              <w:rPr>
                <w:rFonts w:ascii="Arial Narrow" w:hAnsi="Arial Narrow" w:cs="Arial"/>
                <w:sz w:val="20"/>
                <w:szCs w:val="20"/>
              </w:rPr>
              <w:t xml:space="preserve">3 months (quantity sufficient for up to </w:t>
            </w:r>
            <w:proofErr w:type="gramStart"/>
            <w:r>
              <w:rPr>
                <w:rFonts w:ascii="Arial Narrow" w:hAnsi="Arial Narrow" w:cs="Arial"/>
                <w:sz w:val="20"/>
                <w:szCs w:val="20"/>
              </w:rPr>
              <w:t>1 month</w:t>
            </w:r>
            <w:proofErr w:type="gramEnd"/>
            <w:r>
              <w:rPr>
                <w:rFonts w:ascii="Arial Narrow" w:hAnsi="Arial Narrow" w:cs="Arial"/>
                <w:sz w:val="20"/>
                <w:szCs w:val="20"/>
              </w:rPr>
              <w:t xml:space="preserve"> treatment and sufficient repeats).</w:t>
            </w:r>
          </w:p>
        </w:tc>
      </w:tr>
      <w:tr w:rsidR="002900EB" w:rsidRPr="00F33674" w14:paraId="5850EDAE" w14:textId="77777777" w:rsidTr="00C21DFA">
        <w:trPr>
          <w:cantSplit/>
          <w:trHeight w:val="360"/>
        </w:trPr>
        <w:tc>
          <w:tcPr>
            <w:tcW w:w="3183" w:type="dxa"/>
            <w:tcBorders>
              <w:top w:val="single" w:sz="4" w:space="0" w:color="auto"/>
              <w:left w:val="single" w:sz="4" w:space="0" w:color="auto"/>
              <w:bottom w:val="single" w:sz="4" w:space="0" w:color="auto"/>
              <w:right w:val="single" w:sz="4" w:space="0" w:color="auto"/>
            </w:tcBorders>
          </w:tcPr>
          <w:p w14:paraId="2A09671D" w14:textId="31A41A9B" w:rsidR="002900EB" w:rsidRPr="00F33674" w:rsidRDefault="002900EB" w:rsidP="002900EB">
            <w:pPr>
              <w:rPr>
                <w:rFonts w:ascii="Arial Narrow" w:hAnsi="Arial Narrow" w:cs="Arial"/>
                <w:b/>
                <w:sz w:val="20"/>
                <w:szCs w:val="20"/>
              </w:rPr>
            </w:pPr>
            <w:r w:rsidRPr="00F33674">
              <w:rPr>
                <w:rFonts w:ascii="Arial Narrow" w:hAnsi="Arial Narrow" w:cs="Arial"/>
                <w:b/>
                <w:sz w:val="20"/>
                <w:szCs w:val="20"/>
              </w:rPr>
              <w:t>Administrative advice:</w:t>
            </w:r>
          </w:p>
        </w:tc>
        <w:tc>
          <w:tcPr>
            <w:tcW w:w="6031" w:type="dxa"/>
            <w:tcBorders>
              <w:top w:val="single" w:sz="4" w:space="0" w:color="auto"/>
              <w:left w:val="single" w:sz="4" w:space="0" w:color="auto"/>
              <w:bottom w:val="single" w:sz="4" w:space="0" w:color="auto"/>
              <w:right w:val="single" w:sz="4" w:space="0" w:color="auto"/>
            </w:tcBorders>
          </w:tcPr>
          <w:p w14:paraId="7506EAE6" w14:textId="77777777" w:rsidR="002900EB" w:rsidRPr="00F33674" w:rsidRDefault="002900EB" w:rsidP="002900EB">
            <w:pPr>
              <w:jc w:val="left"/>
              <w:rPr>
                <w:rFonts w:ascii="Arial Narrow" w:hAnsi="Arial Narrow"/>
                <w:sz w:val="20"/>
                <w:szCs w:val="20"/>
              </w:rPr>
            </w:pPr>
            <w:r w:rsidRPr="00F33674">
              <w:rPr>
                <w:rFonts w:ascii="Arial Narrow" w:hAnsi="Arial Narrow"/>
                <w:sz w:val="20"/>
                <w:szCs w:val="20"/>
              </w:rPr>
              <w:t xml:space="preserve">[13978] Fentanyl transdermal patches </w:t>
            </w:r>
            <w:proofErr w:type="gramStart"/>
            <w:r w:rsidRPr="00F33674">
              <w:rPr>
                <w:rFonts w:ascii="Arial Narrow" w:hAnsi="Arial Narrow"/>
                <w:sz w:val="20"/>
                <w:szCs w:val="20"/>
              </w:rPr>
              <w:t>are not recommended</w:t>
            </w:r>
            <w:proofErr w:type="gramEnd"/>
            <w:r w:rsidRPr="00F33674">
              <w:rPr>
                <w:rFonts w:ascii="Arial Narrow" w:hAnsi="Arial Narrow"/>
                <w:sz w:val="20"/>
                <w:szCs w:val="20"/>
              </w:rPr>
              <w:t xml:space="preserve"> in opioid naive patients with non-cancer pain because of a high incidence of adverse events in these patients. Patients with cancer pain </w:t>
            </w:r>
            <w:proofErr w:type="gramStart"/>
            <w:r w:rsidRPr="00F33674">
              <w:rPr>
                <w:rFonts w:ascii="Arial Narrow" w:hAnsi="Arial Narrow"/>
                <w:sz w:val="20"/>
                <w:szCs w:val="20"/>
              </w:rPr>
              <w:t>may be initiated</w:t>
            </w:r>
            <w:proofErr w:type="gramEnd"/>
            <w:r w:rsidRPr="00F33674">
              <w:rPr>
                <w:rFonts w:ascii="Arial Narrow" w:hAnsi="Arial Narrow"/>
                <w:sz w:val="20"/>
                <w:szCs w:val="20"/>
              </w:rPr>
              <w:t xml:space="preserve"> on the lowest strength patch (12 micrograms per hour).</w:t>
            </w:r>
          </w:p>
          <w:p w14:paraId="256E80CD" w14:textId="77777777" w:rsidR="002900EB" w:rsidRPr="00F33674" w:rsidRDefault="002900EB" w:rsidP="002900EB">
            <w:pPr>
              <w:jc w:val="left"/>
              <w:rPr>
                <w:rFonts w:ascii="Arial Narrow" w:hAnsi="Arial Narrow"/>
                <w:sz w:val="20"/>
                <w:szCs w:val="20"/>
              </w:rPr>
            </w:pPr>
          </w:p>
          <w:p w14:paraId="1B500D12" w14:textId="77777777" w:rsidR="002900EB" w:rsidRPr="00F33674" w:rsidRDefault="002900EB" w:rsidP="002900EB">
            <w:pPr>
              <w:jc w:val="left"/>
              <w:rPr>
                <w:rFonts w:ascii="Arial Narrow" w:hAnsi="Arial Narrow"/>
                <w:sz w:val="20"/>
                <w:szCs w:val="20"/>
              </w:rPr>
            </w:pPr>
            <w:r w:rsidRPr="00F33674">
              <w:rPr>
                <w:rFonts w:ascii="Arial Narrow" w:hAnsi="Arial Narrow"/>
                <w:sz w:val="20"/>
                <w:szCs w:val="20"/>
              </w:rPr>
              <w:t>[new] Consider consultation with a multidisciplinary pain service prior to, or after commencement of this medication.</w:t>
            </w:r>
          </w:p>
          <w:p w14:paraId="691221C9" w14:textId="77777777" w:rsidR="002900EB" w:rsidRPr="00F33674" w:rsidRDefault="002900EB" w:rsidP="002900EB">
            <w:pPr>
              <w:jc w:val="left"/>
              <w:rPr>
                <w:rFonts w:ascii="Arial Narrow" w:hAnsi="Arial Narrow"/>
                <w:sz w:val="20"/>
                <w:szCs w:val="20"/>
              </w:rPr>
            </w:pPr>
          </w:p>
          <w:p w14:paraId="77A70956" w14:textId="77777777" w:rsidR="002900EB" w:rsidRPr="00F33674" w:rsidRDefault="002900EB" w:rsidP="002900EB">
            <w:pPr>
              <w:jc w:val="left"/>
              <w:rPr>
                <w:rFonts w:ascii="Arial Narrow" w:hAnsi="Arial Narrow" w:cs="Arial"/>
                <w:sz w:val="20"/>
                <w:szCs w:val="20"/>
              </w:rPr>
            </w:pPr>
            <w:r w:rsidRPr="00F33674">
              <w:rPr>
                <w:rFonts w:ascii="Arial Narrow" w:hAnsi="Arial Narrow" w:cs="Arial"/>
                <w:sz w:val="20"/>
                <w:szCs w:val="20"/>
              </w:rPr>
              <w:t>[new] This treatment is not suitable for ‘as-required’ pain relief.</w:t>
            </w:r>
          </w:p>
          <w:p w14:paraId="5E1E28F8" w14:textId="77777777" w:rsidR="002900EB" w:rsidRPr="00F33674" w:rsidRDefault="002900EB" w:rsidP="002900EB">
            <w:pPr>
              <w:jc w:val="left"/>
              <w:rPr>
                <w:rFonts w:ascii="Arial Narrow" w:hAnsi="Arial Narrow"/>
                <w:sz w:val="20"/>
                <w:szCs w:val="20"/>
              </w:rPr>
            </w:pPr>
          </w:p>
          <w:p w14:paraId="46168E55" w14:textId="77777777" w:rsidR="002900EB" w:rsidRPr="00F33674" w:rsidRDefault="002900EB" w:rsidP="002900EB">
            <w:pPr>
              <w:jc w:val="left"/>
              <w:rPr>
                <w:rFonts w:ascii="Arial Narrow" w:hAnsi="Arial Narrow" w:cs="Arial"/>
                <w:sz w:val="20"/>
                <w:szCs w:val="20"/>
              </w:rPr>
            </w:pPr>
            <w:r w:rsidRPr="00F33674">
              <w:rPr>
                <w:rFonts w:ascii="Arial Narrow" w:hAnsi="Arial Narrow" w:cs="Arial"/>
                <w:sz w:val="20"/>
                <w:szCs w:val="20"/>
              </w:rPr>
              <w:t>[13980] Pharmaceutical benefits that have the form fentanyl 25 microgram/hour patch are equivalent for the purposes of substitution.</w:t>
            </w:r>
          </w:p>
          <w:p w14:paraId="6A5F1D5B" w14:textId="77777777" w:rsidR="002900EB" w:rsidRPr="00F33674" w:rsidRDefault="002900EB" w:rsidP="002900EB">
            <w:pPr>
              <w:jc w:val="left"/>
              <w:rPr>
                <w:rFonts w:ascii="Arial Narrow" w:hAnsi="Arial Narrow" w:cs="Arial"/>
                <w:sz w:val="20"/>
                <w:szCs w:val="20"/>
              </w:rPr>
            </w:pPr>
          </w:p>
          <w:p w14:paraId="5DF61B07" w14:textId="77777777" w:rsidR="002900EB" w:rsidRPr="00F33674" w:rsidRDefault="002900EB" w:rsidP="002900EB">
            <w:pPr>
              <w:jc w:val="left"/>
              <w:rPr>
                <w:rFonts w:ascii="Arial Narrow" w:hAnsi="Arial Narrow" w:cs="Arial"/>
                <w:sz w:val="20"/>
                <w:szCs w:val="20"/>
              </w:rPr>
            </w:pPr>
            <w:r w:rsidRPr="00F33674">
              <w:rPr>
                <w:rFonts w:ascii="Arial Narrow" w:hAnsi="Arial Narrow" w:cs="Arial"/>
                <w:sz w:val="20"/>
                <w:szCs w:val="20"/>
              </w:rPr>
              <w:t xml:space="preserve">[7901] Shared Care Model: For prescribing by nurse practitioners where care of a patient </w:t>
            </w:r>
            <w:proofErr w:type="gramStart"/>
            <w:r w:rsidRPr="00F33674">
              <w:rPr>
                <w:rFonts w:ascii="Arial Narrow" w:hAnsi="Arial Narrow" w:cs="Arial"/>
                <w:sz w:val="20"/>
                <w:szCs w:val="20"/>
              </w:rPr>
              <w:t>is shared</w:t>
            </w:r>
            <w:proofErr w:type="gramEnd"/>
            <w:r w:rsidRPr="00F33674">
              <w:rPr>
                <w:rFonts w:ascii="Arial Narrow" w:hAnsi="Arial Narrow" w:cs="Arial"/>
                <w:sz w:val="20"/>
                <w:szCs w:val="20"/>
              </w:rPr>
              <w:t xml:space="preserve"> between a nurse practitioner and medical practitioner in a formalised arrangement with an agreed management plan. Further information </w:t>
            </w:r>
            <w:proofErr w:type="gramStart"/>
            <w:r w:rsidRPr="00F33674">
              <w:rPr>
                <w:rFonts w:ascii="Arial Narrow" w:hAnsi="Arial Narrow" w:cs="Arial"/>
                <w:sz w:val="20"/>
                <w:szCs w:val="20"/>
              </w:rPr>
              <w:t>can be found</w:t>
            </w:r>
            <w:proofErr w:type="gramEnd"/>
            <w:r w:rsidRPr="00F33674">
              <w:rPr>
                <w:rFonts w:ascii="Arial Narrow" w:hAnsi="Arial Narrow" w:cs="Arial"/>
                <w:sz w:val="20"/>
                <w:szCs w:val="20"/>
              </w:rPr>
              <w:t xml:space="preserve"> in the Explanatory Notes for Nurse Practitioners.</w:t>
            </w:r>
          </w:p>
          <w:p w14:paraId="4577B5C2" w14:textId="77777777" w:rsidR="002900EB" w:rsidRPr="00F33674" w:rsidRDefault="002900EB" w:rsidP="002900EB">
            <w:pPr>
              <w:jc w:val="left"/>
              <w:rPr>
                <w:rFonts w:ascii="Arial Narrow" w:hAnsi="Arial Narrow" w:cs="Arial"/>
                <w:sz w:val="20"/>
                <w:szCs w:val="20"/>
              </w:rPr>
            </w:pPr>
          </w:p>
          <w:p w14:paraId="1C84A1A1" w14:textId="77777777" w:rsidR="002900EB" w:rsidRPr="00F33674" w:rsidRDefault="002900EB" w:rsidP="002900EB">
            <w:pPr>
              <w:jc w:val="left"/>
              <w:rPr>
                <w:rFonts w:ascii="Arial Narrow" w:hAnsi="Arial Narrow" w:cs="Arial"/>
                <w:sz w:val="20"/>
                <w:szCs w:val="20"/>
              </w:rPr>
            </w:pPr>
            <w:r w:rsidRPr="00F33674">
              <w:rPr>
                <w:rFonts w:ascii="Arial Narrow" w:hAnsi="Arial Narrow" w:cs="Arial"/>
                <w:sz w:val="20"/>
                <w:szCs w:val="20"/>
              </w:rPr>
              <w:t>[new] Real time online applications for increased maximum quantities/repeats may be made using the Online PBS Authorities system (see www.servicesaustralia.gov.au/organisations/health-professionals/services/medicare/hpos/services/request-authority-using-online-pbs-authorities-hpos)</w:t>
            </w:r>
          </w:p>
          <w:p w14:paraId="27396246" w14:textId="77777777" w:rsidR="002900EB" w:rsidRPr="00F33674" w:rsidRDefault="002900EB" w:rsidP="002900EB">
            <w:pPr>
              <w:jc w:val="left"/>
              <w:rPr>
                <w:rFonts w:ascii="Arial Narrow" w:hAnsi="Arial Narrow" w:cs="Arial"/>
                <w:sz w:val="20"/>
                <w:szCs w:val="20"/>
              </w:rPr>
            </w:pPr>
          </w:p>
          <w:p w14:paraId="5F7BE787" w14:textId="77777777" w:rsidR="002900EB" w:rsidRPr="00F33674" w:rsidRDefault="002900EB" w:rsidP="002900EB">
            <w:pPr>
              <w:jc w:val="left"/>
              <w:rPr>
                <w:rFonts w:ascii="Arial Narrow" w:hAnsi="Arial Narrow" w:cs="Arial"/>
                <w:sz w:val="20"/>
                <w:szCs w:val="20"/>
              </w:rPr>
            </w:pPr>
            <w:r w:rsidRPr="00F33674">
              <w:rPr>
                <w:rFonts w:ascii="Arial Narrow" w:hAnsi="Arial Narrow" w:cs="Arial"/>
                <w:sz w:val="20"/>
                <w:szCs w:val="20"/>
              </w:rPr>
              <w:t>Phone applications for increased maximum quantities/repeats may be made by calling 1800 888 333.</w:t>
            </w:r>
          </w:p>
          <w:p w14:paraId="2F6E068D" w14:textId="77777777" w:rsidR="002900EB" w:rsidRPr="00F33674" w:rsidRDefault="002900EB" w:rsidP="002900EB">
            <w:pPr>
              <w:jc w:val="left"/>
              <w:rPr>
                <w:rFonts w:ascii="Arial Narrow" w:hAnsi="Arial Narrow" w:cs="Arial"/>
                <w:sz w:val="20"/>
                <w:szCs w:val="20"/>
              </w:rPr>
            </w:pPr>
          </w:p>
          <w:p w14:paraId="2AFE2744" w14:textId="77777777" w:rsidR="002900EB" w:rsidRPr="00F33674" w:rsidRDefault="002900EB" w:rsidP="002900EB">
            <w:pPr>
              <w:jc w:val="left"/>
              <w:rPr>
                <w:rFonts w:ascii="Arial Narrow" w:hAnsi="Arial Narrow" w:cs="Arial"/>
                <w:sz w:val="20"/>
                <w:szCs w:val="20"/>
              </w:rPr>
            </w:pPr>
            <w:r w:rsidRPr="00F33674">
              <w:rPr>
                <w:rFonts w:ascii="Arial Narrow" w:hAnsi="Arial Narrow" w:cs="Arial"/>
                <w:sz w:val="20"/>
                <w:szCs w:val="20"/>
              </w:rPr>
              <w:t>Written authority applications for increased maximum quantities/repeats can be uploaded online through HPOS form upload or mailed to:</w:t>
            </w:r>
          </w:p>
          <w:p w14:paraId="73351F96" w14:textId="77777777" w:rsidR="002900EB" w:rsidRPr="00F33674" w:rsidRDefault="002900EB" w:rsidP="002900EB">
            <w:pPr>
              <w:jc w:val="left"/>
              <w:rPr>
                <w:rFonts w:ascii="Arial Narrow" w:hAnsi="Arial Narrow" w:cs="Arial"/>
                <w:sz w:val="20"/>
                <w:szCs w:val="20"/>
              </w:rPr>
            </w:pPr>
            <w:r w:rsidRPr="00F33674">
              <w:rPr>
                <w:rFonts w:ascii="Arial Narrow" w:hAnsi="Arial Narrow" w:cs="Arial"/>
                <w:sz w:val="20"/>
                <w:szCs w:val="20"/>
              </w:rPr>
              <w:t>Pharmaceutical Benefits Scheme</w:t>
            </w:r>
          </w:p>
          <w:p w14:paraId="5809AD0F" w14:textId="77777777" w:rsidR="002900EB" w:rsidRPr="00F33674" w:rsidRDefault="002900EB" w:rsidP="002900EB">
            <w:pPr>
              <w:jc w:val="left"/>
              <w:rPr>
                <w:rFonts w:ascii="Arial Narrow" w:hAnsi="Arial Narrow" w:cs="Arial"/>
                <w:sz w:val="20"/>
                <w:szCs w:val="20"/>
              </w:rPr>
            </w:pPr>
            <w:r w:rsidRPr="00F33674">
              <w:rPr>
                <w:rFonts w:ascii="Arial Narrow" w:hAnsi="Arial Narrow" w:cs="Arial"/>
                <w:sz w:val="20"/>
                <w:szCs w:val="20"/>
              </w:rPr>
              <w:t>Reply Paid 9857</w:t>
            </w:r>
          </w:p>
          <w:p w14:paraId="6E51EF29" w14:textId="06410420" w:rsidR="002900EB" w:rsidRPr="00F33674" w:rsidRDefault="002900EB" w:rsidP="002900EB">
            <w:pPr>
              <w:jc w:val="left"/>
              <w:rPr>
                <w:rFonts w:ascii="Arial Narrow" w:hAnsi="Arial Narrow" w:cs="Arial"/>
                <w:sz w:val="20"/>
                <w:szCs w:val="20"/>
              </w:rPr>
            </w:pPr>
            <w:r w:rsidRPr="00F33674">
              <w:rPr>
                <w:rFonts w:ascii="Arial Narrow" w:hAnsi="Arial Narrow" w:cs="Arial"/>
                <w:sz w:val="20"/>
                <w:szCs w:val="20"/>
              </w:rPr>
              <w:t>[Your capital city]</w:t>
            </w:r>
          </w:p>
        </w:tc>
      </w:tr>
      <w:tr w:rsidR="00744FB8" w:rsidRPr="00F33674" w14:paraId="2FC10FE8" w14:textId="77777777" w:rsidTr="00C21DFA">
        <w:trPr>
          <w:cantSplit/>
          <w:trHeight w:val="360"/>
        </w:trPr>
        <w:tc>
          <w:tcPr>
            <w:tcW w:w="3183" w:type="dxa"/>
            <w:tcBorders>
              <w:top w:val="single" w:sz="4" w:space="0" w:color="auto"/>
              <w:left w:val="single" w:sz="4" w:space="0" w:color="auto"/>
              <w:bottom w:val="single" w:sz="4" w:space="0" w:color="auto"/>
              <w:right w:val="single" w:sz="4" w:space="0" w:color="auto"/>
            </w:tcBorders>
          </w:tcPr>
          <w:p w14:paraId="33BB1ABB" w14:textId="77777777" w:rsidR="00744FB8" w:rsidRPr="00F33674" w:rsidRDefault="00744FB8" w:rsidP="00265869">
            <w:pPr>
              <w:rPr>
                <w:rFonts w:ascii="Arial Narrow" w:hAnsi="Arial Narrow" w:cs="Arial"/>
                <w:b/>
                <w:sz w:val="20"/>
                <w:szCs w:val="20"/>
              </w:rPr>
            </w:pPr>
            <w:r w:rsidRPr="00F33674">
              <w:rPr>
                <w:rFonts w:ascii="Arial Narrow" w:hAnsi="Arial Narrow" w:cs="Arial"/>
                <w:b/>
                <w:sz w:val="20"/>
                <w:szCs w:val="20"/>
              </w:rPr>
              <w:t>Cautions:</w:t>
            </w:r>
          </w:p>
        </w:tc>
        <w:tc>
          <w:tcPr>
            <w:tcW w:w="6031" w:type="dxa"/>
            <w:tcBorders>
              <w:top w:val="single" w:sz="4" w:space="0" w:color="auto"/>
              <w:left w:val="single" w:sz="4" w:space="0" w:color="auto"/>
              <w:bottom w:val="single" w:sz="4" w:space="0" w:color="auto"/>
              <w:right w:val="single" w:sz="4" w:space="0" w:color="auto"/>
            </w:tcBorders>
          </w:tcPr>
          <w:p w14:paraId="2BFD4EB4" w14:textId="77777777" w:rsidR="00744FB8" w:rsidRPr="00F33674" w:rsidRDefault="00744FB8" w:rsidP="00265869">
            <w:pPr>
              <w:jc w:val="left"/>
              <w:rPr>
                <w:rFonts w:ascii="Arial Narrow" w:hAnsi="Arial Narrow" w:cs="Arial"/>
                <w:sz w:val="20"/>
                <w:szCs w:val="20"/>
              </w:rPr>
            </w:pPr>
            <w:r w:rsidRPr="00F33674">
              <w:rPr>
                <w:rFonts w:ascii="Arial Narrow" w:hAnsi="Arial Narrow" w:cs="Arial"/>
                <w:sz w:val="20"/>
                <w:szCs w:val="20"/>
              </w:rPr>
              <w:t>[6986] The risk of drug dependence is high.</w:t>
            </w:r>
          </w:p>
        </w:tc>
      </w:tr>
    </w:tbl>
    <w:p w14:paraId="649E1D15" w14:textId="77777777" w:rsidR="002900EB" w:rsidRDefault="002900EB">
      <w:pPr>
        <w:jc w:val="left"/>
        <w:rPr>
          <w:rFonts w:asciiTheme="minorHAnsi" w:eastAsiaTheme="minorHAnsi" w:hAnsiTheme="minorHAnsi" w:cstheme="minorBidi"/>
          <w:szCs w:val="22"/>
        </w:rPr>
      </w:pPr>
      <w:r>
        <w:br w:type="page"/>
      </w:r>
    </w:p>
    <w:p w14:paraId="3B74358E" w14:textId="72F26ECC" w:rsidR="00F33674" w:rsidRPr="00F33674" w:rsidRDefault="00F33674" w:rsidP="00243407">
      <w:pPr>
        <w:pStyle w:val="3-BodyText"/>
      </w:pPr>
      <w:r w:rsidRPr="00F33674">
        <w:lastRenderedPageBreak/>
        <w:t>Amend items:</w:t>
      </w:r>
    </w:p>
    <w:p w14:paraId="74374ABF" w14:textId="77777777" w:rsidR="00F33674" w:rsidRPr="00F33674" w:rsidRDefault="00F33674" w:rsidP="00F33674">
      <w:pPr>
        <w:keepNext/>
        <w:keepLines/>
        <w:spacing w:before="40"/>
        <w:jc w:val="left"/>
        <w:outlineLvl w:val="2"/>
        <w:rPr>
          <w:rFonts w:asciiTheme="minorHAnsi" w:eastAsiaTheme="majorEastAsia" w:hAnsiTheme="minorHAnsi" w:cstheme="majorBidi"/>
          <w:b/>
          <w:color w:val="000000" w:themeColor="text1"/>
        </w:rPr>
      </w:pPr>
      <w:bookmarkStart w:id="41" w:name="_Toc32300606"/>
      <w:r w:rsidRPr="00F33674">
        <w:rPr>
          <w:rFonts w:asciiTheme="minorHAnsi" w:eastAsiaTheme="majorEastAsia" w:hAnsiTheme="minorHAnsi" w:cstheme="majorBidi"/>
          <w:b/>
          <w:color w:val="000000" w:themeColor="text1"/>
        </w:rPr>
        <w:t xml:space="preserve">Listing 22: Restriction for long-term pain TGA indication in </w:t>
      </w:r>
      <w:proofErr w:type="gramStart"/>
      <w:r w:rsidRPr="00F33674">
        <w:rPr>
          <w:rFonts w:asciiTheme="minorHAnsi" w:eastAsiaTheme="majorEastAsia" w:hAnsiTheme="minorHAnsi" w:cstheme="majorBidi"/>
          <w:b/>
          <w:color w:val="000000" w:themeColor="text1"/>
        </w:rPr>
        <w:t>2</w:t>
      </w:r>
      <w:r w:rsidRPr="00F33674">
        <w:rPr>
          <w:rFonts w:asciiTheme="minorHAnsi" w:eastAsiaTheme="majorEastAsia" w:hAnsiTheme="minorHAnsi" w:cstheme="majorBidi"/>
          <w:b/>
          <w:color w:val="000000" w:themeColor="text1"/>
          <w:vertAlign w:val="superscript"/>
        </w:rPr>
        <w:t>nd</w:t>
      </w:r>
      <w:proofErr w:type="gramEnd"/>
      <w:r w:rsidRPr="00F33674">
        <w:rPr>
          <w:rFonts w:asciiTheme="minorHAnsi" w:eastAsiaTheme="majorEastAsia" w:hAnsiTheme="minorHAnsi" w:cstheme="majorBidi"/>
          <w:b/>
          <w:color w:val="000000" w:themeColor="text1"/>
        </w:rPr>
        <w:t xml:space="preserve"> line opioid setting on general schedule (fentanyl 50mcg/hr patch):</w:t>
      </w:r>
      <w:bookmarkEnd w:id="41"/>
    </w:p>
    <w:p w14:paraId="083B6A24" w14:textId="77777777" w:rsidR="00F33674" w:rsidRPr="00F33674" w:rsidRDefault="00F33674" w:rsidP="00F33674">
      <w:pPr>
        <w:ind w:left="360" w:hanging="360"/>
        <w:contextualSpacing/>
        <w:jc w:val="left"/>
      </w:pPr>
    </w:p>
    <w:tbl>
      <w:tblPr>
        <w:tblW w:w="9015" w:type="dxa"/>
        <w:tblLook w:val="04A0" w:firstRow="1" w:lastRow="0" w:firstColumn="1" w:lastColumn="0" w:noHBand="0" w:noVBand="1"/>
      </w:tblPr>
      <w:tblGrid>
        <w:gridCol w:w="1264"/>
        <w:gridCol w:w="736"/>
        <w:gridCol w:w="2390"/>
        <w:gridCol w:w="572"/>
        <w:gridCol w:w="530"/>
        <w:gridCol w:w="1397"/>
        <w:gridCol w:w="2126"/>
      </w:tblGrid>
      <w:tr w:rsidR="00F33674" w:rsidRPr="00F33674" w14:paraId="73D80F83" w14:textId="77777777" w:rsidTr="00F33674">
        <w:trPr>
          <w:trHeight w:val="300"/>
        </w:trPr>
        <w:tc>
          <w:tcPr>
            <w:tcW w:w="1264" w:type="dxa"/>
            <w:tcBorders>
              <w:bottom w:val="single" w:sz="4" w:space="0" w:color="auto"/>
            </w:tcBorders>
            <w:shd w:val="clear" w:color="auto" w:fill="auto"/>
            <w:noWrap/>
            <w:hideMark/>
          </w:tcPr>
          <w:p w14:paraId="6A639827"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LI Drug</w:t>
            </w:r>
          </w:p>
        </w:tc>
        <w:tc>
          <w:tcPr>
            <w:tcW w:w="736" w:type="dxa"/>
            <w:tcBorders>
              <w:bottom w:val="single" w:sz="4" w:space="0" w:color="auto"/>
            </w:tcBorders>
            <w:shd w:val="clear" w:color="auto" w:fill="auto"/>
          </w:tcPr>
          <w:p w14:paraId="09D10F66"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Item Code</w:t>
            </w:r>
          </w:p>
        </w:tc>
        <w:tc>
          <w:tcPr>
            <w:tcW w:w="2390" w:type="dxa"/>
            <w:tcBorders>
              <w:bottom w:val="single" w:sz="4" w:space="0" w:color="auto"/>
            </w:tcBorders>
            <w:shd w:val="clear" w:color="auto" w:fill="auto"/>
            <w:noWrap/>
            <w:hideMark/>
          </w:tcPr>
          <w:p w14:paraId="34487FDE"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Legal Instrument Form</w:t>
            </w:r>
          </w:p>
        </w:tc>
        <w:tc>
          <w:tcPr>
            <w:tcW w:w="572" w:type="dxa"/>
            <w:tcBorders>
              <w:bottom w:val="single" w:sz="4" w:space="0" w:color="auto"/>
            </w:tcBorders>
            <w:shd w:val="clear" w:color="auto" w:fill="auto"/>
            <w:noWrap/>
            <w:hideMark/>
          </w:tcPr>
          <w:p w14:paraId="5C5E29E2"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Max. Qty</w:t>
            </w:r>
          </w:p>
        </w:tc>
        <w:tc>
          <w:tcPr>
            <w:tcW w:w="530" w:type="dxa"/>
            <w:tcBorders>
              <w:bottom w:val="single" w:sz="4" w:space="0" w:color="auto"/>
            </w:tcBorders>
            <w:shd w:val="clear" w:color="auto" w:fill="auto"/>
            <w:noWrap/>
            <w:hideMark/>
          </w:tcPr>
          <w:p w14:paraId="2379B2D2"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No. Rpt</w:t>
            </w:r>
          </w:p>
        </w:tc>
        <w:tc>
          <w:tcPr>
            <w:tcW w:w="1397" w:type="dxa"/>
            <w:tcBorders>
              <w:bottom w:val="single" w:sz="4" w:space="0" w:color="auto"/>
            </w:tcBorders>
            <w:shd w:val="clear" w:color="auto" w:fill="auto"/>
            <w:noWrap/>
            <w:hideMark/>
          </w:tcPr>
          <w:p w14:paraId="0ECDF576"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Brand Name</w:t>
            </w:r>
          </w:p>
        </w:tc>
        <w:tc>
          <w:tcPr>
            <w:tcW w:w="2126" w:type="dxa"/>
            <w:tcBorders>
              <w:bottom w:val="single" w:sz="4" w:space="0" w:color="auto"/>
            </w:tcBorders>
            <w:shd w:val="clear" w:color="auto" w:fill="auto"/>
            <w:noWrap/>
            <w:hideMark/>
          </w:tcPr>
          <w:p w14:paraId="0E4E7B2C"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Responsible Person</w:t>
            </w:r>
          </w:p>
        </w:tc>
      </w:tr>
      <w:tr w:rsidR="00F33674" w:rsidRPr="00F33674" w14:paraId="2AD3D4EC" w14:textId="77777777" w:rsidTr="00F33674">
        <w:trPr>
          <w:trHeight w:val="300"/>
        </w:trPr>
        <w:tc>
          <w:tcPr>
            <w:tcW w:w="1264" w:type="dxa"/>
            <w:shd w:val="clear" w:color="auto" w:fill="auto"/>
            <w:noWrap/>
          </w:tcPr>
          <w:p w14:paraId="42D80E33"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FENTANYL</w:t>
            </w:r>
          </w:p>
        </w:tc>
        <w:tc>
          <w:tcPr>
            <w:tcW w:w="736" w:type="dxa"/>
            <w:shd w:val="clear" w:color="auto" w:fill="auto"/>
          </w:tcPr>
          <w:p w14:paraId="75A58CDF"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5278T</w:t>
            </w:r>
          </w:p>
        </w:tc>
        <w:tc>
          <w:tcPr>
            <w:tcW w:w="2390" w:type="dxa"/>
            <w:shd w:val="clear" w:color="auto" w:fill="auto"/>
            <w:noWrap/>
            <w:hideMark/>
          </w:tcPr>
          <w:p w14:paraId="6B1A38C0"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Transdermal patch 5.10 mg</w:t>
            </w:r>
          </w:p>
        </w:tc>
        <w:tc>
          <w:tcPr>
            <w:tcW w:w="572" w:type="dxa"/>
            <w:shd w:val="clear" w:color="auto" w:fill="auto"/>
            <w:noWrap/>
            <w:hideMark/>
          </w:tcPr>
          <w:p w14:paraId="680013C3" w14:textId="77777777" w:rsidR="00F33674" w:rsidRPr="00F33674" w:rsidRDefault="00F33674" w:rsidP="00F33674">
            <w:pPr>
              <w:jc w:val="righ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5</w:t>
            </w:r>
          </w:p>
        </w:tc>
        <w:tc>
          <w:tcPr>
            <w:tcW w:w="530" w:type="dxa"/>
            <w:shd w:val="clear" w:color="auto" w:fill="auto"/>
            <w:noWrap/>
            <w:hideMark/>
          </w:tcPr>
          <w:p w14:paraId="6602FCF9" w14:textId="77777777" w:rsidR="00F33674" w:rsidRPr="00F33674" w:rsidRDefault="00F33674" w:rsidP="00F33674">
            <w:pPr>
              <w:jc w:val="righ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0</w:t>
            </w:r>
          </w:p>
        </w:tc>
        <w:tc>
          <w:tcPr>
            <w:tcW w:w="1397" w:type="dxa"/>
            <w:shd w:val="clear" w:color="auto" w:fill="auto"/>
            <w:noWrap/>
            <w:hideMark/>
          </w:tcPr>
          <w:p w14:paraId="1BAFD432"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Denpax</w:t>
            </w:r>
          </w:p>
        </w:tc>
        <w:tc>
          <w:tcPr>
            <w:tcW w:w="2126" w:type="dxa"/>
            <w:shd w:val="clear" w:color="auto" w:fill="auto"/>
            <w:noWrap/>
            <w:hideMark/>
          </w:tcPr>
          <w:p w14:paraId="436C3FAE"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Alphapharm Pty Ltd</w:t>
            </w:r>
          </w:p>
        </w:tc>
      </w:tr>
      <w:tr w:rsidR="00F33674" w:rsidRPr="00F33674" w14:paraId="2BE6ED76" w14:textId="77777777" w:rsidTr="00F33674">
        <w:trPr>
          <w:trHeight w:val="300"/>
        </w:trPr>
        <w:tc>
          <w:tcPr>
            <w:tcW w:w="1264" w:type="dxa"/>
            <w:shd w:val="clear" w:color="auto" w:fill="auto"/>
            <w:noWrap/>
          </w:tcPr>
          <w:p w14:paraId="1B9C2BFE" w14:textId="77777777" w:rsidR="00F33674" w:rsidRPr="00F33674" w:rsidRDefault="00F33674" w:rsidP="00F33674">
            <w:pPr>
              <w:jc w:val="left"/>
              <w:rPr>
                <w:rFonts w:ascii="Arial Narrow" w:hAnsi="Arial Narrow" w:cs="Calibri"/>
                <w:color w:val="000000"/>
                <w:sz w:val="20"/>
                <w:szCs w:val="20"/>
                <w:lang w:eastAsia="en-AU"/>
              </w:rPr>
            </w:pPr>
          </w:p>
        </w:tc>
        <w:tc>
          <w:tcPr>
            <w:tcW w:w="736" w:type="dxa"/>
            <w:shd w:val="clear" w:color="auto" w:fill="auto"/>
          </w:tcPr>
          <w:p w14:paraId="515062F9"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5439G</w:t>
            </w:r>
          </w:p>
        </w:tc>
        <w:tc>
          <w:tcPr>
            <w:tcW w:w="2390" w:type="dxa"/>
            <w:vMerge w:val="restart"/>
            <w:shd w:val="clear" w:color="auto" w:fill="auto"/>
            <w:noWrap/>
            <w:hideMark/>
          </w:tcPr>
          <w:p w14:paraId="13F1D109"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Transdermal patch 8.25 mg</w:t>
            </w:r>
          </w:p>
        </w:tc>
        <w:tc>
          <w:tcPr>
            <w:tcW w:w="572" w:type="dxa"/>
            <w:shd w:val="clear" w:color="auto" w:fill="auto"/>
            <w:noWrap/>
            <w:hideMark/>
          </w:tcPr>
          <w:p w14:paraId="3EED134C" w14:textId="77777777" w:rsidR="00F33674" w:rsidRPr="00F33674" w:rsidRDefault="00F33674" w:rsidP="00F33674">
            <w:pPr>
              <w:jc w:val="righ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5</w:t>
            </w:r>
          </w:p>
        </w:tc>
        <w:tc>
          <w:tcPr>
            <w:tcW w:w="530" w:type="dxa"/>
            <w:shd w:val="clear" w:color="auto" w:fill="auto"/>
            <w:noWrap/>
            <w:hideMark/>
          </w:tcPr>
          <w:p w14:paraId="280A19F6" w14:textId="77777777" w:rsidR="00F33674" w:rsidRPr="00F33674" w:rsidRDefault="00F33674" w:rsidP="00F33674">
            <w:pPr>
              <w:jc w:val="righ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0</w:t>
            </w:r>
          </w:p>
        </w:tc>
        <w:tc>
          <w:tcPr>
            <w:tcW w:w="1397" w:type="dxa"/>
            <w:shd w:val="clear" w:color="auto" w:fill="auto"/>
            <w:noWrap/>
            <w:hideMark/>
          </w:tcPr>
          <w:p w14:paraId="2692B38F"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Dutran 50</w:t>
            </w:r>
          </w:p>
        </w:tc>
        <w:tc>
          <w:tcPr>
            <w:tcW w:w="2126" w:type="dxa"/>
            <w:shd w:val="clear" w:color="auto" w:fill="auto"/>
            <w:noWrap/>
            <w:hideMark/>
          </w:tcPr>
          <w:p w14:paraId="64FF2979"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Amneal Pharmaceuticals Pty Ltd</w:t>
            </w:r>
          </w:p>
        </w:tc>
      </w:tr>
      <w:tr w:rsidR="00F33674" w:rsidRPr="00F33674" w14:paraId="482FB84C" w14:textId="77777777" w:rsidTr="00F33674">
        <w:trPr>
          <w:trHeight w:val="300"/>
        </w:trPr>
        <w:tc>
          <w:tcPr>
            <w:tcW w:w="1264" w:type="dxa"/>
            <w:shd w:val="clear" w:color="auto" w:fill="auto"/>
            <w:noWrap/>
          </w:tcPr>
          <w:p w14:paraId="55308DED" w14:textId="77777777" w:rsidR="00F33674" w:rsidRPr="00F33674" w:rsidRDefault="00F33674" w:rsidP="00F33674">
            <w:pPr>
              <w:jc w:val="left"/>
              <w:rPr>
                <w:rFonts w:ascii="Arial Narrow" w:hAnsi="Arial Narrow" w:cs="Calibri"/>
                <w:color w:val="000000"/>
                <w:sz w:val="20"/>
                <w:szCs w:val="20"/>
                <w:lang w:eastAsia="en-AU"/>
              </w:rPr>
            </w:pPr>
          </w:p>
        </w:tc>
        <w:tc>
          <w:tcPr>
            <w:tcW w:w="736" w:type="dxa"/>
            <w:shd w:val="clear" w:color="auto" w:fill="auto"/>
          </w:tcPr>
          <w:p w14:paraId="42C19091" w14:textId="77777777" w:rsidR="00F33674" w:rsidRPr="00F33674" w:rsidRDefault="00F33674" w:rsidP="00F33674">
            <w:pPr>
              <w:jc w:val="left"/>
              <w:rPr>
                <w:rFonts w:ascii="Arial Narrow" w:hAnsi="Arial Narrow" w:cs="Calibri"/>
                <w:color w:val="000000"/>
                <w:sz w:val="20"/>
                <w:szCs w:val="20"/>
                <w:lang w:eastAsia="en-AU"/>
              </w:rPr>
            </w:pPr>
          </w:p>
        </w:tc>
        <w:tc>
          <w:tcPr>
            <w:tcW w:w="2390" w:type="dxa"/>
            <w:vMerge/>
            <w:shd w:val="clear" w:color="auto" w:fill="auto"/>
            <w:noWrap/>
          </w:tcPr>
          <w:p w14:paraId="16D3F1DB" w14:textId="77777777" w:rsidR="00F33674" w:rsidRPr="00F33674" w:rsidRDefault="00F33674" w:rsidP="00F33674">
            <w:pPr>
              <w:jc w:val="left"/>
              <w:rPr>
                <w:rFonts w:ascii="Arial Narrow" w:hAnsi="Arial Narrow" w:cs="Calibri"/>
                <w:color w:val="000000"/>
                <w:sz w:val="20"/>
                <w:szCs w:val="20"/>
                <w:lang w:eastAsia="en-AU"/>
              </w:rPr>
            </w:pPr>
          </w:p>
        </w:tc>
        <w:tc>
          <w:tcPr>
            <w:tcW w:w="572" w:type="dxa"/>
            <w:shd w:val="clear" w:color="auto" w:fill="auto"/>
            <w:noWrap/>
          </w:tcPr>
          <w:p w14:paraId="5BF2169B" w14:textId="77777777" w:rsidR="00F33674" w:rsidRPr="00F33674" w:rsidRDefault="00F33674" w:rsidP="00F33674">
            <w:pPr>
              <w:jc w:val="right"/>
              <w:rPr>
                <w:rFonts w:ascii="Arial Narrow" w:hAnsi="Arial Narrow" w:cs="Calibri"/>
                <w:color w:val="000000"/>
                <w:sz w:val="20"/>
                <w:szCs w:val="20"/>
                <w:lang w:eastAsia="en-AU"/>
              </w:rPr>
            </w:pPr>
          </w:p>
        </w:tc>
        <w:tc>
          <w:tcPr>
            <w:tcW w:w="530" w:type="dxa"/>
            <w:shd w:val="clear" w:color="auto" w:fill="auto"/>
            <w:noWrap/>
          </w:tcPr>
          <w:p w14:paraId="715A0D0D" w14:textId="77777777" w:rsidR="00F33674" w:rsidRPr="00F33674" w:rsidRDefault="00F33674" w:rsidP="00F33674">
            <w:pPr>
              <w:jc w:val="right"/>
              <w:rPr>
                <w:rFonts w:ascii="Arial Narrow" w:hAnsi="Arial Narrow" w:cs="Calibri"/>
                <w:color w:val="000000"/>
                <w:sz w:val="20"/>
                <w:szCs w:val="20"/>
                <w:lang w:eastAsia="en-AU"/>
              </w:rPr>
            </w:pPr>
          </w:p>
        </w:tc>
        <w:tc>
          <w:tcPr>
            <w:tcW w:w="1397" w:type="dxa"/>
            <w:shd w:val="clear" w:color="auto" w:fill="auto"/>
            <w:noWrap/>
            <w:hideMark/>
          </w:tcPr>
          <w:p w14:paraId="26B39646"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Fenpatch 50</w:t>
            </w:r>
          </w:p>
        </w:tc>
        <w:tc>
          <w:tcPr>
            <w:tcW w:w="2126" w:type="dxa"/>
            <w:shd w:val="clear" w:color="auto" w:fill="auto"/>
            <w:noWrap/>
            <w:hideMark/>
          </w:tcPr>
          <w:p w14:paraId="5298BA4B"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Medis Pharma Pty Ltd</w:t>
            </w:r>
          </w:p>
        </w:tc>
      </w:tr>
      <w:tr w:rsidR="00F33674" w:rsidRPr="00F33674" w14:paraId="559784B3" w14:textId="77777777" w:rsidTr="00F33674">
        <w:trPr>
          <w:trHeight w:val="300"/>
        </w:trPr>
        <w:tc>
          <w:tcPr>
            <w:tcW w:w="1264" w:type="dxa"/>
            <w:shd w:val="clear" w:color="auto" w:fill="auto"/>
            <w:noWrap/>
          </w:tcPr>
          <w:p w14:paraId="69BE0869" w14:textId="77777777" w:rsidR="00F33674" w:rsidRPr="00F33674" w:rsidRDefault="00F33674" w:rsidP="00F33674">
            <w:pPr>
              <w:jc w:val="left"/>
              <w:rPr>
                <w:rFonts w:ascii="Arial Narrow" w:hAnsi="Arial Narrow" w:cs="Calibri"/>
                <w:color w:val="000000"/>
                <w:sz w:val="20"/>
                <w:szCs w:val="20"/>
                <w:lang w:eastAsia="en-AU"/>
              </w:rPr>
            </w:pPr>
          </w:p>
        </w:tc>
        <w:tc>
          <w:tcPr>
            <w:tcW w:w="736" w:type="dxa"/>
            <w:shd w:val="clear" w:color="auto" w:fill="auto"/>
          </w:tcPr>
          <w:p w14:paraId="3A5584F4"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8892B</w:t>
            </w:r>
          </w:p>
        </w:tc>
        <w:tc>
          <w:tcPr>
            <w:tcW w:w="2390" w:type="dxa"/>
            <w:vMerge w:val="restart"/>
            <w:shd w:val="clear" w:color="auto" w:fill="auto"/>
            <w:noWrap/>
            <w:hideMark/>
          </w:tcPr>
          <w:p w14:paraId="7DDA5230"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Transdermal patch 8.4 mg</w:t>
            </w:r>
          </w:p>
        </w:tc>
        <w:tc>
          <w:tcPr>
            <w:tcW w:w="572" w:type="dxa"/>
            <w:shd w:val="clear" w:color="auto" w:fill="auto"/>
            <w:noWrap/>
            <w:hideMark/>
          </w:tcPr>
          <w:p w14:paraId="3B8FFB91" w14:textId="77777777" w:rsidR="00F33674" w:rsidRPr="00F33674" w:rsidRDefault="00F33674" w:rsidP="00F33674">
            <w:pPr>
              <w:jc w:val="righ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5</w:t>
            </w:r>
          </w:p>
        </w:tc>
        <w:tc>
          <w:tcPr>
            <w:tcW w:w="530" w:type="dxa"/>
            <w:shd w:val="clear" w:color="auto" w:fill="auto"/>
            <w:noWrap/>
            <w:hideMark/>
          </w:tcPr>
          <w:p w14:paraId="1DB2B488" w14:textId="77777777" w:rsidR="00F33674" w:rsidRPr="00F33674" w:rsidRDefault="00F33674" w:rsidP="00F33674">
            <w:pPr>
              <w:jc w:val="righ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0</w:t>
            </w:r>
          </w:p>
        </w:tc>
        <w:tc>
          <w:tcPr>
            <w:tcW w:w="1397" w:type="dxa"/>
            <w:shd w:val="clear" w:color="auto" w:fill="auto"/>
            <w:noWrap/>
            <w:hideMark/>
          </w:tcPr>
          <w:p w14:paraId="6BC48A7D"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APO-Fentanyl</w:t>
            </w:r>
          </w:p>
        </w:tc>
        <w:tc>
          <w:tcPr>
            <w:tcW w:w="2126" w:type="dxa"/>
            <w:shd w:val="clear" w:color="auto" w:fill="auto"/>
            <w:noWrap/>
            <w:hideMark/>
          </w:tcPr>
          <w:p w14:paraId="6E01C961"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Apotex Pty Ltd</w:t>
            </w:r>
          </w:p>
        </w:tc>
      </w:tr>
      <w:tr w:rsidR="00F33674" w:rsidRPr="00F33674" w14:paraId="42B6ACC5" w14:textId="77777777" w:rsidTr="00F33674">
        <w:trPr>
          <w:trHeight w:val="300"/>
        </w:trPr>
        <w:tc>
          <w:tcPr>
            <w:tcW w:w="1264" w:type="dxa"/>
            <w:shd w:val="clear" w:color="auto" w:fill="auto"/>
            <w:noWrap/>
          </w:tcPr>
          <w:p w14:paraId="30CAA79C" w14:textId="77777777" w:rsidR="00F33674" w:rsidRPr="00F33674" w:rsidRDefault="00F33674" w:rsidP="00F33674">
            <w:pPr>
              <w:jc w:val="left"/>
              <w:rPr>
                <w:rFonts w:ascii="Arial Narrow" w:hAnsi="Arial Narrow" w:cs="Calibri"/>
                <w:color w:val="000000"/>
                <w:sz w:val="20"/>
                <w:szCs w:val="20"/>
                <w:lang w:eastAsia="en-AU"/>
              </w:rPr>
            </w:pPr>
          </w:p>
        </w:tc>
        <w:tc>
          <w:tcPr>
            <w:tcW w:w="736" w:type="dxa"/>
            <w:shd w:val="clear" w:color="auto" w:fill="auto"/>
          </w:tcPr>
          <w:p w14:paraId="698CEAAE" w14:textId="77777777" w:rsidR="00F33674" w:rsidRPr="00F33674" w:rsidRDefault="00F33674" w:rsidP="00F33674">
            <w:pPr>
              <w:jc w:val="left"/>
              <w:rPr>
                <w:rFonts w:ascii="Arial Narrow" w:hAnsi="Arial Narrow" w:cs="Calibri"/>
                <w:color w:val="000000"/>
                <w:sz w:val="20"/>
                <w:szCs w:val="20"/>
                <w:lang w:eastAsia="en-AU"/>
              </w:rPr>
            </w:pPr>
          </w:p>
        </w:tc>
        <w:tc>
          <w:tcPr>
            <w:tcW w:w="2390" w:type="dxa"/>
            <w:vMerge/>
            <w:shd w:val="clear" w:color="auto" w:fill="auto"/>
            <w:noWrap/>
          </w:tcPr>
          <w:p w14:paraId="5E13FB56" w14:textId="77777777" w:rsidR="00F33674" w:rsidRPr="00F33674" w:rsidRDefault="00F33674" w:rsidP="00F33674">
            <w:pPr>
              <w:jc w:val="left"/>
              <w:rPr>
                <w:rFonts w:ascii="Arial Narrow" w:hAnsi="Arial Narrow" w:cs="Calibri"/>
                <w:color w:val="000000"/>
                <w:sz w:val="20"/>
                <w:szCs w:val="20"/>
                <w:lang w:eastAsia="en-AU"/>
              </w:rPr>
            </w:pPr>
          </w:p>
        </w:tc>
        <w:tc>
          <w:tcPr>
            <w:tcW w:w="572" w:type="dxa"/>
            <w:shd w:val="clear" w:color="auto" w:fill="auto"/>
            <w:noWrap/>
          </w:tcPr>
          <w:p w14:paraId="3F9E022F" w14:textId="77777777" w:rsidR="00F33674" w:rsidRPr="00F33674" w:rsidRDefault="00F33674" w:rsidP="00F33674">
            <w:pPr>
              <w:jc w:val="right"/>
              <w:rPr>
                <w:rFonts w:ascii="Arial Narrow" w:hAnsi="Arial Narrow" w:cs="Calibri"/>
                <w:color w:val="000000"/>
                <w:sz w:val="20"/>
                <w:szCs w:val="20"/>
                <w:lang w:eastAsia="en-AU"/>
              </w:rPr>
            </w:pPr>
          </w:p>
        </w:tc>
        <w:tc>
          <w:tcPr>
            <w:tcW w:w="530" w:type="dxa"/>
            <w:shd w:val="clear" w:color="auto" w:fill="auto"/>
            <w:noWrap/>
          </w:tcPr>
          <w:p w14:paraId="2BC6AD27" w14:textId="77777777" w:rsidR="00F33674" w:rsidRPr="00F33674" w:rsidRDefault="00F33674" w:rsidP="00F33674">
            <w:pPr>
              <w:jc w:val="right"/>
              <w:rPr>
                <w:rFonts w:ascii="Arial Narrow" w:hAnsi="Arial Narrow" w:cs="Calibri"/>
                <w:color w:val="000000"/>
                <w:sz w:val="20"/>
                <w:szCs w:val="20"/>
                <w:lang w:eastAsia="en-AU"/>
              </w:rPr>
            </w:pPr>
          </w:p>
        </w:tc>
        <w:tc>
          <w:tcPr>
            <w:tcW w:w="1397" w:type="dxa"/>
            <w:shd w:val="clear" w:color="auto" w:fill="auto"/>
            <w:noWrap/>
            <w:hideMark/>
          </w:tcPr>
          <w:p w14:paraId="7FED701B"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Durogesic 50</w:t>
            </w:r>
          </w:p>
        </w:tc>
        <w:tc>
          <w:tcPr>
            <w:tcW w:w="2126" w:type="dxa"/>
            <w:shd w:val="clear" w:color="auto" w:fill="auto"/>
            <w:noWrap/>
            <w:hideMark/>
          </w:tcPr>
          <w:p w14:paraId="52F2ABD3"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Janssen-Cilag Pty Ltd</w:t>
            </w:r>
          </w:p>
        </w:tc>
      </w:tr>
      <w:tr w:rsidR="00F33674" w:rsidRPr="00F33674" w14:paraId="2EFB4BE6" w14:textId="77777777" w:rsidTr="00F33674">
        <w:trPr>
          <w:trHeight w:val="300"/>
        </w:trPr>
        <w:tc>
          <w:tcPr>
            <w:tcW w:w="1264" w:type="dxa"/>
            <w:shd w:val="clear" w:color="auto" w:fill="auto"/>
            <w:noWrap/>
          </w:tcPr>
          <w:p w14:paraId="750EE9B7" w14:textId="77777777" w:rsidR="00F33674" w:rsidRPr="00F33674" w:rsidRDefault="00F33674" w:rsidP="00F33674">
            <w:pPr>
              <w:jc w:val="left"/>
              <w:rPr>
                <w:rFonts w:ascii="Arial Narrow" w:hAnsi="Arial Narrow" w:cs="Calibri"/>
                <w:color w:val="000000"/>
                <w:sz w:val="20"/>
                <w:szCs w:val="20"/>
                <w:lang w:eastAsia="en-AU"/>
              </w:rPr>
            </w:pPr>
          </w:p>
        </w:tc>
        <w:tc>
          <w:tcPr>
            <w:tcW w:w="736" w:type="dxa"/>
            <w:shd w:val="clear" w:color="auto" w:fill="auto"/>
          </w:tcPr>
          <w:p w14:paraId="5828FDC0" w14:textId="77777777" w:rsidR="00F33674" w:rsidRPr="00F33674" w:rsidRDefault="00F33674" w:rsidP="00F33674">
            <w:pPr>
              <w:jc w:val="left"/>
              <w:rPr>
                <w:rFonts w:ascii="Arial Narrow" w:hAnsi="Arial Narrow" w:cs="Calibri"/>
                <w:color w:val="000000"/>
                <w:sz w:val="20"/>
                <w:szCs w:val="20"/>
                <w:lang w:eastAsia="en-AU"/>
              </w:rPr>
            </w:pPr>
          </w:p>
        </w:tc>
        <w:tc>
          <w:tcPr>
            <w:tcW w:w="2390" w:type="dxa"/>
            <w:vMerge/>
            <w:shd w:val="clear" w:color="auto" w:fill="auto"/>
            <w:noWrap/>
          </w:tcPr>
          <w:p w14:paraId="379B9AB9" w14:textId="77777777" w:rsidR="00F33674" w:rsidRPr="00F33674" w:rsidRDefault="00F33674" w:rsidP="00F33674">
            <w:pPr>
              <w:jc w:val="left"/>
              <w:rPr>
                <w:rFonts w:ascii="Arial Narrow" w:hAnsi="Arial Narrow" w:cs="Calibri"/>
                <w:color w:val="000000"/>
                <w:sz w:val="20"/>
                <w:szCs w:val="20"/>
                <w:lang w:eastAsia="en-AU"/>
              </w:rPr>
            </w:pPr>
          </w:p>
        </w:tc>
        <w:tc>
          <w:tcPr>
            <w:tcW w:w="572" w:type="dxa"/>
            <w:shd w:val="clear" w:color="auto" w:fill="auto"/>
            <w:noWrap/>
          </w:tcPr>
          <w:p w14:paraId="678B7B3A" w14:textId="77777777" w:rsidR="00F33674" w:rsidRPr="00F33674" w:rsidRDefault="00F33674" w:rsidP="00F33674">
            <w:pPr>
              <w:jc w:val="right"/>
              <w:rPr>
                <w:rFonts w:ascii="Arial Narrow" w:hAnsi="Arial Narrow" w:cs="Calibri"/>
                <w:color w:val="000000"/>
                <w:sz w:val="20"/>
                <w:szCs w:val="20"/>
                <w:lang w:eastAsia="en-AU"/>
              </w:rPr>
            </w:pPr>
          </w:p>
        </w:tc>
        <w:tc>
          <w:tcPr>
            <w:tcW w:w="530" w:type="dxa"/>
            <w:shd w:val="clear" w:color="auto" w:fill="auto"/>
            <w:noWrap/>
          </w:tcPr>
          <w:p w14:paraId="6D035FF8" w14:textId="77777777" w:rsidR="00F33674" w:rsidRPr="00F33674" w:rsidRDefault="00F33674" w:rsidP="00F33674">
            <w:pPr>
              <w:jc w:val="right"/>
              <w:rPr>
                <w:rFonts w:ascii="Arial Narrow" w:hAnsi="Arial Narrow" w:cs="Calibri"/>
                <w:color w:val="000000"/>
                <w:sz w:val="20"/>
                <w:szCs w:val="20"/>
                <w:lang w:eastAsia="en-AU"/>
              </w:rPr>
            </w:pPr>
          </w:p>
        </w:tc>
        <w:tc>
          <w:tcPr>
            <w:tcW w:w="1397" w:type="dxa"/>
            <w:shd w:val="clear" w:color="auto" w:fill="auto"/>
            <w:noWrap/>
            <w:hideMark/>
          </w:tcPr>
          <w:p w14:paraId="3585AF9F"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Fentanyl Sandoz</w:t>
            </w:r>
          </w:p>
        </w:tc>
        <w:tc>
          <w:tcPr>
            <w:tcW w:w="2126" w:type="dxa"/>
            <w:shd w:val="clear" w:color="auto" w:fill="auto"/>
            <w:noWrap/>
            <w:hideMark/>
          </w:tcPr>
          <w:p w14:paraId="64AF2A6C"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Sandoz Pty Ltd</w:t>
            </w:r>
          </w:p>
        </w:tc>
      </w:tr>
    </w:tbl>
    <w:p w14:paraId="799B8826" w14:textId="77777777" w:rsidR="00F33674" w:rsidRPr="00F33674" w:rsidRDefault="00F33674" w:rsidP="00F33674">
      <w:pPr>
        <w:contextualSpacing/>
        <w:jc w:val="left"/>
      </w:pPr>
    </w:p>
    <w:tbl>
      <w:tblPr>
        <w:tblW w:w="9214" w:type="dxa"/>
        <w:tblInd w:w="-5" w:type="dxa"/>
        <w:tblLook w:val="0000" w:firstRow="0" w:lastRow="0" w:firstColumn="0" w:lastColumn="0" w:noHBand="0" w:noVBand="0"/>
      </w:tblPr>
      <w:tblGrid>
        <w:gridCol w:w="3183"/>
        <w:gridCol w:w="6031"/>
      </w:tblGrid>
      <w:tr w:rsidR="00F33674" w:rsidRPr="00F33674" w14:paraId="137A7F46" w14:textId="77777777" w:rsidTr="00C21DFA">
        <w:trPr>
          <w:cantSplit/>
          <w:trHeight w:val="360"/>
        </w:trPr>
        <w:tc>
          <w:tcPr>
            <w:tcW w:w="3183" w:type="dxa"/>
            <w:tcBorders>
              <w:top w:val="single" w:sz="4" w:space="0" w:color="auto"/>
              <w:left w:val="single" w:sz="4" w:space="0" w:color="auto"/>
              <w:bottom w:val="single" w:sz="4" w:space="0" w:color="auto"/>
              <w:right w:val="single" w:sz="4" w:space="0" w:color="auto"/>
            </w:tcBorders>
          </w:tcPr>
          <w:p w14:paraId="5EC31296" w14:textId="77777777" w:rsidR="00F33674" w:rsidRPr="00F33674" w:rsidRDefault="00F33674" w:rsidP="00F33674">
            <w:pPr>
              <w:rPr>
                <w:rFonts w:ascii="Arial Narrow" w:hAnsi="Arial Narrow" w:cs="Arial"/>
                <w:b/>
                <w:sz w:val="20"/>
                <w:szCs w:val="20"/>
              </w:rPr>
            </w:pPr>
            <w:r w:rsidRPr="00F33674">
              <w:rPr>
                <w:rFonts w:ascii="Arial Narrow" w:hAnsi="Arial Narrow" w:cs="Arial"/>
                <w:b/>
                <w:sz w:val="20"/>
                <w:szCs w:val="20"/>
              </w:rPr>
              <w:t>Category / Program:</w:t>
            </w:r>
          </w:p>
        </w:tc>
        <w:tc>
          <w:tcPr>
            <w:tcW w:w="6031" w:type="dxa"/>
            <w:tcBorders>
              <w:top w:val="single" w:sz="4" w:space="0" w:color="auto"/>
              <w:left w:val="single" w:sz="4" w:space="0" w:color="auto"/>
              <w:bottom w:val="single" w:sz="4" w:space="0" w:color="auto"/>
              <w:right w:val="single" w:sz="4" w:space="0" w:color="auto"/>
            </w:tcBorders>
          </w:tcPr>
          <w:p w14:paraId="7CACFD33" w14:textId="77777777" w:rsidR="00F33674" w:rsidRPr="00F33674" w:rsidRDefault="00F33674" w:rsidP="00F33674">
            <w:pPr>
              <w:rPr>
                <w:rFonts w:ascii="Arial Narrow" w:hAnsi="Arial Narrow" w:cs="Arial"/>
                <w:sz w:val="20"/>
                <w:szCs w:val="20"/>
              </w:rPr>
            </w:pPr>
            <w:r w:rsidRPr="00F33674">
              <w:rPr>
                <w:rFonts w:ascii="Arial Narrow" w:hAnsi="Arial Narrow" w:cs="Arial"/>
                <w:sz w:val="20"/>
                <w:szCs w:val="20"/>
              </w:rPr>
              <w:t>GENERAL – General Schedule (Code GE)</w:t>
            </w:r>
          </w:p>
        </w:tc>
      </w:tr>
      <w:tr w:rsidR="00F33674" w:rsidRPr="00F33674" w14:paraId="2E29BCEC" w14:textId="77777777" w:rsidTr="00C21DFA">
        <w:trPr>
          <w:cantSplit/>
          <w:trHeight w:val="360"/>
        </w:trPr>
        <w:tc>
          <w:tcPr>
            <w:tcW w:w="3183" w:type="dxa"/>
            <w:tcBorders>
              <w:top w:val="single" w:sz="4" w:space="0" w:color="auto"/>
              <w:left w:val="single" w:sz="4" w:space="0" w:color="auto"/>
              <w:bottom w:val="single" w:sz="4" w:space="0" w:color="auto"/>
              <w:right w:val="single" w:sz="4" w:space="0" w:color="auto"/>
            </w:tcBorders>
          </w:tcPr>
          <w:p w14:paraId="5D7149B7" w14:textId="77777777" w:rsidR="00F33674" w:rsidRPr="00F33674" w:rsidRDefault="00F33674" w:rsidP="00F33674">
            <w:pPr>
              <w:rPr>
                <w:rFonts w:ascii="Arial Narrow" w:hAnsi="Arial Narrow" w:cs="Arial"/>
                <w:b/>
                <w:sz w:val="20"/>
                <w:szCs w:val="20"/>
              </w:rPr>
            </w:pPr>
            <w:r w:rsidRPr="00F33674">
              <w:rPr>
                <w:rFonts w:ascii="Arial Narrow" w:hAnsi="Arial Narrow" w:cs="Arial"/>
                <w:b/>
                <w:sz w:val="20"/>
                <w:szCs w:val="20"/>
              </w:rPr>
              <w:t>Prescriber type:</w:t>
            </w:r>
          </w:p>
          <w:p w14:paraId="5E25CE8A" w14:textId="77777777" w:rsidR="00F33674" w:rsidRPr="00F33674" w:rsidRDefault="00F33674" w:rsidP="00F33674">
            <w:pPr>
              <w:rPr>
                <w:rFonts w:ascii="Arial Narrow" w:hAnsi="Arial Narrow" w:cs="Arial"/>
                <w:b/>
                <w:sz w:val="20"/>
                <w:szCs w:val="20"/>
              </w:rPr>
            </w:pPr>
          </w:p>
        </w:tc>
        <w:tc>
          <w:tcPr>
            <w:tcW w:w="6031" w:type="dxa"/>
            <w:tcBorders>
              <w:top w:val="single" w:sz="4" w:space="0" w:color="auto"/>
              <w:left w:val="single" w:sz="4" w:space="0" w:color="auto"/>
              <w:bottom w:val="single" w:sz="4" w:space="0" w:color="auto"/>
              <w:right w:val="single" w:sz="4" w:space="0" w:color="auto"/>
            </w:tcBorders>
          </w:tcPr>
          <w:p w14:paraId="6B7174E6" w14:textId="2769CC2D" w:rsidR="00F33674" w:rsidRPr="00F33674" w:rsidRDefault="00F33674" w:rsidP="00F33674">
            <w:pPr>
              <w:rPr>
                <w:rFonts w:ascii="Arial Narrow" w:hAnsi="Arial Narrow" w:cs="Arial"/>
                <w:sz w:val="20"/>
                <w:szCs w:val="20"/>
              </w:rPr>
            </w:pPr>
            <w:r w:rsidRPr="00F33674">
              <w:rPr>
                <w:rFonts w:ascii="Arial Narrow" w:hAnsi="Arial Narrow" w:cs="Arial"/>
                <w:sz w:val="20"/>
                <w:szCs w:val="20"/>
              </w:rPr>
              <w:fldChar w:fldCharType="begin">
                <w:ffData>
                  <w:name w:val="Check1"/>
                  <w:enabled/>
                  <w:calcOnExit w:val="0"/>
                  <w:checkBox>
                    <w:sizeAuto/>
                    <w:default w:val="0"/>
                  </w:checkBox>
                </w:ffData>
              </w:fldChar>
            </w:r>
            <w:r w:rsidRPr="00F33674">
              <w:rPr>
                <w:rFonts w:ascii="Arial Narrow" w:hAnsi="Arial Narrow" w:cs="Arial"/>
                <w:sz w:val="20"/>
                <w:szCs w:val="20"/>
              </w:rPr>
              <w:instrText xml:space="preserve"> FORMCHECKBOX </w:instrText>
            </w:r>
            <w:r w:rsidR="00233D13">
              <w:rPr>
                <w:rFonts w:ascii="Arial Narrow" w:hAnsi="Arial Narrow" w:cs="Arial"/>
                <w:sz w:val="20"/>
                <w:szCs w:val="20"/>
              </w:rPr>
            </w:r>
            <w:r w:rsidR="00233D13">
              <w:rPr>
                <w:rFonts w:ascii="Arial Narrow" w:hAnsi="Arial Narrow" w:cs="Arial"/>
                <w:sz w:val="20"/>
                <w:szCs w:val="20"/>
              </w:rPr>
              <w:fldChar w:fldCharType="separate"/>
            </w:r>
            <w:r w:rsidRPr="00F33674">
              <w:rPr>
                <w:rFonts w:ascii="Arial Narrow" w:hAnsi="Arial Narrow" w:cs="Arial"/>
                <w:sz w:val="20"/>
                <w:szCs w:val="20"/>
              </w:rPr>
              <w:fldChar w:fldCharType="end"/>
            </w:r>
            <w:r w:rsidRPr="00F33674">
              <w:rPr>
                <w:rFonts w:ascii="Arial Narrow" w:hAnsi="Arial Narrow" w:cs="Arial"/>
                <w:sz w:val="20"/>
                <w:szCs w:val="20"/>
              </w:rPr>
              <w:t>Dental</w:t>
            </w:r>
            <w:r w:rsidR="002C1329">
              <w:rPr>
                <w:rFonts w:ascii="Arial Narrow" w:hAnsi="Arial Narrow" w:cs="Arial"/>
                <w:sz w:val="20"/>
                <w:szCs w:val="20"/>
              </w:rPr>
              <w:t xml:space="preserve"> </w:t>
            </w:r>
            <w:r w:rsidRPr="00F33674">
              <w:rPr>
                <w:rFonts w:ascii="Arial Narrow" w:hAnsi="Arial Narrow" w:cs="Arial"/>
                <w:sz w:val="20"/>
                <w:szCs w:val="20"/>
              </w:rPr>
              <w:fldChar w:fldCharType="begin">
                <w:ffData>
                  <w:name w:val=""/>
                  <w:enabled/>
                  <w:calcOnExit w:val="0"/>
                  <w:checkBox>
                    <w:sizeAuto/>
                    <w:default w:val="1"/>
                  </w:checkBox>
                </w:ffData>
              </w:fldChar>
            </w:r>
            <w:r w:rsidRPr="00F33674">
              <w:rPr>
                <w:rFonts w:ascii="Arial Narrow" w:hAnsi="Arial Narrow" w:cs="Arial"/>
                <w:sz w:val="20"/>
                <w:szCs w:val="20"/>
              </w:rPr>
              <w:instrText xml:space="preserve"> FORMCHECKBOX </w:instrText>
            </w:r>
            <w:r w:rsidR="00233D13">
              <w:rPr>
                <w:rFonts w:ascii="Arial Narrow" w:hAnsi="Arial Narrow" w:cs="Arial"/>
                <w:sz w:val="20"/>
                <w:szCs w:val="20"/>
              </w:rPr>
            </w:r>
            <w:r w:rsidR="00233D13">
              <w:rPr>
                <w:rFonts w:ascii="Arial Narrow" w:hAnsi="Arial Narrow" w:cs="Arial"/>
                <w:sz w:val="20"/>
                <w:szCs w:val="20"/>
              </w:rPr>
              <w:fldChar w:fldCharType="separate"/>
            </w:r>
            <w:r w:rsidRPr="00F33674">
              <w:rPr>
                <w:rFonts w:ascii="Arial Narrow" w:hAnsi="Arial Narrow" w:cs="Arial"/>
                <w:sz w:val="20"/>
                <w:szCs w:val="20"/>
              </w:rPr>
              <w:fldChar w:fldCharType="end"/>
            </w:r>
            <w:r w:rsidRPr="00F33674">
              <w:rPr>
                <w:rFonts w:ascii="Arial Narrow" w:hAnsi="Arial Narrow" w:cs="Arial"/>
                <w:sz w:val="20"/>
                <w:szCs w:val="20"/>
              </w:rPr>
              <w:t>Medical Practitioners</w:t>
            </w:r>
            <w:r w:rsidR="002C1329">
              <w:rPr>
                <w:rFonts w:ascii="Arial Narrow" w:hAnsi="Arial Narrow" w:cs="Arial"/>
                <w:sz w:val="20"/>
                <w:szCs w:val="20"/>
              </w:rPr>
              <w:t xml:space="preserve"> </w:t>
            </w:r>
            <w:r w:rsidRPr="00F33674">
              <w:rPr>
                <w:rFonts w:ascii="Arial Narrow" w:hAnsi="Arial Narrow" w:cs="Arial"/>
                <w:sz w:val="20"/>
                <w:szCs w:val="20"/>
              </w:rPr>
              <w:fldChar w:fldCharType="begin">
                <w:ffData>
                  <w:name w:val="Check3"/>
                  <w:enabled/>
                  <w:calcOnExit w:val="0"/>
                  <w:checkBox>
                    <w:sizeAuto/>
                    <w:default w:val="1"/>
                  </w:checkBox>
                </w:ffData>
              </w:fldChar>
            </w:r>
            <w:r w:rsidRPr="00F33674">
              <w:rPr>
                <w:rFonts w:ascii="Arial Narrow" w:hAnsi="Arial Narrow" w:cs="Arial"/>
                <w:sz w:val="20"/>
                <w:szCs w:val="20"/>
              </w:rPr>
              <w:instrText xml:space="preserve"> FORMCHECKBOX </w:instrText>
            </w:r>
            <w:r w:rsidR="00233D13">
              <w:rPr>
                <w:rFonts w:ascii="Arial Narrow" w:hAnsi="Arial Narrow" w:cs="Arial"/>
                <w:sz w:val="20"/>
                <w:szCs w:val="20"/>
              </w:rPr>
            </w:r>
            <w:r w:rsidR="00233D13">
              <w:rPr>
                <w:rFonts w:ascii="Arial Narrow" w:hAnsi="Arial Narrow" w:cs="Arial"/>
                <w:sz w:val="20"/>
                <w:szCs w:val="20"/>
              </w:rPr>
              <w:fldChar w:fldCharType="separate"/>
            </w:r>
            <w:r w:rsidRPr="00F33674">
              <w:rPr>
                <w:rFonts w:ascii="Arial Narrow" w:hAnsi="Arial Narrow" w:cs="Arial"/>
                <w:sz w:val="20"/>
                <w:szCs w:val="20"/>
              </w:rPr>
              <w:fldChar w:fldCharType="end"/>
            </w:r>
            <w:r w:rsidRPr="00F33674">
              <w:rPr>
                <w:rFonts w:ascii="Arial Narrow" w:hAnsi="Arial Narrow" w:cs="Arial"/>
                <w:sz w:val="20"/>
                <w:szCs w:val="20"/>
              </w:rPr>
              <w:t>Nurse practitioners</w:t>
            </w:r>
            <w:r w:rsidR="002C1329">
              <w:rPr>
                <w:rFonts w:ascii="Arial Narrow" w:hAnsi="Arial Narrow" w:cs="Arial"/>
                <w:sz w:val="20"/>
                <w:szCs w:val="20"/>
              </w:rPr>
              <w:t xml:space="preserve"> </w:t>
            </w:r>
            <w:r w:rsidRPr="00F33674">
              <w:rPr>
                <w:rFonts w:ascii="Arial Narrow" w:hAnsi="Arial Narrow" w:cs="Arial"/>
                <w:sz w:val="20"/>
                <w:szCs w:val="20"/>
              </w:rPr>
              <w:fldChar w:fldCharType="begin">
                <w:ffData>
                  <w:name w:val=""/>
                  <w:enabled/>
                  <w:calcOnExit w:val="0"/>
                  <w:checkBox>
                    <w:sizeAuto/>
                    <w:default w:val="0"/>
                  </w:checkBox>
                </w:ffData>
              </w:fldChar>
            </w:r>
            <w:r w:rsidRPr="00F33674">
              <w:rPr>
                <w:rFonts w:ascii="Arial Narrow" w:hAnsi="Arial Narrow" w:cs="Arial"/>
                <w:sz w:val="20"/>
                <w:szCs w:val="20"/>
              </w:rPr>
              <w:instrText xml:space="preserve"> FORMCHECKBOX </w:instrText>
            </w:r>
            <w:r w:rsidR="00233D13">
              <w:rPr>
                <w:rFonts w:ascii="Arial Narrow" w:hAnsi="Arial Narrow" w:cs="Arial"/>
                <w:sz w:val="20"/>
                <w:szCs w:val="20"/>
              </w:rPr>
            </w:r>
            <w:r w:rsidR="00233D13">
              <w:rPr>
                <w:rFonts w:ascii="Arial Narrow" w:hAnsi="Arial Narrow" w:cs="Arial"/>
                <w:sz w:val="20"/>
                <w:szCs w:val="20"/>
              </w:rPr>
              <w:fldChar w:fldCharType="separate"/>
            </w:r>
            <w:r w:rsidRPr="00F33674">
              <w:rPr>
                <w:rFonts w:ascii="Arial Narrow" w:hAnsi="Arial Narrow" w:cs="Arial"/>
                <w:sz w:val="20"/>
                <w:szCs w:val="20"/>
              </w:rPr>
              <w:fldChar w:fldCharType="end"/>
            </w:r>
            <w:r w:rsidRPr="00F33674">
              <w:rPr>
                <w:rFonts w:ascii="Arial Narrow" w:hAnsi="Arial Narrow" w:cs="Arial"/>
                <w:sz w:val="20"/>
                <w:szCs w:val="20"/>
              </w:rPr>
              <w:t>Optometrists</w:t>
            </w:r>
          </w:p>
          <w:p w14:paraId="7A9E838D" w14:textId="77777777" w:rsidR="00F33674" w:rsidRPr="00F33674" w:rsidRDefault="00F33674" w:rsidP="00F33674">
            <w:pPr>
              <w:rPr>
                <w:rFonts w:ascii="Arial Narrow" w:hAnsi="Arial Narrow" w:cs="Arial"/>
                <w:sz w:val="20"/>
                <w:szCs w:val="20"/>
              </w:rPr>
            </w:pPr>
            <w:r w:rsidRPr="00F33674">
              <w:rPr>
                <w:rFonts w:ascii="Arial Narrow" w:hAnsi="Arial Narrow" w:cs="Arial"/>
                <w:sz w:val="20"/>
                <w:szCs w:val="20"/>
              </w:rPr>
              <w:fldChar w:fldCharType="begin">
                <w:ffData>
                  <w:name w:val="Check5"/>
                  <w:enabled/>
                  <w:calcOnExit w:val="0"/>
                  <w:checkBox>
                    <w:sizeAuto/>
                    <w:default w:val="0"/>
                  </w:checkBox>
                </w:ffData>
              </w:fldChar>
            </w:r>
            <w:r w:rsidRPr="00F33674">
              <w:rPr>
                <w:rFonts w:ascii="Arial Narrow" w:hAnsi="Arial Narrow" w:cs="Arial"/>
                <w:sz w:val="20"/>
                <w:szCs w:val="20"/>
              </w:rPr>
              <w:instrText xml:space="preserve"> FORMCHECKBOX </w:instrText>
            </w:r>
            <w:r w:rsidR="00233D13">
              <w:rPr>
                <w:rFonts w:ascii="Arial Narrow" w:hAnsi="Arial Narrow" w:cs="Arial"/>
                <w:sz w:val="20"/>
                <w:szCs w:val="20"/>
              </w:rPr>
            </w:r>
            <w:r w:rsidR="00233D13">
              <w:rPr>
                <w:rFonts w:ascii="Arial Narrow" w:hAnsi="Arial Narrow" w:cs="Arial"/>
                <w:sz w:val="20"/>
                <w:szCs w:val="20"/>
              </w:rPr>
              <w:fldChar w:fldCharType="separate"/>
            </w:r>
            <w:r w:rsidRPr="00F33674">
              <w:rPr>
                <w:rFonts w:ascii="Arial Narrow" w:hAnsi="Arial Narrow" w:cs="Arial"/>
                <w:sz w:val="20"/>
                <w:szCs w:val="20"/>
              </w:rPr>
              <w:fldChar w:fldCharType="end"/>
            </w:r>
            <w:r w:rsidRPr="00F33674">
              <w:rPr>
                <w:rFonts w:ascii="Arial Narrow" w:hAnsi="Arial Narrow" w:cs="Arial"/>
                <w:sz w:val="20"/>
                <w:szCs w:val="20"/>
              </w:rPr>
              <w:t>Midwives</w:t>
            </w:r>
          </w:p>
        </w:tc>
      </w:tr>
      <w:tr w:rsidR="00F33674" w:rsidRPr="00F33674" w14:paraId="271333CA" w14:textId="77777777" w:rsidTr="00C21DFA">
        <w:trPr>
          <w:cantSplit/>
          <w:trHeight w:val="369"/>
        </w:trPr>
        <w:tc>
          <w:tcPr>
            <w:tcW w:w="3183" w:type="dxa"/>
            <w:tcBorders>
              <w:top w:val="single" w:sz="4" w:space="0" w:color="auto"/>
              <w:left w:val="single" w:sz="4" w:space="0" w:color="auto"/>
              <w:bottom w:val="single" w:sz="4" w:space="0" w:color="auto"/>
              <w:right w:val="single" w:sz="4" w:space="0" w:color="auto"/>
            </w:tcBorders>
          </w:tcPr>
          <w:p w14:paraId="12417797" w14:textId="77777777" w:rsidR="00F33674" w:rsidRPr="00F33674" w:rsidRDefault="00F33674" w:rsidP="00F33674">
            <w:pPr>
              <w:rPr>
                <w:rFonts w:ascii="Arial Narrow" w:hAnsi="Arial Narrow" w:cs="Arial"/>
                <w:b/>
                <w:sz w:val="20"/>
                <w:szCs w:val="20"/>
              </w:rPr>
            </w:pPr>
            <w:r w:rsidRPr="00F33674">
              <w:rPr>
                <w:rFonts w:ascii="Arial Narrow" w:hAnsi="Arial Narrow" w:cs="Arial"/>
                <w:b/>
                <w:sz w:val="20"/>
                <w:szCs w:val="20"/>
              </w:rPr>
              <w:t>PBS indication:</w:t>
            </w:r>
          </w:p>
        </w:tc>
        <w:tc>
          <w:tcPr>
            <w:tcW w:w="6031" w:type="dxa"/>
            <w:tcBorders>
              <w:top w:val="single" w:sz="4" w:space="0" w:color="auto"/>
              <w:left w:val="single" w:sz="4" w:space="0" w:color="auto"/>
              <w:bottom w:val="single" w:sz="4" w:space="0" w:color="auto"/>
              <w:right w:val="single" w:sz="4" w:space="0" w:color="auto"/>
            </w:tcBorders>
          </w:tcPr>
          <w:p w14:paraId="749584C3" w14:textId="77777777" w:rsidR="00F33674" w:rsidRPr="00F33674" w:rsidRDefault="00F33674" w:rsidP="00F33674">
            <w:pPr>
              <w:rPr>
                <w:rFonts w:ascii="Arial Narrow" w:hAnsi="Arial Narrow" w:cs="Arial"/>
                <w:sz w:val="20"/>
                <w:szCs w:val="20"/>
              </w:rPr>
            </w:pPr>
            <w:r w:rsidRPr="00F33674">
              <w:rPr>
                <w:rFonts w:ascii="Arial Narrow" w:hAnsi="Arial Narrow" w:cs="Arial"/>
                <w:sz w:val="20"/>
                <w:szCs w:val="20"/>
              </w:rPr>
              <w:t>[9729] Chronic severe disabling pain</w:t>
            </w:r>
          </w:p>
        </w:tc>
      </w:tr>
      <w:tr w:rsidR="00F33674" w:rsidRPr="00F33674" w14:paraId="5D2448CF" w14:textId="77777777" w:rsidTr="00C21DFA">
        <w:trPr>
          <w:cantSplit/>
          <w:trHeight w:val="360"/>
        </w:trPr>
        <w:tc>
          <w:tcPr>
            <w:tcW w:w="3183" w:type="dxa"/>
            <w:tcBorders>
              <w:top w:val="single" w:sz="4" w:space="0" w:color="auto"/>
              <w:left w:val="single" w:sz="4" w:space="0" w:color="auto"/>
              <w:bottom w:val="single" w:sz="4" w:space="0" w:color="auto"/>
              <w:right w:val="single" w:sz="4" w:space="0" w:color="auto"/>
            </w:tcBorders>
          </w:tcPr>
          <w:p w14:paraId="26B6851B" w14:textId="77777777" w:rsidR="00F33674" w:rsidRPr="00F33674" w:rsidRDefault="00F33674" w:rsidP="00F33674">
            <w:pPr>
              <w:rPr>
                <w:rFonts w:ascii="Arial Narrow" w:hAnsi="Arial Narrow" w:cs="Arial"/>
                <w:b/>
                <w:sz w:val="20"/>
                <w:szCs w:val="20"/>
              </w:rPr>
            </w:pPr>
            <w:r w:rsidRPr="00F33674">
              <w:rPr>
                <w:rFonts w:ascii="Arial Narrow" w:hAnsi="Arial Narrow" w:cs="Arial"/>
                <w:b/>
                <w:sz w:val="20"/>
                <w:szCs w:val="20"/>
              </w:rPr>
              <w:t>Restriction Level / Method:</w:t>
            </w:r>
          </w:p>
          <w:p w14:paraId="431D238B" w14:textId="77777777" w:rsidR="00F33674" w:rsidRPr="00F33674" w:rsidRDefault="00F33674" w:rsidP="00F33674">
            <w:pPr>
              <w:rPr>
                <w:rFonts w:ascii="Arial Narrow" w:hAnsi="Arial Narrow" w:cs="Arial"/>
                <w:i/>
                <w:sz w:val="20"/>
                <w:szCs w:val="20"/>
              </w:rPr>
            </w:pPr>
          </w:p>
          <w:p w14:paraId="4FE950F4" w14:textId="77777777" w:rsidR="00F33674" w:rsidRPr="00F33674" w:rsidRDefault="00F33674" w:rsidP="00F33674">
            <w:pPr>
              <w:rPr>
                <w:rFonts w:ascii="Arial Narrow" w:hAnsi="Arial Narrow" w:cs="Arial"/>
                <w:i/>
                <w:sz w:val="20"/>
                <w:szCs w:val="20"/>
              </w:rPr>
            </w:pPr>
          </w:p>
          <w:p w14:paraId="44D38917" w14:textId="77777777" w:rsidR="00F33674" w:rsidRPr="00F33674" w:rsidRDefault="00F33674" w:rsidP="00F33674">
            <w:pPr>
              <w:rPr>
                <w:rFonts w:ascii="Arial Narrow" w:hAnsi="Arial Narrow" w:cs="Arial"/>
                <w:i/>
                <w:sz w:val="20"/>
                <w:szCs w:val="20"/>
              </w:rPr>
            </w:pPr>
          </w:p>
        </w:tc>
        <w:tc>
          <w:tcPr>
            <w:tcW w:w="6031" w:type="dxa"/>
            <w:tcBorders>
              <w:top w:val="single" w:sz="4" w:space="0" w:color="auto"/>
              <w:left w:val="single" w:sz="4" w:space="0" w:color="auto"/>
              <w:bottom w:val="single" w:sz="4" w:space="0" w:color="auto"/>
              <w:right w:val="single" w:sz="4" w:space="0" w:color="auto"/>
            </w:tcBorders>
          </w:tcPr>
          <w:p w14:paraId="023F1924" w14:textId="77777777" w:rsidR="00F33674" w:rsidRPr="00F33674" w:rsidRDefault="00F33674" w:rsidP="00F33674">
            <w:pPr>
              <w:rPr>
                <w:rFonts w:ascii="Arial Narrow" w:hAnsi="Arial Narrow" w:cs="Arial"/>
                <w:sz w:val="20"/>
                <w:szCs w:val="20"/>
              </w:rPr>
            </w:pPr>
            <w:r w:rsidRPr="00F33674">
              <w:rPr>
                <w:rFonts w:ascii="Arial Narrow" w:hAnsi="Arial Narrow" w:cs="Arial"/>
                <w:sz w:val="20"/>
                <w:szCs w:val="20"/>
              </w:rPr>
              <w:fldChar w:fldCharType="begin">
                <w:ffData>
                  <w:name w:val=""/>
                  <w:enabled/>
                  <w:calcOnExit w:val="0"/>
                  <w:checkBox>
                    <w:sizeAuto/>
                    <w:default w:val="0"/>
                  </w:checkBox>
                </w:ffData>
              </w:fldChar>
            </w:r>
            <w:r w:rsidRPr="00F33674">
              <w:rPr>
                <w:rFonts w:ascii="Arial Narrow" w:hAnsi="Arial Narrow" w:cs="Arial"/>
                <w:sz w:val="20"/>
                <w:szCs w:val="20"/>
              </w:rPr>
              <w:instrText xml:space="preserve"> FORMCHECKBOX </w:instrText>
            </w:r>
            <w:r w:rsidR="00233D13">
              <w:rPr>
                <w:rFonts w:ascii="Arial Narrow" w:hAnsi="Arial Narrow" w:cs="Arial"/>
                <w:sz w:val="20"/>
                <w:szCs w:val="20"/>
              </w:rPr>
            </w:r>
            <w:r w:rsidR="00233D13">
              <w:rPr>
                <w:rFonts w:ascii="Arial Narrow" w:hAnsi="Arial Narrow" w:cs="Arial"/>
                <w:sz w:val="20"/>
                <w:szCs w:val="20"/>
              </w:rPr>
              <w:fldChar w:fldCharType="separate"/>
            </w:r>
            <w:r w:rsidRPr="00F33674">
              <w:rPr>
                <w:rFonts w:ascii="Arial Narrow" w:hAnsi="Arial Narrow" w:cs="Arial"/>
                <w:sz w:val="20"/>
                <w:szCs w:val="20"/>
              </w:rPr>
              <w:fldChar w:fldCharType="end"/>
            </w:r>
            <w:r w:rsidRPr="00F33674">
              <w:rPr>
                <w:rFonts w:ascii="Arial Narrow" w:hAnsi="Arial Narrow" w:cs="Arial"/>
                <w:sz w:val="20"/>
                <w:szCs w:val="20"/>
              </w:rPr>
              <w:t>Unrestricted benefit</w:t>
            </w:r>
          </w:p>
          <w:p w14:paraId="49B42F21" w14:textId="77777777" w:rsidR="00F33674" w:rsidRPr="00F33674" w:rsidRDefault="00F33674" w:rsidP="00F33674">
            <w:pPr>
              <w:rPr>
                <w:rFonts w:ascii="Arial Narrow" w:hAnsi="Arial Narrow" w:cs="Arial"/>
                <w:i/>
                <w:sz w:val="20"/>
                <w:szCs w:val="20"/>
              </w:rPr>
            </w:pPr>
            <w:r w:rsidRPr="00F33674">
              <w:rPr>
                <w:rFonts w:ascii="Arial Narrow" w:hAnsi="Arial Narrow" w:cs="Arial"/>
                <w:i/>
                <w:sz w:val="20"/>
                <w:szCs w:val="20"/>
              </w:rPr>
              <w:fldChar w:fldCharType="begin">
                <w:ffData>
                  <w:name w:val=""/>
                  <w:enabled/>
                  <w:calcOnExit w:val="0"/>
                  <w:checkBox>
                    <w:sizeAuto/>
                    <w:default w:val="0"/>
                  </w:checkBox>
                </w:ffData>
              </w:fldChar>
            </w:r>
            <w:r w:rsidRPr="00F33674">
              <w:rPr>
                <w:rFonts w:ascii="Arial Narrow" w:hAnsi="Arial Narrow" w:cs="Arial"/>
                <w:i/>
                <w:sz w:val="20"/>
                <w:szCs w:val="20"/>
              </w:rPr>
              <w:instrText xml:space="preserve"> FORMCHECKBOX </w:instrText>
            </w:r>
            <w:r w:rsidR="00233D13">
              <w:rPr>
                <w:rFonts w:ascii="Arial Narrow" w:hAnsi="Arial Narrow" w:cs="Arial"/>
                <w:i/>
                <w:sz w:val="20"/>
                <w:szCs w:val="20"/>
              </w:rPr>
            </w:r>
            <w:r w:rsidR="00233D13">
              <w:rPr>
                <w:rFonts w:ascii="Arial Narrow" w:hAnsi="Arial Narrow" w:cs="Arial"/>
                <w:i/>
                <w:sz w:val="20"/>
                <w:szCs w:val="20"/>
              </w:rPr>
              <w:fldChar w:fldCharType="separate"/>
            </w:r>
            <w:r w:rsidRPr="00F33674">
              <w:rPr>
                <w:rFonts w:ascii="Arial Narrow" w:hAnsi="Arial Narrow" w:cs="Arial"/>
                <w:i/>
                <w:sz w:val="20"/>
                <w:szCs w:val="20"/>
              </w:rPr>
              <w:fldChar w:fldCharType="end"/>
            </w:r>
            <w:r w:rsidRPr="00F33674">
              <w:rPr>
                <w:rFonts w:ascii="Arial Narrow" w:hAnsi="Arial Narrow" w:cs="Arial"/>
                <w:sz w:val="20"/>
                <w:szCs w:val="20"/>
              </w:rPr>
              <w:t>Restricted benefit</w:t>
            </w:r>
          </w:p>
          <w:p w14:paraId="2080CF8C" w14:textId="77777777" w:rsidR="00F33674" w:rsidRPr="00F33674" w:rsidRDefault="00F33674" w:rsidP="00F33674">
            <w:pPr>
              <w:rPr>
                <w:rFonts w:ascii="Arial Narrow" w:hAnsi="Arial Narrow" w:cs="Arial"/>
                <w:sz w:val="20"/>
                <w:szCs w:val="20"/>
              </w:rPr>
            </w:pPr>
            <w:r w:rsidRPr="00F33674">
              <w:rPr>
                <w:rFonts w:ascii="Arial Narrow" w:hAnsi="Arial Narrow" w:cs="Arial"/>
                <w:sz w:val="20"/>
                <w:szCs w:val="20"/>
              </w:rPr>
              <w:fldChar w:fldCharType="begin">
                <w:ffData>
                  <w:name w:val=""/>
                  <w:enabled/>
                  <w:calcOnExit w:val="0"/>
                  <w:checkBox>
                    <w:sizeAuto/>
                    <w:default w:val="0"/>
                  </w:checkBox>
                </w:ffData>
              </w:fldChar>
            </w:r>
            <w:r w:rsidRPr="00F33674">
              <w:rPr>
                <w:rFonts w:ascii="Arial Narrow" w:hAnsi="Arial Narrow" w:cs="Arial"/>
                <w:sz w:val="20"/>
                <w:szCs w:val="20"/>
              </w:rPr>
              <w:instrText xml:space="preserve"> FORMCHECKBOX </w:instrText>
            </w:r>
            <w:r w:rsidR="00233D13">
              <w:rPr>
                <w:rFonts w:ascii="Arial Narrow" w:hAnsi="Arial Narrow" w:cs="Arial"/>
                <w:sz w:val="20"/>
                <w:szCs w:val="20"/>
              </w:rPr>
            </w:r>
            <w:r w:rsidR="00233D13">
              <w:rPr>
                <w:rFonts w:ascii="Arial Narrow" w:hAnsi="Arial Narrow" w:cs="Arial"/>
                <w:sz w:val="20"/>
                <w:szCs w:val="20"/>
              </w:rPr>
              <w:fldChar w:fldCharType="separate"/>
            </w:r>
            <w:r w:rsidRPr="00F33674">
              <w:rPr>
                <w:rFonts w:ascii="Arial Narrow" w:hAnsi="Arial Narrow" w:cs="Arial"/>
                <w:sz w:val="20"/>
                <w:szCs w:val="20"/>
              </w:rPr>
              <w:fldChar w:fldCharType="end"/>
            </w:r>
            <w:r w:rsidRPr="00F33674">
              <w:rPr>
                <w:rFonts w:ascii="Arial Narrow" w:hAnsi="Arial Narrow" w:cs="Arial"/>
                <w:sz w:val="20"/>
                <w:szCs w:val="20"/>
              </w:rPr>
              <w:t>Authority Required – In Writing</w:t>
            </w:r>
          </w:p>
          <w:p w14:paraId="08A6EE14" w14:textId="77777777" w:rsidR="00F33674" w:rsidRPr="00F33674" w:rsidRDefault="00F33674" w:rsidP="00F33674">
            <w:pPr>
              <w:rPr>
                <w:rFonts w:ascii="Arial Narrow" w:hAnsi="Arial Narrow" w:cs="Arial"/>
                <w:sz w:val="20"/>
                <w:szCs w:val="20"/>
              </w:rPr>
            </w:pPr>
            <w:r w:rsidRPr="00F33674">
              <w:rPr>
                <w:rFonts w:ascii="Arial Narrow" w:hAnsi="Arial Narrow" w:cs="Arial"/>
                <w:sz w:val="20"/>
                <w:szCs w:val="20"/>
              </w:rPr>
              <w:fldChar w:fldCharType="begin">
                <w:ffData>
                  <w:name w:val="Check3"/>
                  <w:enabled/>
                  <w:calcOnExit w:val="0"/>
                  <w:checkBox>
                    <w:sizeAuto/>
                    <w:default w:val="0"/>
                  </w:checkBox>
                </w:ffData>
              </w:fldChar>
            </w:r>
            <w:r w:rsidRPr="00F33674">
              <w:rPr>
                <w:rFonts w:ascii="Arial Narrow" w:hAnsi="Arial Narrow" w:cs="Arial"/>
                <w:sz w:val="20"/>
                <w:szCs w:val="20"/>
              </w:rPr>
              <w:instrText xml:space="preserve"> FORMCHECKBOX </w:instrText>
            </w:r>
            <w:r w:rsidR="00233D13">
              <w:rPr>
                <w:rFonts w:ascii="Arial Narrow" w:hAnsi="Arial Narrow" w:cs="Arial"/>
                <w:sz w:val="20"/>
                <w:szCs w:val="20"/>
              </w:rPr>
            </w:r>
            <w:r w:rsidR="00233D13">
              <w:rPr>
                <w:rFonts w:ascii="Arial Narrow" w:hAnsi="Arial Narrow" w:cs="Arial"/>
                <w:sz w:val="20"/>
                <w:szCs w:val="20"/>
              </w:rPr>
              <w:fldChar w:fldCharType="separate"/>
            </w:r>
            <w:r w:rsidRPr="00F33674">
              <w:rPr>
                <w:rFonts w:ascii="Arial Narrow" w:hAnsi="Arial Narrow" w:cs="Arial"/>
                <w:sz w:val="20"/>
                <w:szCs w:val="20"/>
              </w:rPr>
              <w:fldChar w:fldCharType="end"/>
            </w:r>
            <w:r w:rsidRPr="00F33674">
              <w:rPr>
                <w:rFonts w:ascii="Arial Narrow" w:hAnsi="Arial Narrow" w:cs="Arial"/>
                <w:sz w:val="20"/>
                <w:szCs w:val="20"/>
              </w:rPr>
              <w:t>Authority Required – Telephone/Electronic/Emergency</w:t>
            </w:r>
          </w:p>
          <w:p w14:paraId="07081BEF" w14:textId="77777777" w:rsidR="00F33674" w:rsidRPr="00F33674" w:rsidRDefault="00F33674" w:rsidP="00F33674">
            <w:pPr>
              <w:rPr>
                <w:rFonts w:ascii="Arial Narrow" w:hAnsi="Arial Narrow" w:cs="Arial"/>
                <w:sz w:val="20"/>
                <w:szCs w:val="20"/>
              </w:rPr>
            </w:pPr>
            <w:r w:rsidRPr="00F33674">
              <w:rPr>
                <w:rFonts w:ascii="Arial Narrow" w:hAnsi="Arial Narrow" w:cs="Arial"/>
                <w:sz w:val="20"/>
                <w:szCs w:val="20"/>
              </w:rPr>
              <w:fldChar w:fldCharType="begin">
                <w:ffData>
                  <w:name w:val="Check5"/>
                  <w:enabled/>
                  <w:calcOnExit w:val="0"/>
                  <w:checkBox>
                    <w:sizeAuto/>
                    <w:default w:val="1"/>
                  </w:checkBox>
                </w:ffData>
              </w:fldChar>
            </w:r>
            <w:r w:rsidRPr="00F33674">
              <w:rPr>
                <w:rFonts w:ascii="Arial Narrow" w:hAnsi="Arial Narrow" w:cs="Arial"/>
                <w:sz w:val="20"/>
                <w:szCs w:val="20"/>
              </w:rPr>
              <w:instrText xml:space="preserve"> FORMCHECKBOX </w:instrText>
            </w:r>
            <w:r w:rsidR="00233D13">
              <w:rPr>
                <w:rFonts w:ascii="Arial Narrow" w:hAnsi="Arial Narrow" w:cs="Arial"/>
                <w:sz w:val="20"/>
                <w:szCs w:val="20"/>
              </w:rPr>
            </w:r>
            <w:r w:rsidR="00233D13">
              <w:rPr>
                <w:rFonts w:ascii="Arial Narrow" w:hAnsi="Arial Narrow" w:cs="Arial"/>
                <w:sz w:val="20"/>
                <w:szCs w:val="20"/>
              </w:rPr>
              <w:fldChar w:fldCharType="separate"/>
            </w:r>
            <w:r w:rsidRPr="00F33674">
              <w:rPr>
                <w:rFonts w:ascii="Arial Narrow" w:hAnsi="Arial Narrow" w:cs="Arial"/>
                <w:sz w:val="20"/>
                <w:szCs w:val="20"/>
              </w:rPr>
              <w:fldChar w:fldCharType="end"/>
            </w:r>
            <w:r w:rsidRPr="00F33674">
              <w:rPr>
                <w:rFonts w:ascii="Arial Narrow" w:hAnsi="Arial Narrow" w:cs="Arial"/>
                <w:sz w:val="20"/>
                <w:szCs w:val="20"/>
              </w:rPr>
              <w:t>Streamlined</w:t>
            </w:r>
          </w:p>
        </w:tc>
      </w:tr>
      <w:tr w:rsidR="004811F3" w:rsidRPr="00F33674" w14:paraId="68EE9825" w14:textId="77777777" w:rsidTr="00C21DFA">
        <w:trPr>
          <w:cantSplit/>
          <w:trHeight w:val="360"/>
        </w:trPr>
        <w:tc>
          <w:tcPr>
            <w:tcW w:w="3183" w:type="dxa"/>
            <w:tcBorders>
              <w:top w:val="single" w:sz="4" w:space="0" w:color="auto"/>
              <w:left w:val="single" w:sz="4" w:space="0" w:color="auto"/>
              <w:bottom w:val="single" w:sz="4" w:space="0" w:color="auto"/>
              <w:right w:val="single" w:sz="4" w:space="0" w:color="auto"/>
            </w:tcBorders>
          </w:tcPr>
          <w:p w14:paraId="07CF60E9" w14:textId="244FC42C" w:rsidR="004811F3" w:rsidRPr="00F33674" w:rsidRDefault="004811F3" w:rsidP="00F33674">
            <w:pPr>
              <w:rPr>
                <w:rFonts w:ascii="Arial Narrow" w:hAnsi="Arial Narrow" w:cs="Arial"/>
                <w:b/>
                <w:sz w:val="20"/>
                <w:szCs w:val="20"/>
              </w:rPr>
            </w:pPr>
            <w:r>
              <w:rPr>
                <w:rFonts w:ascii="Arial Narrow" w:hAnsi="Arial Narrow" w:cs="Arial"/>
                <w:b/>
                <w:sz w:val="20"/>
                <w:szCs w:val="20"/>
              </w:rPr>
              <w:t>Treatment phase:</w:t>
            </w:r>
          </w:p>
        </w:tc>
        <w:tc>
          <w:tcPr>
            <w:tcW w:w="6031" w:type="dxa"/>
            <w:tcBorders>
              <w:top w:val="single" w:sz="4" w:space="0" w:color="auto"/>
              <w:left w:val="single" w:sz="4" w:space="0" w:color="auto"/>
              <w:bottom w:val="single" w:sz="4" w:space="0" w:color="auto"/>
              <w:right w:val="single" w:sz="4" w:space="0" w:color="auto"/>
            </w:tcBorders>
          </w:tcPr>
          <w:p w14:paraId="39C580E5" w14:textId="395B0012" w:rsidR="004811F3" w:rsidRPr="00F33674" w:rsidRDefault="00265869" w:rsidP="00F33674">
            <w:pPr>
              <w:jc w:val="left"/>
              <w:rPr>
                <w:rFonts w:ascii="Arial Narrow" w:hAnsi="Arial Narrow" w:cs="Arial"/>
                <w:sz w:val="20"/>
                <w:szCs w:val="20"/>
              </w:rPr>
            </w:pPr>
            <w:r>
              <w:rPr>
                <w:rFonts w:ascii="Arial Narrow" w:hAnsi="Arial Narrow" w:cs="Arial"/>
                <w:sz w:val="20"/>
                <w:szCs w:val="20"/>
              </w:rPr>
              <w:t xml:space="preserve">Initial PBS treatment after 1 June 2020 where patient </w:t>
            </w:r>
            <w:proofErr w:type="gramStart"/>
            <w:r>
              <w:rPr>
                <w:rFonts w:ascii="Arial Narrow" w:hAnsi="Arial Narrow" w:cs="Arial"/>
                <w:sz w:val="20"/>
                <w:szCs w:val="20"/>
              </w:rPr>
              <w:t>has been treated</w:t>
            </w:r>
            <w:proofErr w:type="gramEnd"/>
            <w:r>
              <w:rPr>
                <w:rFonts w:ascii="Arial Narrow" w:hAnsi="Arial Narrow" w:cs="Arial"/>
                <w:sz w:val="20"/>
                <w:szCs w:val="20"/>
              </w:rPr>
              <w:t xml:space="preserve"> with opioids for less than 12 months.</w:t>
            </w:r>
          </w:p>
        </w:tc>
      </w:tr>
      <w:tr w:rsidR="00F33674" w:rsidRPr="00F33674" w14:paraId="6926FFFD" w14:textId="77777777" w:rsidTr="00C21DFA">
        <w:trPr>
          <w:cantSplit/>
          <w:trHeight w:val="360"/>
        </w:trPr>
        <w:tc>
          <w:tcPr>
            <w:tcW w:w="3183" w:type="dxa"/>
            <w:tcBorders>
              <w:top w:val="single" w:sz="4" w:space="0" w:color="auto"/>
              <w:left w:val="single" w:sz="4" w:space="0" w:color="auto"/>
              <w:bottom w:val="single" w:sz="4" w:space="0" w:color="auto"/>
              <w:right w:val="single" w:sz="4" w:space="0" w:color="auto"/>
            </w:tcBorders>
          </w:tcPr>
          <w:p w14:paraId="540A14C0" w14:textId="77777777" w:rsidR="00F33674" w:rsidRPr="00F33674" w:rsidRDefault="00F33674" w:rsidP="00F33674">
            <w:pPr>
              <w:rPr>
                <w:rFonts w:ascii="Arial Narrow" w:hAnsi="Arial Narrow" w:cs="Arial"/>
                <w:b/>
                <w:sz w:val="20"/>
                <w:szCs w:val="20"/>
              </w:rPr>
            </w:pPr>
            <w:r w:rsidRPr="00F33674">
              <w:rPr>
                <w:rFonts w:ascii="Arial Narrow" w:hAnsi="Arial Narrow" w:cs="Arial"/>
                <w:b/>
                <w:sz w:val="20"/>
                <w:szCs w:val="20"/>
              </w:rPr>
              <w:t>Clinical criteria:</w:t>
            </w:r>
          </w:p>
        </w:tc>
        <w:tc>
          <w:tcPr>
            <w:tcW w:w="6031" w:type="dxa"/>
            <w:tcBorders>
              <w:top w:val="single" w:sz="4" w:space="0" w:color="auto"/>
              <w:left w:val="single" w:sz="4" w:space="0" w:color="auto"/>
              <w:bottom w:val="single" w:sz="4" w:space="0" w:color="auto"/>
              <w:right w:val="single" w:sz="4" w:space="0" w:color="auto"/>
            </w:tcBorders>
          </w:tcPr>
          <w:p w14:paraId="21CAE4A4" w14:textId="20CAA55A" w:rsidR="00F33674" w:rsidRPr="00F33674" w:rsidRDefault="00F33674" w:rsidP="00F33674">
            <w:pPr>
              <w:jc w:val="left"/>
              <w:rPr>
                <w:rFonts w:ascii="Arial Narrow" w:hAnsi="Arial Narrow" w:cs="Arial"/>
                <w:sz w:val="20"/>
                <w:szCs w:val="20"/>
              </w:rPr>
            </w:pPr>
            <w:r w:rsidRPr="00F33674">
              <w:rPr>
                <w:rFonts w:ascii="Arial Narrow" w:hAnsi="Arial Narrow" w:cs="Arial"/>
                <w:sz w:val="20"/>
                <w:szCs w:val="20"/>
              </w:rPr>
              <w:t>[new] The condition must require daily, continuous, long term treatment</w:t>
            </w:r>
          </w:p>
          <w:p w14:paraId="7FB227B7" w14:textId="77777777" w:rsidR="00F33674" w:rsidRPr="00F33674" w:rsidRDefault="00F33674" w:rsidP="00F33674">
            <w:pPr>
              <w:jc w:val="left"/>
              <w:rPr>
                <w:rFonts w:ascii="Arial Narrow" w:hAnsi="Arial Narrow" w:cs="Arial"/>
                <w:sz w:val="20"/>
                <w:szCs w:val="20"/>
              </w:rPr>
            </w:pPr>
          </w:p>
          <w:p w14:paraId="70AA83E6" w14:textId="77777777" w:rsidR="00F33674" w:rsidRPr="00F33674" w:rsidRDefault="00F33674" w:rsidP="00F33674">
            <w:pPr>
              <w:jc w:val="left"/>
              <w:rPr>
                <w:rFonts w:ascii="Arial Narrow" w:hAnsi="Arial Narrow" w:cs="Arial"/>
                <w:sz w:val="20"/>
                <w:szCs w:val="20"/>
              </w:rPr>
            </w:pPr>
            <w:r w:rsidRPr="00F33674">
              <w:rPr>
                <w:rFonts w:ascii="Arial Narrow" w:hAnsi="Arial Narrow" w:cs="Arial"/>
                <w:sz w:val="20"/>
                <w:szCs w:val="20"/>
              </w:rPr>
              <w:t>AND</w:t>
            </w:r>
          </w:p>
          <w:p w14:paraId="58930876" w14:textId="77777777" w:rsidR="00F33674" w:rsidRPr="00F33674" w:rsidRDefault="00F33674" w:rsidP="00F33674">
            <w:pPr>
              <w:jc w:val="left"/>
              <w:rPr>
                <w:rFonts w:ascii="Arial Narrow" w:hAnsi="Arial Narrow" w:cs="Arial"/>
                <w:sz w:val="20"/>
                <w:szCs w:val="20"/>
              </w:rPr>
            </w:pPr>
          </w:p>
          <w:p w14:paraId="1BB88517" w14:textId="77777777" w:rsidR="00F33674" w:rsidRPr="00F33674" w:rsidRDefault="00F33674" w:rsidP="00F33674">
            <w:pPr>
              <w:jc w:val="left"/>
              <w:rPr>
                <w:rFonts w:ascii="Arial Narrow" w:hAnsi="Arial Narrow" w:cs="Arial"/>
                <w:sz w:val="20"/>
                <w:szCs w:val="20"/>
              </w:rPr>
            </w:pPr>
            <w:r w:rsidRPr="00F33674">
              <w:rPr>
                <w:rFonts w:ascii="Arial Narrow" w:hAnsi="Arial Narrow" w:cs="Arial"/>
                <w:sz w:val="20"/>
                <w:szCs w:val="20"/>
              </w:rPr>
              <w:t>[new] Patient must not be opioid naïve</w:t>
            </w:r>
          </w:p>
          <w:p w14:paraId="10D67E41" w14:textId="77777777" w:rsidR="00F33674" w:rsidRPr="00F33674" w:rsidRDefault="00F33674" w:rsidP="00F33674">
            <w:pPr>
              <w:jc w:val="left"/>
              <w:rPr>
                <w:rFonts w:ascii="Arial Narrow" w:hAnsi="Arial Narrow" w:cs="Arial"/>
                <w:sz w:val="20"/>
                <w:szCs w:val="20"/>
              </w:rPr>
            </w:pPr>
          </w:p>
          <w:p w14:paraId="0FB62E40" w14:textId="77777777" w:rsidR="00F33674" w:rsidRPr="00F33674" w:rsidRDefault="00F33674" w:rsidP="00F33674">
            <w:pPr>
              <w:jc w:val="left"/>
              <w:rPr>
                <w:rFonts w:ascii="Arial Narrow" w:hAnsi="Arial Narrow" w:cs="Arial"/>
                <w:sz w:val="20"/>
                <w:szCs w:val="20"/>
              </w:rPr>
            </w:pPr>
            <w:r w:rsidRPr="00F33674">
              <w:rPr>
                <w:rFonts w:ascii="Arial Narrow" w:hAnsi="Arial Narrow" w:cs="Arial"/>
                <w:sz w:val="20"/>
                <w:szCs w:val="20"/>
              </w:rPr>
              <w:t>AND</w:t>
            </w:r>
          </w:p>
          <w:p w14:paraId="5B190E49" w14:textId="77777777" w:rsidR="00F33674" w:rsidRPr="00F33674" w:rsidRDefault="00F33674" w:rsidP="00F33674">
            <w:pPr>
              <w:jc w:val="left"/>
              <w:rPr>
                <w:rFonts w:ascii="Arial Narrow" w:hAnsi="Arial Narrow" w:cs="Arial"/>
                <w:sz w:val="20"/>
                <w:szCs w:val="20"/>
              </w:rPr>
            </w:pPr>
          </w:p>
          <w:p w14:paraId="6B45F9D5" w14:textId="193640B8" w:rsidR="00F33674" w:rsidRPr="00F33674" w:rsidRDefault="00F33674" w:rsidP="00F33674">
            <w:pPr>
              <w:jc w:val="left"/>
              <w:rPr>
                <w:rFonts w:ascii="Arial Narrow" w:hAnsi="Arial Narrow" w:cs="Arial"/>
                <w:sz w:val="20"/>
                <w:szCs w:val="20"/>
              </w:rPr>
            </w:pPr>
            <w:r w:rsidRPr="00F33674">
              <w:rPr>
                <w:rFonts w:ascii="Arial Narrow" w:hAnsi="Arial Narrow" w:cs="Arial"/>
                <w:sz w:val="20"/>
                <w:szCs w:val="20"/>
              </w:rPr>
              <w:t xml:space="preserve">[18096] Patient must have </w:t>
            </w:r>
            <w:r w:rsidR="00FE50AF">
              <w:rPr>
                <w:rFonts w:ascii="Arial Narrow" w:hAnsi="Arial Narrow" w:cs="Arial"/>
                <w:sz w:val="20"/>
                <w:szCs w:val="20"/>
              </w:rPr>
              <w:t>cancer pain</w:t>
            </w:r>
          </w:p>
          <w:p w14:paraId="768E4F1F" w14:textId="77777777" w:rsidR="00F33674" w:rsidRPr="00F33674" w:rsidRDefault="00F33674" w:rsidP="00F33674">
            <w:pPr>
              <w:jc w:val="left"/>
              <w:rPr>
                <w:rFonts w:ascii="Arial Narrow" w:hAnsi="Arial Narrow" w:cs="Arial"/>
                <w:sz w:val="20"/>
                <w:szCs w:val="20"/>
              </w:rPr>
            </w:pPr>
            <w:r w:rsidRPr="00F33674">
              <w:rPr>
                <w:rFonts w:ascii="Arial Narrow" w:hAnsi="Arial Narrow" w:cs="Arial"/>
                <w:sz w:val="20"/>
                <w:szCs w:val="20"/>
              </w:rPr>
              <w:t>OR</w:t>
            </w:r>
          </w:p>
          <w:p w14:paraId="4C7E4415" w14:textId="71EA26D2" w:rsidR="00F33674" w:rsidRPr="00F33674" w:rsidRDefault="00F33674" w:rsidP="00F33674">
            <w:pPr>
              <w:jc w:val="left"/>
              <w:rPr>
                <w:rFonts w:ascii="Arial Narrow" w:hAnsi="Arial Narrow" w:cs="Arial"/>
                <w:sz w:val="20"/>
                <w:szCs w:val="20"/>
              </w:rPr>
            </w:pPr>
            <w:r w:rsidRPr="00F33674">
              <w:rPr>
                <w:rFonts w:ascii="Arial Narrow" w:hAnsi="Arial Narrow" w:cs="Arial"/>
                <w:sz w:val="20"/>
                <w:szCs w:val="20"/>
              </w:rPr>
              <w:t xml:space="preserve">[new] Patient must have </w:t>
            </w:r>
            <w:r w:rsidR="004811F3">
              <w:rPr>
                <w:rFonts w:ascii="Arial Narrow" w:hAnsi="Arial Narrow" w:cs="Arial"/>
                <w:sz w:val="20"/>
                <w:szCs w:val="20"/>
              </w:rPr>
              <w:t>had or would have</w:t>
            </w:r>
            <w:r w:rsidRPr="00F33674">
              <w:rPr>
                <w:rFonts w:ascii="Arial Narrow" w:hAnsi="Arial Narrow" w:cs="Arial"/>
                <w:sz w:val="20"/>
                <w:szCs w:val="20"/>
              </w:rPr>
              <w:t xml:space="preserve"> </w:t>
            </w:r>
            <w:r w:rsidR="004811F3">
              <w:rPr>
                <w:rFonts w:ascii="Arial Narrow" w:hAnsi="Arial Narrow" w:cs="Arial"/>
                <w:sz w:val="20"/>
                <w:szCs w:val="20"/>
              </w:rPr>
              <w:t>inadequate pain management</w:t>
            </w:r>
            <w:r w:rsidRPr="00F33674">
              <w:rPr>
                <w:rFonts w:ascii="Arial Narrow" w:hAnsi="Arial Narrow" w:cs="Arial"/>
                <w:sz w:val="20"/>
                <w:szCs w:val="20"/>
              </w:rPr>
              <w:t xml:space="preserve"> </w:t>
            </w:r>
            <w:r w:rsidR="004811F3">
              <w:rPr>
                <w:rFonts w:ascii="Arial Narrow" w:hAnsi="Arial Narrow" w:cs="Arial"/>
                <w:sz w:val="20"/>
                <w:szCs w:val="20"/>
              </w:rPr>
              <w:t>with</w:t>
            </w:r>
            <w:r w:rsidRPr="00F33674">
              <w:rPr>
                <w:rFonts w:ascii="Arial Narrow" w:hAnsi="Arial Narrow" w:cs="Arial"/>
                <w:sz w:val="20"/>
                <w:szCs w:val="20"/>
              </w:rPr>
              <w:t xml:space="preserve"> tolerated doses of non-opioid and other opioid analgesics</w:t>
            </w:r>
          </w:p>
          <w:p w14:paraId="750820A9" w14:textId="77777777" w:rsidR="00F33674" w:rsidRPr="00F33674" w:rsidRDefault="00F33674" w:rsidP="00F33674">
            <w:pPr>
              <w:jc w:val="left"/>
              <w:rPr>
                <w:rFonts w:ascii="Arial Narrow" w:hAnsi="Arial Narrow" w:cs="Arial"/>
                <w:sz w:val="20"/>
                <w:szCs w:val="20"/>
              </w:rPr>
            </w:pPr>
            <w:r w:rsidRPr="00F33674">
              <w:rPr>
                <w:rFonts w:ascii="Arial Narrow" w:hAnsi="Arial Narrow" w:cs="Arial"/>
                <w:sz w:val="20"/>
                <w:szCs w:val="20"/>
              </w:rPr>
              <w:t>OR</w:t>
            </w:r>
          </w:p>
          <w:p w14:paraId="53D9E4AF" w14:textId="3264DAA5" w:rsidR="00F33674" w:rsidRPr="00F33674" w:rsidRDefault="00F33674" w:rsidP="00F33674">
            <w:pPr>
              <w:jc w:val="left"/>
              <w:rPr>
                <w:rFonts w:ascii="Arial Narrow" w:hAnsi="Arial Narrow" w:cs="Arial"/>
                <w:sz w:val="20"/>
                <w:szCs w:val="20"/>
              </w:rPr>
            </w:pPr>
            <w:r w:rsidRPr="00F33674">
              <w:rPr>
                <w:rFonts w:ascii="Arial Narrow" w:hAnsi="Arial Narrow" w:cs="Arial"/>
                <w:sz w:val="20"/>
                <w:szCs w:val="20"/>
              </w:rPr>
              <w:t>[new] Patient must be unable to use non-opioid and other opioid analgesics due to contraindications or intolerance.</w:t>
            </w:r>
          </w:p>
        </w:tc>
      </w:tr>
      <w:tr w:rsidR="00F33674" w:rsidRPr="00F33674" w14:paraId="51FBDD54" w14:textId="77777777" w:rsidTr="00C21DFA">
        <w:trPr>
          <w:cantSplit/>
          <w:trHeight w:val="360"/>
        </w:trPr>
        <w:tc>
          <w:tcPr>
            <w:tcW w:w="3183" w:type="dxa"/>
            <w:tcBorders>
              <w:top w:val="single" w:sz="4" w:space="0" w:color="auto"/>
              <w:left w:val="single" w:sz="4" w:space="0" w:color="auto"/>
              <w:bottom w:val="single" w:sz="4" w:space="0" w:color="auto"/>
              <w:right w:val="single" w:sz="4" w:space="0" w:color="auto"/>
            </w:tcBorders>
          </w:tcPr>
          <w:p w14:paraId="183774C3" w14:textId="77777777" w:rsidR="00F33674" w:rsidRPr="00F33674" w:rsidRDefault="00F33674" w:rsidP="00F33674">
            <w:pPr>
              <w:rPr>
                <w:rFonts w:ascii="Arial Narrow" w:hAnsi="Arial Narrow" w:cs="Arial"/>
                <w:b/>
                <w:sz w:val="20"/>
                <w:szCs w:val="20"/>
              </w:rPr>
            </w:pPr>
            <w:r w:rsidRPr="00F33674">
              <w:rPr>
                <w:rFonts w:ascii="Arial Narrow" w:hAnsi="Arial Narrow" w:cs="Arial"/>
                <w:b/>
                <w:sz w:val="20"/>
                <w:szCs w:val="20"/>
              </w:rPr>
              <w:t>Prescriber instruction:</w:t>
            </w:r>
          </w:p>
        </w:tc>
        <w:tc>
          <w:tcPr>
            <w:tcW w:w="6031" w:type="dxa"/>
            <w:tcBorders>
              <w:top w:val="single" w:sz="4" w:space="0" w:color="auto"/>
              <w:left w:val="single" w:sz="4" w:space="0" w:color="auto"/>
              <w:bottom w:val="single" w:sz="4" w:space="0" w:color="auto"/>
              <w:right w:val="single" w:sz="4" w:space="0" w:color="auto"/>
            </w:tcBorders>
          </w:tcPr>
          <w:p w14:paraId="3F63C373" w14:textId="4A4C8473" w:rsidR="00F33674" w:rsidRPr="00F33674" w:rsidRDefault="00F33674" w:rsidP="00193259">
            <w:pPr>
              <w:jc w:val="left"/>
              <w:rPr>
                <w:rFonts w:ascii="Arial Narrow" w:hAnsi="Arial Narrow" w:cs="Arial"/>
                <w:sz w:val="20"/>
                <w:szCs w:val="20"/>
              </w:rPr>
            </w:pPr>
            <w:r w:rsidRPr="00F33674">
              <w:rPr>
                <w:rFonts w:ascii="Arial Narrow" w:hAnsi="Arial Narrow" w:cs="Arial"/>
                <w:sz w:val="20"/>
                <w:szCs w:val="20"/>
              </w:rPr>
              <w:t xml:space="preserve">[new] Authorities for increased maximum quantities </w:t>
            </w:r>
            <w:r w:rsidR="00BB2EAC">
              <w:rPr>
                <w:rFonts w:ascii="Arial Narrow" w:hAnsi="Arial Narrow" w:cs="Arial"/>
                <w:sz w:val="20"/>
                <w:szCs w:val="20"/>
              </w:rPr>
              <w:t>and/or repeats under this restriction</w:t>
            </w:r>
            <w:r w:rsidRPr="00F33674">
              <w:rPr>
                <w:rFonts w:ascii="Arial Narrow" w:hAnsi="Arial Narrow" w:cs="Arial"/>
                <w:sz w:val="20"/>
                <w:szCs w:val="20"/>
              </w:rPr>
              <w:t xml:space="preserve"> </w:t>
            </w:r>
            <w:proofErr w:type="gramStart"/>
            <w:r w:rsidRPr="00F33674">
              <w:rPr>
                <w:rFonts w:ascii="Arial Narrow" w:hAnsi="Arial Narrow" w:cs="Arial"/>
                <w:sz w:val="20"/>
                <w:szCs w:val="20"/>
              </w:rPr>
              <w:t>will be granted</w:t>
            </w:r>
            <w:proofErr w:type="gramEnd"/>
            <w:r w:rsidRPr="00F33674">
              <w:rPr>
                <w:rFonts w:ascii="Arial Narrow" w:hAnsi="Arial Narrow" w:cs="Arial"/>
                <w:sz w:val="20"/>
                <w:szCs w:val="20"/>
              </w:rPr>
              <w:t xml:space="preserve"> only for chronic severe disabling pain</w:t>
            </w:r>
            <w:r w:rsidR="002900EB">
              <w:rPr>
                <w:rFonts w:ascii="Arial Narrow" w:hAnsi="Arial Narrow" w:cs="Arial"/>
                <w:sz w:val="20"/>
                <w:szCs w:val="20"/>
              </w:rPr>
              <w:t xml:space="preserve"> </w:t>
            </w:r>
            <w:r w:rsidRPr="00F33674">
              <w:rPr>
                <w:rFonts w:ascii="Arial Narrow" w:hAnsi="Arial Narrow" w:cs="Arial"/>
                <w:sz w:val="20"/>
                <w:szCs w:val="20"/>
              </w:rPr>
              <w:t>where the total duration of non-PBS and PBS subsidised opioid analgesic treatment is less than 12 months.</w:t>
            </w:r>
          </w:p>
          <w:p w14:paraId="714DF442" w14:textId="77777777" w:rsidR="00F33674" w:rsidRPr="00F33674" w:rsidRDefault="00F33674" w:rsidP="00F33674">
            <w:pPr>
              <w:jc w:val="left"/>
              <w:rPr>
                <w:rFonts w:ascii="Arial Narrow" w:hAnsi="Arial Narrow" w:cs="Arial"/>
                <w:sz w:val="20"/>
                <w:szCs w:val="20"/>
              </w:rPr>
            </w:pPr>
          </w:p>
          <w:p w14:paraId="56A06DE1" w14:textId="77777777" w:rsidR="00F33674" w:rsidRPr="00F33674" w:rsidRDefault="00F33674" w:rsidP="00F33674">
            <w:pPr>
              <w:jc w:val="left"/>
              <w:rPr>
                <w:rFonts w:ascii="Arial Narrow" w:hAnsi="Arial Narrow" w:cs="Arial"/>
                <w:sz w:val="20"/>
                <w:szCs w:val="20"/>
              </w:rPr>
            </w:pPr>
            <w:r w:rsidRPr="00F33674">
              <w:rPr>
                <w:rFonts w:ascii="Arial Narrow" w:hAnsi="Arial Narrow" w:cs="Arial"/>
                <w:sz w:val="20"/>
                <w:szCs w:val="20"/>
              </w:rPr>
              <w:t>[new] Authority requests extending treatment duration up to 1 month may be requested though the Online PBS Authorities system or by calling Services Australia.</w:t>
            </w:r>
          </w:p>
          <w:p w14:paraId="63A42BC6" w14:textId="77777777" w:rsidR="00F33674" w:rsidRPr="00F33674" w:rsidRDefault="00F33674" w:rsidP="00F33674">
            <w:pPr>
              <w:jc w:val="left"/>
              <w:rPr>
                <w:rFonts w:ascii="Arial Narrow" w:hAnsi="Arial Narrow" w:cs="Arial"/>
                <w:sz w:val="20"/>
                <w:szCs w:val="20"/>
              </w:rPr>
            </w:pPr>
          </w:p>
          <w:p w14:paraId="2C303F5F" w14:textId="3CA93935" w:rsidR="00F33674" w:rsidRPr="00F33674" w:rsidRDefault="00F33674" w:rsidP="00F33674">
            <w:pPr>
              <w:jc w:val="left"/>
              <w:rPr>
                <w:rFonts w:ascii="Arial Narrow" w:hAnsi="Arial Narrow" w:cs="Arial"/>
                <w:sz w:val="20"/>
                <w:szCs w:val="20"/>
              </w:rPr>
            </w:pPr>
            <w:r w:rsidRPr="00F33674">
              <w:rPr>
                <w:rFonts w:ascii="Arial Narrow" w:hAnsi="Arial Narrow" w:cs="Arial"/>
                <w:sz w:val="20"/>
                <w:szCs w:val="20"/>
              </w:rPr>
              <w:t xml:space="preserve">Authority requests extending treatment duration beyond 1 month </w:t>
            </w:r>
            <w:r w:rsidR="00827DF7">
              <w:rPr>
                <w:rFonts w:ascii="Arial Narrow" w:hAnsi="Arial Narrow" w:cs="Arial"/>
                <w:sz w:val="20"/>
                <w:szCs w:val="20"/>
              </w:rPr>
              <w:t>may be requested through the Online PBS Authorities system</w:t>
            </w:r>
            <w:r w:rsidRPr="00F33674">
              <w:rPr>
                <w:rFonts w:ascii="Arial Narrow" w:hAnsi="Arial Narrow" w:cs="Arial"/>
                <w:sz w:val="20"/>
                <w:szCs w:val="20"/>
              </w:rPr>
              <w:t xml:space="preserve"> or in writing only and must not provide a treatment duration exceeding </w:t>
            </w:r>
            <w:r w:rsidR="00827DF7">
              <w:rPr>
                <w:rFonts w:ascii="Arial Narrow" w:hAnsi="Arial Narrow" w:cs="Arial"/>
                <w:sz w:val="20"/>
                <w:szCs w:val="20"/>
              </w:rPr>
              <w:t xml:space="preserve">3 months (quantity sufficient for up to </w:t>
            </w:r>
            <w:proofErr w:type="gramStart"/>
            <w:r w:rsidR="00827DF7">
              <w:rPr>
                <w:rFonts w:ascii="Arial Narrow" w:hAnsi="Arial Narrow" w:cs="Arial"/>
                <w:sz w:val="20"/>
                <w:szCs w:val="20"/>
              </w:rPr>
              <w:t>1 month</w:t>
            </w:r>
            <w:proofErr w:type="gramEnd"/>
            <w:r w:rsidR="00827DF7">
              <w:rPr>
                <w:rFonts w:ascii="Arial Narrow" w:hAnsi="Arial Narrow" w:cs="Arial"/>
                <w:sz w:val="20"/>
                <w:szCs w:val="20"/>
              </w:rPr>
              <w:t xml:space="preserve"> treatment and sufficient repeats).</w:t>
            </w:r>
          </w:p>
        </w:tc>
      </w:tr>
      <w:tr w:rsidR="00F33674" w:rsidRPr="00F33674" w14:paraId="1196C4D7" w14:textId="77777777" w:rsidTr="00C21DFA">
        <w:trPr>
          <w:cantSplit/>
          <w:trHeight w:val="360"/>
        </w:trPr>
        <w:tc>
          <w:tcPr>
            <w:tcW w:w="3183" w:type="dxa"/>
            <w:tcBorders>
              <w:top w:val="single" w:sz="4" w:space="0" w:color="auto"/>
              <w:left w:val="single" w:sz="4" w:space="0" w:color="auto"/>
              <w:bottom w:val="single" w:sz="4" w:space="0" w:color="auto"/>
              <w:right w:val="single" w:sz="4" w:space="0" w:color="auto"/>
            </w:tcBorders>
          </w:tcPr>
          <w:p w14:paraId="4666B3BC" w14:textId="77777777" w:rsidR="00F33674" w:rsidRPr="00F33674" w:rsidRDefault="00F33674" w:rsidP="00F33674">
            <w:pPr>
              <w:rPr>
                <w:rFonts w:ascii="Arial Narrow" w:hAnsi="Arial Narrow" w:cs="Arial"/>
                <w:b/>
                <w:sz w:val="20"/>
                <w:szCs w:val="20"/>
              </w:rPr>
            </w:pPr>
            <w:r w:rsidRPr="00F33674">
              <w:rPr>
                <w:rFonts w:ascii="Arial Narrow" w:hAnsi="Arial Narrow" w:cs="Arial"/>
                <w:b/>
                <w:sz w:val="20"/>
                <w:szCs w:val="20"/>
              </w:rPr>
              <w:lastRenderedPageBreak/>
              <w:t>Administrative advice:</w:t>
            </w:r>
          </w:p>
        </w:tc>
        <w:tc>
          <w:tcPr>
            <w:tcW w:w="6031" w:type="dxa"/>
            <w:tcBorders>
              <w:top w:val="single" w:sz="4" w:space="0" w:color="auto"/>
              <w:left w:val="single" w:sz="4" w:space="0" w:color="auto"/>
              <w:bottom w:val="single" w:sz="4" w:space="0" w:color="auto"/>
              <w:right w:val="single" w:sz="4" w:space="0" w:color="auto"/>
            </w:tcBorders>
          </w:tcPr>
          <w:p w14:paraId="6D0A136D" w14:textId="77777777" w:rsidR="00F33674" w:rsidRPr="00F33674" w:rsidRDefault="00F33674" w:rsidP="00F33674">
            <w:pPr>
              <w:jc w:val="left"/>
              <w:rPr>
                <w:rFonts w:ascii="Arial Narrow" w:hAnsi="Arial Narrow"/>
                <w:sz w:val="20"/>
                <w:szCs w:val="20"/>
              </w:rPr>
            </w:pPr>
            <w:r w:rsidRPr="00F33674">
              <w:rPr>
                <w:rFonts w:ascii="Arial Narrow" w:hAnsi="Arial Narrow"/>
                <w:sz w:val="20"/>
                <w:szCs w:val="20"/>
              </w:rPr>
              <w:t xml:space="preserve">[13978] Fentanyl transdermal patches </w:t>
            </w:r>
            <w:proofErr w:type="gramStart"/>
            <w:r w:rsidRPr="00F33674">
              <w:rPr>
                <w:rFonts w:ascii="Arial Narrow" w:hAnsi="Arial Narrow"/>
                <w:sz w:val="20"/>
                <w:szCs w:val="20"/>
              </w:rPr>
              <w:t>are not recommended</w:t>
            </w:r>
            <w:proofErr w:type="gramEnd"/>
            <w:r w:rsidRPr="00F33674">
              <w:rPr>
                <w:rFonts w:ascii="Arial Narrow" w:hAnsi="Arial Narrow"/>
                <w:sz w:val="20"/>
                <w:szCs w:val="20"/>
              </w:rPr>
              <w:t xml:space="preserve"> in opioid naive patients with non-cancer pain because of a high incidence of adverse events in these patients. Patients with cancer pain </w:t>
            </w:r>
            <w:proofErr w:type="gramStart"/>
            <w:r w:rsidRPr="00F33674">
              <w:rPr>
                <w:rFonts w:ascii="Arial Narrow" w:hAnsi="Arial Narrow"/>
                <w:sz w:val="20"/>
                <w:szCs w:val="20"/>
              </w:rPr>
              <w:t>may be initiated</w:t>
            </w:r>
            <w:proofErr w:type="gramEnd"/>
            <w:r w:rsidRPr="00F33674">
              <w:rPr>
                <w:rFonts w:ascii="Arial Narrow" w:hAnsi="Arial Narrow"/>
                <w:sz w:val="20"/>
                <w:szCs w:val="20"/>
              </w:rPr>
              <w:t xml:space="preserve"> on the lowest strength patch (12 micrograms per hour).</w:t>
            </w:r>
          </w:p>
          <w:p w14:paraId="36983E86" w14:textId="77777777" w:rsidR="00F33674" w:rsidRPr="00F33674" w:rsidRDefault="00F33674" w:rsidP="00F33674">
            <w:pPr>
              <w:jc w:val="left"/>
              <w:rPr>
                <w:rFonts w:ascii="Arial Narrow" w:hAnsi="Arial Narrow"/>
                <w:sz w:val="20"/>
                <w:szCs w:val="20"/>
              </w:rPr>
            </w:pPr>
          </w:p>
          <w:p w14:paraId="09A37353" w14:textId="77777777" w:rsidR="00F33674" w:rsidRPr="00F33674" w:rsidRDefault="00F33674" w:rsidP="00F33674">
            <w:pPr>
              <w:jc w:val="left"/>
              <w:rPr>
                <w:rFonts w:ascii="Arial Narrow" w:hAnsi="Arial Narrow"/>
                <w:sz w:val="20"/>
                <w:szCs w:val="20"/>
              </w:rPr>
            </w:pPr>
            <w:r w:rsidRPr="00F33674">
              <w:rPr>
                <w:rFonts w:ascii="Arial Narrow" w:hAnsi="Arial Narrow"/>
                <w:sz w:val="20"/>
                <w:szCs w:val="20"/>
              </w:rPr>
              <w:t>[new] Consider consultation with a multidisciplinary pain service prior to, or after commencement of this medication.</w:t>
            </w:r>
          </w:p>
          <w:p w14:paraId="5E8BE60E" w14:textId="77777777" w:rsidR="00F33674" w:rsidRPr="00F33674" w:rsidRDefault="00F33674" w:rsidP="00F33674">
            <w:pPr>
              <w:jc w:val="left"/>
              <w:rPr>
                <w:rFonts w:ascii="Arial Narrow" w:hAnsi="Arial Narrow"/>
                <w:sz w:val="20"/>
                <w:szCs w:val="20"/>
              </w:rPr>
            </w:pPr>
          </w:p>
          <w:p w14:paraId="38059C0D" w14:textId="77777777" w:rsidR="00F33674" w:rsidRPr="00F33674" w:rsidRDefault="00F33674" w:rsidP="00F33674">
            <w:pPr>
              <w:jc w:val="left"/>
              <w:rPr>
                <w:rFonts w:ascii="Arial Narrow" w:hAnsi="Arial Narrow" w:cs="Arial"/>
                <w:sz w:val="20"/>
                <w:szCs w:val="20"/>
              </w:rPr>
            </w:pPr>
            <w:r w:rsidRPr="00F33674">
              <w:rPr>
                <w:rFonts w:ascii="Arial Narrow" w:hAnsi="Arial Narrow" w:cs="Arial"/>
                <w:sz w:val="20"/>
                <w:szCs w:val="20"/>
              </w:rPr>
              <w:t>[new] This treatment is not suitable for ‘as-required’ pain relief.</w:t>
            </w:r>
          </w:p>
          <w:p w14:paraId="4A4066F4" w14:textId="77777777" w:rsidR="00F33674" w:rsidRPr="00F33674" w:rsidRDefault="00F33674" w:rsidP="00F33674">
            <w:pPr>
              <w:jc w:val="left"/>
              <w:rPr>
                <w:rFonts w:ascii="Arial Narrow" w:hAnsi="Arial Narrow"/>
                <w:sz w:val="20"/>
                <w:szCs w:val="20"/>
              </w:rPr>
            </w:pPr>
          </w:p>
          <w:p w14:paraId="23BA7C61" w14:textId="77777777" w:rsidR="00F33674" w:rsidRPr="00F33674" w:rsidRDefault="00F33674" w:rsidP="00F33674">
            <w:pPr>
              <w:jc w:val="left"/>
              <w:rPr>
                <w:rFonts w:ascii="Arial Narrow" w:hAnsi="Arial Narrow" w:cs="Arial"/>
                <w:sz w:val="20"/>
                <w:szCs w:val="20"/>
              </w:rPr>
            </w:pPr>
            <w:r w:rsidRPr="00F33674">
              <w:rPr>
                <w:rFonts w:ascii="Arial Narrow" w:hAnsi="Arial Narrow" w:cs="Arial"/>
                <w:sz w:val="20"/>
                <w:szCs w:val="20"/>
              </w:rPr>
              <w:t>[13981] Pharmaceutical benefits that have the form fentanyl 50 microgram/hour patch are equivalent for the purposes of substitution.</w:t>
            </w:r>
          </w:p>
          <w:p w14:paraId="444251A1" w14:textId="77777777" w:rsidR="00F33674" w:rsidRPr="00F33674" w:rsidRDefault="00F33674" w:rsidP="00F33674">
            <w:pPr>
              <w:jc w:val="left"/>
              <w:rPr>
                <w:rFonts w:ascii="Arial Narrow" w:hAnsi="Arial Narrow" w:cs="Arial"/>
                <w:sz w:val="20"/>
                <w:szCs w:val="20"/>
              </w:rPr>
            </w:pPr>
          </w:p>
          <w:p w14:paraId="3F4276C3" w14:textId="77777777" w:rsidR="00F33674" w:rsidRPr="00F33674" w:rsidRDefault="00F33674" w:rsidP="00F33674">
            <w:pPr>
              <w:jc w:val="left"/>
              <w:rPr>
                <w:rFonts w:ascii="Arial Narrow" w:hAnsi="Arial Narrow" w:cs="Arial"/>
                <w:sz w:val="20"/>
                <w:szCs w:val="20"/>
              </w:rPr>
            </w:pPr>
            <w:r w:rsidRPr="00F33674">
              <w:rPr>
                <w:rFonts w:ascii="Arial Narrow" w:hAnsi="Arial Narrow" w:cs="Arial"/>
                <w:sz w:val="20"/>
                <w:szCs w:val="20"/>
              </w:rPr>
              <w:t xml:space="preserve">[7901] Shared Care Model: For prescribing by nurse practitioners where care of a patient </w:t>
            </w:r>
            <w:proofErr w:type="gramStart"/>
            <w:r w:rsidRPr="00F33674">
              <w:rPr>
                <w:rFonts w:ascii="Arial Narrow" w:hAnsi="Arial Narrow" w:cs="Arial"/>
                <w:sz w:val="20"/>
                <w:szCs w:val="20"/>
              </w:rPr>
              <w:t>is shared</w:t>
            </w:r>
            <w:proofErr w:type="gramEnd"/>
            <w:r w:rsidRPr="00F33674">
              <w:rPr>
                <w:rFonts w:ascii="Arial Narrow" w:hAnsi="Arial Narrow" w:cs="Arial"/>
                <w:sz w:val="20"/>
                <w:szCs w:val="20"/>
              </w:rPr>
              <w:t xml:space="preserve"> between a nurse practitioner and medical practitioner in a formalised arrangement with an agreed management plan. Further information </w:t>
            </w:r>
            <w:proofErr w:type="gramStart"/>
            <w:r w:rsidRPr="00F33674">
              <w:rPr>
                <w:rFonts w:ascii="Arial Narrow" w:hAnsi="Arial Narrow" w:cs="Arial"/>
                <w:sz w:val="20"/>
                <w:szCs w:val="20"/>
              </w:rPr>
              <w:t>can be found</w:t>
            </w:r>
            <w:proofErr w:type="gramEnd"/>
            <w:r w:rsidRPr="00F33674">
              <w:rPr>
                <w:rFonts w:ascii="Arial Narrow" w:hAnsi="Arial Narrow" w:cs="Arial"/>
                <w:sz w:val="20"/>
                <w:szCs w:val="20"/>
              </w:rPr>
              <w:t xml:space="preserve"> in the Explanatory Notes for Nurse Practitioners.</w:t>
            </w:r>
          </w:p>
          <w:p w14:paraId="73D2F88B" w14:textId="77777777" w:rsidR="00F33674" w:rsidRPr="00F33674" w:rsidRDefault="00F33674" w:rsidP="00F33674">
            <w:pPr>
              <w:jc w:val="left"/>
              <w:rPr>
                <w:rFonts w:ascii="Arial Narrow" w:hAnsi="Arial Narrow" w:cs="Arial"/>
                <w:sz w:val="20"/>
                <w:szCs w:val="20"/>
              </w:rPr>
            </w:pPr>
          </w:p>
          <w:p w14:paraId="7F95E74D" w14:textId="77777777" w:rsidR="00F33674" w:rsidRPr="00F33674" w:rsidRDefault="00F33674" w:rsidP="00F33674">
            <w:pPr>
              <w:jc w:val="left"/>
              <w:rPr>
                <w:rFonts w:ascii="Arial Narrow" w:hAnsi="Arial Narrow" w:cs="Arial"/>
                <w:sz w:val="20"/>
                <w:szCs w:val="20"/>
              </w:rPr>
            </w:pPr>
            <w:r w:rsidRPr="00F33674">
              <w:rPr>
                <w:rFonts w:ascii="Arial Narrow" w:hAnsi="Arial Narrow" w:cs="Arial"/>
                <w:sz w:val="20"/>
                <w:szCs w:val="20"/>
              </w:rPr>
              <w:t>[new] Real time online applications for increased maximum quantities/repeats may be made using the Online PBS Authorities system (see www.servicesaustralia.gov.au/organisations/health-professionals/services/medicare/hpos/services/request-authority-using-online-pbs-authorities-hpos)</w:t>
            </w:r>
          </w:p>
          <w:p w14:paraId="34D76A16" w14:textId="77777777" w:rsidR="00F33674" w:rsidRPr="00F33674" w:rsidRDefault="00F33674" w:rsidP="00F33674">
            <w:pPr>
              <w:jc w:val="left"/>
              <w:rPr>
                <w:rFonts w:ascii="Arial Narrow" w:hAnsi="Arial Narrow" w:cs="Arial"/>
                <w:sz w:val="20"/>
                <w:szCs w:val="20"/>
              </w:rPr>
            </w:pPr>
          </w:p>
          <w:p w14:paraId="470DA43C" w14:textId="43047EE5" w:rsidR="00F33674" w:rsidRPr="00F33674" w:rsidRDefault="00F33674" w:rsidP="00F33674">
            <w:pPr>
              <w:jc w:val="left"/>
              <w:rPr>
                <w:rFonts w:ascii="Arial Narrow" w:hAnsi="Arial Narrow" w:cs="Arial"/>
                <w:sz w:val="20"/>
                <w:szCs w:val="20"/>
              </w:rPr>
            </w:pPr>
            <w:r w:rsidRPr="00F33674">
              <w:rPr>
                <w:rFonts w:ascii="Arial Narrow" w:hAnsi="Arial Narrow" w:cs="Arial"/>
                <w:sz w:val="20"/>
                <w:szCs w:val="20"/>
              </w:rPr>
              <w:t>Phone applications for increased maximum quantities/repeats may be made by calling 1800 888 333.</w:t>
            </w:r>
          </w:p>
          <w:p w14:paraId="71626E41" w14:textId="77777777" w:rsidR="00F33674" w:rsidRPr="00F33674" w:rsidRDefault="00F33674" w:rsidP="00F33674">
            <w:pPr>
              <w:jc w:val="left"/>
              <w:rPr>
                <w:rFonts w:ascii="Arial Narrow" w:hAnsi="Arial Narrow" w:cs="Arial"/>
                <w:sz w:val="20"/>
                <w:szCs w:val="20"/>
              </w:rPr>
            </w:pPr>
          </w:p>
          <w:p w14:paraId="682CB95C" w14:textId="77777777" w:rsidR="00F33674" w:rsidRPr="00F33674" w:rsidRDefault="00F33674" w:rsidP="00F33674">
            <w:pPr>
              <w:jc w:val="left"/>
              <w:rPr>
                <w:rFonts w:ascii="Arial Narrow" w:hAnsi="Arial Narrow" w:cs="Arial"/>
                <w:sz w:val="20"/>
                <w:szCs w:val="20"/>
              </w:rPr>
            </w:pPr>
            <w:r w:rsidRPr="00F33674">
              <w:rPr>
                <w:rFonts w:ascii="Arial Narrow" w:hAnsi="Arial Narrow" w:cs="Arial"/>
                <w:sz w:val="20"/>
                <w:szCs w:val="20"/>
              </w:rPr>
              <w:t>Written authority applications for increased maximum quantities/repeats can be uploaded online through HPOS form upload or mailed to:</w:t>
            </w:r>
          </w:p>
          <w:p w14:paraId="16CFE11B" w14:textId="77777777" w:rsidR="00F33674" w:rsidRPr="00F33674" w:rsidRDefault="00F33674" w:rsidP="00F33674">
            <w:pPr>
              <w:jc w:val="left"/>
              <w:rPr>
                <w:rFonts w:ascii="Arial Narrow" w:hAnsi="Arial Narrow" w:cs="Arial"/>
                <w:sz w:val="20"/>
                <w:szCs w:val="20"/>
              </w:rPr>
            </w:pPr>
            <w:r w:rsidRPr="00F33674">
              <w:rPr>
                <w:rFonts w:ascii="Arial Narrow" w:hAnsi="Arial Narrow" w:cs="Arial"/>
                <w:sz w:val="20"/>
                <w:szCs w:val="20"/>
              </w:rPr>
              <w:t>Pharmaceutical Benefits Scheme</w:t>
            </w:r>
          </w:p>
          <w:p w14:paraId="3FFB84C0" w14:textId="77777777" w:rsidR="00F33674" w:rsidRPr="00F33674" w:rsidRDefault="00F33674" w:rsidP="00F33674">
            <w:pPr>
              <w:jc w:val="left"/>
              <w:rPr>
                <w:rFonts w:ascii="Arial Narrow" w:hAnsi="Arial Narrow" w:cs="Arial"/>
                <w:sz w:val="20"/>
                <w:szCs w:val="20"/>
              </w:rPr>
            </w:pPr>
            <w:r w:rsidRPr="00F33674">
              <w:rPr>
                <w:rFonts w:ascii="Arial Narrow" w:hAnsi="Arial Narrow" w:cs="Arial"/>
                <w:sz w:val="20"/>
                <w:szCs w:val="20"/>
              </w:rPr>
              <w:t>Reply Paid 9857</w:t>
            </w:r>
          </w:p>
          <w:p w14:paraId="2F209F94" w14:textId="77777777" w:rsidR="00F33674" w:rsidRPr="00F33674" w:rsidRDefault="00F33674" w:rsidP="00F33674">
            <w:pPr>
              <w:jc w:val="left"/>
              <w:rPr>
                <w:rFonts w:ascii="Arial Narrow" w:hAnsi="Arial Narrow" w:cs="Arial"/>
                <w:sz w:val="20"/>
                <w:szCs w:val="20"/>
              </w:rPr>
            </w:pPr>
            <w:r w:rsidRPr="00F33674">
              <w:rPr>
                <w:rFonts w:ascii="Arial Narrow" w:hAnsi="Arial Narrow" w:cs="Arial"/>
                <w:sz w:val="20"/>
                <w:szCs w:val="20"/>
              </w:rPr>
              <w:t>[Your capital city]</w:t>
            </w:r>
          </w:p>
        </w:tc>
      </w:tr>
      <w:tr w:rsidR="00F33674" w:rsidRPr="00F33674" w14:paraId="40352904" w14:textId="77777777" w:rsidTr="00C21DFA">
        <w:trPr>
          <w:cantSplit/>
          <w:trHeight w:val="360"/>
        </w:trPr>
        <w:tc>
          <w:tcPr>
            <w:tcW w:w="3183" w:type="dxa"/>
            <w:tcBorders>
              <w:top w:val="single" w:sz="4" w:space="0" w:color="auto"/>
              <w:left w:val="single" w:sz="4" w:space="0" w:color="auto"/>
              <w:bottom w:val="single" w:sz="4" w:space="0" w:color="auto"/>
              <w:right w:val="single" w:sz="4" w:space="0" w:color="auto"/>
            </w:tcBorders>
          </w:tcPr>
          <w:p w14:paraId="600A17F0" w14:textId="77777777" w:rsidR="00F33674" w:rsidRPr="00F33674" w:rsidRDefault="00F33674" w:rsidP="00F33674">
            <w:pPr>
              <w:rPr>
                <w:rFonts w:ascii="Arial Narrow" w:hAnsi="Arial Narrow" w:cs="Arial"/>
                <w:b/>
                <w:sz w:val="20"/>
                <w:szCs w:val="20"/>
              </w:rPr>
            </w:pPr>
            <w:r w:rsidRPr="00F33674">
              <w:rPr>
                <w:rFonts w:ascii="Arial Narrow" w:hAnsi="Arial Narrow" w:cs="Arial"/>
                <w:b/>
                <w:sz w:val="20"/>
                <w:szCs w:val="20"/>
              </w:rPr>
              <w:t>Cautions:</w:t>
            </w:r>
          </w:p>
        </w:tc>
        <w:tc>
          <w:tcPr>
            <w:tcW w:w="6031" w:type="dxa"/>
            <w:tcBorders>
              <w:top w:val="single" w:sz="4" w:space="0" w:color="auto"/>
              <w:left w:val="single" w:sz="4" w:space="0" w:color="auto"/>
              <w:bottom w:val="single" w:sz="4" w:space="0" w:color="auto"/>
              <w:right w:val="single" w:sz="4" w:space="0" w:color="auto"/>
            </w:tcBorders>
          </w:tcPr>
          <w:p w14:paraId="7E4535FD" w14:textId="77777777" w:rsidR="00F33674" w:rsidRPr="00F33674" w:rsidRDefault="00F33674" w:rsidP="00F33674">
            <w:pPr>
              <w:jc w:val="left"/>
              <w:rPr>
                <w:rFonts w:ascii="Arial Narrow" w:hAnsi="Arial Narrow" w:cs="Arial"/>
                <w:sz w:val="20"/>
                <w:szCs w:val="20"/>
              </w:rPr>
            </w:pPr>
            <w:r w:rsidRPr="00F33674">
              <w:rPr>
                <w:rFonts w:ascii="Arial Narrow" w:hAnsi="Arial Narrow" w:cs="Arial"/>
                <w:sz w:val="20"/>
                <w:szCs w:val="20"/>
              </w:rPr>
              <w:t>[6986] The risk of drug dependence is high.</w:t>
            </w:r>
          </w:p>
        </w:tc>
      </w:tr>
    </w:tbl>
    <w:p w14:paraId="73ABCDA0" w14:textId="20FC6D09" w:rsidR="00265869" w:rsidRDefault="00265869" w:rsidP="00193259">
      <w:pPr>
        <w:pStyle w:val="3-BodyText"/>
        <w:numPr>
          <w:ilvl w:val="0"/>
          <w:numId w:val="0"/>
        </w:numPr>
        <w:ind w:left="720" w:hanging="720"/>
      </w:pPr>
    </w:p>
    <w:tbl>
      <w:tblPr>
        <w:tblW w:w="9214" w:type="dxa"/>
        <w:tblInd w:w="-5" w:type="dxa"/>
        <w:tblLook w:val="0000" w:firstRow="0" w:lastRow="0" w:firstColumn="0" w:lastColumn="0" w:noHBand="0" w:noVBand="0"/>
      </w:tblPr>
      <w:tblGrid>
        <w:gridCol w:w="3183"/>
        <w:gridCol w:w="6031"/>
      </w:tblGrid>
      <w:tr w:rsidR="00265869" w:rsidRPr="00F33674" w14:paraId="24E08DD3" w14:textId="77777777" w:rsidTr="00C21DFA">
        <w:trPr>
          <w:cantSplit/>
          <w:trHeight w:val="360"/>
        </w:trPr>
        <w:tc>
          <w:tcPr>
            <w:tcW w:w="3183" w:type="dxa"/>
            <w:tcBorders>
              <w:top w:val="single" w:sz="4" w:space="0" w:color="auto"/>
              <w:left w:val="single" w:sz="4" w:space="0" w:color="auto"/>
              <w:bottom w:val="single" w:sz="4" w:space="0" w:color="auto"/>
              <w:right w:val="single" w:sz="4" w:space="0" w:color="auto"/>
            </w:tcBorders>
          </w:tcPr>
          <w:p w14:paraId="7149F3DC" w14:textId="77777777" w:rsidR="00265869" w:rsidRPr="00F33674" w:rsidRDefault="00265869" w:rsidP="00265869">
            <w:pPr>
              <w:rPr>
                <w:rFonts w:ascii="Arial Narrow" w:hAnsi="Arial Narrow" w:cs="Arial"/>
                <w:b/>
                <w:sz w:val="20"/>
                <w:szCs w:val="20"/>
              </w:rPr>
            </w:pPr>
            <w:r w:rsidRPr="00F33674">
              <w:rPr>
                <w:rFonts w:ascii="Arial Narrow" w:hAnsi="Arial Narrow" w:cs="Arial"/>
                <w:b/>
                <w:sz w:val="20"/>
                <w:szCs w:val="20"/>
              </w:rPr>
              <w:t>Category / Program:</w:t>
            </w:r>
          </w:p>
        </w:tc>
        <w:tc>
          <w:tcPr>
            <w:tcW w:w="6031" w:type="dxa"/>
            <w:tcBorders>
              <w:top w:val="single" w:sz="4" w:space="0" w:color="auto"/>
              <w:left w:val="single" w:sz="4" w:space="0" w:color="auto"/>
              <w:bottom w:val="single" w:sz="4" w:space="0" w:color="auto"/>
              <w:right w:val="single" w:sz="4" w:space="0" w:color="auto"/>
            </w:tcBorders>
          </w:tcPr>
          <w:p w14:paraId="3D1D3755" w14:textId="77777777" w:rsidR="00265869" w:rsidRPr="00F33674" w:rsidRDefault="00265869" w:rsidP="00265869">
            <w:pPr>
              <w:rPr>
                <w:rFonts w:ascii="Arial Narrow" w:hAnsi="Arial Narrow" w:cs="Arial"/>
                <w:sz w:val="20"/>
                <w:szCs w:val="20"/>
              </w:rPr>
            </w:pPr>
            <w:r w:rsidRPr="00F33674">
              <w:rPr>
                <w:rFonts w:ascii="Arial Narrow" w:hAnsi="Arial Narrow" w:cs="Arial"/>
                <w:sz w:val="20"/>
                <w:szCs w:val="20"/>
              </w:rPr>
              <w:t>GENERAL – General Schedule (Code GE)</w:t>
            </w:r>
          </w:p>
        </w:tc>
      </w:tr>
      <w:tr w:rsidR="00265869" w:rsidRPr="00F33674" w14:paraId="7A906536" w14:textId="77777777" w:rsidTr="00C21DFA">
        <w:trPr>
          <w:cantSplit/>
          <w:trHeight w:val="360"/>
        </w:trPr>
        <w:tc>
          <w:tcPr>
            <w:tcW w:w="3183" w:type="dxa"/>
            <w:tcBorders>
              <w:top w:val="single" w:sz="4" w:space="0" w:color="auto"/>
              <w:left w:val="single" w:sz="4" w:space="0" w:color="auto"/>
              <w:bottom w:val="single" w:sz="4" w:space="0" w:color="auto"/>
              <w:right w:val="single" w:sz="4" w:space="0" w:color="auto"/>
            </w:tcBorders>
          </w:tcPr>
          <w:p w14:paraId="55AD983D" w14:textId="77777777" w:rsidR="00265869" w:rsidRPr="00F33674" w:rsidRDefault="00265869" w:rsidP="00265869">
            <w:pPr>
              <w:rPr>
                <w:rFonts w:ascii="Arial Narrow" w:hAnsi="Arial Narrow" w:cs="Arial"/>
                <w:b/>
                <w:sz w:val="20"/>
                <w:szCs w:val="20"/>
              </w:rPr>
            </w:pPr>
            <w:r w:rsidRPr="00F33674">
              <w:rPr>
                <w:rFonts w:ascii="Arial Narrow" w:hAnsi="Arial Narrow" w:cs="Arial"/>
                <w:b/>
                <w:sz w:val="20"/>
                <w:szCs w:val="20"/>
              </w:rPr>
              <w:t>Prescriber type:</w:t>
            </w:r>
          </w:p>
          <w:p w14:paraId="7FB64C06" w14:textId="77777777" w:rsidR="00265869" w:rsidRPr="00F33674" w:rsidRDefault="00265869" w:rsidP="00265869">
            <w:pPr>
              <w:rPr>
                <w:rFonts w:ascii="Arial Narrow" w:hAnsi="Arial Narrow" w:cs="Arial"/>
                <w:b/>
                <w:sz w:val="20"/>
                <w:szCs w:val="20"/>
              </w:rPr>
            </w:pPr>
          </w:p>
        </w:tc>
        <w:tc>
          <w:tcPr>
            <w:tcW w:w="6031" w:type="dxa"/>
            <w:tcBorders>
              <w:top w:val="single" w:sz="4" w:space="0" w:color="auto"/>
              <w:left w:val="single" w:sz="4" w:space="0" w:color="auto"/>
              <w:bottom w:val="single" w:sz="4" w:space="0" w:color="auto"/>
              <w:right w:val="single" w:sz="4" w:space="0" w:color="auto"/>
            </w:tcBorders>
          </w:tcPr>
          <w:p w14:paraId="0F8F89A7" w14:textId="77777777" w:rsidR="00265869" w:rsidRPr="00F33674" w:rsidRDefault="00265869" w:rsidP="00265869">
            <w:pPr>
              <w:rPr>
                <w:rFonts w:ascii="Arial Narrow" w:hAnsi="Arial Narrow" w:cs="Arial"/>
                <w:sz w:val="20"/>
                <w:szCs w:val="20"/>
              </w:rPr>
            </w:pPr>
            <w:r w:rsidRPr="00F33674">
              <w:rPr>
                <w:rFonts w:ascii="Arial Narrow" w:hAnsi="Arial Narrow" w:cs="Arial"/>
                <w:sz w:val="20"/>
                <w:szCs w:val="20"/>
              </w:rPr>
              <w:fldChar w:fldCharType="begin">
                <w:ffData>
                  <w:name w:val="Check1"/>
                  <w:enabled/>
                  <w:calcOnExit w:val="0"/>
                  <w:checkBox>
                    <w:sizeAuto/>
                    <w:default w:val="0"/>
                  </w:checkBox>
                </w:ffData>
              </w:fldChar>
            </w:r>
            <w:r w:rsidRPr="00F33674">
              <w:rPr>
                <w:rFonts w:ascii="Arial Narrow" w:hAnsi="Arial Narrow" w:cs="Arial"/>
                <w:sz w:val="20"/>
                <w:szCs w:val="20"/>
              </w:rPr>
              <w:instrText xml:space="preserve"> FORMCHECKBOX </w:instrText>
            </w:r>
            <w:r w:rsidR="00233D13">
              <w:rPr>
                <w:rFonts w:ascii="Arial Narrow" w:hAnsi="Arial Narrow" w:cs="Arial"/>
                <w:sz w:val="20"/>
                <w:szCs w:val="20"/>
              </w:rPr>
            </w:r>
            <w:r w:rsidR="00233D13">
              <w:rPr>
                <w:rFonts w:ascii="Arial Narrow" w:hAnsi="Arial Narrow" w:cs="Arial"/>
                <w:sz w:val="20"/>
                <w:szCs w:val="20"/>
              </w:rPr>
              <w:fldChar w:fldCharType="separate"/>
            </w:r>
            <w:r w:rsidRPr="00F33674">
              <w:rPr>
                <w:rFonts w:ascii="Arial Narrow" w:hAnsi="Arial Narrow" w:cs="Arial"/>
                <w:sz w:val="20"/>
                <w:szCs w:val="20"/>
              </w:rPr>
              <w:fldChar w:fldCharType="end"/>
            </w:r>
            <w:r w:rsidRPr="00F33674">
              <w:rPr>
                <w:rFonts w:ascii="Arial Narrow" w:hAnsi="Arial Narrow" w:cs="Arial"/>
                <w:sz w:val="20"/>
                <w:szCs w:val="20"/>
              </w:rPr>
              <w:t>Dental</w:t>
            </w:r>
            <w:r>
              <w:rPr>
                <w:rFonts w:ascii="Arial Narrow" w:hAnsi="Arial Narrow" w:cs="Arial"/>
                <w:sz w:val="20"/>
                <w:szCs w:val="20"/>
              </w:rPr>
              <w:t xml:space="preserve"> </w:t>
            </w:r>
            <w:r w:rsidRPr="00F33674">
              <w:rPr>
                <w:rFonts w:ascii="Arial Narrow" w:hAnsi="Arial Narrow" w:cs="Arial"/>
                <w:sz w:val="20"/>
                <w:szCs w:val="20"/>
              </w:rPr>
              <w:fldChar w:fldCharType="begin">
                <w:ffData>
                  <w:name w:val=""/>
                  <w:enabled/>
                  <w:calcOnExit w:val="0"/>
                  <w:checkBox>
                    <w:sizeAuto/>
                    <w:default w:val="1"/>
                  </w:checkBox>
                </w:ffData>
              </w:fldChar>
            </w:r>
            <w:r w:rsidRPr="00F33674">
              <w:rPr>
                <w:rFonts w:ascii="Arial Narrow" w:hAnsi="Arial Narrow" w:cs="Arial"/>
                <w:sz w:val="20"/>
                <w:szCs w:val="20"/>
              </w:rPr>
              <w:instrText xml:space="preserve"> FORMCHECKBOX </w:instrText>
            </w:r>
            <w:r w:rsidR="00233D13">
              <w:rPr>
                <w:rFonts w:ascii="Arial Narrow" w:hAnsi="Arial Narrow" w:cs="Arial"/>
                <w:sz w:val="20"/>
                <w:szCs w:val="20"/>
              </w:rPr>
            </w:r>
            <w:r w:rsidR="00233D13">
              <w:rPr>
                <w:rFonts w:ascii="Arial Narrow" w:hAnsi="Arial Narrow" w:cs="Arial"/>
                <w:sz w:val="20"/>
                <w:szCs w:val="20"/>
              </w:rPr>
              <w:fldChar w:fldCharType="separate"/>
            </w:r>
            <w:r w:rsidRPr="00F33674">
              <w:rPr>
                <w:rFonts w:ascii="Arial Narrow" w:hAnsi="Arial Narrow" w:cs="Arial"/>
                <w:sz w:val="20"/>
                <w:szCs w:val="20"/>
              </w:rPr>
              <w:fldChar w:fldCharType="end"/>
            </w:r>
            <w:r w:rsidRPr="00F33674">
              <w:rPr>
                <w:rFonts w:ascii="Arial Narrow" w:hAnsi="Arial Narrow" w:cs="Arial"/>
                <w:sz w:val="20"/>
                <w:szCs w:val="20"/>
              </w:rPr>
              <w:t>Medical Practitioners</w:t>
            </w:r>
            <w:r>
              <w:rPr>
                <w:rFonts w:ascii="Arial Narrow" w:hAnsi="Arial Narrow" w:cs="Arial"/>
                <w:sz w:val="20"/>
                <w:szCs w:val="20"/>
              </w:rPr>
              <w:t xml:space="preserve"> </w:t>
            </w:r>
            <w:r w:rsidRPr="00F33674">
              <w:rPr>
                <w:rFonts w:ascii="Arial Narrow" w:hAnsi="Arial Narrow" w:cs="Arial"/>
                <w:sz w:val="20"/>
                <w:szCs w:val="20"/>
              </w:rPr>
              <w:fldChar w:fldCharType="begin">
                <w:ffData>
                  <w:name w:val="Check3"/>
                  <w:enabled/>
                  <w:calcOnExit w:val="0"/>
                  <w:checkBox>
                    <w:sizeAuto/>
                    <w:default w:val="1"/>
                  </w:checkBox>
                </w:ffData>
              </w:fldChar>
            </w:r>
            <w:r w:rsidRPr="00F33674">
              <w:rPr>
                <w:rFonts w:ascii="Arial Narrow" w:hAnsi="Arial Narrow" w:cs="Arial"/>
                <w:sz w:val="20"/>
                <w:szCs w:val="20"/>
              </w:rPr>
              <w:instrText xml:space="preserve"> FORMCHECKBOX </w:instrText>
            </w:r>
            <w:r w:rsidR="00233D13">
              <w:rPr>
                <w:rFonts w:ascii="Arial Narrow" w:hAnsi="Arial Narrow" w:cs="Arial"/>
                <w:sz w:val="20"/>
                <w:szCs w:val="20"/>
              </w:rPr>
            </w:r>
            <w:r w:rsidR="00233D13">
              <w:rPr>
                <w:rFonts w:ascii="Arial Narrow" w:hAnsi="Arial Narrow" w:cs="Arial"/>
                <w:sz w:val="20"/>
                <w:szCs w:val="20"/>
              </w:rPr>
              <w:fldChar w:fldCharType="separate"/>
            </w:r>
            <w:r w:rsidRPr="00F33674">
              <w:rPr>
                <w:rFonts w:ascii="Arial Narrow" w:hAnsi="Arial Narrow" w:cs="Arial"/>
                <w:sz w:val="20"/>
                <w:szCs w:val="20"/>
              </w:rPr>
              <w:fldChar w:fldCharType="end"/>
            </w:r>
            <w:r w:rsidRPr="00F33674">
              <w:rPr>
                <w:rFonts w:ascii="Arial Narrow" w:hAnsi="Arial Narrow" w:cs="Arial"/>
                <w:sz w:val="20"/>
                <w:szCs w:val="20"/>
              </w:rPr>
              <w:t>Nurse practitioners</w:t>
            </w:r>
            <w:r>
              <w:rPr>
                <w:rFonts w:ascii="Arial Narrow" w:hAnsi="Arial Narrow" w:cs="Arial"/>
                <w:sz w:val="20"/>
                <w:szCs w:val="20"/>
              </w:rPr>
              <w:t xml:space="preserve"> </w:t>
            </w:r>
            <w:r w:rsidRPr="00F33674">
              <w:rPr>
                <w:rFonts w:ascii="Arial Narrow" w:hAnsi="Arial Narrow" w:cs="Arial"/>
                <w:sz w:val="20"/>
                <w:szCs w:val="20"/>
              </w:rPr>
              <w:fldChar w:fldCharType="begin">
                <w:ffData>
                  <w:name w:val=""/>
                  <w:enabled/>
                  <w:calcOnExit w:val="0"/>
                  <w:checkBox>
                    <w:sizeAuto/>
                    <w:default w:val="0"/>
                  </w:checkBox>
                </w:ffData>
              </w:fldChar>
            </w:r>
            <w:r w:rsidRPr="00F33674">
              <w:rPr>
                <w:rFonts w:ascii="Arial Narrow" w:hAnsi="Arial Narrow" w:cs="Arial"/>
                <w:sz w:val="20"/>
                <w:szCs w:val="20"/>
              </w:rPr>
              <w:instrText xml:space="preserve"> FORMCHECKBOX </w:instrText>
            </w:r>
            <w:r w:rsidR="00233D13">
              <w:rPr>
                <w:rFonts w:ascii="Arial Narrow" w:hAnsi="Arial Narrow" w:cs="Arial"/>
                <w:sz w:val="20"/>
                <w:szCs w:val="20"/>
              </w:rPr>
            </w:r>
            <w:r w:rsidR="00233D13">
              <w:rPr>
                <w:rFonts w:ascii="Arial Narrow" w:hAnsi="Arial Narrow" w:cs="Arial"/>
                <w:sz w:val="20"/>
                <w:szCs w:val="20"/>
              </w:rPr>
              <w:fldChar w:fldCharType="separate"/>
            </w:r>
            <w:r w:rsidRPr="00F33674">
              <w:rPr>
                <w:rFonts w:ascii="Arial Narrow" w:hAnsi="Arial Narrow" w:cs="Arial"/>
                <w:sz w:val="20"/>
                <w:szCs w:val="20"/>
              </w:rPr>
              <w:fldChar w:fldCharType="end"/>
            </w:r>
            <w:r w:rsidRPr="00F33674">
              <w:rPr>
                <w:rFonts w:ascii="Arial Narrow" w:hAnsi="Arial Narrow" w:cs="Arial"/>
                <w:sz w:val="20"/>
                <w:szCs w:val="20"/>
              </w:rPr>
              <w:t>Optometrists</w:t>
            </w:r>
          </w:p>
          <w:p w14:paraId="10A08EBB" w14:textId="77777777" w:rsidR="00265869" w:rsidRPr="00F33674" w:rsidRDefault="00265869" w:rsidP="00265869">
            <w:pPr>
              <w:rPr>
                <w:rFonts w:ascii="Arial Narrow" w:hAnsi="Arial Narrow" w:cs="Arial"/>
                <w:sz w:val="20"/>
                <w:szCs w:val="20"/>
              </w:rPr>
            </w:pPr>
            <w:r w:rsidRPr="00F33674">
              <w:rPr>
                <w:rFonts w:ascii="Arial Narrow" w:hAnsi="Arial Narrow" w:cs="Arial"/>
                <w:sz w:val="20"/>
                <w:szCs w:val="20"/>
              </w:rPr>
              <w:fldChar w:fldCharType="begin">
                <w:ffData>
                  <w:name w:val="Check5"/>
                  <w:enabled/>
                  <w:calcOnExit w:val="0"/>
                  <w:checkBox>
                    <w:sizeAuto/>
                    <w:default w:val="0"/>
                  </w:checkBox>
                </w:ffData>
              </w:fldChar>
            </w:r>
            <w:r w:rsidRPr="00F33674">
              <w:rPr>
                <w:rFonts w:ascii="Arial Narrow" w:hAnsi="Arial Narrow" w:cs="Arial"/>
                <w:sz w:val="20"/>
                <w:szCs w:val="20"/>
              </w:rPr>
              <w:instrText xml:space="preserve"> FORMCHECKBOX </w:instrText>
            </w:r>
            <w:r w:rsidR="00233D13">
              <w:rPr>
                <w:rFonts w:ascii="Arial Narrow" w:hAnsi="Arial Narrow" w:cs="Arial"/>
                <w:sz w:val="20"/>
                <w:szCs w:val="20"/>
              </w:rPr>
            </w:r>
            <w:r w:rsidR="00233D13">
              <w:rPr>
                <w:rFonts w:ascii="Arial Narrow" w:hAnsi="Arial Narrow" w:cs="Arial"/>
                <w:sz w:val="20"/>
                <w:szCs w:val="20"/>
              </w:rPr>
              <w:fldChar w:fldCharType="separate"/>
            </w:r>
            <w:r w:rsidRPr="00F33674">
              <w:rPr>
                <w:rFonts w:ascii="Arial Narrow" w:hAnsi="Arial Narrow" w:cs="Arial"/>
                <w:sz w:val="20"/>
                <w:szCs w:val="20"/>
              </w:rPr>
              <w:fldChar w:fldCharType="end"/>
            </w:r>
            <w:r w:rsidRPr="00F33674">
              <w:rPr>
                <w:rFonts w:ascii="Arial Narrow" w:hAnsi="Arial Narrow" w:cs="Arial"/>
                <w:sz w:val="20"/>
                <w:szCs w:val="20"/>
              </w:rPr>
              <w:t>Midwives</w:t>
            </w:r>
          </w:p>
        </w:tc>
      </w:tr>
      <w:tr w:rsidR="00265869" w:rsidRPr="00F33674" w14:paraId="1855DB88" w14:textId="77777777" w:rsidTr="00C21DFA">
        <w:trPr>
          <w:cantSplit/>
          <w:trHeight w:val="369"/>
        </w:trPr>
        <w:tc>
          <w:tcPr>
            <w:tcW w:w="3183" w:type="dxa"/>
            <w:tcBorders>
              <w:top w:val="single" w:sz="4" w:space="0" w:color="auto"/>
              <w:left w:val="single" w:sz="4" w:space="0" w:color="auto"/>
              <w:bottom w:val="single" w:sz="4" w:space="0" w:color="auto"/>
              <w:right w:val="single" w:sz="4" w:space="0" w:color="auto"/>
            </w:tcBorders>
          </w:tcPr>
          <w:p w14:paraId="1087BB30" w14:textId="77777777" w:rsidR="00265869" w:rsidRPr="00F33674" w:rsidRDefault="00265869" w:rsidP="00265869">
            <w:pPr>
              <w:rPr>
                <w:rFonts w:ascii="Arial Narrow" w:hAnsi="Arial Narrow" w:cs="Arial"/>
                <w:b/>
                <w:sz w:val="20"/>
                <w:szCs w:val="20"/>
              </w:rPr>
            </w:pPr>
            <w:r w:rsidRPr="00F33674">
              <w:rPr>
                <w:rFonts w:ascii="Arial Narrow" w:hAnsi="Arial Narrow" w:cs="Arial"/>
                <w:b/>
                <w:sz w:val="20"/>
                <w:szCs w:val="20"/>
              </w:rPr>
              <w:t>PBS indication:</w:t>
            </w:r>
          </w:p>
        </w:tc>
        <w:tc>
          <w:tcPr>
            <w:tcW w:w="6031" w:type="dxa"/>
            <w:tcBorders>
              <w:top w:val="single" w:sz="4" w:space="0" w:color="auto"/>
              <w:left w:val="single" w:sz="4" w:space="0" w:color="auto"/>
              <w:bottom w:val="single" w:sz="4" w:space="0" w:color="auto"/>
              <w:right w:val="single" w:sz="4" w:space="0" w:color="auto"/>
            </w:tcBorders>
          </w:tcPr>
          <w:p w14:paraId="4224C993" w14:textId="77777777" w:rsidR="00265869" w:rsidRPr="00F33674" w:rsidRDefault="00265869" w:rsidP="00265869">
            <w:pPr>
              <w:rPr>
                <w:rFonts w:ascii="Arial Narrow" w:hAnsi="Arial Narrow" w:cs="Arial"/>
                <w:sz w:val="20"/>
                <w:szCs w:val="20"/>
              </w:rPr>
            </w:pPr>
            <w:r w:rsidRPr="00F33674">
              <w:rPr>
                <w:rFonts w:ascii="Arial Narrow" w:hAnsi="Arial Narrow" w:cs="Arial"/>
                <w:sz w:val="20"/>
                <w:szCs w:val="20"/>
              </w:rPr>
              <w:t>[9729] Chronic severe disabling pain</w:t>
            </w:r>
          </w:p>
        </w:tc>
      </w:tr>
      <w:tr w:rsidR="00265869" w:rsidRPr="00F33674" w14:paraId="028CDC64" w14:textId="77777777" w:rsidTr="00C21DFA">
        <w:trPr>
          <w:cantSplit/>
          <w:trHeight w:val="360"/>
        </w:trPr>
        <w:tc>
          <w:tcPr>
            <w:tcW w:w="3183" w:type="dxa"/>
            <w:tcBorders>
              <w:top w:val="single" w:sz="4" w:space="0" w:color="auto"/>
              <w:left w:val="single" w:sz="4" w:space="0" w:color="auto"/>
              <w:bottom w:val="single" w:sz="4" w:space="0" w:color="auto"/>
              <w:right w:val="single" w:sz="4" w:space="0" w:color="auto"/>
            </w:tcBorders>
          </w:tcPr>
          <w:p w14:paraId="30D39CB1" w14:textId="77777777" w:rsidR="00265869" w:rsidRPr="00F33674" w:rsidRDefault="00265869" w:rsidP="00265869">
            <w:pPr>
              <w:rPr>
                <w:rFonts w:ascii="Arial Narrow" w:hAnsi="Arial Narrow" w:cs="Arial"/>
                <w:b/>
                <w:sz w:val="20"/>
                <w:szCs w:val="20"/>
              </w:rPr>
            </w:pPr>
            <w:r w:rsidRPr="00F33674">
              <w:rPr>
                <w:rFonts w:ascii="Arial Narrow" w:hAnsi="Arial Narrow" w:cs="Arial"/>
                <w:b/>
                <w:sz w:val="20"/>
                <w:szCs w:val="20"/>
              </w:rPr>
              <w:t>Restriction Level / Method:</w:t>
            </w:r>
          </w:p>
          <w:p w14:paraId="412EF330" w14:textId="77777777" w:rsidR="00265869" w:rsidRPr="00F33674" w:rsidRDefault="00265869" w:rsidP="00265869">
            <w:pPr>
              <w:rPr>
                <w:rFonts w:ascii="Arial Narrow" w:hAnsi="Arial Narrow" w:cs="Arial"/>
                <w:i/>
                <w:sz w:val="20"/>
                <w:szCs w:val="20"/>
              </w:rPr>
            </w:pPr>
          </w:p>
          <w:p w14:paraId="41345DD1" w14:textId="77777777" w:rsidR="00265869" w:rsidRPr="00F33674" w:rsidRDefault="00265869" w:rsidP="00265869">
            <w:pPr>
              <w:rPr>
                <w:rFonts w:ascii="Arial Narrow" w:hAnsi="Arial Narrow" w:cs="Arial"/>
                <w:i/>
                <w:sz w:val="20"/>
                <w:szCs w:val="20"/>
              </w:rPr>
            </w:pPr>
          </w:p>
          <w:p w14:paraId="10FFEB8D" w14:textId="77777777" w:rsidR="00265869" w:rsidRPr="00F33674" w:rsidRDefault="00265869" w:rsidP="00265869">
            <w:pPr>
              <w:rPr>
                <w:rFonts w:ascii="Arial Narrow" w:hAnsi="Arial Narrow" w:cs="Arial"/>
                <w:i/>
                <w:sz w:val="20"/>
                <w:szCs w:val="20"/>
              </w:rPr>
            </w:pPr>
          </w:p>
        </w:tc>
        <w:tc>
          <w:tcPr>
            <w:tcW w:w="6031" w:type="dxa"/>
            <w:tcBorders>
              <w:top w:val="single" w:sz="4" w:space="0" w:color="auto"/>
              <w:left w:val="single" w:sz="4" w:space="0" w:color="auto"/>
              <w:bottom w:val="single" w:sz="4" w:space="0" w:color="auto"/>
              <w:right w:val="single" w:sz="4" w:space="0" w:color="auto"/>
            </w:tcBorders>
          </w:tcPr>
          <w:p w14:paraId="44FC44C8" w14:textId="77777777" w:rsidR="00265869" w:rsidRPr="00F33674" w:rsidRDefault="00265869" w:rsidP="00265869">
            <w:pPr>
              <w:rPr>
                <w:rFonts w:ascii="Arial Narrow" w:hAnsi="Arial Narrow" w:cs="Arial"/>
                <w:sz w:val="20"/>
                <w:szCs w:val="20"/>
              </w:rPr>
            </w:pPr>
            <w:r w:rsidRPr="00F33674">
              <w:rPr>
                <w:rFonts w:ascii="Arial Narrow" w:hAnsi="Arial Narrow" w:cs="Arial"/>
                <w:sz w:val="20"/>
                <w:szCs w:val="20"/>
              </w:rPr>
              <w:fldChar w:fldCharType="begin">
                <w:ffData>
                  <w:name w:val=""/>
                  <w:enabled/>
                  <w:calcOnExit w:val="0"/>
                  <w:checkBox>
                    <w:sizeAuto/>
                    <w:default w:val="0"/>
                  </w:checkBox>
                </w:ffData>
              </w:fldChar>
            </w:r>
            <w:r w:rsidRPr="00F33674">
              <w:rPr>
                <w:rFonts w:ascii="Arial Narrow" w:hAnsi="Arial Narrow" w:cs="Arial"/>
                <w:sz w:val="20"/>
                <w:szCs w:val="20"/>
              </w:rPr>
              <w:instrText xml:space="preserve"> FORMCHECKBOX </w:instrText>
            </w:r>
            <w:r w:rsidR="00233D13">
              <w:rPr>
                <w:rFonts w:ascii="Arial Narrow" w:hAnsi="Arial Narrow" w:cs="Arial"/>
                <w:sz w:val="20"/>
                <w:szCs w:val="20"/>
              </w:rPr>
            </w:r>
            <w:r w:rsidR="00233D13">
              <w:rPr>
                <w:rFonts w:ascii="Arial Narrow" w:hAnsi="Arial Narrow" w:cs="Arial"/>
                <w:sz w:val="20"/>
                <w:szCs w:val="20"/>
              </w:rPr>
              <w:fldChar w:fldCharType="separate"/>
            </w:r>
            <w:r w:rsidRPr="00F33674">
              <w:rPr>
                <w:rFonts w:ascii="Arial Narrow" w:hAnsi="Arial Narrow" w:cs="Arial"/>
                <w:sz w:val="20"/>
                <w:szCs w:val="20"/>
              </w:rPr>
              <w:fldChar w:fldCharType="end"/>
            </w:r>
            <w:r w:rsidRPr="00F33674">
              <w:rPr>
                <w:rFonts w:ascii="Arial Narrow" w:hAnsi="Arial Narrow" w:cs="Arial"/>
                <w:sz w:val="20"/>
                <w:szCs w:val="20"/>
              </w:rPr>
              <w:t>Unrestricted benefit</w:t>
            </w:r>
          </w:p>
          <w:p w14:paraId="1CE78E37" w14:textId="77777777" w:rsidR="00265869" w:rsidRPr="00F33674" w:rsidRDefault="00265869" w:rsidP="00265869">
            <w:pPr>
              <w:rPr>
                <w:rFonts w:ascii="Arial Narrow" w:hAnsi="Arial Narrow" w:cs="Arial"/>
                <w:i/>
                <w:sz w:val="20"/>
                <w:szCs w:val="20"/>
              </w:rPr>
            </w:pPr>
            <w:r w:rsidRPr="00F33674">
              <w:rPr>
                <w:rFonts w:ascii="Arial Narrow" w:hAnsi="Arial Narrow" w:cs="Arial"/>
                <w:i/>
                <w:sz w:val="20"/>
                <w:szCs w:val="20"/>
              </w:rPr>
              <w:fldChar w:fldCharType="begin">
                <w:ffData>
                  <w:name w:val=""/>
                  <w:enabled/>
                  <w:calcOnExit w:val="0"/>
                  <w:checkBox>
                    <w:sizeAuto/>
                    <w:default w:val="0"/>
                  </w:checkBox>
                </w:ffData>
              </w:fldChar>
            </w:r>
            <w:r w:rsidRPr="00F33674">
              <w:rPr>
                <w:rFonts w:ascii="Arial Narrow" w:hAnsi="Arial Narrow" w:cs="Arial"/>
                <w:i/>
                <w:sz w:val="20"/>
                <w:szCs w:val="20"/>
              </w:rPr>
              <w:instrText xml:space="preserve"> FORMCHECKBOX </w:instrText>
            </w:r>
            <w:r w:rsidR="00233D13">
              <w:rPr>
                <w:rFonts w:ascii="Arial Narrow" w:hAnsi="Arial Narrow" w:cs="Arial"/>
                <w:i/>
                <w:sz w:val="20"/>
                <w:szCs w:val="20"/>
              </w:rPr>
            </w:r>
            <w:r w:rsidR="00233D13">
              <w:rPr>
                <w:rFonts w:ascii="Arial Narrow" w:hAnsi="Arial Narrow" w:cs="Arial"/>
                <w:i/>
                <w:sz w:val="20"/>
                <w:szCs w:val="20"/>
              </w:rPr>
              <w:fldChar w:fldCharType="separate"/>
            </w:r>
            <w:r w:rsidRPr="00F33674">
              <w:rPr>
                <w:rFonts w:ascii="Arial Narrow" w:hAnsi="Arial Narrow" w:cs="Arial"/>
                <w:i/>
                <w:sz w:val="20"/>
                <w:szCs w:val="20"/>
              </w:rPr>
              <w:fldChar w:fldCharType="end"/>
            </w:r>
            <w:r w:rsidRPr="00F33674">
              <w:rPr>
                <w:rFonts w:ascii="Arial Narrow" w:hAnsi="Arial Narrow" w:cs="Arial"/>
                <w:sz w:val="20"/>
                <w:szCs w:val="20"/>
              </w:rPr>
              <w:t>Restricted benefit</w:t>
            </w:r>
          </w:p>
          <w:p w14:paraId="7A479A7C" w14:textId="77777777" w:rsidR="00265869" w:rsidRPr="00F33674" w:rsidRDefault="00265869" w:rsidP="00265869">
            <w:pPr>
              <w:rPr>
                <w:rFonts w:ascii="Arial Narrow" w:hAnsi="Arial Narrow" w:cs="Arial"/>
                <w:sz w:val="20"/>
                <w:szCs w:val="20"/>
              </w:rPr>
            </w:pPr>
            <w:r w:rsidRPr="00F33674">
              <w:rPr>
                <w:rFonts w:ascii="Arial Narrow" w:hAnsi="Arial Narrow" w:cs="Arial"/>
                <w:sz w:val="20"/>
                <w:szCs w:val="20"/>
              </w:rPr>
              <w:fldChar w:fldCharType="begin">
                <w:ffData>
                  <w:name w:val=""/>
                  <w:enabled/>
                  <w:calcOnExit w:val="0"/>
                  <w:checkBox>
                    <w:sizeAuto/>
                    <w:default w:val="0"/>
                  </w:checkBox>
                </w:ffData>
              </w:fldChar>
            </w:r>
            <w:r w:rsidRPr="00F33674">
              <w:rPr>
                <w:rFonts w:ascii="Arial Narrow" w:hAnsi="Arial Narrow" w:cs="Arial"/>
                <w:sz w:val="20"/>
                <w:szCs w:val="20"/>
              </w:rPr>
              <w:instrText xml:space="preserve"> FORMCHECKBOX </w:instrText>
            </w:r>
            <w:r w:rsidR="00233D13">
              <w:rPr>
                <w:rFonts w:ascii="Arial Narrow" w:hAnsi="Arial Narrow" w:cs="Arial"/>
                <w:sz w:val="20"/>
                <w:szCs w:val="20"/>
              </w:rPr>
            </w:r>
            <w:r w:rsidR="00233D13">
              <w:rPr>
                <w:rFonts w:ascii="Arial Narrow" w:hAnsi="Arial Narrow" w:cs="Arial"/>
                <w:sz w:val="20"/>
                <w:szCs w:val="20"/>
              </w:rPr>
              <w:fldChar w:fldCharType="separate"/>
            </w:r>
            <w:r w:rsidRPr="00F33674">
              <w:rPr>
                <w:rFonts w:ascii="Arial Narrow" w:hAnsi="Arial Narrow" w:cs="Arial"/>
                <w:sz w:val="20"/>
                <w:szCs w:val="20"/>
              </w:rPr>
              <w:fldChar w:fldCharType="end"/>
            </w:r>
            <w:r w:rsidRPr="00F33674">
              <w:rPr>
                <w:rFonts w:ascii="Arial Narrow" w:hAnsi="Arial Narrow" w:cs="Arial"/>
                <w:sz w:val="20"/>
                <w:szCs w:val="20"/>
              </w:rPr>
              <w:t>Authority Required – In Writing</w:t>
            </w:r>
          </w:p>
          <w:p w14:paraId="27FE8454" w14:textId="77777777" w:rsidR="00265869" w:rsidRPr="00F33674" w:rsidRDefault="00265869" w:rsidP="00265869">
            <w:pPr>
              <w:rPr>
                <w:rFonts w:ascii="Arial Narrow" w:hAnsi="Arial Narrow" w:cs="Arial"/>
                <w:sz w:val="20"/>
                <w:szCs w:val="20"/>
              </w:rPr>
            </w:pPr>
            <w:r w:rsidRPr="00F33674">
              <w:rPr>
                <w:rFonts w:ascii="Arial Narrow" w:hAnsi="Arial Narrow" w:cs="Arial"/>
                <w:sz w:val="20"/>
                <w:szCs w:val="20"/>
              </w:rPr>
              <w:fldChar w:fldCharType="begin">
                <w:ffData>
                  <w:name w:val="Check3"/>
                  <w:enabled/>
                  <w:calcOnExit w:val="0"/>
                  <w:checkBox>
                    <w:sizeAuto/>
                    <w:default w:val="0"/>
                  </w:checkBox>
                </w:ffData>
              </w:fldChar>
            </w:r>
            <w:r w:rsidRPr="00F33674">
              <w:rPr>
                <w:rFonts w:ascii="Arial Narrow" w:hAnsi="Arial Narrow" w:cs="Arial"/>
                <w:sz w:val="20"/>
                <w:szCs w:val="20"/>
              </w:rPr>
              <w:instrText xml:space="preserve"> FORMCHECKBOX </w:instrText>
            </w:r>
            <w:r w:rsidR="00233D13">
              <w:rPr>
                <w:rFonts w:ascii="Arial Narrow" w:hAnsi="Arial Narrow" w:cs="Arial"/>
                <w:sz w:val="20"/>
                <w:szCs w:val="20"/>
              </w:rPr>
            </w:r>
            <w:r w:rsidR="00233D13">
              <w:rPr>
                <w:rFonts w:ascii="Arial Narrow" w:hAnsi="Arial Narrow" w:cs="Arial"/>
                <w:sz w:val="20"/>
                <w:szCs w:val="20"/>
              </w:rPr>
              <w:fldChar w:fldCharType="separate"/>
            </w:r>
            <w:r w:rsidRPr="00F33674">
              <w:rPr>
                <w:rFonts w:ascii="Arial Narrow" w:hAnsi="Arial Narrow" w:cs="Arial"/>
                <w:sz w:val="20"/>
                <w:szCs w:val="20"/>
              </w:rPr>
              <w:fldChar w:fldCharType="end"/>
            </w:r>
            <w:r w:rsidRPr="00F33674">
              <w:rPr>
                <w:rFonts w:ascii="Arial Narrow" w:hAnsi="Arial Narrow" w:cs="Arial"/>
                <w:sz w:val="20"/>
                <w:szCs w:val="20"/>
              </w:rPr>
              <w:t>Authority Required – Telephone/Electronic/Emergency</w:t>
            </w:r>
          </w:p>
          <w:p w14:paraId="6A2758F7" w14:textId="77777777" w:rsidR="00265869" w:rsidRPr="00F33674" w:rsidRDefault="00265869" w:rsidP="00265869">
            <w:pPr>
              <w:rPr>
                <w:rFonts w:ascii="Arial Narrow" w:hAnsi="Arial Narrow" w:cs="Arial"/>
                <w:sz w:val="20"/>
                <w:szCs w:val="20"/>
              </w:rPr>
            </w:pPr>
            <w:r w:rsidRPr="00F33674">
              <w:rPr>
                <w:rFonts w:ascii="Arial Narrow" w:hAnsi="Arial Narrow" w:cs="Arial"/>
                <w:sz w:val="20"/>
                <w:szCs w:val="20"/>
              </w:rPr>
              <w:fldChar w:fldCharType="begin">
                <w:ffData>
                  <w:name w:val="Check5"/>
                  <w:enabled/>
                  <w:calcOnExit w:val="0"/>
                  <w:checkBox>
                    <w:sizeAuto/>
                    <w:default w:val="1"/>
                  </w:checkBox>
                </w:ffData>
              </w:fldChar>
            </w:r>
            <w:r w:rsidRPr="00F33674">
              <w:rPr>
                <w:rFonts w:ascii="Arial Narrow" w:hAnsi="Arial Narrow" w:cs="Arial"/>
                <w:sz w:val="20"/>
                <w:szCs w:val="20"/>
              </w:rPr>
              <w:instrText xml:space="preserve"> FORMCHECKBOX </w:instrText>
            </w:r>
            <w:r w:rsidR="00233D13">
              <w:rPr>
                <w:rFonts w:ascii="Arial Narrow" w:hAnsi="Arial Narrow" w:cs="Arial"/>
                <w:sz w:val="20"/>
                <w:szCs w:val="20"/>
              </w:rPr>
            </w:r>
            <w:r w:rsidR="00233D13">
              <w:rPr>
                <w:rFonts w:ascii="Arial Narrow" w:hAnsi="Arial Narrow" w:cs="Arial"/>
                <w:sz w:val="20"/>
                <w:szCs w:val="20"/>
              </w:rPr>
              <w:fldChar w:fldCharType="separate"/>
            </w:r>
            <w:r w:rsidRPr="00F33674">
              <w:rPr>
                <w:rFonts w:ascii="Arial Narrow" w:hAnsi="Arial Narrow" w:cs="Arial"/>
                <w:sz w:val="20"/>
                <w:szCs w:val="20"/>
              </w:rPr>
              <w:fldChar w:fldCharType="end"/>
            </w:r>
            <w:r w:rsidRPr="00F33674">
              <w:rPr>
                <w:rFonts w:ascii="Arial Narrow" w:hAnsi="Arial Narrow" w:cs="Arial"/>
                <w:sz w:val="20"/>
                <w:szCs w:val="20"/>
              </w:rPr>
              <w:t>Streamlined</w:t>
            </w:r>
          </w:p>
        </w:tc>
      </w:tr>
      <w:tr w:rsidR="00265869" w:rsidRPr="00F33674" w14:paraId="753E10FA" w14:textId="77777777" w:rsidTr="00C21DFA">
        <w:trPr>
          <w:cantSplit/>
          <w:trHeight w:val="360"/>
        </w:trPr>
        <w:tc>
          <w:tcPr>
            <w:tcW w:w="3183" w:type="dxa"/>
            <w:tcBorders>
              <w:top w:val="single" w:sz="4" w:space="0" w:color="auto"/>
              <w:left w:val="single" w:sz="4" w:space="0" w:color="auto"/>
              <w:bottom w:val="single" w:sz="4" w:space="0" w:color="auto"/>
              <w:right w:val="single" w:sz="4" w:space="0" w:color="auto"/>
            </w:tcBorders>
          </w:tcPr>
          <w:p w14:paraId="70EFA7F1" w14:textId="77777777" w:rsidR="00265869" w:rsidRPr="00F33674" w:rsidRDefault="00265869" w:rsidP="00265869">
            <w:pPr>
              <w:rPr>
                <w:rFonts w:ascii="Arial Narrow" w:hAnsi="Arial Narrow" w:cs="Arial"/>
                <w:b/>
                <w:sz w:val="20"/>
                <w:szCs w:val="20"/>
              </w:rPr>
            </w:pPr>
            <w:r>
              <w:rPr>
                <w:rFonts w:ascii="Arial Narrow" w:hAnsi="Arial Narrow" w:cs="Arial"/>
                <w:b/>
                <w:sz w:val="20"/>
                <w:szCs w:val="20"/>
              </w:rPr>
              <w:t>Treatment phase:</w:t>
            </w:r>
          </w:p>
        </w:tc>
        <w:tc>
          <w:tcPr>
            <w:tcW w:w="6031" w:type="dxa"/>
            <w:tcBorders>
              <w:top w:val="single" w:sz="4" w:space="0" w:color="auto"/>
              <w:left w:val="single" w:sz="4" w:space="0" w:color="auto"/>
              <w:bottom w:val="single" w:sz="4" w:space="0" w:color="auto"/>
              <w:right w:val="single" w:sz="4" w:space="0" w:color="auto"/>
            </w:tcBorders>
          </w:tcPr>
          <w:p w14:paraId="350AAA8F" w14:textId="77777777" w:rsidR="00265869" w:rsidRPr="00F33674" w:rsidRDefault="00265869" w:rsidP="00265869">
            <w:pPr>
              <w:jc w:val="left"/>
              <w:rPr>
                <w:rFonts w:ascii="Arial Narrow" w:hAnsi="Arial Narrow" w:cs="Arial"/>
                <w:sz w:val="20"/>
                <w:szCs w:val="20"/>
              </w:rPr>
            </w:pPr>
            <w:r w:rsidRPr="004811F3">
              <w:rPr>
                <w:rFonts w:ascii="Arial Narrow" w:hAnsi="Arial Narrow" w:cs="Arial"/>
                <w:sz w:val="20"/>
                <w:szCs w:val="20"/>
              </w:rPr>
              <w:t xml:space="preserve">Initial PBS treatment after 1 June 2020 where patient </w:t>
            </w:r>
            <w:proofErr w:type="gramStart"/>
            <w:r w:rsidRPr="004811F3">
              <w:rPr>
                <w:rFonts w:ascii="Arial Narrow" w:hAnsi="Arial Narrow" w:cs="Arial"/>
                <w:sz w:val="20"/>
                <w:szCs w:val="20"/>
              </w:rPr>
              <w:t>has been treated</w:t>
            </w:r>
            <w:proofErr w:type="gramEnd"/>
            <w:r w:rsidRPr="004811F3">
              <w:rPr>
                <w:rFonts w:ascii="Arial Narrow" w:hAnsi="Arial Narrow" w:cs="Arial"/>
                <w:sz w:val="20"/>
                <w:szCs w:val="20"/>
              </w:rPr>
              <w:t xml:space="preserve"> with opioids for </w:t>
            </w:r>
            <w:r>
              <w:rPr>
                <w:rFonts w:ascii="Arial Narrow" w:hAnsi="Arial Narrow" w:cs="Arial"/>
                <w:sz w:val="20"/>
                <w:szCs w:val="20"/>
              </w:rPr>
              <w:t>more</w:t>
            </w:r>
            <w:r w:rsidRPr="004811F3">
              <w:rPr>
                <w:rFonts w:ascii="Arial Narrow" w:hAnsi="Arial Narrow" w:cs="Arial"/>
                <w:sz w:val="20"/>
                <w:szCs w:val="20"/>
              </w:rPr>
              <w:t xml:space="preserve"> than 12 months</w:t>
            </w:r>
            <w:r>
              <w:rPr>
                <w:rFonts w:ascii="Arial Narrow" w:hAnsi="Arial Narrow" w:cs="Arial"/>
                <w:sz w:val="20"/>
                <w:szCs w:val="20"/>
              </w:rPr>
              <w:t>.</w:t>
            </w:r>
          </w:p>
        </w:tc>
      </w:tr>
      <w:tr w:rsidR="00265869" w:rsidRPr="00F33674" w14:paraId="53C1E0EF" w14:textId="77777777" w:rsidTr="00C21DFA">
        <w:trPr>
          <w:cantSplit/>
          <w:trHeight w:val="360"/>
        </w:trPr>
        <w:tc>
          <w:tcPr>
            <w:tcW w:w="3183" w:type="dxa"/>
            <w:tcBorders>
              <w:top w:val="single" w:sz="4" w:space="0" w:color="auto"/>
              <w:left w:val="single" w:sz="4" w:space="0" w:color="auto"/>
              <w:bottom w:val="single" w:sz="4" w:space="0" w:color="auto"/>
              <w:right w:val="single" w:sz="4" w:space="0" w:color="auto"/>
            </w:tcBorders>
          </w:tcPr>
          <w:p w14:paraId="691E4FA3" w14:textId="77777777" w:rsidR="00265869" w:rsidRPr="00F33674" w:rsidRDefault="00265869" w:rsidP="00265869">
            <w:pPr>
              <w:rPr>
                <w:rFonts w:ascii="Arial Narrow" w:hAnsi="Arial Narrow" w:cs="Arial"/>
                <w:b/>
                <w:sz w:val="20"/>
                <w:szCs w:val="20"/>
              </w:rPr>
            </w:pPr>
            <w:r w:rsidRPr="00F33674">
              <w:rPr>
                <w:rFonts w:ascii="Arial Narrow" w:hAnsi="Arial Narrow" w:cs="Arial"/>
                <w:b/>
                <w:sz w:val="20"/>
                <w:szCs w:val="20"/>
              </w:rPr>
              <w:lastRenderedPageBreak/>
              <w:t>Clinical criteria:</w:t>
            </w:r>
          </w:p>
        </w:tc>
        <w:tc>
          <w:tcPr>
            <w:tcW w:w="6031" w:type="dxa"/>
            <w:tcBorders>
              <w:top w:val="single" w:sz="4" w:space="0" w:color="auto"/>
              <w:left w:val="single" w:sz="4" w:space="0" w:color="auto"/>
              <w:bottom w:val="single" w:sz="4" w:space="0" w:color="auto"/>
              <w:right w:val="single" w:sz="4" w:space="0" w:color="auto"/>
            </w:tcBorders>
          </w:tcPr>
          <w:p w14:paraId="4AE21421" w14:textId="77777777" w:rsidR="00265869" w:rsidRPr="00F33674" w:rsidRDefault="00265869" w:rsidP="00265869">
            <w:pPr>
              <w:jc w:val="left"/>
              <w:rPr>
                <w:rFonts w:ascii="Arial Narrow" w:hAnsi="Arial Narrow" w:cs="Arial"/>
                <w:sz w:val="20"/>
                <w:szCs w:val="20"/>
              </w:rPr>
            </w:pPr>
            <w:r w:rsidRPr="00F33674">
              <w:rPr>
                <w:rFonts w:ascii="Arial Narrow" w:hAnsi="Arial Narrow" w:cs="Arial"/>
                <w:sz w:val="20"/>
                <w:szCs w:val="20"/>
              </w:rPr>
              <w:t>[new] The condition must require daily, continuous, long term treatment</w:t>
            </w:r>
          </w:p>
          <w:p w14:paraId="5E2B0FC0" w14:textId="77777777" w:rsidR="00265869" w:rsidRPr="00F33674" w:rsidRDefault="00265869" w:rsidP="00265869">
            <w:pPr>
              <w:jc w:val="left"/>
              <w:rPr>
                <w:rFonts w:ascii="Arial Narrow" w:hAnsi="Arial Narrow" w:cs="Arial"/>
                <w:sz w:val="20"/>
                <w:szCs w:val="20"/>
              </w:rPr>
            </w:pPr>
          </w:p>
          <w:p w14:paraId="350829D1" w14:textId="77777777" w:rsidR="00265869" w:rsidRPr="00F33674" w:rsidRDefault="00265869" w:rsidP="00265869">
            <w:pPr>
              <w:jc w:val="left"/>
              <w:rPr>
                <w:rFonts w:ascii="Arial Narrow" w:hAnsi="Arial Narrow" w:cs="Arial"/>
                <w:sz w:val="20"/>
                <w:szCs w:val="20"/>
              </w:rPr>
            </w:pPr>
            <w:r w:rsidRPr="00F33674">
              <w:rPr>
                <w:rFonts w:ascii="Arial Narrow" w:hAnsi="Arial Narrow" w:cs="Arial"/>
                <w:sz w:val="20"/>
                <w:szCs w:val="20"/>
              </w:rPr>
              <w:t>AND</w:t>
            </w:r>
          </w:p>
          <w:p w14:paraId="15391470" w14:textId="77777777" w:rsidR="00265869" w:rsidRPr="00F33674" w:rsidRDefault="00265869" w:rsidP="00265869">
            <w:pPr>
              <w:jc w:val="left"/>
              <w:rPr>
                <w:rFonts w:ascii="Arial Narrow" w:hAnsi="Arial Narrow" w:cs="Arial"/>
                <w:sz w:val="20"/>
                <w:szCs w:val="20"/>
              </w:rPr>
            </w:pPr>
          </w:p>
          <w:p w14:paraId="49D1DA8A" w14:textId="77777777" w:rsidR="00265869" w:rsidRPr="00F33674" w:rsidRDefault="00265869" w:rsidP="00265869">
            <w:pPr>
              <w:jc w:val="left"/>
              <w:rPr>
                <w:rFonts w:ascii="Arial Narrow" w:hAnsi="Arial Narrow" w:cs="Arial"/>
                <w:sz w:val="20"/>
                <w:szCs w:val="20"/>
              </w:rPr>
            </w:pPr>
            <w:r w:rsidRPr="00F33674">
              <w:rPr>
                <w:rFonts w:ascii="Arial Narrow" w:hAnsi="Arial Narrow" w:cs="Arial"/>
                <w:sz w:val="20"/>
                <w:szCs w:val="20"/>
              </w:rPr>
              <w:t>[new] Patient must not be opioid naïve</w:t>
            </w:r>
          </w:p>
          <w:p w14:paraId="12B9AF69" w14:textId="77777777" w:rsidR="00265869" w:rsidRPr="00F33674" w:rsidRDefault="00265869" w:rsidP="00265869">
            <w:pPr>
              <w:jc w:val="left"/>
              <w:rPr>
                <w:rFonts w:ascii="Arial Narrow" w:hAnsi="Arial Narrow" w:cs="Arial"/>
                <w:sz w:val="20"/>
                <w:szCs w:val="20"/>
              </w:rPr>
            </w:pPr>
          </w:p>
          <w:p w14:paraId="788B095C" w14:textId="77777777" w:rsidR="00265869" w:rsidRPr="00F33674" w:rsidRDefault="00265869" w:rsidP="00265869">
            <w:pPr>
              <w:jc w:val="left"/>
              <w:rPr>
                <w:rFonts w:ascii="Arial Narrow" w:hAnsi="Arial Narrow" w:cs="Arial"/>
                <w:sz w:val="20"/>
                <w:szCs w:val="20"/>
              </w:rPr>
            </w:pPr>
            <w:r w:rsidRPr="00F33674">
              <w:rPr>
                <w:rFonts w:ascii="Arial Narrow" w:hAnsi="Arial Narrow" w:cs="Arial"/>
                <w:sz w:val="20"/>
                <w:szCs w:val="20"/>
              </w:rPr>
              <w:t>AND</w:t>
            </w:r>
          </w:p>
          <w:p w14:paraId="08F313CC" w14:textId="77777777" w:rsidR="00265869" w:rsidRPr="00F33674" w:rsidRDefault="00265869" w:rsidP="00265869">
            <w:pPr>
              <w:jc w:val="left"/>
              <w:rPr>
                <w:rFonts w:ascii="Arial Narrow" w:hAnsi="Arial Narrow" w:cs="Arial"/>
                <w:sz w:val="20"/>
                <w:szCs w:val="20"/>
              </w:rPr>
            </w:pPr>
          </w:p>
          <w:p w14:paraId="704B38DF" w14:textId="77777777" w:rsidR="00265869" w:rsidRPr="00F33674" w:rsidRDefault="00265869" w:rsidP="00265869">
            <w:pPr>
              <w:jc w:val="left"/>
              <w:rPr>
                <w:rFonts w:ascii="Arial Narrow" w:hAnsi="Arial Narrow" w:cs="Arial"/>
                <w:sz w:val="20"/>
                <w:szCs w:val="20"/>
              </w:rPr>
            </w:pPr>
            <w:r w:rsidRPr="00F33674">
              <w:rPr>
                <w:rFonts w:ascii="Arial Narrow" w:hAnsi="Arial Narrow" w:cs="Arial"/>
                <w:sz w:val="20"/>
                <w:szCs w:val="20"/>
              </w:rPr>
              <w:t xml:space="preserve">[18096] Patient must have </w:t>
            </w:r>
            <w:r>
              <w:rPr>
                <w:rFonts w:ascii="Arial Narrow" w:hAnsi="Arial Narrow" w:cs="Arial"/>
                <w:sz w:val="20"/>
                <w:szCs w:val="20"/>
              </w:rPr>
              <w:t>cancer pain</w:t>
            </w:r>
          </w:p>
          <w:p w14:paraId="10D1B2F5" w14:textId="77777777" w:rsidR="00265869" w:rsidRPr="00F33674" w:rsidRDefault="00265869" w:rsidP="00265869">
            <w:pPr>
              <w:jc w:val="left"/>
              <w:rPr>
                <w:rFonts w:ascii="Arial Narrow" w:hAnsi="Arial Narrow" w:cs="Arial"/>
                <w:sz w:val="20"/>
                <w:szCs w:val="20"/>
              </w:rPr>
            </w:pPr>
            <w:r w:rsidRPr="00F33674">
              <w:rPr>
                <w:rFonts w:ascii="Arial Narrow" w:hAnsi="Arial Narrow" w:cs="Arial"/>
                <w:sz w:val="20"/>
                <w:szCs w:val="20"/>
              </w:rPr>
              <w:t>OR</w:t>
            </w:r>
          </w:p>
          <w:p w14:paraId="57CB22DD" w14:textId="77777777" w:rsidR="00265869" w:rsidRPr="00F33674" w:rsidRDefault="00265869" w:rsidP="00265869">
            <w:pPr>
              <w:jc w:val="left"/>
              <w:rPr>
                <w:rFonts w:ascii="Arial Narrow" w:hAnsi="Arial Narrow" w:cs="Arial"/>
                <w:sz w:val="20"/>
                <w:szCs w:val="20"/>
              </w:rPr>
            </w:pPr>
            <w:r w:rsidRPr="00F33674">
              <w:rPr>
                <w:rFonts w:ascii="Arial Narrow" w:hAnsi="Arial Narrow" w:cs="Arial"/>
                <w:sz w:val="20"/>
                <w:szCs w:val="20"/>
              </w:rPr>
              <w:t xml:space="preserve">[new] Patient must have </w:t>
            </w:r>
            <w:r>
              <w:rPr>
                <w:rFonts w:ascii="Arial Narrow" w:hAnsi="Arial Narrow" w:cs="Arial"/>
                <w:sz w:val="20"/>
                <w:szCs w:val="20"/>
              </w:rPr>
              <w:t>had or would have</w:t>
            </w:r>
            <w:r w:rsidRPr="00F33674">
              <w:rPr>
                <w:rFonts w:ascii="Arial Narrow" w:hAnsi="Arial Narrow" w:cs="Arial"/>
                <w:sz w:val="20"/>
                <w:szCs w:val="20"/>
              </w:rPr>
              <w:t xml:space="preserve"> </w:t>
            </w:r>
            <w:r>
              <w:rPr>
                <w:rFonts w:ascii="Arial Narrow" w:hAnsi="Arial Narrow" w:cs="Arial"/>
                <w:sz w:val="20"/>
                <w:szCs w:val="20"/>
              </w:rPr>
              <w:t>inadequate pain management</w:t>
            </w:r>
            <w:r w:rsidRPr="00F33674">
              <w:rPr>
                <w:rFonts w:ascii="Arial Narrow" w:hAnsi="Arial Narrow" w:cs="Arial"/>
                <w:sz w:val="20"/>
                <w:szCs w:val="20"/>
              </w:rPr>
              <w:t xml:space="preserve"> </w:t>
            </w:r>
            <w:r>
              <w:rPr>
                <w:rFonts w:ascii="Arial Narrow" w:hAnsi="Arial Narrow" w:cs="Arial"/>
                <w:sz w:val="20"/>
                <w:szCs w:val="20"/>
              </w:rPr>
              <w:t>with</w:t>
            </w:r>
            <w:r w:rsidRPr="00F33674">
              <w:rPr>
                <w:rFonts w:ascii="Arial Narrow" w:hAnsi="Arial Narrow" w:cs="Arial"/>
                <w:sz w:val="20"/>
                <w:szCs w:val="20"/>
              </w:rPr>
              <w:t xml:space="preserve"> tolerated doses of non-opioid and other opioid analgesics</w:t>
            </w:r>
          </w:p>
          <w:p w14:paraId="27056B87" w14:textId="77777777" w:rsidR="00265869" w:rsidRPr="00F33674" w:rsidRDefault="00265869" w:rsidP="00265869">
            <w:pPr>
              <w:jc w:val="left"/>
              <w:rPr>
                <w:rFonts w:ascii="Arial Narrow" w:hAnsi="Arial Narrow" w:cs="Arial"/>
                <w:sz w:val="20"/>
                <w:szCs w:val="20"/>
              </w:rPr>
            </w:pPr>
            <w:r w:rsidRPr="00F33674">
              <w:rPr>
                <w:rFonts w:ascii="Arial Narrow" w:hAnsi="Arial Narrow" w:cs="Arial"/>
                <w:sz w:val="20"/>
                <w:szCs w:val="20"/>
              </w:rPr>
              <w:t>OR</w:t>
            </w:r>
          </w:p>
          <w:p w14:paraId="15FADB75" w14:textId="77777777" w:rsidR="00265869" w:rsidRPr="00F33674" w:rsidRDefault="00265869" w:rsidP="00265869">
            <w:pPr>
              <w:jc w:val="left"/>
              <w:rPr>
                <w:rFonts w:ascii="Arial Narrow" w:hAnsi="Arial Narrow" w:cs="Arial"/>
                <w:sz w:val="20"/>
                <w:szCs w:val="20"/>
              </w:rPr>
            </w:pPr>
            <w:r w:rsidRPr="00F33674">
              <w:rPr>
                <w:rFonts w:ascii="Arial Narrow" w:hAnsi="Arial Narrow" w:cs="Arial"/>
                <w:sz w:val="20"/>
                <w:szCs w:val="20"/>
              </w:rPr>
              <w:t>[new] Patient must be unable to use non-opioid and other opioid analgesics due to contraindications or intolerance.</w:t>
            </w:r>
          </w:p>
        </w:tc>
      </w:tr>
      <w:tr w:rsidR="00265869" w:rsidRPr="00F33674" w14:paraId="013982F5" w14:textId="77777777" w:rsidTr="00C21DFA">
        <w:trPr>
          <w:cantSplit/>
          <w:trHeight w:val="360"/>
        </w:trPr>
        <w:tc>
          <w:tcPr>
            <w:tcW w:w="3183" w:type="dxa"/>
            <w:tcBorders>
              <w:top w:val="single" w:sz="4" w:space="0" w:color="auto"/>
              <w:left w:val="single" w:sz="4" w:space="0" w:color="auto"/>
              <w:bottom w:val="single" w:sz="4" w:space="0" w:color="auto"/>
              <w:right w:val="single" w:sz="4" w:space="0" w:color="auto"/>
            </w:tcBorders>
          </w:tcPr>
          <w:p w14:paraId="4FDF0AF6" w14:textId="77777777" w:rsidR="00265869" w:rsidRPr="00F33674" w:rsidRDefault="00265869" w:rsidP="00265869">
            <w:pPr>
              <w:rPr>
                <w:rFonts w:ascii="Arial Narrow" w:hAnsi="Arial Narrow" w:cs="Arial"/>
                <w:b/>
                <w:sz w:val="20"/>
                <w:szCs w:val="20"/>
              </w:rPr>
            </w:pPr>
            <w:r w:rsidRPr="00F33674">
              <w:rPr>
                <w:rFonts w:ascii="Arial Narrow" w:hAnsi="Arial Narrow" w:cs="Arial"/>
                <w:b/>
                <w:sz w:val="20"/>
                <w:szCs w:val="20"/>
              </w:rPr>
              <w:t>Prescriber instruction:</w:t>
            </w:r>
          </w:p>
        </w:tc>
        <w:tc>
          <w:tcPr>
            <w:tcW w:w="6031" w:type="dxa"/>
            <w:tcBorders>
              <w:top w:val="single" w:sz="4" w:space="0" w:color="auto"/>
              <w:left w:val="single" w:sz="4" w:space="0" w:color="auto"/>
              <w:bottom w:val="single" w:sz="4" w:space="0" w:color="auto"/>
              <w:right w:val="single" w:sz="4" w:space="0" w:color="auto"/>
            </w:tcBorders>
          </w:tcPr>
          <w:p w14:paraId="3AB46CEA" w14:textId="77777777" w:rsidR="00265869" w:rsidRPr="00744FB8" w:rsidRDefault="00265869" w:rsidP="00265869">
            <w:pPr>
              <w:jc w:val="left"/>
              <w:rPr>
                <w:rFonts w:ascii="Arial Narrow" w:hAnsi="Arial Narrow" w:cs="Arial"/>
                <w:sz w:val="20"/>
                <w:szCs w:val="20"/>
              </w:rPr>
            </w:pPr>
            <w:r w:rsidRPr="00F33674">
              <w:rPr>
                <w:rFonts w:ascii="Arial Narrow" w:hAnsi="Arial Narrow" w:cs="Arial"/>
                <w:sz w:val="20"/>
                <w:szCs w:val="20"/>
              </w:rPr>
              <w:t xml:space="preserve">[new] </w:t>
            </w:r>
            <w:r w:rsidRPr="00744FB8">
              <w:rPr>
                <w:rFonts w:ascii="Arial Narrow" w:hAnsi="Arial Narrow" w:cs="Arial"/>
                <w:sz w:val="20"/>
                <w:szCs w:val="20"/>
              </w:rPr>
              <w:t>Authorities for increased maximum quantities and/or repeats must only be considered for chronic severe disabling pain where the total duration of non-PBS and PBS opioid analgesic treatment:</w:t>
            </w:r>
          </w:p>
          <w:p w14:paraId="36C315EA" w14:textId="77777777" w:rsidR="00265869" w:rsidRPr="00744FB8" w:rsidRDefault="00265869" w:rsidP="00265869">
            <w:pPr>
              <w:jc w:val="left"/>
              <w:rPr>
                <w:rFonts w:ascii="Arial Narrow" w:hAnsi="Arial Narrow" w:cs="Arial"/>
                <w:sz w:val="20"/>
                <w:szCs w:val="20"/>
              </w:rPr>
            </w:pPr>
            <w:r w:rsidRPr="00744FB8">
              <w:rPr>
                <w:rFonts w:ascii="Arial Narrow" w:hAnsi="Arial Narrow" w:cs="Arial"/>
                <w:sz w:val="20"/>
                <w:szCs w:val="20"/>
              </w:rPr>
              <w:t>(i) exceeds 12 months and the palliative care patient is unable to have annual pain management review due to their clinical condition; or</w:t>
            </w:r>
          </w:p>
          <w:p w14:paraId="752C81BB" w14:textId="77777777" w:rsidR="00265869" w:rsidRPr="00744FB8" w:rsidRDefault="00265869" w:rsidP="00265869">
            <w:pPr>
              <w:jc w:val="left"/>
              <w:rPr>
                <w:rFonts w:ascii="Arial Narrow" w:hAnsi="Arial Narrow" w:cs="Arial"/>
                <w:sz w:val="20"/>
                <w:szCs w:val="20"/>
              </w:rPr>
            </w:pPr>
            <w:r w:rsidRPr="00744FB8">
              <w:rPr>
                <w:rFonts w:ascii="Arial Narrow" w:hAnsi="Arial Narrow" w:cs="Arial"/>
                <w:sz w:val="20"/>
                <w:szCs w:val="20"/>
              </w:rPr>
              <w:t>(ii) exceeds 12 months and the patient's clinical need for continuing opioid treatment has been confirmed through consultation with the patient by another medical practitioner or a palliative care nurse practitioner in the past 12 months; or</w:t>
            </w:r>
          </w:p>
          <w:p w14:paraId="4779C6F6" w14:textId="77777777" w:rsidR="00265869" w:rsidRPr="00F33674" w:rsidRDefault="00265869" w:rsidP="00265869">
            <w:pPr>
              <w:jc w:val="left"/>
              <w:rPr>
                <w:rFonts w:ascii="Arial Narrow" w:hAnsi="Arial Narrow" w:cs="Arial"/>
                <w:sz w:val="20"/>
                <w:szCs w:val="20"/>
              </w:rPr>
            </w:pPr>
            <w:r w:rsidRPr="00744FB8">
              <w:rPr>
                <w:rFonts w:ascii="Arial Narrow" w:hAnsi="Arial Narrow" w:cs="Arial"/>
                <w:sz w:val="20"/>
                <w:szCs w:val="20"/>
              </w:rPr>
              <w:t xml:space="preserve">(iii) </w:t>
            </w:r>
            <w:proofErr w:type="gramStart"/>
            <w:r w:rsidRPr="00744FB8">
              <w:rPr>
                <w:rFonts w:ascii="Arial Narrow" w:hAnsi="Arial Narrow" w:cs="Arial"/>
                <w:sz w:val="20"/>
                <w:szCs w:val="20"/>
              </w:rPr>
              <w:t>has</w:t>
            </w:r>
            <w:proofErr w:type="gramEnd"/>
            <w:r w:rsidRPr="00744FB8">
              <w:rPr>
                <w:rFonts w:ascii="Arial Narrow" w:hAnsi="Arial Narrow" w:cs="Arial"/>
                <w:sz w:val="20"/>
                <w:szCs w:val="20"/>
              </w:rPr>
              <w:t xml:space="preserve"> exceeded 12 months prior to 1 June 2020 and the patient's clinical need for continuing opioid treatment has not been confirmed through consultation with the patient by another medical practitioner or a palliative care nurse practitioner in the past 12 months, but is planned in the next 3 months.</w:t>
            </w:r>
          </w:p>
          <w:p w14:paraId="25D2B817" w14:textId="77777777" w:rsidR="00265869" w:rsidRPr="00F33674" w:rsidRDefault="00265869" w:rsidP="00265869">
            <w:pPr>
              <w:jc w:val="left"/>
              <w:rPr>
                <w:rFonts w:ascii="Arial Narrow" w:hAnsi="Arial Narrow" w:cs="Arial"/>
                <w:sz w:val="20"/>
                <w:szCs w:val="20"/>
              </w:rPr>
            </w:pPr>
          </w:p>
          <w:p w14:paraId="1FED1357" w14:textId="77777777" w:rsidR="00265869" w:rsidRPr="00F33674" w:rsidRDefault="00265869" w:rsidP="00265869">
            <w:pPr>
              <w:jc w:val="left"/>
              <w:rPr>
                <w:rFonts w:ascii="Arial Narrow" w:hAnsi="Arial Narrow" w:cs="Arial"/>
                <w:sz w:val="20"/>
                <w:szCs w:val="20"/>
              </w:rPr>
            </w:pPr>
            <w:r w:rsidRPr="00F33674">
              <w:rPr>
                <w:rFonts w:ascii="Arial Narrow" w:hAnsi="Arial Narrow" w:cs="Arial"/>
                <w:sz w:val="20"/>
                <w:szCs w:val="20"/>
              </w:rPr>
              <w:t>[new] Authority requests extending treatment duration up to 1 month may be requested though the Online PBS Authorities system or by calling Services Australia.</w:t>
            </w:r>
          </w:p>
          <w:p w14:paraId="650BA0EF" w14:textId="77777777" w:rsidR="00265869" w:rsidRPr="00F33674" w:rsidRDefault="00265869" w:rsidP="00265869">
            <w:pPr>
              <w:jc w:val="left"/>
              <w:rPr>
                <w:rFonts w:ascii="Arial Narrow" w:hAnsi="Arial Narrow" w:cs="Arial"/>
                <w:sz w:val="20"/>
                <w:szCs w:val="20"/>
              </w:rPr>
            </w:pPr>
          </w:p>
          <w:p w14:paraId="0A29D0BC" w14:textId="77777777" w:rsidR="00265869" w:rsidRPr="00F33674" w:rsidRDefault="00265869" w:rsidP="00265869">
            <w:pPr>
              <w:jc w:val="left"/>
              <w:rPr>
                <w:rFonts w:ascii="Arial Narrow" w:hAnsi="Arial Narrow" w:cs="Arial"/>
                <w:sz w:val="20"/>
                <w:szCs w:val="20"/>
              </w:rPr>
            </w:pPr>
            <w:r w:rsidRPr="00F33674">
              <w:rPr>
                <w:rFonts w:ascii="Arial Narrow" w:hAnsi="Arial Narrow" w:cs="Arial"/>
                <w:sz w:val="20"/>
                <w:szCs w:val="20"/>
              </w:rPr>
              <w:t xml:space="preserve">Authority requests extending treatment duration beyond 1 month </w:t>
            </w:r>
            <w:r>
              <w:rPr>
                <w:rFonts w:ascii="Arial Narrow" w:hAnsi="Arial Narrow" w:cs="Arial"/>
                <w:sz w:val="20"/>
                <w:szCs w:val="20"/>
              </w:rPr>
              <w:t>may be requested through the Online PBS Authorities system</w:t>
            </w:r>
            <w:r w:rsidRPr="00F33674">
              <w:rPr>
                <w:rFonts w:ascii="Arial Narrow" w:hAnsi="Arial Narrow" w:cs="Arial"/>
                <w:sz w:val="20"/>
                <w:szCs w:val="20"/>
              </w:rPr>
              <w:t xml:space="preserve"> or in writing only and must not provide a treatment duration exceeding </w:t>
            </w:r>
            <w:r>
              <w:rPr>
                <w:rFonts w:ascii="Arial Narrow" w:hAnsi="Arial Narrow" w:cs="Arial"/>
                <w:sz w:val="20"/>
                <w:szCs w:val="20"/>
              </w:rPr>
              <w:t xml:space="preserve">3 months (quantity sufficient for up to </w:t>
            </w:r>
            <w:proofErr w:type="gramStart"/>
            <w:r>
              <w:rPr>
                <w:rFonts w:ascii="Arial Narrow" w:hAnsi="Arial Narrow" w:cs="Arial"/>
                <w:sz w:val="20"/>
                <w:szCs w:val="20"/>
              </w:rPr>
              <w:t>1 month</w:t>
            </w:r>
            <w:proofErr w:type="gramEnd"/>
            <w:r>
              <w:rPr>
                <w:rFonts w:ascii="Arial Narrow" w:hAnsi="Arial Narrow" w:cs="Arial"/>
                <w:sz w:val="20"/>
                <w:szCs w:val="20"/>
              </w:rPr>
              <w:t xml:space="preserve"> treatment and sufficient repeats).</w:t>
            </w:r>
          </w:p>
        </w:tc>
      </w:tr>
      <w:tr w:rsidR="00265869" w:rsidRPr="00F33674" w14:paraId="7794D502" w14:textId="77777777" w:rsidTr="00C21DFA">
        <w:trPr>
          <w:cantSplit/>
          <w:trHeight w:val="360"/>
        </w:trPr>
        <w:tc>
          <w:tcPr>
            <w:tcW w:w="3183" w:type="dxa"/>
            <w:tcBorders>
              <w:top w:val="single" w:sz="4" w:space="0" w:color="auto"/>
              <w:left w:val="single" w:sz="4" w:space="0" w:color="auto"/>
              <w:bottom w:val="single" w:sz="4" w:space="0" w:color="auto"/>
              <w:right w:val="single" w:sz="4" w:space="0" w:color="auto"/>
            </w:tcBorders>
          </w:tcPr>
          <w:p w14:paraId="1661AF7F" w14:textId="1E83226E" w:rsidR="00265869" w:rsidRPr="00F33674" w:rsidRDefault="00265869" w:rsidP="00265869">
            <w:pPr>
              <w:rPr>
                <w:rFonts w:ascii="Arial Narrow" w:hAnsi="Arial Narrow" w:cs="Arial"/>
                <w:b/>
                <w:sz w:val="20"/>
                <w:szCs w:val="20"/>
              </w:rPr>
            </w:pPr>
            <w:r w:rsidRPr="00F33674">
              <w:rPr>
                <w:rFonts w:ascii="Arial Narrow" w:hAnsi="Arial Narrow" w:cs="Arial"/>
                <w:b/>
                <w:sz w:val="20"/>
                <w:szCs w:val="20"/>
              </w:rPr>
              <w:lastRenderedPageBreak/>
              <w:t>Administrative advice:</w:t>
            </w:r>
          </w:p>
        </w:tc>
        <w:tc>
          <w:tcPr>
            <w:tcW w:w="6031" w:type="dxa"/>
            <w:tcBorders>
              <w:top w:val="single" w:sz="4" w:space="0" w:color="auto"/>
              <w:left w:val="single" w:sz="4" w:space="0" w:color="auto"/>
              <w:bottom w:val="single" w:sz="4" w:space="0" w:color="auto"/>
              <w:right w:val="single" w:sz="4" w:space="0" w:color="auto"/>
            </w:tcBorders>
          </w:tcPr>
          <w:p w14:paraId="5C06322F" w14:textId="77777777" w:rsidR="00265869" w:rsidRPr="00F33674" w:rsidRDefault="00265869" w:rsidP="00265869">
            <w:pPr>
              <w:jc w:val="left"/>
              <w:rPr>
                <w:rFonts w:ascii="Arial Narrow" w:hAnsi="Arial Narrow"/>
                <w:sz w:val="20"/>
                <w:szCs w:val="20"/>
              </w:rPr>
            </w:pPr>
            <w:r w:rsidRPr="00F33674">
              <w:rPr>
                <w:rFonts w:ascii="Arial Narrow" w:hAnsi="Arial Narrow"/>
                <w:sz w:val="20"/>
                <w:szCs w:val="20"/>
              </w:rPr>
              <w:t xml:space="preserve">[13978] Fentanyl transdermal patches </w:t>
            </w:r>
            <w:proofErr w:type="gramStart"/>
            <w:r w:rsidRPr="00F33674">
              <w:rPr>
                <w:rFonts w:ascii="Arial Narrow" w:hAnsi="Arial Narrow"/>
                <w:sz w:val="20"/>
                <w:szCs w:val="20"/>
              </w:rPr>
              <w:t>are not recommended</w:t>
            </w:r>
            <w:proofErr w:type="gramEnd"/>
            <w:r w:rsidRPr="00F33674">
              <w:rPr>
                <w:rFonts w:ascii="Arial Narrow" w:hAnsi="Arial Narrow"/>
                <w:sz w:val="20"/>
                <w:szCs w:val="20"/>
              </w:rPr>
              <w:t xml:space="preserve"> in opioid naive patients with non-cancer pain because of a high incidence of adverse events in these patients. Patients with cancer pain </w:t>
            </w:r>
            <w:proofErr w:type="gramStart"/>
            <w:r w:rsidRPr="00F33674">
              <w:rPr>
                <w:rFonts w:ascii="Arial Narrow" w:hAnsi="Arial Narrow"/>
                <w:sz w:val="20"/>
                <w:szCs w:val="20"/>
              </w:rPr>
              <w:t>may be initiated</w:t>
            </w:r>
            <w:proofErr w:type="gramEnd"/>
            <w:r w:rsidRPr="00F33674">
              <w:rPr>
                <w:rFonts w:ascii="Arial Narrow" w:hAnsi="Arial Narrow"/>
                <w:sz w:val="20"/>
                <w:szCs w:val="20"/>
              </w:rPr>
              <w:t xml:space="preserve"> on the lowest strength patch (12 micrograms per hour).</w:t>
            </w:r>
          </w:p>
          <w:p w14:paraId="74C027A3" w14:textId="77777777" w:rsidR="00265869" w:rsidRPr="00F33674" w:rsidRDefault="00265869" w:rsidP="00265869">
            <w:pPr>
              <w:jc w:val="left"/>
              <w:rPr>
                <w:rFonts w:ascii="Arial Narrow" w:hAnsi="Arial Narrow"/>
                <w:sz w:val="20"/>
                <w:szCs w:val="20"/>
              </w:rPr>
            </w:pPr>
          </w:p>
          <w:p w14:paraId="0ABD8E01" w14:textId="77777777" w:rsidR="00265869" w:rsidRPr="00F33674" w:rsidRDefault="00265869" w:rsidP="00265869">
            <w:pPr>
              <w:jc w:val="left"/>
              <w:rPr>
                <w:rFonts w:ascii="Arial Narrow" w:hAnsi="Arial Narrow"/>
                <w:sz w:val="20"/>
                <w:szCs w:val="20"/>
              </w:rPr>
            </w:pPr>
            <w:r w:rsidRPr="00F33674">
              <w:rPr>
                <w:rFonts w:ascii="Arial Narrow" w:hAnsi="Arial Narrow"/>
                <w:sz w:val="20"/>
                <w:szCs w:val="20"/>
              </w:rPr>
              <w:t>[new] Consider consultation with a multidisciplinary pain service prior to, or after commencement of this medication.</w:t>
            </w:r>
          </w:p>
          <w:p w14:paraId="24FD8485" w14:textId="77777777" w:rsidR="00265869" w:rsidRPr="00F33674" w:rsidRDefault="00265869" w:rsidP="00265869">
            <w:pPr>
              <w:jc w:val="left"/>
              <w:rPr>
                <w:rFonts w:ascii="Arial Narrow" w:hAnsi="Arial Narrow"/>
                <w:sz w:val="20"/>
                <w:szCs w:val="20"/>
              </w:rPr>
            </w:pPr>
          </w:p>
          <w:p w14:paraId="2CD1B916" w14:textId="77777777" w:rsidR="00265869" w:rsidRPr="00F33674" w:rsidRDefault="00265869" w:rsidP="00265869">
            <w:pPr>
              <w:jc w:val="left"/>
              <w:rPr>
                <w:rFonts w:ascii="Arial Narrow" w:hAnsi="Arial Narrow" w:cs="Arial"/>
                <w:sz w:val="20"/>
                <w:szCs w:val="20"/>
              </w:rPr>
            </w:pPr>
            <w:r w:rsidRPr="00F33674">
              <w:rPr>
                <w:rFonts w:ascii="Arial Narrow" w:hAnsi="Arial Narrow" w:cs="Arial"/>
                <w:sz w:val="20"/>
                <w:szCs w:val="20"/>
              </w:rPr>
              <w:t>[new] This treatment is not suitable for ‘as-required’ pain relief.</w:t>
            </w:r>
          </w:p>
          <w:p w14:paraId="04B64182" w14:textId="77777777" w:rsidR="00265869" w:rsidRPr="00F33674" w:rsidRDefault="00265869" w:rsidP="00265869">
            <w:pPr>
              <w:jc w:val="left"/>
              <w:rPr>
                <w:rFonts w:ascii="Arial Narrow" w:hAnsi="Arial Narrow"/>
                <w:sz w:val="20"/>
                <w:szCs w:val="20"/>
              </w:rPr>
            </w:pPr>
          </w:p>
          <w:p w14:paraId="5EFBDAC3" w14:textId="77777777" w:rsidR="00265869" w:rsidRPr="00F33674" w:rsidRDefault="00265869" w:rsidP="00265869">
            <w:pPr>
              <w:jc w:val="left"/>
              <w:rPr>
                <w:rFonts w:ascii="Arial Narrow" w:hAnsi="Arial Narrow" w:cs="Arial"/>
                <w:sz w:val="20"/>
                <w:szCs w:val="20"/>
              </w:rPr>
            </w:pPr>
            <w:r w:rsidRPr="00F33674">
              <w:rPr>
                <w:rFonts w:ascii="Arial Narrow" w:hAnsi="Arial Narrow" w:cs="Arial"/>
                <w:sz w:val="20"/>
                <w:szCs w:val="20"/>
              </w:rPr>
              <w:t>[13981] Pharmaceutical benefits that have the form fentanyl 50 microgram/hour patch are equivalent for the purposes of substitution.</w:t>
            </w:r>
          </w:p>
          <w:p w14:paraId="7F045010" w14:textId="77777777" w:rsidR="00265869" w:rsidRPr="00F33674" w:rsidRDefault="00265869" w:rsidP="00265869">
            <w:pPr>
              <w:jc w:val="left"/>
              <w:rPr>
                <w:rFonts w:ascii="Arial Narrow" w:hAnsi="Arial Narrow" w:cs="Arial"/>
                <w:sz w:val="20"/>
                <w:szCs w:val="20"/>
              </w:rPr>
            </w:pPr>
          </w:p>
          <w:p w14:paraId="63808539" w14:textId="77777777" w:rsidR="00265869" w:rsidRPr="00F33674" w:rsidRDefault="00265869" w:rsidP="00265869">
            <w:pPr>
              <w:jc w:val="left"/>
              <w:rPr>
                <w:rFonts w:ascii="Arial Narrow" w:hAnsi="Arial Narrow" w:cs="Arial"/>
                <w:sz w:val="20"/>
                <w:szCs w:val="20"/>
              </w:rPr>
            </w:pPr>
            <w:r w:rsidRPr="00F33674">
              <w:rPr>
                <w:rFonts w:ascii="Arial Narrow" w:hAnsi="Arial Narrow" w:cs="Arial"/>
                <w:sz w:val="20"/>
                <w:szCs w:val="20"/>
              </w:rPr>
              <w:t xml:space="preserve">[7901] Shared Care Model: For prescribing by nurse practitioners where care of a patient </w:t>
            </w:r>
            <w:proofErr w:type="gramStart"/>
            <w:r w:rsidRPr="00F33674">
              <w:rPr>
                <w:rFonts w:ascii="Arial Narrow" w:hAnsi="Arial Narrow" w:cs="Arial"/>
                <w:sz w:val="20"/>
                <w:szCs w:val="20"/>
              </w:rPr>
              <w:t>is shared</w:t>
            </w:r>
            <w:proofErr w:type="gramEnd"/>
            <w:r w:rsidRPr="00F33674">
              <w:rPr>
                <w:rFonts w:ascii="Arial Narrow" w:hAnsi="Arial Narrow" w:cs="Arial"/>
                <w:sz w:val="20"/>
                <w:szCs w:val="20"/>
              </w:rPr>
              <w:t xml:space="preserve"> between a nurse practitioner and medical practitioner in a formalised arrangement with an agreed management plan. Further information </w:t>
            </w:r>
            <w:proofErr w:type="gramStart"/>
            <w:r w:rsidRPr="00F33674">
              <w:rPr>
                <w:rFonts w:ascii="Arial Narrow" w:hAnsi="Arial Narrow" w:cs="Arial"/>
                <w:sz w:val="20"/>
                <w:szCs w:val="20"/>
              </w:rPr>
              <w:t>can be found</w:t>
            </w:r>
            <w:proofErr w:type="gramEnd"/>
            <w:r w:rsidRPr="00F33674">
              <w:rPr>
                <w:rFonts w:ascii="Arial Narrow" w:hAnsi="Arial Narrow" w:cs="Arial"/>
                <w:sz w:val="20"/>
                <w:szCs w:val="20"/>
              </w:rPr>
              <w:t xml:space="preserve"> in the Explanatory Notes for Nurse Practitioners.</w:t>
            </w:r>
          </w:p>
          <w:p w14:paraId="5483CF05" w14:textId="77777777" w:rsidR="00265869" w:rsidRPr="00F33674" w:rsidRDefault="00265869" w:rsidP="00265869">
            <w:pPr>
              <w:jc w:val="left"/>
              <w:rPr>
                <w:rFonts w:ascii="Arial Narrow" w:hAnsi="Arial Narrow" w:cs="Arial"/>
                <w:sz w:val="20"/>
                <w:szCs w:val="20"/>
              </w:rPr>
            </w:pPr>
          </w:p>
          <w:p w14:paraId="5FA9E18F" w14:textId="77777777" w:rsidR="00265869" w:rsidRPr="00F33674" w:rsidRDefault="00265869" w:rsidP="00265869">
            <w:pPr>
              <w:jc w:val="left"/>
              <w:rPr>
                <w:rFonts w:ascii="Arial Narrow" w:hAnsi="Arial Narrow" w:cs="Arial"/>
                <w:sz w:val="20"/>
                <w:szCs w:val="20"/>
              </w:rPr>
            </w:pPr>
            <w:r w:rsidRPr="00F33674">
              <w:rPr>
                <w:rFonts w:ascii="Arial Narrow" w:hAnsi="Arial Narrow" w:cs="Arial"/>
                <w:sz w:val="20"/>
                <w:szCs w:val="20"/>
              </w:rPr>
              <w:t>[new] Real time online applications for increased maximum quantities/repeats may be made using the Online PBS Authorities system (see www.servicesaustralia.gov.au/organisations/health-professionals/services/medicare/hpos/services/request-authority-using-online-pbs-authorities-hpos)</w:t>
            </w:r>
          </w:p>
          <w:p w14:paraId="133F16A0" w14:textId="77777777" w:rsidR="00265869" w:rsidRPr="00F33674" w:rsidRDefault="00265869" w:rsidP="00265869">
            <w:pPr>
              <w:jc w:val="left"/>
              <w:rPr>
                <w:rFonts w:ascii="Arial Narrow" w:hAnsi="Arial Narrow" w:cs="Arial"/>
                <w:sz w:val="20"/>
                <w:szCs w:val="20"/>
              </w:rPr>
            </w:pPr>
          </w:p>
          <w:p w14:paraId="7653AC46" w14:textId="77777777" w:rsidR="00265869" w:rsidRPr="00F33674" w:rsidRDefault="00265869" w:rsidP="00265869">
            <w:pPr>
              <w:jc w:val="left"/>
              <w:rPr>
                <w:rFonts w:ascii="Arial Narrow" w:hAnsi="Arial Narrow" w:cs="Arial"/>
                <w:sz w:val="20"/>
                <w:szCs w:val="20"/>
              </w:rPr>
            </w:pPr>
            <w:r w:rsidRPr="00F33674">
              <w:rPr>
                <w:rFonts w:ascii="Arial Narrow" w:hAnsi="Arial Narrow" w:cs="Arial"/>
                <w:sz w:val="20"/>
                <w:szCs w:val="20"/>
              </w:rPr>
              <w:t>Phone applications for increased maximum quantities/repeats may be made by calling 1800 888 333.</w:t>
            </w:r>
          </w:p>
          <w:p w14:paraId="0304E375" w14:textId="77777777" w:rsidR="00265869" w:rsidRPr="00F33674" w:rsidRDefault="00265869" w:rsidP="00265869">
            <w:pPr>
              <w:jc w:val="left"/>
              <w:rPr>
                <w:rFonts w:ascii="Arial Narrow" w:hAnsi="Arial Narrow" w:cs="Arial"/>
                <w:sz w:val="20"/>
                <w:szCs w:val="20"/>
              </w:rPr>
            </w:pPr>
          </w:p>
          <w:p w14:paraId="6D96B3E0" w14:textId="77777777" w:rsidR="00265869" w:rsidRPr="00F33674" w:rsidRDefault="00265869" w:rsidP="00265869">
            <w:pPr>
              <w:jc w:val="left"/>
              <w:rPr>
                <w:rFonts w:ascii="Arial Narrow" w:hAnsi="Arial Narrow" w:cs="Arial"/>
                <w:sz w:val="20"/>
                <w:szCs w:val="20"/>
              </w:rPr>
            </w:pPr>
            <w:r w:rsidRPr="00F33674">
              <w:rPr>
                <w:rFonts w:ascii="Arial Narrow" w:hAnsi="Arial Narrow" w:cs="Arial"/>
                <w:sz w:val="20"/>
                <w:szCs w:val="20"/>
              </w:rPr>
              <w:t>Written authority applications for increased maximum quantities/repeats can be uploaded online through HPOS form upload or mailed to:</w:t>
            </w:r>
          </w:p>
          <w:p w14:paraId="497F974E" w14:textId="77777777" w:rsidR="00265869" w:rsidRPr="00F33674" w:rsidRDefault="00265869" w:rsidP="00265869">
            <w:pPr>
              <w:jc w:val="left"/>
              <w:rPr>
                <w:rFonts w:ascii="Arial Narrow" w:hAnsi="Arial Narrow" w:cs="Arial"/>
                <w:sz w:val="20"/>
                <w:szCs w:val="20"/>
              </w:rPr>
            </w:pPr>
            <w:r w:rsidRPr="00F33674">
              <w:rPr>
                <w:rFonts w:ascii="Arial Narrow" w:hAnsi="Arial Narrow" w:cs="Arial"/>
                <w:sz w:val="20"/>
                <w:szCs w:val="20"/>
              </w:rPr>
              <w:t>Pharmaceutical Benefits Scheme</w:t>
            </w:r>
          </w:p>
          <w:p w14:paraId="3EDC70B7" w14:textId="77777777" w:rsidR="00265869" w:rsidRPr="00F33674" w:rsidRDefault="00265869" w:rsidP="00265869">
            <w:pPr>
              <w:jc w:val="left"/>
              <w:rPr>
                <w:rFonts w:ascii="Arial Narrow" w:hAnsi="Arial Narrow" w:cs="Arial"/>
                <w:sz w:val="20"/>
                <w:szCs w:val="20"/>
              </w:rPr>
            </w:pPr>
            <w:r w:rsidRPr="00F33674">
              <w:rPr>
                <w:rFonts w:ascii="Arial Narrow" w:hAnsi="Arial Narrow" w:cs="Arial"/>
                <w:sz w:val="20"/>
                <w:szCs w:val="20"/>
              </w:rPr>
              <w:t>Reply Paid 9857</w:t>
            </w:r>
          </w:p>
          <w:p w14:paraId="7E82B634" w14:textId="29DCED1B" w:rsidR="00265869" w:rsidRPr="00F33674" w:rsidRDefault="00265869" w:rsidP="00265869">
            <w:pPr>
              <w:jc w:val="left"/>
              <w:rPr>
                <w:rFonts w:ascii="Arial Narrow" w:hAnsi="Arial Narrow" w:cs="Arial"/>
                <w:sz w:val="20"/>
                <w:szCs w:val="20"/>
              </w:rPr>
            </w:pPr>
            <w:r w:rsidRPr="00F33674">
              <w:rPr>
                <w:rFonts w:ascii="Arial Narrow" w:hAnsi="Arial Narrow" w:cs="Arial"/>
                <w:sz w:val="20"/>
                <w:szCs w:val="20"/>
              </w:rPr>
              <w:t>[Your capital city]</w:t>
            </w:r>
          </w:p>
        </w:tc>
      </w:tr>
      <w:tr w:rsidR="00265869" w:rsidRPr="00F33674" w14:paraId="3B5DDC7D" w14:textId="77777777" w:rsidTr="00C21DFA">
        <w:trPr>
          <w:cantSplit/>
          <w:trHeight w:val="360"/>
        </w:trPr>
        <w:tc>
          <w:tcPr>
            <w:tcW w:w="3183" w:type="dxa"/>
            <w:tcBorders>
              <w:top w:val="single" w:sz="4" w:space="0" w:color="auto"/>
              <w:left w:val="single" w:sz="4" w:space="0" w:color="auto"/>
              <w:bottom w:val="single" w:sz="4" w:space="0" w:color="auto"/>
              <w:right w:val="single" w:sz="4" w:space="0" w:color="auto"/>
            </w:tcBorders>
          </w:tcPr>
          <w:p w14:paraId="23BCB220" w14:textId="77777777" w:rsidR="00265869" w:rsidRPr="00F33674" w:rsidRDefault="00265869" w:rsidP="00265869">
            <w:pPr>
              <w:rPr>
                <w:rFonts w:ascii="Arial Narrow" w:hAnsi="Arial Narrow" w:cs="Arial"/>
                <w:b/>
                <w:sz w:val="20"/>
                <w:szCs w:val="20"/>
              </w:rPr>
            </w:pPr>
            <w:r w:rsidRPr="00F33674">
              <w:rPr>
                <w:rFonts w:ascii="Arial Narrow" w:hAnsi="Arial Narrow" w:cs="Arial"/>
                <w:b/>
                <w:sz w:val="20"/>
                <w:szCs w:val="20"/>
              </w:rPr>
              <w:t>Cautions:</w:t>
            </w:r>
          </w:p>
        </w:tc>
        <w:tc>
          <w:tcPr>
            <w:tcW w:w="6031" w:type="dxa"/>
            <w:tcBorders>
              <w:top w:val="single" w:sz="4" w:space="0" w:color="auto"/>
              <w:left w:val="single" w:sz="4" w:space="0" w:color="auto"/>
              <w:bottom w:val="single" w:sz="4" w:space="0" w:color="auto"/>
              <w:right w:val="single" w:sz="4" w:space="0" w:color="auto"/>
            </w:tcBorders>
          </w:tcPr>
          <w:p w14:paraId="190A4DF8" w14:textId="77777777" w:rsidR="00265869" w:rsidRPr="00F33674" w:rsidRDefault="00265869" w:rsidP="00265869">
            <w:pPr>
              <w:jc w:val="left"/>
              <w:rPr>
                <w:rFonts w:ascii="Arial Narrow" w:hAnsi="Arial Narrow" w:cs="Arial"/>
                <w:sz w:val="20"/>
                <w:szCs w:val="20"/>
              </w:rPr>
            </w:pPr>
            <w:r w:rsidRPr="00F33674">
              <w:rPr>
                <w:rFonts w:ascii="Arial Narrow" w:hAnsi="Arial Narrow" w:cs="Arial"/>
                <w:sz w:val="20"/>
                <w:szCs w:val="20"/>
              </w:rPr>
              <w:t>[6986] The risk of drug dependence is high.</w:t>
            </w:r>
          </w:p>
        </w:tc>
      </w:tr>
    </w:tbl>
    <w:p w14:paraId="1AE0867F" w14:textId="77777777" w:rsidR="00265869" w:rsidRDefault="00265869" w:rsidP="00265869">
      <w:pPr>
        <w:pStyle w:val="3-BodyText"/>
        <w:numPr>
          <w:ilvl w:val="0"/>
          <w:numId w:val="0"/>
        </w:numPr>
        <w:ind w:left="720" w:hanging="720"/>
      </w:pPr>
    </w:p>
    <w:tbl>
      <w:tblPr>
        <w:tblW w:w="9214" w:type="dxa"/>
        <w:tblInd w:w="-5" w:type="dxa"/>
        <w:tblLook w:val="0000" w:firstRow="0" w:lastRow="0" w:firstColumn="0" w:lastColumn="0" w:noHBand="0" w:noVBand="0"/>
      </w:tblPr>
      <w:tblGrid>
        <w:gridCol w:w="3183"/>
        <w:gridCol w:w="6031"/>
      </w:tblGrid>
      <w:tr w:rsidR="00265869" w:rsidRPr="00F33674" w14:paraId="3027B00C" w14:textId="77777777" w:rsidTr="00C21DFA">
        <w:trPr>
          <w:cantSplit/>
          <w:trHeight w:val="360"/>
        </w:trPr>
        <w:tc>
          <w:tcPr>
            <w:tcW w:w="3183" w:type="dxa"/>
            <w:tcBorders>
              <w:top w:val="single" w:sz="4" w:space="0" w:color="auto"/>
              <w:left w:val="single" w:sz="4" w:space="0" w:color="auto"/>
              <w:bottom w:val="single" w:sz="4" w:space="0" w:color="auto"/>
              <w:right w:val="single" w:sz="4" w:space="0" w:color="auto"/>
            </w:tcBorders>
          </w:tcPr>
          <w:p w14:paraId="32947CDF" w14:textId="77777777" w:rsidR="00265869" w:rsidRPr="00F33674" w:rsidRDefault="00265869" w:rsidP="00265869">
            <w:pPr>
              <w:rPr>
                <w:rFonts w:ascii="Arial Narrow" w:hAnsi="Arial Narrow" w:cs="Arial"/>
                <w:b/>
                <w:sz w:val="20"/>
                <w:szCs w:val="20"/>
              </w:rPr>
            </w:pPr>
            <w:r w:rsidRPr="00F33674">
              <w:rPr>
                <w:rFonts w:ascii="Arial Narrow" w:hAnsi="Arial Narrow" w:cs="Arial"/>
                <w:b/>
                <w:sz w:val="20"/>
                <w:szCs w:val="20"/>
              </w:rPr>
              <w:t>Category / Program:</w:t>
            </w:r>
          </w:p>
        </w:tc>
        <w:tc>
          <w:tcPr>
            <w:tcW w:w="6031" w:type="dxa"/>
            <w:tcBorders>
              <w:top w:val="single" w:sz="4" w:space="0" w:color="auto"/>
              <w:left w:val="single" w:sz="4" w:space="0" w:color="auto"/>
              <w:bottom w:val="single" w:sz="4" w:space="0" w:color="auto"/>
              <w:right w:val="single" w:sz="4" w:space="0" w:color="auto"/>
            </w:tcBorders>
          </w:tcPr>
          <w:p w14:paraId="05873C79" w14:textId="77777777" w:rsidR="00265869" w:rsidRPr="00F33674" w:rsidRDefault="00265869" w:rsidP="00265869">
            <w:pPr>
              <w:rPr>
                <w:rFonts w:ascii="Arial Narrow" w:hAnsi="Arial Narrow" w:cs="Arial"/>
                <w:sz w:val="20"/>
                <w:szCs w:val="20"/>
              </w:rPr>
            </w:pPr>
            <w:r w:rsidRPr="00F33674">
              <w:rPr>
                <w:rFonts w:ascii="Arial Narrow" w:hAnsi="Arial Narrow" w:cs="Arial"/>
                <w:sz w:val="20"/>
                <w:szCs w:val="20"/>
              </w:rPr>
              <w:t>GENERAL – General Schedule (Code GE)</w:t>
            </w:r>
          </w:p>
        </w:tc>
      </w:tr>
      <w:tr w:rsidR="00265869" w:rsidRPr="00F33674" w14:paraId="1AF0E387" w14:textId="77777777" w:rsidTr="00C21DFA">
        <w:trPr>
          <w:cantSplit/>
          <w:trHeight w:val="360"/>
        </w:trPr>
        <w:tc>
          <w:tcPr>
            <w:tcW w:w="3183" w:type="dxa"/>
            <w:tcBorders>
              <w:top w:val="single" w:sz="4" w:space="0" w:color="auto"/>
              <w:left w:val="single" w:sz="4" w:space="0" w:color="auto"/>
              <w:bottom w:val="single" w:sz="4" w:space="0" w:color="auto"/>
              <w:right w:val="single" w:sz="4" w:space="0" w:color="auto"/>
            </w:tcBorders>
          </w:tcPr>
          <w:p w14:paraId="7D9977C6" w14:textId="77777777" w:rsidR="00265869" w:rsidRPr="00F33674" w:rsidRDefault="00265869" w:rsidP="00265869">
            <w:pPr>
              <w:rPr>
                <w:rFonts w:ascii="Arial Narrow" w:hAnsi="Arial Narrow" w:cs="Arial"/>
                <w:b/>
                <w:sz w:val="20"/>
                <w:szCs w:val="20"/>
              </w:rPr>
            </w:pPr>
            <w:r w:rsidRPr="00F33674">
              <w:rPr>
                <w:rFonts w:ascii="Arial Narrow" w:hAnsi="Arial Narrow" w:cs="Arial"/>
                <w:b/>
                <w:sz w:val="20"/>
                <w:szCs w:val="20"/>
              </w:rPr>
              <w:t>Prescriber type:</w:t>
            </w:r>
          </w:p>
          <w:p w14:paraId="0394E8B6" w14:textId="77777777" w:rsidR="00265869" w:rsidRPr="00F33674" w:rsidRDefault="00265869" w:rsidP="00265869">
            <w:pPr>
              <w:rPr>
                <w:rFonts w:ascii="Arial Narrow" w:hAnsi="Arial Narrow" w:cs="Arial"/>
                <w:b/>
                <w:sz w:val="20"/>
                <w:szCs w:val="20"/>
              </w:rPr>
            </w:pPr>
          </w:p>
        </w:tc>
        <w:tc>
          <w:tcPr>
            <w:tcW w:w="6031" w:type="dxa"/>
            <w:tcBorders>
              <w:top w:val="single" w:sz="4" w:space="0" w:color="auto"/>
              <w:left w:val="single" w:sz="4" w:space="0" w:color="auto"/>
              <w:bottom w:val="single" w:sz="4" w:space="0" w:color="auto"/>
              <w:right w:val="single" w:sz="4" w:space="0" w:color="auto"/>
            </w:tcBorders>
          </w:tcPr>
          <w:p w14:paraId="02B03250" w14:textId="77777777" w:rsidR="00265869" w:rsidRPr="00F33674" w:rsidRDefault="00265869" w:rsidP="00265869">
            <w:pPr>
              <w:rPr>
                <w:rFonts w:ascii="Arial Narrow" w:hAnsi="Arial Narrow" w:cs="Arial"/>
                <w:sz w:val="20"/>
                <w:szCs w:val="20"/>
              </w:rPr>
            </w:pPr>
            <w:r w:rsidRPr="00F33674">
              <w:rPr>
                <w:rFonts w:ascii="Arial Narrow" w:hAnsi="Arial Narrow" w:cs="Arial"/>
                <w:sz w:val="20"/>
                <w:szCs w:val="20"/>
              </w:rPr>
              <w:fldChar w:fldCharType="begin">
                <w:ffData>
                  <w:name w:val="Check1"/>
                  <w:enabled/>
                  <w:calcOnExit w:val="0"/>
                  <w:checkBox>
                    <w:sizeAuto/>
                    <w:default w:val="0"/>
                  </w:checkBox>
                </w:ffData>
              </w:fldChar>
            </w:r>
            <w:r w:rsidRPr="00F33674">
              <w:rPr>
                <w:rFonts w:ascii="Arial Narrow" w:hAnsi="Arial Narrow" w:cs="Arial"/>
                <w:sz w:val="20"/>
                <w:szCs w:val="20"/>
              </w:rPr>
              <w:instrText xml:space="preserve"> FORMCHECKBOX </w:instrText>
            </w:r>
            <w:r w:rsidR="00233D13">
              <w:rPr>
                <w:rFonts w:ascii="Arial Narrow" w:hAnsi="Arial Narrow" w:cs="Arial"/>
                <w:sz w:val="20"/>
                <w:szCs w:val="20"/>
              </w:rPr>
            </w:r>
            <w:r w:rsidR="00233D13">
              <w:rPr>
                <w:rFonts w:ascii="Arial Narrow" w:hAnsi="Arial Narrow" w:cs="Arial"/>
                <w:sz w:val="20"/>
                <w:szCs w:val="20"/>
              </w:rPr>
              <w:fldChar w:fldCharType="separate"/>
            </w:r>
            <w:r w:rsidRPr="00F33674">
              <w:rPr>
                <w:rFonts w:ascii="Arial Narrow" w:hAnsi="Arial Narrow" w:cs="Arial"/>
                <w:sz w:val="20"/>
                <w:szCs w:val="20"/>
              </w:rPr>
              <w:fldChar w:fldCharType="end"/>
            </w:r>
            <w:r w:rsidRPr="00F33674">
              <w:rPr>
                <w:rFonts w:ascii="Arial Narrow" w:hAnsi="Arial Narrow" w:cs="Arial"/>
                <w:sz w:val="20"/>
                <w:szCs w:val="20"/>
              </w:rPr>
              <w:t>Dental</w:t>
            </w:r>
            <w:r>
              <w:rPr>
                <w:rFonts w:ascii="Arial Narrow" w:hAnsi="Arial Narrow" w:cs="Arial"/>
                <w:sz w:val="20"/>
                <w:szCs w:val="20"/>
              </w:rPr>
              <w:t xml:space="preserve"> </w:t>
            </w:r>
            <w:r w:rsidRPr="00F33674">
              <w:rPr>
                <w:rFonts w:ascii="Arial Narrow" w:hAnsi="Arial Narrow" w:cs="Arial"/>
                <w:sz w:val="20"/>
                <w:szCs w:val="20"/>
              </w:rPr>
              <w:fldChar w:fldCharType="begin">
                <w:ffData>
                  <w:name w:val=""/>
                  <w:enabled/>
                  <w:calcOnExit w:val="0"/>
                  <w:checkBox>
                    <w:sizeAuto/>
                    <w:default w:val="1"/>
                  </w:checkBox>
                </w:ffData>
              </w:fldChar>
            </w:r>
            <w:r w:rsidRPr="00F33674">
              <w:rPr>
                <w:rFonts w:ascii="Arial Narrow" w:hAnsi="Arial Narrow" w:cs="Arial"/>
                <w:sz w:val="20"/>
                <w:szCs w:val="20"/>
              </w:rPr>
              <w:instrText xml:space="preserve"> FORMCHECKBOX </w:instrText>
            </w:r>
            <w:r w:rsidR="00233D13">
              <w:rPr>
                <w:rFonts w:ascii="Arial Narrow" w:hAnsi="Arial Narrow" w:cs="Arial"/>
                <w:sz w:val="20"/>
                <w:szCs w:val="20"/>
              </w:rPr>
            </w:r>
            <w:r w:rsidR="00233D13">
              <w:rPr>
                <w:rFonts w:ascii="Arial Narrow" w:hAnsi="Arial Narrow" w:cs="Arial"/>
                <w:sz w:val="20"/>
                <w:szCs w:val="20"/>
              </w:rPr>
              <w:fldChar w:fldCharType="separate"/>
            </w:r>
            <w:r w:rsidRPr="00F33674">
              <w:rPr>
                <w:rFonts w:ascii="Arial Narrow" w:hAnsi="Arial Narrow" w:cs="Arial"/>
                <w:sz w:val="20"/>
                <w:szCs w:val="20"/>
              </w:rPr>
              <w:fldChar w:fldCharType="end"/>
            </w:r>
            <w:r w:rsidRPr="00F33674">
              <w:rPr>
                <w:rFonts w:ascii="Arial Narrow" w:hAnsi="Arial Narrow" w:cs="Arial"/>
                <w:sz w:val="20"/>
                <w:szCs w:val="20"/>
              </w:rPr>
              <w:t>Medical Practitioners</w:t>
            </w:r>
            <w:r>
              <w:rPr>
                <w:rFonts w:ascii="Arial Narrow" w:hAnsi="Arial Narrow" w:cs="Arial"/>
                <w:sz w:val="20"/>
                <w:szCs w:val="20"/>
              </w:rPr>
              <w:t xml:space="preserve"> </w:t>
            </w:r>
            <w:r w:rsidRPr="00F33674">
              <w:rPr>
                <w:rFonts w:ascii="Arial Narrow" w:hAnsi="Arial Narrow" w:cs="Arial"/>
                <w:sz w:val="20"/>
                <w:szCs w:val="20"/>
              </w:rPr>
              <w:fldChar w:fldCharType="begin">
                <w:ffData>
                  <w:name w:val="Check3"/>
                  <w:enabled/>
                  <w:calcOnExit w:val="0"/>
                  <w:checkBox>
                    <w:sizeAuto/>
                    <w:default w:val="1"/>
                  </w:checkBox>
                </w:ffData>
              </w:fldChar>
            </w:r>
            <w:r w:rsidRPr="00F33674">
              <w:rPr>
                <w:rFonts w:ascii="Arial Narrow" w:hAnsi="Arial Narrow" w:cs="Arial"/>
                <w:sz w:val="20"/>
                <w:szCs w:val="20"/>
              </w:rPr>
              <w:instrText xml:space="preserve"> FORMCHECKBOX </w:instrText>
            </w:r>
            <w:r w:rsidR="00233D13">
              <w:rPr>
                <w:rFonts w:ascii="Arial Narrow" w:hAnsi="Arial Narrow" w:cs="Arial"/>
                <w:sz w:val="20"/>
                <w:szCs w:val="20"/>
              </w:rPr>
            </w:r>
            <w:r w:rsidR="00233D13">
              <w:rPr>
                <w:rFonts w:ascii="Arial Narrow" w:hAnsi="Arial Narrow" w:cs="Arial"/>
                <w:sz w:val="20"/>
                <w:szCs w:val="20"/>
              </w:rPr>
              <w:fldChar w:fldCharType="separate"/>
            </w:r>
            <w:r w:rsidRPr="00F33674">
              <w:rPr>
                <w:rFonts w:ascii="Arial Narrow" w:hAnsi="Arial Narrow" w:cs="Arial"/>
                <w:sz w:val="20"/>
                <w:szCs w:val="20"/>
              </w:rPr>
              <w:fldChar w:fldCharType="end"/>
            </w:r>
            <w:r w:rsidRPr="00F33674">
              <w:rPr>
                <w:rFonts w:ascii="Arial Narrow" w:hAnsi="Arial Narrow" w:cs="Arial"/>
                <w:sz w:val="20"/>
                <w:szCs w:val="20"/>
              </w:rPr>
              <w:t>Nurse practitioners</w:t>
            </w:r>
            <w:r>
              <w:rPr>
                <w:rFonts w:ascii="Arial Narrow" w:hAnsi="Arial Narrow" w:cs="Arial"/>
                <w:sz w:val="20"/>
                <w:szCs w:val="20"/>
              </w:rPr>
              <w:t xml:space="preserve"> </w:t>
            </w:r>
            <w:r w:rsidRPr="00F33674">
              <w:rPr>
                <w:rFonts w:ascii="Arial Narrow" w:hAnsi="Arial Narrow" w:cs="Arial"/>
                <w:sz w:val="20"/>
                <w:szCs w:val="20"/>
              </w:rPr>
              <w:fldChar w:fldCharType="begin">
                <w:ffData>
                  <w:name w:val=""/>
                  <w:enabled/>
                  <w:calcOnExit w:val="0"/>
                  <w:checkBox>
                    <w:sizeAuto/>
                    <w:default w:val="0"/>
                  </w:checkBox>
                </w:ffData>
              </w:fldChar>
            </w:r>
            <w:r w:rsidRPr="00F33674">
              <w:rPr>
                <w:rFonts w:ascii="Arial Narrow" w:hAnsi="Arial Narrow" w:cs="Arial"/>
                <w:sz w:val="20"/>
                <w:szCs w:val="20"/>
              </w:rPr>
              <w:instrText xml:space="preserve"> FORMCHECKBOX </w:instrText>
            </w:r>
            <w:r w:rsidR="00233D13">
              <w:rPr>
                <w:rFonts w:ascii="Arial Narrow" w:hAnsi="Arial Narrow" w:cs="Arial"/>
                <w:sz w:val="20"/>
                <w:szCs w:val="20"/>
              </w:rPr>
            </w:r>
            <w:r w:rsidR="00233D13">
              <w:rPr>
                <w:rFonts w:ascii="Arial Narrow" w:hAnsi="Arial Narrow" w:cs="Arial"/>
                <w:sz w:val="20"/>
                <w:szCs w:val="20"/>
              </w:rPr>
              <w:fldChar w:fldCharType="separate"/>
            </w:r>
            <w:r w:rsidRPr="00F33674">
              <w:rPr>
                <w:rFonts w:ascii="Arial Narrow" w:hAnsi="Arial Narrow" w:cs="Arial"/>
                <w:sz w:val="20"/>
                <w:szCs w:val="20"/>
              </w:rPr>
              <w:fldChar w:fldCharType="end"/>
            </w:r>
            <w:r w:rsidRPr="00F33674">
              <w:rPr>
                <w:rFonts w:ascii="Arial Narrow" w:hAnsi="Arial Narrow" w:cs="Arial"/>
                <w:sz w:val="20"/>
                <w:szCs w:val="20"/>
              </w:rPr>
              <w:t>Optometrists</w:t>
            </w:r>
          </w:p>
          <w:p w14:paraId="3C86D046" w14:textId="77777777" w:rsidR="00265869" w:rsidRPr="00F33674" w:rsidRDefault="00265869" w:rsidP="00265869">
            <w:pPr>
              <w:rPr>
                <w:rFonts w:ascii="Arial Narrow" w:hAnsi="Arial Narrow" w:cs="Arial"/>
                <w:sz w:val="20"/>
                <w:szCs w:val="20"/>
              </w:rPr>
            </w:pPr>
            <w:r w:rsidRPr="00F33674">
              <w:rPr>
                <w:rFonts w:ascii="Arial Narrow" w:hAnsi="Arial Narrow" w:cs="Arial"/>
                <w:sz w:val="20"/>
                <w:szCs w:val="20"/>
              </w:rPr>
              <w:fldChar w:fldCharType="begin">
                <w:ffData>
                  <w:name w:val="Check5"/>
                  <w:enabled/>
                  <w:calcOnExit w:val="0"/>
                  <w:checkBox>
                    <w:sizeAuto/>
                    <w:default w:val="0"/>
                  </w:checkBox>
                </w:ffData>
              </w:fldChar>
            </w:r>
            <w:r w:rsidRPr="00F33674">
              <w:rPr>
                <w:rFonts w:ascii="Arial Narrow" w:hAnsi="Arial Narrow" w:cs="Arial"/>
                <w:sz w:val="20"/>
                <w:szCs w:val="20"/>
              </w:rPr>
              <w:instrText xml:space="preserve"> FORMCHECKBOX </w:instrText>
            </w:r>
            <w:r w:rsidR="00233D13">
              <w:rPr>
                <w:rFonts w:ascii="Arial Narrow" w:hAnsi="Arial Narrow" w:cs="Arial"/>
                <w:sz w:val="20"/>
                <w:szCs w:val="20"/>
              </w:rPr>
            </w:r>
            <w:r w:rsidR="00233D13">
              <w:rPr>
                <w:rFonts w:ascii="Arial Narrow" w:hAnsi="Arial Narrow" w:cs="Arial"/>
                <w:sz w:val="20"/>
                <w:szCs w:val="20"/>
              </w:rPr>
              <w:fldChar w:fldCharType="separate"/>
            </w:r>
            <w:r w:rsidRPr="00F33674">
              <w:rPr>
                <w:rFonts w:ascii="Arial Narrow" w:hAnsi="Arial Narrow" w:cs="Arial"/>
                <w:sz w:val="20"/>
                <w:szCs w:val="20"/>
              </w:rPr>
              <w:fldChar w:fldCharType="end"/>
            </w:r>
            <w:r w:rsidRPr="00F33674">
              <w:rPr>
                <w:rFonts w:ascii="Arial Narrow" w:hAnsi="Arial Narrow" w:cs="Arial"/>
                <w:sz w:val="20"/>
                <w:szCs w:val="20"/>
              </w:rPr>
              <w:t>Midwives</w:t>
            </w:r>
          </w:p>
        </w:tc>
      </w:tr>
      <w:tr w:rsidR="00265869" w:rsidRPr="00F33674" w14:paraId="04F7FA3F" w14:textId="77777777" w:rsidTr="00C21DFA">
        <w:trPr>
          <w:cantSplit/>
          <w:trHeight w:val="369"/>
        </w:trPr>
        <w:tc>
          <w:tcPr>
            <w:tcW w:w="3183" w:type="dxa"/>
            <w:tcBorders>
              <w:top w:val="single" w:sz="4" w:space="0" w:color="auto"/>
              <w:left w:val="single" w:sz="4" w:space="0" w:color="auto"/>
              <w:bottom w:val="single" w:sz="4" w:space="0" w:color="auto"/>
              <w:right w:val="single" w:sz="4" w:space="0" w:color="auto"/>
            </w:tcBorders>
          </w:tcPr>
          <w:p w14:paraId="26557136" w14:textId="77777777" w:rsidR="00265869" w:rsidRPr="00F33674" w:rsidRDefault="00265869" w:rsidP="00265869">
            <w:pPr>
              <w:rPr>
                <w:rFonts w:ascii="Arial Narrow" w:hAnsi="Arial Narrow" w:cs="Arial"/>
                <w:b/>
                <w:sz w:val="20"/>
                <w:szCs w:val="20"/>
              </w:rPr>
            </w:pPr>
            <w:r w:rsidRPr="00F33674">
              <w:rPr>
                <w:rFonts w:ascii="Arial Narrow" w:hAnsi="Arial Narrow" w:cs="Arial"/>
                <w:b/>
                <w:sz w:val="20"/>
                <w:szCs w:val="20"/>
              </w:rPr>
              <w:t>PBS indication:</w:t>
            </w:r>
          </w:p>
        </w:tc>
        <w:tc>
          <w:tcPr>
            <w:tcW w:w="6031" w:type="dxa"/>
            <w:tcBorders>
              <w:top w:val="single" w:sz="4" w:space="0" w:color="auto"/>
              <w:left w:val="single" w:sz="4" w:space="0" w:color="auto"/>
              <w:bottom w:val="single" w:sz="4" w:space="0" w:color="auto"/>
              <w:right w:val="single" w:sz="4" w:space="0" w:color="auto"/>
            </w:tcBorders>
          </w:tcPr>
          <w:p w14:paraId="36E4DCD0" w14:textId="77777777" w:rsidR="00265869" w:rsidRPr="00F33674" w:rsidRDefault="00265869" w:rsidP="00265869">
            <w:pPr>
              <w:rPr>
                <w:rFonts w:ascii="Arial Narrow" w:hAnsi="Arial Narrow" w:cs="Arial"/>
                <w:sz w:val="20"/>
                <w:szCs w:val="20"/>
              </w:rPr>
            </w:pPr>
            <w:r w:rsidRPr="00F33674">
              <w:rPr>
                <w:rFonts w:ascii="Arial Narrow" w:hAnsi="Arial Narrow" w:cs="Arial"/>
                <w:sz w:val="20"/>
                <w:szCs w:val="20"/>
              </w:rPr>
              <w:t>[9729] Chronic severe disabling pain</w:t>
            </w:r>
          </w:p>
        </w:tc>
      </w:tr>
      <w:tr w:rsidR="00265869" w:rsidRPr="00F33674" w14:paraId="10B91C75" w14:textId="77777777" w:rsidTr="00C21DFA">
        <w:trPr>
          <w:cantSplit/>
          <w:trHeight w:val="360"/>
        </w:trPr>
        <w:tc>
          <w:tcPr>
            <w:tcW w:w="3183" w:type="dxa"/>
            <w:tcBorders>
              <w:top w:val="single" w:sz="4" w:space="0" w:color="auto"/>
              <w:left w:val="single" w:sz="4" w:space="0" w:color="auto"/>
              <w:bottom w:val="single" w:sz="4" w:space="0" w:color="auto"/>
              <w:right w:val="single" w:sz="4" w:space="0" w:color="auto"/>
            </w:tcBorders>
          </w:tcPr>
          <w:p w14:paraId="3847FED5" w14:textId="77777777" w:rsidR="00265869" w:rsidRPr="00F33674" w:rsidRDefault="00265869" w:rsidP="00265869">
            <w:pPr>
              <w:rPr>
                <w:rFonts w:ascii="Arial Narrow" w:hAnsi="Arial Narrow" w:cs="Arial"/>
                <w:b/>
                <w:sz w:val="20"/>
                <w:szCs w:val="20"/>
              </w:rPr>
            </w:pPr>
            <w:r w:rsidRPr="00F33674">
              <w:rPr>
                <w:rFonts w:ascii="Arial Narrow" w:hAnsi="Arial Narrow" w:cs="Arial"/>
                <w:b/>
                <w:sz w:val="20"/>
                <w:szCs w:val="20"/>
              </w:rPr>
              <w:t>Restriction Level / Method:</w:t>
            </w:r>
          </w:p>
          <w:p w14:paraId="3D07F0D8" w14:textId="77777777" w:rsidR="00265869" w:rsidRPr="00F33674" w:rsidRDefault="00265869" w:rsidP="00265869">
            <w:pPr>
              <w:rPr>
                <w:rFonts w:ascii="Arial Narrow" w:hAnsi="Arial Narrow" w:cs="Arial"/>
                <w:i/>
                <w:sz w:val="20"/>
                <w:szCs w:val="20"/>
              </w:rPr>
            </w:pPr>
          </w:p>
          <w:p w14:paraId="74AF6289" w14:textId="77777777" w:rsidR="00265869" w:rsidRPr="00F33674" w:rsidRDefault="00265869" w:rsidP="00265869">
            <w:pPr>
              <w:rPr>
                <w:rFonts w:ascii="Arial Narrow" w:hAnsi="Arial Narrow" w:cs="Arial"/>
                <w:i/>
                <w:sz w:val="20"/>
                <w:szCs w:val="20"/>
              </w:rPr>
            </w:pPr>
          </w:p>
          <w:p w14:paraId="07641A55" w14:textId="77777777" w:rsidR="00265869" w:rsidRPr="00F33674" w:rsidRDefault="00265869" w:rsidP="00265869">
            <w:pPr>
              <w:rPr>
                <w:rFonts w:ascii="Arial Narrow" w:hAnsi="Arial Narrow" w:cs="Arial"/>
                <w:i/>
                <w:sz w:val="20"/>
                <w:szCs w:val="20"/>
              </w:rPr>
            </w:pPr>
          </w:p>
        </w:tc>
        <w:tc>
          <w:tcPr>
            <w:tcW w:w="6031" w:type="dxa"/>
            <w:tcBorders>
              <w:top w:val="single" w:sz="4" w:space="0" w:color="auto"/>
              <w:left w:val="single" w:sz="4" w:space="0" w:color="auto"/>
              <w:bottom w:val="single" w:sz="4" w:space="0" w:color="auto"/>
              <w:right w:val="single" w:sz="4" w:space="0" w:color="auto"/>
            </w:tcBorders>
          </w:tcPr>
          <w:p w14:paraId="2652EC66" w14:textId="77777777" w:rsidR="00265869" w:rsidRPr="00F33674" w:rsidRDefault="00265869" w:rsidP="00265869">
            <w:pPr>
              <w:rPr>
                <w:rFonts w:ascii="Arial Narrow" w:hAnsi="Arial Narrow" w:cs="Arial"/>
                <w:sz w:val="20"/>
                <w:szCs w:val="20"/>
              </w:rPr>
            </w:pPr>
            <w:r w:rsidRPr="00F33674">
              <w:rPr>
                <w:rFonts w:ascii="Arial Narrow" w:hAnsi="Arial Narrow" w:cs="Arial"/>
                <w:sz w:val="20"/>
                <w:szCs w:val="20"/>
              </w:rPr>
              <w:fldChar w:fldCharType="begin">
                <w:ffData>
                  <w:name w:val=""/>
                  <w:enabled/>
                  <w:calcOnExit w:val="0"/>
                  <w:checkBox>
                    <w:sizeAuto/>
                    <w:default w:val="0"/>
                  </w:checkBox>
                </w:ffData>
              </w:fldChar>
            </w:r>
            <w:r w:rsidRPr="00F33674">
              <w:rPr>
                <w:rFonts w:ascii="Arial Narrow" w:hAnsi="Arial Narrow" w:cs="Arial"/>
                <w:sz w:val="20"/>
                <w:szCs w:val="20"/>
              </w:rPr>
              <w:instrText xml:space="preserve"> FORMCHECKBOX </w:instrText>
            </w:r>
            <w:r w:rsidR="00233D13">
              <w:rPr>
                <w:rFonts w:ascii="Arial Narrow" w:hAnsi="Arial Narrow" w:cs="Arial"/>
                <w:sz w:val="20"/>
                <w:szCs w:val="20"/>
              </w:rPr>
            </w:r>
            <w:r w:rsidR="00233D13">
              <w:rPr>
                <w:rFonts w:ascii="Arial Narrow" w:hAnsi="Arial Narrow" w:cs="Arial"/>
                <w:sz w:val="20"/>
                <w:szCs w:val="20"/>
              </w:rPr>
              <w:fldChar w:fldCharType="separate"/>
            </w:r>
            <w:r w:rsidRPr="00F33674">
              <w:rPr>
                <w:rFonts w:ascii="Arial Narrow" w:hAnsi="Arial Narrow" w:cs="Arial"/>
                <w:sz w:val="20"/>
                <w:szCs w:val="20"/>
              </w:rPr>
              <w:fldChar w:fldCharType="end"/>
            </w:r>
            <w:r w:rsidRPr="00F33674">
              <w:rPr>
                <w:rFonts w:ascii="Arial Narrow" w:hAnsi="Arial Narrow" w:cs="Arial"/>
                <w:sz w:val="20"/>
                <w:szCs w:val="20"/>
              </w:rPr>
              <w:t>Unrestricted benefit</w:t>
            </w:r>
          </w:p>
          <w:p w14:paraId="5643BD66" w14:textId="77777777" w:rsidR="00265869" w:rsidRPr="00F33674" w:rsidRDefault="00265869" w:rsidP="00265869">
            <w:pPr>
              <w:rPr>
                <w:rFonts w:ascii="Arial Narrow" w:hAnsi="Arial Narrow" w:cs="Arial"/>
                <w:i/>
                <w:sz w:val="20"/>
                <w:szCs w:val="20"/>
              </w:rPr>
            </w:pPr>
            <w:r w:rsidRPr="00F33674">
              <w:rPr>
                <w:rFonts w:ascii="Arial Narrow" w:hAnsi="Arial Narrow" w:cs="Arial"/>
                <w:i/>
                <w:sz w:val="20"/>
                <w:szCs w:val="20"/>
              </w:rPr>
              <w:fldChar w:fldCharType="begin">
                <w:ffData>
                  <w:name w:val=""/>
                  <w:enabled/>
                  <w:calcOnExit w:val="0"/>
                  <w:checkBox>
                    <w:sizeAuto/>
                    <w:default w:val="0"/>
                  </w:checkBox>
                </w:ffData>
              </w:fldChar>
            </w:r>
            <w:r w:rsidRPr="00F33674">
              <w:rPr>
                <w:rFonts w:ascii="Arial Narrow" w:hAnsi="Arial Narrow" w:cs="Arial"/>
                <w:i/>
                <w:sz w:val="20"/>
                <w:szCs w:val="20"/>
              </w:rPr>
              <w:instrText xml:space="preserve"> FORMCHECKBOX </w:instrText>
            </w:r>
            <w:r w:rsidR="00233D13">
              <w:rPr>
                <w:rFonts w:ascii="Arial Narrow" w:hAnsi="Arial Narrow" w:cs="Arial"/>
                <w:i/>
                <w:sz w:val="20"/>
                <w:szCs w:val="20"/>
              </w:rPr>
            </w:r>
            <w:r w:rsidR="00233D13">
              <w:rPr>
                <w:rFonts w:ascii="Arial Narrow" w:hAnsi="Arial Narrow" w:cs="Arial"/>
                <w:i/>
                <w:sz w:val="20"/>
                <w:szCs w:val="20"/>
              </w:rPr>
              <w:fldChar w:fldCharType="separate"/>
            </w:r>
            <w:r w:rsidRPr="00F33674">
              <w:rPr>
                <w:rFonts w:ascii="Arial Narrow" w:hAnsi="Arial Narrow" w:cs="Arial"/>
                <w:i/>
                <w:sz w:val="20"/>
                <w:szCs w:val="20"/>
              </w:rPr>
              <w:fldChar w:fldCharType="end"/>
            </w:r>
            <w:r w:rsidRPr="00F33674">
              <w:rPr>
                <w:rFonts w:ascii="Arial Narrow" w:hAnsi="Arial Narrow" w:cs="Arial"/>
                <w:sz w:val="20"/>
                <w:szCs w:val="20"/>
              </w:rPr>
              <w:t>Restricted benefit</w:t>
            </w:r>
          </w:p>
          <w:p w14:paraId="7FC5E2AB" w14:textId="77777777" w:rsidR="00265869" w:rsidRPr="00F33674" w:rsidRDefault="00265869" w:rsidP="00265869">
            <w:pPr>
              <w:rPr>
                <w:rFonts w:ascii="Arial Narrow" w:hAnsi="Arial Narrow" w:cs="Arial"/>
                <w:sz w:val="20"/>
                <w:szCs w:val="20"/>
              </w:rPr>
            </w:pPr>
            <w:r w:rsidRPr="00F33674">
              <w:rPr>
                <w:rFonts w:ascii="Arial Narrow" w:hAnsi="Arial Narrow" w:cs="Arial"/>
                <w:sz w:val="20"/>
                <w:szCs w:val="20"/>
              </w:rPr>
              <w:fldChar w:fldCharType="begin">
                <w:ffData>
                  <w:name w:val=""/>
                  <w:enabled/>
                  <w:calcOnExit w:val="0"/>
                  <w:checkBox>
                    <w:sizeAuto/>
                    <w:default w:val="0"/>
                  </w:checkBox>
                </w:ffData>
              </w:fldChar>
            </w:r>
            <w:r w:rsidRPr="00F33674">
              <w:rPr>
                <w:rFonts w:ascii="Arial Narrow" w:hAnsi="Arial Narrow" w:cs="Arial"/>
                <w:sz w:val="20"/>
                <w:szCs w:val="20"/>
              </w:rPr>
              <w:instrText xml:space="preserve"> FORMCHECKBOX </w:instrText>
            </w:r>
            <w:r w:rsidR="00233D13">
              <w:rPr>
                <w:rFonts w:ascii="Arial Narrow" w:hAnsi="Arial Narrow" w:cs="Arial"/>
                <w:sz w:val="20"/>
                <w:szCs w:val="20"/>
              </w:rPr>
            </w:r>
            <w:r w:rsidR="00233D13">
              <w:rPr>
                <w:rFonts w:ascii="Arial Narrow" w:hAnsi="Arial Narrow" w:cs="Arial"/>
                <w:sz w:val="20"/>
                <w:szCs w:val="20"/>
              </w:rPr>
              <w:fldChar w:fldCharType="separate"/>
            </w:r>
            <w:r w:rsidRPr="00F33674">
              <w:rPr>
                <w:rFonts w:ascii="Arial Narrow" w:hAnsi="Arial Narrow" w:cs="Arial"/>
                <w:sz w:val="20"/>
                <w:szCs w:val="20"/>
              </w:rPr>
              <w:fldChar w:fldCharType="end"/>
            </w:r>
            <w:r w:rsidRPr="00F33674">
              <w:rPr>
                <w:rFonts w:ascii="Arial Narrow" w:hAnsi="Arial Narrow" w:cs="Arial"/>
                <w:sz w:val="20"/>
                <w:szCs w:val="20"/>
              </w:rPr>
              <w:t>Authority Required – In Writing</w:t>
            </w:r>
          </w:p>
          <w:p w14:paraId="6595BA8C" w14:textId="77777777" w:rsidR="00265869" w:rsidRPr="00F33674" w:rsidRDefault="00265869" w:rsidP="00265869">
            <w:pPr>
              <w:rPr>
                <w:rFonts w:ascii="Arial Narrow" w:hAnsi="Arial Narrow" w:cs="Arial"/>
                <w:sz w:val="20"/>
                <w:szCs w:val="20"/>
              </w:rPr>
            </w:pPr>
            <w:r w:rsidRPr="00F33674">
              <w:rPr>
                <w:rFonts w:ascii="Arial Narrow" w:hAnsi="Arial Narrow" w:cs="Arial"/>
                <w:sz w:val="20"/>
                <w:szCs w:val="20"/>
              </w:rPr>
              <w:fldChar w:fldCharType="begin">
                <w:ffData>
                  <w:name w:val="Check3"/>
                  <w:enabled/>
                  <w:calcOnExit w:val="0"/>
                  <w:checkBox>
                    <w:sizeAuto/>
                    <w:default w:val="0"/>
                  </w:checkBox>
                </w:ffData>
              </w:fldChar>
            </w:r>
            <w:r w:rsidRPr="00F33674">
              <w:rPr>
                <w:rFonts w:ascii="Arial Narrow" w:hAnsi="Arial Narrow" w:cs="Arial"/>
                <w:sz w:val="20"/>
                <w:szCs w:val="20"/>
              </w:rPr>
              <w:instrText xml:space="preserve"> FORMCHECKBOX </w:instrText>
            </w:r>
            <w:r w:rsidR="00233D13">
              <w:rPr>
                <w:rFonts w:ascii="Arial Narrow" w:hAnsi="Arial Narrow" w:cs="Arial"/>
                <w:sz w:val="20"/>
                <w:szCs w:val="20"/>
              </w:rPr>
            </w:r>
            <w:r w:rsidR="00233D13">
              <w:rPr>
                <w:rFonts w:ascii="Arial Narrow" w:hAnsi="Arial Narrow" w:cs="Arial"/>
                <w:sz w:val="20"/>
                <w:szCs w:val="20"/>
              </w:rPr>
              <w:fldChar w:fldCharType="separate"/>
            </w:r>
            <w:r w:rsidRPr="00F33674">
              <w:rPr>
                <w:rFonts w:ascii="Arial Narrow" w:hAnsi="Arial Narrow" w:cs="Arial"/>
                <w:sz w:val="20"/>
                <w:szCs w:val="20"/>
              </w:rPr>
              <w:fldChar w:fldCharType="end"/>
            </w:r>
            <w:r w:rsidRPr="00F33674">
              <w:rPr>
                <w:rFonts w:ascii="Arial Narrow" w:hAnsi="Arial Narrow" w:cs="Arial"/>
                <w:sz w:val="20"/>
                <w:szCs w:val="20"/>
              </w:rPr>
              <w:t>Authority Required – Telephone/Electronic/Emergency</w:t>
            </w:r>
          </w:p>
          <w:p w14:paraId="3C227396" w14:textId="77777777" w:rsidR="00265869" w:rsidRPr="00F33674" w:rsidRDefault="00265869" w:rsidP="00265869">
            <w:pPr>
              <w:rPr>
                <w:rFonts w:ascii="Arial Narrow" w:hAnsi="Arial Narrow" w:cs="Arial"/>
                <w:sz w:val="20"/>
                <w:szCs w:val="20"/>
              </w:rPr>
            </w:pPr>
            <w:r w:rsidRPr="00F33674">
              <w:rPr>
                <w:rFonts w:ascii="Arial Narrow" w:hAnsi="Arial Narrow" w:cs="Arial"/>
                <w:sz w:val="20"/>
                <w:szCs w:val="20"/>
              </w:rPr>
              <w:fldChar w:fldCharType="begin">
                <w:ffData>
                  <w:name w:val="Check5"/>
                  <w:enabled/>
                  <w:calcOnExit w:val="0"/>
                  <w:checkBox>
                    <w:sizeAuto/>
                    <w:default w:val="1"/>
                  </w:checkBox>
                </w:ffData>
              </w:fldChar>
            </w:r>
            <w:r w:rsidRPr="00F33674">
              <w:rPr>
                <w:rFonts w:ascii="Arial Narrow" w:hAnsi="Arial Narrow" w:cs="Arial"/>
                <w:sz w:val="20"/>
                <w:szCs w:val="20"/>
              </w:rPr>
              <w:instrText xml:space="preserve"> FORMCHECKBOX </w:instrText>
            </w:r>
            <w:r w:rsidR="00233D13">
              <w:rPr>
                <w:rFonts w:ascii="Arial Narrow" w:hAnsi="Arial Narrow" w:cs="Arial"/>
                <w:sz w:val="20"/>
                <w:szCs w:val="20"/>
              </w:rPr>
            </w:r>
            <w:r w:rsidR="00233D13">
              <w:rPr>
                <w:rFonts w:ascii="Arial Narrow" w:hAnsi="Arial Narrow" w:cs="Arial"/>
                <w:sz w:val="20"/>
                <w:szCs w:val="20"/>
              </w:rPr>
              <w:fldChar w:fldCharType="separate"/>
            </w:r>
            <w:r w:rsidRPr="00F33674">
              <w:rPr>
                <w:rFonts w:ascii="Arial Narrow" w:hAnsi="Arial Narrow" w:cs="Arial"/>
                <w:sz w:val="20"/>
                <w:szCs w:val="20"/>
              </w:rPr>
              <w:fldChar w:fldCharType="end"/>
            </w:r>
            <w:r w:rsidRPr="00F33674">
              <w:rPr>
                <w:rFonts w:ascii="Arial Narrow" w:hAnsi="Arial Narrow" w:cs="Arial"/>
                <w:sz w:val="20"/>
                <w:szCs w:val="20"/>
              </w:rPr>
              <w:t>Streamlined</w:t>
            </w:r>
          </w:p>
        </w:tc>
      </w:tr>
      <w:tr w:rsidR="00265869" w:rsidRPr="00F33674" w14:paraId="7BACDF4C" w14:textId="77777777" w:rsidTr="00C21DFA">
        <w:trPr>
          <w:cantSplit/>
          <w:trHeight w:val="360"/>
        </w:trPr>
        <w:tc>
          <w:tcPr>
            <w:tcW w:w="3183" w:type="dxa"/>
            <w:tcBorders>
              <w:top w:val="single" w:sz="4" w:space="0" w:color="auto"/>
              <w:left w:val="single" w:sz="4" w:space="0" w:color="auto"/>
              <w:bottom w:val="single" w:sz="4" w:space="0" w:color="auto"/>
              <w:right w:val="single" w:sz="4" w:space="0" w:color="auto"/>
            </w:tcBorders>
          </w:tcPr>
          <w:p w14:paraId="28857B9D" w14:textId="77777777" w:rsidR="00265869" w:rsidRPr="00F33674" w:rsidRDefault="00265869" w:rsidP="00265869">
            <w:pPr>
              <w:rPr>
                <w:rFonts w:ascii="Arial Narrow" w:hAnsi="Arial Narrow" w:cs="Arial"/>
                <w:b/>
                <w:sz w:val="20"/>
                <w:szCs w:val="20"/>
              </w:rPr>
            </w:pPr>
            <w:r>
              <w:rPr>
                <w:rFonts w:ascii="Arial Narrow" w:hAnsi="Arial Narrow" w:cs="Arial"/>
                <w:b/>
                <w:sz w:val="20"/>
                <w:szCs w:val="20"/>
              </w:rPr>
              <w:t>Treatment phase:</w:t>
            </w:r>
          </w:p>
        </w:tc>
        <w:tc>
          <w:tcPr>
            <w:tcW w:w="6031" w:type="dxa"/>
            <w:tcBorders>
              <w:top w:val="single" w:sz="4" w:space="0" w:color="auto"/>
              <w:left w:val="single" w:sz="4" w:space="0" w:color="auto"/>
              <w:bottom w:val="single" w:sz="4" w:space="0" w:color="auto"/>
              <w:right w:val="single" w:sz="4" w:space="0" w:color="auto"/>
            </w:tcBorders>
          </w:tcPr>
          <w:p w14:paraId="23E3F7F9" w14:textId="66360BEA" w:rsidR="00265869" w:rsidRPr="00F33674" w:rsidRDefault="005E5921" w:rsidP="005E5921">
            <w:pPr>
              <w:jc w:val="left"/>
              <w:rPr>
                <w:rFonts w:ascii="Arial Narrow" w:hAnsi="Arial Narrow" w:cs="Arial"/>
                <w:sz w:val="20"/>
                <w:szCs w:val="20"/>
              </w:rPr>
            </w:pPr>
            <w:r w:rsidRPr="00CB0FCB">
              <w:rPr>
                <w:rFonts w:ascii="Arial Narrow" w:hAnsi="Arial Narrow" w:cs="Arial"/>
                <w:sz w:val="20"/>
                <w:szCs w:val="20"/>
              </w:rPr>
              <w:t>Continuing PBS treatment after 1 June 2020</w:t>
            </w:r>
            <w:r>
              <w:rPr>
                <w:rFonts w:ascii="Arial Narrow" w:hAnsi="Arial Narrow" w:cs="Arial"/>
                <w:sz w:val="20"/>
                <w:szCs w:val="20"/>
              </w:rPr>
              <w:t>.</w:t>
            </w:r>
          </w:p>
        </w:tc>
      </w:tr>
      <w:tr w:rsidR="00265869" w:rsidRPr="00F33674" w14:paraId="5981C59A" w14:textId="77777777" w:rsidTr="00C21DFA">
        <w:trPr>
          <w:cantSplit/>
          <w:trHeight w:val="360"/>
        </w:trPr>
        <w:tc>
          <w:tcPr>
            <w:tcW w:w="3183" w:type="dxa"/>
            <w:tcBorders>
              <w:top w:val="single" w:sz="4" w:space="0" w:color="auto"/>
              <w:left w:val="single" w:sz="4" w:space="0" w:color="auto"/>
              <w:bottom w:val="single" w:sz="4" w:space="0" w:color="auto"/>
              <w:right w:val="single" w:sz="4" w:space="0" w:color="auto"/>
            </w:tcBorders>
          </w:tcPr>
          <w:p w14:paraId="31FF70A1" w14:textId="77777777" w:rsidR="00265869" w:rsidRPr="00F33674" w:rsidRDefault="00265869" w:rsidP="00265869">
            <w:pPr>
              <w:rPr>
                <w:rFonts w:ascii="Arial Narrow" w:hAnsi="Arial Narrow" w:cs="Arial"/>
                <w:b/>
                <w:sz w:val="20"/>
                <w:szCs w:val="20"/>
              </w:rPr>
            </w:pPr>
            <w:r w:rsidRPr="00F33674">
              <w:rPr>
                <w:rFonts w:ascii="Arial Narrow" w:hAnsi="Arial Narrow" w:cs="Arial"/>
                <w:b/>
                <w:sz w:val="20"/>
                <w:szCs w:val="20"/>
              </w:rPr>
              <w:t>Clinical criteria:</w:t>
            </w:r>
          </w:p>
        </w:tc>
        <w:tc>
          <w:tcPr>
            <w:tcW w:w="6031" w:type="dxa"/>
            <w:tcBorders>
              <w:top w:val="single" w:sz="4" w:space="0" w:color="auto"/>
              <w:left w:val="single" w:sz="4" w:space="0" w:color="auto"/>
              <w:bottom w:val="single" w:sz="4" w:space="0" w:color="auto"/>
              <w:right w:val="single" w:sz="4" w:space="0" w:color="auto"/>
            </w:tcBorders>
          </w:tcPr>
          <w:p w14:paraId="2F909A72" w14:textId="77777777" w:rsidR="00265869" w:rsidRPr="00F33674" w:rsidRDefault="00265869" w:rsidP="00265869">
            <w:pPr>
              <w:jc w:val="left"/>
              <w:rPr>
                <w:rFonts w:ascii="Arial Narrow" w:hAnsi="Arial Narrow" w:cs="Arial"/>
                <w:sz w:val="20"/>
                <w:szCs w:val="20"/>
              </w:rPr>
            </w:pPr>
            <w:r w:rsidRPr="00F33674">
              <w:rPr>
                <w:rFonts w:ascii="Arial Narrow" w:hAnsi="Arial Narrow" w:cs="Arial"/>
                <w:sz w:val="20"/>
                <w:szCs w:val="20"/>
              </w:rPr>
              <w:t xml:space="preserve">[new] </w:t>
            </w:r>
            <w:r w:rsidRPr="00744FB8">
              <w:rPr>
                <w:rFonts w:ascii="Arial Narrow" w:hAnsi="Arial Narrow" w:cs="Arial"/>
                <w:sz w:val="20"/>
                <w:szCs w:val="20"/>
              </w:rPr>
              <w:t>Patient must have previously received PBS-subsidised treatment with this form of this drug for this condition after 1 June 2020</w:t>
            </w:r>
            <w:r>
              <w:rPr>
                <w:rFonts w:ascii="Arial Narrow" w:hAnsi="Arial Narrow" w:cs="Arial"/>
                <w:sz w:val="20"/>
                <w:szCs w:val="20"/>
              </w:rPr>
              <w:t>.</w:t>
            </w:r>
          </w:p>
        </w:tc>
      </w:tr>
      <w:tr w:rsidR="00265869" w:rsidRPr="00F33674" w14:paraId="63D5AB5B" w14:textId="77777777" w:rsidTr="00C21DFA">
        <w:trPr>
          <w:cantSplit/>
          <w:trHeight w:val="360"/>
        </w:trPr>
        <w:tc>
          <w:tcPr>
            <w:tcW w:w="3183" w:type="dxa"/>
            <w:tcBorders>
              <w:top w:val="single" w:sz="4" w:space="0" w:color="auto"/>
              <w:left w:val="single" w:sz="4" w:space="0" w:color="auto"/>
              <w:bottom w:val="single" w:sz="4" w:space="0" w:color="auto"/>
              <w:right w:val="single" w:sz="4" w:space="0" w:color="auto"/>
            </w:tcBorders>
          </w:tcPr>
          <w:p w14:paraId="62869C01" w14:textId="77777777" w:rsidR="00265869" w:rsidRPr="00F33674" w:rsidRDefault="00265869" w:rsidP="00265869">
            <w:pPr>
              <w:rPr>
                <w:rFonts w:ascii="Arial Narrow" w:hAnsi="Arial Narrow" w:cs="Arial"/>
                <w:b/>
                <w:sz w:val="20"/>
                <w:szCs w:val="20"/>
              </w:rPr>
            </w:pPr>
            <w:r w:rsidRPr="00F33674">
              <w:rPr>
                <w:rFonts w:ascii="Arial Narrow" w:hAnsi="Arial Narrow" w:cs="Arial"/>
                <w:b/>
                <w:sz w:val="20"/>
                <w:szCs w:val="20"/>
              </w:rPr>
              <w:lastRenderedPageBreak/>
              <w:t>Prescriber instruction:</w:t>
            </w:r>
          </w:p>
        </w:tc>
        <w:tc>
          <w:tcPr>
            <w:tcW w:w="6031" w:type="dxa"/>
            <w:tcBorders>
              <w:top w:val="single" w:sz="4" w:space="0" w:color="auto"/>
              <w:left w:val="single" w:sz="4" w:space="0" w:color="auto"/>
              <w:bottom w:val="single" w:sz="4" w:space="0" w:color="auto"/>
              <w:right w:val="single" w:sz="4" w:space="0" w:color="auto"/>
            </w:tcBorders>
          </w:tcPr>
          <w:p w14:paraId="611BC441" w14:textId="77777777" w:rsidR="00265869" w:rsidRPr="00744FB8" w:rsidRDefault="00265869" w:rsidP="00265869">
            <w:pPr>
              <w:jc w:val="left"/>
              <w:rPr>
                <w:rFonts w:ascii="Arial Narrow" w:hAnsi="Arial Narrow" w:cs="Arial"/>
                <w:sz w:val="20"/>
                <w:szCs w:val="20"/>
              </w:rPr>
            </w:pPr>
            <w:r w:rsidRPr="00F33674">
              <w:rPr>
                <w:rFonts w:ascii="Arial Narrow" w:hAnsi="Arial Narrow" w:cs="Arial"/>
                <w:sz w:val="20"/>
                <w:szCs w:val="20"/>
              </w:rPr>
              <w:t xml:space="preserve">[new] </w:t>
            </w:r>
            <w:r w:rsidRPr="00744FB8">
              <w:rPr>
                <w:rFonts w:ascii="Arial Narrow" w:hAnsi="Arial Narrow" w:cs="Arial"/>
                <w:sz w:val="20"/>
                <w:szCs w:val="20"/>
              </w:rPr>
              <w:t>Authorities for increased maximum quantities and/or repeats must only be considered for chronic severe disabling pain where the patient has received initial authority approval and the total duration of non-PBS and PBS opioid analgesic treatment:</w:t>
            </w:r>
          </w:p>
          <w:p w14:paraId="0144CF0E" w14:textId="77777777" w:rsidR="00265869" w:rsidRPr="00744FB8" w:rsidRDefault="00265869" w:rsidP="00265869">
            <w:pPr>
              <w:jc w:val="left"/>
              <w:rPr>
                <w:rFonts w:ascii="Arial Narrow" w:hAnsi="Arial Narrow" w:cs="Arial"/>
                <w:sz w:val="20"/>
                <w:szCs w:val="20"/>
              </w:rPr>
            </w:pPr>
            <w:r w:rsidRPr="00744FB8">
              <w:rPr>
                <w:rFonts w:ascii="Arial Narrow" w:hAnsi="Arial Narrow" w:cs="Arial"/>
                <w:sz w:val="20"/>
                <w:szCs w:val="20"/>
              </w:rPr>
              <w:t>(i) is less than 12 months; or</w:t>
            </w:r>
          </w:p>
          <w:p w14:paraId="47C7EC9B" w14:textId="77777777" w:rsidR="00265869" w:rsidRPr="00744FB8" w:rsidRDefault="00265869" w:rsidP="00265869">
            <w:pPr>
              <w:jc w:val="left"/>
              <w:rPr>
                <w:rFonts w:ascii="Arial Narrow" w:hAnsi="Arial Narrow" w:cs="Arial"/>
                <w:sz w:val="20"/>
                <w:szCs w:val="20"/>
              </w:rPr>
            </w:pPr>
            <w:r w:rsidRPr="00744FB8">
              <w:rPr>
                <w:rFonts w:ascii="Arial Narrow" w:hAnsi="Arial Narrow" w:cs="Arial"/>
                <w:sz w:val="20"/>
                <w:szCs w:val="20"/>
              </w:rPr>
              <w:t>(ii) exceeds 12 months and the palliative care patient is unable to have annual pain management review due to their clinical condition; or</w:t>
            </w:r>
          </w:p>
          <w:p w14:paraId="5BCCC9B4" w14:textId="77777777" w:rsidR="00265869" w:rsidRPr="00744FB8" w:rsidRDefault="00265869" w:rsidP="00265869">
            <w:pPr>
              <w:jc w:val="left"/>
              <w:rPr>
                <w:rFonts w:ascii="Arial Narrow" w:hAnsi="Arial Narrow" w:cs="Arial"/>
                <w:sz w:val="20"/>
                <w:szCs w:val="20"/>
              </w:rPr>
            </w:pPr>
            <w:r w:rsidRPr="00744FB8">
              <w:rPr>
                <w:rFonts w:ascii="Arial Narrow" w:hAnsi="Arial Narrow" w:cs="Arial"/>
                <w:sz w:val="20"/>
                <w:szCs w:val="20"/>
              </w:rPr>
              <w:t>(iii) exceeds 12 months and the patient's clinical need for continuing opioid treatment has been confirmed through consultation with the patient by another medical practitioner or a palliative care nurse practitioner in the past 12 months; or</w:t>
            </w:r>
          </w:p>
          <w:p w14:paraId="5A62EA10" w14:textId="77777777" w:rsidR="00265869" w:rsidRDefault="00265869" w:rsidP="00265869">
            <w:pPr>
              <w:jc w:val="left"/>
              <w:rPr>
                <w:rFonts w:ascii="Arial Narrow" w:hAnsi="Arial Narrow" w:cs="Arial"/>
                <w:sz w:val="20"/>
                <w:szCs w:val="20"/>
              </w:rPr>
            </w:pPr>
            <w:r w:rsidRPr="00744FB8">
              <w:rPr>
                <w:rFonts w:ascii="Arial Narrow" w:hAnsi="Arial Narrow" w:cs="Arial"/>
                <w:sz w:val="20"/>
                <w:szCs w:val="20"/>
              </w:rPr>
              <w:t xml:space="preserve">(iv) </w:t>
            </w:r>
            <w:proofErr w:type="gramStart"/>
            <w:r w:rsidRPr="00744FB8">
              <w:rPr>
                <w:rFonts w:ascii="Arial Narrow" w:hAnsi="Arial Narrow" w:cs="Arial"/>
                <w:sz w:val="20"/>
                <w:szCs w:val="20"/>
              </w:rPr>
              <w:t>has</w:t>
            </w:r>
            <w:proofErr w:type="gramEnd"/>
            <w:r w:rsidRPr="00744FB8">
              <w:rPr>
                <w:rFonts w:ascii="Arial Narrow" w:hAnsi="Arial Narrow" w:cs="Arial"/>
                <w:sz w:val="20"/>
                <w:szCs w:val="20"/>
              </w:rPr>
              <w:t xml:space="preserve"> exceeded 12 months prior to 1 June 2020 and the patient's pain management and clinical need for continuing opioid treatment has not been confirmed through consultation with the patient by another medical practitioner or a palliative care nurse practitioner in the past 12 months, but is planned in the next 3 months.</w:t>
            </w:r>
          </w:p>
          <w:p w14:paraId="1FBA4254" w14:textId="77777777" w:rsidR="00265869" w:rsidRPr="00F33674" w:rsidRDefault="00265869" w:rsidP="00265869">
            <w:pPr>
              <w:jc w:val="left"/>
              <w:rPr>
                <w:rFonts w:ascii="Arial Narrow" w:hAnsi="Arial Narrow" w:cs="Arial"/>
                <w:sz w:val="20"/>
                <w:szCs w:val="20"/>
              </w:rPr>
            </w:pPr>
          </w:p>
          <w:p w14:paraId="478F542D" w14:textId="77777777" w:rsidR="00265869" w:rsidRPr="00F33674" w:rsidRDefault="00265869" w:rsidP="00265869">
            <w:pPr>
              <w:jc w:val="left"/>
              <w:rPr>
                <w:rFonts w:ascii="Arial Narrow" w:hAnsi="Arial Narrow" w:cs="Arial"/>
                <w:sz w:val="20"/>
                <w:szCs w:val="20"/>
              </w:rPr>
            </w:pPr>
            <w:r w:rsidRPr="00F33674">
              <w:rPr>
                <w:rFonts w:ascii="Arial Narrow" w:hAnsi="Arial Narrow" w:cs="Arial"/>
                <w:sz w:val="20"/>
                <w:szCs w:val="20"/>
              </w:rPr>
              <w:t>[new] Authority requests extending treatment duration up to 1 month may be requested though the Online PBS Authorities system or by calling Services Australia.</w:t>
            </w:r>
          </w:p>
          <w:p w14:paraId="609D1D02" w14:textId="77777777" w:rsidR="00265869" w:rsidRPr="00F33674" w:rsidRDefault="00265869" w:rsidP="00265869">
            <w:pPr>
              <w:jc w:val="left"/>
              <w:rPr>
                <w:rFonts w:ascii="Arial Narrow" w:hAnsi="Arial Narrow" w:cs="Arial"/>
                <w:sz w:val="20"/>
                <w:szCs w:val="20"/>
              </w:rPr>
            </w:pPr>
          </w:p>
          <w:p w14:paraId="066ECDB1" w14:textId="77777777" w:rsidR="00265869" w:rsidRPr="00F33674" w:rsidRDefault="00265869" w:rsidP="00265869">
            <w:pPr>
              <w:jc w:val="left"/>
              <w:rPr>
                <w:rFonts w:ascii="Arial Narrow" w:hAnsi="Arial Narrow" w:cs="Arial"/>
                <w:sz w:val="20"/>
                <w:szCs w:val="20"/>
              </w:rPr>
            </w:pPr>
            <w:r w:rsidRPr="00F33674">
              <w:rPr>
                <w:rFonts w:ascii="Arial Narrow" w:hAnsi="Arial Narrow" w:cs="Arial"/>
                <w:sz w:val="20"/>
                <w:szCs w:val="20"/>
              </w:rPr>
              <w:t xml:space="preserve">Authority requests extending treatment duration beyond 1 month </w:t>
            </w:r>
            <w:r>
              <w:rPr>
                <w:rFonts w:ascii="Arial Narrow" w:hAnsi="Arial Narrow" w:cs="Arial"/>
                <w:sz w:val="20"/>
                <w:szCs w:val="20"/>
              </w:rPr>
              <w:t>may be requested through the Online PBS Authorities system</w:t>
            </w:r>
            <w:r w:rsidRPr="00F33674">
              <w:rPr>
                <w:rFonts w:ascii="Arial Narrow" w:hAnsi="Arial Narrow" w:cs="Arial"/>
                <w:sz w:val="20"/>
                <w:szCs w:val="20"/>
              </w:rPr>
              <w:t xml:space="preserve"> or in writing only and must not provide a treatment duration exceeding </w:t>
            </w:r>
            <w:r>
              <w:rPr>
                <w:rFonts w:ascii="Arial Narrow" w:hAnsi="Arial Narrow" w:cs="Arial"/>
                <w:sz w:val="20"/>
                <w:szCs w:val="20"/>
              </w:rPr>
              <w:t xml:space="preserve">3 months (quantity sufficient for up to </w:t>
            </w:r>
            <w:proofErr w:type="gramStart"/>
            <w:r>
              <w:rPr>
                <w:rFonts w:ascii="Arial Narrow" w:hAnsi="Arial Narrow" w:cs="Arial"/>
                <w:sz w:val="20"/>
                <w:szCs w:val="20"/>
              </w:rPr>
              <w:t>1 month</w:t>
            </w:r>
            <w:proofErr w:type="gramEnd"/>
            <w:r>
              <w:rPr>
                <w:rFonts w:ascii="Arial Narrow" w:hAnsi="Arial Narrow" w:cs="Arial"/>
                <w:sz w:val="20"/>
                <w:szCs w:val="20"/>
              </w:rPr>
              <w:t xml:space="preserve"> treatment and sufficient repeats).</w:t>
            </w:r>
          </w:p>
        </w:tc>
      </w:tr>
      <w:tr w:rsidR="00265869" w:rsidRPr="00F33674" w14:paraId="7B37C0A9" w14:textId="77777777" w:rsidTr="00C21DFA">
        <w:trPr>
          <w:cantSplit/>
          <w:trHeight w:val="360"/>
        </w:trPr>
        <w:tc>
          <w:tcPr>
            <w:tcW w:w="3183" w:type="dxa"/>
            <w:tcBorders>
              <w:top w:val="single" w:sz="4" w:space="0" w:color="auto"/>
              <w:left w:val="single" w:sz="4" w:space="0" w:color="auto"/>
              <w:bottom w:val="single" w:sz="4" w:space="0" w:color="auto"/>
              <w:right w:val="single" w:sz="4" w:space="0" w:color="auto"/>
            </w:tcBorders>
          </w:tcPr>
          <w:p w14:paraId="171BBAC5" w14:textId="782B6341" w:rsidR="00265869" w:rsidRPr="00F33674" w:rsidRDefault="00265869" w:rsidP="00265869">
            <w:pPr>
              <w:rPr>
                <w:rFonts w:ascii="Arial Narrow" w:hAnsi="Arial Narrow" w:cs="Arial"/>
                <w:b/>
                <w:sz w:val="20"/>
                <w:szCs w:val="20"/>
              </w:rPr>
            </w:pPr>
            <w:r w:rsidRPr="00F33674">
              <w:rPr>
                <w:rFonts w:ascii="Arial Narrow" w:hAnsi="Arial Narrow" w:cs="Arial"/>
                <w:b/>
                <w:sz w:val="20"/>
                <w:szCs w:val="20"/>
              </w:rPr>
              <w:t>Administrative advice:</w:t>
            </w:r>
          </w:p>
        </w:tc>
        <w:tc>
          <w:tcPr>
            <w:tcW w:w="6031" w:type="dxa"/>
            <w:tcBorders>
              <w:top w:val="single" w:sz="4" w:space="0" w:color="auto"/>
              <w:left w:val="single" w:sz="4" w:space="0" w:color="auto"/>
              <w:bottom w:val="single" w:sz="4" w:space="0" w:color="auto"/>
              <w:right w:val="single" w:sz="4" w:space="0" w:color="auto"/>
            </w:tcBorders>
          </w:tcPr>
          <w:p w14:paraId="4F74BD70" w14:textId="77777777" w:rsidR="00265869" w:rsidRPr="00F33674" w:rsidRDefault="00265869" w:rsidP="00265869">
            <w:pPr>
              <w:jc w:val="left"/>
              <w:rPr>
                <w:rFonts w:ascii="Arial Narrow" w:hAnsi="Arial Narrow"/>
                <w:sz w:val="20"/>
                <w:szCs w:val="20"/>
              </w:rPr>
            </w:pPr>
            <w:r w:rsidRPr="00F33674">
              <w:rPr>
                <w:rFonts w:ascii="Arial Narrow" w:hAnsi="Arial Narrow"/>
                <w:sz w:val="20"/>
                <w:szCs w:val="20"/>
              </w:rPr>
              <w:t xml:space="preserve">[13978] Fentanyl transdermal patches </w:t>
            </w:r>
            <w:proofErr w:type="gramStart"/>
            <w:r w:rsidRPr="00F33674">
              <w:rPr>
                <w:rFonts w:ascii="Arial Narrow" w:hAnsi="Arial Narrow"/>
                <w:sz w:val="20"/>
                <w:szCs w:val="20"/>
              </w:rPr>
              <w:t>are not recommended</w:t>
            </w:r>
            <w:proofErr w:type="gramEnd"/>
            <w:r w:rsidRPr="00F33674">
              <w:rPr>
                <w:rFonts w:ascii="Arial Narrow" w:hAnsi="Arial Narrow"/>
                <w:sz w:val="20"/>
                <w:szCs w:val="20"/>
              </w:rPr>
              <w:t xml:space="preserve"> in opioid naive patients with non-cancer pain because of a high incidence of adverse events in these patients. Patients with cancer pain </w:t>
            </w:r>
            <w:proofErr w:type="gramStart"/>
            <w:r w:rsidRPr="00F33674">
              <w:rPr>
                <w:rFonts w:ascii="Arial Narrow" w:hAnsi="Arial Narrow"/>
                <w:sz w:val="20"/>
                <w:szCs w:val="20"/>
              </w:rPr>
              <w:t>may be initiated</w:t>
            </w:r>
            <w:proofErr w:type="gramEnd"/>
            <w:r w:rsidRPr="00F33674">
              <w:rPr>
                <w:rFonts w:ascii="Arial Narrow" w:hAnsi="Arial Narrow"/>
                <w:sz w:val="20"/>
                <w:szCs w:val="20"/>
              </w:rPr>
              <w:t xml:space="preserve"> on the lowest strength patch (12 micrograms per hour).</w:t>
            </w:r>
          </w:p>
          <w:p w14:paraId="4C945E68" w14:textId="77777777" w:rsidR="00265869" w:rsidRPr="00F33674" w:rsidRDefault="00265869" w:rsidP="00265869">
            <w:pPr>
              <w:jc w:val="left"/>
              <w:rPr>
                <w:rFonts w:ascii="Arial Narrow" w:hAnsi="Arial Narrow"/>
                <w:sz w:val="20"/>
                <w:szCs w:val="20"/>
              </w:rPr>
            </w:pPr>
          </w:p>
          <w:p w14:paraId="72F6AB1F" w14:textId="77777777" w:rsidR="00265869" w:rsidRPr="00F33674" w:rsidRDefault="00265869" w:rsidP="00265869">
            <w:pPr>
              <w:jc w:val="left"/>
              <w:rPr>
                <w:rFonts w:ascii="Arial Narrow" w:hAnsi="Arial Narrow"/>
                <w:sz w:val="20"/>
                <w:szCs w:val="20"/>
              </w:rPr>
            </w:pPr>
            <w:r w:rsidRPr="00F33674">
              <w:rPr>
                <w:rFonts w:ascii="Arial Narrow" w:hAnsi="Arial Narrow"/>
                <w:sz w:val="20"/>
                <w:szCs w:val="20"/>
              </w:rPr>
              <w:t>[new] Consider consultation with a multidisciplinary pain service prior to, or after commencement of this medication.</w:t>
            </w:r>
          </w:p>
          <w:p w14:paraId="7C0FC150" w14:textId="77777777" w:rsidR="00265869" w:rsidRPr="00F33674" w:rsidRDefault="00265869" w:rsidP="00265869">
            <w:pPr>
              <w:jc w:val="left"/>
              <w:rPr>
                <w:rFonts w:ascii="Arial Narrow" w:hAnsi="Arial Narrow"/>
                <w:sz w:val="20"/>
                <w:szCs w:val="20"/>
              </w:rPr>
            </w:pPr>
          </w:p>
          <w:p w14:paraId="0378206A" w14:textId="77777777" w:rsidR="00265869" w:rsidRPr="00F33674" w:rsidRDefault="00265869" w:rsidP="00265869">
            <w:pPr>
              <w:jc w:val="left"/>
              <w:rPr>
                <w:rFonts w:ascii="Arial Narrow" w:hAnsi="Arial Narrow" w:cs="Arial"/>
                <w:sz w:val="20"/>
                <w:szCs w:val="20"/>
              </w:rPr>
            </w:pPr>
            <w:r w:rsidRPr="00F33674">
              <w:rPr>
                <w:rFonts w:ascii="Arial Narrow" w:hAnsi="Arial Narrow" w:cs="Arial"/>
                <w:sz w:val="20"/>
                <w:szCs w:val="20"/>
              </w:rPr>
              <w:t>[new] This treatment is not suitable for ‘as-required’ pain relief.</w:t>
            </w:r>
          </w:p>
          <w:p w14:paraId="328029D9" w14:textId="77777777" w:rsidR="00265869" w:rsidRPr="00F33674" w:rsidRDefault="00265869" w:rsidP="00265869">
            <w:pPr>
              <w:jc w:val="left"/>
              <w:rPr>
                <w:rFonts w:ascii="Arial Narrow" w:hAnsi="Arial Narrow"/>
                <w:sz w:val="20"/>
                <w:szCs w:val="20"/>
              </w:rPr>
            </w:pPr>
          </w:p>
          <w:p w14:paraId="79D22B2B" w14:textId="77777777" w:rsidR="00265869" w:rsidRPr="00F33674" w:rsidRDefault="00265869" w:rsidP="00265869">
            <w:pPr>
              <w:jc w:val="left"/>
              <w:rPr>
                <w:rFonts w:ascii="Arial Narrow" w:hAnsi="Arial Narrow" w:cs="Arial"/>
                <w:sz w:val="20"/>
                <w:szCs w:val="20"/>
              </w:rPr>
            </w:pPr>
            <w:r w:rsidRPr="00F33674">
              <w:rPr>
                <w:rFonts w:ascii="Arial Narrow" w:hAnsi="Arial Narrow" w:cs="Arial"/>
                <w:sz w:val="20"/>
                <w:szCs w:val="20"/>
              </w:rPr>
              <w:t>[13981] Pharmaceutical benefits that have the form fentanyl 50 microgram/hour patch are equivalent for the purposes of substitution.</w:t>
            </w:r>
          </w:p>
          <w:p w14:paraId="0ECEF973" w14:textId="77777777" w:rsidR="00265869" w:rsidRPr="00F33674" w:rsidRDefault="00265869" w:rsidP="00265869">
            <w:pPr>
              <w:jc w:val="left"/>
              <w:rPr>
                <w:rFonts w:ascii="Arial Narrow" w:hAnsi="Arial Narrow" w:cs="Arial"/>
                <w:sz w:val="20"/>
                <w:szCs w:val="20"/>
              </w:rPr>
            </w:pPr>
          </w:p>
          <w:p w14:paraId="354468C0" w14:textId="77777777" w:rsidR="00265869" w:rsidRPr="00F33674" w:rsidRDefault="00265869" w:rsidP="00265869">
            <w:pPr>
              <w:jc w:val="left"/>
              <w:rPr>
                <w:rFonts w:ascii="Arial Narrow" w:hAnsi="Arial Narrow" w:cs="Arial"/>
                <w:sz w:val="20"/>
                <w:szCs w:val="20"/>
              </w:rPr>
            </w:pPr>
            <w:r w:rsidRPr="00F33674">
              <w:rPr>
                <w:rFonts w:ascii="Arial Narrow" w:hAnsi="Arial Narrow" w:cs="Arial"/>
                <w:sz w:val="20"/>
                <w:szCs w:val="20"/>
              </w:rPr>
              <w:t xml:space="preserve">[7901] Shared Care Model: For prescribing by nurse practitioners where care of a patient </w:t>
            </w:r>
            <w:proofErr w:type="gramStart"/>
            <w:r w:rsidRPr="00F33674">
              <w:rPr>
                <w:rFonts w:ascii="Arial Narrow" w:hAnsi="Arial Narrow" w:cs="Arial"/>
                <w:sz w:val="20"/>
                <w:szCs w:val="20"/>
              </w:rPr>
              <w:t>is shared</w:t>
            </w:r>
            <w:proofErr w:type="gramEnd"/>
            <w:r w:rsidRPr="00F33674">
              <w:rPr>
                <w:rFonts w:ascii="Arial Narrow" w:hAnsi="Arial Narrow" w:cs="Arial"/>
                <w:sz w:val="20"/>
                <w:szCs w:val="20"/>
              </w:rPr>
              <w:t xml:space="preserve"> between a nurse practitioner and medical practitioner in a formalised arrangement with an agreed management plan. Further information </w:t>
            </w:r>
            <w:proofErr w:type="gramStart"/>
            <w:r w:rsidRPr="00F33674">
              <w:rPr>
                <w:rFonts w:ascii="Arial Narrow" w:hAnsi="Arial Narrow" w:cs="Arial"/>
                <w:sz w:val="20"/>
                <w:szCs w:val="20"/>
              </w:rPr>
              <w:t>can be found</w:t>
            </w:r>
            <w:proofErr w:type="gramEnd"/>
            <w:r w:rsidRPr="00F33674">
              <w:rPr>
                <w:rFonts w:ascii="Arial Narrow" w:hAnsi="Arial Narrow" w:cs="Arial"/>
                <w:sz w:val="20"/>
                <w:szCs w:val="20"/>
              </w:rPr>
              <w:t xml:space="preserve"> in the Explanatory Notes for Nurse Practitioners.</w:t>
            </w:r>
          </w:p>
          <w:p w14:paraId="1C735B87" w14:textId="77777777" w:rsidR="00265869" w:rsidRPr="00F33674" w:rsidRDefault="00265869" w:rsidP="00265869">
            <w:pPr>
              <w:jc w:val="left"/>
              <w:rPr>
                <w:rFonts w:ascii="Arial Narrow" w:hAnsi="Arial Narrow" w:cs="Arial"/>
                <w:sz w:val="20"/>
                <w:szCs w:val="20"/>
              </w:rPr>
            </w:pPr>
          </w:p>
          <w:p w14:paraId="108B125A" w14:textId="77777777" w:rsidR="00265869" w:rsidRPr="00F33674" w:rsidRDefault="00265869" w:rsidP="00265869">
            <w:pPr>
              <w:jc w:val="left"/>
              <w:rPr>
                <w:rFonts w:ascii="Arial Narrow" w:hAnsi="Arial Narrow" w:cs="Arial"/>
                <w:sz w:val="20"/>
                <w:szCs w:val="20"/>
              </w:rPr>
            </w:pPr>
            <w:r w:rsidRPr="00F33674">
              <w:rPr>
                <w:rFonts w:ascii="Arial Narrow" w:hAnsi="Arial Narrow" w:cs="Arial"/>
                <w:sz w:val="20"/>
                <w:szCs w:val="20"/>
              </w:rPr>
              <w:t>[new] Real time online applications for increased maximum quantities/repeats may be made using the Online PBS Authorities system (see www.servicesaustralia.gov.au/organisations/health-professionals/services/medicare/hpos/services/request-authority-using-online-pbs-authorities-hpos)</w:t>
            </w:r>
          </w:p>
          <w:p w14:paraId="424BC509" w14:textId="77777777" w:rsidR="00265869" w:rsidRPr="00F33674" w:rsidRDefault="00265869" w:rsidP="00265869">
            <w:pPr>
              <w:jc w:val="left"/>
              <w:rPr>
                <w:rFonts w:ascii="Arial Narrow" w:hAnsi="Arial Narrow" w:cs="Arial"/>
                <w:sz w:val="20"/>
                <w:szCs w:val="20"/>
              </w:rPr>
            </w:pPr>
          </w:p>
          <w:p w14:paraId="6FD2C8E7" w14:textId="77777777" w:rsidR="00265869" w:rsidRPr="00F33674" w:rsidRDefault="00265869" w:rsidP="00265869">
            <w:pPr>
              <w:jc w:val="left"/>
              <w:rPr>
                <w:rFonts w:ascii="Arial Narrow" w:hAnsi="Arial Narrow" w:cs="Arial"/>
                <w:sz w:val="20"/>
                <w:szCs w:val="20"/>
              </w:rPr>
            </w:pPr>
            <w:r w:rsidRPr="00F33674">
              <w:rPr>
                <w:rFonts w:ascii="Arial Narrow" w:hAnsi="Arial Narrow" w:cs="Arial"/>
                <w:sz w:val="20"/>
                <w:szCs w:val="20"/>
              </w:rPr>
              <w:t>Phone applications for increased maximum quantities/repeats may be made by calling 1800 888 333.</w:t>
            </w:r>
          </w:p>
          <w:p w14:paraId="04722F92" w14:textId="77777777" w:rsidR="00265869" w:rsidRPr="00F33674" w:rsidRDefault="00265869" w:rsidP="00265869">
            <w:pPr>
              <w:jc w:val="left"/>
              <w:rPr>
                <w:rFonts w:ascii="Arial Narrow" w:hAnsi="Arial Narrow" w:cs="Arial"/>
                <w:sz w:val="20"/>
                <w:szCs w:val="20"/>
              </w:rPr>
            </w:pPr>
          </w:p>
          <w:p w14:paraId="2B97AC03" w14:textId="77777777" w:rsidR="00265869" w:rsidRPr="00F33674" w:rsidRDefault="00265869" w:rsidP="00265869">
            <w:pPr>
              <w:jc w:val="left"/>
              <w:rPr>
                <w:rFonts w:ascii="Arial Narrow" w:hAnsi="Arial Narrow" w:cs="Arial"/>
                <w:sz w:val="20"/>
                <w:szCs w:val="20"/>
              </w:rPr>
            </w:pPr>
            <w:r w:rsidRPr="00F33674">
              <w:rPr>
                <w:rFonts w:ascii="Arial Narrow" w:hAnsi="Arial Narrow" w:cs="Arial"/>
                <w:sz w:val="20"/>
                <w:szCs w:val="20"/>
              </w:rPr>
              <w:t>Written authority applications for increased maximum quantities/repeats can be uploaded online through HPOS form upload or mailed to:</w:t>
            </w:r>
          </w:p>
          <w:p w14:paraId="74AEBCDD" w14:textId="77777777" w:rsidR="00265869" w:rsidRPr="00F33674" w:rsidRDefault="00265869" w:rsidP="00265869">
            <w:pPr>
              <w:jc w:val="left"/>
              <w:rPr>
                <w:rFonts w:ascii="Arial Narrow" w:hAnsi="Arial Narrow" w:cs="Arial"/>
                <w:sz w:val="20"/>
                <w:szCs w:val="20"/>
              </w:rPr>
            </w:pPr>
            <w:r w:rsidRPr="00F33674">
              <w:rPr>
                <w:rFonts w:ascii="Arial Narrow" w:hAnsi="Arial Narrow" w:cs="Arial"/>
                <w:sz w:val="20"/>
                <w:szCs w:val="20"/>
              </w:rPr>
              <w:t>Pharmaceutical Benefits Scheme</w:t>
            </w:r>
          </w:p>
          <w:p w14:paraId="6E9058F4" w14:textId="77777777" w:rsidR="00265869" w:rsidRPr="00F33674" w:rsidRDefault="00265869" w:rsidP="00265869">
            <w:pPr>
              <w:jc w:val="left"/>
              <w:rPr>
                <w:rFonts w:ascii="Arial Narrow" w:hAnsi="Arial Narrow" w:cs="Arial"/>
                <w:sz w:val="20"/>
                <w:szCs w:val="20"/>
              </w:rPr>
            </w:pPr>
            <w:r w:rsidRPr="00F33674">
              <w:rPr>
                <w:rFonts w:ascii="Arial Narrow" w:hAnsi="Arial Narrow" w:cs="Arial"/>
                <w:sz w:val="20"/>
                <w:szCs w:val="20"/>
              </w:rPr>
              <w:t>Reply Paid 9857</w:t>
            </w:r>
          </w:p>
          <w:p w14:paraId="6BC4E2A5" w14:textId="32B16D6C" w:rsidR="00265869" w:rsidRPr="00F33674" w:rsidRDefault="00265869" w:rsidP="00265869">
            <w:pPr>
              <w:jc w:val="left"/>
              <w:rPr>
                <w:rFonts w:ascii="Arial Narrow" w:hAnsi="Arial Narrow" w:cs="Arial"/>
                <w:sz w:val="20"/>
                <w:szCs w:val="20"/>
              </w:rPr>
            </w:pPr>
            <w:r w:rsidRPr="00F33674">
              <w:rPr>
                <w:rFonts w:ascii="Arial Narrow" w:hAnsi="Arial Narrow" w:cs="Arial"/>
                <w:sz w:val="20"/>
                <w:szCs w:val="20"/>
              </w:rPr>
              <w:t>[Your capital city]</w:t>
            </w:r>
          </w:p>
        </w:tc>
      </w:tr>
      <w:tr w:rsidR="00265869" w:rsidRPr="00F33674" w14:paraId="07481D5E" w14:textId="77777777" w:rsidTr="00C21DFA">
        <w:trPr>
          <w:cantSplit/>
          <w:trHeight w:val="360"/>
        </w:trPr>
        <w:tc>
          <w:tcPr>
            <w:tcW w:w="3183" w:type="dxa"/>
            <w:tcBorders>
              <w:top w:val="single" w:sz="4" w:space="0" w:color="auto"/>
              <w:left w:val="single" w:sz="4" w:space="0" w:color="auto"/>
              <w:bottom w:val="single" w:sz="4" w:space="0" w:color="auto"/>
              <w:right w:val="single" w:sz="4" w:space="0" w:color="auto"/>
            </w:tcBorders>
          </w:tcPr>
          <w:p w14:paraId="24E702D1" w14:textId="77777777" w:rsidR="00265869" w:rsidRPr="00F33674" w:rsidRDefault="00265869" w:rsidP="00265869">
            <w:pPr>
              <w:rPr>
                <w:rFonts w:ascii="Arial Narrow" w:hAnsi="Arial Narrow" w:cs="Arial"/>
                <w:b/>
                <w:sz w:val="20"/>
                <w:szCs w:val="20"/>
              </w:rPr>
            </w:pPr>
            <w:r w:rsidRPr="00F33674">
              <w:rPr>
                <w:rFonts w:ascii="Arial Narrow" w:hAnsi="Arial Narrow" w:cs="Arial"/>
                <w:b/>
                <w:sz w:val="20"/>
                <w:szCs w:val="20"/>
              </w:rPr>
              <w:t>Cautions:</w:t>
            </w:r>
          </w:p>
        </w:tc>
        <w:tc>
          <w:tcPr>
            <w:tcW w:w="6031" w:type="dxa"/>
            <w:tcBorders>
              <w:top w:val="single" w:sz="4" w:space="0" w:color="auto"/>
              <w:left w:val="single" w:sz="4" w:space="0" w:color="auto"/>
              <w:bottom w:val="single" w:sz="4" w:space="0" w:color="auto"/>
              <w:right w:val="single" w:sz="4" w:space="0" w:color="auto"/>
            </w:tcBorders>
          </w:tcPr>
          <w:p w14:paraId="4D63C34C" w14:textId="77777777" w:rsidR="00265869" w:rsidRPr="00F33674" w:rsidRDefault="00265869" w:rsidP="00265869">
            <w:pPr>
              <w:jc w:val="left"/>
              <w:rPr>
                <w:rFonts w:ascii="Arial Narrow" w:hAnsi="Arial Narrow" w:cs="Arial"/>
                <w:sz w:val="20"/>
                <w:szCs w:val="20"/>
              </w:rPr>
            </w:pPr>
            <w:r w:rsidRPr="00F33674">
              <w:rPr>
                <w:rFonts w:ascii="Arial Narrow" w:hAnsi="Arial Narrow" w:cs="Arial"/>
                <w:sz w:val="20"/>
                <w:szCs w:val="20"/>
              </w:rPr>
              <w:t>[6986] The risk of drug dependence is high.</w:t>
            </w:r>
          </w:p>
        </w:tc>
      </w:tr>
    </w:tbl>
    <w:p w14:paraId="0EEFBA21" w14:textId="27C16780" w:rsidR="00265869" w:rsidRDefault="00265869" w:rsidP="00877E34">
      <w:pPr>
        <w:pStyle w:val="3-BodyText"/>
        <w:numPr>
          <w:ilvl w:val="0"/>
          <w:numId w:val="0"/>
        </w:numPr>
        <w:ind w:left="720" w:hanging="720"/>
      </w:pPr>
    </w:p>
    <w:p w14:paraId="52734CE7" w14:textId="73E357CA" w:rsidR="00F33674" w:rsidRPr="00F33674" w:rsidRDefault="00F33674" w:rsidP="00243407">
      <w:pPr>
        <w:pStyle w:val="3-BodyText"/>
      </w:pPr>
      <w:r w:rsidRPr="00F33674">
        <w:lastRenderedPageBreak/>
        <w:t>Amend items:</w:t>
      </w:r>
    </w:p>
    <w:p w14:paraId="2C5A1A94" w14:textId="77777777" w:rsidR="00F33674" w:rsidRPr="00F33674" w:rsidRDefault="00F33674" w:rsidP="00F33674">
      <w:pPr>
        <w:keepNext/>
        <w:keepLines/>
        <w:spacing w:before="40"/>
        <w:jc w:val="left"/>
        <w:outlineLvl w:val="2"/>
        <w:rPr>
          <w:rFonts w:asciiTheme="minorHAnsi" w:eastAsiaTheme="majorEastAsia" w:hAnsiTheme="minorHAnsi" w:cstheme="majorBidi"/>
          <w:b/>
          <w:color w:val="000000" w:themeColor="text1"/>
        </w:rPr>
      </w:pPr>
      <w:bookmarkStart w:id="42" w:name="_Toc32300607"/>
      <w:r w:rsidRPr="00F33674">
        <w:rPr>
          <w:rFonts w:asciiTheme="minorHAnsi" w:eastAsiaTheme="majorEastAsia" w:hAnsiTheme="minorHAnsi" w:cstheme="majorBidi"/>
          <w:b/>
          <w:color w:val="000000" w:themeColor="text1"/>
        </w:rPr>
        <w:t xml:space="preserve">Listing 23: Restriction for long-term pain TGA indication in </w:t>
      </w:r>
      <w:proofErr w:type="gramStart"/>
      <w:r w:rsidRPr="00F33674">
        <w:rPr>
          <w:rFonts w:asciiTheme="minorHAnsi" w:eastAsiaTheme="majorEastAsia" w:hAnsiTheme="minorHAnsi" w:cstheme="majorBidi"/>
          <w:b/>
          <w:color w:val="000000" w:themeColor="text1"/>
        </w:rPr>
        <w:t>2</w:t>
      </w:r>
      <w:r w:rsidRPr="00F33674">
        <w:rPr>
          <w:rFonts w:asciiTheme="minorHAnsi" w:eastAsiaTheme="majorEastAsia" w:hAnsiTheme="minorHAnsi" w:cstheme="majorBidi"/>
          <w:b/>
          <w:color w:val="000000" w:themeColor="text1"/>
          <w:vertAlign w:val="superscript"/>
        </w:rPr>
        <w:t>nd</w:t>
      </w:r>
      <w:proofErr w:type="gramEnd"/>
      <w:r w:rsidRPr="00F33674">
        <w:rPr>
          <w:rFonts w:asciiTheme="minorHAnsi" w:eastAsiaTheme="majorEastAsia" w:hAnsiTheme="minorHAnsi" w:cstheme="majorBidi"/>
          <w:b/>
          <w:color w:val="000000" w:themeColor="text1"/>
        </w:rPr>
        <w:t xml:space="preserve"> line opioid setting on general schedule (fentanyl 75mcg/hr patch):</w:t>
      </w:r>
      <w:bookmarkEnd w:id="42"/>
    </w:p>
    <w:p w14:paraId="17BA5F62" w14:textId="77777777" w:rsidR="00F33674" w:rsidRPr="00F33674" w:rsidRDefault="00F33674" w:rsidP="00F33674">
      <w:pPr>
        <w:ind w:left="360" w:hanging="360"/>
        <w:contextualSpacing/>
        <w:jc w:val="left"/>
      </w:pPr>
    </w:p>
    <w:tbl>
      <w:tblPr>
        <w:tblW w:w="9015" w:type="dxa"/>
        <w:tblLook w:val="04A0" w:firstRow="1" w:lastRow="0" w:firstColumn="1" w:lastColumn="0" w:noHBand="0" w:noVBand="1"/>
      </w:tblPr>
      <w:tblGrid>
        <w:gridCol w:w="1264"/>
        <w:gridCol w:w="736"/>
        <w:gridCol w:w="2390"/>
        <w:gridCol w:w="572"/>
        <w:gridCol w:w="530"/>
        <w:gridCol w:w="1397"/>
        <w:gridCol w:w="2126"/>
      </w:tblGrid>
      <w:tr w:rsidR="00F33674" w:rsidRPr="00F33674" w14:paraId="5F5F93C2" w14:textId="77777777" w:rsidTr="00F33674">
        <w:trPr>
          <w:trHeight w:val="300"/>
        </w:trPr>
        <w:tc>
          <w:tcPr>
            <w:tcW w:w="1264" w:type="dxa"/>
            <w:tcBorders>
              <w:bottom w:val="single" w:sz="4" w:space="0" w:color="auto"/>
            </w:tcBorders>
            <w:shd w:val="clear" w:color="auto" w:fill="auto"/>
            <w:noWrap/>
            <w:hideMark/>
          </w:tcPr>
          <w:p w14:paraId="63E9EE3E"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LI Drug</w:t>
            </w:r>
          </w:p>
        </w:tc>
        <w:tc>
          <w:tcPr>
            <w:tcW w:w="736" w:type="dxa"/>
            <w:tcBorders>
              <w:bottom w:val="single" w:sz="4" w:space="0" w:color="auto"/>
            </w:tcBorders>
            <w:shd w:val="clear" w:color="auto" w:fill="auto"/>
          </w:tcPr>
          <w:p w14:paraId="2065B0D8"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Item Code</w:t>
            </w:r>
          </w:p>
        </w:tc>
        <w:tc>
          <w:tcPr>
            <w:tcW w:w="2390" w:type="dxa"/>
            <w:tcBorders>
              <w:bottom w:val="single" w:sz="4" w:space="0" w:color="auto"/>
            </w:tcBorders>
            <w:shd w:val="clear" w:color="auto" w:fill="auto"/>
            <w:noWrap/>
            <w:hideMark/>
          </w:tcPr>
          <w:p w14:paraId="783E0CA8"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Legal Instrument Form</w:t>
            </w:r>
          </w:p>
        </w:tc>
        <w:tc>
          <w:tcPr>
            <w:tcW w:w="572" w:type="dxa"/>
            <w:tcBorders>
              <w:bottom w:val="single" w:sz="4" w:space="0" w:color="auto"/>
            </w:tcBorders>
            <w:shd w:val="clear" w:color="auto" w:fill="auto"/>
            <w:noWrap/>
            <w:hideMark/>
          </w:tcPr>
          <w:p w14:paraId="7F788017"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Max. Qty</w:t>
            </w:r>
          </w:p>
        </w:tc>
        <w:tc>
          <w:tcPr>
            <w:tcW w:w="530" w:type="dxa"/>
            <w:tcBorders>
              <w:bottom w:val="single" w:sz="4" w:space="0" w:color="auto"/>
            </w:tcBorders>
            <w:shd w:val="clear" w:color="auto" w:fill="auto"/>
            <w:noWrap/>
            <w:hideMark/>
          </w:tcPr>
          <w:p w14:paraId="4CD6E452"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No. Rpt</w:t>
            </w:r>
          </w:p>
        </w:tc>
        <w:tc>
          <w:tcPr>
            <w:tcW w:w="1397" w:type="dxa"/>
            <w:tcBorders>
              <w:bottom w:val="single" w:sz="4" w:space="0" w:color="auto"/>
            </w:tcBorders>
            <w:shd w:val="clear" w:color="auto" w:fill="auto"/>
            <w:noWrap/>
            <w:hideMark/>
          </w:tcPr>
          <w:p w14:paraId="6B020244"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Brand Name</w:t>
            </w:r>
          </w:p>
        </w:tc>
        <w:tc>
          <w:tcPr>
            <w:tcW w:w="2126" w:type="dxa"/>
            <w:tcBorders>
              <w:bottom w:val="single" w:sz="4" w:space="0" w:color="auto"/>
            </w:tcBorders>
            <w:shd w:val="clear" w:color="auto" w:fill="auto"/>
            <w:noWrap/>
            <w:hideMark/>
          </w:tcPr>
          <w:p w14:paraId="471DDACC"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Responsible Person</w:t>
            </w:r>
          </w:p>
        </w:tc>
      </w:tr>
      <w:tr w:rsidR="00F33674" w:rsidRPr="00F33674" w14:paraId="323FBA8B" w14:textId="77777777" w:rsidTr="00F33674">
        <w:trPr>
          <w:trHeight w:val="300"/>
        </w:trPr>
        <w:tc>
          <w:tcPr>
            <w:tcW w:w="1264" w:type="dxa"/>
            <w:tcBorders>
              <w:top w:val="single" w:sz="4" w:space="0" w:color="auto"/>
            </w:tcBorders>
            <w:shd w:val="clear" w:color="auto" w:fill="auto"/>
            <w:noWrap/>
            <w:hideMark/>
          </w:tcPr>
          <w:p w14:paraId="70B45689"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FENTANYL</w:t>
            </w:r>
          </w:p>
        </w:tc>
        <w:tc>
          <w:tcPr>
            <w:tcW w:w="736" w:type="dxa"/>
            <w:tcBorders>
              <w:top w:val="single" w:sz="4" w:space="0" w:color="auto"/>
            </w:tcBorders>
            <w:shd w:val="clear" w:color="auto" w:fill="auto"/>
          </w:tcPr>
          <w:p w14:paraId="5168B689"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5279W</w:t>
            </w:r>
          </w:p>
        </w:tc>
        <w:tc>
          <w:tcPr>
            <w:tcW w:w="2390" w:type="dxa"/>
            <w:tcBorders>
              <w:top w:val="single" w:sz="4" w:space="0" w:color="auto"/>
            </w:tcBorders>
            <w:shd w:val="clear" w:color="auto" w:fill="auto"/>
            <w:noWrap/>
            <w:hideMark/>
          </w:tcPr>
          <w:p w14:paraId="392F8DD8"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Transdermal patch 7.65 mg</w:t>
            </w:r>
          </w:p>
        </w:tc>
        <w:tc>
          <w:tcPr>
            <w:tcW w:w="572" w:type="dxa"/>
            <w:tcBorders>
              <w:top w:val="single" w:sz="4" w:space="0" w:color="auto"/>
            </w:tcBorders>
            <w:shd w:val="clear" w:color="auto" w:fill="auto"/>
            <w:noWrap/>
            <w:hideMark/>
          </w:tcPr>
          <w:p w14:paraId="70617CC5" w14:textId="77777777" w:rsidR="00F33674" w:rsidRPr="00F33674" w:rsidRDefault="00F33674" w:rsidP="00F33674">
            <w:pPr>
              <w:jc w:val="righ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5</w:t>
            </w:r>
          </w:p>
        </w:tc>
        <w:tc>
          <w:tcPr>
            <w:tcW w:w="530" w:type="dxa"/>
            <w:tcBorders>
              <w:top w:val="single" w:sz="4" w:space="0" w:color="auto"/>
            </w:tcBorders>
            <w:shd w:val="clear" w:color="auto" w:fill="auto"/>
            <w:noWrap/>
            <w:hideMark/>
          </w:tcPr>
          <w:p w14:paraId="66FC8195" w14:textId="77777777" w:rsidR="00F33674" w:rsidRPr="00F33674" w:rsidRDefault="00F33674" w:rsidP="00F33674">
            <w:pPr>
              <w:jc w:val="righ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0</w:t>
            </w:r>
          </w:p>
        </w:tc>
        <w:tc>
          <w:tcPr>
            <w:tcW w:w="1397" w:type="dxa"/>
            <w:tcBorders>
              <w:top w:val="single" w:sz="4" w:space="0" w:color="auto"/>
            </w:tcBorders>
            <w:shd w:val="clear" w:color="auto" w:fill="auto"/>
            <w:noWrap/>
            <w:hideMark/>
          </w:tcPr>
          <w:p w14:paraId="00042040"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Denpax</w:t>
            </w:r>
          </w:p>
        </w:tc>
        <w:tc>
          <w:tcPr>
            <w:tcW w:w="2126" w:type="dxa"/>
            <w:tcBorders>
              <w:top w:val="single" w:sz="4" w:space="0" w:color="auto"/>
            </w:tcBorders>
            <w:shd w:val="clear" w:color="auto" w:fill="auto"/>
            <w:noWrap/>
            <w:hideMark/>
          </w:tcPr>
          <w:p w14:paraId="3955F90A"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Alphapharm Pty Ltd</w:t>
            </w:r>
          </w:p>
        </w:tc>
      </w:tr>
      <w:tr w:rsidR="00F33674" w:rsidRPr="00F33674" w14:paraId="3B3FE713" w14:textId="77777777" w:rsidTr="00F33674">
        <w:trPr>
          <w:trHeight w:val="300"/>
        </w:trPr>
        <w:tc>
          <w:tcPr>
            <w:tcW w:w="1264" w:type="dxa"/>
            <w:shd w:val="clear" w:color="auto" w:fill="auto"/>
            <w:noWrap/>
          </w:tcPr>
          <w:p w14:paraId="51E439E4" w14:textId="77777777" w:rsidR="00F33674" w:rsidRPr="00F33674" w:rsidRDefault="00F33674" w:rsidP="00F33674">
            <w:pPr>
              <w:jc w:val="left"/>
              <w:rPr>
                <w:rFonts w:ascii="Arial Narrow" w:hAnsi="Arial Narrow" w:cs="Calibri"/>
                <w:color w:val="000000"/>
                <w:sz w:val="20"/>
                <w:szCs w:val="20"/>
                <w:lang w:eastAsia="en-AU"/>
              </w:rPr>
            </w:pPr>
          </w:p>
        </w:tc>
        <w:tc>
          <w:tcPr>
            <w:tcW w:w="736" w:type="dxa"/>
            <w:shd w:val="clear" w:color="auto" w:fill="auto"/>
          </w:tcPr>
          <w:p w14:paraId="3B8DC009"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5440H</w:t>
            </w:r>
          </w:p>
        </w:tc>
        <w:tc>
          <w:tcPr>
            <w:tcW w:w="2390" w:type="dxa"/>
            <w:vMerge w:val="restart"/>
            <w:shd w:val="clear" w:color="auto" w:fill="auto"/>
            <w:noWrap/>
            <w:hideMark/>
          </w:tcPr>
          <w:p w14:paraId="480CFBCD"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Transdermal patch 12.375 mg</w:t>
            </w:r>
          </w:p>
        </w:tc>
        <w:tc>
          <w:tcPr>
            <w:tcW w:w="572" w:type="dxa"/>
            <w:shd w:val="clear" w:color="auto" w:fill="auto"/>
            <w:noWrap/>
            <w:hideMark/>
          </w:tcPr>
          <w:p w14:paraId="3524BBD8" w14:textId="77777777" w:rsidR="00F33674" w:rsidRPr="00F33674" w:rsidRDefault="00F33674" w:rsidP="00F33674">
            <w:pPr>
              <w:jc w:val="righ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5</w:t>
            </w:r>
          </w:p>
        </w:tc>
        <w:tc>
          <w:tcPr>
            <w:tcW w:w="530" w:type="dxa"/>
            <w:shd w:val="clear" w:color="auto" w:fill="auto"/>
            <w:noWrap/>
            <w:hideMark/>
          </w:tcPr>
          <w:p w14:paraId="5D47152C" w14:textId="77777777" w:rsidR="00F33674" w:rsidRPr="00F33674" w:rsidRDefault="00F33674" w:rsidP="00F33674">
            <w:pPr>
              <w:jc w:val="righ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0</w:t>
            </w:r>
          </w:p>
        </w:tc>
        <w:tc>
          <w:tcPr>
            <w:tcW w:w="1397" w:type="dxa"/>
            <w:shd w:val="clear" w:color="auto" w:fill="auto"/>
            <w:noWrap/>
            <w:hideMark/>
          </w:tcPr>
          <w:p w14:paraId="0B0432AC"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Dutran 75</w:t>
            </w:r>
          </w:p>
        </w:tc>
        <w:tc>
          <w:tcPr>
            <w:tcW w:w="2126" w:type="dxa"/>
            <w:shd w:val="clear" w:color="auto" w:fill="auto"/>
            <w:noWrap/>
            <w:hideMark/>
          </w:tcPr>
          <w:p w14:paraId="3B18A35C"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Amneal Pharmaceuticals Pty Ltd</w:t>
            </w:r>
          </w:p>
        </w:tc>
      </w:tr>
      <w:tr w:rsidR="00F33674" w:rsidRPr="00F33674" w14:paraId="55B40FFD" w14:textId="77777777" w:rsidTr="00F33674">
        <w:trPr>
          <w:trHeight w:val="300"/>
        </w:trPr>
        <w:tc>
          <w:tcPr>
            <w:tcW w:w="1264" w:type="dxa"/>
            <w:shd w:val="clear" w:color="auto" w:fill="auto"/>
            <w:noWrap/>
          </w:tcPr>
          <w:p w14:paraId="1D9097E6" w14:textId="77777777" w:rsidR="00F33674" w:rsidRPr="00F33674" w:rsidRDefault="00F33674" w:rsidP="00F33674">
            <w:pPr>
              <w:jc w:val="left"/>
              <w:rPr>
                <w:rFonts w:ascii="Arial Narrow" w:hAnsi="Arial Narrow" w:cs="Calibri"/>
                <w:color w:val="000000"/>
                <w:sz w:val="20"/>
                <w:szCs w:val="20"/>
                <w:lang w:eastAsia="en-AU"/>
              </w:rPr>
            </w:pPr>
          </w:p>
        </w:tc>
        <w:tc>
          <w:tcPr>
            <w:tcW w:w="736" w:type="dxa"/>
            <w:shd w:val="clear" w:color="auto" w:fill="auto"/>
          </w:tcPr>
          <w:p w14:paraId="4F201DC8" w14:textId="77777777" w:rsidR="00F33674" w:rsidRPr="00F33674" w:rsidRDefault="00F33674" w:rsidP="00F33674">
            <w:pPr>
              <w:jc w:val="left"/>
              <w:rPr>
                <w:rFonts w:ascii="Arial Narrow" w:hAnsi="Arial Narrow" w:cs="Calibri"/>
                <w:color w:val="000000"/>
                <w:sz w:val="20"/>
                <w:szCs w:val="20"/>
                <w:lang w:eastAsia="en-AU"/>
              </w:rPr>
            </w:pPr>
          </w:p>
        </w:tc>
        <w:tc>
          <w:tcPr>
            <w:tcW w:w="2390" w:type="dxa"/>
            <w:vMerge/>
            <w:shd w:val="clear" w:color="auto" w:fill="auto"/>
            <w:noWrap/>
          </w:tcPr>
          <w:p w14:paraId="1E236996" w14:textId="77777777" w:rsidR="00F33674" w:rsidRPr="00F33674" w:rsidRDefault="00F33674" w:rsidP="00F33674">
            <w:pPr>
              <w:jc w:val="left"/>
              <w:rPr>
                <w:rFonts w:ascii="Arial Narrow" w:hAnsi="Arial Narrow" w:cs="Calibri"/>
                <w:color w:val="000000"/>
                <w:sz w:val="20"/>
                <w:szCs w:val="20"/>
                <w:lang w:eastAsia="en-AU"/>
              </w:rPr>
            </w:pPr>
          </w:p>
        </w:tc>
        <w:tc>
          <w:tcPr>
            <w:tcW w:w="572" w:type="dxa"/>
            <w:shd w:val="clear" w:color="auto" w:fill="auto"/>
            <w:noWrap/>
          </w:tcPr>
          <w:p w14:paraId="4F96507F" w14:textId="77777777" w:rsidR="00F33674" w:rsidRPr="00F33674" w:rsidRDefault="00F33674" w:rsidP="00F33674">
            <w:pPr>
              <w:jc w:val="right"/>
              <w:rPr>
                <w:rFonts w:ascii="Arial Narrow" w:hAnsi="Arial Narrow" w:cs="Calibri"/>
                <w:color w:val="000000"/>
                <w:sz w:val="20"/>
                <w:szCs w:val="20"/>
                <w:lang w:eastAsia="en-AU"/>
              </w:rPr>
            </w:pPr>
          </w:p>
        </w:tc>
        <w:tc>
          <w:tcPr>
            <w:tcW w:w="530" w:type="dxa"/>
            <w:shd w:val="clear" w:color="auto" w:fill="auto"/>
            <w:noWrap/>
          </w:tcPr>
          <w:p w14:paraId="549AEA08" w14:textId="77777777" w:rsidR="00F33674" w:rsidRPr="00F33674" w:rsidRDefault="00F33674" w:rsidP="00F33674">
            <w:pPr>
              <w:jc w:val="right"/>
              <w:rPr>
                <w:rFonts w:ascii="Arial Narrow" w:hAnsi="Arial Narrow" w:cs="Calibri"/>
                <w:color w:val="000000"/>
                <w:sz w:val="20"/>
                <w:szCs w:val="20"/>
                <w:lang w:eastAsia="en-AU"/>
              </w:rPr>
            </w:pPr>
          </w:p>
        </w:tc>
        <w:tc>
          <w:tcPr>
            <w:tcW w:w="1397" w:type="dxa"/>
            <w:shd w:val="clear" w:color="auto" w:fill="auto"/>
            <w:noWrap/>
            <w:hideMark/>
          </w:tcPr>
          <w:p w14:paraId="56112333"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Fenpatch 75</w:t>
            </w:r>
          </w:p>
        </w:tc>
        <w:tc>
          <w:tcPr>
            <w:tcW w:w="2126" w:type="dxa"/>
            <w:shd w:val="clear" w:color="auto" w:fill="auto"/>
            <w:noWrap/>
            <w:hideMark/>
          </w:tcPr>
          <w:p w14:paraId="6A8043C0"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Medis Pharma Pty Ltd</w:t>
            </w:r>
          </w:p>
        </w:tc>
      </w:tr>
      <w:tr w:rsidR="00F33674" w:rsidRPr="00F33674" w14:paraId="796C6638" w14:textId="77777777" w:rsidTr="00F33674">
        <w:trPr>
          <w:trHeight w:val="300"/>
        </w:trPr>
        <w:tc>
          <w:tcPr>
            <w:tcW w:w="1264" w:type="dxa"/>
            <w:shd w:val="clear" w:color="auto" w:fill="auto"/>
            <w:noWrap/>
          </w:tcPr>
          <w:p w14:paraId="77D644AF" w14:textId="77777777" w:rsidR="00F33674" w:rsidRPr="00F33674" w:rsidRDefault="00F33674" w:rsidP="00F33674">
            <w:pPr>
              <w:jc w:val="left"/>
              <w:rPr>
                <w:rFonts w:ascii="Arial Narrow" w:hAnsi="Arial Narrow" w:cs="Calibri"/>
                <w:color w:val="000000"/>
                <w:sz w:val="20"/>
                <w:szCs w:val="20"/>
                <w:lang w:eastAsia="en-AU"/>
              </w:rPr>
            </w:pPr>
          </w:p>
        </w:tc>
        <w:tc>
          <w:tcPr>
            <w:tcW w:w="736" w:type="dxa"/>
            <w:shd w:val="clear" w:color="auto" w:fill="auto"/>
          </w:tcPr>
          <w:p w14:paraId="7215DD5D"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8893C</w:t>
            </w:r>
          </w:p>
        </w:tc>
        <w:tc>
          <w:tcPr>
            <w:tcW w:w="2390" w:type="dxa"/>
            <w:vMerge w:val="restart"/>
            <w:shd w:val="clear" w:color="auto" w:fill="auto"/>
            <w:noWrap/>
            <w:hideMark/>
          </w:tcPr>
          <w:p w14:paraId="4BDA3949"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Transdermal patch 12.6 mg</w:t>
            </w:r>
          </w:p>
        </w:tc>
        <w:tc>
          <w:tcPr>
            <w:tcW w:w="572" w:type="dxa"/>
            <w:shd w:val="clear" w:color="auto" w:fill="auto"/>
            <w:noWrap/>
            <w:hideMark/>
          </w:tcPr>
          <w:p w14:paraId="0DD49325" w14:textId="77777777" w:rsidR="00F33674" w:rsidRPr="00F33674" w:rsidRDefault="00F33674" w:rsidP="00F33674">
            <w:pPr>
              <w:jc w:val="righ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5</w:t>
            </w:r>
          </w:p>
        </w:tc>
        <w:tc>
          <w:tcPr>
            <w:tcW w:w="530" w:type="dxa"/>
            <w:shd w:val="clear" w:color="auto" w:fill="auto"/>
            <w:noWrap/>
            <w:hideMark/>
          </w:tcPr>
          <w:p w14:paraId="2F1D9BF4" w14:textId="77777777" w:rsidR="00F33674" w:rsidRPr="00F33674" w:rsidRDefault="00F33674" w:rsidP="00F33674">
            <w:pPr>
              <w:jc w:val="righ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0</w:t>
            </w:r>
          </w:p>
        </w:tc>
        <w:tc>
          <w:tcPr>
            <w:tcW w:w="1397" w:type="dxa"/>
            <w:shd w:val="clear" w:color="auto" w:fill="auto"/>
            <w:noWrap/>
            <w:hideMark/>
          </w:tcPr>
          <w:p w14:paraId="1DF4AB3F"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APO-Fentanyl</w:t>
            </w:r>
          </w:p>
        </w:tc>
        <w:tc>
          <w:tcPr>
            <w:tcW w:w="2126" w:type="dxa"/>
            <w:shd w:val="clear" w:color="auto" w:fill="auto"/>
            <w:noWrap/>
            <w:hideMark/>
          </w:tcPr>
          <w:p w14:paraId="4E5A4DED"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Apotex Pty Ltd</w:t>
            </w:r>
          </w:p>
        </w:tc>
      </w:tr>
      <w:tr w:rsidR="00F33674" w:rsidRPr="00F33674" w14:paraId="5E28906D" w14:textId="77777777" w:rsidTr="00F33674">
        <w:trPr>
          <w:trHeight w:val="300"/>
        </w:trPr>
        <w:tc>
          <w:tcPr>
            <w:tcW w:w="1264" w:type="dxa"/>
            <w:shd w:val="clear" w:color="auto" w:fill="auto"/>
            <w:noWrap/>
          </w:tcPr>
          <w:p w14:paraId="4E9A6C7A" w14:textId="77777777" w:rsidR="00F33674" w:rsidRPr="00F33674" w:rsidRDefault="00F33674" w:rsidP="00F33674">
            <w:pPr>
              <w:jc w:val="left"/>
              <w:rPr>
                <w:rFonts w:ascii="Arial Narrow" w:hAnsi="Arial Narrow" w:cs="Calibri"/>
                <w:color w:val="000000"/>
                <w:sz w:val="20"/>
                <w:szCs w:val="20"/>
                <w:lang w:eastAsia="en-AU"/>
              </w:rPr>
            </w:pPr>
          </w:p>
        </w:tc>
        <w:tc>
          <w:tcPr>
            <w:tcW w:w="736" w:type="dxa"/>
            <w:shd w:val="clear" w:color="auto" w:fill="auto"/>
          </w:tcPr>
          <w:p w14:paraId="15406129" w14:textId="77777777" w:rsidR="00F33674" w:rsidRPr="00F33674" w:rsidRDefault="00F33674" w:rsidP="00F33674">
            <w:pPr>
              <w:jc w:val="left"/>
              <w:rPr>
                <w:rFonts w:ascii="Arial Narrow" w:hAnsi="Arial Narrow" w:cs="Calibri"/>
                <w:color w:val="000000"/>
                <w:sz w:val="20"/>
                <w:szCs w:val="20"/>
                <w:lang w:eastAsia="en-AU"/>
              </w:rPr>
            </w:pPr>
          </w:p>
        </w:tc>
        <w:tc>
          <w:tcPr>
            <w:tcW w:w="2390" w:type="dxa"/>
            <w:vMerge/>
            <w:shd w:val="clear" w:color="auto" w:fill="auto"/>
            <w:noWrap/>
          </w:tcPr>
          <w:p w14:paraId="61DC1764" w14:textId="77777777" w:rsidR="00F33674" w:rsidRPr="00F33674" w:rsidRDefault="00F33674" w:rsidP="00F33674">
            <w:pPr>
              <w:jc w:val="left"/>
              <w:rPr>
                <w:rFonts w:ascii="Arial Narrow" w:hAnsi="Arial Narrow" w:cs="Calibri"/>
                <w:color w:val="000000"/>
                <w:sz w:val="20"/>
                <w:szCs w:val="20"/>
                <w:lang w:eastAsia="en-AU"/>
              </w:rPr>
            </w:pPr>
          </w:p>
        </w:tc>
        <w:tc>
          <w:tcPr>
            <w:tcW w:w="572" w:type="dxa"/>
            <w:shd w:val="clear" w:color="auto" w:fill="auto"/>
            <w:noWrap/>
          </w:tcPr>
          <w:p w14:paraId="537A4BB1" w14:textId="77777777" w:rsidR="00F33674" w:rsidRPr="00F33674" w:rsidRDefault="00F33674" w:rsidP="00F33674">
            <w:pPr>
              <w:jc w:val="right"/>
              <w:rPr>
                <w:rFonts w:ascii="Arial Narrow" w:hAnsi="Arial Narrow" w:cs="Calibri"/>
                <w:color w:val="000000"/>
                <w:sz w:val="20"/>
                <w:szCs w:val="20"/>
                <w:lang w:eastAsia="en-AU"/>
              </w:rPr>
            </w:pPr>
          </w:p>
        </w:tc>
        <w:tc>
          <w:tcPr>
            <w:tcW w:w="530" w:type="dxa"/>
            <w:shd w:val="clear" w:color="auto" w:fill="auto"/>
            <w:noWrap/>
          </w:tcPr>
          <w:p w14:paraId="15B6A284" w14:textId="77777777" w:rsidR="00F33674" w:rsidRPr="00F33674" w:rsidRDefault="00F33674" w:rsidP="00F33674">
            <w:pPr>
              <w:jc w:val="right"/>
              <w:rPr>
                <w:rFonts w:ascii="Arial Narrow" w:hAnsi="Arial Narrow" w:cs="Calibri"/>
                <w:color w:val="000000"/>
                <w:sz w:val="20"/>
                <w:szCs w:val="20"/>
                <w:lang w:eastAsia="en-AU"/>
              </w:rPr>
            </w:pPr>
          </w:p>
        </w:tc>
        <w:tc>
          <w:tcPr>
            <w:tcW w:w="1397" w:type="dxa"/>
            <w:shd w:val="clear" w:color="auto" w:fill="auto"/>
            <w:noWrap/>
            <w:hideMark/>
          </w:tcPr>
          <w:p w14:paraId="1A8553EF"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Durogesic 75</w:t>
            </w:r>
          </w:p>
        </w:tc>
        <w:tc>
          <w:tcPr>
            <w:tcW w:w="2126" w:type="dxa"/>
            <w:shd w:val="clear" w:color="auto" w:fill="auto"/>
            <w:noWrap/>
            <w:hideMark/>
          </w:tcPr>
          <w:p w14:paraId="07F1B139"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Janssen-Cilag Pty Ltd</w:t>
            </w:r>
          </w:p>
        </w:tc>
      </w:tr>
      <w:tr w:rsidR="00F33674" w:rsidRPr="00F33674" w14:paraId="18B7CAD5" w14:textId="77777777" w:rsidTr="00F33674">
        <w:trPr>
          <w:trHeight w:val="300"/>
        </w:trPr>
        <w:tc>
          <w:tcPr>
            <w:tcW w:w="1264" w:type="dxa"/>
            <w:shd w:val="clear" w:color="auto" w:fill="auto"/>
            <w:noWrap/>
          </w:tcPr>
          <w:p w14:paraId="553992B1" w14:textId="77777777" w:rsidR="00F33674" w:rsidRPr="00F33674" w:rsidRDefault="00F33674" w:rsidP="00F33674">
            <w:pPr>
              <w:jc w:val="left"/>
              <w:rPr>
                <w:rFonts w:ascii="Arial Narrow" w:hAnsi="Arial Narrow" w:cs="Calibri"/>
                <w:color w:val="000000"/>
                <w:sz w:val="20"/>
                <w:szCs w:val="20"/>
                <w:lang w:eastAsia="en-AU"/>
              </w:rPr>
            </w:pPr>
          </w:p>
        </w:tc>
        <w:tc>
          <w:tcPr>
            <w:tcW w:w="736" w:type="dxa"/>
            <w:shd w:val="clear" w:color="auto" w:fill="auto"/>
          </w:tcPr>
          <w:p w14:paraId="1CBD7C20" w14:textId="77777777" w:rsidR="00F33674" w:rsidRPr="00F33674" w:rsidRDefault="00F33674" w:rsidP="00F33674">
            <w:pPr>
              <w:jc w:val="left"/>
              <w:rPr>
                <w:rFonts w:ascii="Arial Narrow" w:hAnsi="Arial Narrow" w:cs="Calibri"/>
                <w:color w:val="000000"/>
                <w:sz w:val="20"/>
                <w:szCs w:val="20"/>
                <w:lang w:eastAsia="en-AU"/>
              </w:rPr>
            </w:pPr>
          </w:p>
        </w:tc>
        <w:tc>
          <w:tcPr>
            <w:tcW w:w="2390" w:type="dxa"/>
            <w:vMerge/>
            <w:shd w:val="clear" w:color="auto" w:fill="auto"/>
            <w:noWrap/>
          </w:tcPr>
          <w:p w14:paraId="2C4F99B7" w14:textId="77777777" w:rsidR="00F33674" w:rsidRPr="00F33674" w:rsidRDefault="00F33674" w:rsidP="00F33674">
            <w:pPr>
              <w:jc w:val="left"/>
              <w:rPr>
                <w:rFonts w:ascii="Arial Narrow" w:hAnsi="Arial Narrow" w:cs="Calibri"/>
                <w:color w:val="000000"/>
                <w:sz w:val="20"/>
                <w:szCs w:val="20"/>
                <w:lang w:eastAsia="en-AU"/>
              </w:rPr>
            </w:pPr>
          </w:p>
        </w:tc>
        <w:tc>
          <w:tcPr>
            <w:tcW w:w="572" w:type="dxa"/>
            <w:shd w:val="clear" w:color="auto" w:fill="auto"/>
            <w:noWrap/>
          </w:tcPr>
          <w:p w14:paraId="04C8BCE7" w14:textId="77777777" w:rsidR="00F33674" w:rsidRPr="00F33674" w:rsidRDefault="00F33674" w:rsidP="00F33674">
            <w:pPr>
              <w:jc w:val="right"/>
              <w:rPr>
                <w:rFonts w:ascii="Arial Narrow" w:hAnsi="Arial Narrow" w:cs="Calibri"/>
                <w:color w:val="000000"/>
                <w:sz w:val="20"/>
                <w:szCs w:val="20"/>
                <w:lang w:eastAsia="en-AU"/>
              </w:rPr>
            </w:pPr>
          </w:p>
        </w:tc>
        <w:tc>
          <w:tcPr>
            <w:tcW w:w="530" w:type="dxa"/>
            <w:shd w:val="clear" w:color="auto" w:fill="auto"/>
            <w:noWrap/>
          </w:tcPr>
          <w:p w14:paraId="24039EF8" w14:textId="77777777" w:rsidR="00F33674" w:rsidRPr="00F33674" w:rsidRDefault="00F33674" w:rsidP="00F33674">
            <w:pPr>
              <w:jc w:val="right"/>
              <w:rPr>
                <w:rFonts w:ascii="Arial Narrow" w:hAnsi="Arial Narrow" w:cs="Calibri"/>
                <w:color w:val="000000"/>
                <w:sz w:val="20"/>
                <w:szCs w:val="20"/>
                <w:lang w:eastAsia="en-AU"/>
              </w:rPr>
            </w:pPr>
          </w:p>
        </w:tc>
        <w:tc>
          <w:tcPr>
            <w:tcW w:w="1397" w:type="dxa"/>
            <w:shd w:val="clear" w:color="auto" w:fill="auto"/>
            <w:noWrap/>
            <w:hideMark/>
          </w:tcPr>
          <w:p w14:paraId="39F65AA6"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Fentanyl Sandoz</w:t>
            </w:r>
          </w:p>
        </w:tc>
        <w:tc>
          <w:tcPr>
            <w:tcW w:w="2126" w:type="dxa"/>
            <w:shd w:val="clear" w:color="auto" w:fill="auto"/>
            <w:noWrap/>
            <w:hideMark/>
          </w:tcPr>
          <w:p w14:paraId="3B0061E1"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Sandoz Pty Ltd</w:t>
            </w:r>
          </w:p>
        </w:tc>
      </w:tr>
    </w:tbl>
    <w:p w14:paraId="5DED1BE7" w14:textId="77777777" w:rsidR="00F33674" w:rsidRPr="00F33674" w:rsidRDefault="00F33674" w:rsidP="00F33674">
      <w:pPr>
        <w:contextualSpacing/>
        <w:jc w:val="left"/>
      </w:pPr>
    </w:p>
    <w:tbl>
      <w:tblPr>
        <w:tblW w:w="9214" w:type="dxa"/>
        <w:tblInd w:w="-5" w:type="dxa"/>
        <w:tblLook w:val="0000" w:firstRow="0" w:lastRow="0" w:firstColumn="0" w:lastColumn="0" w:noHBand="0" w:noVBand="0"/>
      </w:tblPr>
      <w:tblGrid>
        <w:gridCol w:w="3183"/>
        <w:gridCol w:w="6031"/>
      </w:tblGrid>
      <w:tr w:rsidR="00F33674" w:rsidRPr="00F33674" w14:paraId="73977139" w14:textId="77777777" w:rsidTr="00C21DFA">
        <w:trPr>
          <w:cantSplit/>
          <w:trHeight w:val="360"/>
        </w:trPr>
        <w:tc>
          <w:tcPr>
            <w:tcW w:w="3183" w:type="dxa"/>
            <w:tcBorders>
              <w:top w:val="single" w:sz="4" w:space="0" w:color="auto"/>
              <w:left w:val="single" w:sz="4" w:space="0" w:color="auto"/>
              <w:bottom w:val="single" w:sz="4" w:space="0" w:color="auto"/>
              <w:right w:val="single" w:sz="4" w:space="0" w:color="auto"/>
            </w:tcBorders>
          </w:tcPr>
          <w:p w14:paraId="6C54548B" w14:textId="77777777" w:rsidR="00F33674" w:rsidRPr="00F33674" w:rsidRDefault="00F33674" w:rsidP="00F33674">
            <w:pPr>
              <w:rPr>
                <w:rFonts w:ascii="Arial Narrow" w:hAnsi="Arial Narrow" w:cs="Arial"/>
                <w:b/>
                <w:sz w:val="20"/>
                <w:szCs w:val="20"/>
              </w:rPr>
            </w:pPr>
            <w:r w:rsidRPr="00F33674">
              <w:rPr>
                <w:rFonts w:ascii="Arial Narrow" w:hAnsi="Arial Narrow" w:cs="Arial"/>
                <w:b/>
                <w:sz w:val="20"/>
                <w:szCs w:val="20"/>
              </w:rPr>
              <w:t>Category / Program:</w:t>
            </w:r>
          </w:p>
        </w:tc>
        <w:tc>
          <w:tcPr>
            <w:tcW w:w="6031" w:type="dxa"/>
            <w:tcBorders>
              <w:top w:val="single" w:sz="4" w:space="0" w:color="auto"/>
              <w:left w:val="single" w:sz="4" w:space="0" w:color="auto"/>
              <w:bottom w:val="single" w:sz="4" w:space="0" w:color="auto"/>
              <w:right w:val="single" w:sz="4" w:space="0" w:color="auto"/>
            </w:tcBorders>
          </w:tcPr>
          <w:p w14:paraId="7A3C3A59" w14:textId="77777777" w:rsidR="00F33674" w:rsidRPr="00F33674" w:rsidRDefault="00F33674" w:rsidP="00F33674">
            <w:pPr>
              <w:rPr>
                <w:rFonts w:ascii="Arial Narrow" w:hAnsi="Arial Narrow" w:cs="Arial"/>
                <w:sz w:val="20"/>
                <w:szCs w:val="20"/>
              </w:rPr>
            </w:pPr>
            <w:r w:rsidRPr="00F33674">
              <w:rPr>
                <w:rFonts w:ascii="Arial Narrow" w:hAnsi="Arial Narrow" w:cs="Arial"/>
                <w:sz w:val="20"/>
                <w:szCs w:val="20"/>
              </w:rPr>
              <w:t>GENERAL – General Schedule (Code GE)</w:t>
            </w:r>
          </w:p>
        </w:tc>
      </w:tr>
      <w:tr w:rsidR="00F33674" w:rsidRPr="00F33674" w14:paraId="3FADE78F" w14:textId="77777777" w:rsidTr="00C21DFA">
        <w:trPr>
          <w:cantSplit/>
          <w:trHeight w:val="360"/>
        </w:trPr>
        <w:tc>
          <w:tcPr>
            <w:tcW w:w="3183" w:type="dxa"/>
            <w:tcBorders>
              <w:top w:val="single" w:sz="4" w:space="0" w:color="auto"/>
              <w:left w:val="single" w:sz="4" w:space="0" w:color="auto"/>
              <w:bottom w:val="single" w:sz="4" w:space="0" w:color="auto"/>
              <w:right w:val="single" w:sz="4" w:space="0" w:color="auto"/>
            </w:tcBorders>
          </w:tcPr>
          <w:p w14:paraId="13DF9284" w14:textId="77777777" w:rsidR="00F33674" w:rsidRPr="00F33674" w:rsidRDefault="00F33674" w:rsidP="00F33674">
            <w:pPr>
              <w:rPr>
                <w:rFonts w:ascii="Arial Narrow" w:hAnsi="Arial Narrow" w:cs="Arial"/>
                <w:b/>
                <w:sz w:val="20"/>
                <w:szCs w:val="20"/>
              </w:rPr>
            </w:pPr>
            <w:r w:rsidRPr="00F33674">
              <w:rPr>
                <w:rFonts w:ascii="Arial Narrow" w:hAnsi="Arial Narrow" w:cs="Arial"/>
                <w:b/>
                <w:sz w:val="20"/>
                <w:szCs w:val="20"/>
              </w:rPr>
              <w:t>Prescriber type:</w:t>
            </w:r>
          </w:p>
          <w:p w14:paraId="0304A0B5" w14:textId="77777777" w:rsidR="00F33674" w:rsidRPr="00F33674" w:rsidRDefault="00F33674" w:rsidP="00F33674">
            <w:pPr>
              <w:rPr>
                <w:rFonts w:ascii="Arial Narrow" w:hAnsi="Arial Narrow" w:cs="Arial"/>
                <w:b/>
                <w:sz w:val="20"/>
                <w:szCs w:val="20"/>
              </w:rPr>
            </w:pPr>
          </w:p>
        </w:tc>
        <w:tc>
          <w:tcPr>
            <w:tcW w:w="6031" w:type="dxa"/>
            <w:tcBorders>
              <w:top w:val="single" w:sz="4" w:space="0" w:color="auto"/>
              <w:left w:val="single" w:sz="4" w:space="0" w:color="auto"/>
              <w:bottom w:val="single" w:sz="4" w:space="0" w:color="auto"/>
              <w:right w:val="single" w:sz="4" w:space="0" w:color="auto"/>
            </w:tcBorders>
          </w:tcPr>
          <w:p w14:paraId="6395EF8E" w14:textId="5A83081E" w:rsidR="00F33674" w:rsidRPr="00F33674" w:rsidRDefault="00F33674" w:rsidP="00F33674">
            <w:pPr>
              <w:rPr>
                <w:rFonts w:ascii="Arial Narrow" w:hAnsi="Arial Narrow" w:cs="Arial"/>
                <w:sz w:val="20"/>
                <w:szCs w:val="20"/>
              </w:rPr>
            </w:pPr>
            <w:r w:rsidRPr="00F33674">
              <w:rPr>
                <w:rFonts w:ascii="Arial Narrow" w:hAnsi="Arial Narrow" w:cs="Arial"/>
                <w:sz w:val="20"/>
                <w:szCs w:val="20"/>
              </w:rPr>
              <w:fldChar w:fldCharType="begin">
                <w:ffData>
                  <w:name w:val="Check1"/>
                  <w:enabled/>
                  <w:calcOnExit w:val="0"/>
                  <w:checkBox>
                    <w:sizeAuto/>
                    <w:default w:val="0"/>
                  </w:checkBox>
                </w:ffData>
              </w:fldChar>
            </w:r>
            <w:r w:rsidRPr="00F33674">
              <w:rPr>
                <w:rFonts w:ascii="Arial Narrow" w:hAnsi="Arial Narrow" w:cs="Arial"/>
                <w:sz w:val="20"/>
                <w:szCs w:val="20"/>
              </w:rPr>
              <w:instrText xml:space="preserve"> FORMCHECKBOX </w:instrText>
            </w:r>
            <w:r w:rsidR="00233D13">
              <w:rPr>
                <w:rFonts w:ascii="Arial Narrow" w:hAnsi="Arial Narrow" w:cs="Arial"/>
                <w:sz w:val="20"/>
                <w:szCs w:val="20"/>
              </w:rPr>
            </w:r>
            <w:r w:rsidR="00233D13">
              <w:rPr>
                <w:rFonts w:ascii="Arial Narrow" w:hAnsi="Arial Narrow" w:cs="Arial"/>
                <w:sz w:val="20"/>
                <w:szCs w:val="20"/>
              </w:rPr>
              <w:fldChar w:fldCharType="separate"/>
            </w:r>
            <w:r w:rsidRPr="00F33674">
              <w:rPr>
                <w:rFonts w:ascii="Arial Narrow" w:hAnsi="Arial Narrow" w:cs="Arial"/>
                <w:sz w:val="20"/>
                <w:szCs w:val="20"/>
              </w:rPr>
              <w:fldChar w:fldCharType="end"/>
            </w:r>
            <w:r w:rsidRPr="00F33674">
              <w:rPr>
                <w:rFonts w:ascii="Arial Narrow" w:hAnsi="Arial Narrow" w:cs="Arial"/>
                <w:sz w:val="20"/>
                <w:szCs w:val="20"/>
              </w:rPr>
              <w:t>Dental</w:t>
            </w:r>
            <w:r w:rsidR="002C1329">
              <w:rPr>
                <w:rFonts w:ascii="Arial Narrow" w:hAnsi="Arial Narrow" w:cs="Arial"/>
                <w:sz w:val="20"/>
                <w:szCs w:val="20"/>
              </w:rPr>
              <w:t xml:space="preserve"> </w:t>
            </w:r>
            <w:r w:rsidRPr="00F33674">
              <w:rPr>
                <w:rFonts w:ascii="Arial Narrow" w:hAnsi="Arial Narrow" w:cs="Arial"/>
                <w:sz w:val="20"/>
                <w:szCs w:val="20"/>
              </w:rPr>
              <w:fldChar w:fldCharType="begin">
                <w:ffData>
                  <w:name w:val=""/>
                  <w:enabled/>
                  <w:calcOnExit w:val="0"/>
                  <w:checkBox>
                    <w:sizeAuto/>
                    <w:default w:val="1"/>
                  </w:checkBox>
                </w:ffData>
              </w:fldChar>
            </w:r>
            <w:r w:rsidRPr="00F33674">
              <w:rPr>
                <w:rFonts w:ascii="Arial Narrow" w:hAnsi="Arial Narrow" w:cs="Arial"/>
                <w:sz w:val="20"/>
                <w:szCs w:val="20"/>
              </w:rPr>
              <w:instrText xml:space="preserve"> FORMCHECKBOX </w:instrText>
            </w:r>
            <w:r w:rsidR="00233D13">
              <w:rPr>
                <w:rFonts w:ascii="Arial Narrow" w:hAnsi="Arial Narrow" w:cs="Arial"/>
                <w:sz w:val="20"/>
                <w:szCs w:val="20"/>
              </w:rPr>
            </w:r>
            <w:r w:rsidR="00233D13">
              <w:rPr>
                <w:rFonts w:ascii="Arial Narrow" w:hAnsi="Arial Narrow" w:cs="Arial"/>
                <w:sz w:val="20"/>
                <w:szCs w:val="20"/>
              </w:rPr>
              <w:fldChar w:fldCharType="separate"/>
            </w:r>
            <w:r w:rsidRPr="00F33674">
              <w:rPr>
                <w:rFonts w:ascii="Arial Narrow" w:hAnsi="Arial Narrow" w:cs="Arial"/>
                <w:sz w:val="20"/>
                <w:szCs w:val="20"/>
              </w:rPr>
              <w:fldChar w:fldCharType="end"/>
            </w:r>
            <w:r w:rsidRPr="00F33674">
              <w:rPr>
                <w:rFonts w:ascii="Arial Narrow" w:hAnsi="Arial Narrow" w:cs="Arial"/>
                <w:sz w:val="20"/>
                <w:szCs w:val="20"/>
              </w:rPr>
              <w:t>Medical Practitioners</w:t>
            </w:r>
            <w:r w:rsidR="002C1329">
              <w:rPr>
                <w:rFonts w:ascii="Arial Narrow" w:hAnsi="Arial Narrow" w:cs="Arial"/>
                <w:sz w:val="20"/>
                <w:szCs w:val="20"/>
              </w:rPr>
              <w:t xml:space="preserve"> </w:t>
            </w:r>
            <w:r w:rsidRPr="00F33674">
              <w:rPr>
                <w:rFonts w:ascii="Arial Narrow" w:hAnsi="Arial Narrow" w:cs="Arial"/>
                <w:sz w:val="20"/>
                <w:szCs w:val="20"/>
              </w:rPr>
              <w:fldChar w:fldCharType="begin">
                <w:ffData>
                  <w:name w:val="Check3"/>
                  <w:enabled/>
                  <w:calcOnExit w:val="0"/>
                  <w:checkBox>
                    <w:sizeAuto/>
                    <w:default w:val="1"/>
                  </w:checkBox>
                </w:ffData>
              </w:fldChar>
            </w:r>
            <w:r w:rsidRPr="00F33674">
              <w:rPr>
                <w:rFonts w:ascii="Arial Narrow" w:hAnsi="Arial Narrow" w:cs="Arial"/>
                <w:sz w:val="20"/>
                <w:szCs w:val="20"/>
              </w:rPr>
              <w:instrText xml:space="preserve"> FORMCHECKBOX </w:instrText>
            </w:r>
            <w:r w:rsidR="00233D13">
              <w:rPr>
                <w:rFonts w:ascii="Arial Narrow" w:hAnsi="Arial Narrow" w:cs="Arial"/>
                <w:sz w:val="20"/>
                <w:szCs w:val="20"/>
              </w:rPr>
            </w:r>
            <w:r w:rsidR="00233D13">
              <w:rPr>
                <w:rFonts w:ascii="Arial Narrow" w:hAnsi="Arial Narrow" w:cs="Arial"/>
                <w:sz w:val="20"/>
                <w:szCs w:val="20"/>
              </w:rPr>
              <w:fldChar w:fldCharType="separate"/>
            </w:r>
            <w:r w:rsidRPr="00F33674">
              <w:rPr>
                <w:rFonts w:ascii="Arial Narrow" w:hAnsi="Arial Narrow" w:cs="Arial"/>
                <w:sz w:val="20"/>
                <w:szCs w:val="20"/>
              </w:rPr>
              <w:fldChar w:fldCharType="end"/>
            </w:r>
            <w:r w:rsidRPr="00F33674">
              <w:rPr>
                <w:rFonts w:ascii="Arial Narrow" w:hAnsi="Arial Narrow" w:cs="Arial"/>
                <w:sz w:val="20"/>
                <w:szCs w:val="20"/>
              </w:rPr>
              <w:t>Nurse practitioners</w:t>
            </w:r>
            <w:r w:rsidR="002C1329">
              <w:rPr>
                <w:rFonts w:ascii="Arial Narrow" w:hAnsi="Arial Narrow" w:cs="Arial"/>
                <w:sz w:val="20"/>
                <w:szCs w:val="20"/>
              </w:rPr>
              <w:t xml:space="preserve"> </w:t>
            </w:r>
            <w:r w:rsidRPr="00F33674">
              <w:rPr>
                <w:rFonts w:ascii="Arial Narrow" w:hAnsi="Arial Narrow" w:cs="Arial"/>
                <w:sz w:val="20"/>
                <w:szCs w:val="20"/>
              </w:rPr>
              <w:fldChar w:fldCharType="begin">
                <w:ffData>
                  <w:name w:val=""/>
                  <w:enabled/>
                  <w:calcOnExit w:val="0"/>
                  <w:checkBox>
                    <w:sizeAuto/>
                    <w:default w:val="0"/>
                  </w:checkBox>
                </w:ffData>
              </w:fldChar>
            </w:r>
            <w:r w:rsidRPr="00F33674">
              <w:rPr>
                <w:rFonts w:ascii="Arial Narrow" w:hAnsi="Arial Narrow" w:cs="Arial"/>
                <w:sz w:val="20"/>
                <w:szCs w:val="20"/>
              </w:rPr>
              <w:instrText xml:space="preserve"> FORMCHECKBOX </w:instrText>
            </w:r>
            <w:r w:rsidR="00233D13">
              <w:rPr>
                <w:rFonts w:ascii="Arial Narrow" w:hAnsi="Arial Narrow" w:cs="Arial"/>
                <w:sz w:val="20"/>
                <w:szCs w:val="20"/>
              </w:rPr>
            </w:r>
            <w:r w:rsidR="00233D13">
              <w:rPr>
                <w:rFonts w:ascii="Arial Narrow" w:hAnsi="Arial Narrow" w:cs="Arial"/>
                <w:sz w:val="20"/>
                <w:szCs w:val="20"/>
              </w:rPr>
              <w:fldChar w:fldCharType="separate"/>
            </w:r>
            <w:r w:rsidRPr="00F33674">
              <w:rPr>
                <w:rFonts w:ascii="Arial Narrow" w:hAnsi="Arial Narrow" w:cs="Arial"/>
                <w:sz w:val="20"/>
                <w:szCs w:val="20"/>
              </w:rPr>
              <w:fldChar w:fldCharType="end"/>
            </w:r>
            <w:r w:rsidRPr="00F33674">
              <w:rPr>
                <w:rFonts w:ascii="Arial Narrow" w:hAnsi="Arial Narrow" w:cs="Arial"/>
                <w:sz w:val="20"/>
                <w:szCs w:val="20"/>
              </w:rPr>
              <w:t>Optometrists</w:t>
            </w:r>
          </w:p>
          <w:p w14:paraId="0A141673" w14:textId="77777777" w:rsidR="00F33674" w:rsidRPr="00F33674" w:rsidRDefault="00F33674" w:rsidP="00F33674">
            <w:pPr>
              <w:rPr>
                <w:rFonts w:ascii="Arial Narrow" w:hAnsi="Arial Narrow" w:cs="Arial"/>
                <w:sz w:val="20"/>
                <w:szCs w:val="20"/>
              </w:rPr>
            </w:pPr>
            <w:r w:rsidRPr="00F33674">
              <w:rPr>
                <w:rFonts w:ascii="Arial Narrow" w:hAnsi="Arial Narrow" w:cs="Arial"/>
                <w:sz w:val="20"/>
                <w:szCs w:val="20"/>
              </w:rPr>
              <w:fldChar w:fldCharType="begin">
                <w:ffData>
                  <w:name w:val="Check5"/>
                  <w:enabled/>
                  <w:calcOnExit w:val="0"/>
                  <w:checkBox>
                    <w:sizeAuto/>
                    <w:default w:val="0"/>
                  </w:checkBox>
                </w:ffData>
              </w:fldChar>
            </w:r>
            <w:r w:rsidRPr="00F33674">
              <w:rPr>
                <w:rFonts w:ascii="Arial Narrow" w:hAnsi="Arial Narrow" w:cs="Arial"/>
                <w:sz w:val="20"/>
                <w:szCs w:val="20"/>
              </w:rPr>
              <w:instrText xml:space="preserve"> FORMCHECKBOX </w:instrText>
            </w:r>
            <w:r w:rsidR="00233D13">
              <w:rPr>
                <w:rFonts w:ascii="Arial Narrow" w:hAnsi="Arial Narrow" w:cs="Arial"/>
                <w:sz w:val="20"/>
                <w:szCs w:val="20"/>
              </w:rPr>
            </w:r>
            <w:r w:rsidR="00233D13">
              <w:rPr>
                <w:rFonts w:ascii="Arial Narrow" w:hAnsi="Arial Narrow" w:cs="Arial"/>
                <w:sz w:val="20"/>
                <w:szCs w:val="20"/>
              </w:rPr>
              <w:fldChar w:fldCharType="separate"/>
            </w:r>
            <w:r w:rsidRPr="00F33674">
              <w:rPr>
                <w:rFonts w:ascii="Arial Narrow" w:hAnsi="Arial Narrow" w:cs="Arial"/>
                <w:sz w:val="20"/>
                <w:szCs w:val="20"/>
              </w:rPr>
              <w:fldChar w:fldCharType="end"/>
            </w:r>
            <w:r w:rsidRPr="00F33674">
              <w:rPr>
                <w:rFonts w:ascii="Arial Narrow" w:hAnsi="Arial Narrow" w:cs="Arial"/>
                <w:sz w:val="20"/>
                <w:szCs w:val="20"/>
              </w:rPr>
              <w:t>Midwives</w:t>
            </w:r>
          </w:p>
        </w:tc>
      </w:tr>
      <w:tr w:rsidR="00F33674" w:rsidRPr="00F33674" w14:paraId="13D8D676" w14:textId="77777777" w:rsidTr="00C21DFA">
        <w:trPr>
          <w:cantSplit/>
          <w:trHeight w:val="369"/>
        </w:trPr>
        <w:tc>
          <w:tcPr>
            <w:tcW w:w="3183" w:type="dxa"/>
            <w:tcBorders>
              <w:top w:val="single" w:sz="4" w:space="0" w:color="auto"/>
              <w:left w:val="single" w:sz="4" w:space="0" w:color="auto"/>
              <w:bottom w:val="single" w:sz="4" w:space="0" w:color="auto"/>
              <w:right w:val="single" w:sz="4" w:space="0" w:color="auto"/>
            </w:tcBorders>
          </w:tcPr>
          <w:p w14:paraId="0D99321E" w14:textId="77777777" w:rsidR="00F33674" w:rsidRPr="00F33674" w:rsidRDefault="00F33674" w:rsidP="00F33674">
            <w:pPr>
              <w:rPr>
                <w:rFonts w:ascii="Arial Narrow" w:hAnsi="Arial Narrow" w:cs="Arial"/>
                <w:b/>
                <w:sz w:val="20"/>
                <w:szCs w:val="20"/>
              </w:rPr>
            </w:pPr>
            <w:r w:rsidRPr="00F33674">
              <w:rPr>
                <w:rFonts w:ascii="Arial Narrow" w:hAnsi="Arial Narrow" w:cs="Arial"/>
                <w:b/>
                <w:sz w:val="20"/>
                <w:szCs w:val="20"/>
              </w:rPr>
              <w:t>PBS indication:</w:t>
            </w:r>
          </w:p>
        </w:tc>
        <w:tc>
          <w:tcPr>
            <w:tcW w:w="6031" w:type="dxa"/>
            <w:tcBorders>
              <w:top w:val="single" w:sz="4" w:space="0" w:color="auto"/>
              <w:left w:val="single" w:sz="4" w:space="0" w:color="auto"/>
              <w:bottom w:val="single" w:sz="4" w:space="0" w:color="auto"/>
              <w:right w:val="single" w:sz="4" w:space="0" w:color="auto"/>
            </w:tcBorders>
          </w:tcPr>
          <w:p w14:paraId="49246238" w14:textId="77777777" w:rsidR="00F33674" w:rsidRPr="00F33674" w:rsidRDefault="00F33674" w:rsidP="00F33674">
            <w:pPr>
              <w:rPr>
                <w:rFonts w:ascii="Arial Narrow" w:hAnsi="Arial Narrow" w:cs="Arial"/>
                <w:sz w:val="20"/>
                <w:szCs w:val="20"/>
              </w:rPr>
            </w:pPr>
            <w:r w:rsidRPr="00F33674">
              <w:rPr>
                <w:rFonts w:ascii="Arial Narrow" w:hAnsi="Arial Narrow" w:cs="Arial"/>
                <w:sz w:val="20"/>
                <w:szCs w:val="20"/>
              </w:rPr>
              <w:t>[9729] Chronic severe disabling pain</w:t>
            </w:r>
          </w:p>
        </w:tc>
      </w:tr>
      <w:tr w:rsidR="00F33674" w:rsidRPr="00F33674" w14:paraId="4DB69289" w14:textId="77777777" w:rsidTr="00C21DFA">
        <w:trPr>
          <w:cantSplit/>
          <w:trHeight w:val="360"/>
        </w:trPr>
        <w:tc>
          <w:tcPr>
            <w:tcW w:w="3183" w:type="dxa"/>
            <w:tcBorders>
              <w:top w:val="single" w:sz="4" w:space="0" w:color="auto"/>
              <w:left w:val="single" w:sz="4" w:space="0" w:color="auto"/>
              <w:bottom w:val="single" w:sz="4" w:space="0" w:color="auto"/>
              <w:right w:val="single" w:sz="4" w:space="0" w:color="auto"/>
            </w:tcBorders>
          </w:tcPr>
          <w:p w14:paraId="00A837BA" w14:textId="77777777" w:rsidR="00F33674" w:rsidRPr="00F33674" w:rsidRDefault="00F33674" w:rsidP="00F33674">
            <w:pPr>
              <w:rPr>
                <w:rFonts w:ascii="Arial Narrow" w:hAnsi="Arial Narrow" w:cs="Arial"/>
                <w:b/>
                <w:sz w:val="20"/>
                <w:szCs w:val="20"/>
              </w:rPr>
            </w:pPr>
            <w:r w:rsidRPr="00F33674">
              <w:rPr>
                <w:rFonts w:ascii="Arial Narrow" w:hAnsi="Arial Narrow" w:cs="Arial"/>
                <w:b/>
                <w:sz w:val="20"/>
                <w:szCs w:val="20"/>
              </w:rPr>
              <w:t>Restriction Level / Method:</w:t>
            </w:r>
          </w:p>
          <w:p w14:paraId="506E794A" w14:textId="77777777" w:rsidR="00F33674" w:rsidRPr="00F33674" w:rsidRDefault="00F33674" w:rsidP="00F33674">
            <w:pPr>
              <w:rPr>
                <w:rFonts w:ascii="Arial Narrow" w:hAnsi="Arial Narrow" w:cs="Arial"/>
                <w:i/>
                <w:sz w:val="20"/>
                <w:szCs w:val="20"/>
              </w:rPr>
            </w:pPr>
          </w:p>
          <w:p w14:paraId="392FF7DB" w14:textId="77777777" w:rsidR="00F33674" w:rsidRPr="00F33674" w:rsidRDefault="00F33674" w:rsidP="00F33674">
            <w:pPr>
              <w:rPr>
                <w:rFonts w:ascii="Arial Narrow" w:hAnsi="Arial Narrow" w:cs="Arial"/>
                <w:i/>
                <w:sz w:val="20"/>
                <w:szCs w:val="20"/>
              </w:rPr>
            </w:pPr>
          </w:p>
          <w:p w14:paraId="0044680D" w14:textId="77777777" w:rsidR="00F33674" w:rsidRPr="00F33674" w:rsidRDefault="00F33674" w:rsidP="00F33674">
            <w:pPr>
              <w:rPr>
                <w:rFonts w:ascii="Arial Narrow" w:hAnsi="Arial Narrow" w:cs="Arial"/>
                <w:i/>
                <w:sz w:val="20"/>
                <w:szCs w:val="20"/>
              </w:rPr>
            </w:pPr>
          </w:p>
        </w:tc>
        <w:tc>
          <w:tcPr>
            <w:tcW w:w="6031" w:type="dxa"/>
            <w:tcBorders>
              <w:top w:val="single" w:sz="4" w:space="0" w:color="auto"/>
              <w:left w:val="single" w:sz="4" w:space="0" w:color="auto"/>
              <w:bottom w:val="single" w:sz="4" w:space="0" w:color="auto"/>
              <w:right w:val="single" w:sz="4" w:space="0" w:color="auto"/>
            </w:tcBorders>
          </w:tcPr>
          <w:p w14:paraId="5B5865E1" w14:textId="77777777" w:rsidR="00F33674" w:rsidRPr="00F33674" w:rsidRDefault="00F33674" w:rsidP="00F33674">
            <w:pPr>
              <w:rPr>
                <w:rFonts w:ascii="Arial Narrow" w:hAnsi="Arial Narrow" w:cs="Arial"/>
                <w:sz w:val="20"/>
                <w:szCs w:val="20"/>
              </w:rPr>
            </w:pPr>
            <w:r w:rsidRPr="00F33674">
              <w:rPr>
                <w:rFonts w:ascii="Arial Narrow" w:hAnsi="Arial Narrow" w:cs="Arial"/>
                <w:sz w:val="20"/>
                <w:szCs w:val="20"/>
              </w:rPr>
              <w:fldChar w:fldCharType="begin">
                <w:ffData>
                  <w:name w:val=""/>
                  <w:enabled/>
                  <w:calcOnExit w:val="0"/>
                  <w:checkBox>
                    <w:sizeAuto/>
                    <w:default w:val="0"/>
                  </w:checkBox>
                </w:ffData>
              </w:fldChar>
            </w:r>
            <w:r w:rsidRPr="00F33674">
              <w:rPr>
                <w:rFonts w:ascii="Arial Narrow" w:hAnsi="Arial Narrow" w:cs="Arial"/>
                <w:sz w:val="20"/>
                <w:szCs w:val="20"/>
              </w:rPr>
              <w:instrText xml:space="preserve"> FORMCHECKBOX </w:instrText>
            </w:r>
            <w:r w:rsidR="00233D13">
              <w:rPr>
                <w:rFonts w:ascii="Arial Narrow" w:hAnsi="Arial Narrow" w:cs="Arial"/>
                <w:sz w:val="20"/>
                <w:szCs w:val="20"/>
              </w:rPr>
            </w:r>
            <w:r w:rsidR="00233D13">
              <w:rPr>
                <w:rFonts w:ascii="Arial Narrow" w:hAnsi="Arial Narrow" w:cs="Arial"/>
                <w:sz w:val="20"/>
                <w:szCs w:val="20"/>
              </w:rPr>
              <w:fldChar w:fldCharType="separate"/>
            </w:r>
            <w:r w:rsidRPr="00F33674">
              <w:rPr>
                <w:rFonts w:ascii="Arial Narrow" w:hAnsi="Arial Narrow" w:cs="Arial"/>
                <w:sz w:val="20"/>
                <w:szCs w:val="20"/>
              </w:rPr>
              <w:fldChar w:fldCharType="end"/>
            </w:r>
            <w:r w:rsidRPr="00F33674">
              <w:rPr>
                <w:rFonts w:ascii="Arial Narrow" w:hAnsi="Arial Narrow" w:cs="Arial"/>
                <w:sz w:val="20"/>
                <w:szCs w:val="20"/>
              </w:rPr>
              <w:t>Unrestricted benefit</w:t>
            </w:r>
          </w:p>
          <w:p w14:paraId="69495A8E" w14:textId="77777777" w:rsidR="00F33674" w:rsidRPr="00F33674" w:rsidRDefault="00F33674" w:rsidP="00F33674">
            <w:pPr>
              <w:rPr>
                <w:rFonts w:ascii="Arial Narrow" w:hAnsi="Arial Narrow" w:cs="Arial"/>
                <w:i/>
                <w:sz w:val="20"/>
                <w:szCs w:val="20"/>
              </w:rPr>
            </w:pPr>
            <w:r w:rsidRPr="00F33674">
              <w:rPr>
                <w:rFonts w:ascii="Arial Narrow" w:hAnsi="Arial Narrow" w:cs="Arial"/>
                <w:i/>
                <w:sz w:val="20"/>
                <w:szCs w:val="20"/>
              </w:rPr>
              <w:fldChar w:fldCharType="begin">
                <w:ffData>
                  <w:name w:val=""/>
                  <w:enabled/>
                  <w:calcOnExit w:val="0"/>
                  <w:checkBox>
                    <w:sizeAuto/>
                    <w:default w:val="0"/>
                  </w:checkBox>
                </w:ffData>
              </w:fldChar>
            </w:r>
            <w:r w:rsidRPr="00F33674">
              <w:rPr>
                <w:rFonts w:ascii="Arial Narrow" w:hAnsi="Arial Narrow" w:cs="Arial"/>
                <w:i/>
                <w:sz w:val="20"/>
                <w:szCs w:val="20"/>
              </w:rPr>
              <w:instrText xml:space="preserve"> FORMCHECKBOX </w:instrText>
            </w:r>
            <w:r w:rsidR="00233D13">
              <w:rPr>
                <w:rFonts w:ascii="Arial Narrow" w:hAnsi="Arial Narrow" w:cs="Arial"/>
                <w:i/>
                <w:sz w:val="20"/>
                <w:szCs w:val="20"/>
              </w:rPr>
            </w:r>
            <w:r w:rsidR="00233D13">
              <w:rPr>
                <w:rFonts w:ascii="Arial Narrow" w:hAnsi="Arial Narrow" w:cs="Arial"/>
                <w:i/>
                <w:sz w:val="20"/>
                <w:szCs w:val="20"/>
              </w:rPr>
              <w:fldChar w:fldCharType="separate"/>
            </w:r>
            <w:r w:rsidRPr="00F33674">
              <w:rPr>
                <w:rFonts w:ascii="Arial Narrow" w:hAnsi="Arial Narrow" w:cs="Arial"/>
                <w:i/>
                <w:sz w:val="20"/>
                <w:szCs w:val="20"/>
              </w:rPr>
              <w:fldChar w:fldCharType="end"/>
            </w:r>
            <w:r w:rsidRPr="00F33674">
              <w:rPr>
                <w:rFonts w:ascii="Arial Narrow" w:hAnsi="Arial Narrow" w:cs="Arial"/>
                <w:sz w:val="20"/>
                <w:szCs w:val="20"/>
              </w:rPr>
              <w:t>Restricted benefit</w:t>
            </w:r>
          </w:p>
          <w:p w14:paraId="3E23DE71" w14:textId="77777777" w:rsidR="00F33674" w:rsidRPr="00F33674" w:rsidRDefault="00F33674" w:rsidP="00F33674">
            <w:pPr>
              <w:rPr>
                <w:rFonts w:ascii="Arial Narrow" w:hAnsi="Arial Narrow" w:cs="Arial"/>
                <w:sz w:val="20"/>
                <w:szCs w:val="20"/>
              </w:rPr>
            </w:pPr>
            <w:r w:rsidRPr="00F33674">
              <w:rPr>
                <w:rFonts w:ascii="Arial Narrow" w:hAnsi="Arial Narrow" w:cs="Arial"/>
                <w:sz w:val="20"/>
                <w:szCs w:val="20"/>
              </w:rPr>
              <w:fldChar w:fldCharType="begin">
                <w:ffData>
                  <w:name w:val=""/>
                  <w:enabled/>
                  <w:calcOnExit w:val="0"/>
                  <w:checkBox>
                    <w:sizeAuto/>
                    <w:default w:val="0"/>
                  </w:checkBox>
                </w:ffData>
              </w:fldChar>
            </w:r>
            <w:r w:rsidRPr="00F33674">
              <w:rPr>
                <w:rFonts w:ascii="Arial Narrow" w:hAnsi="Arial Narrow" w:cs="Arial"/>
                <w:sz w:val="20"/>
                <w:szCs w:val="20"/>
              </w:rPr>
              <w:instrText xml:space="preserve"> FORMCHECKBOX </w:instrText>
            </w:r>
            <w:r w:rsidR="00233D13">
              <w:rPr>
                <w:rFonts w:ascii="Arial Narrow" w:hAnsi="Arial Narrow" w:cs="Arial"/>
                <w:sz w:val="20"/>
                <w:szCs w:val="20"/>
              </w:rPr>
            </w:r>
            <w:r w:rsidR="00233D13">
              <w:rPr>
                <w:rFonts w:ascii="Arial Narrow" w:hAnsi="Arial Narrow" w:cs="Arial"/>
                <w:sz w:val="20"/>
                <w:szCs w:val="20"/>
              </w:rPr>
              <w:fldChar w:fldCharType="separate"/>
            </w:r>
            <w:r w:rsidRPr="00F33674">
              <w:rPr>
                <w:rFonts w:ascii="Arial Narrow" w:hAnsi="Arial Narrow" w:cs="Arial"/>
                <w:sz w:val="20"/>
                <w:szCs w:val="20"/>
              </w:rPr>
              <w:fldChar w:fldCharType="end"/>
            </w:r>
            <w:r w:rsidRPr="00F33674">
              <w:rPr>
                <w:rFonts w:ascii="Arial Narrow" w:hAnsi="Arial Narrow" w:cs="Arial"/>
                <w:sz w:val="20"/>
                <w:szCs w:val="20"/>
              </w:rPr>
              <w:t>Authority Required – In Writing</w:t>
            </w:r>
          </w:p>
          <w:p w14:paraId="01195B43" w14:textId="77777777" w:rsidR="00F33674" w:rsidRPr="00F33674" w:rsidRDefault="00F33674" w:rsidP="00F33674">
            <w:pPr>
              <w:rPr>
                <w:rFonts w:ascii="Arial Narrow" w:hAnsi="Arial Narrow" w:cs="Arial"/>
                <w:sz w:val="20"/>
                <w:szCs w:val="20"/>
              </w:rPr>
            </w:pPr>
            <w:r w:rsidRPr="00F33674">
              <w:rPr>
                <w:rFonts w:ascii="Arial Narrow" w:hAnsi="Arial Narrow" w:cs="Arial"/>
                <w:sz w:val="20"/>
                <w:szCs w:val="20"/>
              </w:rPr>
              <w:fldChar w:fldCharType="begin">
                <w:ffData>
                  <w:name w:val="Check3"/>
                  <w:enabled/>
                  <w:calcOnExit w:val="0"/>
                  <w:checkBox>
                    <w:sizeAuto/>
                    <w:default w:val="0"/>
                  </w:checkBox>
                </w:ffData>
              </w:fldChar>
            </w:r>
            <w:r w:rsidRPr="00F33674">
              <w:rPr>
                <w:rFonts w:ascii="Arial Narrow" w:hAnsi="Arial Narrow" w:cs="Arial"/>
                <w:sz w:val="20"/>
                <w:szCs w:val="20"/>
              </w:rPr>
              <w:instrText xml:space="preserve"> FORMCHECKBOX </w:instrText>
            </w:r>
            <w:r w:rsidR="00233D13">
              <w:rPr>
                <w:rFonts w:ascii="Arial Narrow" w:hAnsi="Arial Narrow" w:cs="Arial"/>
                <w:sz w:val="20"/>
                <w:szCs w:val="20"/>
              </w:rPr>
            </w:r>
            <w:r w:rsidR="00233D13">
              <w:rPr>
                <w:rFonts w:ascii="Arial Narrow" w:hAnsi="Arial Narrow" w:cs="Arial"/>
                <w:sz w:val="20"/>
                <w:szCs w:val="20"/>
              </w:rPr>
              <w:fldChar w:fldCharType="separate"/>
            </w:r>
            <w:r w:rsidRPr="00F33674">
              <w:rPr>
                <w:rFonts w:ascii="Arial Narrow" w:hAnsi="Arial Narrow" w:cs="Arial"/>
                <w:sz w:val="20"/>
                <w:szCs w:val="20"/>
              </w:rPr>
              <w:fldChar w:fldCharType="end"/>
            </w:r>
            <w:r w:rsidRPr="00F33674">
              <w:rPr>
                <w:rFonts w:ascii="Arial Narrow" w:hAnsi="Arial Narrow" w:cs="Arial"/>
                <w:sz w:val="20"/>
                <w:szCs w:val="20"/>
              </w:rPr>
              <w:t>Authority Required – Telephone/Electronic/Emergency</w:t>
            </w:r>
          </w:p>
          <w:p w14:paraId="44CED462" w14:textId="77777777" w:rsidR="00F33674" w:rsidRPr="00F33674" w:rsidRDefault="00F33674" w:rsidP="00F33674">
            <w:pPr>
              <w:rPr>
                <w:rFonts w:ascii="Arial Narrow" w:hAnsi="Arial Narrow" w:cs="Arial"/>
                <w:sz w:val="20"/>
                <w:szCs w:val="20"/>
              </w:rPr>
            </w:pPr>
            <w:r w:rsidRPr="00F33674">
              <w:rPr>
                <w:rFonts w:ascii="Arial Narrow" w:hAnsi="Arial Narrow" w:cs="Arial"/>
                <w:sz w:val="20"/>
                <w:szCs w:val="20"/>
              </w:rPr>
              <w:fldChar w:fldCharType="begin">
                <w:ffData>
                  <w:name w:val="Check5"/>
                  <w:enabled/>
                  <w:calcOnExit w:val="0"/>
                  <w:checkBox>
                    <w:sizeAuto/>
                    <w:default w:val="1"/>
                  </w:checkBox>
                </w:ffData>
              </w:fldChar>
            </w:r>
            <w:r w:rsidRPr="00F33674">
              <w:rPr>
                <w:rFonts w:ascii="Arial Narrow" w:hAnsi="Arial Narrow" w:cs="Arial"/>
                <w:sz w:val="20"/>
                <w:szCs w:val="20"/>
              </w:rPr>
              <w:instrText xml:space="preserve"> FORMCHECKBOX </w:instrText>
            </w:r>
            <w:r w:rsidR="00233D13">
              <w:rPr>
                <w:rFonts w:ascii="Arial Narrow" w:hAnsi="Arial Narrow" w:cs="Arial"/>
                <w:sz w:val="20"/>
                <w:szCs w:val="20"/>
              </w:rPr>
            </w:r>
            <w:r w:rsidR="00233D13">
              <w:rPr>
                <w:rFonts w:ascii="Arial Narrow" w:hAnsi="Arial Narrow" w:cs="Arial"/>
                <w:sz w:val="20"/>
                <w:szCs w:val="20"/>
              </w:rPr>
              <w:fldChar w:fldCharType="separate"/>
            </w:r>
            <w:r w:rsidRPr="00F33674">
              <w:rPr>
                <w:rFonts w:ascii="Arial Narrow" w:hAnsi="Arial Narrow" w:cs="Arial"/>
                <w:sz w:val="20"/>
                <w:szCs w:val="20"/>
              </w:rPr>
              <w:fldChar w:fldCharType="end"/>
            </w:r>
            <w:r w:rsidRPr="00F33674">
              <w:rPr>
                <w:rFonts w:ascii="Arial Narrow" w:hAnsi="Arial Narrow" w:cs="Arial"/>
                <w:sz w:val="20"/>
                <w:szCs w:val="20"/>
              </w:rPr>
              <w:t>Streamlined</w:t>
            </w:r>
          </w:p>
        </w:tc>
      </w:tr>
      <w:tr w:rsidR="00265869" w:rsidRPr="00F33674" w14:paraId="7326BE33" w14:textId="77777777" w:rsidTr="00C21DFA">
        <w:trPr>
          <w:cantSplit/>
          <w:trHeight w:val="360"/>
        </w:trPr>
        <w:tc>
          <w:tcPr>
            <w:tcW w:w="3183" w:type="dxa"/>
            <w:tcBorders>
              <w:top w:val="single" w:sz="4" w:space="0" w:color="auto"/>
              <w:left w:val="single" w:sz="4" w:space="0" w:color="auto"/>
              <w:bottom w:val="single" w:sz="4" w:space="0" w:color="auto"/>
              <w:right w:val="single" w:sz="4" w:space="0" w:color="auto"/>
            </w:tcBorders>
          </w:tcPr>
          <w:p w14:paraId="4AB04F10" w14:textId="305B997F" w:rsidR="00265869" w:rsidRPr="00F33674" w:rsidRDefault="00265869" w:rsidP="00265869">
            <w:pPr>
              <w:rPr>
                <w:rFonts w:ascii="Arial Narrow" w:hAnsi="Arial Narrow" w:cs="Arial"/>
                <w:b/>
                <w:sz w:val="20"/>
                <w:szCs w:val="20"/>
              </w:rPr>
            </w:pPr>
            <w:r>
              <w:rPr>
                <w:rFonts w:ascii="Arial Narrow" w:hAnsi="Arial Narrow" w:cs="Arial"/>
                <w:b/>
                <w:sz w:val="20"/>
                <w:szCs w:val="20"/>
              </w:rPr>
              <w:t>Treatment phase:</w:t>
            </w:r>
          </w:p>
        </w:tc>
        <w:tc>
          <w:tcPr>
            <w:tcW w:w="6031" w:type="dxa"/>
            <w:tcBorders>
              <w:top w:val="single" w:sz="4" w:space="0" w:color="auto"/>
              <w:left w:val="single" w:sz="4" w:space="0" w:color="auto"/>
              <w:bottom w:val="single" w:sz="4" w:space="0" w:color="auto"/>
              <w:right w:val="single" w:sz="4" w:space="0" w:color="auto"/>
            </w:tcBorders>
          </w:tcPr>
          <w:p w14:paraId="68D5F50C" w14:textId="4659DEDE" w:rsidR="00265869" w:rsidRPr="00F33674" w:rsidRDefault="00265869" w:rsidP="00265869">
            <w:pPr>
              <w:jc w:val="left"/>
              <w:rPr>
                <w:rFonts w:ascii="Arial Narrow" w:hAnsi="Arial Narrow" w:cs="Arial"/>
                <w:sz w:val="20"/>
                <w:szCs w:val="20"/>
              </w:rPr>
            </w:pPr>
            <w:r>
              <w:rPr>
                <w:rFonts w:ascii="Arial Narrow" w:hAnsi="Arial Narrow" w:cs="Arial"/>
                <w:sz w:val="20"/>
                <w:szCs w:val="20"/>
              </w:rPr>
              <w:t xml:space="preserve">Initial PBS treatment after 1 June 2020 where patient </w:t>
            </w:r>
            <w:proofErr w:type="gramStart"/>
            <w:r>
              <w:rPr>
                <w:rFonts w:ascii="Arial Narrow" w:hAnsi="Arial Narrow" w:cs="Arial"/>
                <w:sz w:val="20"/>
                <w:szCs w:val="20"/>
              </w:rPr>
              <w:t>has been treated</w:t>
            </w:r>
            <w:proofErr w:type="gramEnd"/>
            <w:r>
              <w:rPr>
                <w:rFonts w:ascii="Arial Narrow" w:hAnsi="Arial Narrow" w:cs="Arial"/>
                <w:sz w:val="20"/>
                <w:szCs w:val="20"/>
              </w:rPr>
              <w:t xml:space="preserve"> with opioids for less than 12 months.</w:t>
            </w:r>
          </w:p>
        </w:tc>
      </w:tr>
      <w:tr w:rsidR="00265869" w:rsidRPr="00F33674" w14:paraId="1D068FCC" w14:textId="77777777" w:rsidTr="00C21DFA">
        <w:trPr>
          <w:cantSplit/>
          <w:trHeight w:val="360"/>
        </w:trPr>
        <w:tc>
          <w:tcPr>
            <w:tcW w:w="3183" w:type="dxa"/>
            <w:tcBorders>
              <w:top w:val="single" w:sz="4" w:space="0" w:color="auto"/>
              <w:left w:val="single" w:sz="4" w:space="0" w:color="auto"/>
              <w:bottom w:val="single" w:sz="4" w:space="0" w:color="auto"/>
              <w:right w:val="single" w:sz="4" w:space="0" w:color="auto"/>
            </w:tcBorders>
          </w:tcPr>
          <w:p w14:paraId="70207C64" w14:textId="77777777" w:rsidR="00265869" w:rsidRPr="00F33674" w:rsidRDefault="00265869" w:rsidP="00265869">
            <w:pPr>
              <w:rPr>
                <w:rFonts w:ascii="Arial Narrow" w:hAnsi="Arial Narrow" w:cs="Arial"/>
                <w:b/>
                <w:sz w:val="20"/>
                <w:szCs w:val="20"/>
              </w:rPr>
            </w:pPr>
            <w:r w:rsidRPr="00F33674">
              <w:rPr>
                <w:rFonts w:ascii="Arial Narrow" w:hAnsi="Arial Narrow" w:cs="Arial"/>
                <w:b/>
                <w:sz w:val="20"/>
                <w:szCs w:val="20"/>
              </w:rPr>
              <w:t>Clinical criteria:</w:t>
            </w:r>
          </w:p>
        </w:tc>
        <w:tc>
          <w:tcPr>
            <w:tcW w:w="6031" w:type="dxa"/>
            <w:tcBorders>
              <w:top w:val="single" w:sz="4" w:space="0" w:color="auto"/>
              <w:left w:val="single" w:sz="4" w:space="0" w:color="auto"/>
              <w:bottom w:val="single" w:sz="4" w:space="0" w:color="auto"/>
              <w:right w:val="single" w:sz="4" w:space="0" w:color="auto"/>
            </w:tcBorders>
          </w:tcPr>
          <w:p w14:paraId="2950F460" w14:textId="6FDB489A" w:rsidR="00265869" w:rsidRPr="00F33674" w:rsidRDefault="00265869" w:rsidP="00265869">
            <w:pPr>
              <w:jc w:val="left"/>
              <w:rPr>
                <w:rFonts w:ascii="Arial Narrow" w:hAnsi="Arial Narrow" w:cs="Arial"/>
                <w:sz w:val="20"/>
                <w:szCs w:val="20"/>
              </w:rPr>
            </w:pPr>
            <w:r w:rsidRPr="00F33674">
              <w:rPr>
                <w:rFonts w:ascii="Arial Narrow" w:hAnsi="Arial Narrow" w:cs="Arial"/>
                <w:sz w:val="20"/>
                <w:szCs w:val="20"/>
              </w:rPr>
              <w:t>[new] The condition must require daily, continuous, long term treatment</w:t>
            </w:r>
          </w:p>
          <w:p w14:paraId="21BBDE05" w14:textId="77777777" w:rsidR="00265869" w:rsidRPr="00F33674" w:rsidRDefault="00265869" w:rsidP="00265869">
            <w:pPr>
              <w:jc w:val="left"/>
              <w:rPr>
                <w:rFonts w:ascii="Arial Narrow" w:hAnsi="Arial Narrow" w:cs="Arial"/>
                <w:sz w:val="20"/>
                <w:szCs w:val="20"/>
              </w:rPr>
            </w:pPr>
          </w:p>
          <w:p w14:paraId="3F4122CF" w14:textId="77777777" w:rsidR="00265869" w:rsidRPr="00F33674" w:rsidRDefault="00265869" w:rsidP="00265869">
            <w:pPr>
              <w:jc w:val="left"/>
              <w:rPr>
                <w:rFonts w:ascii="Arial Narrow" w:hAnsi="Arial Narrow" w:cs="Arial"/>
                <w:sz w:val="20"/>
                <w:szCs w:val="20"/>
              </w:rPr>
            </w:pPr>
            <w:r w:rsidRPr="00F33674">
              <w:rPr>
                <w:rFonts w:ascii="Arial Narrow" w:hAnsi="Arial Narrow" w:cs="Arial"/>
                <w:sz w:val="20"/>
                <w:szCs w:val="20"/>
              </w:rPr>
              <w:t>AND</w:t>
            </w:r>
          </w:p>
          <w:p w14:paraId="40E1337E" w14:textId="77777777" w:rsidR="00265869" w:rsidRPr="00F33674" w:rsidRDefault="00265869" w:rsidP="00265869">
            <w:pPr>
              <w:jc w:val="left"/>
              <w:rPr>
                <w:rFonts w:ascii="Arial Narrow" w:hAnsi="Arial Narrow" w:cs="Arial"/>
                <w:sz w:val="20"/>
                <w:szCs w:val="20"/>
              </w:rPr>
            </w:pPr>
          </w:p>
          <w:p w14:paraId="1A814FE1" w14:textId="77777777" w:rsidR="00265869" w:rsidRPr="00F33674" w:rsidRDefault="00265869" w:rsidP="00265869">
            <w:pPr>
              <w:jc w:val="left"/>
              <w:rPr>
                <w:rFonts w:ascii="Arial Narrow" w:hAnsi="Arial Narrow" w:cs="Arial"/>
                <w:sz w:val="20"/>
                <w:szCs w:val="20"/>
              </w:rPr>
            </w:pPr>
            <w:r w:rsidRPr="00F33674">
              <w:rPr>
                <w:rFonts w:ascii="Arial Narrow" w:hAnsi="Arial Narrow" w:cs="Arial"/>
                <w:sz w:val="20"/>
                <w:szCs w:val="20"/>
              </w:rPr>
              <w:t>[new] Patient must not be opioid naïve</w:t>
            </w:r>
          </w:p>
          <w:p w14:paraId="6DE21BD0" w14:textId="77777777" w:rsidR="00265869" w:rsidRPr="00F33674" w:rsidRDefault="00265869" w:rsidP="00265869">
            <w:pPr>
              <w:jc w:val="left"/>
              <w:rPr>
                <w:rFonts w:ascii="Arial Narrow" w:hAnsi="Arial Narrow" w:cs="Arial"/>
                <w:sz w:val="20"/>
                <w:szCs w:val="20"/>
              </w:rPr>
            </w:pPr>
          </w:p>
          <w:p w14:paraId="1651F9CB" w14:textId="77777777" w:rsidR="00265869" w:rsidRPr="00F33674" w:rsidRDefault="00265869" w:rsidP="00265869">
            <w:pPr>
              <w:jc w:val="left"/>
              <w:rPr>
                <w:rFonts w:ascii="Arial Narrow" w:hAnsi="Arial Narrow" w:cs="Arial"/>
                <w:sz w:val="20"/>
                <w:szCs w:val="20"/>
              </w:rPr>
            </w:pPr>
            <w:r w:rsidRPr="00F33674">
              <w:rPr>
                <w:rFonts w:ascii="Arial Narrow" w:hAnsi="Arial Narrow" w:cs="Arial"/>
                <w:sz w:val="20"/>
                <w:szCs w:val="20"/>
              </w:rPr>
              <w:t>AND</w:t>
            </w:r>
          </w:p>
          <w:p w14:paraId="61E8A4B4" w14:textId="77777777" w:rsidR="00265869" w:rsidRPr="00F33674" w:rsidRDefault="00265869" w:rsidP="00265869">
            <w:pPr>
              <w:jc w:val="left"/>
              <w:rPr>
                <w:rFonts w:ascii="Arial Narrow" w:hAnsi="Arial Narrow" w:cs="Arial"/>
                <w:sz w:val="20"/>
                <w:szCs w:val="20"/>
              </w:rPr>
            </w:pPr>
          </w:p>
          <w:p w14:paraId="350383EE" w14:textId="4A7D36C1" w:rsidR="00265869" w:rsidRPr="00F33674" w:rsidRDefault="00265869" w:rsidP="00265869">
            <w:pPr>
              <w:jc w:val="left"/>
              <w:rPr>
                <w:rFonts w:ascii="Arial Narrow" w:hAnsi="Arial Narrow" w:cs="Arial"/>
                <w:sz w:val="20"/>
                <w:szCs w:val="20"/>
              </w:rPr>
            </w:pPr>
            <w:r w:rsidRPr="00F33674">
              <w:rPr>
                <w:rFonts w:ascii="Arial Narrow" w:hAnsi="Arial Narrow" w:cs="Arial"/>
                <w:sz w:val="20"/>
                <w:szCs w:val="20"/>
              </w:rPr>
              <w:t xml:space="preserve">[18096] Patient must have </w:t>
            </w:r>
            <w:r>
              <w:rPr>
                <w:rFonts w:ascii="Arial Narrow" w:hAnsi="Arial Narrow" w:cs="Arial"/>
                <w:sz w:val="20"/>
                <w:szCs w:val="20"/>
              </w:rPr>
              <w:t>cancer pain</w:t>
            </w:r>
          </w:p>
          <w:p w14:paraId="62E90292" w14:textId="77777777" w:rsidR="00265869" w:rsidRPr="00F33674" w:rsidRDefault="00265869" w:rsidP="00265869">
            <w:pPr>
              <w:jc w:val="left"/>
              <w:rPr>
                <w:rFonts w:ascii="Arial Narrow" w:hAnsi="Arial Narrow" w:cs="Arial"/>
                <w:sz w:val="20"/>
                <w:szCs w:val="20"/>
              </w:rPr>
            </w:pPr>
            <w:r w:rsidRPr="00F33674">
              <w:rPr>
                <w:rFonts w:ascii="Arial Narrow" w:hAnsi="Arial Narrow" w:cs="Arial"/>
                <w:sz w:val="20"/>
                <w:szCs w:val="20"/>
              </w:rPr>
              <w:t>OR</w:t>
            </w:r>
          </w:p>
          <w:p w14:paraId="20149553" w14:textId="7DBEF3A1" w:rsidR="00265869" w:rsidRPr="00F33674" w:rsidRDefault="00265869" w:rsidP="00265869">
            <w:pPr>
              <w:jc w:val="left"/>
              <w:rPr>
                <w:rFonts w:ascii="Arial Narrow" w:hAnsi="Arial Narrow" w:cs="Arial"/>
                <w:sz w:val="20"/>
                <w:szCs w:val="20"/>
              </w:rPr>
            </w:pPr>
            <w:r w:rsidRPr="00F33674">
              <w:rPr>
                <w:rFonts w:ascii="Arial Narrow" w:hAnsi="Arial Narrow" w:cs="Arial"/>
                <w:sz w:val="20"/>
                <w:szCs w:val="20"/>
              </w:rPr>
              <w:t xml:space="preserve">[new] Patient must have </w:t>
            </w:r>
            <w:r>
              <w:rPr>
                <w:rFonts w:ascii="Arial Narrow" w:hAnsi="Arial Narrow" w:cs="Arial"/>
                <w:sz w:val="20"/>
                <w:szCs w:val="20"/>
              </w:rPr>
              <w:t>had or would have</w:t>
            </w:r>
            <w:r w:rsidRPr="00F33674">
              <w:rPr>
                <w:rFonts w:ascii="Arial Narrow" w:hAnsi="Arial Narrow" w:cs="Arial"/>
                <w:sz w:val="20"/>
                <w:szCs w:val="20"/>
              </w:rPr>
              <w:t xml:space="preserve"> </w:t>
            </w:r>
            <w:r>
              <w:rPr>
                <w:rFonts w:ascii="Arial Narrow" w:hAnsi="Arial Narrow" w:cs="Arial"/>
                <w:sz w:val="20"/>
                <w:szCs w:val="20"/>
              </w:rPr>
              <w:t>inadequate pain management</w:t>
            </w:r>
            <w:r w:rsidRPr="00F33674">
              <w:rPr>
                <w:rFonts w:ascii="Arial Narrow" w:hAnsi="Arial Narrow" w:cs="Arial"/>
                <w:sz w:val="20"/>
                <w:szCs w:val="20"/>
              </w:rPr>
              <w:t xml:space="preserve"> </w:t>
            </w:r>
            <w:r>
              <w:rPr>
                <w:rFonts w:ascii="Arial Narrow" w:hAnsi="Arial Narrow" w:cs="Arial"/>
                <w:sz w:val="20"/>
                <w:szCs w:val="20"/>
              </w:rPr>
              <w:t>with</w:t>
            </w:r>
            <w:r w:rsidRPr="00F33674">
              <w:rPr>
                <w:rFonts w:ascii="Arial Narrow" w:hAnsi="Arial Narrow" w:cs="Arial"/>
                <w:sz w:val="20"/>
                <w:szCs w:val="20"/>
              </w:rPr>
              <w:t xml:space="preserve"> tolerated doses of non-opioid and other opioid analgesics</w:t>
            </w:r>
          </w:p>
          <w:p w14:paraId="6769F3CA" w14:textId="77777777" w:rsidR="00265869" w:rsidRPr="00F33674" w:rsidRDefault="00265869" w:rsidP="00265869">
            <w:pPr>
              <w:jc w:val="left"/>
              <w:rPr>
                <w:rFonts w:ascii="Arial Narrow" w:hAnsi="Arial Narrow" w:cs="Arial"/>
                <w:sz w:val="20"/>
                <w:szCs w:val="20"/>
              </w:rPr>
            </w:pPr>
            <w:r w:rsidRPr="00F33674">
              <w:rPr>
                <w:rFonts w:ascii="Arial Narrow" w:hAnsi="Arial Narrow" w:cs="Arial"/>
                <w:sz w:val="20"/>
                <w:szCs w:val="20"/>
              </w:rPr>
              <w:t>OR</w:t>
            </w:r>
          </w:p>
          <w:p w14:paraId="66BA882A" w14:textId="2371F45E" w:rsidR="00265869" w:rsidRPr="00F33674" w:rsidRDefault="00265869" w:rsidP="00265869">
            <w:pPr>
              <w:jc w:val="left"/>
              <w:rPr>
                <w:rFonts w:ascii="Arial Narrow" w:hAnsi="Arial Narrow" w:cs="Arial"/>
                <w:sz w:val="20"/>
                <w:szCs w:val="20"/>
              </w:rPr>
            </w:pPr>
            <w:r w:rsidRPr="00F33674">
              <w:rPr>
                <w:rFonts w:ascii="Arial Narrow" w:hAnsi="Arial Narrow" w:cs="Arial"/>
                <w:sz w:val="20"/>
                <w:szCs w:val="20"/>
              </w:rPr>
              <w:t>[new] Patient must be unable to use non-opioid and other opioid analgesics due to contraindications or intolerance.</w:t>
            </w:r>
          </w:p>
        </w:tc>
      </w:tr>
      <w:tr w:rsidR="00265869" w:rsidRPr="00F33674" w14:paraId="77A5D3C9" w14:textId="77777777" w:rsidTr="00C21DFA">
        <w:trPr>
          <w:cantSplit/>
          <w:trHeight w:val="360"/>
        </w:trPr>
        <w:tc>
          <w:tcPr>
            <w:tcW w:w="3183" w:type="dxa"/>
            <w:tcBorders>
              <w:top w:val="single" w:sz="4" w:space="0" w:color="auto"/>
              <w:left w:val="single" w:sz="4" w:space="0" w:color="auto"/>
              <w:bottom w:val="single" w:sz="4" w:space="0" w:color="auto"/>
              <w:right w:val="single" w:sz="4" w:space="0" w:color="auto"/>
            </w:tcBorders>
          </w:tcPr>
          <w:p w14:paraId="1FC7451A" w14:textId="77777777" w:rsidR="00265869" w:rsidRPr="00F33674" w:rsidRDefault="00265869" w:rsidP="00265869">
            <w:pPr>
              <w:rPr>
                <w:rFonts w:ascii="Arial Narrow" w:hAnsi="Arial Narrow" w:cs="Arial"/>
                <w:b/>
                <w:sz w:val="20"/>
                <w:szCs w:val="20"/>
              </w:rPr>
            </w:pPr>
            <w:r w:rsidRPr="00F33674">
              <w:rPr>
                <w:rFonts w:ascii="Arial Narrow" w:hAnsi="Arial Narrow" w:cs="Arial"/>
                <w:b/>
                <w:sz w:val="20"/>
                <w:szCs w:val="20"/>
              </w:rPr>
              <w:t>Prescriber instruction:</w:t>
            </w:r>
          </w:p>
        </w:tc>
        <w:tc>
          <w:tcPr>
            <w:tcW w:w="6031" w:type="dxa"/>
            <w:tcBorders>
              <w:top w:val="single" w:sz="4" w:space="0" w:color="auto"/>
              <w:left w:val="single" w:sz="4" w:space="0" w:color="auto"/>
              <w:bottom w:val="single" w:sz="4" w:space="0" w:color="auto"/>
              <w:right w:val="single" w:sz="4" w:space="0" w:color="auto"/>
            </w:tcBorders>
          </w:tcPr>
          <w:p w14:paraId="73DFCC63" w14:textId="2DCFF321" w:rsidR="00265869" w:rsidRPr="00F33674" w:rsidRDefault="00265869" w:rsidP="00193259">
            <w:pPr>
              <w:jc w:val="left"/>
              <w:rPr>
                <w:rFonts w:ascii="Arial Narrow" w:hAnsi="Arial Narrow" w:cs="Arial"/>
                <w:sz w:val="20"/>
                <w:szCs w:val="20"/>
              </w:rPr>
            </w:pPr>
            <w:r w:rsidRPr="00F33674">
              <w:rPr>
                <w:rFonts w:ascii="Arial Narrow" w:hAnsi="Arial Narrow" w:cs="Arial"/>
                <w:sz w:val="20"/>
                <w:szCs w:val="20"/>
              </w:rPr>
              <w:t xml:space="preserve">[new] Authorities for increased maximum quantities </w:t>
            </w:r>
            <w:r>
              <w:rPr>
                <w:rFonts w:ascii="Arial Narrow" w:hAnsi="Arial Narrow" w:cs="Arial"/>
                <w:sz w:val="20"/>
                <w:szCs w:val="20"/>
              </w:rPr>
              <w:t>and/or repeats under this restriction</w:t>
            </w:r>
            <w:r w:rsidRPr="00F33674">
              <w:rPr>
                <w:rFonts w:ascii="Arial Narrow" w:hAnsi="Arial Narrow" w:cs="Arial"/>
                <w:sz w:val="20"/>
                <w:szCs w:val="20"/>
              </w:rPr>
              <w:t xml:space="preserve"> </w:t>
            </w:r>
            <w:proofErr w:type="gramStart"/>
            <w:r w:rsidRPr="00F33674">
              <w:rPr>
                <w:rFonts w:ascii="Arial Narrow" w:hAnsi="Arial Narrow" w:cs="Arial"/>
                <w:sz w:val="20"/>
                <w:szCs w:val="20"/>
              </w:rPr>
              <w:t>will be granted</w:t>
            </w:r>
            <w:proofErr w:type="gramEnd"/>
            <w:r w:rsidRPr="00F33674">
              <w:rPr>
                <w:rFonts w:ascii="Arial Narrow" w:hAnsi="Arial Narrow" w:cs="Arial"/>
                <w:sz w:val="20"/>
                <w:szCs w:val="20"/>
              </w:rPr>
              <w:t xml:space="preserve"> only for chronic severe disabling pain</w:t>
            </w:r>
            <w:r w:rsidR="00193259">
              <w:rPr>
                <w:rFonts w:ascii="Arial Narrow" w:hAnsi="Arial Narrow" w:cs="Arial"/>
                <w:sz w:val="20"/>
                <w:szCs w:val="20"/>
              </w:rPr>
              <w:t xml:space="preserve"> </w:t>
            </w:r>
            <w:r w:rsidRPr="00F33674">
              <w:rPr>
                <w:rFonts w:ascii="Arial Narrow" w:hAnsi="Arial Narrow" w:cs="Arial"/>
                <w:sz w:val="20"/>
                <w:szCs w:val="20"/>
              </w:rPr>
              <w:t>where the total duration of non-PBS and PBS subsidised opioid analgesic treatment is less than 12 months</w:t>
            </w:r>
            <w:r w:rsidR="005E5921">
              <w:rPr>
                <w:rFonts w:ascii="Arial Narrow" w:hAnsi="Arial Narrow" w:cs="Arial"/>
                <w:sz w:val="20"/>
                <w:szCs w:val="20"/>
              </w:rPr>
              <w:t>.</w:t>
            </w:r>
          </w:p>
          <w:p w14:paraId="5D060531" w14:textId="77777777" w:rsidR="00265869" w:rsidRPr="00F33674" w:rsidRDefault="00265869" w:rsidP="00265869">
            <w:pPr>
              <w:jc w:val="left"/>
              <w:rPr>
                <w:rFonts w:ascii="Arial Narrow" w:hAnsi="Arial Narrow" w:cs="Arial"/>
                <w:sz w:val="20"/>
                <w:szCs w:val="20"/>
              </w:rPr>
            </w:pPr>
          </w:p>
          <w:p w14:paraId="4B021286" w14:textId="77777777" w:rsidR="00265869" w:rsidRPr="00F33674" w:rsidRDefault="00265869" w:rsidP="00265869">
            <w:pPr>
              <w:jc w:val="left"/>
              <w:rPr>
                <w:rFonts w:ascii="Arial Narrow" w:hAnsi="Arial Narrow" w:cs="Arial"/>
                <w:sz w:val="20"/>
                <w:szCs w:val="20"/>
              </w:rPr>
            </w:pPr>
            <w:r w:rsidRPr="00F33674">
              <w:rPr>
                <w:rFonts w:ascii="Arial Narrow" w:hAnsi="Arial Narrow" w:cs="Arial"/>
                <w:sz w:val="20"/>
                <w:szCs w:val="20"/>
              </w:rPr>
              <w:t>[new] Authority requests extending treatment duration up to 1 month may be requested though the Online PBS Authorities system or by calling Services Australia.</w:t>
            </w:r>
          </w:p>
          <w:p w14:paraId="298D83D6" w14:textId="77777777" w:rsidR="00265869" w:rsidRPr="00F33674" w:rsidRDefault="00265869" w:rsidP="00265869">
            <w:pPr>
              <w:jc w:val="left"/>
              <w:rPr>
                <w:rFonts w:ascii="Arial Narrow" w:hAnsi="Arial Narrow" w:cs="Arial"/>
                <w:sz w:val="20"/>
                <w:szCs w:val="20"/>
              </w:rPr>
            </w:pPr>
          </w:p>
          <w:p w14:paraId="35076476" w14:textId="77163791" w:rsidR="00265869" w:rsidRPr="00F33674" w:rsidRDefault="00265869" w:rsidP="00265869">
            <w:pPr>
              <w:jc w:val="left"/>
              <w:rPr>
                <w:rFonts w:ascii="Arial Narrow" w:hAnsi="Arial Narrow" w:cs="Arial"/>
                <w:sz w:val="20"/>
                <w:szCs w:val="20"/>
              </w:rPr>
            </w:pPr>
            <w:r w:rsidRPr="00F33674">
              <w:rPr>
                <w:rFonts w:ascii="Arial Narrow" w:hAnsi="Arial Narrow" w:cs="Arial"/>
                <w:sz w:val="20"/>
                <w:szCs w:val="20"/>
              </w:rPr>
              <w:t xml:space="preserve">Authority requests extending treatment duration beyond 1 month </w:t>
            </w:r>
            <w:r>
              <w:rPr>
                <w:rFonts w:ascii="Arial Narrow" w:hAnsi="Arial Narrow" w:cs="Arial"/>
                <w:sz w:val="20"/>
                <w:szCs w:val="20"/>
              </w:rPr>
              <w:t>may be requested through the Online PBS Authorities system</w:t>
            </w:r>
            <w:r w:rsidRPr="00F33674">
              <w:rPr>
                <w:rFonts w:ascii="Arial Narrow" w:hAnsi="Arial Narrow" w:cs="Arial"/>
                <w:sz w:val="20"/>
                <w:szCs w:val="20"/>
              </w:rPr>
              <w:t xml:space="preserve"> or in writing only and must not provide a treatment duration exceeding </w:t>
            </w:r>
            <w:r>
              <w:rPr>
                <w:rFonts w:ascii="Arial Narrow" w:hAnsi="Arial Narrow" w:cs="Arial"/>
                <w:sz w:val="20"/>
                <w:szCs w:val="20"/>
              </w:rPr>
              <w:t xml:space="preserve">3 months (quantity sufficient for up to </w:t>
            </w:r>
            <w:proofErr w:type="gramStart"/>
            <w:r>
              <w:rPr>
                <w:rFonts w:ascii="Arial Narrow" w:hAnsi="Arial Narrow" w:cs="Arial"/>
                <w:sz w:val="20"/>
                <w:szCs w:val="20"/>
              </w:rPr>
              <w:t>1 month</w:t>
            </w:r>
            <w:proofErr w:type="gramEnd"/>
            <w:r>
              <w:rPr>
                <w:rFonts w:ascii="Arial Narrow" w:hAnsi="Arial Narrow" w:cs="Arial"/>
                <w:sz w:val="20"/>
                <w:szCs w:val="20"/>
              </w:rPr>
              <w:t xml:space="preserve"> treatment and sufficient repeats).</w:t>
            </w:r>
          </w:p>
        </w:tc>
      </w:tr>
      <w:tr w:rsidR="00265869" w:rsidRPr="00F33674" w14:paraId="0C0BC736" w14:textId="77777777" w:rsidTr="00C21DFA">
        <w:trPr>
          <w:cantSplit/>
          <w:trHeight w:val="360"/>
        </w:trPr>
        <w:tc>
          <w:tcPr>
            <w:tcW w:w="3183" w:type="dxa"/>
            <w:tcBorders>
              <w:top w:val="single" w:sz="4" w:space="0" w:color="auto"/>
              <w:left w:val="single" w:sz="4" w:space="0" w:color="auto"/>
              <w:bottom w:val="single" w:sz="4" w:space="0" w:color="auto"/>
              <w:right w:val="single" w:sz="4" w:space="0" w:color="auto"/>
            </w:tcBorders>
          </w:tcPr>
          <w:p w14:paraId="2FBACCD1" w14:textId="77777777" w:rsidR="00265869" w:rsidRPr="00F33674" w:rsidRDefault="00265869" w:rsidP="00265869">
            <w:pPr>
              <w:rPr>
                <w:rFonts w:ascii="Arial Narrow" w:hAnsi="Arial Narrow" w:cs="Arial"/>
                <w:b/>
                <w:sz w:val="20"/>
                <w:szCs w:val="20"/>
              </w:rPr>
            </w:pPr>
            <w:r w:rsidRPr="00F33674">
              <w:rPr>
                <w:rFonts w:ascii="Arial Narrow" w:hAnsi="Arial Narrow" w:cs="Arial"/>
                <w:b/>
                <w:sz w:val="20"/>
                <w:szCs w:val="20"/>
              </w:rPr>
              <w:lastRenderedPageBreak/>
              <w:t>Administrative advice:</w:t>
            </w:r>
          </w:p>
        </w:tc>
        <w:tc>
          <w:tcPr>
            <w:tcW w:w="6031" w:type="dxa"/>
            <w:tcBorders>
              <w:top w:val="single" w:sz="4" w:space="0" w:color="auto"/>
              <w:left w:val="single" w:sz="4" w:space="0" w:color="auto"/>
              <w:bottom w:val="single" w:sz="4" w:space="0" w:color="auto"/>
              <w:right w:val="single" w:sz="4" w:space="0" w:color="auto"/>
            </w:tcBorders>
          </w:tcPr>
          <w:p w14:paraId="2C503F13" w14:textId="77777777" w:rsidR="00265869" w:rsidRPr="00F33674" w:rsidRDefault="00265869" w:rsidP="00265869">
            <w:pPr>
              <w:jc w:val="left"/>
              <w:rPr>
                <w:rFonts w:ascii="Arial Narrow" w:hAnsi="Arial Narrow"/>
                <w:sz w:val="20"/>
                <w:szCs w:val="20"/>
              </w:rPr>
            </w:pPr>
            <w:r w:rsidRPr="00F33674">
              <w:rPr>
                <w:rFonts w:ascii="Arial Narrow" w:hAnsi="Arial Narrow"/>
                <w:sz w:val="20"/>
                <w:szCs w:val="20"/>
              </w:rPr>
              <w:t xml:space="preserve">[13978] Fentanyl transdermal patches </w:t>
            </w:r>
            <w:proofErr w:type="gramStart"/>
            <w:r w:rsidRPr="00F33674">
              <w:rPr>
                <w:rFonts w:ascii="Arial Narrow" w:hAnsi="Arial Narrow"/>
                <w:sz w:val="20"/>
                <w:szCs w:val="20"/>
              </w:rPr>
              <w:t>are not recommended</w:t>
            </w:r>
            <w:proofErr w:type="gramEnd"/>
            <w:r w:rsidRPr="00F33674">
              <w:rPr>
                <w:rFonts w:ascii="Arial Narrow" w:hAnsi="Arial Narrow"/>
                <w:sz w:val="20"/>
                <w:szCs w:val="20"/>
              </w:rPr>
              <w:t xml:space="preserve"> in opioid naive patients with non-cancer pain because of a high incidence of adverse events in these patients. Patients with cancer pain </w:t>
            </w:r>
            <w:proofErr w:type="gramStart"/>
            <w:r w:rsidRPr="00F33674">
              <w:rPr>
                <w:rFonts w:ascii="Arial Narrow" w:hAnsi="Arial Narrow"/>
                <w:sz w:val="20"/>
                <w:szCs w:val="20"/>
              </w:rPr>
              <w:t>may be initiated</w:t>
            </w:r>
            <w:proofErr w:type="gramEnd"/>
            <w:r w:rsidRPr="00F33674">
              <w:rPr>
                <w:rFonts w:ascii="Arial Narrow" w:hAnsi="Arial Narrow"/>
                <w:sz w:val="20"/>
                <w:szCs w:val="20"/>
              </w:rPr>
              <w:t xml:space="preserve"> on the lowest strength patch (12 micrograms per hour).</w:t>
            </w:r>
          </w:p>
          <w:p w14:paraId="1D908AE1" w14:textId="77777777" w:rsidR="00265869" w:rsidRPr="00F33674" w:rsidRDefault="00265869" w:rsidP="00265869">
            <w:pPr>
              <w:jc w:val="left"/>
              <w:rPr>
                <w:rFonts w:ascii="Arial Narrow" w:hAnsi="Arial Narrow"/>
                <w:sz w:val="20"/>
                <w:szCs w:val="20"/>
              </w:rPr>
            </w:pPr>
          </w:p>
          <w:p w14:paraId="4D2C9E72" w14:textId="77777777" w:rsidR="00265869" w:rsidRPr="00F33674" w:rsidRDefault="00265869" w:rsidP="00265869">
            <w:pPr>
              <w:jc w:val="left"/>
              <w:rPr>
                <w:rFonts w:ascii="Arial Narrow" w:hAnsi="Arial Narrow"/>
                <w:sz w:val="20"/>
                <w:szCs w:val="20"/>
              </w:rPr>
            </w:pPr>
            <w:r w:rsidRPr="00F33674">
              <w:rPr>
                <w:rFonts w:ascii="Arial Narrow" w:hAnsi="Arial Narrow"/>
                <w:sz w:val="20"/>
                <w:szCs w:val="20"/>
              </w:rPr>
              <w:t>[new] Consider consultation with a multidisciplinary pain service prior to, or after commencement of this medication.</w:t>
            </w:r>
          </w:p>
          <w:p w14:paraId="43C76AE8" w14:textId="77777777" w:rsidR="00265869" w:rsidRPr="00F33674" w:rsidRDefault="00265869" w:rsidP="00265869">
            <w:pPr>
              <w:jc w:val="left"/>
              <w:rPr>
                <w:rFonts w:ascii="Arial Narrow" w:hAnsi="Arial Narrow"/>
                <w:sz w:val="20"/>
                <w:szCs w:val="20"/>
              </w:rPr>
            </w:pPr>
          </w:p>
          <w:p w14:paraId="545D2AE9" w14:textId="77777777" w:rsidR="00265869" w:rsidRPr="00F33674" w:rsidRDefault="00265869" w:rsidP="00265869">
            <w:pPr>
              <w:jc w:val="left"/>
              <w:rPr>
                <w:rFonts w:ascii="Arial Narrow" w:hAnsi="Arial Narrow" w:cs="Arial"/>
                <w:sz w:val="20"/>
                <w:szCs w:val="20"/>
              </w:rPr>
            </w:pPr>
            <w:r w:rsidRPr="00F33674">
              <w:rPr>
                <w:rFonts w:ascii="Arial Narrow" w:hAnsi="Arial Narrow" w:cs="Arial"/>
                <w:sz w:val="20"/>
                <w:szCs w:val="20"/>
              </w:rPr>
              <w:t>[new] This treatment is not suitable for ‘as-required’ pain relief.</w:t>
            </w:r>
          </w:p>
          <w:p w14:paraId="15440450" w14:textId="77777777" w:rsidR="00265869" w:rsidRPr="00F33674" w:rsidRDefault="00265869" w:rsidP="00265869">
            <w:pPr>
              <w:jc w:val="left"/>
              <w:rPr>
                <w:rFonts w:ascii="Arial Narrow" w:hAnsi="Arial Narrow"/>
                <w:sz w:val="20"/>
                <w:szCs w:val="20"/>
              </w:rPr>
            </w:pPr>
          </w:p>
          <w:p w14:paraId="6D663877" w14:textId="77777777" w:rsidR="00265869" w:rsidRPr="00F33674" w:rsidRDefault="00265869" w:rsidP="00265869">
            <w:pPr>
              <w:jc w:val="left"/>
              <w:rPr>
                <w:rFonts w:ascii="Arial Narrow" w:hAnsi="Arial Narrow" w:cs="Arial"/>
                <w:sz w:val="20"/>
                <w:szCs w:val="20"/>
              </w:rPr>
            </w:pPr>
            <w:r w:rsidRPr="00F33674">
              <w:rPr>
                <w:rFonts w:ascii="Arial Narrow" w:hAnsi="Arial Narrow" w:cs="Arial"/>
                <w:sz w:val="20"/>
                <w:szCs w:val="20"/>
              </w:rPr>
              <w:t>[13983] Pharmaceutical benefits that have the form fentanyl 75 microgram/hour patch are equivalent for the purposes of substitution.</w:t>
            </w:r>
          </w:p>
          <w:p w14:paraId="05913168" w14:textId="77777777" w:rsidR="00265869" w:rsidRPr="00F33674" w:rsidRDefault="00265869" w:rsidP="00265869">
            <w:pPr>
              <w:jc w:val="left"/>
              <w:rPr>
                <w:rFonts w:ascii="Arial Narrow" w:hAnsi="Arial Narrow" w:cs="Arial"/>
                <w:sz w:val="20"/>
                <w:szCs w:val="20"/>
              </w:rPr>
            </w:pPr>
          </w:p>
          <w:p w14:paraId="2E212625" w14:textId="77777777" w:rsidR="00265869" w:rsidRPr="00F33674" w:rsidRDefault="00265869" w:rsidP="00265869">
            <w:pPr>
              <w:jc w:val="left"/>
              <w:rPr>
                <w:rFonts w:ascii="Arial Narrow" w:hAnsi="Arial Narrow" w:cs="Arial"/>
                <w:sz w:val="20"/>
                <w:szCs w:val="20"/>
              </w:rPr>
            </w:pPr>
            <w:r w:rsidRPr="00F33674">
              <w:rPr>
                <w:rFonts w:ascii="Arial Narrow" w:hAnsi="Arial Narrow" w:cs="Arial"/>
                <w:sz w:val="20"/>
                <w:szCs w:val="20"/>
              </w:rPr>
              <w:t xml:space="preserve">[7901] Shared Care Model: For prescribing by nurse practitioners where care of a patient </w:t>
            </w:r>
            <w:proofErr w:type="gramStart"/>
            <w:r w:rsidRPr="00F33674">
              <w:rPr>
                <w:rFonts w:ascii="Arial Narrow" w:hAnsi="Arial Narrow" w:cs="Arial"/>
                <w:sz w:val="20"/>
                <w:szCs w:val="20"/>
              </w:rPr>
              <w:t>is shared</w:t>
            </w:r>
            <w:proofErr w:type="gramEnd"/>
            <w:r w:rsidRPr="00F33674">
              <w:rPr>
                <w:rFonts w:ascii="Arial Narrow" w:hAnsi="Arial Narrow" w:cs="Arial"/>
                <w:sz w:val="20"/>
                <w:szCs w:val="20"/>
              </w:rPr>
              <w:t xml:space="preserve"> between a nurse practitioner and medical practitioner in a formalised arrangement with an agreed management plan. Further information </w:t>
            </w:r>
            <w:proofErr w:type="gramStart"/>
            <w:r w:rsidRPr="00F33674">
              <w:rPr>
                <w:rFonts w:ascii="Arial Narrow" w:hAnsi="Arial Narrow" w:cs="Arial"/>
                <w:sz w:val="20"/>
                <w:szCs w:val="20"/>
              </w:rPr>
              <w:t>can be found</w:t>
            </w:r>
            <w:proofErr w:type="gramEnd"/>
            <w:r w:rsidRPr="00F33674">
              <w:rPr>
                <w:rFonts w:ascii="Arial Narrow" w:hAnsi="Arial Narrow" w:cs="Arial"/>
                <w:sz w:val="20"/>
                <w:szCs w:val="20"/>
              </w:rPr>
              <w:t xml:space="preserve"> in the Explanatory Notes for Nurse Practitioners.</w:t>
            </w:r>
          </w:p>
          <w:p w14:paraId="48C1183B" w14:textId="77777777" w:rsidR="00265869" w:rsidRPr="00F33674" w:rsidRDefault="00265869" w:rsidP="00265869">
            <w:pPr>
              <w:jc w:val="left"/>
              <w:rPr>
                <w:rFonts w:ascii="Arial Narrow" w:hAnsi="Arial Narrow" w:cs="Arial"/>
                <w:sz w:val="20"/>
                <w:szCs w:val="20"/>
              </w:rPr>
            </w:pPr>
          </w:p>
          <w:p w14:paraId="32CB7184" w14:textId="77777777" w:rsidR="00265869" w:rsidRPr="00F33674" w:rsidRDefault="00265869" w:rsidP="00265869">
            <w:pPr>
              <w:jc w:val="left"/>
              <w:rPr>
                <w:rFonts w:ascii="Arial Narrow" w:hAnsi="Arial Narrow" w:cs="Arial"/>
                <w:sz w:val="20"/>
                <w:szCs w:val="20"/>
              </w:rPr>
            </w:pPr>
            <w:r w:rsidRPr="00F33674">
              <w:rPr>
                <w:rFonts w:ascii="Arial Narrow" w:hAnsi="Arial Narrow" w:cs="Arial"/>
                <w:sz w:val="20"/>
                <w:szCs w:val="20"/>
              </w:rPr>
              <w:t>[new] Real time online applications for increased maximum quantities/repeats may be made using the Online PBS Authorities system (see www.servicesaustralia.gov.au/organisations/health-professionals/services/medicare/hpos/services/request-authority-using-online-pbs-authorities-hpos)</w:t>
            </w:r>
          </w:p>
          <w:p w14:paraId="41CEA5E0" w14:textId="77777777" w:rsidR="00265869" w:rsidRPr="00F33674" w:rsidRDefault="00265869" w:rsidP="00265869">
            <w:pPr>
              <w:jc w:val="left"/>
              <w:rPr>
                <w:rFonts w:ascii="Arial Narrow" w:hAnsi="Arial Narrow" w:cs="Arial"/>
                <w:sz w:val="20"/>
                <w:szCs w:val="20"/>
              </w:rPr>
            </w:pPr>
          </w:p>
          <w:p w14:paraId="2FBE62CF" w14:textId="2A5EBFC5" w:rsidR="00265869" w:rsidRPr="00F33674" w:rsidRDefault="00265869" w:rsidP="00265869">
            <w:pPr>
              <w:jc w:val="left"/>
              <w:rPr>
                <w:rFonts w:ascii="Arial Narrow" w:hAnsi="Arial Narrow" w:cs="Arial"/>
                <w:sz w:val="20"/>
                <w:szCs w:val="20"/>
              </w:rPr>
            </w:pPr>
            <w:r w:rsidRPr="00F33674">
              <w:rPr>
                <w:rFonts w:ascii="Arial Narrow" w:hAnsi="Arial Narrow" w:cs="Arial"/>
                <w:sz w:val="20"/>
                <w:szCs w:val="20"/>
              </w:rPr>
              <w:t>Phone applications for increased maximum quantities/repeats may be made by calling 1800 888 333.</w:t>
            </w:r>
          </w:p>
          <w:p w14:paraId="35E17046" w14:textId="77777777" w:rsidR="00265869" w:rsidRPr="00F33674" w:rsidRDefault="00265869" w:rsidP="00265869">
            <w:pPr>
              <w:jc w:val="left"/>
              <w:rPr>
                <w:rFonts w:ascii="Arial Narrow" w:hAnsi="Arial Narrow" w:cs="Arial"/>
                <w:sz w:val="20"/>
                <w:szCs w:val="20"/>
              </w:rPr>
            </w:pPr>
          </w:p>
          <w:p w14:paraId="249CF570" w14:textId="77777777" w:rsidR="00265869" w:rsidRPr="00F33674" w:rsidRDefault="00265869" w:rsidP="00265869">
            <w:pPr>
              <w:jc w:val="left"/>
              <w:rPr>
                <w:rFonts w:ascii="Arial Narrow" w:hAnsi="Arial Narrow" w:cs="Arial"/>
                <w:sz w:val="20"/>
                <w:szCs w:val="20"/>
              </w:rPr>
            </w:pPr>
            <w:r w:rsidRPr="00F33674">
              <w:rPr>
                <w:rFonts w:ascii="Arial Narrow" w:hAnsi="Arial Narrow" w:cs="Arial"/>
                <w:sz w:val="20"/>
                <w:szCs w:val="20"/>
              </w:rPr>
              <w:t>Written authority applications for increased maximum quantities/repeats can be uploaded online through HPOS form upload or mailed to:</w:t>
            </w:r>
          </w:p>
          <w:p w14:paraId="34809285" w14:textId="77777777" w:rsidR="00265869" w:rsidRPr="00F33674" w:rsidRDefault="00265869" w:rsidP="00265869">
            <w:pPr>
              <w:jc w:val="left"/>
              <w:rPr>
                <w:rFonts w:ascii="Arial Narrow" w:hAnsi="Arial Narrow" w:cs="Arial"/>
                <w:sz w:val="20"/>
                <w:szCs w:val="20"/>
              </w:rPr>
            </w:pPr>
            <w:r w:rsidRPr="00F33674">
              <w:rPr>
                <w:rFonts w:ascii="Arial Narrow" w:hAnsi="Arial Narrow" w:cs="Arial"/>
                <w:sz w:val="20"/>
                <w:szCs w:val="20"/>
              </w:rPr>
              <w:t>Pharmaceutical Benefits Scheme</w:t>
            </w:r>
          </w:p>
          <w:p w14:paraId="4381C112" w14:textId="77777777" w:rsidR="00265869" w:rsidRPr="00F33674" w:rsidRDefault="00265869" w:rsidP="00265869">
            <w:pPr>
              <w:jc w:val="left"/>
              <w:rPr>
                <w:rFonts w:ascii="Arial Narrow" w:hAnsi="Arial Narrow" w:cs="Arial"/>
                <w:sz w:val="20"/>
                <w:szCs w:val="20"/>
              </w:rPr>
            </w:pPr>
            <w:r w:rsidRPr="00F33674">
              <w:rPr>
                <w:rFonts w:ascii="Arial Narrow" w:hAnsi="Arial Narrow" w:cs="Arial"/>
                <w:sz w:val="20"/>
                <w:szCs w:val="20"/>
              </w:rPr>
              <w:t>Reply Paid 9857</w:t>
            </w:r>
          </w:p>
          <w:p w14:paraId="63D8B7B0" w14:textId="77777777" w:rsidR="00265869" w:rsidRPr="00F33674" w:rsidRDefault="00265869" w:rsidP="00265869">
            <w:pPr>
              <w:jc w:val="left"/>
              <w:rPr>
                <w:rFonts w:ascii="Arial Narrow" w:hAnsi="Arial Narrow" w:cs="Arial"/>
                <w:sz w:val="20"/>
                <w:szCs w:val="20"/>
              </w:rPr>
            </w:pPr>
            <w:r w:rsidRPr="00F33674">
              <w:rPr>
                <w:rFonts w:ascii="Arial Narrow" w:hAnsi="Arial Narrow" w:cs="Arial"/>
                <w:sz w:val="20"/>
                <w:szCs w:val="20"/>
              </w:rPr>
              <w:t>[Your capital city]</w:t>
            </w:r>
          </w:p>
        </w:tc>
      </w:tr>
      <w:tr w:rsidR="00265869" w:rsidRPr="00F33674" w14:paraId="36FD4D5E" w14:textId="77777777" w:rsidTr="00C21DFA">
        <w:trPr>
          <w:cantSplit/>
          <w:trHeight w:val="360"/>
        </w:trPr>
        <w:tc>
          <w:tcPr>
            <w:tcW w:w="3183" w:type="dxa"/>
            <w:tcBorders>
              <w:top w:val="single" w:sz="4" w:space="0" w:color="auto"/>
              <w:left w:val="single" w:sz="4" w:space="0" w:color="auto"/>
              <w:bottom w:val="single" w:sz="4" w:space="0" w:color="auto"/>
              <w:right w:val="single" w:sz="4" w:space="0" w:color="auto"/>
            </w:tcBorders>
          </w:tcPr>
          <w:p w14:paraId="3AE62827" w14:textId="77777777" w:rsidR="00265869" w:rsidRPr="00F33674" w:rsidRDefault="00265869" w:rsidP="00265869">
            <w:pPr>
              <w:rPr>
                <w:rFonts w:ascii="Arial Narrow" w:hAnsi="Arial Narrow" w:cs="Arial"/>
                <w:b/>
                <w:sz w:val="20"/>
                <w:szCs w:val="20"/>
              </w:rPr>
            </w:pPr>
            <w:r w:rsidRPr="00F33674">
              <w:rPr>
                <w:rFonts w:ascii="Arial Narrow" w:hAnsi="Arial Narrow" w:cs="Arial"/>
                <w:b/>
                <w:sz w:val="20"/>
                <w:szCs w:val="20"/>
              </w:rPr>
              <w:t>Cautions:</w:t>
            </w:r>
          </w:p>
        </w:tc>
        <w:tc>
          <w:tcPr>
            <w:tcW w:w="6031" w:type="dxa"/>
            <w:tcBorders>
              <w:top w:val="single" w:sz="4" w:space="0" w:color="auto"/>
              <w:left w:val="single" w:sz="4" w:space="0" w:color="auto"/>
              <w:bottom w:val="single" w:sz="4" w:space="0" w:color="auto"/>
              <w:right w:val="single" w:sz="4" w:space="0" w:color="auto"/>
            </w:tcBorders>
          </w:tcPr>
          <w:p w14:paraId="2A9F293A" w14:textId="77777777" w:rsidR="00265869" w:rsidRPr="00F33674" w:rsidRDefault="00265869" w:rsidP="00265869">
            <w:pPr>
              <w:jc w:val="left"/>
              <w:rPr>
                <w:rFonts w:ascii="Arial Narrow" w:hAnsi="Arial Narrow" w:cs="Arial"/>
                <w:sz w:val="20"/>
                <w:szCs w:val="20"/>
              </w:rPr>
            </w:pPr>
            <w:r w:rsidRPr="00F33674">
              <w:rPr>
                <w:rFonts w:ascii="Arial Narrow" w:hAnsi="Arial Narrow" w:cs="Arial"/>
                <w:sz w:val="20"/>
                <w:szCs w:val="20"/>
              </w:rPr>
              <w:t>[6986] The risk of drug dependence is high.</w:t>
            </w:r>
          </w:p>
        </w:tc>
      </w:tr>
    </w:tbl>
    <w:p w14:paraId="188EDED6" w14:textId="3C078405" w:rsidR="00265869" w:rsidRDefault="00265869" w:rsidP="00193259">
      <w:pPr>
        <w:pStyle w:val="3-BodyText"/>
        <w:numPr>
          <w:ilvl w:val="0"/>
          <w:numId w:val="0"/>
        </w:numPr>
        <w:ind w:left="720" w:hanging="720"/>
      </w:pPr>
    </w:p>
    <w:tbl>
      <w:tblPr>
        <w:tblW w:w="9072" w:type="dxa"/>
        <w:tblInd w:w="-5" w:type="dxa"/>
        <w:tblLook w:val="0000" w:firstRow="0" w:lastRow="0" w:firstColumn="0" w:lastColumn="0" w:noHBand="0" w:noVBand="0"/>
      </w:tblPr>
      <w:tblGrid>
        <w:gridCol w:w="3183"/>
        <w:gridCol w:w="5889"/>
      </w:tblGrid>
      <w:tr w:rsidR="00265869" w:rsidRPr="00F33674" w14:paraId="69848E34" w14:textId="77777777" w:rsidTr="00C21DFA">
        <w:trPr>
          <w:cantSplit/>
          <w:trHeight w:val="360"/>
        </w:trPr>
        <w:tc>
          <w:tcPr>
            <w:tcW w:w="3183" w:type="dxa"/>
            <w:tcBorders>
              <w:top w:val="single" w:sz="4" w:space="0" w:color="auto"/>
              <w:left w:val="single" w:sz="4" w:space="0" w:color="auto"/>
              <w:bottom w:val="single" w:sz="4" w:space="0" w:color="auto"/>
              <w:right w:val="single" w:sz="4" w:space="0" w:color="auto"/>
            </w:tcBorders>
          </w:tcPr>
          <w:p w14:paraId="71C65C1C" w14:textId="77777777" w:rsidR="00265869" w:rsidRPr="00F33674" w:rsidRDefault="00265869" w:rsidP="00265869">
            <w:pPr>
              <w:rPr>
                <w:rFonts w:ascii="Arial Narrow" w:hAnsi="Arial Narrow" w:cs="Arial"/>
                <w:b/>
                <w:sz w:val="20"/>
                <w:szCs w:val="20"/>
              </w:rPr>
            </w:pPr>
            <w:r w:rsidRPr="00F33674">
              <w:rPr>
                <w:rFonts w:ascii="Arial Narrow" w:hAnsi="Arial Narrow" w:cs="Arial"/>
                <w:b/>
                <w:sz w:val="20"/>
                <w:szCs w:val="20"/>
              </w:rPr>
              <w:t>Category / Program:</w:t>
            </w:r>
          </w:p>
        </w:tc>
        <w:tc>
          <w:tcPr>
            <w:tcW w:w="5889" w:type="dxa"/>
            <w:tcBorders>
              <w:top w:val="single" w:sz="4" w:space="0" w:color="auto"/>
              <w:left w:val="single" w:sz="4" w:space="0" w:color="auto"/>
              <w:bottom w:val="single" w:sz="4" w:space="0" w:color="auto"/>
              <w:right w:val="single" w:sz="4" w:space="0" w:color="auto"/>
            </w:tcBorders>
          </w:tcPr>
          <w:p w14:paraId="61C8A591" w14:textId="77777777" w:rsidR="00265869" w:rsidRPr="00F33674" w:rsidRDefault="00265869" w:rsidP="00265869">
            <w:pPr>
              <w:rPr>
                <w:rFonts w:ascii="Arial Narrow" w:hAnsi="Arial Narrow" w:cs="Arial"/>
                <w:sz w:val="20"/>
                <w:szCs w:val="20"/>
              </w:rPr>
            </w:pPr>
            <w:r w:rsidRPr="00F33674">
              <w:rPr>
                <w:rFonts w:ascii="Arial Narrow" w:hAnsi="Arial Narrow" w:cs="Arial"/>
                <w:sz w:val="20"/>
                <w:szCs w:val="20"/>
              </w:rPr>
              <w:t>GENERAL – General Schedule (Code GE)</w:t>
            </w:r>
          </w:p>
        </w:tc>
      </w:tr>
      <w:tr w:rsidR="00265869" w:rsidRPr="00F33674" w14:paraId="7126D15A" w14:textId="77777777" w:rsidTr="00C21DFA">
        <w:trPr>
          <w:cantSplit/>
          <w:trHeight w:val="360"/>
        </w:trPr>
        <w:tc>
          <w:tcPr>
            <w:tcW w:w="3183" w:type="dxa"/>
            <w:tcBorders>
              <w:top w:val="single" w:sz="4" w:space="0" w:color="auto"/>
              <w:left w:val="single" w:sz="4" w:space="0" w:color="auto"/>
              <w:bottom w:val="single" w:sz="4" w:space="0" w:color="auto"/>
              <w:right w:val="single" w:sz="4" w:space="0" w:color="auto"/>
            </w:tcBorders>
          </w:tcPr>
          <w:p w14:paraId="1D505BA0" w14:textId="77777777" w:rsidR="00265869" w:rsidRPr="00F33674" w:rsidRDefault="00265869" w:rsidP="00265869">
            <w:pPr>
              <w:rPr>
                <w:rFonts w:ascii="Arial Narrow" w:hAnsi="Arial Narrow" w:cs="Arial"/>
                <w:b/>
                <w:sz w:val="20"/>
                <w:szCs w:val="20"/>
              </w:rPr>
            </w:pPr>
            <w:r w:rsidRPr="00F33674">
              <w:rPr>
                <w:rFonts w:ascii="Arial Narrow" w:hAnsi="Arial Narrow" w:cs="Arial"/>
                <w:b/>
                <w:sz w:val="20"/>
                <w:szCs w:val="20"/>
              </w:rPr>
              <w:t>Prescriber type:</w:t>
            </w:r>
          </w:p>
          <w:p w14:paraId="2ED7D0D5" w14:textId="77777777" w:rsidR="00265869" w:rsidRPr="00F33674" w:rsidRDefault="00265869" w:rsidP="00265869">
            <w:pPr>
              <w:rPr>
                <w:rFonts w:ascii="Arial Narrow" w:hAnsi="Arial Narrow" w:cs="Arial"/>
                <w:b/>
                <w:sz w:val="20"/>
                <w:szCs w:val="20"/>
              </w:rPr>
            </w:pPr>
          </w:p>
        </w:tc>
        <w:tc>
          <w:tcPr>
            <w:tcW w:w="5889" w:type="dxa"/>
            <w:tcBorders>
              <w:top w:val="single" w:sz="4" w:space="0" w:color="auto"/>
              <w:left w:val="single" w:sz="4" w:space="0" w:color="auto"/>
              <w:bottom w:val="single" w:sz="4" w:space="0" w:color="auto"/>
              <w:right w:val="single" w:sz="4" w:space="0" w:color="auto"/>
            </w:tcBorders>
          </w:tcPr>
          <w:p w14:paraId="28734EB3" w14:textId="77777777" w:rsidR="00265869" w:rsidRPr="00F33674" w:rsidRDefault="00265869" w:rsidP="00265869">
            <w:pPr>
              <w:rPr>
                <w:rFonts w:ascii="Arial Narrow" w:hAnsi="Arial Narrow" w:cs="Arial"/>
                <w:sz w:val="20"/>
                <w:szCs w:val="20"/>
              </w:rPr>
            </w:pPr>
            <w:r w:rsidRPr="00F33674">
              <w:rPr>
                <w:rFonts w:ascii="Arial Narrow" w:hAnsi="Arial Narrow" w:cs="Arial"/>
                <w:sz w:val="20"/>
                <w:szCs w:val="20"/>
              </w:rPr>
              <w:fldChar w:fldCharType="begin">
                <w:ffData>
                  <w:name w:val="Check1"/>
                  <w:enabled/>
                  <w:calcOnExit w:val="0"/>
                  <w:checkBox>
                    <w:sizeAuto/>
                    <w:default w:val="0"/>
                  </w:checkBox>
                </w:ffData>
              </w:fldChar>
            </w:r>
            <w:r w:rsidRPr="00F33674">
              <w:rPr>
                <w:rFonts w:ascii="Arial Narrow" w:hAnsi="Arial Narrow" w:cs="Arial"/>
                <w:sz w:val="20"/>
                <w:szCs w:val="20"/>
              </w:rPr>
              <w:instrText xml:space="preserve"> FORMCHECKBOX </w:instrText>
            </w:r>
            <w:r w:rsidR="00233D13">
              <w:rPr>
                <w:rFonts w:ascii="Arial Narrow" w:hAnsi="Arial Narrow" w:cs="Arial"/>
                <w:sz w:val="20"/>
                <w:szCs w:val="20"/>
              </w:rPr>
            </w:r>
            <w:r w:rsidR="00233D13">
              <w:rPr>
                <w:rFonts w:ascii="Arial Narrow" w:hAnsi="Arial Narrow" w:cs="Arial"/>
                <w:sz w:val="20"/>
                <w:szCs w:val="20"/>
              </w:rPr>
              <w:fldChar w:fldCharType="separate"/>
            </w:r>
            <w:r w:rsidRPr="00F33674">
              <w:rPr>
                <w:rFonts w:ascii="Arial Narrow" w:hAnsi="Arial Narrow" w:cs="Arial"/>
                <w:sz w:val="20"/>
                <w:szCs w:val="20"/>
              </w:rPr>
              <w:fldChar w:fldCharType="end"/>
            </w:r>
            <w:r w:rsidRPr="00F33674">
              <w:rPr>
                <w:rFonts w:ascii="Arial Narrow" w:hAnsi="Arial Narrow" w:cs="Arial"/>
                <w:sz w:val="20"/>
                <w:szCs w:val="20"/>
              </w:rPr>
              <w:t>Dental</w:t>
            </w:r>
            <w:r>
              <w:rPr>
                <w:rFonts w:ascii="Arial Narrow" w:hAnsi="Arial Narrow" w:cs="Arial"/>
                <w:sz w:val="20"/>
                <w:szCs w:val="20"/>
              </w:rPr>
              <w:t xml:space="preserve"> </w:t>
            </w:r>
            <w:r w:rsidRPr="00F33674">
              <w:rPr>
                <w:rFonts w:ascii="Arial Narrow" w:hAnsi="Arial Narrow" w:cs="Arial"/>
                <w:sz w:val="20"/>
                <w:szCs w:val="20"/>
              </w:rPr>
              <w:fldChar w:fldCharType="begin">
                <w:ffData>
                  <w:name w:val=""/>
                  <w:enabled/>
                  <w:calcOnExit w:val="0"/>
                  <w:checkBox>
                    <w:sizeAuto/>
                    <w:default w:val="1"/>
                  </w:checkBox>
                </w:ffData>
              </w:fldChar>
            </w:r>
            <w:r w:rsidRPr="00F33674">
              <w:rPr>
                <w:rFonts w:ascii="Arial Narrow" w:hAnsi="Arial Narrow" w:cs="Arial"/>
                <w:sz w:val="20"/>
                <w:szCs w:val="20"/>
              </w:rPr>
              <w:instrText xml:space="preserve"> FORMCHECKBOX </w:instrText>
            </w:r>
            <w:r w:rsidR="00233D13">
              <w:rPr>
                <w:rFonts w:ascii="Arial Narrow" w:hAnsi="Arial Narrow" w:cs="Arial"/>
                <w:sz w:val="20"/>
                <w:szCs w:val="20"/>
              </w:rPr>
            </w:r>
            <w:r w:rsidR="00233D13">
              <w:rPr>
                <w:rFonts w:ascii="Arial Narrow" w:hAnsi="Arial Narrow" w:cs="Arial"/>
                <w:sz w:val="20"/>
                <w:szCs w:val="20"/>
              </w:rPr>
              <w:fldChar w:fldCharType="separate"/>
            </w:r>
            <w:r w:rsidRPr="00F33674">
              <w:rPr>
                <w:rFonts w:ascii="Arial Narrow" w:hAnsi="Arial Narrow" w:cs="Arial"/>
                <w:sz w:val="20"/>
                <w:szCs w:val="20"/>
              </w:rPr>
              <w:fldChar w:fldCharType="end"/>
            </w:r>
            <w:r w:rsidRPr="00F33674">
              <w:rPr>
                <w:rFonts w:ascii="Arial Narrow" w:hAnsi="Arial Narrow" w:cs="Arial"/>
                <w:sz w:val="20"/>
                <w:szCs w:val="20"/>
              </w:rPr>
              <w:t>Medical Practitioners</w:t>
            </w:r>
            <w:r>
              <w:rPr>
                <w:rFonts w:ascii="Arial Narrow" w:hAnsi="Arial Narrow" w:cs="Arial"/>
                <w:sz w:val="20"/>
                <w:szCs w:val="20"/>
              </w:rPr>
              <w:t xml:space="preserve"> </w:t>
            </w:r>
            <w:r w:rsidRPr="00F33674">
              <w:rPr>
                <w:rFonts w:ascii="Arial Narrow" w:hAnsi="Arial Narrow" w:cs="Arial"/>
                <w:sz w:val="20"/>
                <w:szCs w:val="20"/>
              </w:rPr>
              <w:fldChar w:fldCharType="begin">
                <w:ffData>
                  <w:name w:val="Check3"/>
                  <w:enabled/>
                  <w:calcOnExit w:val="0"/>
                  <w:checkBox>
                    <w:sizeAuto/>
                    <w:default w:val="1"/>
                  </w:checkBox>
                </w:ffData>
              </w:fldChar>
            </w:r>
            <w:r w:rsidRPr="00F33674">
              <w:rPr>
                <w:rFonts w:ascii="Arial Narrow" w:hAnsi="Arial Narrow" w:cs="Arial"/>
                <w:sz w:val="20"/>
                <w:szCs w:val="20"/>
              </w:rPr>
              <w:instrText xml:space="preserve"> FORMCHECKBOX </w:instrText>
            </w:r>
            <w:r w:rsidR="00233D13">
              <w:rPr>
                <w:rFonts w:ascii="Arial Narrow" w:hAnsi="Arial Narrow" w:cs="Arial"/>
                <w:sz w:val="20"/>
                <w:szCs w:val="20"/>
              </w:rPr>
            </w:r>
            <w:r w:rsidR="00233D13">
              <w:rPr>
                <w:rFonts w:ascii="Arial Narrow" w:hAnsi="Arial Narrow" w:cs="Arial"/>
                <w:sz w:val="20"/>
                <w:szCs w:val="20"/>
              </w:rPr>
              <w:fldChar w:fldCharType="separate"/>
            </w:r>
            <w:r w:rsidRPr="00F33674">
              <w:rPr>
                <w:rFonts w:ascii="Arial Narrow" w:hAnsi="Arial Narrow" w:cs="Arial"/>
                <w:sz w:val="20"/>
                <w:szCs w:val="20"/>
              </w:rPr>
              <w:fldChar w:fldCharType="end"/>
            </w:r>
            <w:r w:rsidRPr="00F33674">
              <w:rPr>
                <w:rFonts w:ascii="Arial Narrow" w:hAnsi="Arial Narrow" w:cs="Arial"/>
                <w:sz w:val="20"/>
                <w:szCs w:val="20"/>
              </w:rPr>
              <w:t>Nurse practitioners</w:t>
            </w:r>
            <w:r>
              <w:rPr>
                <w:rFonts w:ascii="Arial Narrow" w:hAnsi="Arial Narrow" w:cs="Arial"/>
                <w:sz w:val="20"/>
                <w:szCs w:val="20"/>
              </w:rPr>
              <w:t xml:space="preserve"> </w:t>
            </w:r>
            <w:r w:rsidRPr="00F33674">
              <w:rPr>
                <w:rFonts w:ascii="Arial Narrow" w:hAnsi="Arial Narrow" w:cs="Arial"/>
                <w:sz w:val="20"/>
                <w:szCs w:val="20"/>
              </w:rPr>
              <w:fldChar w:fldCharType="begin">
                <w:ffData>
                  <w:name w:val=""/>
                  <w:enabled/>
                  <w:calcOnExit w:val="0"/>
                  <w:checkBox>
                    <w:sizeAuto/>
                    <w:default w:val="0"/>
                  </w:checkBox>
                </w:ffData>
              </w:fldChar>
            </w:r>
            <w:r w:rsidRPr="00F33674">
              <w:rPr>
                <w:rFonts w:ascii="Arial Narrow" w:hAnsi="Arial Narrow" w:cs="Arial"/>
                <w:sz w:val="20"/>
                <w:szCs w:val="20"/>
              </w:rPr>
              <w:instrText xml:space="preserve"> FORMCHECKBOX </w:instrText>
            </w:r>
            <w:r w:rsidR="00233D13">
              <w:rPr>
                <w:rFonts w:ascii="Arial Narrow" w:hAnsi="Arial Narrow" w:cs="Arial"/>
                <w:sz w:val="20"/>
                <w:szCs w:val="20"/>
              </w:rPr>
            </w:r>
            <w:r w:rsidR="00233D13">
              <w:rPr>
                <w:rFonts w:ascii="Arial Narrow" w:hAnsi="Arial Narrow" w:cs="Arial"/>
                <w:sz w:val="20"/>
                <w:szCs w:val="20"/>
              </w:rPr>
              <w:fldChar w:fldCharType="separate"/>
            </w:r>
            <w:r w:rsidRPr="00F33674">
              <w:rPr>
                <w:rFonts w:ascii="Arial Narrow" w:hAnsi="Arial Narrow" w:cs="Arial"/>
                <w:sz w:val="20"/>
                <w:szCs w:val="20"/>
              </w:rPr>
              <w:fldChar w:fldCharType="end"/>
            </w:r>
            <w:r w:rsidRPr="00F33674">
              <w:rPr>
                <w:rFonts w:ascii="Arial Narrow" w:hAnsi="Arial Narrow" w:cs="Arial"/>
                <w:sz w:val="20"/>
                <w:szCs w:val="20"/>
              </w:rPr>
              <w:t>Optometrists</w:t>
            </w:r>
          </w:p>
          <w:p w14:paraId="6A9F0244" w14:textId="77777777" w:rsidR="00265869" w:rsidRPr="00F33674" w:rsidRDefault="00265869" w:rsidP="00265869">
            <w:pPr>
              <w:rPr>
                <w:rFonts w:ascii="Arial Narrow" w:hAnsi="Arial Narrow" w:cs="Arial"/>
                <w:sz w:val="20"/>
                <w:szCs w:val="20"/>
              </w:rPr>
            </w:pPr>
            <w:r w:rsidRPr="00F33674">
              <w:rPr>
                <w:rFonts w:ascii="Arial Narrow" w:hAnsi="Arial Narrow" w:cs="Arial"/>
                <w:sz w:val="20"/>
                <w:szCs w:val="20"/>
              </w:rPr>
              <w:fldChar w:fldCharType="begin">
                <w:ffData>
                  <w:name w:val="Check5"/>
                  <w:enabled/>
                  <w:calcOnExit w:val="0"/>
                  <w:checkBox>
                    <w:sizeAuto/>
                    <w:default w:val="0"/>
                  </w:checkBox>
                </w:ffData>
              </w:fldChar>
            </w:r>
            <w:r w:rsidRPr="00F33674">
              <w:rPr>
                <w:rFonts w:ascii="Arial Narrow" w:hAnsi="Arial Narrow" w:cs="Arial"/>
                <w:sz w:val="20"/>
                <w:szCs w:val="20"/>
              </w:rPr>
              <w:instrText xml:space="preserve"> FORMCHECKBOX </w:instrText>
            </w:r>
            <w:r w:rsidR="00233D13">
              <w:rPr>
                <w:rFonts w:ascii="Arial Narrow" w:hAnsi="Arial Narrow" w:cs="Arial"/>
                <w:sz w:val="20"/>
                <w:szCs w:val="20"/>
              </w:rPr>
            </w:r>
            <w:r w:rsidR="00233D13">
              <w:rPr>
                <w:rFonts w:ascii="Arial Narrow" w:hAnsi="Arial Narrow" w:cs="Arial"/>
                <w:sz w:val="20"/>
                <w:szCs w:val="20"/>
              </w:rPr>
              <w:fldChar w:fldCharType="separate"/>
            </w:r>
            <w:r w:rsidRPr="00F33674">
              <w:rPr>
                <w:rFonts w:ascii="Arial Narrow" w:hAnsi="Arial Narrow" w:cs="Arial"/>
                <w:sz w:val="20"/>
                <w:szCs w:val="20"/>
              </w:rPr>
              <w:fldChar w:fldCharType="end"/>
            </w:r>
            <w:r w:rsidRPr="00F33674">
              <w:rPr>
                <w:rFonts w:ascii="Arial Narrow" w:hAnsi="Arial Narrow" w:cs="Arial"/>
                <w:sz w:val="20"/>
                <w:szCs w:val="20"/>
              </w:rPr>
              <w:t>Midwives</w:t>
            </w:r>
          </w:p>
        </w:tc>
      </w:tr>
      <w:tr w:rsidR="00265869" w:rsidRPr="00F33674" w14:paraId="0C091CF0" w14:textId="77777777" w:rsidTr="00C21DFA">
        <w:trPr>
          <w:cantSplit/>
          <w:trHeight w:val="369"/>
        </w:trPr>
        <w:tc>
          <w:tcPr>
            <w:tcW w:w="3183" w:type="dxa"/>
            <w:tcBorders>
              <w:top w:val="single" w:sz="4" w:space="0" w:color="auto"/>
              <w:left w:val="single" w:sz="4" w:space="0" w:color="auto"/>
              <w:bottom w:val="single" w:sz="4" w:space="0" w:color="auto"/>
              <w:right w:val="single" w:sz="4" w:space="0" w:color="auto"/>
            </w:tcBorders>
          </w:tcPr>
          <w:p w14:paraId="793A640D" w14:textId="77777777" w:rsidR="00265869" w:rsidRPr="00F33674" w:rsidRDefault="00265869" w:rsidP="00265869">
            <w:pPr>
              <w:rPr>
                <w:rFonts w:ascii="Arial Narrow" w:hAnsi="Arial Narrow" w:cs="Arial"/>
                <w:b/>
                <w:sz w:val="20"/>
                <w:szCs w:val="20"/>
              </w:rPr>
            </w:pPr>
            <w:r w:rsidRPr="00F33674">
              <w:rPr>
                <w:rFonts w:ascii="Arial Narrow" w:hAnsi="Arial Narrow" w:cs="Arial"/>
                <w:b/>
                <w:sz w:val="20"/>
                <w:szCs w:val="20"/>
              </w:rPr>
              <w:t>PBS indication:</w:t>
            </w:r>
          </w:p>
        </w:tc>
        <w:tc>
          <w:tcPr>
            <w:tcW w:w="5889" w:type="dxa"/>
            <w:tcBorders>
              <w:top w:val="single" w:sz="4" w:space="0" w:color="auto"/>
              <w:left w:val="single" w:sz="4" w:space="0" w:color="auto"/>
              <w:bottom w:val="single" w:sz="4" w:space="0" w:color="auto"/>
              <w:right w:val="single" w:sz="4" w:space="0" w:color="auto"/>
            </w:tcBorders>
          </w:tcPr>
          <w:p w14:paraId="501D3863" w14:textId="77777777" w:rsidR="00265869" w:rsidRPr="00F33674" w:rsidRDefault="00265869" w:rsidP="00265869">
            <w:pPr>
              <w:rPr>
                <w:rFonts w:ascii="Arial Narrow" w:hAnsi="Arial Narrow" w:cs="Arial"/>
                <w:sz w:val="20"/>
                <w:szCs w:val="20"/>
              </w:rPr>
            </w:pPr>
            <w:r w:rsidRPr="00F33674">
              <w:rPr>
                <w:rFonts w:ascii="Arial Narrow" w:hAnsi="Arial Narrow" w:cs="Arial"/>
                <w:sz w:val="20"/>
                <w:szCs w:val="20"/>
              </w:rPr>
              <w:t>[9729] Chronic severe disabling pain</w:t>
            </w:r>
          </w:p>
        </w:tc>
      </w:tr>
      <w:tr w:rsidR="00265869" w:rsidRPr="00F33674" w14:paraId="266F7F12" w14:textId="77777777" w:rsidTr="00C21DFA">
        <w:trPr>
          <w:cantSplit/>
          <w:trHeight w:val="360"/>
        </w:trPr>
        <w:tc>
          <w:tcPr>
            <w:tcW w:w="3183" w:type="dxa"/>
            <w:tcBorders>
              <w:top w:val="single" w:sz="4" w:space="0" w:color="auto"/>
              <w:left w:val="single" w:sz="4" w:space="0" w:color="auto"/>
              <w:bottom w:val="single" w:sz="4" w:space="0" w:color="auto"/>
              <w:right w:val="single" w:sz="4" w:space="0" w:color="auto"/>
            </w:tcBorders>
          </w:tcPr>
          <w:p w14:paraId="54A7D709" w14:textId="77777777" w:rsidR="00265869" w:rsidRPr="00F33674" w:rsidRDefault="00265869" w:rsidP="00265869">
            <w:pPr>
              <w:rPr>
                <w:rFonts w:ascii="Arial Narrow" w:hAnsi="Arial Narrow" w:cs="Arial"/>
                <w:b/>
                <w:sz w:val="20"/>
                <w:szCs w:val="20"/>
              </w:rPr>
            </w:pPr>
            <w:r w:rsidRPr="00F33674">
              <w:rPr>
                <w:rFonts w:ascii="Arial Narrow" w:hAnsi="Arial Narrow" w:cs="Arial"/>
                <w:b/>
                <w:sz w:val="20"/>
                <w:szCs w:val="20"/>
              </w:rPr>
              <w:t>Restriction Level / Method:</w:t>
            </w:r>
          </w:p>
          <w:p w14:paraId="45F168C8" w14:textId="77777777" w:rsidR="00265869" w:rsidRPr="00F33674" w:rsidRDefault="00265869" w:rsidP="00265869">
            <w:pPr>
              <w:rPr>
                <w:rFonts w:ascii="Arial Narrow" w:hAnsi="Arial Narrow" w:cs="Arial"/>
                <w:i/>
                <w:sz w:val="20"/>
                <w:szCs w:val="20"/>
              </w:rPr>
            </w:pPr>
          </w:p>
          <w:p w14:paraId="594DABCD" w14:textId="77777777" w:rsidR="00265869" w:rsidRPr="00F33674" w:rsidRDefault="00265869" w:rsidP="00265869">
            <w:pPr>
              <w:rPr>
                <w:rFonts w:ascii="Arial Narrow" w:hAnsi="Arial Narrow" w:cs="Arial"/>
                <w:i/>
                <w:sz w:val="20"/>
                <w:szCs w:val="20"/>
              </w:rPr>
            </w:pPr>
          </w:p>
          <w:p w14:paraId="13C4CDF0" w14:textId="77777777" w:rsidR="00265869" w:rsidRPr="00F33674" w:rsidRDefault="00265869" w:rsidP="00265869">
            <w:pPr>
              <w:rPr>
                <w:rFonts w:ascii="Arial Narrow" w:hAnsi="Arial Narrow" w:cs="Arial"/>
                <w:i/>
                <w:sz w:val="20"/>
                <w:szCs w:val="20"/>
              </w:rPr>
            </w:pPr>
          </w:p>
        </w:tc>
        <w:tc>
          <w:tcPr>
            <w:tcW w:w="5889" w:type="dxa"/>
            <w:tcBorders>
              <w:top w:val="single" w:sz="4" w:space="0" w:color="auto"/>
              <w:left w:val="single" w:sz="4" w:space="0" w:color="auto"/>
              <w:bottom w:val="single" w:sz="4" w:space="0" w:color="auto"/>
              <w:right w:val="single" w:sz="4" w:space="0" w:color="auto"/>
            </w:tcBorders>
          </w:tcPr>
          <w:p w14:paraId="001D2A56" w14:textId="77777777" w:rsidR="00265869" w:rsidRPr="00F33674" w:rsidRDefault="00265869" w:rsidP="00265869">
            <w:pPr>
              <w:rPr>
                <w:rFonts w:ascii="Arial Narrow" w:hAnsi="Arial Narrow" w:cs="Arial"/>
                <w:sz w:val="20"/>
                <w:szCs w:val="20"/>
              </w:rPr>
            </w:pPr>
            <w:r w:rsidRPr="00F33674">
              <w:rPr>
                <w:rFonts w:ascii="Arial Narrow" w:hAnsi="Arial Narrow" w:cs="Arial"/>
                <w:sz w:val="20"/>
                <w:szCs w:val="20"/>
              </w:rPr>
              <w:fldChar w:fldCharType="begin">
                <w:ffData>
                  <w:name w:val=""/>
                  <w:enabled/>
                  <w:calcOnExit w:val="0"/>
                  <w:checkBox>
                    <w:sizeAuto/>
                    <w:default w:val="0"/>
                  </w:checkBox>
                </w:ffData>
              </w:fldChar>
            </w:r>
            <w:r w:rsidRPr="00F33674">
              <w:rPr>
                <w:rFonts w:ascii="Arial Narrow" w:hAnsi="Arial Narrow" w:cs="Arial"/>
                <w:sz w:val="20"/>
                <w:szCs w:val="20"/>
              </w:rPr>
              <w:instrText xml:space="preserve"> FORMCHECKBOX </w:instrText>
            </w:r>
            <w:r w:rsidR="00233D13">
              <w:rPr>
                <w:rFonts w:ascii="Arial Narrow" w:hAnsi="Arial Narrow" w:cs="Arial"/>
                <w:sz w:val="20"/>
                <w:szCs w:val="20"/>
              </w:rPr>
            </w:r>
            <w:r w:rsidR="00233D13">
              <w:rPr>
                <w:rFonts w:ascii="Arial Narrow" w:hAnsi="Arial Narrow" w:cs="Arial"/>
                <w:sz w:val="20"/>
                <w:szCs w:val="20"/>
              </w:rPr>
              <w:fldChar w:fldCharType="separate"/>
            </w:r>
            <w:r w:rsidRPr="00F33674">
              <w:rPr>
                <w:rFonts w:ascii="Arial Narrow" w:hAnsi="Arial Narrow" w:cs="Arial"/>
                <w:sz w:val="20"/>
                <w:szCs w:val="20"/>
              </w:rPr>
              <w:fldChar w:fldCharType="end"/>
            </w:r>
            <w:r w:rsidRPr="00F33674">
              <w:rPr>
                <w:rFonts w:ascii="Arial Narrow" w:hAnsi="Arial Narrow" w:cs="Arial"/>
                <w:sz w:val="20"/>
                <w:szCs w:val="20"/>
              </w:rPr>
              <w:t>Unrestricted benefit</w:t>
            </w:r>
          </w:p>
          <w:p w14:paraId="79EDD6EB" w14:textId="77777777" w:rsidR="00265869" w:rsidRPr="00F33674" w:rsidRDefault="00265869" w:rsidP="00265869">
            <w:pPr>
              <w:rPr>
                <w:rFonts w:ascii="Arial Narrow" w:hAnsi="Arial Narrow" w:cs="Arial"/>
                <w:i/>
                <w:sz w:val="20"/>
                <w:szCs w:val="20"/>
              </w:rPr>
            </w:pPr>
            <w:r w:rsidRPr="00F33674">
              <w:rPr>
                <w:rFonts w:ascii="Arial Narrow" w:hAnsi="Arial Narrow" w:cs="Arial"/>
                <w:i/>
                <w:sz w:val="20"/>
                <w:szCs w:val="20"/>
              </w:rPr>
              <w:fldChar w:fldCharType="begin">
                <w:ffData>
                  <w:name w:val=""/>
                  <w:enabled/>
                  <w:calcOnExit w:val="0"/>
                  <w:checkBox>
                    <w:sizeAuto/>
                    <w:default w:val="0"/>
                  </w:checkBox>
                </w:ffData>
              </w:fldChar>
            </w:r>
            <w:r w:rsidRPr="00F33674">
              <w:rPr>
                <w:rFonts w:ascii="Arial Narrow" w:hAnsi="Arial Narrow" w:cs="Arial"/>
                <w:i/>
                <w:sz w:val="20"/>
                <w:szCs w:val="20"/>
              </w:rPr>
              <w:instrText xml:space="preserve"> FORMCHECKBOX </w:instrText>
            </w:r>
            <w:r w:rsidR="00233D13">
              <w:rPr>
                <w:rFonts w:ascii="Arial Narrow" w:hAnsi="Arial Narrow" w:cs="Arial"/>
                <w:i/>
                <w:sz w:val="20"/>
                <w:szCs w:val="20"/>
              </w:rPr>
            </w:r>
            <w:r w:rsidR="00233D13">
              <w:rPr>
                <w:rFonts w:ascii="Arial Narrow" w:hAnsi="Arial Narrow" w:cs="Arial"/>
                <w:i/>
                <w:sz w:val="20"/>
                <w:szCs w:val="20"/>
              </w:rPr>
              <w:fldChar w:fldCharType="separate"/>
            </w:r>
            <w:r w:rsidRPr="00F33674">
              <w:rPr>
                <w:rFonts w:ascii="Arial Narrow" w:hAnsi="Arial Narrow" w:cs="Arial"/>
                <w:i/>
                <w:sz w:val="20"/>
                <w:szCs w:val="20"/>
              </w:rPr>
              <w:fldChar w:fldCharType="end"/>
            </w:r>
            <w:r w:rsidRPr="00F33674">
              <w:rPr>
                <w:rFonts w:ascii="Arial Narrow" w:hAnsi="Arial Narrow" w:cs="Arial"/>
                <w:sz w:val="20"/>
                <w:szCs w:val="20"/>
              </w:rPr>
              <w:t>Restricted benefit</w:t>
            </w:r>
          </w:p>
          <w:p w14:paraId="345ADF9F" w14:textId="77777777" w:rsidR="00265869" w:rsidRPr="00F33674" w:rsidRDefault="00265869" w:rsidP="00265869">
            <w:pPr>
              <w:rPr>
                <w:rFonts w:ascii="Arial Narrow" w:hAnsi="Arial Narrow" w:cs="Arial"/>
                <w:sz w:val="20"/>
                <w:szCs w:val="20"/>
              </w:rPr>
            </w:pPr>
            <w:r w:rsidRPr="00F33674">
              <w:rPr>
                <w:rFonts w:ascii="Arial Narrow" w:hAnsi="Arial Narrow" w:cs="Arial"/>
                <w:sz w:val="20"/>
                <w:szCs w:val="20"/>
              </w:rPr>
              <w:fldChar w:fldCharType="begin">
                <w:ffData>
                  <w:name w:val=""/>
                  <w:enabled/>
                  <w:calcOnExit w:val="0"/>
                  <w:checkBox>
                    <w:sizeAuto/>
                    <w:default w:val="0"/>
                  </w:checkBox>
                </w:ffData>
              </w:fldChar>
            </w:r>
            <w:r w:rsidRPr="00F33674">
              <w:rPr>
                <w:rFonts w:ascii="Arial Narrow" w:hAnsi="Arial Narrow" w:cs="Arial"/>
                <w:sz w:val="20"/>
                <w:szCs w:val="20"/>
              </w:rPr>
              <w:instrText xml:space="preserve"> FORMCHECKBOX </w:instrText>
            </w:r>
            <w:r w:rsidR="00233D13">
              <w:rPr>
                <w:rFonts w:ascii="Arial Narrow" w:hAnsi="Arial Narrow" w:cs="Arial"/>
                <w:sz w:val="20"/>
                <w:szCs w:val="20"/>
              </w:rPr>
            </w:r>
            <w:r w:rsidR="00233D13">
              <w:rPr>
                <w:rFonts w:ascii="Arial Narrow" w:hAnsi="Arial Narrow" w:cs="Arial"/>
                <w:sz w:val="20"/>
                <w:szCs w:val="20"/>
              </w:rPr>
              <w:fldChar w:fldCharType="separate"/>
            </w:r>
            <w:r w:rsidRPr="00F33674">
              <w:rPr>
                <w:rFonts w:ascii="Arial Narrow" w:hAnsi="Arial Narrow" w:cs="Arial"/>
                <w:sz w:val="20"/>
                <w:szCs w:val="20"/>
              </w:rPr>
              <w:fldChar w:fldCharType="end"/>
            </w:r>
            <w:r w:rsidRPr="00F33674">
              <w:rPr>
                <w:rFonts w:ascii="Arial Narrow" w:hAnsi="Arial Narrow" w:cs="Arial"/>
                <w:sz w:val="20"/>
                <w:szCs w:val="20"/>
              </w:rPr>
              <w:t>Authority Required – In Writing</w:t>
            </w:r>
          </w:p>
          <w:p w14:paraId="1D41AE5B" w14:textId="77777777" w:rsidR="00265869" w:rsidRPr="00F33674" w:rsidRDefault="00265869" w:rsidP="00265869">
            <w:pPr>
              <w:rPr>
                <w:rFonts w:ascii="Arial Narrow" w:hAnsi="Arial Narrow" w:cs="Arial"/>
                <w:sz w:val="20"/>
                <w:szCs w:val="20"/>
              </w:rPr>
            </w:pPr>
            <w:r w:rsidRPr="00F33674">
              <w:rPr>
                <w:rFonts w:ascii="Arial Narrow" w:hAnsi="Arial Narrow" w:cs="Arial"/>
                <w:sz w:val="20"/>
                <w:szCs w:val="20"/>
              </w:rPr>
              <w:fldChar w:fldCharType="begin">
                <w:ffData>
                  <w:name w:val="Check3"/>
                  <w:enabled/>
                  <w:calcOnExit w:val="0"/>
                  <w:checkBox>
                    <w:sizeAuto/>
                    <w:default w:val="0"/>
                  </w:checkBox>
                </w:ffData>
              </w:fldChar>
            </w:r>
            <w:r w:rsidRPr="00F33674">
              <w:rPr>
                <w:rFonts w:ascii="Arial Narrow" w:hAnsi="Arial Narrow" w:cs="Arial"/>
                <w:sz w:val="20"/>
                <w:szCs w:val="20"/>
              </w:rPr>
              <w:instrText xml:space="preserve"> FORMCHECKBOX </w:instrText>
            </w:r>
            <w:r w:rsidR="00233D13">
              <w:rPr>
                <w:rFonts w:ascii="Arial Narrow" w:hAnsi="Arial Narrow" w:cs="Arial"/>
                <w:sz w:val="20"/>
                <w:szCs w:val="20"/>
              </w:rPr>
            </w:r>
            <w:r w:rsidR="00233D13">
              <w:rPr>
                <w:rFonts w:ascii="Arial Narrow" w:hAnsi="Arial Narrow" w:cs="Arial"/>
                <w:sz w:val="20"/>
                <w:szCs w:val="20"/>
              </w:rPr>
              <w:fldChar w:fldCharType="separate"/>
            </w:r>
            <w:r w:rsidRPr="00F33674">
              <w:rPr>
                <w:rFonts w:ascii="Arial Narrow" w:hAnsi="Arial Narrow" w:cs="Arial"/>
                <w:sz w:val="20"/>
                <w:szCs w:val="20"/>
              </w:rPr>
              <w:fldChar w:fldCharType="end"/>
            </w:r>
            <w:r w:rsidRPr="00F33674">
              <w:rPr>
                <w:rFonts w:ascii="Arial Narrow" w:hAnsi="Arial Narrow" w:cs="Arial"/>
                <w:sz w:val="20"/>
                <w:szCs w:val="20"/>
              </w:rPr>
              <w:t>Authority Required – Telephone/Electronic/Emergency</w:t>
            </w:r>
          </w:p>
          <w:p w14:paraId="7BCA997E" w14:textId="77777777" w:rsidR="00265869" w:rsidRPr="00F33674" w:rsidRDefault="00265869" w:rsidP="00265869">
            <w:pPr>
              <w:rPr>
                <w:rFonts w:ascii="Arial Narrow" w:hAnsi="Arial Narrow" w:cs="Arial"/>
                <w:sz w:val="20"/>
                <w:szCs w:val="20"/>
              </w:rPr>
            </w:pPr>
            <w:r w:rsidRPr="00F33674">
              <w:rPr>
                <w:rFonts w:ascii="Arial Narrow" w:hAnsi="Arial Narrow" w:cs="Arial"/>
                <w:sz w:val="20"/>
                <w:szCs w:val="20"/>
              </w:rPr>
              <w:fldChar w:fldCharType="begin">
                <w:ffData>
                  <w:name w:val="Check5"/>
                  <w:enabled/>
                  <w:calcOnExit w:val="0"/>
                  <w:checkBox>
                    <w:sizeAuto/>
                    <w:default w:val="1"/>
                  </w:checkBox>
                </w:ffData>
              </w:fldChar>
            </w:r>
            <w:r w:rsidRPr="00F33674">
              <w:rPr>
                <w:rFonts w:ascii="Arial Narrow" w:hAnsi="Arial Narrow" w:cs="Arial"/>
                <w:sz w:val="20"/>
                <w:szCs w:val="20"/>
              </w:rPr>
              <w:instrText xml:space="preserve"> FORMCHECKBOX </w:instrText>
            </w:r>
            <w:r w:rsidR="00233D13">
              <w:rPr>
                <w:rFonts w:ascii="Arial Narrow" w:hAnsi="Arial Narrow" w:cs="Arial"/>
                <w:sz w:val="20"/>
                <w:szCs w:val="20"/>
              </w:rPr>
            </w:r>
            <w:r w:rsidR="00233D13">
              <w:rPr>
                <w:rFonts w:ascii="Arial Narrow" w:hAnsi="Arial Narrow" w:cs="Arial"/>
                <w:sz w:val="20"/>
                <w:szCs w:val="20"/>
              </w:rPr>
              <w:fldChar w:fldCharType="separate"/>
            </w:r>
            <w:r w:rsidRPr="00F33674">
              <w:rPr>
                <w:rFonts w:ascii="Arial Narrow" w:hAnsi="Arial Narrow" w:cs="Arial"/>
                <w:sz w:val="20"/>
                <w:szCs w:val="20"/>
              </w:rPr>
              <w:fldChar w:fldCharType="end"/>
            </w:r>
            <w:r w:rsidRPr="00F33674">
              <w:rPr>
                <w:rFonts w:ascii="Arial Narrow" w:hAnsi="Arial Narrow" w:cs="Arial"/>
                <w:sz w:val="20"/>
                <w:szCs w:val="20"/>
              </w:rPr>
              <w:t>Streamlined</w:t>
            </w:r>
          </w:p>
        </w:tc>
      </w:tr>
      <w:tr w:rsidR="00265869" w:rsidRPr="00F33674" w14:paraId="45D41E46" w14:textId="77777777" w:rsidTr="00C21DFA">
        <w:trPr>
          <w:cantSplit/>
          <w:trHeight w:val="360"/>
        </w:trPr>
        <w:tc>
          <w:tcPr>
            <w:tcW w:w="3183" w:type="dxa"/>
            <w:tcBorders>
              <w:top w:val="single" w:sz="4" w:space="0" w:color="auto"/>
              <w:left w:val="single" w:sz="4" w:space="0" w:color="auto"/>
              <w:bottom w:val="single" w:sz="4" w:space="0" w:color="auto"/>
              <w:right w:val="single" w:sz="4" w:space="0" w:color="auto"/>
            </w:tcBorders>
          </w:tcPr>
          <w:p w14:paraId="1E6A989A" w14:textId="77777777" w:rsidR="00265869" w:rsidRPr="00F33674" w:rsidRDefault="00265869" w:rsidP="00265869">
            <w:pPr>
              <w:rPr>
                <w:rFonts w:ascii="Arial Narrow" w:hAnsi="Arial Narrow" w:cs="Arial"/>
                <w:b/>
                <w:sz w:val="20"/>
                <w:szCs w:val="20"/>
              </w:rPr>
            </w:pPr>
            <w:r>
              <w:rPr>
                <w:rFonts w:ascii="Arial Narrow" w:hAnsi="Arial Narrow" w:cs="Arial"/>
                <w:b/>
                <w:sz w:val="20"/>
                <w:szCs w:val="20"/>
              </w:rPr>
              <w:t>Treatment phase:</w:t>
            </w:r>
          </w:p>
        </w:tc>
        <w:tc>
          <w:tcPr>
            <w:tcW w:w="5889" w:type="dxa"/>
            <w:tcBorders>
              <w:top w:val="single" w:sz="4" w:space="0" w:color="auto"/>
              <w:left w:val="single" w:sz="4" w:space="0" w:color="auto"/>
              <w:bottom w:val="single" w:sz="4" w:space="0" w:color="auto"/>
              <w:right w:val="single" w:sz="4" w:space="0" w:color="auto"/>
            </w:tcBorders>
          </w:tcPr>
          <w:p w14:paraId="7A6D1539" w14:textId="77777777" w:rsidR="00265869" w:rsidRPr="00F33674" w:rsidRDefault="00265869" w:rsidP="00265869">
            <w:pPr>
              <w:jc w:val="left"/>
              <w:rPr>
                <w:rFonts w:ascii="Arial Narrow" w:hAnsi="Arial Narrow" w:cs="Arial"/>
                <w:sz w:val="20"/>
                <w:szCs w:val="20"/>
              </w:rPr>
            </w:pPr>
            <w:r w:rsidRPr="004811F3">
              <w:rPr>
                <w:rFonts w:ascii="Arial Narrow" w:hAnsi="Arial Narrow" w:cs="Arial"/>
                <w:sz w:val="20"/>
                <w:szCs w:val="20"/>
              </w:rPr>
              <w:t xml:space="preserve">Initial PBS treatment after 1 June 2020 where patient </w:t>
            </w:r>
            <w:proofErr w:type="gramStart"/>
            <w:r w:rsidRPr="004811F3">
              <w:rPr>
                <w:rFonts w:ascii="Arial Narrow" w:hAnsi="Arial Narrow" w:cs="Arial"/>
                <w:sz w:val="20"/>
                <w:szCs w:val="20"/>
              </w:rPr>
              <w:t>has been treated</w:t>
            </w:r>
            <w:proofErr w:type="gramEnd"/>
            <w:r w:rsidRPr="004811F3">
              <w:rPr>
                <w:rFonts w:ascii="Arial Narrow" w:hAnsi="Arial Narrow" w:cs="Arial"/>
                <w:sz w:val="20"/>
                <w:szCs w:val="20"/>
              </w:rPr>
              <w:t xml:space="preserve"> with opioids for </w:t>
            </w:r>
            <w:r>
              <w:rPr>
                <w:rFonts w:ascii="Arial Narrow" w:hAnsi="Arial Narrow" w:cs="Arial"/>
                <w:sz w:val="20"/>
                <w:szCs w:val="20"/>
              </w:rPr>
              <w:t>more</w:t>
            </w:r>
            <w:r w:rsidRPr="004811F3">
              <w:rPr>
                <w:rFonts w:ascii="Arial Narrow" w:hAnsi="Arial Narrow" w:cs="Arial"/>
                <w:sz w:val="20"/>
                <w:szCs w:val="20"/>
              </w:rPr>
              <w:t xml:space="preserve"> than 12 months</w:t>
            </w:r>
            <w:r>
              <w:rPr>
                <w:rFonts w:ascii="Arial Narrow" w:hAnsi="Arial Narrow" w:cs="Arial"/>
                <w:sz w:val="20"/>
                <w:szCs w:val="20"/>
              </w:rPr>
              <w:t>.</w:t>
            </w:r>
          </w:p>
        </w:tc>
      </w:tr>
      <w:tr w:rsidR="00265869" w:rsidRPr="00F33674" w14:paraId="5CA66A1F" w14:textId="77777777" w:rsidTr="00C21DFA">
        <w:trPr>
          <w:cantSplit/>
          <w:trHeight w:val="360"/>
        </w:trPr>
        <w:tc>
          <w:tcPr>
            <w:tcW w:w="3183" w:type="dxa"/>
            <w:tcBorders>
              <w:top w:val="single" w:sz="4" w:space="0" w:color="auto"/>
              <w:left w:val="single" w:sz="4" w:space="0" w:color="auto"/>
              <w:bottom w:val="single" w:sz="4" w:space="0" w:color="auto"/>
              <w:right w:val="single" w:sz="4" w:space="0" w:color="auto"/>
            </w:tcBorders>
          </w:tcPr>
          <w:p w14:paraId="759A32ED" w14:textId="77777777" w:rsidR="00265869" w:rsidRPr="00F33674" w:rsidRDefault="00265869" w:rsidP="00265869">
            <w:pPr>
              <w:rPr>
                <w:rFonts w:ascii="Arial Narrow" w:hAnsi="Arial Narrow" w:cs="Arial"/>
                <w:b/>
                <w:sz w:val="20"/>
                <w:szCs w:val="20"/>
              </w:rPr>
            </w:pPr>
            <w:r w:rsidRPr="00F33674">
              <w:rPr>
                <w:rFonts w:ascii="Arial Narrow" w:hAnsi="Arial Narrow" w:cs="Arial"/>
                <w:b/>
                <w:sz w:val="20"/>
                <w:szCs w:val="20"/>
              </w:rPr>
              <w:lastRenderedPageBreak/>
              <w:t>Clinical criteria:</w:t>
            </w:r>
          </w:p>
        </w:tc>
        <w:tc>
          <w:tcPr>
            <w:tcW w:w="5889" w:type="dxa"/>
            <w:tcBorders>
              <w:top w:val="single" w:sz="4" w:space="0" w:color="auto"/>
              <w:left w:val="single" w:sz="4" w:space="0" w:color="auto"/>
              <w:bottom w:val="single" w:sz="4" w:space="0" w:color="auto"/>
              <w:right w:val="single" w:sz="4" w:space="0" w:color="auto"/>
            </w:tcBorders>
          </w:tcPr>
          <w:p w14:paraId="37A0A396" w14:textId="77777777" w:rsidR="00265869" w:rsidRPr="00F33674" w:rsidRDefault="00265869" w:rsidP="00265869">
            <w:pPr>
              <w:jc w:val="left"/>
              <w:rPr>
                <w:rFonts w:ascii="Arial Narrow" w:hAnsi="Arial Narrow" w:cs="Arial"/>
                <w:sz w:val="20"/>
                <w:szCs w:val="20"/>
              </w:rPr>
            </w:pPr>
            <w:r w:rsidRPr="00F33674">
              <w:rPr>
                <w:rFonts w:ascii="Arial Narrow" w:hAnsi="Arial Narrow" w:cs="Arial"/>
                <w:sz w:val="20"/>
                <w:szCs w:val="20"/>
              </w:rPr>
              <w:t>[new] The condition must require daily, continuous, long term treatment</w:t>
            </w:r>
          </w:p>
          <w:p w14:paraId="28B08424" w14:textId="77777777" w:rsidR="00265869" w:rsidRPr="00F33674" w:rsidRDefault="00265869" w:rsidP="00265869">
            <w:pPr>
              <w:jc w:val="left"/>
              <w:rPr>
                <w:rFonts w:ascii="Arial Narrow" w:hAnsi="Arial Narrow" w:cs="Arial"/>
                <w:sz w:val="20"/>
                <w:szCs w:val="20"/>
              </w:rPr>
            </w:pPr>
          </w:p>
          <w:p w14:paraId="16CA19F8" w14:textId="77777777" w:rsidR="00265869" w:rsidRPr="00F33674" w:rsidRDefault="00265869" w:rsidP="00265869">
            <w:pPr>
              <w:jc w:val="left"/>
              <w:rPr>
                <w:rFonts w:ascii="Arial Narrow" w:hAnsi="Arial Narrow" w:cs="Arial"/>
                <w:sz w:val="20"/>
                <w:szCs w:val="20"/>
              </w:rPr>
            </w:pPr>
            <w:r w:rsidRPr="00F33674">
              <w:rPr>
                <w:rFonts w:ascii="Arial Narrow" w:hAnsi="Arial Narrow" w:cs="Arial"/>
                <w:sz w:val="20"/>
                <w:szCs w:val="20"/>
              </w:rPr>
              <w:t>AND</w:t>
            </w:r>
          </w:p>
          <w:p w14:paraId="6252FE1B" w14:textId="77777777" w:rsidR="00265869" w:rsidRPr="00F33674" w:rsidRDefault="00265869" w:rsidP="00265869">
            <w:pPr>
              <w:jc w:val="left"/>
              <w:rPr>
                <w:rFonts w:ascii="Arial Narrow" w:hAnsi="Arial Narrow" w:cs="Arial"/>
                <w:sz w:val="20"/>
                <w:szCs w:val="20"/>
              </w:rPr>
            </w:pPr>
          </w:p>
          <w:p w14:paraId="24EB48CC" w14:textId="77777777" w:rsidR="00265869" w:rsidRPr="00F33674" w:rsidRDefault="00265869" w:rsidP="00265869">
            <w:pPr>
              <w:jc w:val="left"/>
              <w:rPr>
                <w:rFonts w:ascii="Arial Narrow" w:hAnsi="Arial Narrow" w:cs="Arial"/>
                <w:sz w:val="20"/>
                <w:szCs w:val="20"/>
              </w:rPr>
            </w:pPr>
            <w:r w:rsidRPr="00F33674">
              <w:rPr>
                <w:rFonts w:ascii="Arial Narrow" w:hAnsi="Arial Narrow" w:cs="Arial"/>
                <w:sz w:val="20"/>
                <w:szCs w:val="20"/>
              </w:rPr>
              <w:t>[new] Patient must not be opioid naïve</w:t>
            </w:r>
          </w:p>
          <w:p w14:paraId="71547EAB" w14:textId="77777777" w:rsidR="00265869" w:rsidRPr="00F33674" w:rsidRDefault="00265869" w:rsidP="00265869">
            <w:pPr>
              <w:jc w:val="left"/>
              <w:rPr>
                <w:rFonts w:ascii="Arial Narrow" w:hAnsi="Arial Narrow" w:cs="Arial"/>
                <w:sz w:val="20"/>
                <w:szCs w:val="20"/>
              </w:rPr>
            </w:pPr>
          </w:p>
          <w:p w14:paraId="518C47AD" w14:textId="77777777" w:rsidR="00265869" w:rsidRPr="00F33674" w:rsidRDefault="00265869" w:rsidP="00265869">
            <w:pPr>
              <w:jc w:val="left"/>
              <w:rPr>
                <w:rFonts w:ascii="Arial Narrow" w:hAnsi="Arial Narrow" w:cs="Arial"/>
                <w:sz w:val="20"/>
                <w:szCs w:val="20"/>
              </w:rPr>
            </w:pPr>
            <w:r w:rsidRPr="00F33674">
              <w:rPr>
                <w:rFonts w:ascii="Arial Narrow" w:hAnsi="Arial Narrow" w:cs="Arial"/>
                <w:sz w:val="20"/>
                <w:szCs w:val="20"/>
              </w:rPr>
              <w:t>AND</w:t>
            </w:r>
          </w:p>
          <w:p w14:paraId="0DA6A4DF" w14:textId="77777777" w:rsidR="00265869" w:rsidRPr="00F33674" w:rsidRDefault="00265869" w:rsidP="00265869">
            <w:pPr>
              <w:jc w:val="left"/>
              <w:rPr>
                <w:rFonts w:ascii="Arial Narrow" w:hAnsi="Arial Narrow" w:cs="Arial"/>
                <w:sz w:val="20"/>
                <w:szCs w:val="20"/>
              </w:rPr>
            </w:pPr>
          </w:p>
          <w:p w14:paraId="4D0FBD80" w14:textId="77777777" w:rsidR="00265869" w:rsidRPr="00F33674" w:rsidRDefault="00265869" w:rsidP="00265869">
            <w:pPr>
              <w:jc w:val="left"/>
              <w:rPr>
                <w:rFonts w:ascii="Arial Narrow" w:hAnsi="Arial Narrow" w:cs="Arial"/>
                <w:sz w:val="20"/>
                <w:szCs w:val="20"/>
              </w:rPr>
            </w:pPr>
            <w:r w:rsidRPr="00F33674">
              <w:rPr>
                <w:rFonts w:ascii="Arial Narrow" w:hAnsi="Arial Narrow" w:cs="Arial"/>
                <w:sz w:val="20"/>
                <w:szCs w:val="20"/>
              </w:rPr>
              <w:t xml:space="preserve">[18096] Patient must have </w:t>
            </w:r>
            <w:r>
              <w:rPr>
                <w:rFonts w:ascii="Arial Narrow" w:hAnsi="Arial Narrow" w:cs="Arial"/>
                <w:sz w:val="20"/>
                <w:szCs w:val="20"/>
              </w:rPr>
              <w:t>cancer pain</w:t>
            </w:r>
          </w:p>
          <w:p w14:paraId="6FE5C412" w14:textId="77777777" w:rsidR="00265869" w:rsidRPr="00F33674" w:rsidRDefault="00265869" w:rsidP="00265869">
            <w:pPr>
              <w:jc w:val="left"/>
              <w:rPr>
                <w:rFonts w:ascii="Arial Narrow" w:hAnsi="Arial Narrow" w:cs="Arial"/>
                <w:sz w:val="20"/>
                <w:szCs w:val="20"/>
              </w:rPr>
            </w:pPr>
            <w:r w:rsidRPr="00F33674">
              <w:rPr>
                <w:rFonts w:ascii="Arial Narrow" w:hAnsi="Arial Narrow" w:cs="Arial"/>
                <w:sz w:val="20"/>
                <w:szCs w:val="20"/>
              </w:rPr>
              <w:t>OR</w:t>
            </w:r>
          </w:p>
          <w:p w14:paraId="5C9FC7F2" w14:textId="77777777" w:rsidR="00265869" w:rsidRPr="00F33674" w:rsidRDefault="00265869" w:rsidP="00265869">
            <w:pPr>
              <w:jc w:val="left"/>
              <w:rPr>
                <w:rFonts w:ascii="Arial Narrow" w:hAnsi="Arial Narrow" w:cs="Arial"/>
                <w:sz w:val="20"/>
                <w:szCs w:val="20"/>
              </w:rPr>
            </w:pPr>
            <w:r w:rsidRPr="00F33674">
              <w:rPr>
                <w:rFonts w:ascii="Arial Narrow" w:hAnsi="Arial Narrow" w:cs="Arial"/>
                <w:sz w:val="20"/>
                <w:szCs w:val="20"/>
              </w:rPr>
              <w:t xml:space="preserve">[new] Patient must have </w:t>
            </w:r>
            <w:r>
              <w:rPr>
                <w:rFonts w:ascii="Arial Narrow" w:hAnsi="Arial Narrow" w:cs="Arial"/>
                <w:sz w:val="20"/>
                <w:szCs w:val="20"/>
              </w:rPr>
              <w:t>had or would have</w:t>
            </w:r>
            <w:r w:rsidRPr="00F33674">
              <w:rPr>
                <w:rFonts w:ascii="Arial Narrow" w:hAnsi="Arial Narrow" w:cs="Arial"/>
                <w:sz w:val="20"/>
                <w:szCs w:val="20"/>
              </w:rPr>
              <w:t xml:space="preserve"> </w:t>
            </w:r>
            <w:r>
              <w:rPr>
                <w:rFonts w:ascii="Arial Narrow" w:hAnsi="Arial Narrow" w:cs="Arial"/>
                <w:sz w:val="20"/>
                <w:szCs w:val="20"/>
              </w:rPr>
              <w:t>inadequate pain management</w:t>
            </w:r>
            <w:r w:rsidRPr="00F33674">
              <w:rPr>
                <w:rFonts w:ascii="Arial Narrow" w:hAnsi="Arial Narrow" w:cs="Arial"/>
                <w:sz w:val="20"/>
                <w:szCs w:val="20"/>
              </w:rPr>
              <w:t xml:space="preserve"> </w:t>
            </w:r>
            <w:r>
              <w:rPr>
                <w:rFonts w:ascii="Arial Narrow" w:hAnsi="Arial Narrow" w:cs="Arial"/>
                <w:sz w:val="20"/>
                <w:szCs w:val="20"/>
              </w:rPr>
              <w:t>with</w:t>
            </w:r>
            <w:r w:rsidRPr="00F33674">
              <w:rPr>
                <w:rFonts w:ascii="Arial Narrow" w:hAnsi="Arial Narrow" w:cs="Arial"/>
                <w:sz w:val="20"/>
                <w:szCs w:val="20"/>
              </w:rPr>
              <w:t xml:space="preserve"> tolerated doses of non-opioid and other opioid analgesics</w:t>
            </w:r>
          </w:p>
          <w:p w14:paraId="78C66DD8" w14:textId="77777777" w:rsidR="00265869" w:rsidRPr="00F33674" w:rsidRDefault="00265869" w:rsidP="00265869">
            <w:pPr>
              <w:jc w:val="left"/>
              <w:rPr>
                <w:rFonts w:ascii="Arial Narrow" w:hAnsi="Arial Narrow" w:cs="Arial"/>
                <w:sz w:val="20"/>
                <w:szCs w:val="20"/>
              </w:rPr>
            </w:pPr>
            <w:r w:rsidRPr="00F33674">
              <w:rPr>
                <w:rFonts w:ascii="Arial Narrow" w:hAnsi="Arial Narrow" w:cs="Arial"/>
                <w:sz w:val="20"/>
                <w:szCs w:val="20"/>
              </w:rPr>
              <w:t>OR</w:t>
            </w:r>
          </w:p>
          <w:p w14:paraId="6F70FCFD" w14:textId="77777777" w:rsidR="00265869" w:rsidRPr="00F33674" w:rsidRDefault="00265869" w:rsidP="00265869">
            <w:pPr>
              <w:jc w:val="left"/>
              <w:rPr>
                <w:rFonts w:ascii="Arial Narrow" w:hAnsi="Arial Narrow" w:cs="Arial"/>
                <w:sz w:val="20"/>
                <w:szCs w:val="20"/>
              </w:rPr>
            </w:pPr>
            <w:r w:rsidRPr="00F33674">
              <w:rPr>
                <w:rFonts w:ascii="Arial Narrow" w:hAnsi="Arial Narrow" w:cs="Arial"/>
                <w:sz w:val="20"/>
                <w:szCs w:val="20"/>
              </w:rPr>
              <w:t>[new] Patient must be unable to use non-opioid and other opioid analgesics due to contraindications or intolerance.</w:t>
            </w:r>
          </w:p>
        </w:tc>
      </w:tr>
      <w:tr w:rsidR="00265869" w:rsidRPr="00F33674" w14:paraId="7522C911" w14:textId="77777777" w:rsidTr="00C21DFA">
        <w:trPr>
          <w:cantSplit/>
          <w:trHeight w:val="360"/>
        </w:trPr>
        <w:tc>
          <w:tcPr>
            <w:tcW w:w="3183" w:type="dxa"/>
            <w:tcBorders>
              <w:top w:val="single" w:sz="4" w:space="0" w:color="auto"/>
              <w:left w:val="single" w:sz="4" w:space="0" w:color="auto"/>
              <w:bottom w:val="single" w:sz="4" w:space="0" w:color="auto"/>
              <w:right w:val="single" w:sz="4" w:space="0" w:color="auto"/>
            </w:tcBorders>
          </w:tcPr>
          <w:p w14:paraId="77421CF9" w14:textId="77777777" w:rsidR="00265869" w:rsidRPr="00F33674" w:rsidRDefault="00265869" w:rsidP="00265869">
            <w:pPr>
              <w:rPr>
                <w:rFonts w:ascii="Arial Narrow" w:hAnsi="Arial Narrow" w:cs="Arial"/>
                <w:b/>
                <w:sz w:val="20"/>
                <w:szCs w:val="20"/>
              </w:rPr>
            </w:pPr>
            <w:r w:rsidRPr="00F33674">
              <w:rPr>
                <w:rFonts w:ascii="Arial Narrow" w:hAnsi="Arial Narrow" w:cs="Arial"/>
                <w:b/>
                <w:sz w:val="20"/>
                <w:szCs w:val="20"/>
              </w:rPr>
              <w:t>Prescriber instruction:</w:t>
            </w:r>
          </w:p>
        </w:tc>
        <w:tc>
          <w:tcPr>
            <w:tcW w:w="5889" w:type="dxa"/>
            <w:tcBorders>
              <w:top w:val="single" w:sz="4" w:space="0" w:color="auto"/>
              <w:left w:val="single" w:sz="4" w:space="0" w:color="auto"/>
              <w:bottom w:val="single" w:sz="4" w:space="0" w:color="auto"/>
              <w:right w:val="single" w:sz="4" w:space="0" w:color="auto"/>
            </w:tcBorders>
          </w:tcPr>
          <w:p w14:paraId="3E5E6402" w14:textId="77777777" w:rsidR="00265869" w:rsidRPr="00744FB8" w:rsidRDefault="00265869" w:rsidP="00265869">
            <w:pPr>
              <w:jc w:val="left"/>
              <w:rPr>
                <w:rFonts w:ascii="Arial Narrow" w:hAnsi="Arial Narrow" w:cs="Arial"/>
                <w:sz w:val="20"/>
                <w:szCs w:val="20"/>
              </w:rPr>
            </w:pPr>
            <w:r w:rsidRPr="00F33674">
              <w:rPr>
                <w:rFonts w:ascii="Arial Narrow" w:hAnsi="Arial Narrow" w:cs="Arial"/>
                <w:sz w:val="20"/>
                <w:szCs w:val="20"/>
              </w:rPr>
              <w:t xml:space="preserve">[new] </w:t>
            </w:r>
            <w:r w:rsidRPr="00744FB8">
              <w:rPr>
                <w:rFonts w:ascii="Arial Narrow" w:hAnsi="Arial Narrow" w:cs="Arial"/>
                <w:sz w:val="20"/>
                <w:szCs w:val="20"/>
              </w:rPr>
              <w:t>Authorities for increased maximum quantities and/or repeats must only be considered for chronic severe disabling pain where the total duration of non-PBS and PBS opioid analgesic treatment:</w:t>
            </w:r>
          </w:p>
          <w:p w14:paraId="462F7BC4" w14:textId="77777777" w:rsidR="00265869" w:rsidRPr="00744FB8" w:rsidRDefault="00265869" w:rsidP="00265869">
            <w:pPr>
              <w:jc w:val="left"/>
              <w:rPr>
                <w:rFonts w:ascii="Arial Narrow" w:hAnsi="Arial Narrow" w:cs="Arial"/>
                <w:sz w:val="20"/>
                <w:szCs w:val="20"/>
              </w:rPr>
            </w:pPr>
            <w:r w:rsidRPr="00744FB8">
              <w:rPr>
                <w:rFonts w:ascii="Arial Narrow" w:hAnsi="Arial Narrow" w:cs="Arial"/>
                <w:sz w:val="20"/>
                <w:szCs w:val="20"/>
              </w:rPr>
              <w:t>(i) exceeds 12 months and the palliative care patient is unable to have annual pain management review due to their clinical condition; or</w:t>
            </w:r>
          </w:p>
          <w:p w14:paraId="26ABDC48" w14:textId="77777777" w:rsidR="00265869" w:rsidRPr="00744FB8" w:rsidRDefault="00265869" w:rsidP="00265869">
            <w:pPr>
              <w:jc w:val="left"/>
              <w:rPr>
                <w:rFonts w:ascii="Arial Narrow" w:hAnsi="Arial Narrow" w:cs="Arial"/>
                <w:sz w:val="20"/>
                <w:szCs w:val="20"/>
              </w:rPr>
            </w:pPr>
            <w:r w:rsidRPr="00744FB8">
              <w:rPr>
                <w:rFonts w:ascii="Arial Narrow" w:hAnsi="Arial Narrow" w:cs="Arial"/>
                <w:sz w:val="20"/>
                <w:szCs w:val="20"/>
              </w:rPr>
              <w:t>(ii) exceeds 12 months and the patient's clinical need for continuing opioid treatment has been confirmed through consultation with the patient by another medical practitioner or a palliative care nurse practitioner in the past 12 months; or</w:t>
            </w:r>
          </w:p>
          <w:p w14:paraId="2A2E73F9" w14:textId="77777777" w:rsidR="00265869" w:rsidRPr="00F33674" w:rsidRDefault="00265869" w:rsidP="00265869">
            <w:pPr>
              <w:jc w:val="left"/>
              <w:rPr>
                <w:rFonts w:ascii="Arial Narrow" w:hAnsi="Arial Narrow" w:cs="Arial"/>
                <w:sz w:val="20"/>
                <w:szCs w:val="20"/>
              </w:rPr>
            </w:pPr>
            <w:r w:rsidRPr="00744FB8">
              <w:rPr>
                <w:rFonts w:ascii="Arial Narrow" w:hAnsi="Arial Narrow" w:cs="Arial"/>
                <w:sz w:val="20"/>
                <w:szCs w:val="20"/>
              </w:rPr>
              <w:t xml:space="preserve">(iii) </w:t>
            </w:r>
            <w:proofErr w:type="gramStart"/>
            <w:r w:rsidRPr="00744FB8">
              <w:rPr>
                <w:rFonts w:ascii="Arial Narrow" w:hAnsi="Arial Narrow" w:cs="Arial"/>
                <w:sz w:val="20"/>
                <w:szCs w:val="20"/>
              </w:rPr>
              <w:t>has</w:t>
            </w:r>
            <w:proofErr w:type="gramEnd"/>
            <w:r w:rsidRPr="00744FB8">
              <w:rPr>
                <w:rFonts w:ascii="Arial Narrow" w:hAnsi="Arial Narrow" w:cs="Arial"/>
                <w:sz w:val="20"/>
                <w:szCs w:val="20"/>
              </w:rPr>
              <w:t xml:space="preserve"> exceeded 12 months prior to 1 June 2020 and the patient's clinical need for continuing opioid treatment has not been confirmed through consultation with the patient by another medical practitioner or a palliative care nurse practitioner in the past 12 months, but is planned in the next 3 months.</w:t>
            </w:r>
          </w:p>
          <w:p w14:paraId="5323EBAD" w14:textId="77777777" w:rsidR="00265869" w:rsidRPr="00F33674" w:rsidRDefault="00265869" w:rsidP="00265869">
            <w:pPr>
              <w:jc w:val="left"/>
              <w:rPr>
                <w:rFonts w:ascii="Arial Narrow" w:hAnsi="Arial Narrow" w:cs="Arial"/>
                <w:sz w:val="20"/>
                <w:szCs w:val="20"/>
              </w:rPr>
            </w:pPr>
          </w:p>
          <w:p w14:paraId="24152BFC" w14:textId="77777777" w:rsidR="00265869" w:rsidRPr="00F33674" w:rsidRDefault="00265869" w:rsidP="00265869">
            <w:pPr>
              <w:jc w:val="left"/>
              <w:rPr>
                <w:rFonts w:ascii="Arial Narrow" w:hAnsi="Arial Narrow" w:cs="Arial"/>
                <w:sz w:val="20"/>
                <w:szCs w:val="20"/>
              </w:rPr>
            </w:pPr>
            <w:r w:rsidRPr="00F33674">
              <w:rPr>
                <w:rFonts w:ascii="Arial Narrow" w:hAnsi="Arial Narrow" w:cs="Arial"/>
                <w:sz w:val="20"/>
                <w:szCs w:val="20"/>
              </w:rPr>
              <w:t>[new] Authority requests extending treatment duration up to 1 month may be requested though the Online PBS Authorities system or by calling Services Australia.</w:t>
            </w:r>
          </w:p>
          <w:p w14:paraId="5B4517BF" w14:textId="77777777" w:rsidR="00265869" w:rsidRPr="00F33674" w:rsidRDefault="00265869" w:rsidP="00265869">
            <w:pPr>
              <w:jc w:val="left"/>
              <w:rPr>
                <w:rFonts w:ascii="Arial Narrow" w:hAnsi="Arial Narrow" w:cs="Arial"/>
                <w:sz w:val="20"/>
                <w:szCs w:val="20"/>
              </w:rPr>
            </w:pPr>
          </w:p>
          <w:p w14:paraId="04ACD2E2" w14:textId="77777777" w:rsidR="00265869" w:rsidRPr="00F33674" w:rsidRDefault="00265869" w:rsidP="00265869">
            <w:pPr>
              <w:jc w:val="left"/>
              <w:rPr>
                <w:rFonts w:ascii="Arial Narrow" w:hAnsi="Arial Narrow" w:cs="Arial"/>
                <w:sz w:val="20"/>
                <w:szCs w:val="20"/>
              </w:rPr>
            </w:pPr>
            <w:r w:rsidRPr="00F33674">
              <w:rPr>
                <w:rFonts w:ascii="Arial Narrow" w:hAnsi="Arial Narrow" w:cs="Arial"/>
                <w:sz w:val="20"/>
                <w:szCs w:val="20"/>
              </w:rPr>
              <w:t xml:space="preserve">Authority requests extending treatment duration beyond 1 month </w:t>
            </w:r>
            <w:r>
              <w:rPr>
                <w:rFonts w:ascii="Arial Narrow" w:hAnsi="Arial Narrow" w:cs="Arial"/>
                <w:sz w:val="20"/>
                <w:szCs w:val="20"/>
              </w:rPr>
              <w:t>may be requested through the Online PBS Authorities system</w:t>
            </w:r>
            <w:r w:rsidRPr="00F33674">
              <w:rPr>
                <w:rFonts w:ascii="Arial Narrow" w:hAnsi="Arial Narrow" w:cs="Arial"/>
                <w:sz w:val="20"/>
                <w:szCs w:val="20"/>
              </w:rPr>
              <w:t xml:space="preserve"> or in writing only and must not provide a treatment duration exceeding </w:t>
            </w:r>
            <w:r>
              <w:rPr>
                <w:rFonts w:ascii="Arial Narrow" w:hAnsi="Arial Narrow" w:cs="Arial"/>
                <w:sz w:val="20"/>
                <w:szCs w:val="20"/>
              </w:rPr>
              <w:t xml:space="preserve">3 months (quantity sufficient for up to </w:t>
            </w:r>
            <w:proofErr w:type="gramStart"/>
            <w:r>
              <w:rPr>
                <w:rFonts w:ascii="Arial Narrow" w:hAnsi="Arial Narrow" w:cs="Arial"/>
                <w:sz w:val="20"/>
                <w:szCs w:val="20"/>
              </w:rPr>
              <w:t>1 month</w:t>
            </w:r>
            <w:proofErr w:type="gramEnd"/>
            <w:r>
              <w:rPr>
                <w:rFonts w:ascii="Arial Narrow" w:hAnsi="Arial Narrow" w:cs="Arial"/>
                <w:sz w:val="20"/>
                <w:szCs w:val="20"/>
              </w:rPr>
              <w:t xml:space="preserve"> treatment and sufficient repeats).</w:t>
            </w:r>
          </w:p>
        </w:tc>
      </w:tr>
      <w:tr w:rsidR="00265869" w:rsidRPr="00F33674" w14:paraId="3E230452" w14:textId="77777777" w:rsidTr="00C21DFA">
        <w:trPr>
          <w:cantSplit/>
          <w:trHeight w:val="360"/>
        </w:trPr>
        <w:tc>
          <w:tcPr>
            <w:tcW w:w="3183" w:type="dxa"/>
            <w:tcBorders>
              <w:top w:val="single" w:sz="4" w:space="0" w:color="auto"/>
              <w:left w:val="single" w:sz="4" w:space="0" w:color="auto"/>
              <w:bottom w:val="single" w:sz="4" w:space="0" w:color="auto"/>
              <w:right w:val="single" w:sz="4" w:space="0" w:color="auto"/>
            </w:tcBorders>
          </w:tcPr>
          <w:p w14:paraId="52888E61" w14:textId="5FDA0F7C" w:rsidR="00265869" w:rsidRPr="00F33674" w:rsidRDefault="00265869" w:rsidP="00265869">
            <w:pPr>
              <w:rPr>
                <w:rFonts w:ascii="Arial Narrow" w:hAnsi="Arial Narrow" w:cs="Arial"/>
                <w:b/>
                <w:sz w:val="20"/>
                <w:szCs w:val="20"/>
              </w:rPr>
            </w:pPr>
            <w:r w:rsidRPr="00F33674">
              <w:rPr>
                <w:rFonts w:ascii="Arial Narrow" w:hAnsi="Arial Narrow" w:cs="Arial"/>
                <w:b/>
                <w:sz w:val="20"/>
                <w:szCs w:val="20"/>
              </w:rPr>
              <w:lastRenderedPageBreak/>
              <w:t>Administrative advice:</w:t>
            </w:r>
          </w:p>
        </w:tc>
        <w:tc>
          <w:tcPr>
            <w:tcW w:w="5889" w:type="dxa"/>
            <w:tcBorders>
              <w:top w:val="single" w:sz="4" w:space="0" w:color="auto"/>
              <w:left w:val="single" w:sz="4" w:space="0" w:color="auto"/>
              <w:bottom w:val="single" w:sz="4" w:space="0" w:color="auto"/>
              <w:right w:val="single" w:sz="4" w:space="0" w:color="auto"/>
            </w:tcBorders>
          </w:tcPr>
          <w:p w14:paraId="1EA948FB" w14:textId="77777777" w:rsidR="00265869" w:rsidRPr="00F33674" w:rsidRDefault="00265869" w:rsidP="00265869">
            <w:pPr>
              <w:jc w:val="left"/>
              <w:rPr>
                <w:rFonts w:ascii="Arial Narrow" w:hAnsi="Arial Narrow"/>
                <w:sz w:val="20"/>
                <w:szCs w:val="20"/>
              </w:rPr>
            </w:pPr>
            <w:r w:rsidRPr="00F33674">
              <w:rPr>
                <w:rFonts w:ascii="Arial Narrow" w:hAnsi="Arial Narrow"/>
                <w:sz w:val="20"/>
                <w:szCs w:val="20"/>
              </w:rPr>
              <w:t xml:space="preserve">[13978] Fentanyl transdermal patches </w:t>
            </w:r>
            <w:proofErr w:type="gramStart"/>
            <w:r w:rsidRPr="00F33674">
              <w:rPr>
                <w:rFonts w:ascii="Arial Narrow" w:hAnsi="Arial Narrow"/>
                <w:sz w:val="20"/>
                <w:szCs w:val="20"/>
              </w:rPr>
              <w:t>are not recommended</w:t>
            </w:r>
            <w:proofErr w:type="gramEnd"/>
            <w:r w:rsidRPr="00F33674">
              <w:rPr>
                <w:rFonts w:ascii="Arial Narrow" w:hAnsi="Arial Narrow"/>
                <w:sz w:val="20"/>
                <w:szCs w:val="20"/>
              </w:rPr>
              <w:t xml:space="preserve"> in opioid naive patients with non-cancer pain because of a high incidence of adverse events in these patients. Patients with cancer pain </w:t>
            </w:r>
            <w:proofErr w:type="gramStart"/>
            <w:r w:rsidRPr="00F33674">
              <w:rPr>
                <w:rFonts w:ascii="Arial Narrow" w:hAnsi="Arial Narrow"/>
                <w:sz w:val="20"/>
                <w:szCs w:val="20"/>
              </w:rPr>
              <w:t>may be initiated</w:t>
            </w:r>
            <w:proofErr w:type="gramEnd"/>
            <w:r w:rsidRPr="00F33674">
              <w:rPr>
                <w:rFonts w:ascii="Arial Narrow" w:hAnsi="Arial Narrow"/>
                <w:sz w:val="20"/>
                <w:szCs w:val="20"/>
              </w:rPr>
              <w:t xml:space="preserve"> on the lowest strength patch (12 micrograms per hour).</w:t>
            </w:r>
          </w:p>
          <w:p w14:paraId="5F61895E" w14:textId="77777777" w:rsidR="00265869" w:rsidRPr="00F33674" w:rsidRDefault="00265869" w:rsidP="00265869">
            <w:pPr>
              <w:jc w:val="left"/>
              <w:rPr>
                <w:rFonts w:ascii="Arial Narrow" w:hAnsi="Arial Narrow"/>
                <w:sz w:val="20"/>
                <w:szCs w:val="20"/>
              </w:rPr>
            </w:pPr>
          </w:p>
          <w:p w14:paraId="3BDFC03A" w14:textId="77777777" w:rsidR="00265869" w:rsidRPr="00F33674" w:rsidRDefault="00265869" w:rsidP="00265869">
            <w:pPr>
              <w:jc w:val="left"/>
              <w:rPr>
                <w:rFonts w:ascii="Arial Narrow" w:hAnsi="Arial Narrow"/>
                <w:sz w:val="20"/>
                <w:szCs w:val="20"/>
              </w:rPr>
            </w:pPr>
            <w:r w:rsidRPr="00F33674">
              <w:rPr>
                <w:rFonts w:ascii="Arial Narrow" w:hAnsi="Arial Narrow"/>
                <w:sz w:val="20"/>
                <w:szCs w:val="20"/>
              </w:rPr>
              <w:t>[new] Consider consultation with a multidisciplinary pain service prior to, or after commencement of this medication.</w:t>
            </w:r>
          </w:p>
          <w:p w14:paraId="11DE4C30" w14:textId="77777777" w:rsidR="00265869" w:rsidRPr="00F33674" w:rsidRDefault="00265869" w:rsidP="00265869">
            <w:pPr>
              <w:jc w:val="left"/>
              <w:rPr>
                <w:rFonts w:ascii="Arial Narrow" w:hAnsi="Arial Narrow"/>
                <w:sz w:val="20"/>
                <w:szCs w:val="20"/>
              </w:rPr>
            </w:pPr>
          </w:p>
          <w:p w14:paraId="181D7C1F" w14:textId="77777777" w:rsidR="00265869" w:rsidRPr="00F33674" w:rsidRDefault="00265869" w:rsidP="00265869">
            <w:pPr>
              <w:jc w:val="left"/>
              <w:rPr>
                <w:rFonts w:ascii="Arial Narrow" w:hAnsi="Arial Narrow" w:cs="Arial"/>
                <w:sz w:val="20"/>
                <w:szCs w:val="20"/>
              </w:rPr>
            </w:pPr>
            <w:r w:rsidRPr="00F33674">
              <w:rPr>
                <w:rFonts w:ascii="Arial Narrow" w:hAnsi="Arial Narrow" w:cs="Arial"/>
                <w:sz w:val="20"/>
                <w:szCs w:val="20"/>
              </w:rPr>
              <w:t>[new] This treatment is not suitable for ‘as-required’ pain relief.</w:t>
            </w:r>
          </w:p>
          <w:p w14:paraId="3E2F6AF5" w14:textId="77777777" w:rsidR="00265869" w:rsidRPr="00F33674" w:rsidRDefault="00265869" w:rsidP="00265869">
            <w:pPr>
              <w:jc w:val="left"/>
              <w:rPr>
                <w:rFonts w:ascii="Arial Narrow" w:hAnsi="Arial Narrow"/>
                <w:sz w:val="20"/>
                <w:szCs w:val="20"/>
              </w:rPr>
            </w:pPr>
          </w:p>
          <w:p w14:paraId="3C270D99" w14:textId="77777777" w:rsidR="00265869" w:rsidRPr="00F33674" w:rsidRDefault="00265869" w:rsidP="00265869">
            <w:pPr>
              <w:jc w:val="left"/>
              <w:rPr>
                <w:rFonts w:ascii="Arial Narrow" w:hAnsi="Arial Narrow" w:cs="Arial"/>
                <w:sz w:val="20"/>
                <w:szCs w:val="20"/>
              </w:rPr>
            </w:pPr>
            <w:r w:rsidRPr="00F33674">
              <w:rPr>
                <w:rFonts w:ascii="Arial Narrow" w:hAnsi="Arial Narrow" w:cs="Arial"/>
                <w:sz w:val="20"/>
                <w:szCs w:val="20"/>
              </w:rPr>
              <w:t>[13983] Pharmaceutical benefits that have the form fentanyl 75 microgram/hour patch are equivalent for the purposes of substitution.</w:t>
            </w:r>
          </w:p>
          <w:p w14:paraId="41418332" w14:textId="77777777" w:rsidR="00265869" w:rsidRPr="00F33674" w:rsidRDefault="00265869" w:rsidP="00265869">
            <w:pPr>
              <w:jc w:val="left"/>
              <w:rPr>
                <w:rFonts w:ascii="Arial Narrow" w:hAnsi="Arial Narrow" w:cs="Arial"/>
                <w:sz w:val="20"/>
                <w:szCs w:val="20"/>
              </w:rPr>
            </w:pPr>
          </w:p>
          <w:p w14:paraId="0952DC20" w14:textId="77777777" w:rsidR="00265869" w:rsidRPr="00F33674" w:rsidRDefault="00265869" w:rsidP="00265869">
            <w:pPr>
              <w:jc w:val="left"/>
              <w:rPr>
                <w:rFonts w:ascii="Arial Narrow" w:hAnsi="Arial Narrow" w:cs="Arial"/>
                <w:sz w:val="20"/>
                <w:szCs w:val="20"/>
              </w:rPr>
            </w:pPr>
            <w:r w:rsidRPr="00F33674">
              <w:rPr>
                <w:rFonts w:ascii="Arial Narrow" w:hAnsi="Arial Narrow" w:cs="Arial"/>
                <w:sz w:val="20"/>
                <w:szCs w:val="20"/>
              </w:rPr>
              <w:t xml:space="preserve">[7901] Shared Care Model: For prescribing by nurse practitioners where care of a patient </w:t>
            </w:r>
            <w:proofErr w:type="gramStart"/>
            <w:r w:rsidRPr="00F33674">
              <w:rPr>
                <w:rFonts w:ascii="Arial Narrow" w:hAnsi="Arial Narrow" w:cs="Arial"/>
                <w:sz w:val="20"/>
                <w:szCs w:val="20"/>
              </w:rPr>
              <w:t>is shared</w:t>
            </w:r>
            <w:proofErr w:type="gramEnd"/>
            <w:r w:rsidRPr="00F33674">
              <w:rPr>
                <w:rFonts w:ascii="Arial Narrow" w:hAnsi="Arial Narrow" w:cs="Arial"/>
                <w:sz w:val="20"/>
                <w:szCs w:val="20"/>
              </w:rPr>
              <w:t xml:space="preserve"> between a nurse practitioner and medical practitioner in a formalised arrangement with an agreed management plan. Further information </w:t>
            </w:r>
            <w:proofErr w:type="gramStart"/>
            <w:r w:rsidRPr="00F33674">
              <w:rPr>
                <w:rFonts w:ascii="Arial Narrow" w:hAnsi="Arial Narrow" w:cs="Arial"/>
                <w:sz w:val="20"/>
                <w:szCs w:val="20"/>
              </w:rPr>
              <w:t>can be found</w:t>
            </w:r>
            <w:proofErr w:type="gramEnd"/>
            <w:r w:rsidRPr="00F33674">
              <w:rPr>
                <w:rFonts w:ascii="Arial Narrow" w:hAnsi="Arial Narrow" w:cs="Arial"/>
                <w:sz w:val="20"/>
                <w:szCs w:val="20"/>
              </w:rPr>
              <w:t xml:space="preserve"> in the Explanatory Notes for Nurse Practitioners.</w:t>
            </w:r>
          </w:p>
          <w:p w14:paraId="4AD36BA0" w14:textId="77777777" w:rsidR="00265869" w:rsidRPr="00F33674" w:rsidRDefault="00265869" w:rsidP="00265869">
            <w:pPr>
              <w:jc w:val="left"/>
              <w:rPr>
                <w:rFonts w:ascii="Arial Narrow" w:hAnsi="Arial Narrow" w:cs="Arial"/>
                <w:sz w:val="20"/>
                <w:szCs w:val="20"/>
              </w:rPr>
            </w:pPr>
          </w:p>
          <w:p w14:paraId="2BD4B537" w14:textId="77777777" w:rsidR="00265869" w:rsidRPr="00F33674" w:rsidRDefault="00265869" w:rsidP="00265869">
            <w:pPr>
              <w:jc w:val="left"/>
              <w:rPr>
                <w:rFonts w:ascii="Arial Narrow" w:hAnsi="Arial Narrow" w:cs="Arial"/>
                <w:sz w:val="20"/>
                <w:szCs w:val="20"/>
              </w:rPr>
            </w:pPr>
            <w:r w:rsidRPr="00F33674">
              <w:rPr>
                <w:rFonts w:ascii="Arial Narrow" w:hAnsi="Arial Narrow" w:cs="Arial"/>
                <w:sz w:val="20"/>
                <w:szCs w:val="20"/>
              </w:rPr>
              <w:t>[new] Real time online applications for increased maximum quantities/repeats may be made using the Online PBS Authorities system (see www.servicesaustralia.gov.au/organisations/health-professionals/services/medicare/hpos/services/request-authority-using-online-pbs-authorities-hpos)</w:t>
            </w:r>
          </w:p>
          <w:p w14:paraId="1A38BB86" w14:textId="77777777" w:rsidR="00265869" w:rsidRPr="00F33674" w:rsidRDefault="00265869" w:rsidP="00265869">
            <w:pPr>
              <w:jc w:val="left"/>
              <w:rPr>
                <w:rFonts w:ascii="Arial Narrow" w:hAnsi="Arial Narrow" w:cs="Arial"/>
                <w:sz w:val="20"/>
                <w:szCs w:val="20"/>
              </w:rPr>
            </w:pPr>
          </w:p>
          <w:p w14:paraId="0D7ED488" w14:textId="77777777" w:rsidR="00265869" w:rsidRPr="00F33674" w:rsidRDefault="00265869" w:rsidP="00265869">
            <w:pPr>
              <w:jc w:val="left"/>
              <w:rPr>
                <w:rFonts w:ascii="Arial Narrow" w:hAnsi="Arial Narrow" w:cs="Arial"/>
                <w:sz w:val="20"/>
                <w:szCs w:val="20"/>
              </w:rPr>
            </w:pPr>
            <w:r w:rsidRPr="00F33674">
              <w:rPr>
                <w:rFonts w:ascii="Arial Narrow" w:hAnsi="Arial Narrow" w:cs="Arial"/>
                <w:sz w:val="20"/>
                <w:szCs w:val="20"/>
              </w:rPr>
              <w:t>Phone applications for increased maximum quantities/repeats may be made by calling 1800 888 333.</w:t>
            </w:r>
          </w:p>
          <w:p w14:paraId="55AC1882" w14:textId="77777777" w:rsidR="00265869" w:rsidRPr="00F33674" w:rsidRDefault="00265869" w:rsidP="00265869">
            <w:pPr>
              <w:jc w:val="left"/>
              <w:rPr>
                <w:rFonts w:ascii="Arial Narrow" w:hAnsi="Arial Narrow" w:cs="Arial"/>
                <w:sz w:val="20"/>
                <w:szCs w:val="20"/>
              </w:rPr>
            </w:pPr>
          </w:p>
          <w:p w14:paraId="4635086C" w14:textId="77777777" w:rsidR="00265869" w:rsidRPr="00F33674" w:rsidRDefault="00265869" w:rsidP="00265869">
            <w:pPr>
              <w:jc w:val="left"/>
              <w:rPr>
                <w:rFonts w:ascii="Arial Narrow" w:hAnsi="Arial Narrow" w:cs="Arial"/>
                <w:sz w:val="20"/>
                <w:szCs w:val="20"/>
              </w:rPr>
            </w:pPr>
            <w:r w:rsidRPr="00F33674">
              <w:rPr>
                <w:rFonts w:ascii="Arial Narrow" w:hAnsi="Arial Narrow" w:cs="Arial"/>
                <w:sz w:val="20"/>
                <w:szCs w:val="20"/>
              </w:rPr>
              <w:t>Written authority applications for increased maximum quantities/repeats can be uploaded online through HPOS form upload or mailed to:</w:t>
            </w:r>
          </w:p>
          <w:p w14:paraId="7B90DEDD" w14:textId="77777777" w:rsidR="00265869" w:rsidRPr="00F33674" w:rsidRDefault="00265869" w:rsidP="00265869">
            <w:pPr>
              <w:jc w:val="left"/>
              <w:rPr>
                <w:rFonts w:ascii="Arial Narrow" w:hAnsi="Arial Narrow" w:cs="Arial"/>
                <w:sz w:val="20"/>
                <w:szCs w:val="20"/>
              </w:rPr>
            </w:pPr>
            <w:r w:rsidRPr="00F33674">
              <w:rPr>
                <w:rFonts w:ascii="Arial Narrow" w:hAnsi="Arial Narrow" w:cs="Arial"/>
                <w:sz w:val="20"/>
                <w:szCs w:val="20"/>
              </w:rPr>
              <w:t>Pharmaceutical Benefits Scheme</w:t>
            </w:r>
          </w:p>
          <w:p w14:paraId="7FC2B6FF" w14:textId="77777777" w:rsidR="00265869" w:rsidRPr="00F33674" w:rsidRDefault="00265869" w:rsidP="00265869">
            <w:pPr>
              <w:jc w:val="left"/>
              <w:rPr>
                <w:rFonts w:ascii="Arial Narrow" w:hAnsi="Arial Narrow" w:cs="Arial"/>
                <w:sz w:val="20"/>
                <w:szCs w:val="20"/>
              </w:rPr>
            </w:pPr>
            <w:r w:rsidRPr="00F33674">
              <w:rPr>
                <w:rFonts w:ascii="Arial Narrow" w:hAnsi="Arial Narrow" w:cs="Arial"/>
                <w:sz w:val="20"/>
                <w:szCs w:val="20"/>
              </w:rPr>
              <w:t>Reply Paid 9857</w:t>
            </w:r>
          </w:p>
          <w:p w14:paraId="6F70315F" w14:textId="6BF3586F" w:rsidR="00265869" w:rsidRPr="00F33674" w:rsidRDefault="00265869" w:rsidP="00265869">
            <w:pPr>
              <w:jc w:val="left"/>
              <w:rPr>
                <w:rFonts w:ascii="Arial Narrow" w:hAnsi="Arial Narrow" w:cs="Arial"/>
                <w:sz w:val="20"/>
                <w:szCs w:val="20"/>
              </w:rPr>
            </w:pPr>
            <w:r w:rsidRPr="00F33674">
              <w:rPr>
                <w:rFonts w:ascii="Arial Narrow" w:hAnsi="Arial Narrow" w:cs="Arial"/>
                <w:sz w:val="20"/>
                <w:szCs w:val="20"/>
              </w:rPr>
              <w:t>[Your capital city]</w:t>
            </w:r>
          </w:p>
        </w:tc>
      </w:tr>
      <w:tr w:rsidR="00265869" w:rsidRPr="00F33674" w14:paraId="03183F78" w14:textId="77777777" w:rsidTr="00C21DFA">
        <w:trPr>
          <w:cantSplit/>
          <w:trHeight w:val="360"/>
        </w:trPr>
        <w:tc>
          <w:tcPr>
            <w:tcW w:w="3183" w:type="dxa"/>
            <w:tcBorders>
              <w:top w:val="single" w:sz="4" w:space="0" w:color="auto"/>
              <w:left w:val="single" w:sz="4" w:space="0" w:color="auto"/>
              <w:bottom w:val="single" w:sz="4" w:space="0" w:color="auto"/>
              <w:right w:val="single" w:sz="4" w:space="0" w:color="auto"/>
            </w:tcBorders>
          </w:tcPr>
          <w:p w14:paraId="60698C89" w14:textId="77777777" w:rsidR="00265869" w:rsidRPr="00F33674" w:rsidRDefault="00265869" w:rsidP="00265869">
            <w:pPr>
              <w:rPr>
                <w:rFonts w:ascii="Arial Narrow" w:hAnsi="Arial Narrow" w:cs="Arial"/>
                <w:b/>
                <w:sz w:val="20"/>
                <w:szCs w:val="20"/>
              </w:rPr>
            </w:pPr>
            <w:r w:rsidRPr="00F33674">
              <w:rPr>
                <w:rFonts w:ascii="Arial Narrow" w:hAnsi="Arial Narrow" w:cs="Arial"/>
                <w:b/>
                <w:sz w:val="20"/>
                <w:szCs w:val="20"/>
              </w:rPr>
              <w:t>Cautions:</w:t>
            </w:r>
          </w:p>
        </w:tc>
        <w:tc>
          <w:tcPr>
            <w:tcW w:w="5889" w:type="dxa"/>
            <w:tcBorders>
              <w:top w:val="single" w:sz="4" w:space="0" w:color="auto"/>
              <w:left w:val="single" w:sz="4" w:space="0" w:color="auto"/>
              <w:bottom w:val="single" w:sz="4" w:space="0" w:color="auto"/>
              <w:right w:val="single" w:sz="4" w:space="0" w:color="auto"/>
            </w:tcBorders>
          </w:tcPr>
          <w:p w14:paraId="4C41604D" w14:textId="77777777" w:rsidR="00265869" w:rsidRPr="00F33674" w:rsidRDefault="00265869" w:rsidP="00265869">
            <w:pPr>
              <w:jc w:val="left"/>
              <w:rPr>
                <w:rFonts w:ascii="Arial Narrow" w:hAnsi="Arial Narrow" w:cs="Arial"/>
                <w:sz w:val="20"/>
                <w:szCs w:val="20"/>
              </w:rPr>
            </w:pPr>
            <w:r w:rsidRPr="00F33674">
              <w:rPr>
                <w:rFonts w:ascii="Arial Narrow" w:hAnsi="Arial Narrow" w:cs="Arial"/>
                <w:sz w:val="20"/>
                <w:szCs w:val="20"/>
              </w:rPr>
              <w:t>[6986] The risk of drug dependence is high.</w:t>
            </w:r>
          </w:p>
        </w:tc>
      </w:tr>
    </w:tbl>
    <w:p w14:paraId="54479BBC" w14:textId="77777777" w:rsidR="00265869" w:rsidRDefault="00265869" w:rsidP="00265869">
      <w:pPr>
        <w:pStyle w:val="3-BodyText"/>
        <w:numPr>
          <w:ilvl w:val="0"/>
          <w:numId w:val="0"/>
        </w:numPr>
        <w:ind w:left="720" w:hanging="720"/>
      </w:pPr>
    </w:p>
    <w:tbl>
      <w:tblPr>
        <w:tblW w:w="9214" w:type="dxa"/>
        <w:tblInd w:w="-5" w:type="dxa"/>
        <w:tblLook w:val="0000" w:firstRow="0" w:lastRow="0" w:firstColumn="0" w:lastColumn="0" w:noHBand="0" w:noVBand="0"/>
      </w:tblPr>
      <w:tblGrid>
        <w:gridCol w:w="3183"/>
        <w:gridCol w:w="6031"/>
      </w:tblGrid>
      <w:tr w:rsidR="00265869" w:rsidRPr="00F33674" w14:paraId="4F6E0868" w14:textId="77777777" w:rsidTr="00C21DFA">
        <w:trPr>
          <w:cantSplit/>
          <w:trHeight w:val="360"/>
        </w:trPr>
        <w:tc>
          <w:tcPr>
            <w:tcW w:w="3183" w:type="dxa"/>
            <w:tcBorders>
              <w:top w:val="single" w:sz="4" w:space="0" w:color="auto"/>
              <w:left w:val="single" w:sz="4" w:space="0" w:color="auto"/>
              <w:bottom w:val="single" w:sz="4" w:space="0" w:color="auto"/>
              <w:right w:val="single" w:sz="4" w:space="0" w:color="auto"/>
            </w:tcBorders>
          </w:tcPr>
          <w:p w14:paraId="5A2E5D87" w14:textId="77777777" w:rsidR="00265869" w:rsidRPr="00F33674" w:rsidRDefault="00265869" w:rsidP="00265869">
            <w:pPr>
              <w:rPr>
                <w:rFonts w:ascii="Arial Narrow" w:hAnsi="Arial Narrow" w:cs="Arial"/>
                <w:b/>
                <w:sz w:val="20"/>
                <w:szCs w:val="20"/>
              </w:rPr>
            </w:pPr>
            <w:r w:rsidRPr="00F33674">
              <w:rPr>
                <w:rFonts w:ascii="Arial Narrow" w:hAnsi="Arial Narrow" w:cs="Arial"/>
                <w:b/>
                <w:sz w:val="20"/>
                <w:szCs w:val="20"/>
              </w:rPr>
              <w:t>Category / Program:</w:t>
            </w:r>
          </w:p>
        </w:tc>
        <w:tc>
          <w:tcPr>
            <w:tcW w:w="6031" w:type="dxa"/>
            <w:tcBorders>
              <w:top w:val="single" w:sz="4" w:space="0" w:color="auto"/>
              <w:left w:val="single" w:sz="4" w:space="0" w:color="auto"/>
              <w:bottom w:val="single" w:sz="4" w:space="0" w:color="auto"/>
              <w:right w:val="single" w:sz="4" w:space="0" w:color="auto"/>
            </w:tcBorders>
          </w:tcPr>
          <w:p w14:paraId="3FC6F9E8" w14:textId="77777777" w:rsidR="00265869" w:rsidRPr="00F33674" w:rsidRDefault="00265869" w:rsidP="00265869">
            <w:pPr>
              <w:rPr>
                <w:rFonts w:ascii="Arial Narrow" w:hAnsi="Arial Narrow" w:cs="Arial"/>
                <w:sz w:val="20"/>
                <w:szCs w:val="20"/>
              </w:rPr>
            </w:pPr>
            <w:r w:rsidRPr="00F33674">
              <w:rPr>
                <w:rFonts w:ascii="Arial Narrow" w:hAnsi="Arial Narrow" w:cs="Arial"/>
                <w:sz w:val="20"/>
                <w:szCs w:val="20"/>
              </w:rPr>
              <w:t>GENERAL – General Schedule (Code GE)</w:t>
            </w:r>
          </w:p>
        </w:tc>
      </w:tr>
      <w:tr w:rsidR="00265869" w:rsidRPr="00F33674" w14:paraId="29410D16" w14:textId="77777777" w:rsidTr="00C21DFA">
        <w:trPr>
          <w:cantSplit/>
          <w:trHeight w:val="360"/>
        </w:trPr>
        <w:tc>
          <w:tcPr>
            <w:tcW w:w="3183" w:type="dxa"/>
            <w:tcBorders>
              <w:top w:val="single" w:sz="4" w:space="0" w:color="auto"/>
              <w:left w:val="single" w:sz="4" w:space="0" w:color="auto"/>
              <w:bottom w:val="single" w:sz="4" w:space="0" w:color="auto"/>
              <w:right w:val="single" w:sz="4" w:space="0" w:color="auto"/>
            </w:tcBorders>
          </w:tcPr>
          <w:p w14:paraId="4B45506D" w14:textId="77777777" w:rsidR="00265869" w:rsidRPr="00F33674" w:rsidRDefault="00265869" w:rsidP="00265869">
            <w:pPr>
              <w:rPr>
                <w:rFonts w:ascii="Arial Narrow" w:hAnsi="Arial Narrow" w:cs="Arial"/>
                <w:b/>
                <w:sz w:val="20"/>
                <w:szCs w:val="20"/>
              </w:rPr>
            </w:pPr>
            <w:r w:rsidRPr="00F33674">
              <w:rPr>
                <w:rFonts w:ascii="Arial Narrow" w:hAnsi="Arial Narrow" w:cs="Arial"/>
                <w:b/>
                <w:sz w:val="20"/>
                <w:szCs w:val="20"/>
              </w:rPr>
              <w:t>Prescriber type:</w:t>
            </w:r>
          </w:p>
          <w:p w14:paraId="3D2B4CD9" w14:textId="77777777" w:rsidR="00265869" w:rsidRPr="00F33674" w:rsidRDefault="00265869" w:rsidP="00265869">
            <w:pPr>
              <w:rPr>
                <w:rFonts w:ascii="Arial Narrow" w:hAnsi="Arial Narrow" w:cs="Arial"/>
                <w:b/>
                <w:sz w:val="20"/>
                <w:szCs w:val="20"/>
              </w:rPr>
            </w:pPr>
          </w:p>
        </w:tc>
        <w:tc>
          <w:tcPr>
            <w:tcW w:w="6031" w:type="dxa"/>
            <w:tcBorders>
              <w:top w:val="single" w:sz="4" w:space="0" w:color="auto"/>
              <w:left w:val="single" w:sz="4" w:space="0" w:color="auto"/>
              <w:bottom w:val="single" w:sz="4" w:space="0" w:color="auto"/>
              <w:right w:val="single" w:sz="4" w:space="0" w:color="auto"/>
            </w:tcBorders>
          </w:tcPr>
          <w:p w14:paraId="41300636" w14:textId="77777777" w:rsidR="00265869" w:rsidRPr="00F33674" w:rsidRDefault="00265869" w:rsidP="00265869">
            <w:pPr>
              <w:rPr>
                <w:rFonts w:ascii="Arial Narrow" w:hAnsi="Arial Narrow" w:cs="Arial"/>
                <w:sz w:val="20"/>
                <w:szCs w:val="20"/>
              </w:rPr>
            </w:pPr>
            <w:r w:rsidRPr="00F33674">
              <w:rPr>
                <w:rFonts w:ascii="Arial Narrow" w:hAnsi="Arial Narrow" w:cs="Arial"/>
                <w:sz w:val="20"/>
                <w:szCs w:val="20"/>
              </w:rPr>
              <w:fldChar w:fldCharType="begin">
                <w:ffData>
                  <w:name w:val="Check1"/>
                  <w:enabled/>
                  <w:calcOnExit w:val="0"/>
                  <w:checkBox>
                    <w:sizeAuto/>
                    <w:default w:val="0"/>
                  </w:checkBox>
                </w:ffData>
              </w:fldChar>
            </w:r>
            <w:r w:rsidRPr="00F33674">
              <w:rPr>
                <w:rFonts w:ascii="Arial Narrow" w:hAnsi="Arial Narrow" w:cs="Arial"/>
                <w:sz w:val="20"/>
                <w:szCs w:val="20"/>
              </w:rPr>
              <w:instrText xml:space="preserve"> FORMCHECKBOX </w:instrText>
            </w:r>
            <w:r w:rsidR="00233D13">
              <w:rPr>
                <w:rFonts w:ascii="Arial Narrow" w:hAnsi="Arial Narrow" w:cs="Arial"/>
                <w:sz w:val="20"/>
                <w:szCs w:val="20"/>
              </w:rPr>
            </w:r>
            <w:r w:rsidR="00233D13">
              <w:rPr>
                <w:rFonts w:ascii="Arial Narrow" w:hAnsi="Arial Narrow" w:cs="Arial"/>
                <w:sz w:val="20"/>
                <w:szCs w:val="20"/>
              </w:rPr>
              <w:fldChar w:fldCharType="separate"/>
            </w:r>
            <w:r w:rsidRPr="00F33674">
              <w:rPr>
                <w:rFonts w:ascii="Arial Narrow" w:hAnsi="Arial Narrow" w:cs="Arial"/>
                <w:sz w:val="20"/>
                <w:szCs w:val="20"/>
              </w:rPr>
              <w:fldChar w:fldCharType="end"/>
            </w:r>
            <w:r w:rsidRPr="00F33674">
              <w:rPr>
                <w:rFonts w:ascii="Arial Narrow" w:hAnsi="Arial Narrow" w:cs="Arial"/>
                <w:sz w:val="20"/>
                <w:szCs w:val="20"/>
              </w:rPr>
              <w:t>Dental</w:t>
            </w:r>
            <w:r>
              <w:rPr>
                <w:rFonts w:ascii="Arial Narrow" w:hAnsi="Arial Narrow" w:cs="Arial"/>
                <w:sz w:val="20"/>
                <w:szCs w:val="20"/>
              </w:rPr>
              <w:t xml:space="preserve"> </w:t>
            </w:r>
            <w:r w:rsidRPr="00F33674">
              <w:rPr>
                <w:rFonts w:ascii="Arial Narrow" w:hAnsi="Arial Narrow" w:cs="Arial"/>
                <w:sz w:val="20"/>
                <w:szCs w:val="20"/>
              </w:rPr>
              <w:fldChar w:fldCharType="begin">
                <w:ffData>
                  <w:name w:val=""/>
                  <w:enabled/>
                  <w:calcOnExit w:val="0"/>
                  <w:checkBox>
                    <w:sizeAuto/>
                    <w:default w:val="1"/>
                  </w:checkBox>
                </w:ffData>
              </w:fldChar>
            </w:r>
            <w:r w:rsidRPr="00F33674">
              <w:rPr>
                <w:rFonts w:ascii="Arial Narrow" w:hAnsi="Arial Narrow" w:cs="Arial"/>
                <w:sz w:val="20"/>
                <w:szCs w:val="20"/>
              </w:rPr>
              <w:instrText xml:space="preserve"> FORMCHECKBOX </w:instrText>
            </w:r>
            <w:r w:rsidR="00233D13">
              <w:rPr>
                <w:rFonts w:ascii="Arial Narrow" w:hAnsi="Arial Narrow" w:cs="Arial"/>
                <w:sz w:val="20"/>
                <w:szCs w:val="20"/>
              </w:rPr>
            </w:r>
            <w:r w:rsidR="00233D13">
              <w:rPr>
                <w:rFonts w:ascii="Arial Narrow" w:hAnsi="Arial Narrow" w:cs="Arial"/>
                <w:sz w:val="20"/>
                <w:szCs w:val="20"/>
              </w:rPr>
              <w:fldChar w:fldCharType="separate"/>
            </w:r>
            <w:r w:rsidRPr="00F33674">
              <w:rPr>
                <w:rFonts w:ascii="Arial Narrow" w:hAnsi="Arial Narrow" w:cs="Arial"/>
                <w:sz w:val="20"/>
                <w:szCs w:val="20"/>
              </w:rPr>
              <w:fldChar w:fldCharType="end"/>
            </w:r>
            <w:r w:rsidRPr="00F33674">
              <w:rPr>
                <w:rFonts w:ascii="Arial Narrow" w:hAnsi="Arial Narrow" w:cs="Arial"/>
                <w:sz w:val="20"/>
                <w:szCs w:val="20"/>
              </w:rPr>
              <w:t>Medical Practitioners</w:t>
            </w:r>
            <w:r>
              <w:rPr>
                <w:rFonts w:ascii="Arial Narrow" w:hAnsi="Arial Narrow" w:cs="Arial"/>
                <w:sz w:val="20"/>
                <w:szCs w:val="20"/>
              </w:rPr>
              <w:t xml:space="preserve"> </w:t>
            </w:r>
            <w:r w:rsidRPr="00F33674">
              <w:rPr>
                <w:rFonts w:ascii="Arial Narrow" w:hAnsi="Arial Narrow" w:cs="Arial"/>
                <w:sz w:val="20"/>
                <w:szCs w:val="20"/>
              </w:rPr>
              <w:fldChar w:fldCharType="begin">
                <w:ffData>
                  <w:name w:val="Check3"/>
                  <w:enabled/>
                  <w:calcOnExit w:val="0"/>
                  <w:checkBox>
                    <w:sizeAuto/>
                    <w:default w:val="1"/>
                  </w:checkBox>
                </w:ffData>
              </w:fldChar>
            </w:r>
            <w:r w:rsidRPr="00F33674">
              <w:rPr>
                <w:rFonts w:ascii="Arial Narrow" w:hAnsi="Arial Narrow" w:cs="Arial"/>
                <w:sz w:val="20"/>
                <w:szCs w:val="20"/>
              </w:rPr>
              <w:instrText xml:space="preserve"> FORMCHECKBOX </w:instrText>
            </w:r>
            <w:r w:rsidR="00233D13">
              <w:rPr>
                <w:rFonts w:ascii="Arial Narrow" w:hAnsi="Arial Narrow" w:cs="Arial"/>
                <w:sz w:val="20"/>
                <w:szCs w:val="20"/>
              </w:rPr>
            </w:r>
            <w:r w:rsidR="00233D13">
              <w:rPr>
                <w:rFonts w:ascii="Arial Narrow" w:hAnsi="Arial Narrow" w:cs="Arial"/>
                <w:sz w:val="20"/>
                <w:szCs w:val="20"/>
              </w:rPr>
              <w:fldChar w:fldCharType="separate"/>
            </w:r>
            <w:r w:rsidRPr="00F33674">
              <w:rPr>
                <w:rFonts w:ascii="Arial Narrow" w:hAnsi="Arial Narrow" w:cs="Arial"/>
                <w:sz w:val="20"/>
                <w:szCs w:val="20"/>
              </w:rPr>
              <w:fldChar w:fldCharType="end"/>
            </w:r>
            <w:r w:rsidRPr="00F33674">
              <w:rPr>
                <w:rFonts w:ascii="Arial Narrow" w:hAnsi="Arial Narrow" w:cs="Arial"/>
                <w:sz w:val="20"/>
                <w:szCs w:val="20"/>
              </w:rPr>
              <w:t>Nurse practitioners</w:t>
            </w:r>
            <w:r>
              <w:rPr>
                <w:rFonts w:ascii="Arial Narrow" w:hAnsi="Arial Narrow" w:cs="Arial"/>
                <w:sz w:val="20"/>
                <w:szCs w:val="20"/>
              </w:rPr>
              <w:t xml:space="preserve"> </w:t>
            </w:r>
            <w:r w:rsidRPr="00F33674">
              <w:rPr>
                <w:rFonts w:ascii="Arial Narrow" w:hAnsi="Arial Narrow" w:cs="Arial"/>
                <w:sz w:val="20"/>
                <w:szCs w:val="20"/>
              </w:rPr>
              <w:fldChar w:fldCharType="begin">
                <w:ffData>
                  <w:name w:val=""/>
                  <w:enabled/>
                  <w:calcOnExit w:val="0"/>
                  <w:checkBox>
                    <w:sizeAuto/>
                    <w:default w:val="0"/>
                  </w:checkBox>
                </w:ffData>
              </w:fldChar>
            </w:r>
            <w:r w:rsidRPr="00F33674">
              <w:rPr>
                <w:rFonts w:ascii="Arial Narrow" w:hAnsi="Arial Narrow" w:cs="Arial"/>
                <w:sz w:val="20"/>
                <w:szCs w:val="20"/>
              </w:rPr>
              <w:instrText xml:space="preserve"> FORMCHECKBOX </w:instrText>
            </w:r>
            <w:r w:rsidR="00233D13">
              <w:rPr>
                <w:rFonts w:ascii="Arial Narrow" w:hAnsi="Arial Narrow" w:cs="Arial"/>
                <w:sz w:val="20"/>
                <w:szCs w:val="20"/>
              </w:rPr>
            </w:r>
            <w:r w:rsidR="00233D13">
              <w:rPr>
                <w:rFonts w:ascii="Arial Narrow" w:hAnsi="Arial Narrow" w:cs="Arial"/>
                <w:sz w:val="20"/>
                <w:szCs w:val="20"/>
              </w:rPr>
              <w:fldChar w:fldCharType="separate"/>
            </w:r>
            <w:r w:rsidRPr="00F33674">
              <w:rPr>
                <w:rFonts w:ascii="Arial Narrow" w:hAnsi="Arial Narrow" w:cs="Arial"/>
                <w:sz w:val="20"/>
                <w:szCs w:val="20"/>
              </w:rPr>
              <w:fldChar w:fldCharType="end"/>
            </w:r>
            <w:r w:rsidRPr="00F33674">
              <w:rPr>
                <w:rFonts w:ascii="Arial Narrow" w:hAnsi="Arial Narrow" w:cs="Arial"/>
                <w:sz w:val="20"/>
                <w:szCs w:val="20"/>
              </w:rPr>
              <w:t>Optometrists</w:t>
            </w:r>
          </w:p>
          <w:p w14:paraId="6A6B163D" w14:textId="77777777" w:rsidR="00265869" w:rsidRPr="00F33674" w:rsidRDefault="00265869" w:rsidP="00265869">
            <w:pPr>
              <w:rPr>
                <w:rFonts w:ascii="Arial Narrow" w:hAnsi="Arial Narrow" w:cs="Arial"/>
                <w:sz w:val="20"/>
                <w:szCs w:val="20"/>
              </w:rPr>
            </w:pPr>
            <w:r w:rsidRPr="00F33674">
              <w:rPr>
                <w:rFonts w:ascii="Arial Narrow" w:hAnsi="Arial Narrow" w:cs="Arial"/>
                <w:sz w:val="20"/>
                <w:szCs w:val="20"/>
              </w:rPr>
              <w:fldChar w:fldCharType="begin">
                <w:ffData>
                  <w:name w:val="Check5"/>
                  <w:enabled/>
                  <w:calcOnExit w:val="0"/>
                  <w:checkBox>
                    <w:sizeAuto/>
                    <w:default w:val="0"/>
                  </w:checkBox>
                </w:ffData>
              </w:fldChar>
            </w:r>
            <w:r w:rsidRPr="00F33674">
              <w:rPr>
                <w:rFonts w:ascii="Arial Narrow" w:hAnsi="Arial Narrow" w:cs="Arial"/>
                <w:sz w:val="20"/>
                <w:szCs w:val="20"/>
              </w:rPr>
              <w:instrText xml:space="preserve"> FORMCHECKBOX </w:instrText>
            </w:r>
            <w:r w:rsidR="00233D13">
              <w:rPr>
                <w:rFonts w:ascii="Arial Narrow" w:hAnsi="Arial Narrow" w:cs="Arial"/>
                <w:sz w:val="20"/>
                <w:szCs w:val="20"/>
              </w:rPr>
            </w:r>
            <w:r w:rsidR="00233D13">
              <w:rPr>
                <w:rFonts w:ascii="Arial Narrow" w:hAnsi="Arial Narrow" w:cs="Arial"/>
                <w:sz w:val="20"/>
                <w:szCs w:val="20"/>
              </w:rPr>
              <w:fldChar w:fldCharType="separate"/>
            </w:r>
            <w:r w:rsidRPr="00F33674">
              <w:rPr>
                <w:rFonts w:ascii="Arial Narrow" w:hAnsi="Arial Narrow" w:cs="Arial"/>
                <w:sz w:val="20"/>
                <w:szCs w:val="20"/>
              </w:rPr>
              <w:fldChar w:fldCharType="end"/>
            </w:r>
            <w:r w:rsidRPr="00F33674">
              <w:rPr>
                <w:rFonts w:ascii="Arial Narrow" w:hAnsi="Arial Narrow" w:cs="Arial"/>
                <w:sz w:val="20"/>
                <w:szCs w:val="20"/>
              </w:rPr>
              <w:t>Midwives</w:t>
            </w:r>
          </w:p>
        </w:tc>
      </w:tr>
      <w:tr w:rsidR="00265869" w:rsidRPr="00F33674" w14:paraId="0D4995D6" w14:textId="77777777" w:rsidTr="00C21DFA">
        <w:trPr>
          <w:cantSplit/>
          <w:trHeight w:val="369"/>
        </w:trPr>
        <w:tc>
          <w:tcPr>
            <w:tcW w:w="3183" w:type="dxa"/>
            <w:tcBorders>
              <w:top w:val="single" w:sz="4" w:space="0" w:color="auto"/>
              <w:left w:val="single" w:sz="4" w:space="0" w:color="auto"/>
              <w:bottom w:val="single" w:sz="4" w:space="0" w:color="auto"/>
              <w:right w:val="single" w:sz="4" w:space="0" w:color="auto"/>
            </w:tcBorders>
          </w:tcPr>
          <w:p w14:paraId="3F9FC030" w14:textId="77777777" w:rsidR="00265869" w:rsidRPr="00F33674" w:rsidRDefault="00265869" w:rsidP="00265869">
            <w:pPr>
              <w:rPr>
                <w:rFonts w:ascii="Arial Narrow" w:hAnsi="Arial Narrow" w:cs="Arial"/>
                <w:b/>
                <w:sz w:val="20"/>
                <w:szCs w:val="20"/>
              </w:rPr>
            </w:pPr>
            <w:r w:rsidRPr="00F33674">
              <w:rPr>
                <w:rFonts w:ascii="Arial Narrow" w:hAnsi="Arial Narrow" w:cs="Arial"/>
                <w:b/>
                <w:sz w:val="20"/>
                <w:szCs w:val="20"/>
              </w:rPr>
              <w:t>PBS indication:</w:t>
            </w:r>
          </w:p>
        </w:tc>
        <w:tc>
          <w:tcPr>
            <w:tcW w:w="6031" w:type="dxa"/>
            <w:tcBorders>
              <w:top w:val="single" w:sz="4" w:space="0" w:color="auto"/>
              <w:left w:val="single" w:sz="4" w:space="0" w:color="auto"/>
              <w:bottom w:val="single" w:sz="4" w:space="0" w:color="auto"/>
              <w:right w:val="single" w:sz="4" w:space="0" w:color="auto"/>
            </w:tcBorders>
          </w:tcPr>
          <w:p w14:paraId="6E9CB7F1" w14:textId="77777777" w:rsidR="00265869" w:rsidRPr="00F33674" w:rsidRDefault="00265869" w:rsidP="00265869">
            <w:pPr>
              <w:rPr>
                <w:rFonts w:ascii="Arial Narrow" w:hAnsi="Arial Narrow" w:cs="Arial"/>
                <w:sz w:val="20"/>
                <w:szCs w:val="20"/>
              </w:rPr>
            </w:pPr>
            <w:r w:rsidRPr="00F33674">
              <w:rPr>
                <w:rFonts w:ascii="Arial Narrow" w:hAnsi="Arial Narrow" w:cs="Arial"/>
                <w:sz w:val="20"/>
                <w:szCs w:val="20"/>
              </w:rPr>
              <w:t>[9729] Chronic severe disabling pain</w:t>
            </w:r>
          </w:p>
        </w:tc>
      </w:tr>
      <w:tr w:rsidR="00265869" w:rsidRPr="00F33674" w14:paraId="1B089DB2" w14:textId="77777777" w:rsidTr="00C21DFA">
        <w:trPr>
          <w:cantSplit/>
          <w:trHeight w:val="360"/>
        </w:trPr>
        <w:tc>
          <w:tcPr>
            <w:tcW w:w="3183" w:type="dxa"/>
            <w:tcBorders>
              <w:top w:val="single" w:sz="4" w:space="0" w:color="auto"/>
              <w:left w:val="single" w:sz="4" w:space="0" w:color="auto"/>
              <w:bottom w:val="single" w:sz="4" w:space="0" w:color="auto"/>
              <w:right w:val="single" w:sz="4" w:space="0" w:color="auto"/>
            </w:tcBorders>
          </w:tcPr>
          <w:p w14:paraId="5B05DAD4" w14:textId="77777777" w:rsidR="00265869" w:rsidRPr="00F33674" w:rsidRDefault="00265869" w:rsidP="00265869">
            <w:pPr>
              <w:rPr>
                <w:rFonts w:ascii="Arial Narrow" w:hAnsi="Arial Narrow" w:cs="Arial"/>
                <w:b/>
                <w:sz w:val="20"/>
                <w:szCs w:val="20"/>
              </w:rPr>
            </w:pPr>
            <w:r w:rsidRPr="00F33674">
              <w:rPr>
                <w:rFonts w:ascii="Arial Narrow" w:hAnsi="Arial Narrow" w:cs="Arial"/>
                <w:b/>
                <w:sz w:val="20"/>
                <w:szCs w:val="20"/>
              </w:rPr>
              <w:t>Restriction Level / Method:</w:t>
            </w:r>
          </w:p>
          <w:p w14:paraId="0AA8D7AD" w14:textId="77777777" w:rsidR="00265869" w:rsidRPr="00F33674" w:rsidRDefault="00265869" w:rsidP="00265869">
            <w:pPr>
              <w:rPr>
                <w:rFonts w:ascii="Arial Narrow" w:hAnsi="Arial Narrow" w:cs="Arial"/>
                <w:i/>
                <w:sz w:val="20"/>
                <w:szCs w:val="20"/>
              </w:rPr>
            </w:pPr>
          </w:p>
          <w:p w14:paraId="0A66C777" w14:textId="77777777" w:rsidR="00265869" w:rsidRPr="00F33674" w:rsidRDefault="00265869" w:rsidP="00265869">
            <w:pPr>
              <w:rPr>
                <w:rFonts w:ascii="Arial Narrow" w:hAnsi="Arial Narrow" w:cs="Arial"/>
                <w:i/>
                <w:sz w:val="20"/>
                <w:szCs w:val="20"/>
              </w:rPr>
            </w:pPr>
          </w:p>
          <w:p w14:paraId="23FEDBE0" w14:textId="77777777" w:rsidR="00265869" w:rsidRPr="00F33674" w:rsidRDefault="00265869" w:rsidP="00265869">
            <w:pPr>
              <w:rPr>
                <w:rFonts w:ascii="Arial Narrow" w:hAnsi="Arial Narrow" w:cs="Arial"/>
                <w:i/>
                <w:sz w:val="20"/>
                <w:szCs w:val="20"/>
              </w:rPr>
            </w:pPr>
          </w:p>
        </w:tc>
        <w:tc>
          <w:tcPr>
            <w:tcW w:w="6031" w:type="dxa"/>
            <w:tcBorders>
              <w:top w:val="single" w:sz="4" w:space="0" w:color="auto"/>
              <w:left w:val="single" w:sz="4" w:space="0" w:color="auto"/>
              <w:bottom w:val="single" w:sz="4" w:space="0" w:color="auto"/>
              <w:right w:val="single" w:sz="4" w:space="0" w:color="auto"/>
            </w:tcBorders>
          </w:tcPr>
          <w:p w14:paraId="0345EA55" w14:textId="77777777" w:rsidR="00265869" w:rsidRPr="00F33674" w:rsidRDefault="00265869" w:rsidP="00265869">
            <w:pPr>
              <w:rPr>
                <w:rFonts w:ascii="Arial Narrow" w:hAnsi="Arial Narrow" w:cs="Arial"/>
                <w:sz w:val="20"/>
                <w:szCs w:val="20"/>
              </w:rPr>
            </w:pPr>
            <w:r w:rsidRPr="00F33674">
              <w:rPr>
                <w:rFonts w:ascii="Arial Narrow" w:hAnsi="Arial Narrow" w:cs="Arial"/>
                <w:sz w:val="20"/>
                <w:szCs w:val="20"/>
              </w:rPr>
              <w:fldChar w:fldCharType="begin">
                <w:ffData>
                  <w:name w:val=""/>
                  <w:enabled/>
                  <w:calcOnExit w:val="0"/>
                  <w:checkBox>
                    <w:sizeAuto/>
                    <w:default w:val="0"/>
                  </w:checkBox>
                </w:ffData>
              </w:fldChar>
            </w:r>
            <w:r w:rsidRPr="00F33674">
              <w:rPr>
                <w:rFonts w:ascii="Arial Narrow" w:hAnsi="Arial Narrow" w:cs="Arial"/>
                <w:sz w:val="20"/>
                <w:szCs w:val="20"/>
              </w:rPr>
              <w:instrText xml:space="preserve"> FORMCHECKBOX </w:instrText>
            </w:r>
            <w:r w:rsidR="00233D13">
              <w:rPr>
                <w:rFonts w:ascii="Arial Narrow" w:hAnsi="Arial Narrow" w:cs="Arial"/>
                <w:sz w:val="20"/>
                <w:szCs w:val="20"/>
              </w:rPr>
            </w:r>
            <w:r w:rsidR="00233D13">
              <w:rPr>
                <w:rFonts w:ascii="Arial Narrow" w:hAnsi="Arial Narrow" w:cs="Arial"/>
                <w:sz w:val="20"/>
                <w:szCs w:val="20"/>
              </w:rPr>
              <w:fldChar w:fldCharType="separate"/>
            </w:r>
            <w:r w:rsidRPr="00F33674">
              <w:rPr>
                <w:rFonts w:ascii="Arial Narrow" w:hAnsi="Arial Narrow" w:cs="Arial"/>
                <w:sz w:val="20"/>
                <w:szCs w:val="20"/>
              </w:rPr>
              <w:fldChar w:fldCharType="end"/>
            </w:r>
            <w:r w:rsidRPr="00F33674">
              <w:rPr>
                <w:rFonts w:ascii="Arial Narrow" w:hAnsi="Arial Narrow" w:cs="Arial"/>
                <w:sz w:val="20"/>
                <w:szCs w:val="20"/>
              </w:rPr>
              <w:t>Unrestricted benefit</w:t>
            </w:r>
          </w:p>
          <w:p w14:paraId="2C3B7D12" w14:textId="77777777" w:rsidR="00265869" w:rsidRPr="00F33674" w:rsidRDefault="00265869" w:rsidP="00265869">
            <w:pPr>
              <w:rPr>
                <w:rFonts w:ascii="Arial Narrow" w:hAnsi="Arial Narrow" w:cs="Arial"/>
                <w:i/>
                <w:sz w:val="20"/>
                <w:szCs w:val="20"/>
              </w:rPr>
            </w:pPr>
            <w:r w:rsidRPr="00F33674">
              <w:rPr>
                <w:rFonts w:ascii="Arial Narrow" w:hAnsi="Arial Narrow" w:cs="Arial"/>
                <w:i/>
                <w:sz w:val="20"/>
                <w:szCs w:val="20"/>
              </w:rPr>
              <w:fldChar w:fldCharType="begin">
                <w:ffData>
                  <w:name w:val=""/>
                  <w:enabled/>
                  <w:calcOnExit w:val="0"/>
                  <w:checkBox>
                    <w:sizeAuto/>
                    <w:default w:val="0"/>
                  </w:checkBox>
                </w:ffData>
              </w:fldChar>
            </w:r>
            <w:r w:rsidRPr="00F33674">
              <w:rPr>
                <w:rFonts w:ascii="Arial Narrow" w:hAnsi="Arial Narrow" w:cs="Arial"/>
                <w:i/>
                <w:sz w:val="20"/>
                <w:szCs w:val="20"/>
              </w:rPr>
              <w:instrText xml:space="preserve"> FORMCHECKBOX </w:instrText>
            </w:r>
            <w:r w:rsidR="00233D13">
              <w:rPr>
                <w:rFonts w:ascii="Arial Narrow" w:hAnsi="Arial Narrow" w:cs="Arial"/>
                <w:i/>
                <w:sz w:val="20"/>
                <w:szCs w:val="20"/>
              </w:rPr>
            </w:r>
            <w:r w:rsidR="00233D13">
              <w:rPr>
                <w:rFonts w:ascii="Arial Narrow" w:hAnsi="Arial Narrow" w:cs="Arial"/>
                <w:i/>
                <w:sz w:val="20"/>
                <w:szCs w:val="20"/>
              </w:rPr>
              <w:fldChar w:fldCharType="separate"/>
            </w:r>
            <w:r w:rsidRPr="00F33674">
              <w:rPr>
                <w:rFonts w:ascii="Arial Narrow" w:hAnsi="Arial Narrow" w:cs="Arial"/>
                <w:i/>
                <w:sz w:val="20"/>
                <w:szCs w:val="20"/>
              </w:rPr>
              <w:fldChar w:fldCharType="end"/>
            </w:r>
            <w:r w:rsidRPr="00F33674">
              <w:rPr>
                <w:rFonts w:ascii="Arial Narrow" w:hAnsi="Arial Narrow" w:cs="Arial"/>
                <w:sz w:val="20"/>
                <w:szCs w:val="20"/>
              </w:rPr>
              <w:t>Restricted benefit</w:t>
            </w:r>
          </w:p>
          <w:p w14:paraId="0139EC3E" w14:textId="77777777" w:rsidR="00265869" w:rsidRPr="00F33674" w:rsidRDefault="00265869" w:rsidP="00265869">
            <w:pPr>
              <w:rPr>
                <w:rFonts w:ascii="Arial Narrow" w:hAnsi="Arial Narrow" w:cs="Arial"/>
                <w:sz w:val="20"/>
                <w:szCs w:val="20"/>
              </w:rPr>
            </w:pPr>
            <w:r w:rsidRPr="00F33674">
              <w:rPr>
                <w:rFonts w:ascii="Arial Narrow" w:hAnsi="Arial Narrow" w:cs="Arial"/>
                <w:sz w:val="20"/>
                <w:szCs w:val="20"/>
              </w:rPr>
              <w:fldChar w:fldCharType="begin">
                <w:ffData>
                  <w:name w:val=""/>
                  <w:enabled/>
                  <w:calcOnExit w:val="0"/>
                  <w:checkBox>
                    <w:sizeAuto/>
                    <w:default w:val="0"/>
                  </w:checkBox>
                </w:ffData>
              </w:fldChar>
            </w:r>
            <w:r w:rsidRPr="00F33674">
              <w:rPr>
                <w:rFonts w:ascii="Arial Narrow" w:hAnsi="Arial Narrow" w:cs="Arial"/>
                <w:sz w:val="20"/>
                <w:szCs w:val="20"/>
              </w:rPr>
              <w:instrText xml:space="preserve"> FORMCHECKBOX </w:instrText>
            </w:r>
            <w:r w:rsidR="00233D13">
              <w:rPr>
                <w:rFonts w:ascii="Arial Narrow" w:hAnsi="Arial Narrow" w:cs="Arial"/>
                <w:sz w:val="20"/>
                <w:szCs w:val="20"/>
              </w:rPr>
            </w:r>
            <w:r w:rsidR="00233D13">
              <w:rPr>
                <w:rFonts w:ascii="Arial Narrow" w:hAnsi="Arial Narrow" w:cs="Arial"/>
                <w:sz w:val="20"/>
                <w:szCs w:val="20"/>
              </w:rPr>
              <w:fldChar w:fldCharType="separate"/>
            </w:r>
            <w:r w:rsidRPr="00F33674">
              <w:rPr>
                <w:rFonts w:ascii="Arial Narrow" w:hAnsi="Arial Narrow" w:cs="Arial"/>
                <w:sz w:val="20"/>
                <w:szCs w:val="20"/>
              </w:rPr>
              <w:fldChar w:fldCharType="end"/>
            </w:r>
            <w:r w:rsidRPr="00F33674">
              <w:rPr>
                <w:rFonts w:ascii="Arial Narrow" w:hAnsi="Arial Narrow" w:cs="Arial"/>
                <w:sz w:val="20"/>
                <w:szCs w:val="20"/>
              </w:rPr>
              <w:t>Authority Required – In Writing</w:t>
            </w:r>
          </w:p>
          <w:p w14:paraId="2628C2B1" w14:textId="77777777" w:rsidR="00265869" w:rsidRPr="00F33674" w:rsidRDefault="00265869" w:rsidP="00265869">
            <w:pPr>
              <w:rPr>
                <w:rFonts w:ascii="Arial Narrow" w:hAnsi="Arial Narrow" w:cs="Arial"/>
                <w:sz w:val="20"/>
                <w:szCs w:val="20"/>
              </w:rPr>
            </w:pPr>
            <w:r w:rsidRPr="00F33674">
              <w:rPr>
                <w:rFonts w:ascii="Arial Narrow" w:hAnsi="Arial Narrow" w:cs="Arial"/>
                <w:sz w:val="20"/>
                <w:szCs w:val="20"/>
              </w:rPr>
              <w:fldChar w:fldCharType="begin">
                <w:ffData>
                  <w:name w:val="Check3"/>
                  <w:enabled/>
                  <w:calcOnExit w:val="0"/>
                  <w:checkBox>
                    <w:sizeAuto/>
                    <w:default w:val="0"/>
                  </w:checkBox>
                </w:ffData>
              </w:fldChar>
            </w:r>
            <w:r w:rsidRPr="00F33674">
              <w:rPr>
                <w:rFonts w:ascii="Arial Narrow" w:hAnsi="Arial Narrow" w:cs="Arial"/>
                <w:sz w:val="20"/>
                <w:szCs w:val="20"/>
              </w:rPr>
              <w:instrText xml:space="preserve"> FORMCHECKBOX </w:instrText>
            </w:r>
            <w:r w:rsidR="00233D13">
              <w:rPr>
                <w:rFonts w:ascii="Arial Narrow" w:hAnsi="Arial Narrow" w:cs="Arial"/>
                <w:sz w:val="20"/>
                <w:szCs w:val="20"/>
              </w:rPr>
            </w:r>
            <w:r w:rsidR="00233D13">
              <w:rPr>
                <w:rFonts w:ascii="Arial Narrow" w:hAnsi="Arial Narrow" w:cs="Arial"/>
                <w:sz w:val="20"/>
                <w:szCs w:val="20"/>
              </w:rPr>
              <w:fldChar w:fldCharType="separate"/>
            </w:r>
            <w:r w:rsidRPr="00F33674">
              <w:rPr>
                <w:rFonts w:ascii="Arial Narrow" w:hAnsi="Arial Narrow" w:cs="Arial"/>
                <w:sz w:val="20"/>
                <w:szCs w:val="20"/>
              </w:rPr>
              <w:fldChar w:fldCharType="end"/>
            </w:r>
            <w:r w:rsidRPr="00F33674">
              <w:rPr>
                <w:rFonts w:ascii="Arial Narrow" w:hAnsi="Arial Narrow" w:cs="Arial"/>
                <w:sz w:val="20"/>
                <w:szCs w:val="20"/>
              </w:rPr>
              <w:t>Authority Required – Telephone/Electronic/Emergency</w:t>
            </w:r>
          </w:p>
          <w:p w14:paraId="04C1D4AD" w14:textId="77777777" w:rsidR="00265869" w:rsidRPr="00F33674" w:rsidRDefault="00265869" w:rsidP="00265869">
            <w:pPr>
              <w:rPr>
                <w:rFonts w:ascii="Arial Narrow" w:hAnsi="Arial Narrow" w:cs="Arial"/>
                <w:sz w:val="20"/>
                <w:szCs w:val="20"/>
              </w:rPr>
            </w:pPr>
            <w:r w:rsidRPr="00F33674">
              <w:rPr>
                <w:rFonts w:ascii="Arial Narrow" w:hAnsi="Arial Narrow" w:cs="Arial"/>
                <w:sz w:val="20"/>
                <w:szCs w:val="20"/>
              </w:rPr>
              <w:fldChar w:fldCharType="begin">
                <w:ffData>
                  <w:name w:val="Check5"/>
                  <w:enabled/>
                  <w:calcOnExit w:val="0"/>
                  <w:checkBox>
                    <w:sizeAuto/>
                    <w:default w:val="1"/>
                  </w:checkBox>
                </w:ffData>
              </w:fldChar>
            </w:r>
            <w:r w:rsidRPr="00F33674">
              <w:rPr>
                <w:rFonts w:ascii="Arial Narrow" w:hAnsi="Arial Narrow" w:cs="Arial"/>
                <w:sz w:val="20"/>
                <w:szCs w:val="20"/>
              </w:rPr>
              <w:instrText xml:space="preserve"> FORMCHECKBOX </w:instrText>
            </w:r>
            <w:r w:rsidR="00233D13">
              <w:rPr>
                <w:rFonts w:ascii="Arial Narrow" w:hAnsi="Arial Narrow" w:cs="Arial"/>
                <w:sz w:val="20"/>
                <w:szCs w:val="20"/>
              </w:rPr>
            </w:r>
            <w:r w:rsidR="00233D13">
              <w:rPr>
                <w:rFonts w:ascii="Arial Narrow" w:hAnsi="Arial Narrow" w:cs="Arial"/>
                <w:sz w:val="20"/>
                <w:szCs w:val="20"/>
              </w:rPr>
              <w:fldChar w:fldCharType="separate"/>
            </w:r>
            <w:r w:rsidRPr="00F33674">
              <w:rPr>
                <w:rFonts w:ascii="Arial Narrow" w:hAnsi="Arial Narrow" w:cs="Arial"/>
                <w:sz w:val="20"/>
                <w:szCs w:val="20"/>
              </w:rPr>
              <w:fldChar w:fldCharType="end"/>
            </w:r>
            <w:r w:rsidRPr="00F33674">
              <w:rPr>
                <w:rFonts w:ascii="Arial Narrow" w:hAnsi="Arial Narrow" w:cs="Arial"/>
                <w:sz w:val="20"/>
                <w:szCs w:val="20"/>
              </w:rPr>
              <w:t>Streamlined</w:t>
            </w:r>
          </w:p>
        </w:tc>
      </w:tr>
      <w:tr w:rsidR="00265869" w:rsidRPr="00F33674" w14:paraId="0E408F48" w14:textId="77777777" w:rsidTr="00C21DFA">
        <w:trPr>
          <w:cantSplit/>
          <w:trHeight w:val="360"/>
        </w:trPr>
        <w:tc>
          <w:tcPr>
            <w:tcW w:w="3183" w:type="dxa"/>
            <w:tcBorders>
              <w:top w:val="single" w:sz="4" w:space="0" w:color="auto"/>
              <w:left w:val="single" w:sz="4" w:space="0" w:color="auto"/>
              <w:bottom w:val="single" w:sz="4" w:space="0" w:color="auto"/>
              <w:right w:val="single" w:sz="4" w:space="0" w:color="auto"/>
            </w:tcBorders>
          </w:tcPr>
          <w:p w14:paraId="34967145" w14:textId="77777777" w:rsidR="00265869" w:rsidRPr="00F33674" w:rsidRDefault="00265869" w:rsidP="00265869">
            <w:pPr>
              <w:rPr>
                <w:rFonts w:ascii="Arial Narrow" w:hAnsi="Arial Narrow" w:cs="Arial"/>
                <w:b/>
                <w:sz w:val="20"/>
                <w:szCs w:val="20"/>
              </w:rPr>
            </w:pPr>
            <w:r>
              <w:rPr>
                <w:rFonts w:ascii="Arial Narrow" w:hAnsi="Arial Narrow" w:cs="Arial"/>
                <w:b/>
                <w:sz w:val="20"/>
                <w:szCs w:val="20"/>
              </w:rPr>
              <w:t>Treatment phase:</w:t>
            </w:r>
          </w:p>
        </w:tc>
        <w:tc>
          <w:tcPr>
            <w:tcW w:w="6031" w:type="dxa"/>
            <w:tcBorders>
              <w:top w:val="single" w:sz="4" w:space="0" w:color="auto"/>
              <w:left w:val="single" w:sz="4" w:space="0" w:color="auto"/>
              <w:bottom w:val="single" w:sz="4" w:space="0" w:color="auto"/>
              <w:right w:val="single" w:sz="4" w:space="0" w:color="auto"/>
            </w:tcBorders>
          </w:tcPr>
          <w:p w14:paraId="0A843DB9" w14:textId="4273EE91" w:rsidR="00265869" w:rsidRPr="00F33674" w:rsidRDefault="005E5921" w:rsidP="005E5921">
            <w:pPr>
              <w:jc w:val="left"/>
              <w:rPr>
                <w:rFonts w:ascii="Arial Narrow" w:hAnsi="Arial Narrow" w:cs="Arial"/>
                <w:sz w:val="20"/>
                <w:szCs w:val="20"/>
              </w:rPr>
            </w:pPr>
            <w:r w:rsidRPr="00CB0FCB">
              <w:rPr>
                <w:rFonts w:ascii="Arial Narrow" w:hAnsi="Arial Narrow" w:cs="Arial"/>
                <w:sz w:val="20"/>
                <w:szCs w:val="20"/>
              </w:rPr>
              <w:t>Continuing PBS treatment after 1 June 2020</w:t>
            </w:r>
            <w:r>
              <w:rPr>
                <w:rFonts w:ascii="Arial Narrow" w:hAnsi="Arial Narrow" w:cs="Arial"/>
                <w:sz w:val="20"/>
                <w:szCs w:val="20"/>
              </w:rPr>
              <w:t>.</w:t>
            </w:r>
          </w:p>
        </w:tc>
      </w:tr>
      <w:tr w:rsidR="00265869" w:rsidRPr="00F33674" w14:paraId="4BA116A5" w14:textId="77777777" w:rsidTr="00C21DFA">
        <w:trPr>
          <w:cantSplit/>
          <w:trHeight w:val="360"/>
        </w:trPr>
        <w:tc>
          <w:tcPr>
            <w:tcW w:w="3183" w:type="dxa"/>
            <w:tcBorders>
              <w:top w:val="single" w:sz="4" w:space="0" w:color="auto"/>
              <w:left w:val="single" w:sz="4" w:space="0" w:color="auto"/>
              <w:bottom w:val="single" w:sz="4" w:space="0" w:color="auto"/>
              <w:right w:val="single" w:sz="4" w:space="0" w:color="auto"/>
            </w:tcBorders>
          </w:tcPr>
          <w:p w14:paraId="5DC5674D" w14:textId="77777777" w:rsidR="00265869" w:rsidRPr="00F33674" w:rsidRDefault="00265869" w:rsidP="00265869">
            <w:pPr>
              <w:rPr>
                <w:rFonts w:ascii="Arial Narrow" w:hAnsi="Arial Narrow" w:cs="Arial"/>
                <w:b/>
                <w:sz w:val="20"/>
                <w:szCs w:val="20"/>
              </w:rPr>
            </w:pPr>
            <w:r w:rsidRPr="00F33674">
              <w:rPr>
                <w:rFonts w:ascii="Arial Narrow" w:hAnsi="Arial Narrow" w:cs="Arial"/>
                <w:b/>
                <w:sz w:val="20"/>
                <w:szCs w:val="20"/>
              </w:rPr>
              <w:t>Clinical criteria:</w:t>
            </w:r>
          </w:p>
        </w:tc>
        <w:tc>
          <w:tcPr>
            <w:tcW w:w="6031" w:type="dxa"/>
            <w:tcBorders>
              <w:top w:val="single" w:sz="4" w:space="0" w:color="auto"/>
              <w:left w:val="single" w:sz="4" w:space="0" w:color="auto"/>
              <w:bottom w:val="single" w:sz="4" w:space="0" w:color="auto"/>
              <w:right w:val="single" w:sz="4" w:space="0" w:color="auto"/>
            </w:tcBorders>
          </w:tcPr>
          <w:p w14:paraId="7918E89F" w14:textId="77777777" w:rsidR="00265869" w:rsidRPr="00F33674" w:rsidRDefault="00265869" w:rsidP="00265869">
            <w:pPr>
              <w:jc w:val="left"/>
              <w:rPr>
                <w:rFonts w:ascii="Arial Narrow" w:hAnsi="Arial Narrow" w:cs="Arial"/>
                <w:sz w:val="20"/>
                <w:szCs w:val="20"/>
              </w:rPr>
            </w:pPr>
            <w:r w:rsidRPr="00F33674">
              <w:rPr>
                <w:rFonts w:ascii="Arial Narrow" w:hAnsi="Arial Narrow" w:cs="Arial"/>
                <w:sz w:val="20"/>
                <w:szCs w:val="20"/>
              </w:rPr>
              <w:t xml:space="preserve">[new] </w:t>
            </w:r>
            <w:r w:rsidRPr="00744FB8">
              <w:rPr>
                <w:rFonts w:ascii="Arial Narrow" w:hAnsi="Arial Narrow" w:cs="Arial"/>
                <w:sz w:val="20"/>
                <w:szCs w:val="20"/>
              </w:rPr>
              <w:t>Patient must have previously received PBS-subsidised treatment with this form of this drug for this condition after 1 June 2020</w:t>
            </w:r>
            <w:r>
              <w:rPr>
                <w:rFonts w:ascii="Arial Narrow" w:hAnsi="Arial Narrow" w:cs="Arial"/>
                <w:sz w:val="20"/>
                <w:szCs w:val="20"/>
              </w:rPr>
              <w:t>.</w:t>
            </w:r>
          </w:p>
        </w:tc>
      </w:tr>
      <w:tr w:rsidR="00265869" w:rsidRPr="00F33674" w14:paraId="64828419" w14:textId="77777777" w:rsidTr="00C21DFA">
        <w:trPr>
          <w:cantSplit/>
          <w:trHeight w:val="360"/>
        </w:trPr>
        <w:tc>
          <w:tcPr>
            <w:tcW w:w="3183" w:type="dxa"/>
            <w:tcBorders>
              <w:top w:val="single" w:sz="4" w:space="0" w:color="auto"/>
              <w:left w:val="single" w:sz="4" w:space="0" w:color="auto"/>
              <w:bottom w:val="single" w:sz="4" w:space="0" w:color="auto"/>
              <w:right w:val="single" w:sz="4" w:space="0" w:color="auto"/>
            </w:tcBorders>
          </w:tcPr>
          <w:p w14:paraId="7DEE8D95" w14:textId="77777777" w:rsidR="00265869" w:rsidRPr="00F33674" w:rsidRDefault="00265869" w:rsidP="00265869">
            <w:pPr>
              <w:rPr>
                <w:rFonts w:ascii="Arial Narrow" w:hAnsi="Arial Narrow" w:cs="Arial"/>
                <w:b/>
                <w:sz w:val="20"/>
                <w:szCs w:val="20"/>
              </w:rPr>
            </w:pPr>
            <w:r w:rsidRPr="00F33674">
              <w:rPr>
                <w:rFonts w:ascii="Arial Narrow" w:hAnsi="Arial Narrow" w:cs="Arial"/>
                <w:b/>
                <w:sz w:val="20"/>
                <w:szCs w:val="20"/>
              </w:rPr>
              <w:lastRenderedPageBreak/>
              <w:t>Prescriber instruction:</w:t>
            </w:r>
          </w:p>
        </w:tc>
        <w:tc>
          <w:tcPr>
            <w:tcW w:w="6031" w:type="dxa"/>
            <w:tcBorders>
              <w:top w:val="single" w:sz="4" w:space="0" w:color="auto"/>
              <w:left w:val="single" w:sz="4" w:space="0" w:color="auto"/>
              <w:bottom w:val="single" w:sz="4" w:space="0" w:color="auto"/>
              <w:right w:val="single" w:sz="4" w:space="0" w:color="auto"/>
            </w:tcBorders>
          </w:tcPr>
          <w:p w14:paraId="43BA7E92" w14:textId="77777777" w:rsidR="00265869" w:rsidRPr="00744FB8" w:rsidRDefault="00265869" w:rsidP="00265869">
            <w:pPr>
              <w:jc w:val="left"/>
              <w:rPr>
                <w:rFonts w:ascii="Arial Narrow" w:hAnsi="Arial Narrow" w:cs="Arial"/>
                <w:sz w:val="20"/>
                <w:szCs w:val="20"/>
              </w:rPr>
            </w:pPr>
            <w:r w:rsidRPr="00F33674">
              <w:rPr>
                <w:rFonts w:ascii="Arial Narrow" w:hAnsi="Arial Narrow" w:cs="Arial"/>
                <w:sz w:val="20"/>
                <w:szCs w:val="20"/>
              </w:rPr>
              <w:t xml:space="preserve">[new] </w:t>
            </w:r>
            <w:r w:rsidRPr="00744FB8">
              <w:rPr>
                <w:rFonts w:ascii="Arial Narrow" w:hAnsi="Arial Narrow" w:cs="Arial"/>
                <w:sz w:val="20"/>
                <w:szCs w:val="20"/>
              </w:rPr>
              <w:t>Authorities for increased maximum quantities and/or repeats must only be considered for chronic severe disabling pain where the patient has received initial authority approval and the total duration of non-PBS and PBS opioid analgesic treatment:</w:t>
            </w:r>
          </w:p>
          <w:p w14:paraId="6496812D" w14:textId="77777777" w:rsidR="00265869" w:rsidRPr="00744FB8" w:rsidRDefault="00265869" w:rsidP="00265869">
            <w:pPr>
              <w:jc w:val="left"/>
              <w:rPr>
                <w:rFonts w:ascii="Arial Narrow" w:hAnsi="Arial Narrow" w:cs="Arial"/>
                <w:sz w:val="20"/>
                <w:szCs w:val="20"/>
              </w:rPr>
            </w:pPr>
            <w:r w:rsidRPr="00744FB8">
              <w:rPr>
                <w:rFonts w:ascii="Arial Narrow" w:hAnsi="Arial Narrow" w:cs="Arial"/>
                <w:sz w:val="20"/>
                <w:szCs w:val="20"/>
              </w:rPr>
              <w:t>(i) is less than 12 months; or</w:t>
            </w:r>
          </w:p>
          <w:p w14:paraId="7CE688E4" w14:textId="77777777" w:rsidR="00265869" w:rsidRPr="00744FB8" w:rsidRDefault="00265869" w:rsidP="00265869">
            <w:pPr>
              <w:jc w:val="left"/>
              <w:rPr>
                <w:rFonts w:ascii="Arial Narrow" w:hAnsi="Arial Narrow" w:cs="Arial"/>
                <w:sz w:val="20"/>
                <w:szCs w:val="20"/>
              </w:rPr>
            </w:pPr>
            <w:r w:rsidRPr="00744FB8">
              <w:rPr>
                <w:rFonts w:ascii="Arial Narrow" w:hAnsi="Arial Narrow" w:cs="Arial"/>
                <w:sz w:val="20"/>
                <w:szCs w:val="20"/>
              </w:rPr>
              <w:t>(ii) exceeds 12 months and the palliative care patient is unable to have annual pain management review due to their clinical condition; or</w:t>
            </w:r>
          </w:p>
          <w:p w14:paraId="331E8219" w14:textId="77777777" w:rsidR="00265869" w:rsidRPr="00744FB8" w:rsidRDefault="00265869" w:rsidP="00265869">
            <w:pPr>
              <w:jc w:val="left"/>
              <w:rPr>
                <w:rFonts w:ascii="Arial Narrow" w:hAnsi="Arial Narrow" w:cs="Arial"/>
                <w:sz w:val="20"/>
                <w:szCs w:val="20"/>
              </w:rPr>
            </w:pPr>
            <w:r w:rsidRPr="00744FB8">
              <w:rPr>
                <w:rFonts w:ascii="Arial Narrow" w:hAnsi="Arial Narrow" w:cs="Arial"/>
                <w:sz w:val="20"/>
                <w:szCs w:val="20"/>
              </w:rPr>
              <w:t>(iii) exceeds 12 months and the patient's clinical need for continuing opioid treatment has been confirmed through consultation with the patient by another medical practitioner or a palliative care nurse practitioner in the past 12 months; or</w:t>
            </w:r>
          </w:p>
          <w:p w14:paraId="3471C8E2" w14:textId="77777777" w:rsidR="00265869" w:rsidRDefault="00265869" w:rsidP="00265869">
            <w:pPr>
              <w:jc w:val="left"/>
              <w:rPr>
                <w:rFonts w:ascii="Arial Narrow" w:hAnsi="Arial Narrow" w:cs="Arial"/>
                <w:sz w:val="20"/>
                <w:szCs w:val="20"/>
              </w:rPr>
            </w:pPr>
            <w:r w:rsidRPr="00744FB8">
              <w:rPr>
                <w:rFonts w:ascii="Arial Narrow" w:hAnsi="Arial Narrow" w:cs="Arial"/>
                <w:sz w:val="20"/>
                <w:szCs w:val="20"/>
              </w:rPr>
              <w:t xml:space="preserve">(iv) </w:t>
            </w:r>
            <w:proofErr w:type="gramStart"/>
            <w:r w:rsidRPr="00744FB8">
              <w:rPr>
                <w:rFonts w:ascii="Arial Narrow" w:hAnsi="Arial Narrow" w:cs="Arial"/>
                <w:sz w:val="20"/>
                <w:szCs w:val="20"/>
              </w:rPr>
              <w:t>has</w:t>
            </w:r>
            <w:proofErr w:type="gramEnd"/>
            <w:r w:rsidRPr="00744FB8">
              <w:rPr>
                <w:rFonts w:ascii="Arial Narrow" w:hAnsi="Arial Narrow" w:cs="Arial"/>
                <w:sz w:val="20"/>
                <w:szCs w:val="20"/>
              </w:rPr>
              <w:t xml:space="preserve"> exceeded 12 months prior to 1 June 2020 and the patient's pain management and clinical need for continuing opioid treatment has not been confirmed through consultation with the patient by another medical practitioner or a palliative care nurse practitioner in the past 12 months, but is planned in the next 3 months.</w:t>
            </w:r>
          </w:p>
          <w:p w14:paraId="0C344ABD" w14:textId="77777777" w:rsidR="00265869" w:rsidRPr="00F33674" w:rsidRDefault="00265869" w:rsidP="00265869">
            <w:pPr>
              <w:jc w:val="left"/>
              <w:rPr>
                <w:rFonts w:ascii="Arial Narrow" w:hAnsi="Arial Narrow" w:cs="Arial"/>
                <w:sz w:val="20"/>
                <w:szCs w:val="20"/>
              </w:rPr>
            </w:pPr>
          </w:p>
          <w:p w14:paraId="4D23F6D2" w14:textId="77777777" w:rsidR="00265869" w:rsidRPr="00F33674" w:rsidRDefault="00265869" w:rsidP="00265869">
            <w:pPr>
              <w:jc w:val="left"/>
              <w:rPr>
                <w:rFonts w:ascii="Arial Narrow" w:hAnsi="Arial Narrow" w:cs="Arial"/>
                <w:sz w:val="20"/>
                <w:szCs w:val="20"/>
              </w:rPr>
            </w:pPr>
            <w:r w:rsidRPr="00F33674">
              <w:rPr>
                <w:rFonts w:ascii="Arial Narrow" w:hAnsi="Arial Narrow" w:cs="Arial"/>
                <w:sz w:val="20"/>
                <w:szCs w:val="20"/>
              </w:rPr>
              <w:t>[new] Authority requests extending treatment duration up to 1 month may be requested though the Online PBS Authorities system or by calling Services Australia.</w:t>
            </w:r>
          </w:p>
          <w:p w14:paraId="77C0BF09" w14:textId="77777777" w:rsidR="00265869" w:rsidRPr="00F33674" w:rsidRDefault="00265869" w:rsidP="00265869">
            <w:pPr>
              <w:jc w:val="left"/>
              <w:rPr>
                <w:rFonts w:ascii="Arial Narrow" w:hAnsi="Arial Narrow" w:cs="Arial"/>
                <w:sz w:val="20"/>
                <w:szCs w:val="20"/>
              </w:rPr>
            </w:pPr>
          </w:p>
          <w:p w14:paraId="386DB9ED" w14:textId="77777777" w:rsidR="00265869" w:rsidRPr="00F33674" w:rsidRDefault="00265869" w:rsidP="00265869">
            <w:pPr>
              <w:jc w:val="left"/>
              <w:rPr>
                <w:rFonts w:ascii="Arial Narrow" w:hAnsi="Arial Narrow" w:cs="Arial"/>
                <w:sz w:val="20"/>
                <w:szCs w:val="20"/>
              </w:rPr>
            </w:pPr>
            <w:r w:rsidRPr="00F33674">
              <w:rPr>
                <w:rFonts w:ascii="Arial Narrow" w:hAnsi="Arial Narrow" w:cs="Arial"/>
                <w:sz w:val="20"/>
                <w:szCs w:val="20"/>
              </w:rPr>
              <w:t xml:space="preserve">Authority requests extending treatment duration beyond 1 month </w:t>
            </w:r>
            <w:r>
              <w:rPr>
                <w:rFonts w:ascii="Arial Narrow" w:hAnsi="Arial Narrow" w:cs="Arial"/>
                <w:sz w:val="20"/>
                <w:szCs w:val="20"/>
              </w:rPr>
              <w:t>may be requested through the Online PBS Authorities system</w:t>
            </w:r>
            <w:r w:rsidRPr="00F33674">
              <w:rPr>
                <w:rFonts w:ascii="Arial Narrow" w:hAnsi="Arial Narrow" w:cs="Arial"/>
                <w:sz w:val="20"/>
                <w:szCs w:val="20"/>
              </w:rPr>
              <w:t xml:space="preserve"> or in writing only and must not provide a treatment duration exceeding </w:t>
            </w:r>
            <w:r>
              <w:rPr>
                <w:rFonts w:ascii="Arial Narrow" w:hAnsi="Arial Narrow" w:cs="Arial"/>
                <w:sz w:val="20"/>
                <w:szCs w:val="20"/>
              </w:rPr>
              <w:t xml:space="preserve">3 months (quantity sufficient for up to </w:t>
            </w:r>
            <w:proofErr w:type="gramStart"/>
            <w:r>
              <w:rPr>
                <w:rFonts w:ascii="Arial Narrow" w:hAnsi="Arial Narrow" w:cs="Arial"/>
                <w:sz w:val="20"/>
                <w:szCs w:val="20"/>
              </w:rPr>
              <w:t>1 month</w:t>
            </w:r>
            <w:proofErr w:type="gramEnd"/>
            <w:r>
              <w:rPr>
                <w:rFonts w:ascii="Arial Narrow" w:hAnsi="Arial Narrow" w:cs="Arial"/>
                <w:sz w:val="20"/>
                <w:szCs w:val="20"/>
              </w:rPr>
              <w:t xml:space="preserve"> treatment and sufficient repeats).</w:t>
            </w:r>
          </w:p>
        </w:tc>
      </w:tr>
      <w:tr w:rsidR="00265869" w:rsidRPr="00F33674" w14:paraId="26A4BCB6" w14:textId="77777777" w:rsidTr="00C21DFA">
        <w:trPr>
          <w:cantSplit/>
          <w:trHeight w:val="360"/>
        </w:trPr>
        <w:tc>
          <w:tcPr>
            <w:tcW w:w="3183" w:type="dxa"/>
            <w:tcBorders>
              <w:top w:val="single" w:sz="4" w:space="0" w:color="auto"/>
              <w:left w:val="single" w:sz="4" w:space="0" w:color="auto"/>
              <w:bottom w:val="single" w:sz="4" w:space="0" w:color="auto"/>
              <w:right w:val="single" w:sz="4" w:space="0" w:color="auto"/>
            </w:tcBorders>
          </w:tcPr>
          <w:p w14:paraId="7E12AC76" w14:textId="396F7322" w:rsidR="00265869" w:rsidRPr="00F33674" w:rsidRDefault="00265869" w:rsidP="00265869">
            <w:pPr>
              <w:rPr>
                <w:rFonts w:ascii="Arial Narrow" w:hAnsi="Arial Narrow" w:cs="Arial"/>
                <w:b/>
                <w:sz w:val="20"/>
                <w:szCs w:val="20"/>
              </w:rPr>
            </w:pPr>
            <w:r w:rsidRPr="00F33674">
              <w:rPr>
                <w:rFonts w:ascii="Arial Narrow" w:hAnsi="Arial Narrow" w:cs="Arial"/>
                <w:b/>
                <w:sz w:val="20"/>
                <w:szCs w:val="20"/>
              </w:rPr>
              <w:t>Administrative advice:</w:t>
            </w:r>
          </w:p>
        </w:tc>
        <w:tc>
          <w:tcPr>
            <w:tcW w:w="6031" w:type="dxa"/>
            <w:tcBorders>
              <w:top w:val="single" w:sz="4" w:space="0" w:color="auto"/>
              <w:left w:val="single" w:sz="4" w:space="0" w:color="auto"/>
              <w:bottom w:val="single" w:sz="4" w:space="0" w:color="auto"/>
              <w:right w:val="single" w:sz="4" w:space="0" w:color="auto"/>
            </w:tcBorders>
          </w:tcPr>
          <w:p w14:paraId="51DC7A5D" w14:textId="77777777" w:rsidR="00265869" w:rsidRPr="00F33674" w:rsidRDefault="00265869" w:rsidP="00265869">
            <w:pPr>
              <w:jc w:val="left"/>
              <w:rPr>
                <w:rFonts w:ascii="Arial Narrow" w:hAnsi="Arial Narrow"/>
                <w:sz w:val="20"/>
                <w:szCs w:val="20"/>
              </w:rPr>
            </w:pPr>
            <w:r w:rsidRPr="00F33674">
              <w:rPr>
                <w:rFonts w:ascii="Arial Narrow" w:hAnsi="Arial Narrow"/>
                <w:sz w:val="20"/>
                <w:szCs w:val="20"/>
              </w:rPr>
              <w:t xml:space="preserve">[13978] Fentanyl transdermal patches </w:t>
            </w:r>
            <w:proofErr w:type="gramStart"/>
            <w:r w:rsidRPr="00F33674">
              <w:rPr>
                <w:rFonts w:ascii="Arial Narrow" w:hAnsi="Arial Narrow"/>
                <w:sz w:val="20"/>
                <w:szCs w:val="20"/>
              </w:rPr>
              <w:t>are not recommended</w:t>
            </w:r>
            <w:proofErr w:type="gramEnd"/>
            <w:r w:rsidRPr="00F33674">
              <w:rPr>
                <w:rFonts w:ascii="Arial Narrow" w:hAnsi="Arial Narrow"/>
                <w:sz w:val="20"/>
                <w:szCs w:val="20"/>
              </w:rPr>
              <w:t xml:space="preserve"> in opioid naive patients with non-cancer pain because of a high incidence of adverse events in these patients. Patients with cancer pain </w:t>
            </w:r>
            <w:proofErr w:type="gramStart"/>
            <w:r w:rsidRPr="00F33674">
              <w:rPr>
                <w:rFonts w:ascii="Arial Narrow" w:hAnsi="Arial Narrow"/>
                <w:sz w:val="20"/>
                <w:szCs w:val="20"/>
              </w:rPr>
              <w:t>may be initiated</w:t>
            </w:r>
            <w:proofErr w:type="gramEnd"/>
            <w:r w:rsidRPr="00F33674">
              <w:rPr>
                <w:rFonts w:ascii="Arial Narrow" w:hAnsi="Arial Narrow"/>
                <w:sz w:val="20"/>
                <w:szCs w:val="20"/>
              </w:rPr>
              <w:t xml:space="preserve"> on the lowest strength patch (12 micrograms per hour).</w:t>
            </w:r>
          </w:p>
          <w:p w14:paraId="124F1675" w14:textId="77777777" w:rsidR="00265869" w:rsidRPr="00F33674" w:rsidRDefault="00265869" w:rsidP="00265869">
            <w:pPr>
              <w:jc w:val="left"/>
              <w:rPr>
                <w:rFonts w:ascii="Arial Narrow" w:hAnsi="Arial Narrow"/>
                <w:sz w:val="20"/>
                <w:szCs w:val="20"/>
              </w:rPr>
            </w:pPr>
          </w:p>
          <w:p w14:paraId="7F1D43B8" w14:textId="77777777" w:rsidR="00265869" w:rsidRPr="00F33674" w:rsidRDefault="00265869" w:rsidP="00265869">
            <w:pPr>
              <w:jc w:val="left"/>
              <w:rPr>
                <w:rFonts w:ascii="Arial Narrow" w:hAnsi="Arial Narrow"/>
                <w:sz w:val="20"/>
                <w:szCs w:val="20"/>
              </w:rPr>
            </w:pPr>
            <w:r w:rsidRPr="00F33674">
              <w:rPr>
                <w:rFonts w:ascii="Arial Narrow" w:hAnsi="Arial Narrow"/>
                <w:sz w:val="20"/>
                <w:szCs w:val="20"/>
              </w:rPr>
              <w:t>[new] Consider consultation with a multidisciplinary pain service prior to, or after commencement of this medication.</w:t>
            </w:r>
          </w:p>
          <w:p w14:paraId="20BBD30C" w14:textId="77777777" w:rsidR="00265869" w:rsidRPr="00F33674" w:rsidRDefault="00265869" w:rsidP="00265869">
            <w:pPr>
              <w:jc w:val="left"/>
              <w:rPr>
                <w:rFonts w:ascii="Arial Narrow" w:hAnsi="Arial Narrow"/>
                <w:sz w:val="20"/>
                <w:szCs w:val="20"/>
              </w:rPr>
            </w:pPr>
          </w:p>
          <w:p w14:paraId="609C27BC" w14:textId="77777777" w:rsidR="00265869" w:rsidRPr="00F33674" w:rsidRDefault="00265869" w:rsidP="00265869">
            <w:pPr>
              <w:jc w:val="left"/>
              <w:rPr>
                <w:rFonts w:ascii="Arial Narrow" w:hAnsi="Arial Narrow" w:cs="Arial"/>
                <w:sz w:val="20"/>
                <w:szCs w:val="20"/>
              </w:rPr>
            </w:pPr>
            <w:r w:rsidRPr="00F33674">
              <w:rPr>
                <w:rFonts w:ascii="Arial Narrow" w:hAnsi="Arial Narrow" w:cs="Arial"/>
                <w:sz w:val="20"/>
                <w:szCs w:val="20"/>
              </w:rPr>
              <w:t>[new] This treatment is not suitable for ‘as-required’ pain relief.</w:t>
            </w:r>
          </w:p>
          <w:p w14:paraId="61AD2FDC" w14:textId="77777777" w:rsidR="00265869" w:rsidRPr="00F33674" w:rsidRDefault="00265869" w:rsidP="00265869">
            <w:pPr>
              <w:jc w:val="left"/>
              <w:rPr>
                <w:rFonts w:ascii="Arial Narrow" w:hAnsi="Arial Narrow"/>
                <w:sz w:val="20"/>
                <w:szCs w:val="20"/>
              </w:rPr>
            </w:pPr>
          </w:p>
          <w:p w14:paraId="4C11FF96" w14:textId="77777777" w:rsidR="00265869" w:rsidRPr="00F33674" w:rsidRDefault="00265869" w:rsidP="00265869">
            <w:pPr>
              <w:jc w:val="left"/>
              <w:rPr>
                <w:rFonts w:ascii="Arial Narrow" w:hAnsi="Arial Narrow" w:cs="Arial"/>
                <w:sz w:val="20"/>
                <w:szCs w:val="20"/>
              </w:rPr>
            </w:pPr>
            <w:r w:rsidRPr="00F33674">
              <w:rPr>
                <w:rFonts w:ascii="Arial Narrow" w:hAnsi="Arial Narrow" w:cs="Arial"/>
                <w:sz w:val="20"/>
                <w:szCs w:val="20"/>
              </w:rPr>
              <w:t>[13983] Pharmaceutical benefits that have the form fentanyl 75 microgram/hour patch are equivalent for the purposes of substitution.</w:t>
            </w:r>
          </w:p>
          <w:p w14:paraId="6986F036" w14:textId="77777777" w:rsidR="00265869" w:rsidRPr="00F33674" w:rsidRDefault="00265869" w:rsidP="00265869">
            <w:pPr>
              <w:jc w:val="left"/>
              <w:rPr>
                <w:rFonts w:ascii="Arial Narrow" w:hAnsi="Arial Narrow" w:cs="Arial"/>
                <w:sz w:val="20"/>
                <w:szCs w:val="20"/>
              </w:rPr>
            </w:pPr>
          </w:p>
          <w:p w14:paraId="78BA35D5" w14:textId="77777777" w:rsidR="00265869" w:rsidRPr="00F33674" w:rsidRDefault="00265869" w:rsidP="00265869">
            <w:pPr>
              <w:jc w:val="left"/>
              <w:rPr>
                <w:rFonts w:ascii="Arial Narrow" w:hAnsi="Arial Narrow" w:cs="Arial"/>
                <w:sz w:val="20"/>
                <w:szCs w:val="20"/>
              </w:rPr>
            </w:pPr>
            <w:r w:rsidRPr="00F33674">
              <w:rPr>
                <w:rFonts w:ascii="Arial Narrow" w:hAnsi="Arial Narrow" w:cs="Arial"/>
                <w:sz w:val="20"/>
                <w:szCs w:val="20"/>
              </w:rPr>
              <w:t xml:space="preserve">[7901] Shared Care Model: For prescribing by nurse practitioners where care of a patient </w:t>
            </w:r>
            <w:proofErr w:type="gramStart"/>
            <w:r w:rsidRPr="00F33674">
              <w:rPr>
                <w:rFonts w:ascii="Arial Narrow" w:hAnsi="Arial Narrow" w:cs="Arial"/>
                <w:sz w:val="20"/>
                <w:szCs w:val="20"/>
              </w:rPr>
              <w:t>is shared</w:t>
            </w:r>
            <w:proofErr w:type="gramEnd"/>
            <w:r w:rsidRPr="00F33674">
              <w:rPr>
                <w:rFonts w:ascii="Arial Narrow" w:hAnsi="Arial Narrow" w:cs="Arial"/>
                <w:sz w:val="20"/>
                <w:szCs w:val="20"/>
              </w:rPr>
              <w:t xml:space="preserve"> between a nurse practitioner and medical practitioner in a formalised arrangement with an agreed management plan. Further information </w:t>
            </w:r>
            <w:proofErr w:type="gramStart"/>
            <w:r w:rsidRPr="00F33674">
              <w:rPr>
                <w:rFonts w:ascii="Arial Narrow" w:hAnsi="Arial Narrow" w:cs="Arial"/>
                <w:sz w:val="20"/>
                <w:szCs w:val="20"/>
              </w:rPr>
              <w:t>can be found</w:t>
            </w:r>
            <w:proofErr w:type="gramEnd"/>
            <w:r w:rsidRPr="00F33674">
              <w:rPr>
                <w:rFonts w:ascii="Arial Narrow" w:hAnsi="Arial Narrow" w:cs="Arial"/>
                <w:sz w:val="20"/>
                <w:szCs w:val="20"/>
              </w:rPr>
              <w:t xml:space="preserve"> in the Explanatory Notes for Nurse Practitioners.</w:t>
            </w:r>
          </w:p>
          <w:p w14:paraId="1AB03400" w14:textId="77777777" w:rsidR="00265869" w:rsidRPr="00F33674" w:rsidRDefault="00265869" w:rsidP="00265869">
            <w:pPr>
              <w:jc w:val="left"/>
              <w:rPr>
                <w:rFonts w:ascii="Arial Narrow" w:hAnsi="Arial Narrow" w:cs="Arial"/>
                <w:sz w:val="20"/>
                <w:szCs w:val="20"/>
              </w:rPr>
            </w:pPr>
          </w:p>
          <w:p w14:paraId="74C7B525" w14:textId="77777777" w:rsidR="00265869" w:rsidRPr="00F33674" w:rsidRDefault="00265869" w:rsidP="00265869">
            <w:pPr>
              <w:jc w:val="left"/>
              <w:rPr>
                <w:rFonts w:ascii="Arial Narrow" w:hAnsi="Arial Narrow" w:cs="Arial"/>
                <w:sz w:val="20"/>
                <w:szCs w:val="20"/>
              </w:rPr>
            </w:pPr>
            <w:r w:rsidRPr="00F33674">
              <w:rPr>
                <w:rFonts w:ascii="Arial Narrow" w:hAnsi="Arial Narrow" w:cs="Arial"/>
                <w:sz w:val="20"/>
                <w:szCs w:val="20"/>
              </w:rPr>
              <w:t>[new] Real time online applications for increased maximum quantities/repeats may be made using the Online PBS Authorities system (see www.servicesaustralia.gov.au/organisations/health-professionals/services/medicare/hpos/services/request-authority-using-online-pbs-authorities-hpos)</w:t>
            </w:r>
          </w:p>
          <w:p w14:paraId="2C7D41C8" w14:textId="77777777" w:rsidR="00265869" w:rsidRPr="00F33674" w:rsidRDefault="00265869" w:rsidP="00265869">
            <w:pPr>
              <w:jc w:val="left"/>
              <w:rPr>
                <w:rFonts w:ascii="Arial Narrow" w:hAnsi="Arial Narrow" w:cs="Arial"/>
                <w:sz w:val="20"/>
                <w:szCs w:val="20"/>
              </w:rPr>
            </w:pPr>
          </w:p>
          <w:p w14:paraId="5C515A84" w14:textId="77777777" w:rsidR="00265869" w:rsidRPr="00F33674" w:rsidRDefault="00265869" w:rsidP="00265869">
            <w:pPr>
              <w:jc w:val="left"/>
              <w:rPr>
                <w:rFonts w:ascii="Arial Narrow" w:hAnsi="Arial Narrow" w:cs="Arial"/>
                <w:sz w:val="20"/>
                <w:szCs w:val="20"/>
              </w:rPr>
            </w:pPr>
            <w:r w:rsidRPr="00F33674">
              <w:rPr>
                <w:rFonts w:ascii="Arial Narrow" w:hAnsi="Arial Narrow" w:cs="Arial"/>
                <w:sz w:val="20"/>
                <w:szCs w:val="20"/>
              </w:rPr>
              <w:t>Phone applications for increased maximum quantities/repeats may be made by calling 1800 888 333.</w:t>
            </w:r>
          </w:p>
          <w:p w14:paraId="380A5105" w14:textId="77777777" w:rsidR="00265869" w:rsidRPr="00F33674" w:rsidRDefault="00265869" w:rsidP="00265869">
            <w:pPr>
              <w:jc w:val="left"/>
              <w:rPr>
                <w:rFonts w:ascii="Arial Narrow" w:hAnsi="Arial Narrow" w:cs="Arial"/>
                <w:sz w:val="20"/>
                <w:szCs w:val="20"/>
              </w:rPr>
            </w:pPr>
          </w:p>
          <w:p w14:paraId="7ED30933" w14:textId="77777777" w:rsidR="00265869" w:rsidRPr="00F33674" w:rsidRDefault="00265869" w:rsidP="00265869">
            <w:pPr>
              <w:jc w:val="left"/>
              <w:rPr>
                <w:rFonts w:ascii="Arial Narrow" w:hAnsi="Arial Narrow" w:cs="Arial"/>
                <w:sz w:val="20"/>
                <w:szCs w:val="20"/>
              </w:rPr>
            </w:pPr>
            <w:r w:rsidRPr="00F33674">
              <w:rPr>
                <w:rFonts w:ascii="Arial Narrow" w:hAnsi="Arial Narrow" w:cs="Arial"/>
                <w:sz w:val="20"/>
                <w:szCs w:val="20"/>
              </w:rPr>
              <w:t>Written authority applications for increased maximum quantities/repeats can be uploaded online through HPOS form upload or mailed to:</w:t>
            </w:r>
          </w:p>
          <w:p w14:paraId="0114E84F" w14:textId="77777777" w:rsidR="00265869" w:rsidRPr="00F33674" w:rsidRDefault="00265869" w:rsidP="00265869">
            <w:pPr>
              <w:jc w:val="left"/>
              <w:rPr>
                <w:rFonts w:ascii="Arial Narrow" w:hAnsi="Arial Narrow" w:cs="Arial"/>
                <w:sz w:val="20"/>
                <w:szCs w:val="20"/>
              </w:rPr>
            </w:pPr>
            <w:r w:rsidRPr="00F33674">
              <w:rPr>
                <w:rFonts w:ascii="Arial Narrow" w:hAnsi="Arial Narrow" w:cs="Arial"/>
                <w:sz w:val="20"/>
                <w:szCs w:val="20"/>
              </w:rPr>
              <w:t>Pharmaceutical Benefits Scheme</w:t>
            </w:r>
          </w:p>
          <w:p w14:paraId="1A20DF11" w14:textId="77777777" w:rsidR="00265869" w:rsidRPr="00F33674" w:rsidRDefault="00265869" w:rsidP="00265869">
            <w:pPr>
              <w:jc w:val="left"/>
              <w:rPr>
                <w:rFonts w:ascii="Arial Narrow" w:hAnsi="Arial Narrow" w:cs="Arial"/>
                <w:sz w:val="20"/>
                <w:szCs w:val="20"/>
              </w:rPr>
            </w:pPr>
            <w:r w:rsidRPr="00F33674">
              <w:rPr>
                <w:rFonts w:ascii="Arial Narrow" w:hAnsi="Arial Narrow" w:cs="Arial"/>
                <w:sz w:val="20"/>
                <w:szCs w:val="20"/>
              </w:rPr>
              <w:t>Reply Paid 9857</w:t>
            </w:r>
          </w:p>
          <w:p w14:paraId="7F5CD001" w14:textId="7A1A43C6" w:rsidR="00265869" w:rsidRPr="00F33674" w:rsidRDefault="00265869" w:rsidP="00265869">
            <w:pPr>
              <w:jc w:val="left"/>
              <w:rPr>
                <w:rFonts w:ascii="Arial Narrow" w:hAnsi="Arial Narrow" w:cs="Arial"/>
                <w:sz w:val="20"/>
                <w:szCs w:val="20"/>
              </w:rPr>
            </w:pPr>
            <w:r w:rsidRPr="00F33674">
              <w:rPr>
                <w:rFonts w:ascii="Arial Narrow" w:hAnsi="Arial Narrow" w:cs="Arial"/>
                <w:sz w:val="20"/>
                <w:szCs w:val="20"/>
              </w:rPr>
              <w:t>[Your capital city]</w:t>
            </w:r>
          </w:p>
        </w:tc>
      </w:tr>
      <w:tr w:rsidR="00265869" w:rsidRPr="00F33674" w14:paraId="08412EF4" w14:textId="77777777" w:rsidTr="00C21DFA">
        <w:trPr>
          <w:cantSplit/>
          <w:trHeight w:val="360"/>
        </w:trPr>
        <w:tc>
          <w:tcPr>
            <w:tcW w:w="3183" w:type="dxa"/>
            <w:tcBorders>
              <w:top w:val="single" w:sz="4" w:space="0" w:color="auto"/>
              <w:left w:val="single" w:sz="4" w:space="0" w:color="auto"/>
              <w:bottom w:val="single" w:sz="4" w:space="0" w:color="auto"/>
              <w:right w:val="single" w:sz="4" w:space="0" w:color="auto"/>
            </w:tcBorders>
          </w:tcPr>
          <w:p w14:paraId="18E85FD2" w14:textId="77777777" w:rsidR="00265869" w:rsidRPr="00F33674" w:rsidRDefault="00265869" w:rsidP="00265869">
            <w:pPr>
              <w:rPr>
                <w:rFonts w:ascii="Arial Narrow" w:hAnsi="Arial Narrow" w:cs="Arial"/>
                <w:b/>
                <w:sz w:val="20"/>
                <w:szCs w:val="20"/>
              </w:rPr>
            </w:pPr>
            <w:r w:rsidRPr="00F33674">
              <w:rPr>
                <w:rFonts w:ascii="Arial Narrow" w:hAnsi="Arial Narrow" w:cs="Arial"/>
                <w:b/>
                <w:sz w:val="20"/>
                <w:szCs w:val="20"/>
              </w:rPr>
              <w:t>Cautions:</w:t>
            </w:r>
          </w:p>
        </w:tc>
        <w:tc>
          <w:tcPr>
            <w:tcW w:w="6031" w:type="dxa"/>
            <w:tcBorders>
              <w:top w:val="single" w:sz="4" w:space="0" w:color="auto"/>
              <w:left w:val="single" w:sz="4" w:space="0" w:color="auto"/>
              <w:bottom w:val="single" w:sz="4" w:space="0" w:color="auto"/>
              <w:right w:val="single" w:sz="4" w:space="0" w:color="auto"/>
            </w:tcBorders>
          </w:tcPr>
          <w:p w14:paraId="25B0BCA1" w14:textId="77777777" w:rsidR="00265869" w:rsidRPr="00F33674" w:rsidRDefault="00265869" w:rsidP="00265869">
            <w:pPr>
              <w:jc w:val="left"/>
              <w:rPr>
                <w:rFonts w:ascii="Arial Narrow" w:hAnsi="Arial Narrow" w:cs="Arial"/>
                <w:sz w:val="20"/>
                <w:szCs w:val="20"/>
              </w:rPr>
            </w:pPr>
            <w:r w:rsidRPr="00F33674">
              <w:rPr>
                <w:rFonts w:ascii="Arial Narrow" w:hAnsi="Arial Narrow" w:cs="Arial"/>
                <w:sz w:val="20"/>
                <w:szCs w:val="20"/>
              </w:rPr>
              <w:t>[6986] The risk of drug dependence is high.</w:t>
            </w:r>
          </w:p>
        </w:tc>
      </w:tr>
    </w:tbl>
    <w:p w14:paraId="07608A36" w14:textId="609F7BFA" w:rsidR="00265869" w:rsidRDefault="00265869" w:rsidP="00877E34">
      <w:pPr>
        <w:pStyle w:val="3-BodyText"/>
        <w:numPr>
          <w:ilvl w:val="0"/>
          <w:numId w:val="0"/>
        </w:numPr>
        <w:ind w:left="720" w:hanging="720"/>
      </w:pPr>
    </w:p>
    <w:p w14:paraId="2E8DEAF0" w14:textId="091227D5" w:rsidR="00F33674" w:rsidRPr="00F33674" w:rsidRDefault="00F33674" w:rsidP="00243407">
      <w:pPr>
        <w:pStyle w:val="3-BodyText"/>
      </w:pPr>
      <w:r w:rsidRPr="00F33674">
        <w:lastRenderedPageBreak/>
        <w:t>Amend items:</w:t>
      </w:r>
    </w:p>
    <w:p w14:paraId="157AC039" w14:textId="77777777" w:rsidR="00F33674" w:rsidRPr="00F33674" w:rsidRDefault="00F33674" w:rsidP="00F33674">
      <w:pPr>
        <w:keepNext/>
        <w:keepLines/>
        <w:spacing w:before="40"/>
        <w:jc w:val="left"/>
        <w:outlineLvl w:val="2"/>
        <w:rPr>
          <w:rFonts w:asciiTheme="minorHAnsi" w:eastAsiaTheme="majorEastAsia" w:hAnsiTheme="minorHAnsi" w:cstheme="majorBidi"/>
          <w:b/>
          <w:color w:val="000000" w:themeColor="text1"/>
        </w:rPr>
      </w:pPr>
      <w:bookmarkStart w:id="43" w:name="_Toc32300608"/>
      <w:r w:rsidRPr="00F33674">
        <w:rPr>
          <w:rFonts w:asciiTheme="minorHAnsi" w:eastAsiaTheme="majorEastAsia" w:hAnsiTheme="minorHAnsi" w:cstheme="majorBidi"/>
          <w:b/>
          <w:color w:val="000000" w:themeColor="text1"/>
        </w:rPr>
        <w:t xml:space="preserve">Listing 24: Restriction for long-term pain TGA indication in </w:t>
      </w:r>
      <w:proofErr w:type="gramStart"/>
      <w:r w:rsidRPr="00F33674">
        <w:rPr>
          <w:rFonts w:asciiTheme="minorHAnsi" w:eastAsiaTheme="majorEastAsia" w:hAnsiTheme="minorHAnsi" w:cstheme="majorBidi"/>
          <w:b/>
          <w:color w:val="000000" w:themeColor="text1"/>
        </w:rPr>
        <w:t>2</w:t>
      </w:r>
      <w:r w:rsidRPr="00F33674">
        <w:rPr>
          <w:rFonts w:asciiTheme="minorHAnsi" w:eastAsiaTheme="majorEastAsia" w:hAnsiTheme="minorHAnsi" w:cstheme="majorBidi"/>
          <w:b/>
          <w:color w:val="000000" w:themeColor="text1"/>
          <w:vertAlign w:val="superscript"/>
        </w:rPr>
        <w:t>nd</w:t>
      </w:r>
      <w:proofErr w:type="gramEnd"/>
      <w:r w:rsidRPr="00F33674">
        <w:rPr>
          <w:rFonts w:asciiTheme="minorHAnsi" w:eastAsiaTheme="majorEastAsia" w:hAnsiTheme="minorHAnsi" w:cstheme="majorBidi"/>
          <w:b/>
          <w:color w:val="000000" w:themeColor="text1"/>
        </w:rPr>
        <w:t xml:space="preserve"> line opioid setting on general schedule (fentanyl 100mcg/hr patch):</w:t>
      </w:r>
      <w:bookmarkEnd w:id="43"/>
    </w:p>
    <w:p w14:paraId="212D05AE" w14:textId="77777777" w:rsidR="00F33674" w:rsidRPr="00F33674" w:rsidRDefault="00F33674" w:rsidP="00F33674">
      <w:pPr>
        <w:ind w:left="360" w:hanging="360"/>
        <w:contextualSpacing/>
        <w:jc w:val="left"/>
      </w:pPr>
    </w:p>
    <w:tbl>
      <w:tblPr>
        <w:tblW w:w="9015" w:type="dxa"/>
        <w:tblLook w:val="04A0" w:firstRow="1" w:lastRow="0" w:firstColumn="1" w:lastColumn="0" w:noHBand="0" w:noVBand="1"/>
      </w:tblPr>
      <w:tblGrid>
        <w:gridCol w:w="1264"/>
        <w:gridCol w:w="736"/>
        <w:gridCol w:w="2390"/>
        <w:gridCol w:w="572"/>
        <w:gridCol w:w="530"/>
        <w:gridCol w:w="1397"/>
        <w:gridCol w:w="2126"/>
      </w:tblGrid>
      <w:tr w:rsidR="00F33674" w:rsidRPr="00F33674" w14:paraId="556F0BC4" w14:textId="77777777" w:rsidTr="00F33674">
        <w:trPr>
          <w:trHeight w:val="300"/>
        </w:trPr>
        <w:tc>
          <w:tcPr>
            <w:tcW w:w="1264" w:type="dxa"/>
            <w:tcBorders>
              <w:bottom w:val="single" w:sz="4" w:space="0" w:color="auto"/>
            </w:tcBorders>
            <w:shd w:val="clear" w:color="auto" w:fill="auto"/>
            <w:noWrap/>
            <w:hideMark/>
          </w:tcPr>
          <w:p w14:paraId="573F95D0"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LI Drug</w:t>
            </w:r>
          </w:p>
        </w:tc>
        <w:tc>
          <w:tcPr>
            <w:tcW w:w="736" w:type="dxa"/>
            <w:tcBorders>
              <w:bottom w:val="single" w:sz="4" w:space="0" w:color="auto"/>
            </w:tcBorders>
            <w:shd w:val="clear" w:color="auto" w:fill="auto"/>
          </w:tcPr>
          <w:p w14:paraId="3D632FD8"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Item Code</w:t>
            </w:r>
          </w:p>
        </w:tc>
        <w:tc>
          <w:tcPr>
            <w:tcW w:w="2390" w:type="dxa"/>
            <w:tcBorders>
              <w:bottom w:val="single" w:sz="4" w:space="0" w:color="auto"/>
            </w:tcBorders>
            <w:shd w:val="clear" w:color="auto" w:fill="auto"/>
            <w:noWrap/>
            <w:hideMark/>
          </w:tcPr>
          <w:p w14:paraId="212F3ECC"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Legal Instrument Form</w:t>
            </w:r>
          </w:p>
        </w:tc>
        <w:tc>
          <w:tcPr>
            <w:tcW w:w="572" w:type="dxa"/>
            <w:tcBorders>
              <w:bottom w:val="single" w:sz="4" w:space="0" w:color="auto"/>
            </w:tcBorders>
            <w:shd w:val="clear" w:color="auto" w:fill="auto"/>
            <w:noWrap/>
            <w:hideMark/>
          </w:tcPr>
          <w:p w14:paraId="2C88DCF8"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Max. Qty</w:t>
            </w:r>
          </w:p>
        </w:tc>
        <w:tc>
          <w:tcPr>
            <w:tcW w:w="530" w:type="dxa"/>
            <w:tcBorders>
              <w:bottom w:val="single" w:sz="4" w:space="0" w:color="auto"/>
            </w:tcBorders>
            <w:shd w:val="clear" w:color="auto" w:fill="auto"/>
            <w:noWrap/>
            <w:hideMark/>
          </w:tcPr>
          <w:p w14:paraId="1991ED2A"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No. Rpt</w:t>
            </w:r>
          </w:p>
        </w:tc>
        <w:tc>
          <w:tcPr>
            <w:tcW w:w="1397" w:type="dxa"/>
            <w:tcBorders>
              <w:bottom w:val="single" w:sz="4" w:space="0" w:color="auto"/>
            </w:tcBorders>
            <w:shd w:val="clear" w:color="auto" w:fill="auto"/>
            <w:noWrap/>
            <w:hideMark/>
          </w:tcPr>
          <w:p w14:paraId="0E441A49"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Brand Name</w:t>
            </w:r>
          </w:p>
        </w:tc>
        <w:tc>
          <w:tcPr>
            <w:tcW w:w="2126" w:type="dxa"/>
            <w:tcBorders>
              <w:bottom w:val="single" w:sz="4" w:space="0" w:color="auto"/>
            </w:tcBorders>
            <w:shd w:val="clear" w:color="auto" w:fill="auto"/>
            <w:noWrap/>
            <w:hideMark/>
          </w:tcPr>
          <w:p w14:paraId="65B11492"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Responsible Person</w:t>
            </w:r>
          </w:p>
        </w:tc>
      </w:tr>
      <w:tr w:rsidR="00F33674" w:rsidRPr="00F33674" w14:paraId="7E0E7B67" w14:textId="77777777" w:rsidTr="00F33674">
        <w:trPr>
          <w:trHeight w:val="300"/>
        </w:trPr>
        <w:tc>
          <w:tcPr>
            <w:tcW w:w="1264" w:type="dxa"/>
            <w:tcBorders>
              <w:top w:val="single" w:sz="4" w:space="0" w:color="auto"/>
            </w:tcBorders>
            <w:shd w:val="clear" w:color="auto" w:fill="auto"/>
            <w:noWrap/>
            <w:hideMark/>
          </w:tcPr>
          <w:p w14:paraId="2023392B"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FENTANYL</w:t>
            </w:r>
          </w:p>
        </w:tc>
        <w:tc>
          <w:tcPr>
            <w:tcW w:w="736" w:type="dxa"/>
            <w:shd w:val="clear" w:color="auto" w:fill="auto"/>
          </w:tcPr>
          <w:p w14:paraId="0254EDBB"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5280X</w:t>
            </w:r>
          </w:p>
        </w:tc>
        <w:tc>
          <w:tcPr>
            <w:tcW w:w="2390" w:type="dxa"/>
            <w:shd w:val="clear" w:color="auto" w:fill="auto"/>
            <w:noWrap/>
            <w:hideMark/>
          </w:tcPr>
          <w:p w14:paraId="0F30E0E0"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Transdermal patch 10.20 mg</w:t>
            </w:r>
          </w:p>
        </w:tc>
        <w:tc>
          <w:tcPr>
            <w:tcW w:w="572" w:type="dxa"/>
            <w:shd w:val="clear" w:color="auto" w:fill="auto"/>
            <w:noWrap/>
            <w:hideMark/>
          </w:tcPr>
          <w:p w14:paraId="612F9EDB" w14:textId="77777777" w:rsidR="00F33674" w:rsidRPr="00F33674" w:rsidRDefault="00F33674" w:rsidP="00F33674">
            <w:pPr>
              <w:jc w:val="righ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5</w:t>
            </w:r>
          </w:p>
        </w:tc>
        <w:tc>
          <w:tcPr>
            <w:tcW w:w="530" w:type="dxa"/>
            <w:shd w:val="clear" w:color="auto" w:fill="auto"/>
            <w:noWrap/>
            <w:hideMark/>
          </w:tcPr>
          <w:p w14:paraId="7AEE3237" w14:textId="77777777" w:rsidR="00F33674" w:rsidRPr="00F33674" w:rsidRDefault="00F33674" w:rsidP="00F33674">
            <w:pPr>
              <w:jc w:val="righ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0</w:t>
            </w:r>
          </w:p>
        </w:tc>
        <w:tc>
          <w:tcPr>
            <w:tcW w:w="1397" w:type="dxa"/>
            <w:shd w:val="clear" w:color="auto" w:fill="auto"/>
            <w:noWrap/>
            <w:hideMark/>
          </w:tcPr>
          <w:p w14:paraId="1F094F16"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Denpax</w:t>
            </w:r>
          </w:p>
        </w:tc>
        <w:tc>
          <w:tcPr>
            <w:tcW w:w="2126" w:type="dxa"/>
            <w:shd w:val="clear" w:color="auto" w:fill="auto"/>
            <w:noWrap/>
            <w:hideMark/>
          </w:tcPr>
          <w:p w14:paraId="432BB012"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Alphapharm Pty Ltd</w:t>
            </w:r>
          </w:p>
        </w:tc>
      </w:tr>
      <w:tr w:rsidR="00F33674" w:rsidRPr="00F33674" w14:paraId="679FE6B8" w14:textId="77777777" w:rsidTr="00F33674">
        <w:trPr>
          <w:trHeight w:val="300"/>
        </w:trPr>
        <w:tc>
          <w:tcPr>
            <w:tcW w:w="1264" w:type="dxa"/>
            <w:shd w:val="clear" w:color="auto" w:fill="auto"/>
            <w:noWrap/>
          </w:tcPr>
          <w:p w14:paraId="0CA10898" w14:textId="77777777" w:rsidR="00F33674" w:rsidRPr="00F33674" w:rsidRDefault="00F33674" w:rsidP="00F33674">
            <w:pPr>
              <w:jc w:val="left"/>
              <w:rPr>
                <w:rFonts w:ascii="Arial Narrow" w:hAnsi="Arial Narrow" w:cs="Calibri"/>
                <w:color w:val="000000"/>
                <w:sz w:val="20"/>
                <w:szCs w:val="20"/>
                <w:lang w:eastAsia="en-AU"/>
              </w:rPr>
            </w:pPr>
          </w:p>
        </w:tc>
        <w:tc>
          <w:tcPr>
            <w:tcW w:w="736" w:type="dxa"/>
            <w:shd w:val="clear" w:color="auto" w:fill="auto"/>
          </w:tcPr>
          <w:p w14:paraId="18D37188"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5441J</w:t>
            </w:r>
          </w:p>
        </w:tc>
        <w:tc>
          <w:tcPr>
            <w:tcW w:w="2390" w:type="dxa"/>
            <w:vMerge w:val="restart"/>
            <w:shd w:val="clear" w:color="auto" w:fill="auto"/>
            <w:noWrap/>
          </w:tcPr>
          <w:p w14:paraId="02B73EBC"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Transdermal patch 16.5 mg</w:t>
            </w:r>
          </w:p>
        </w:tc>
        <w:tc>
          <w:tcPr>
            <w:tcW w:w="572" w:type="dxa"/>
            <w:shd w:val="clear" w:color="auto" w:fill="auto"/>
            <w:noWrap/>
          </w:tcPr>
          <w:p w14:paraId="4AEE5AFC" w14:textId="77777777" w:rsidR="00F33674" w:rsidRPr="00F33674" w:rsidRDefault="00F33674" w:rsidP="00F33674">
            <w:pPr>
              <w:jc w:val="righ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5</w:t>
            </w:r>
          </w:p>
        </w:tc>
        <w:tc>
          <w:tcPr>
            <w:tcW w:w="530" w:type="dxa"/>
            <w:shd w:val="clear" w:color="auto" w:fill="auto"/>
            <w:noWrap/>
          </w:tcPr>
          <w:p w14:paraId="3525413A" w14:textId="77777777" w:rsidR="00F33674" w:rsidRPr="00F33674" w:rsidRDefault="00F33674" w:rsidP="00F33674">
            <w:pPr>
              <w:jc w:val="righ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0</w:t>
            </w:r>
          </w:p>
        </w:tc>
        <w:tc>
          <w:tcPr>
            <w:tcW w:w="1397" w:type="dxa"/>
            <w:shd w:val="clear" w:color="auto" w:fill="auto"/>
            <w:noWrap/>
            <w:hideMark/>
          </w:tcPr>
          <w:p w14:paraId="71442A14"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Dutran 100</w:t>
            </w:r>
          </w:p>
        </w:tc>
        <w:tc>
          <w:tcPr>
            <w:tcW w:w="2126" w:type="dxa"/>
            <w:shd w:val="clear" w:color="auto" w:fill="auto"/>
            <w:noWrap/>
            <w:hideMark/>
          </w:tcPr>
          <w:p w14:paraId="5F0F4390"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Amneal Pharmaceuticals Pty Ltd</w:t>
            </w:r>
          </w:p>
        </w:tc>
      </w:tr>
      <w:tr w:rsidR="00F33674" w:rsidRPr="00F33674" w14:paraId="1D06E9CE" w14:textId="77777777" w:rsidTr="00F33674">
        <w:trPr>
          <w:trHeight w:val="300"/>
        </w:trPr>
        <w:tc>
          <w:tcPr>
            <w:tcW w:w="1264" w:type="dxa"/>
            <w:shd w:val="clear" w:color="auto" w:fill="auto"/>
            <w:noWrap/>
          </w:tcPr>
          <w:p w14:paraId="7C6300E6" w14:textId="77777777" w:rsidR="00F33674" w:rsidRPr="00F33674" w:rsidRDefault="00F33674" w:rsidP="00F33674">
            <w:pPr>
              <w:jc w:val="left"/>
              <w:rPr>
                <w:rFonts w:ascii="Arial Narrow" w:hAnsi="Arial Narrow" w:cs="Calibri"/>
                <w:color w:val="000000"/>
                <w:sz w:val="20"/>
                <w:szCs w:val="20"/>
                <w:lang w:eastAsia="en-AU"/>
              </w:rPr>
            </w:pPr>
          </w:p>
        </w:tc>
        <w:tc>
          <w:tcPr>
            <w:tcW w:w="736" w:type="dxa"/>
            <w:shd w:val="clear" w:color="auto" w:fill="auto"/>
          </w:tcPr>
          <w:p w14:paraId="7D267282" w14:textId="77777777" w:rsidR="00F33674" w:rsidRPr="00F33674" w:rsidRDefault="00F33674" w:rsidP="00F33674">
            <w:pPr>
              <w:jc w:val="left"/>
              <w:rPr>
                <w:rFonts w:ascii="Arial Narrow" w:hAnsi="Arial Narrow" w:cs="Calibri"/>
                <w:color w:val="000000"/>
                <w:sz w:val="20"/>
                <w:szCs w:val="20"/>
                <w:lang w:eastAsia="en-AU"/>
              </w:rPr>
            </w:pPr>
          </w:p>
        </w:tc>
        <w:tc>
          <w:tcPr>
            <w:tcW w:w="2390" w:type="dxa"/>
            <w:vMerge/>
            <w:shd w:val="clear" w:color="auto" w:fill="auto"/>
            <w:noWrap/>
            <w:hideMark/>
          </w:tcPr>
          <w:p w14:paraId="4703E847" w14:textId="77777777" w:rsidR="00F33674" w:rsidRPr="00F33674" w:rsidRDefault="00F33674" w:rsidP="00F33674">
            <w:pPr>
              <w:jc w:val="left"/>
              <w:rPr>
                <w:rFonts w:ascii="Arial Narrow" w:hAnsi="Arial Narrow" w:cs="Calibri"/>
                <w:color w:val="000000"/>
                <w:sz w:val="20"/>
                <w:szCs w:val="20"/>
                <w:lang w:eastAsia="en-AU"/>
              </w:rPr>
            </w:pPr>
          </w:p>
        </w:tc>
        <w:tc>
          <w:tcPr>
            <w:tcW w:w="572" w:type="dxa"/>
            <w:shd w:val="clear" w:color="auto" w:fill="auto"/>
            <w:noWrap/>
            <w:hideMark/>
          </w:tcPr>
          <w:p w14:paraId="7BF2B9CA" w14:textId="77777777" w:rsidR="00F33674" w:rsidRPr="00F33674" w:rsidRDefault="00F33674" w:rsidP="00F33674">
            <w:pPr>
              <w:jc w:val="right"/>
              <w:rPr>
                <w:rFonts w:ascii="Arial Narrow" w:hAnsi="Arial Narrow" w:cs="Calibri"/>
                <w:color w:val="000000"/>
                <w:sz w:val="20"/>
                <w:szCs w:val="20"/>
                <w:lang w:eastAsia="en-AU"/>
              </w:rPr>
            </w:pPr>
          </w:p>
        </w:tc>
        <w:tc>
          <w:tcPr>
            <w:tcW w:w="530" w:type="dxa"/>
            <w:shd w:val="clear" w:color="auto" w:fill="auto"/>
            <w:noWrap/>
            <w:hideMark/>
          </w:tcPr>
          <w:p w14:paraId="29CE7DF5" w14:textId="77777777" w:rsidR="00F33674" w:rsidRPr="00F33674" w:rsidRDefault="00F33674" w:rsidP="00F33674">
            <w:pPr>
              <w:jc w:val="right"/>
              <w:rPr>
                <w:rFonts w:ascii="Arial Narrow" w:hAnsi="Arial Narrow" w:cs="Calibri"/>
                <w:color w:val="000000"/>
                <w:sz w:val="20"/>
                <w:szCs w:val="20"/>
                <w:lang w:eastAsia="en-AU"/>
              </w:rPr>
            </w:pPr>
          </w:p>
        </w:tc>
        <w:tc>
          <w:tcPr>
            <w:tcW w:w="1397" w:type="dxa"/>
            <w:shd w:val="clear" w:color="auto" w:fill="auto"/>
            <w:noWrap/>
            <w:hideMark/>
          </w:tcPr>
          <w:p w14:paraId="71C2F857"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Fenpatch 100</w:t>
            </w:r>
          </w:p>
        </w:tc>
        <w:tc>
          <w:tcPr>
            <w:tcW w:w="2126" w:type="dxa"/>
            <w:shd w:val="clear" w:color="auto" w:fill="auto"/>
            <w:noWrap/>
            <w:hideMark/>
          </w:tcPr>
          <w:p w14:paraId="5FBE27BA"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Medis Pharma Pty Ltd</w:t>
            </w:r>
          </w:p>
        </w:tc>
      </w:tr>
      <w:tr w:rsidR="00F33674" w:rsidRPr="00F33674" w14:paraId="79BAA3E6" w14:textId="77777777" w:rsidTr="00F33674">
        <w:trPr>
          <w:trHeight w:val="300"/>
        </w:trPr>
        <w:tc>
          <w:tcPr>
            <w:tcW w:w="1264" w:type="dxa"/>
            <w:shd w:val="clear" w:color="auto" w:fill="auto"/>
            <w:noWrap/>
          </w:tcPr>
          <w:p w14:paraId="2D445882" w14:textId="77777777" w:rsidR="00F33674" w:rsidRPr="00F33674" w:rsidRDefault="00F33674" w:rsidP="00F33674">
            <w:pPr>
              <w:jc w:val="left"/>
              <w:rPr>
                <w:rFonts w:ascii="Arial Narrow" w:hAnsi="Arial Narrow" w:cs="Calibri"/>
                <w:color w:val="000000"/>
                <w:sz w:val="20"/>
                <w:szCs w:val="20"/>
                <w:lang w:eastAsia="en-AU"/>
              </w:rPr>
            </w:pPr>
          </w:p>
        </w:tc>
        <w:tc>
          <w:tcPr>
            <w:tcW w:w="736" w:type="dxa"/>
            <w:shd w:val="clear" w:color="auto" w:fill="auto"/>
          </w:tcPr>
          <w:p w14:paraId="32043072"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8894D</w:t>
            </w:r>
          </w:p>
        </w:tc>
        <w:tc>
          <w:tcPr>
            <w:tcW w:w="2390" w:type="dxa"/>
            <w:vMerge w:val="restart"/>
            <w:shd w:val="clear" w:color="auto" w:fill="auto"/>
            <w:noWrap/>
          </w:tcPr>
          <w:p w14:paraId="65C34840"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Transdermal patch 16.8 mg</w:t>
            </w:r>
          </w:p>
        </w:tc>
        <w:tc>
          <w:tcPr>
            <w:tcW w:w="572" w:type="dxa"/>
            <w:shd w:val="clear" w:color="auto" w:fill="auto"/>
            <w:noWrap/>
          </w:tcPr>
          <w:p w14:paraId="0FB799FE" w14:textId="77777777" w:rsidR="00F33674" w:rsidRPr="00F33674" w:rsidRDefault="00F33674" w:rsidP="00F33674">
            <w:pPr>
              <w:jc w:val="righ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5</w:t>
            </w:r>
          </w:p>
        </w:tc>
        <w:tc>
          <w:tcPr>
            <w:tcW w:w="530" w:type="dxa"/>
            <w:shd w:val="clear" w:color="auto" w:fill="auto"/>
            <w:noWrap/>
          </w:tcPr>
          <w:p w14:paraId="119B577B" w14:textId="77777777" w:rsidR="00F33674" w:rsidRPr="00F33674" w:rsidRDefault="00F33674" w:rsidP="00F33674">
            <w:pPr>
              <w:jc w:val="righ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0</w:t>
            </w:r>
          </w:p>
        </w:tc>
        <w:tc>
          <w:tcPr>
            <w:tcW w:w="1397" w:type="dxa"/>
            <w:shd w:val="clear" w:color="auto" w:fill="auto"/>
            <w:noWrap/>
            <w:hideMark/>
          </w:tcPr>
          <w:p w14:paraId="0F77B1A0"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APO-Fentanyl</w:t>
            </w:r>
          </w:p>
        </w:tc>
        <w:tc>
          <w:tcPr>
            <w:tcW w:w="2126" w:type="dxa"/>
            <w:shd w:val="clear" w:color="auto" w:fill="auto"/>
            <w:noWrap/>
            <w:hideMark/>
          </w:tcPr>
          <w:p w14:paraId="7DE5F37B"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Apotex Pty Ltd</w:t>
            </w:r>
          </w:p>
        </w:tc>
      </w:tr>
      <w:tr w:rsidR="00F33674" w:rsidRPr="00F33674" w14:paraId="226ADC09" w14:textId="77777777" w:rsidTr="00F33674">
        <w:trPr>
          <w:trHeight w:val="300"/>
        </w:trPr>
        <w:tc>
          <w:tcPr>
            <w:tcW w:w="1264" w:type="dxa"/>
            <w:shd w:val="clear" w:color="auto" w:fill="auto"/>
            <w:noWrap/>
          </w:tcPr>
          <w:p w14:paraId="082EB641" w14:textId="77777777" w:rsidR="00F33674" w:rsidRPr="00F33674" w:rsidRDefault="00F33674" w:rsidP="00F33674">
            <w:pPr>
              <w:jc w:val="left"/>
              <w:rPr>
                <w:rFonts w:ascii="Arial Narrow" w:hAnsi="Arial Narrow" w:cs="Calibri"/>
                <w:color w:val="000000"/>
                <w:sz w:val="20"/>
                <w:szCs w:val="20"/>
                <w:lang w:eastAsia="en-AU"/>
              </w:rPr>
            </w:pPr>
          </w:p>
        </w:tc>
        <w:tc>
          <w:tcPr>
            <w:tcW w:w="736" w:type="dxa"/>
            <w:shd w:val="clear" w:color="auto" w:fill="auto"/>
          </w:tcPr>
          <w:p w14:paraId="03128D4B" w14:textId="77777777" w:rsidR="00F33674" w:rsidRPr="00F33674" w:rsidRDefault="00F33674" w:rsidP="00F33674">
            <w:pPr>
              <w:jc w:val="left"/>
              <w:rPr>
                <w:rFonts w:ascii="Arial Narrow" w:hAnsi="Arial Narrow" w:cs="Calibri"/>
                <w:color w:val="000000"/>
                <w:sz w:val="20"/>
                <w:szCs w:val="20"/>
                <w:lang w:eastAsia="en-AU"/>
              </w:rPr>
            </w:pPr>
          </w:p>
        </w:tc>
        <w:tc>
          <w:tcPr>
            <w:tcW w:w="2390" w:type="dxa"/>
            <w:vMerge/>
            <w:shd w:val="clear" w:color="auto" w:fill="auto"/>
            <w:noWrap/>
            <w:hideMark/>
          </w:tcPr>
          <w:p w14:paraId="79C33A21" w14:textId="77777777" w:rsidR="00F33674" w:rsidRPr="00F33674" w:rsidRDefault="00F33674" w:rsidP="00F33674">
            <w:pPr>
              <w:jc w:val="left"/>
              <w:rPr>
                <w:rFonts w:ascii="Arial Narrow" w:hAnsi="Arial Narrow" w:cs="Calibri"/>
                <w:color w:val="000000"/>
                <w:sz w:val="20"/>
                <w:szCs w:val="20"/>
                <w:lang w:eastAsia="en-AU"/>
              </w:rPr>
            </w:pPr>
          </w:p>
        </w:tc>
        <w:tc>
          <w:tcPr>
            <w:tcW w:w="572" w:type="dxa"/>
            <w:shd w:val="clear" w:color="auto" w:fill="auto"/>
            <w:noWrap/>
            <w:hideMark/>
          </w:tcPr>
          <w:p w14:paraId="5199F38F" w14:textId="77777777" w:rsidR="00F33674" w:rsidRPr="00F33674" w:rsidRDefault="00F33674" w:rsidP="00F33674">
            <w:pPr>
              <w:jc w:val="right"/>
              <w:rPr>
                <w:rFonts w:ascii="Arial Narrow" w:hAnsi="Arial Narrow" w:cs="Calibri"/>
                <w:color w:val="000000"/>
                <w:sz w:val="20"/>
                <w:szCs w:val="20"/>
                <w:lang w:eastAsia="en-AU"/>
              </w:rPr>
            </w:pPr>
          </w:p>
        </w:tc>
        <w:tc>
          <w:tcPr>
            <w:tcW w:w="530" w:type="dxa"/>
            <w:shd w:val="clear" w:color="auto" w:fill="auto"/>
            <w:noWrap/>
            <w:hideMark/>
          </w:tcPr>
          <w:p w14:paraId="1A219130" w14:textId="77777777" w:rsidR="00F33674" w:rsidRPr="00F33674" w:rsidRDefault="00F33674" w:rsidP="00F33674">
            <w:pPr>
              <w:jc w:val="right"/>
              <w:rPr>
                <w:rFonts w:ascii="Arial Narrow" w:hAnsi="Arial Narrow" w:cs="Calibri"/>
                <w:color w:val="000000"/>
                <w:sz w:val="20"/>
                <w:szCs w:val="20"/>
                <w:lang w:eastAsia="en-AU"/>
              </w:rPr>
            </w:pPr>
          </w:p>
        </w:tc>
        <w:tc>
          <w:tcPr>
            <w:tcW w:w="1397" w:type="dxa"/>
            <w:shd w:val="clear" w:color="auto" w:fill="auto"/>
            <w:noWrap/>
            <w:hideMark/>
          </w:tcPr>
          <w:p w14:paraId="14CBA8EB"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Durogesic 100</w:t>
            </w:r>
          </w:p>
        </w:tc>
        <w:tc>
          <w:tcPr>
            <w:tcW w:w="2126" w:type="dxa"/>
            <w:shd w:val="clear" w:color="auto" w:fill="auto"/>
            <w:noWrap/>
            <w:hideMark/>
          </w:tcPr>
          <w:p w14:paraId="641C07FA"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Janssen-Cilag Pty Ltd</w:t>
            </w:r>
          </w:p>
        </w:tc>
      </w:tr>
      <w:tr w:rsidR="00F33674" w:rsidRPr="00F33674" w14:paraId="0A39EE68" w14:textId="77777777" w:rsidTr="00F33674">
        <w:trPr>
          <w:trHeight w:val="300"/>
        </w:trPr>
        <w:tc>
          <w:tcPr>
            <w:tcW w:w="1264" w:type="dxa"/>
            <w:shd w:val="clear" w:color="auto" w:fill="auto"/>
            <w:noWrap/>
          </w:tcPr>
          <w:p w14:paraId="7888136B" w14:textId="77777777" w:rsidR="00F33674" w:rsidRPr="00F33674" w:rsidRDefault="00F33674" w:rsidP="00F33674">
            <w:pPr>
              <w:jc w:val="left"/>
              <w:rPr>
                <w:rFonts w:ascii="Arial Narrow" w:hAnsi="Arial Narrow" w:cs="Calibri"/>
                <w:color w:val="000000"/>
                <w:sz w:val="20"/>
                <w:szCs w:val="20"/>
                <w:lang w:eastAsia="en-AU"/>
              </w:rPr>
            </w:pPr>
          </w:p>
        </w:tc>
        <w:tc>
          <w:tcPr>
            <w:tcW w:w="736" w:type="dxa"/>
            <w:shd w:val="clear" w:color="auto" w:fill="auto"/>
          </w:tcPr>
          <w:p w14:paraId="175DDB05" w14:textId="77777777" w:rsidR="00F33674" w:rsidRPr="00F33674" w:rsidRDefault="00F33674" w:rsidP="00F33674">
            <w:pPr>
              <w:jc w:val="left"/>
              <w:rPr>
                <w:rFonts w:ascii="Arial Narrow" w:hAnsi="Arial Narrow" w:cs="Calibri"/>
                <w:color w:val="000000"/>
                <w:sz w:val="20"/>
                <w:szCs w:val="20"/>
                <w:lang w:eastAsia="en-AU"/>
              </w:rPr>
            </w:pPr>
          </w:p>
        </w:tc>
        <w:tc>
          <w:tcPr>
            <w:tcW w:w="2390" w:type="dxa"/>
            <w:vMerge/>
            <w:shd w:val="clear" w:color="auto" w:fill="auto"/>
            <w:noWrap/>
          </w:tcPr>
          <w:p w14:paraId="06A81F12" w14:textId="77777777" w:rsidR="00F33674" w:rsidRPr="00F33674" w:rsidRDefault="00F33674" w:rsidP="00F33674">
            <w:pPr>
              <w:jc w:val="left"/>
              <w:rPr>
                <w:rFonts w:ascii="Arial Narrow" w:hAnsi="Arial Narrow" w:cs="Calibri"/>
                <w:color w:val="000000"/>
                <w:sz w:val="20"/>
                <w:szCs w:val="20"/>
                <w:lang w:eastAsia="en-AU"/>
              </w:rPr>
            </w:pPr>
          </w:p>
        </w:tc>
        <w:tc>
          <w:tcPr>
            <w:tcW w:w="572" w:type="dxa"/>
            <w:shd w:val="clear" w:color="auto" w:fill="auto"/>
            <w:noWrap/>
          </w:tcPr>
          <w:p w14:paraId="7ABC9741" w14:textId="77777777" w:rsidR="00F33674" w:rsidRPr="00F33674" w:rsidRDefault="00F33674" w:rsidP="00F33674">
            <w:pPr>
              <w:jc w:val="right"/>
              <w:rPr>
                <w:rFonts w:ascii="Arial Narrow" w:hAnsi="Arial Narrow" w:cs="Calibri"/>
                <w:color w:val="000000"/>
                <w:sz w:val="20"/>
                <w:szCs w:val="20"/>
                <w:lang w:eastAsia="en-AU"/>
              </w:rPr>
            </w:pPr>
          </w:p>
        </w:tc>
        <w:tc>
          <w:tcPr>
            <w:tcW w:w="530" w:type="dxa"/>
            <w:shd w:val="clear" w:color="auto" w:fill="auto"/>
            <w:noWrap/>
          </w:tcPr>
          <w:p w14:paraId="30038EC7" w14:textId="77777777" w:rsidR="00F33674" w:rsidRPr="00F33674" w:rsidRDefault="00F33674" w:rsidP="00F33674">
            <w:pPr>
              <w:jc w:val="right"/>
              <w:rPr>
                <w:rFonts w:ascii="Arial Narrow" w:hAnsi="Arial Narrow" w:cs="Calibri"/>
                <w:color w:val="000000"/>
                <w:sz w:val="20"/>
                <w:szCs w:val="20"/>
                <w:lang w:eastAsia="en-AU"/>
              </w:rPr>
            </w:pPr>
          </w:p>
        </w:tc>
        <w:tc>
          <w:tcPr>
            <w:tcW w:w="1397" w:type="dxa"/>
            <w:shd w:val="clear" w:color="auto" w:fill="auto"/>
            <w:noWrap/>
            <w:hideMark/>
          </w:tcPr>
          <w:p w14:paraId="13892D01"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Fentanyl Sandoz</w:t>
            </w:r>
          </w:p>
        </w:tc>
        <w:tc>
          <w:tcPr>
            <w:tcW w:w="2126" w:type="dxa"/>
            <w:shd w:val="clear" w:color="auto" w:fill="auto"/>
            <w:noWrap/>
            <w:hideMark/>
          </w:tcPr>
          <w:p w14:paraId="1090487F"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Sandoz Pty Ltd</w:t>
            </w:r>
          </w:p>
        </w:tc>
      </w:tr>
    </w:tbl>
    <w:p w14:paraId="6B7BBD15" w14:textId="77777777" w:rsidR="00F33674" w:rsidRPr="00F33674" w:rsidRDefault="00F33674" w:rsidP="00F33674">
      <w:pPr>
        <w:contextualSpacing/>
        <w:jc w:val="left"/>
      </w:pPr>
    </w:p>
    <w:tbl>
      <w:tblPr>
        <w:tblW w:w="9214" w:type="dxa"/>
        <w:tblInd w:w="-5" w:type="dxa"/>
        <w:tblLook w:val="0000" w:firstRow="0" w:lastRow="0" w:firstColumn="0" w:lastColumn="0" w:noHBand="0" w:noVBand="0"/>
      </w:tblPr>
      <w:tblGrid>
        <w:gridCol w:w="3183"/>
        <w:gridCol w:w="6031"/>
      </w:tblGrid>
      <w:tr w:rsidR="00F33674" w:rsidRPr="00F33674" w14:paraId="78C751E0" w14:textId="77777777" w:rsidTr="00C21DFA">
        <w:trPr>
          <w:cantSplit/>
          <w:trHeight w:val="360"/>
        </w:trPr>
        <w:tc>
          <w:tcPr>
            <w:tcW w:w="3183" w:type="dxa"/>
            <w:tcBorders>
              <w:top w:val="single" w:sz="4" w:space="0" w:color="auto"/>
              <w:left w:val="single" w:sz="4" w:space="0" w:color="auto"/>
              <w:bottom w:val="single" w:sz="4" w:space="0" w:color="auto"/>
              <w:right w:val="single" w:sz="4" w:space="0" w:color="auto"/>
            </w:tcBorders>
          </w:tcPr>
          <w:p w14:paraId="0511BC67" w14:textId="77777777" w:rsidR="00F33674" w:rsidRPr="00F33674" w:rsidRDefault="00F33674" w:rsidP="00F33674">
            <w:pPr>
              <w:rPr>
                <w:rFonts w:ascii="Arial Narrow" w:hAnsi="Arial Narrow" w:cs="Arial"/>
                <w:b/>
                <w:sz w:val="20"/>
                <w:szCs w:val="20"/>
              </w:rPr>
            </w:pPr>
            <w:r w:rsidRPr="00F33674">
              <w:rPr>
                <w:rFonts w:ascii="Arial Narrow" w:hAnsi="Arial Narrow" w:cs="Arial"/>
                <w:b/>
                <w:sz w:val="20"/>
                <w:szCs w:val="20"/>
              </w:rPr>
              <w:t>Category / Program:</w:t>
            </w:r>
          </w:p>
        </w:tc>
        <w:tc>
          <w:tcPr>
            <w:tcW w:w="6031" w:type="dxa"/>
            <w:tcBorders>
              <w:top w:val="single" w:sz="4" w:space="0" w:color="auto"/>
              <w:left w:val="single" w:sz="4" w:space="0" w:color="auto"/>
              <w:bottom w:val="single" w:sz="4" w:space="0" w:color="auto"/>
              <w:right w:val="single" w:sz="4" w:space="0" w:color="auto"/>
            </w:tcBorders>
          </w:tcPr>
          <w:p w14:paraId="147572F1" w14:textId="77777777" w:rsidR="00F33674" w:rsidRPr="00F33674" w:rsidRDefault="00F33674" w:rsidP="00F33674">
            <w:pPr>
              <w:rPr>
                <w:rFonts w:ascii="Arial Narrow" w:hAnsi="Arial Narrow" w:cs="Arial"/>
                <w:sz w:val="20"/>
                <w:szCs w:val="20"/>
              </w:rPr>
            </w:pPr>
            <w:r w:rsidRPr="00F33674">
              <w:rPr>
                <w:rFonts w:ascii="Arial Narrow" w:hAnsi="Arial Narrow" w:cs="Arial"/>
                <w:sz w:val="20"/>
                <w:szCs w:val="20"/>
              </w:rPr>
              <w:t>GENERAL – General Schedule (Code GE)</w:t>
            </w:r>
          </w:p>
        </w:tc>
      </w:tr>
      <w:tr w:rsidR="00F33674" w:rsidRPr="00F33674" w14:paraId="280AC527" w14:textId="77777777" w:rsidTr="00C21DFA">
        <w:trPr>
          <w:cantSplit/>
          <w:trHeight w:val="360"/>
        </w:trPr>
        <w:tc>
          <w:tcPr>
            <w:tcW w:w="3183" w:type="dxa"/>
            <w:tcBorders>
              <w:top w:val="single" w:sz="4" w:space="0" w:color="auto"/>
              <w:left w:val="single" w:sz="4" w:space="0" w:color="auto"/>
              <w:bottom w:val="single" w:sz="4" w:space="0" w:color="auto"/>
              <w:right w:val="single" w:sz="4" w:space="0" w:color="auto"/>
            </w:tcBorders>
          </w:tcPr>
          <w:p w14:paraId="119D05C6" w14:textId="77777777" w:rsidR="00F33674" w:rsidRPr="00F33674" w:rsidRDefault="00F33674" w:rsidP="00F33674">
            <w:pPr>
              <w:rPr>
                <w:rFonts w:ascii="Arial Narrow" w:hAnsi="Arial Narrow" w:cs="Arial"/>
                <w:b/>
                <w:sz w:val="20"/>
                <w:szCs w:val="20"/>
              </w:rPr>
            </w:pPr>
            <w:r w:rsidRPr="00F33674">
              <w:rPr>
                <w:rFonts w:ascii="Arial Narrow" w:hAnsi="Arial Narrow" w:cs="Arial"/>
                <w:b/>
                <w:sz w:val="20"/>
                <w:szCs w:val="20"/>
              </w:rPr>
              <w:t>Prescriber type:</w:t>
            </w:r>
          </w:p>
          <w:p w14:paraId="4FF33919" w14:textId="77777777" w:rsidR="00F33674" w:rsidRPr="00F33674" w:rsidRDefault="00F33674" w:rsidP="00F33674">
            <w:pPr>
              <w:rPr>
                <w:rFonts w:ascii="Arial Narrow" w:hAnsi="Arial Narrow" w:cs="Arial"/>
                <w:b/>
                <w:sz w:val="20"/>
                <w:szCs w:val="20"/>
              </w:rPr>
            </w:pPr>
          </w:p>
        </w:tc>
        <w:tc>
          <w:tcPr>
            <w:tcW w:w="6031" w:type="dxa"/>
            <w:tcBorders>
              <w:top w:val="single" w:sz="4" w:space="0" w:color="auto"/>
              <w:left w:val="single" w:sz="4" w:space="0" w:color="auto"/>
              <w:bottom w:val="single" w:sz="4" w:space="0" w:color="auto"/>
              <w:right w:val="single" w:sz="4" w:space="0" w:color="auto"/>
            </w:tcBorders>
          </w:tcPr>
          <w:p w14:paraId="40E24874" w14:textId="4ADE52FF" w:rsidR="00F33674" w:rsidRPr="00F33674" w:rsidRDefault="00F33674" w:rsidP="00F33674">
            <w:pPr>
              <w:rPr>
                <w:rFonts w:ascii="Arial Narrow" w:hAnsi="Arial Narrow" w:cs="Arial"/>
                <w:sz w:val="20"/>
                <w:szCs w:val="20"/>
              </w:rPr>
            </w:pPr>
            <w:r w:rsidRPr="00F33674">
              <w:rPr>
                <w:rFonts w:ascii="Arial Narrow" w:hAnsi="Arial Narrow" w:cs="Arial"/>
                <w:sz w:val="20"/>
                <w:szCs w:val="20"/>
              </w:rPr>
              <w:fldChar w:fldCharType="begin">
                <w:ffData>
                  <w:name w:val="Check1"/>
                  <w:enabled/>
                  <w:calcOnExit w:val="0"/>
                  <w:checkBox>
                    <w:sizeAuto/>
                    <w:default w:val="0"/>
                  </w:checkBox>
                </w:ffData>
              </w:fldChar>
            </w:r>
            <w:r w:rsidRPr="00F33674">
              <w:rPr>
                <w:rFonts w:ascii="Arial Narrow" w:hAnsi="Arial Narrow" w:cs="Arial"/>
                <w:sz w:val="20"/>
                <w:szCs w:val="20"/>
              </w:rPr>
              <w:instrText xml:space="preserve"> FORMCHECKBOX </w:instrText>
            </w:r>
            <w:r w:rsidR="00233D13">
              <w:rPr>
                <w:rFonts w:ascii="Arial Narrow" w:hAnsi="Arial Narrow" w:cs="Arial"/>
                <w:sz w:val="20"/>
                <w:szCs w:val="20"/>
              </w:rPr>
            </w:r>
            <w:r w:rsidR="00233D13">
              <w:rPr>
                <w:rFonts w:ascii="Arial Narrow" w:hAnsi="Arial Narrow" w:cs="Arial"/>
                <w:sz w:val="20"/>
                <w:szCs w:val="20"/>
              </w:rPr>
              <w:fldChar w:fldCharType="separate"/>
            </w:r>
            <w:r w:rsidRPr="00F33674">
              <w:rPr>
                <w:rFonts w:ascii="Arial Narrow" w:hAnsi="Arial Narrow" w:cs="Arial"/>
                <w:sz w:val="20"/>
                <w:szCs w:val="20"/>
              </w:rPr>
              <w:fldChar w:fldCharType="end"/>
            </w:r>
            <w:r w:rsidRPr="00F33674">
              <w:rPr>
                <w:rFonts w:ascii="Arial Narrow" w:hAnsi="Arial Narrow" w:cs="Arial"/>
                <w:sz w:val="20"/>
                <w:szCs w:val="20"/>
              </w:rPr>
              <w:t>Dental</w:t>
            </w:r>
            <w:r w:rsidR="002C1329">
              <w:rPr>
                <w:rFonts w:ascii="Arial Narrow" w:hAnsi="Arial Narrow" w:cs="Arial"/>
                <w:sz w:val="20"/>
                <w:szCs w:val="20"/>
              </w:rPr>
              <w:t xml:space="preserve"> </w:t>
            </w:r>
            <w:r w:rsidRPr="00F33674">
              <w:rPr>
                <w:rFonts w:ascii="Arial Narrow" w:hAnsi="Arial Narrow" w:cs="Arial"/>
                <w:sz w:val="20"/>
                <w:szCs w:val="20"/>
              </w:rPr>
              <w:fldChar w:fldCharType="begin">
                <w:ffData>
                  <w:name w:val=""/>
                  <w:enabled/>
                  <w:calcOnExit w:val="0"/>
                  <w:checkBox>
                    <w:sizeAuto/>
                    <w:default w:val="1"/>
                  </w:checkBox>
                </w:ffData>
              </w:fldChar>
            </w:r>
            <w:r w:rsidRPr="00F33674">
              <w:rPr>
                <w:rFonts w:ascii="Arial Narrow" w:hAnsi="Arial Narrow" w:cs="Arial"/>
                <w:sz w:val="20"/>
                <w:szCs w:val="20"/>
              </w:rPr>
              <w:instrText xml:space="preserve"> FORMCHECKBOX </w:instrText>
            </w:r>
            <w:r w:rsidR="00233D13">
              <w:rPr>
                <w:rFonts w:ascii="Arial Narrow" w:hAnsi="Arial Narrow" w:cs="Arial"/>
                <w:sz w:val="20"/>
                <w:szCs w:val="20"/>
              </w:rPr>
            </w:r>
            <w:r w:rsidR="00233D13">
              <w:rPr>
                <w:rFonts w:ascii="Arial Narrow" w:hAnsi="Arial Narrow" w:cs="Arial"/>
                <w:sz w:val="20"/>
                <w:szCs w:val="20"/>
              </w:rPr>
              <w:fldChar w:fldCharType="separate"/>
            </w:r>
            <w:r w:rsidRPr="00F33674">
              <w:rPr>
                <w:rFonts w:ascii="Arial Narrow" w:hAnsi="Arial Narrow" w:cs="Arial"/>
                <w:sz w:val="20"/>
                <w:szCs w:val="20"/>
              </w:rPr>
              <w:fldChar w:fldCharType="end"/>
            </w:r>
            <w:r w:rsidRPr="00F33674">
              <w:rPr>
                <w:rFonts w:ascii="Arial Narrow" w:hAnsi="Arial Narrow" w:cs="Arial"/>
                <w:sz w:val="20"/>
                <w:szCs w:val="20"/>
              </w:rPr>
              <w:t>Medical Practitioners</w:t>
            </w:r>
            <w:r w:rsidR="002C1329">
              <w:rPr>
                <w:rFonts w:ascii="Arial Narrow" w:hAnsi="Arial Narrow" w:cs="Arial"/>
                <w:sz w:val="20"/>
                <w:szCs w:val="20"/>
              </w:rPr>
              <w:t xml:space="preserve"> </w:t>
            </w:r>
            <w:r w:rsidRPr="00F33674">
              <w:rPr>
                <w:rFonts w:ascii="Arial Narrow" w:hAnsi="Arial Narrow" w:cs="Arial"/>
                <w:sz w:val="20"/>
                <w:szCs w:val="20"/>
              </w:rPr>
              <w:fldChar w:fldCharType="begin">
                <w:ffData>
                  <w:name w:val="Check3"/>
                  <w:enabled/>
                  <w:calcOnExit w:val="0"/>
                  <w:checkBox>
                    <w:sizeAuto/>
                    <w:default w:val="1"/>
                  </w:checkBox>
                </w:ffData>
              </w:fldChar>
            </w:r>
            <w:r w:rsidRPr="00F33674">
              <w:rPr>
                <w:rFonts w:ascii="Arial Narrow" w:hAnsi="Arial Narrow" w:cs="Arial"/>
                <w:sz w:val="20"/>
                <w:szCs w:val="20"/>
              </w:rPr>
              <w:instrText xml:space="preserve"> FORMCHECKBOX </w:instrText>
            </w:r>
            <w:r w:rsidR="00233D13">
              <w:rPr>
                <w:rFonts w:ascii="Arial Narrow" w:hAnsi="Arial Narrow" w:cs="Arial"/>
                <w:sz w:val="20"/>
                <w:szCs w:val="20"/>
              </w:rPr>
            </w:r>
            <w:r w:rsidR="00233D13">
              <w:rPr>
                <w:rFonts w:ascii="Arial Narrow" w:hAnsi="Arial Narrow" w:cs="Arial"/>
                <w:sz w:val="20"/>
                <w:szCs w:val="20"/>
              </w:rPr>
              <w:fldChar w:fldCharType="separate"/>
            </w:r>
            <w:r w:rsidRPr="00F33674">
              <w:rPr>
                <w:rFonts w:ascii="Arial Narrow" w:hAnsi="Arial Narrow" w:cs="Arial"/>
                <w:sz w:val="20"/>
                <w:szCs w:val="20"/>
              </w:rPr>
              <w:fldChar w:fldCharType="end"/>
            </w:r>
            <w:r w:rsidRPr="00F33674">
              <w:rPr>
                <w:rFonts w:ascii="Arial Narrow" w:hAnsi="Arial Narrow" w:cs="Arial"/>
                <w:sz w:val="20"/>
                <w:szCs w:val="20"/>
              </w:rPr>
              <w:t>Nurse practitioners</w:t>
            </w:r>
            <w:r w:rsidR="002C1329">
              <w:rPr>
                <w:rFonts w:ascii="Arial Narrow" w:hAnsi="Arial Narrow" w:cs="Arial"/>
                <w:sz w:val="20"/>
                <w:szCs w:val="20"/>
              </w:rPr>
              <w:t xml:space="preserve"> </w:t>
            </w:r>
            <w:r w:rsidRPr="00F33674">
              <w:rPr>
                <w:rFonts w:ascii="Arial Narrow" w:hAnsi="Arial Narrow" w:cs="Arial"/>
                <w:sz w:val="20"/>
                <w:szCs w:val="20"/>
              </w:rPr>
              <w:fldChar w:fldCharType="begin">
                <w:ffData>
                  <w:name w:val=""/>
                  <w:enabled/>
                  <w:calcOnExit w:val="0"/>
                  <w:checkBox>
                    <w:sizeAuto/>
                    <w:default w:val="0"/>
                  </w:checkBox>
                </w:ffData>
              </w:fldChar>
            </w:r>
            <w:r w:rsidRPr="00F33674">
              <w:rPr>
                <w:rFonts w:ascii="Arial Narrow" w:hAnsi="Arial Narrow" w:cs="Arial"/>
                <w:sz w:val="20"/>
                <w:szCs w:val="20"/>
              </w:rPr>
              <w:instrText xml:space="preserve"> FORMCHECKBOX </w:instrText>
            </w:r>
            <w:r w:rsidR="00233D13">
              <w:rPr>
                <w:rFonts w:ascii="Arial Narrow" w:hAnsi="Arial Narrow" w:cs="Arial"/>
                <w:sz w:val="20"/>
                <w:szCs w:val="20"/>
              </w:rPr>
            </w:r>
            <w:r w:rsidR="00233D13">
              <w:rPr>
                <w:rFonts w:ascii="Arial Narrow" w:hAnsi="Arial Narrow" w:cs="Arial"/>
                <w:sz w:val="20"/>
                <w:szCs w:val="20"/>
              </w:rPr>
              <w:fldChar w:fldCharType="separate"/>
            </w:r>
            <w:r w:rsidRPr="00F33674">
              <w:rPr>
                <w:rFonts w:ascii="Arial Narrow" w:hAnsi="Arial Narrow" w:cs="Arial"/>
                <w:sz w:val="20"/>
                <w:szCs w:val="20"/>
              </w:rPr>
              <w:fldChar w:fldCharType="end"/>
            </w:r>
            <w:r w:rsidRPr="00F33674">
              <w:rPr>
                <w:rFonts w:ascii="Arial Narrow" w:hAnsi="Arial Narrow" w:cs="Arial"/>
                <w:sz w:val="20"/>
                <w:szCs w:val="20"/>
              </w:rPr>
              <w:t>Optometrists</w:t>
            </w:r>
          </w:p>
          <w:p w14:paraId="440251D9" w14:textId="77777777" w:rsidR="00F33674" w:rsidRPr="00F33674" w:rsidRDefault="00F33674" w:rsidP="00F33674">
            <w:pPr>
              <w:rPr>
                <w:rFonts w:ascii="Arial Narrow" w:hAnsi="Arial Narrow" w:cs="Arial"/>
                <w:sz w:val="20"/>
                <w:szCs w:val="20"/>
              </w:rPr>
            </w:pPr>
            <w:r w:rsidRPr="00F33674">
              <w:rPr>
                <w:rFonts w:ascii="Arial Narrow" w:hAnsi="Arial Narrow" w:cs="Arial"/>
                <w:sz w:val="20"/>
                <w:szCs w:val="20"/>
              </w:rPr>
              <w:fldChar w:fldCharType="begin">
                <w:ffData>
                  <w:name w:val="Check5"/>
                  <w:enabled/>
                  <w:calcOnExit w:val="0"/>
                  <w:checkBox>
                    <w:sizeAuto/>
                    <w:default w:val="0"/>
                  </w:checkBox>
                </w:ffData>
              </w:fldChar>
            </w:r>
            <w:r w:rsidRPr="00F33674">
              <w:rPr>
                <w:rFonts w:ascii="Arial Narrow" w:hAnsi="Arial Narrow" w:cs="Arial"/>
                <w:sz w:val="20"/>
                <w:szCs w:val="20"/>
              </w:rPr>
              <w:instrText xml:space="preserve"> FORMCHECKBOX </w:instrText>
            </w:r>
            <w:r w:rsidR="00233D13">
              <w:rPr>
                <w:rFonts w:ascii="Arial Narrow" w:hAnsi="Arial Narrow" w:cs="Arial"/>
                <w:sz w:val="20"/>
                <w:szCs w:val="20"/>
              </w:rPr>
            </w:r>
            <w:r w:rsidR="00233D13">
              <w:rPr>
                <w:rFonts w:ascii="Arial Narrow" w:hAnsi="Arial Narrow" w:cs="Arial"/>
                <w:sz w:val="20"/>
                <w:szCs w:val="20"/>
              </w:rPr>
              <w:fldChar w:fldCharType="separate"/>
            </w:r>
            <w:r w:rsidRPr="00F33674">
              <w:rPr>
                <w:rFonts w:ascii="Arial Narrow" w:hAnsi="Arial Narrow" w:cs="Arial"/>
                <w:sz w:val="20"/>
                <w:szCs w:val="20"/>
              </w:rPr>
              <w:fldChar w:fldCharType="end"/>
            </w:r>
            <w:r w:rsidRPr="00F33674">
              <w:rPr>
                <w:rFonts w:ascii="Arial Narrow" w:hAnsi="Arial Narrow" w:cs="Arial"/>
                <w:sz w:val="20"/>
                <w:szCs w:val="20"/>
              </w:rPr>
              <w:t>Midwives</w:t>
            </w:r>
          </w:p>
        </w:tc>
      </w:tr>
      <w:tr w:rsidR="00F33674" w:rsidRPr="00F33674" w14:paraId="5D565451" w14:textId="77777777" w:rsidTr="00C21DFA">
        <w:trPr>
          <w:cantSplit/>
          <w:trHeight w:val="369"/>
        </w:trPr>
        <w:tc>
          <w:tcPr>
            <w:tcW w:w="3183" w:type="dxa"/>
            <w:tcBorders>
              <w:top w:val="single" w:sz="4" w:space="0" w:color="auto"/>
              <w:left w:val="single" w:sz="4" w:space="0" w:color="auto"/>
              <w:bottom w:val="single" w:sz="4" w:space="0" w:color="auto"/>
              <w:right w:val="single" w:sz="4" w:space="0" w:color="auto"/>
            </w:tcBorders>
          </w:tcPr>
          <w:p w14:paraId="403A4268" w14:textId="77777777" w:rsidR="00F33674" w:rsidRPr="00F33674" w:rsidRDefault="00F33674" w:rsidP="00F33674">
            <w:pPr>
              <w:rPr>
                <w:rFonts w:ascii="Arial Narrow" w:hAnsi="Arial Narrow" w:cs="Arial"/>
                <w:b/>
                <w:sz w:val="20"/>
                <w:szCs w:val="20"/>
              </w:rPr>
            </w:pPr>
            <w:r w:rsidRPr="00F33674">
              <w:rPr>
                <w:rFonts w:ascii="Arial Narrow" w:hAnsi="Arial Narrow" w:cs="Arial"/>
                <w:b/>
                <w:sz w:val="20"/>
                <w:szCs w:val="20"/>
              </w:rPr>
              <w:t>PBS indication:</w:t>
            </w:r>
          </w:p>
        </w:tc>
        <w:tc>
          <w:tcPr>
            <w:tcW w:w="6031" w:type="dxa"/>
            <w:tcBorders>
              <w:top w:val="single" w:sz="4" w:space="0" w:color="auto"/>
              <w:left w:val="single" w:sz="4" w:space="0" w:color="auto"/>
              <w:bottom w:val="single" w:sz="4" w:space="0" w:color="auto"/>
              <w:right w:val="single" w:sz="4" w:space="0" w:color="auto"/>
            </w:tcBorders>
          </w:tcPr>
          <w:p w14:paraId="16127670" w14:textId="77777777" w:rsidR="00F33674" w:rsidRPr="00F33674" w:rsidRDefault="00F33674" w:rsidP="00F33674">
            <w:pPr>
              <w:rPr>
                <w:rFonts w:ascii="Arial Narrow" w:hAnsi="Arial Narrow" w:cs="Arial"/>
                <w:sz w:val="20"/>
                <w:szCs w:val="20"/>
              </w:rPr>
            </w:pPr>
            <w:r w:rsidRPr="00F33674">
              <w:rPr>
                <w:rFonts w:ascii="Arial Narrow" w:hAnsi="Arial Narrow" w:cs="Arial"/>
                <w:sz w:val="20"/>
                <w:szCs w:val="20"/>
              </w:rPr>
              <w:t>[9729] Chronic severe disabling pain</w:t>
            </w:r>
          </w:p>
        </w:tc>
      </w:tr>
      <w:tr w:rsidR="00F33674" w:rsidRPr="00F33674" w14:paraId="39EF0596" w14:textId="77777777" w:rsidTr="00C21DFA">
        <w:trPr>
          <w:cantSplit/>
          <w:trHeight w:val="360"/>
        </w:trPr>
        <w:tc>
          <w:tcPr>
            <w:tcW w:w="3183" w:type="dxa"/>
            <w:tcBorders>
              <w:top w:val="single" w:sz="4" w:space="0" w:color="auto"/>
              <w:left w:val="single" w:sz="4" w:space="0" w:color="auto"/>
              <w:bottom w:val="single" w:sz="4" w:space="0" w:color="auto"/>
              <w:right w:val="single" w:sz="4" w:space="0" w:color="auto"/>
            </w:tcBorders>
          </w:tcPr>
          <w:p w14:paraId="53ED9904" w14:textId="77777777" w:rsidR="00F33674" w:rsidRPr="00F33674" w:rsidRDefault="00F33674" w:rsidP="00F33674">
            <w:pPr>
              <w:rPr>
                <w:rFonts w:ascii="Arial Narrow" w:hAnsi="Arial Narrow" w:cs="Arial"/>
                <w:b/>
                <w:sz w:val="20"/>
                <w:szCs w:val="20"/>
              </w:rPr>
            </w:pPr>
            <w:r w:rsidRPr="00F33674">
              <w:rPr>
                <w:rFonts w:ascii="Arial Narrow" w:hAnsi="Arial Narrow" w:cs="Arial"/>
                <w:b/>
                <w:sz w:val="20"/>
                <w:szCs w:val="20"/>
              </w:rPr>
              <w:t>Restriction Level / Method:</w:t>
            </w:r>
          </w:p>
          <w:p w14:paraId="5D141661" w14:textId="77777777" w:rsidR="00F33674" w:rsidRPr="00F33674" w:rsidRDefault="00F33674" w:rsidP="00F33674">
            <w:pPr>
              <w:rPr>
                <w:rFonts w:ascii="Arial Narrow" w:hAnsi="Arial Narrow" w:cs="Arial"/>
                <w:i/>
                <w:sz w:val="20"/>
                <w:szCs w:val="20"/>
              </w:rPr>
            </w:pPr>
          </w:p>
          <w:p w14:paraId="66AB5E9A" w14:textId="77777777" w:rsidR="00F33674" w:rsidRPr="00F33674" w:rsidRDefault="00F33674" w:rsidP="00F33674">
            <w:pPr>
              <w:rPr>
                <w:rFonts w:ascii="Arial Narrow" w:hAnsi="Arial Narrow" w:cs="Arial"/>
                <w:i/>
                <w:sz w:val="20"/>
                <w:szCs w:val="20"/>
              </w:rPr>
            </w:pPr>
          </w:p>
          <w:p w14:paraId="57593234" w14:textId="77777777" w:rsidR="00F33674" w:rsidRPr="00F33674" w:rsidRDefault="00F33674" w:rsidP="00F33674">
            <w:pPr>
              <w:rPr>
                <w:rFonts w:ascii="Arial Narrow" w:hAnsi="Arial Narrow" w:cs="Arial"/>
                <w:i/>
                <w:sz w:val="20"/>
                <w:szCs w:val="20"/>
              </w:rPr>
            </w:pPr>
          </w:p>
        </w:tc>
        <w:tc>
          <w:tcPr>
            <w:tcW w:w="6031" w:type="dxa"/>
            <w:tcBorders>
              <w:top w:val="single" w:sz="4" w:space="0" w:color="auto"/>
              <w:left w:val="single" w:sz="4" w:space="0" w:color="auto"/>
              <w:bottom w:val="single" w:sz="4" w:space="0" w:color="auto"/>
              <w:right w:val="single" w:sz="4" w:space="0" w:color="auto"/>
            </w:tcBorders>
          </w:tcPr>
          <w:p w14:paraId="13E7E330" w14:textId="77777777" w:rsidR="00F33674" w:rsidRPr="00F33674" w:rsidRDefault="00F33674" w:rsidP="00F33674">
            <w:pPr>
              <w:rPr>
                <w:rFonts w:ascii="Arial Narrow" w:hAnsi="Arial Narrow" w:cs="Arial"/>
                <w:sz w:val="20"/>
                <w:szCs w:val="20"/>
              </w:rPr>
            </w:pPr>
            <w:r w:rsidRPr="00F33674">
              <w:rPr>
                <w:rFonts w:ascii="Arial Narrow" w:hAnsi="Arial Narrow" w:cs="Arial"/>
                <w:sz w:val="20"/>
                <w:szCs w:val="20"/>
              </w:rPr>
              <w:fldChar w:fldCharType="begin">
                <w:ffData>
                  <w:name w:val=""/>
                  <w:enabled/>
                  <w:calcOnExit w:val="0"/>
                  <w:checkBox>
                    <w:sizeAuto/>
                    <w:default w:val="0"/>
                  </w:checkBox>
                </w:ffData>
              </w:fldChar>
            </w:r>
            <w:r w:rsidRPr="00F33674">
              <w:rPr>
                <w:rFonts w:ascii="Arial Narrow" w:hAnsi="Arial Narrow" w:cs="Arial"/>
                <w:sz w:val="20"/>
                <w:szCs w:val="20"/>
              </w:rPr>
              <w:instrText xml:space="preserve"> FORMCHECKBOX </w:instrText>
            </w:r>
            <w:r w:rsidR="00233D13">
              <w:rPr>
                <w:rFonts w:ascii="Arial Narrow" w:hAnsi="Arial Narrow" w:cs="Arial"/>
                <w:sz w:val="20"/>
                <w:szCs w:val="20"/>
              </w:rPr>
            </w:r>
            <w:r w:rsidR="00233D13">
              <w:rPr>
                <w:rFonts w:ascii="Arial Narrow" w:hAnsi="Arial Narrow" w:cs="Arial"/>
                <w:sz w:val="20"/>
                <w:szCs w:val="20"/>
              </w:rPr>
              <w:fldChar w:fldCharType="separate"/>
            </w:r>
            <w:r w:rsidRPr="00F33674">
              <w:rPr>
                <w:rFonts w:ascii="Arial Narrow" w:hAnsi="Arial Narrow" w:cs="Arial"/>
                <w:sz w:val="20"/>
                <w:szCs w:val="20"/>
              </w:rPr>
              <w:fldChar w:fldCharType="end"/>
            </w:r>
            <w:r w:rsidRPr="00F33674">
              <w:rPr>
                <w:rFonts w:ascii="Arial Narrow" w:hAnsi="Arial Narrow" w:cs="Arial"/>
                <w:sz w:val="20"/>
                <w:szCs w:val="20"/>
              </w:rPr>
              <w:t>Unrestricted benefit</w:t>
            </w:r>
          </w:p>
          <w:p w14:paraId="42036A4D" w14:textId="77777777" w:rsidR="00F33674" w:rsidRPr="00F33674" w:rsidRDefault="00F33674" w:rsidP="00F33674">
            <w:pPr>
              <w:rPr>
                <w:rFonts w:ascii="Arial Narrow" w:hAnsi="Arial Narrow" w:cs="Arial"/>
                <w:i/>
                <w:sz w:val="20"/>
                <w:szCs w:val="20"/>
              </w:rPr>
            </w:pPr>
            <w:r w:rsidRPr="00F33674">
              <w:rPr>
                <w:rFonts w:ascii="Arial Narrow" w:hAnsi="Arial Narrow" w:cs="Arial"/>
                <w:i/>
                <w:sz w:val="20"/>
                <w:szCs w:val="20"/>
              </w:rPr>
              <w:fldChar w:fldCharType="begin">
                <w:ffData>
                  <w:name w:val=""/>
                  <w:enabled/>
                  <w:calcOnExit w:val="0"/>
                  <w:checkBox>
                    <w:sizeAuto/>
                    <w:default w:val="0"/>
                  </w:checkBox>
                </w:ffData>
              </w:fldChar>
            </w:r>
            <w:r w:rsidRPr="00F33674">
              <w:rPr>
                <w:rFonts w:ascii="Arial Narrow" w:hAnsi="Arial Narrow" w:cs="Arial"/>
                <w:i/>
                <w:sz w:val="20"/>
                <w:szCs w:val="20"/>
              </w:rPr>
              <w:instrText xml:space="preserve"> FORMCHECKBOX </w:instrText>
            </w:r>
            <w:r w:rsidR="00233D13">
              <w:rPr>
                <w:rFonts w:ascii="Arial Narrow" w:hAnsi="Arial Narrow" w:cs="Arial"/>
                <w:i/>
                <w:sz w:val="20"/>
                <w:szCs w:val="20"/>
              </w:rPr>
            </w:r>
            <w:r w:rsidR="00233D13">
              <w:rPr>
                <w:rFonts w:ascii="Arial Narrow" w:hAnsi="Arial Narrow" w:cs="Arial"/>
                <w:i/>
                <w:sz w:val="20"/>
                <w:szCs w:val="20"/>
              </w:rPr>
              <w:fldChar w:fldCharType="separate"/>
            </w:r>
            <w:r w:rsidRPr="00F33674">
              <w:rPr>
                <w:rFonts w:ascii="Arial Narrow" w:hAnsi="Arial Narrow" w:cs="Arial"/>
                <w:i/>
                <w:sz w:val="20"/>
                <w:szCs w:val="20"/>
              </w:rPr>
              <w:fldChar w:fldCharType="end"/>
            </w:r>
            <w:r w:rsidRPr="00F33674">
              <w:rPr>
                <w:rFonts w:ascii="Arial Narrow" w:hAnsi="Arial Narrow" w:cs="Arial"/>
                <w:sz w:val="20"/>
                <w:szCs w:val="20"/>
              </w:rPr>
              <w:t>Restricted benefit</w:t>
            </w:r>
          </w:p>
          <w:p w14:paraId="1811D8DA" w14:textId="77777777" w:rsidR="00F33674" w:rsidRPr="00F33674" w:rsidRDefault="00F33674" w:rsidP="00F33674">
            <w:pPr>
              <w:rPr>
                <w:rFonts w:ascii="Arial Narrow" w:hAnsi="Arial Narrow" w:cs="Arial"/>
                <w:sz w:val="20"/>
                <w:szCs w:val="20"/>
              </w:rPr>
            </w:pPr>
            <w:r w:rsidRPr="00F33674">
              <w:rPr>
                <w:rFonts w:ascii="Arial Narrow" w:hAnsi="Arial Narrow" w:cs="Arial"/>
                <w:sz w:val="20"/>
                <w:szCs w:val="20"/>
              </w:rPr>
              <w:fldChar w:fldCharType="begin">
                <w:ffData>
                  <w:name w:val=""/>
                  <w:enabled/>
                  <w:calcOnExit w:val="0"/>
                  <w:checkBox>
                    <w:sizeAuto/>
                    <w:default w:val="0"/>
                  </w:checkBox>
                </w:ffData>
              </w:fldChar>
            </w:r>
            <w:r w:rsidRPr="00F33674">
              <w:rPr>
                <w:rFonts w:ascii="Arial Narrow" w:hAnsi="Arial Narrow" w:cs="Arial"/>
                <w:sz w:val="20"/>
                <w:szCs w:val="20"/>
              </w:rPr>
              <w:instrText xml:space="preserve"> FORMCHECKBOX </w:instrText>
            </w:r>
            <w:r w:rsidR="00233D13">
              <w:rPr>
                <w:rFonts w:ascii="Arial Narrow" w:hAnsi="Arial Narrow" w:cs="Arial"/>
                <w:sz w:val="20"/>
                <w:szCs w:val="20"/>
              </w:rPr>
            </w:r>
            <w:r w:rsidR="00233D13">
              <w:rPr>
                <w:rFonts w:ascii="Arial Narrow" w:hAnsi="Arial Narrow" w:cs="Arial"/>
                <w:sz w:val="20"/>
                <w:szCs w:val="20"/>
              </w:rPr>
              <w:fldChar w:fldCharType="separate"/>
            </w:r>
            <w:r w:rsidRPr="00F33674">
              <w:rPr>
                <w:rFonts w:ascii="Arial Narrow" w:hAnsi="Arial Narrow" w:cs="Arial"/>
                <w:sz w:val="20"/>
                <w:szCs w:val="20"/>
              </w:rPr>
              <w:fldChar w:fldCharType="end"/>
            </w:r>
            <w:r w:rsidRPr="00F33674">
              <w:rPr>
                <w:rFonts w:ascii="Arial Narrow" w:hAnsi="Arial Narrow" w:cs="Arial"/>
                <w:sz w:val="20"/>
                <w:szCs w:val="20"/>
              </w:rPr>
              <w:t>Authority Required – In Writing</w:t>
            </w:r>
          </w:p>
          <w:p w14:paraId="7FB8E49B" w14:textId="77777777" w:rsidR="00F33674" w:rsidRPr="00F33674" w:rsidRDefault="00F33674" w:rsidP="00F33674">
            <w:pPr>
              <w:rPr>
                <w:rFonts w:ascii="Arial Narrow" w:hAnsi="Arial Narrow" w:cs="Arial"/>
                <w:sz w:val="20"/>
                <w:szCs w:val="20"/>
              </w:rPr>
            </w:pPr>
            <w:r w:rsidRPr="00F33674">
              <w:rPr>
                <w:rFonts w:ascii="Arial Narrow" w:hAnsi="Arial Narrow" w:cs="Arial"/>
                <w:sz w:val="20"/>
                <w:szCs w:val="20"/>
              </w:rPr>
              <w:fldChar w:fldCharType="begin">
                <w:ffData>
                  <w:name w:val="Check3"/>
                  <w:enabled/>
                  <w:calcOnExit w:val="0"/>
                  <w:checkBox>
                    <w:sizeAuto/>
                    <w:default w:val="0"/>
                  </w:checkBox>
                </w:ffData>
              </w:fldChar>
            </w:r>
            <w:r w:rsidRPr="00F33674">
              <w:rPr>
                <w:rFonts w:ascii="Arial Narrow" w:hAnsi="Arial Narrow" w:cs="Arial"/>
                <w:sz w:val="20"/>
                <w:szCs w:val="20"/>
              </w:rPr>
              <w:instrText xml:space="preserve"> FORMCHECKBOX </w:instrText>
            </w:r>
            <w:r w:rsidR="00233D13">
              <w:rPr>
                <w:rFonts w:ascii="Arial Narrow" w:hAnsi="Arial Narrow" w:cs="Arial"/>
                <w:sz w:val="20"/>
                <w:szCs w:val="20"/>
              </w:rPr>
            </w:r>
            <w:r w:rsidR="00233D13">
              <w:rPr>
                <w:rFonts w:ascii="Arial Narrow" w:hAnsi="Arial Narrow" w:cs="Arial"/>
                <w:sz w:val="20"/>
                <w:szCs w:val="20"/>
              </w:rPr>
              <w:fldChar w:fldCharType="separate"/>
            </w:r>
            <w:r w:rsidRPr="00F33674">
              <w:rPr>
                <w:rFonts w:ascii="Arial Narrow" w:hAnsi="Arial Narrow" w:cs="Arial"/>
                <w:sz w:val="20"/>
                <w:szCs w:val="20"/>
              </w:rPr>
              <w:fldChar w:fldCharType="end"/>
            </w:r>
            <w:r w:rsidRPr="00F33674">
              <w:rPr>
                <w:rFonts w:ascii="Arial Narrow" w:hAnsi="Arial Narrow" w:cs="Arial"/>
                <w:sz w:val="20"/>
                <w:szCs w:val="20"/>
              </w:rPr>
              <w:t>Authority Required – Telephone/Electronic/Emergency</w:t>
            </w:r>
          </w:p>
          <w:p w14:paraId="7326FE19" w14:textId="77777777" w:rsidR="00F33674" w:rsidRPr="00F33674" w:rsidRDefault="00F33674" w:rsidP="00F33674">
            <w:pPr>
              <w:rPr>
                <w:rFonts w:ascii="Arial Narrow" w:hAnsi="Arial Narrow" w:cs="Arial"/>
                <w:sz w:val="20"/>
                <w:szCs w:val="20"/>
              </w:rPr>
            </w:pPr>
            <w:r w:rsidRPr="00F33674">
              <w:rPr>
                <w:rFonts w:ascii="Arial Narrow" w:hAnsi="Arial Narrow" w:cs="Arial"/>
                <w:sz w:val="20"/>
                <w:szCs w:val="20"/>
              </w:rPr>
              <w:fldChar w:fldCharType="begin">
                <w:ffData>
                  <w:name w:val="Check5"/>
                  <w:enabled/>
                  <w:calcOnExit w:val="0"/>
                  <w:checkBox>
                    <w:sizeAuto/>
                    <w:default w:val="1"/>
                  </w:checkBox>
                </w:ffData>
              </w:fldChar>
            </w:r>
            <w:r w:rsidRPr="00F33674">
              <w:rPr>
                <w:rFonts w:ascii="Arial Narrow" w:hAnsi="Arial Narrow" w:cs="Arial"/>
                <w:sz w:val="20"/>
                <w:szCs w:val="20"/>
              </w:rPr>
              <w:instrText xml:space="preserve"> FORMCHECKBOX </w:instrText>
            </w:r>
            <w:r w:rsidR="00233D13">
              <w:rPr>
                <w:rFonts w:ascii="Arial Narrow" w:hAnsi="Arial Narrow" w:cs="Arial"/>
                <w:sz w:val="20"/>
                <w:szCs w:val="20"/>
              </w:rPr>
            </w:r>
            <w:r w:rsidR="00233D13">
              <w:rPr>
                <w:rFonts w:ascii="Arial Narrow" w:hAnsi="Arial Narrow" w:cs="Arial"/>
                <w:sz w:val="20"/>
                <w:szCs w:val="20"/>
              </w:rPr>
              <w:fldChar w:fldCharType="separate"/>
            </w:r>
            <w:r w:rsidRPr="00F33674">
              <w:rPr>
                <w:rFonts w:ascii="Arial Narrow" w:hAnsi="Arial Narrow" w:cs="Arial"/>
                <w:sz w:val="20"/>
                <w:szCs w:val="20"/>
              </w:rPr>
              <w:fldChar w:fldCharType="end"/>
            </w:r>
            <w:r w:rsidRPr="00F33674">
              <w:rPr>
                <w:rFonts w:ascii="Arial Narrow" w:hAnsi="Arial Narrow" w:cs="Arial"/>
                <w:sz w:val="20"/>
                <w:szCs w:val="20"/>
              </w:rPr>
              <w:t>Streamlined</w:t>
            </w:r>
          </w:p>
        </w:tc>
      </w:tr>
      <w:tr w:rsidR="004811F3" w:rsidRPr="00F33674" w14:paraId="7477F2E2" w14:textId="77777777" w:rsidTr="00C21DFA">
        <w:trPr>
          <w:cantSplit/>
          <w:trHeight w:val="360"/>
        </w:trPr>
        <w:tc>
          <w:tcPr>
            <w:tcW w:w="3183" w:type="dxa"/>
            <w:tcBorders>
              <w:top w:val="single" w:sz="4" w:space="0" w:color="auto"/>
              <w:left w:val="single" w:sz="4" w:space="0" w:color="auto"/>
              <w:bottom w:val="single" w:sz="4" w:space="0" w:color="auto"/>
              <w:right w:val="single" w:sz="4" w:space="0" w:color="auto"/>
            </w:tcBorders>
          </w:tcPr>
          <w:p w14:paraId="59310481" w14:textId="38ADADC8" w:rsidR="004811F3" w:rsidRPr="00F33674" w:rsidRDefault="004811F3" w:rsidP="00F33674">
            <w:pPr>
              <w:rPr>
                <w:rFonts w:ascii="Arial Narrow" w:hAnsi="Arial Narrow" w:cs="Arial"/>
                <w:b/>
                <w:sz w:val="20"/>
                <w:szCs w:val="20"/>
              </w:rPr>
            </w:pPr>
            <w:r>
              <w:rPr>
                <w:rFonts w:ascii="Arial Narrow" w:hAnsi="Arial Narrow" w:cs="Arial"/>
                <w:b/>
                <w:sz w:val="20"/>
                <w:szCs w:val="20"/>
              </w:rPr>
              <w:t>Treatment phase:</w:t>
            </w:r>
          </w:p>
        </w:tc>
        <w:tc>
          <w:tcPr>
            <w:tcW w:w="6031" w:type="dxa"/>
            <w:tcBorders>
              <w:top w:val="single" w:sz="4" w:space="0" w:color="auto"/>
              <w:left w:val="single" w:sz="4" w:space="0" w:color="auto"/>
              <w:bottom w:val="single" w:sz="4" w:space="0" w:color="auto"/>
              <w:right w:val="single" w:sz="4" w:space="0" w:color="auto"/>
            </w:tcBorders>
          </w:tcPr>
          <w:p w14:paraId="4886BFC6" w14:textId="7DD72D9F" w:rsidR="004811F3" w:rsidRPr="00F33674" w:rsidRDefault="00265869" w:rsidP="00F33674">
            <w:pPr>
              <w:jc w:val="left"/>
              <w:rPr>
                <w:rFonts w:ascii="Arial Narrow" w:hAnsi="Arial Narrow" w:cs="Arial"/>
                <w:sz w:val="20"/>
                <w:szCs w:val="20"/>
              </w:rPr>
            </w:pPr>
            <w:r>
              <w:rPr>
                <w:rFonts w:ascii="Arial Narrow" w:hAnsi="Arial Narrow" w:cs="Arial"/>
                <w:sz w:val="20"/>
                <w:szCs w:val="20"/>
              </w:rPr>
              <w:t xml:space="preserve">Initial PBS treatment after 1 June 2020 where patient </w:t>
            </w:r>
            <w:proofErr w:type="gramStart"/>
            <w:r>
              <w:rPr>
                <w:rFonts w:ascii="Arial Narrow" w:hAnsi="Arial Narrow" w:cs="Arial"/>
                <w:sz w:val="20"/>
                <w:szCs w:val="20"/>
              </w:rPr>
              <w:t>has been treated</w:t>
            </w:r>
            <w:proofErr w:type="gramEnd"/>
            <w:r>
              <w:rPr>
                <w:rFonts w:ascii="Arial Narrow" w:hAnsi="Arial Narrow" w:cs="Arial"/>
                <w:sz w:val="20"/>
                <w:szCs w:val="20"/>
              </w:rPr>
              <w:t xml:space="preserve"> with opioids for less than 12 months.</w:t>
            </w:r>
          </w:p>
        </w:tc>
      </w:tr>
      <w:tr w:rsidR="00F33674" w:rsidRPr="00F33674" w14:paraId="6A7F9DAD" w14:textId="77777777" w:rsidTr="00C21DFA">
        <w:trPr>
          <w:cantSplit/>
          <w:trHeight w:val="360"/>
        </w:trPr>
        <w:tc>
          <w:tcPr>
            <w:tcW w:w="3183" w:type="dxa"/>
            <w:tcBorders>
              <w:top w:val="single" w:sz="4" w:space="0" w:color="auto"/>
              <w:left w:val="single" w:sz="4" w:space="0" w:color="auto"/>
              <w:bottom w:val="single" w:sz="4" w:space="0" w:color="auto"/>
              <w:right w:val="single" w:sz="4" w:space="0" w:color="auto"/>
            </w:tcBorders>
          </w:tcPr>
          <w:p w14:paraId="21B612C0" w14:textId="77777777" w:rsidR="00F33674" w:rsidRPr="00F33674" w:rsidRDefault="00F33674" w:rsidP="00F33674">
            <w:pPr>
              <w:rPr>
                <w:rFonts w:ascii="Arial Narrow" w:hAnsi="Arial Narrow" w:cs="Arial"/>
                <w:b/>
                <w:sz w:val="20"/>
                <w:szCs w:val="20"/>
              </w:rPr>
            </w:pPr>
            <w:r w:rsidRPr="00F33674">
              <w:rPr>
                <w:rFonts w:ascii="Arial Narrow" w:hAnsi="Arial Narrow" w:cs="Arial"/>
                <w:b/>
                <w:sz w:val="20"/>
                <w:szCs w:val="20"/>
              </w:rPr>
              <w:t>Clinical criteria:</w:t>
            </w:r>
          </w:p>
        </w:tc>
        <w:tc>
          <w:tcPr>
            <w:tcW w:w="6031" w:type="dxa"/>
            <w:tcBorders>
              <w:top w:val="single" w:sz="4" w:space="0" w:color="auto"/>
              <w:left w:val="single" w:sz="4" w:space="0" w:color="auto"/>
              <w:bottom w:val="single" w:sz="4" w:space="0" w:color="auto"/>
              <w:right w:val="single" w:sz="4" w:space="0" w:color="auto"/>
            </w:tcBorders>
          </w:tcPr>
          <w:p w14:paraId="60FA1F9F" w14:textId="4E22E890" w:rsidR="00F33674" w:rsidRPr="00F33674" w:rsidRDefault="00F33674" w:rsidP="00F33674">
            <w:pPr>
              <w:jc w:val="left"/>
              <w:rPr>
                <w:rFonts w:ascii="Arial Narrow" w:hAnsi="Arial Narrow" w:cs="Arial"/>
                <w:sz w:val="20"/>
                <w:szCs w:val="20"/>
              </w:rPr>
            </w:pPr>
            <w:r w:rsidRPr="00F33674">
              <w:rPr>
                <w:rFonts w:ascii="Arial Narrow" w:hAnsi="Arial Narrow" w:cs="Arial"/>
                <w:sz w:val="20"/>
                <w:szCs w:val="20"/>
              </w:rPr>
              <w:t>[new] The condition must require daily, continuous, long term treatment</w:t>
            </w:r>
          </w:p>
          <w:p w14:paraId="769C08BA" w14:textId="77777777" w:rsidR="00F33674" w:rsidRPr="00F33674" w:rsidRDefault="00F33674" w:rsidP="00F33674">
            <w:pPr>
              <w:jc w:val="left"/>
              <w:rPr>
                <w:rFonts w:ascii="Arial Narrow" w:hAnsi="Arial Narrow" w:cs="Arial"/>
                <w:sz w:val="20"/>
                <w:szCs w:val="20"/>
              </w:rPr>
            </w:pPr>
          </w:p>
          <w:p w14:paraId="5B07ABF9" w14:textId="77777777" w:rsidR="00F33674" w:rsidRPr="00F33674" w:rsidRDefault="00F33674" w:rsidP="00F33674">
            <w:pPr>
              <w:jc w:val="left"/>
              <w:rPr>
                <w:rFonts w:ascii="Arial Narrow" w:hAnsi="Arial Narrow" w:cs="Arial"/>
                <w:sz w:val="20"/>
                <w:szCs w:val="20"/>
              </w:rPr>
            </w:pPr>
            <w:r w:rsidRPr="00F33674">
              <w:rPr>
                <w:rFonts w:ascii="Arial Narrow" w:hAnsi="Arial Narrow" w:cs="Arial"/>
                <w:sz w:val="20"/>
                <w:szCs w:val="20"/>
              </w:rPr>
              <w:t>AND</w:t>
            </w:r>
          </w:p>
          <w:p w14:paraId="505D5895" w14:textId="77777777" w:rsidR="00F33674" w:rsidRPr="00F33674" w:rsidRDefault="00F33674" w:rsidP="00F33674">
            <w:pPr>
              <w:jc w:val="left"/>
              <w:rPr>
                <w:rFonts w:ascii="Arial Narrow" w:hAnsi="Arial Narrow" w:cs="Arial"/>
                <w:sz w:val="20"/>
                <w:szCs w:val="20"/>
              </w:rPr>
            </w:pPr>
          </w:p>
          <w:p w14:paraId="281C1FE7" w14:textId="77777777" w:rsidR="00F33674" w:rsidRPr="00F33674" w:rsidRDefault="00F33674" w:rsidP="00F33674">
            <w:pPr>
              <w:jc w:val="left"/>
              <w:rPr>
                <w:rFonts w:ascii="Arial Narrow" w:hAnsi="Arial Narrow" w:cs="Arial"/>
                <w:sz w:val="20"/>
                <w:szCs w:val="20"/>
              </w:rPr>
            </w:pPr>
            <w:r w:rsidRPr="00F33674">
              <w:rPr>
                <w:rFonts w:ascii="Arial Narrow" w:hAnsi="Arial Narrow" w:cs="Arial"/>
                <w:sz w:val="20"/>
                <w:szCs w:val="20"/>
              </w:rPr>
              <w:t>[new] Patient must not be opioid naïve</w:t>
            </w:r>
          </w:p>
          <w:p w14:paraId="5A00973D" w14:textId="77777777" w:rsidR="00F33674" w:rsidRPr="00F33674" w:rsidRDefault="00F33674" w:rsidP="00F33674">
            <w:pPr>
              <w:jc w:val="left"/>
              <w:rPr>
                <w:rFonts w:ascii="Arial Narrow" w:hAnsi="Arial Narrow" w:cs="Arial"/>
                <w:sz w:val="20"/>
                <w:szCs w:val="20"/>
              </w:rPr>
            </w:pPr>
          </w:p>
          <w:p w14:paraId="63B6F372" w14:textId="77777777" w:rsidR="00F33674" w:rsidRPr="00F33674" w:rsidRDefault="00F33674" w:rsidP="00F33674">
            <w:pPr>
              <w:jc w:val="left"/>
              <w:rPr>
                <w:rFonts w:ascii="Arial Narrow" w:hAnsi="Arial Narrow" w:cs="Arial"/>
                <w:sz w:val="20"/>
                <w:szCs w:val="20"/>
              </w:rPr>
            </w:pPr>
            <w:r w:rsidRPr="00F33674">
              <w:rPr>
                <w:rFonts w:ascii="Arial Narrow" w:hAnsi="Arial Narrow" w:cs="Arial"/>
                <w:sz w:val="20"/>
                <w:szCs w:val="20"/>
              </w:rPr>
              <w:t>AND</w:t>
            </w:r>
          </w:p>
          <w:p w14:paraId="7CA65904" w14:textId="77777777" w:rsidR="00F33674" w:rsidRPr="00F33674" w:rsidRDefault="00F33674" w:rsidP="00F33674">
            <w:pPr>
              <w:jc w:val="left"/>
              <w:rPr>
                <w:rFonts w:ascii="Arial Narrow" w:hAnsi="Arial Narrow" w:cs="Arial"/>
                <w:sz w:val="20"/>
                <w:szCs w:val="20"/>
              </w:rPr>
            </w:pPr>
          </w:p>
          <w:p w14:paraId="14B1F148" w14:textId="2C40B3AE" w:rsidR="00F33674" w:rsidRPr="00F33674" w:rsidRDefault="00F33674" w:rsidP="00F33674">
            <w:pPr>
              <w:jc w:val="left"/>
              <w:rPr>
                <w:rFonts w:ascii="Arial Narrow" w:hAnsi="Arial Narrow" w:cs="Arial"/>
                <w:sz w:val="20"/>
                <w:szCs w:val="20"/>
              </w:rPr>
            </w:pPr>
            <w:r w:rsidRPr="00F33674">
              <w:rPr>
                <w:rFonts w:ascii="Arial Narrow" w:hAnsi="Arial Narrow" w:cs="Arial"/>
                <w:sz w:val="20"/>
                <w:szCs w:val="20"/>
              </w:rPr>
              <w:t xml:space="preserve">[18096] Patient must have </w:t>
            </w:r>
            <w:r w:rsidR="00FE50AF">
              <w:rPr>
                <w:rFonts w:ascii="Arial Narrow" w:hAnsi="Arial Narrow" w:cs="Arial"/>
                <w:sz w:val="20"/>
                <w:szCs w:val="20"/>
              </w:rPr>
              <w:t>cancer pain</w:t>
            </w:r>
          </w:p>
          <w:p w14:paraId="09821055" w14:textId="77777777" w:rsidR="00F33674" w:rsidRPr="00F33674" w:rsidRDefault="00F33674" w:rsidP="00F33674">
            <w:pPr>
              <w:jc w:val="left"/>
              <w:rPr>
                <w:rFonts w:ascii="Arial Narrow" w:hAnsi="Arial Narrow" w:cs="Arial"/>
                <w:sz w:val="20"/>
                <w:szCs w:val="20"/>
              </w:rPr>
            </w:pPr>
            <w:r w:rsidRPr="00F33674">
              <w:rPr>
                <w:rFonts w:ascii="Arial Narrow" w:hAnsi="Arial Narrow" w:cs="Arial"/>
                <w:sz w:val="20"/>
                <w:szCs w:val="20"/>
              </w:rPr>
              <w:t>OR</w:t>
            </w:r>
          </w:p>
          <w:p w14:paraId="5DB930B1" w14:textId="7016F25C" w:rsidR="00F33674" w:rsidRPr="00F33674" w:rsidRDefault="00F33674" w:rsidP="00F33674">
            <w:pPr>
              <w:jc w:val="left"/>
              <w:rPr>
                <w:rFonts w:ascii="Arial Narrow" w:hAnsi="Arial Narrow" w:cs="Arial"/>
                <w:sz w:val="20"/>
                <w:szCs w:val="20"/>
              </w:rPr>
            </w:pPr>
            <w:r w:rsidRPr="00F33674">
              <w:rPr>
                <w:rFonts w:ascii="Arial Narrow" w:hAnsi="Arial Narrow" w:cs="Arial"/>
                <w:sz w:val="20"/>
                <w:szCs w:val="20"/>
              </w:rPr>
              <w:t xml:space="preserve">[new] Patient must have </w:t>
            </w:r>
            <w:r w:rsidR="004811F3">
              <w:rPr>
                <w:rFonts w:ascii="Arial Narrow" w:hAnsi="Arial Narrow" w:cs="Arial"/>
                <w:sz w:val="20"/>
                <w:szCs w:val="20"/>
              </w:rPr>
              <w:t>had or would have</w:t>
            </w:r>
            <w:r w:rsidRPr="00F33674">
              <w:rPr>
                <w:rFonts w:ascii="Arial Narrow" w:hAnsi="Arial Narrow" w:cs="Arial"/>
                <w:sz w:val="20"/>
                <w:szCs w:val="20"/>
              </w:rPr>
              <w:t xml:space="preserve"> </w:t>
            </w:r>
            <w:r w:rsidR="004811F3">
              <w:rPr>
                <w:rFonts w:ascii="Arial Narrow" w:hAnsi="Arial Narrow" w:cs="Arial"/>
                <w:sz w:val="20"/>
                <w:szCs w:val="20"/>
              </w:rPr>
              <w:t>inadequate pain management</w:t>
            </w:r>
            <w:r w:rsidRPr="00F33674">
              <w:rPr>
                <w:rFonts w:ascii="Arial Narrow" w:hAnsi="Arial Narrow" w:cs="Arial"/>
                <w:sz w:val="20"/>
                <w:szCs w:val="20"/>
              </w:rPr>
              <w:t xml:space="preserve"> </w:t>
            </w:r>
            <w:r w:rsidR="004811F3">
              <w:rPr>
                <w:rFonts w:ascii="Arial Narrow" w:hAnsi="Arial Narrow" w:cs="Arial"/>
                <w:sz w:val="20"/>
                <w:szCs w:val="20"/>
              </w:rPr>
              <w:t>with</w:t>
            </w:r>
            <w:r w:rsidRPr="00F33674">
              <w:rPr>
                <w:rFonts w:ascii="Arial Narrow" w:hAnsi="Arial Narrow" w:cs="Arial"/>
                <w:sz w:val="20"/>
                <w:szCs w:val="20"/>
              </w:rPr>
              <w:t xml:space="preserve"> tolerated doses of non-opioid and other opioid analgesics</w:t>
            </w:r>
          </w:p>
          <w:p w14:paraId="02C61B01" w14:textId="77777777" w:rsidR="00F33674" w:rsidRPr="00F33674" w:rsidRDefault="00F33674" w:rsidP="00F33674">
            <w:pPr>
              <w:jc w:val="left"/>
              <w:rPr>
                <w:rFonts w:ascii="Arial Narrow" w:hAnsi="Arial Narrow" w:cs="Arial"/>
                <w:sz w:val="20"/>
                <w:szCs w:val="20"/>
              </w:rPr>
            </w:pPr>
            <w:r w:rsidRPr="00F33674">
              <w:rPr>
                <w:rFonts w:ascii="Arial Narrow" w:hAnsi="Arial Narrow" w:cs="Arial"/>
                <w:sz w:val="20"/>
                <w:szCs w:val="20"/>
              </w:rPr>
              <w:t>OR</w:t>
            </w:r>
          </w:p>
          <w:p w14:paraId="0506A1F3" w14:textId="334A0584" w:rsidR="00F33674" w:rsidRPr="00F33674" w:rsidRDefault="00F33674" w:rsidP="00F33674">
            <w:pPr>
              <w:jc w:val="left"/>
              <w:rPr>
                <w:rFonts w:ascii="Arial Narrow" w:hAnsi="Arial Narrow" w:cs="Arial"/>
                <w:sz w:val="20"/>
                <w:szCs w:val="20"/>
              </w:rPr>
            </w:pPr>
            <w:r w:rsidRPr="00F33674">
              <w:rPr>
                <w:rFonts w:ascii="Arial Narrow" w:hAnsi="Arial Narrow" w:cs="Arial"/>
                <w:sz w:val="20"/>
                <w:szCs w:val="20"/>
              </w:rPr>
              <w:t>[new] Patient must be unable to use non-opioid and other opioid analgesics due to contraindications or intolerance.</w:t>
            </w:r>
          </w:p>
        </w:tc>
      </w:tr>
      <w:tr w:rsidR="00F33674" w:rsidRPr="00F33674" w14:paraId="20444C54" w14:textId="77777777" w:rsidTr="00C21DFA">
        <w:trPr>
          <w:cantSplit/>
          <w:trHeight w:val="360"/>
        </w:trPr>
        <w:tc>
          <w:tcPr>
            <w:tcW w:w="3183" w:type="dxa"/>
            <w:tcBorders>
              <w:top w:val="single" w:sz="4" w:space="0" w:color="auto"/>
              <w:left w:val="single" w:sz="4" w:space="0" w:color="auto"/>
              <w:bottom w:val="single" w:sz="4" w:space="0" w:color="auto"/>
              <w:right w:val="single" w:sz="4" w:space="0" w:color="auto"/>
            </w:tcBorders>
          </w:tcPr>
          <w:p w14:paraId="3CD0E1BC" w14:textId="77777777" w:rsidR="00F33674" w:rsidRPr="00F33674" w:rsidRDefault="00F33674" w:rsidP="00F33674">
            <w:pPr>
              <w:rPr>
                <w:rFonts w:ascii="Arial Narrow" w:hAnsi="Arial Narrow" w:cs="Arial"/>
                <w:b/>
                <w:sz w:val="20"/>
                <w:szCs w:val="20"/>
              </w:rPr>
            </w:pPr>
            <w:r w:rsidRPr="00F33674">
              <w:rPr>
                <w:rFonts w:ascii="Arial Narrow" w:hAnsi="Arial Narrow" w:cs="Arial"/>
                <w:b/>
                <w:sz w:val="20"/>
                <w:szCs w:val="20"/>
              </w:rPr>
              <w:t>Prescriber instruction:</w:t>
            </w:r>
          </w:p>
        </w:tc>
        <w:tc>
          <w:tcPr>
            <w:tcW w:w="6031" w:type="dxa"/>
            <w:tcBorders>
              <w:top w:val="single" w:sz="4" w:space="0" w:color="auto"/>
              <w:left w:val="single" w:sz="4" w:space="0" w:color="auto"/>
              <w:bottom w:val="single" w:sz="4" w:space="0" w:color="auto"/>
              <w:right w:val="single" w:sz="4" w:space="0" w:color="auto"/>
            </w:tcBorders>
          </w:tcPr>
          <w:p w14:paraId="65EC5C85" w14:textId="4D0C1141" w:rsidR="00F33674" w:rsidRPr="00F33674" w:rsidRDefault="00F33674" w:rsidP="00193259">
            <w:pPr>
              <w:jc w:val="left"/>
              <w:rPr>
                <w:rFonts w:ascii="Arial Narrow" w:hAnsi="Arial Narrow" w:cs="Arial"/>
                <w:sz w:val="20"/>
                <w:szCs w:val="20"/>
              </w:rPr>
            </w:pPr>
            <w:r w:rsidRPr="00F33674">
              <w:rPr>
                <w:rFonts w:ascii="Arial Narrow" w:hAnsi="Arial Narrow" w:cs="Arial"/>
                <w:sz w:val="20"/>
                <w:szCs w:val="20"/>
              </w:rPr>
              <w:t xml:space="preserve">[new] Authorities for increased maximum quantities </w:t>
            </w:r>
            <w:r w:rsidR="00BB2EAC">
              <w:rPr>
                <w:rFonts w:ascii="Arial Narrow" w:hAnsi="Arial Narrow" w:cs="Arial"/>
                <w:sz w:val="20"/>
                <w:szCs w:val="20"/>
              </w:rPr>
              <w:t>and/or repeats under this restriction</w:t>
            </w:r>
            <w:r w:rsidRPr="00F33674">
              <w:rPr>
                <w:rFonts w:ascii="Arial Narrow" w:hAnsi="Arial Narrow" w:cs="Arial"/>
                <w:sz w:val="20"/>
                <w:szCs w:val="20"/>
              </w:rPr>
              <w:t xml:space="preserve"> </w:t>
            </w:r>
            <w:proofErr w:type="gramStart"/>
            <w:r w:rsidRPr="00F33674">
              <w:rPr>
                <w:rFonts w:ascii="Arial Narrow" w:hAnsi="Arial Narrow" w:cs="Arial"/>
                <w:sz w:val="20"/>
                <w:szCs w:val="20"/>
              </w:rPr>
              <w:t>will be granted</w:t>
            </w:r>
            <w:proofErr w:type="gramEnd"/>
            <w:r w:rsidRPr="00F33674">
              <w:rPr>
                <w:rFonts w:ascii="Arial Narrow" w:hAnsi="Arial Narrow" w:cs="Arial"/>
                <w:sz w:val="20"/>
                <w:szCs w:val="20"/>
              </w:rPr>
              <w:t xml:space="preserve"> only for chronic severe disabling pain</w:t>
            </w:r>
            <w:r w:rsidR="00193259">
              <w:rPr>
                <w:rFonts w:ascii="Arial Narrow" w:hAnsi="Arial Narrow" w:cs="Arial"/>
                <w:sz w:val="20"/>
                <w:szCs w:val="20"/>
              </w:rPr>
              <w:t xml:space="preserve"> </w:t>
            </w:r>
            <w:r w:rsidRPr="00F33674">
              <w:rPr>
                <w:rFonts w:ascii="Arial Narrow" w:hAnsi="Arial Narrow" w:cs="Arial"/>
                <w:sz w:val="20"/>
                <w:szCs w:val="20"/>
              </w:rPr>
              <w:t>where the total duration of non-PBS and PBS subsidised opioid analgesic treatment is less than 12 months</w:t>
            </w:r>
            <w:r w:rsidR="005E5921">
              <w:rPr>
                <w:rFonts w:ascii="Arial Narrow" w:hAnsi="Arial Narrow" w:cs="Arial"/>
                <w:sz w:val="20"/>
                <w:szCs w:val="20"/>
              </w:rPr>
              <w:t>.</w:t>
            </w:r>
          </w:p>
          <w:p w14:paraId="398D5E45" w14:textId="77777777" w:rsidR="00F33674" w:rsidRPr="00F33674" w:rsidRDefault="00F33674" w:rsidP="00F33674">
            <w:pPr>
              <w:jc w:val="left"/>
              <w:rPr>
                <w:rFonts w:ascii="Arial Narrow" w:hAnsi="Arial Narrow" w:cs="Arial"/>
                <w:sz w:val="20"/>
                <w:szCs w:val="20"/>
              </w:rPr>
            </w:pPr>
          </w:p>
          <w:p w14:paraId="7F66448B" w14:textId="77777777" w:rsidR="00F33674" w:rsidRPr="00F33674" w:rsidRDefault="00F33674" w:rsidP="00F33674">
            <w:pPr>
              <w:jc w:val="left"/>
              <w:rPr>
                <w:rFonts w:ascii="Arial Narrow" w:hAnsi="Arial Narrow" w:cs="Arial"/>
                <w:sz w:val="20"/>
                <w:szCs w:val="20"/>
              </w:rPr>
            </w:pPr>
            <w:r w:rsidRPr="00F33674">
              <w:rPr>
                <w:rFonts w:ascii="Arial Narrow" w:hAnsi="Arial Narrow" w:cs="Arial"/>
                <w:sz w:val="20"/>
                <w:szCs w:val="20"/>
              </w:rPr>
              <w:t>[new] Authority requests extending treatment duration up to 1 month may be requested though the Online PBS Authorities system or by calling Services Australia.</w:t>
            </w:r>
          </w:p>
          <w:p w14:paraId="116093A4" w14:textId="77777777" w:rsidR="00F33674" w:rsidRPr="00F33674" w:rsidRDefault="00F33674" w:rsidP="00F33674">
            <w:pPr>
              <w:jc w:val="left"/>
              <w:rPr>
                <w:rFonts w:ascii="Arial Narrow" w:hAnsi="Arial Narrow" w:cs="Arial"/>
                <w:sz w:val="20"/>
                <w:szCs w:val="20"/>
              </w:rPr>
            </w:pPr>
          </w:p>
          <w:p w14:paraId="410CB9E5" w14:textId="70553AD1" w:rsidR="00F33674" w:rsidRPr="00F33674" w:rsidRDefault="00F33674" w:rsidP="00F33674">
            <w:pPr>
              <w:jc w:val="left"/>
              <w:rPr>
                <w:rFonts w:ascii="Arial Narrow" w:hAnsi="Arial Narrow" w:cs="Arial"/>
                <w:sz w:val="20"/>
                <w:szCs w:val="20"/>
              </w:rPr>
            </w:pPr>
            <w:r w:rsidRPr="00F33674">
              <w:rPr>
                <w:rFonts w:ascii="Arial Narrow" w:hAnsi="Arial Narrow" w:cs="Arial"/>
                <w:sz w:val="20"/>
                <w:szCs w:val="20"/>
              </w:rPr>
              <w:t xml:space="preserve">Authority requests extending treatment duration beyond 1 month </w:t>
            </w:r>
            <w:r w:rsidR="00827DF7">
              <w:rPr>
                <w:rFonts w:ascii="Arial Narrow" w:hAnsi="Arial Narrow" w:cs="Arial"/>
                <w:sz w:val="20"/>
                <w:szCs w:val="20"/>
              </w:rPr>
              <w:t>may be requested through the Online PBS Authorities system</w:t>
            </w:r>
            <w:r w:rsidRPr="00F33674">
              <w:rPr>
                <w:rFonts w:ascii="Arial Narrow" w:hAnsi="Arial Narrow" w:cs="Arial"/>
                <w:sz w:val="20"/>
                <w:szCs w:val="20"/>
              </w:rPr>
              <w:t xml:space="preserve"> or in writing only and must not provide a treatment duration exceeding </w:t>
            </w:r>
            <w:r w:rsidR="00827DF7">
              <w:rPr>
                <w:rFonts w:ascii="Arial Narrow" w:hAnsi="Arial Narrow" w:cs="Arial"/>
                <w:sz w:val="20"/>
                <w:szCs w:val="20"/>
              </w:rPr>
              <w:t xml:space="preserve">3 months (quantity sufficient for up to </w:t>
            </w:r>
            <w:proofErr w:type="gramStart"/>
            <w:r w:rsidR="00827DF7">
              <w:rPr>
                <w:rFonts w:ascii="Arial Narrow" w:hAnsi="Arial Narrow" w:cs="Arial"/>
                <w:sz w:val="20"/>
                <w:szCs w:val="20"/>
              </w:rPr>
              <w:t>1 month</w:t>
            </w:r>
            <w:proofErr w:type="gramEnd"/>
            <w:r w:rsidR="00827DF7">
              <w:rPr>
                <w:rFonts w:ascii="Arial Narrow" w:hAnsi="Arial Narrow" w:cs="Arial"/>
                <w:sz w:val="20"/>
                <w:szCs w:val="20"/>
              </w:rPr>
              <w:t xml:space="preserve"> treatment and sufficient repeats).</w:t>
            </w:r>
          </w:p>
        </w:tc>
      </w:tr>
      <w:tr w:rsidR="00F33674" w:rsidRPr="00F33674" w14:paraId="79899CDD" w14:textId="77777777" w:rsidTr="00C21DFA">
        <w:trPr>
          <w:cantSplit/>
          <w:trHeight w:val="360"/>
        </w:trPr>
        <w:tc>
          <w:tcPr>
            <w:tcW w:w="3183" w:type="dxa"/>
            <w:tcBorders>
              <w:top w:val="single" w:sz="4" w:space="0" w:color="auto"/>
              <w:left w:val="single" w:sz="4" w:space="0" w:color="auto"/>
              <w:bottom w:val="single" w:sz="4" w:space="0" w:color="auto"/>
              <w:right w:val="single" w:sz="4" w:space="0" w:color="auto"/>
            </w:tcBorders>
          </w:tcPr>
          <w:p w14:paraId="7730E696" w14:textId="77777777" w:rsidR="00F33674" w:rsidRPr="00F33674" w:rsidRDefault="00F33674" w:rsidP="00F33674">
            <w:pPr>
              <w:rPr>
                <w:rFonts w:ascii="Arial Narrow" w:hAnsi="Arial Narrow" w:cs="Arial"/>
                <w:b/>
                <w:sz w:val="20"/>
                <w:szCs w:val="20"/>
              </w:rPr>
            </w:pPr>
            <w:r w:rsidRPr="00F33674">
              <w:rPr>
                <w:rFonts w:ascii="Arial Narrow" w:hAnsi="Arial Narrow" w:cs="Arial"/>
                <w:b/>
                <w:sz w:val="20"/>
                <w:szCs w:val="20"/>
              </w:rPr>
              <w:lastRenderedPageBreak/>
              <w:t>Administrative advice:</w:t>
            </w:r>
          </w:p>
        </w:tc>
        <w:tc>
          <w:tcPr>
            <w:tcW w:w="6031" w:type="dxa"/>
            <w:tcBorders>
              <w:top w:val="single" w:sz="4" w:space="0" w:color="auto"/>
              <w:left w:val="single" w:sz="4" w:space="0" w:color="auto"/>
              <w:bottom w:val="single" w:sz="4" w:space="0" w:color="auto"/>
              <w:right w:val="single" w:sz="4" w:space="0" w:color="auto"/>
            </w:tcBorders>
          </w:tcPr>
          <w:p w14:paraId="2A0B11EA" w14:textId="77777777" w:rsidR="00F33674" w:rsidRPr="00F33674" w:rsidRDefault="00F33674" w:rsidP="00F33674">
            <w:pPr>
              <w:jc w:val="left"/>
              <w:rPr>
                <w:rFonts w:ascii="Arial Narrow" w:hAnsi="Arial Narrow"/>
                <w:sz w:val="20"/>
                <w:szCs w:val="20"/>
              </w:rPr>
            </w:pPr>
            <w:r w:rsidRPr="00F33674">
              <w:rPr>
                <w:rFonts w:ascii="Arial Narrow" w:hAnsi="Arial Narrow"/>
                <w:sz w:val="20"/>
                <w:szCs w:val="20"/>
              </w:rPr>
              <w:t xml:space="preserve">[13978] Fentanyl transdermal patches </w:t>
            </w:r>
            <w:proofErr w:type="gramStart"/>
            <w:r w:rsidRPr="00F33674">
              <w:rPr>
                <w:rFonts w:ascii="Arial Narrow" w:hAnsi="Arial Narrow"/>
                <w:sz w:val="20"/>
                <w:szCs w:val="20"/>
              </w:rPr>
              <w:t>are not recommended</w:t>
            </w:r>
            <w:proofErr w:type="gramEnd"/>
            <w:r w:rsidRPr="00F33674">
              <w:rPr>
                <w:rFonts w:ascii="Arial Narrow" w:hAnsi="Arial Narrow"/>
                <w:sz w:val="20"/>
                <w:szCs w:val="20"/>
              </w:rPr>
              <w:t xml:space="preserve"> in opioid naive patients with non-cancer pain because of a high incidence of adverse events in these patients. Patients with cancer pain </w:t>
            </w:r>
            <w:proofErr w:type="gramStart"/>
            <w:r w:rsidRPr="00F33674">
              <w:rPr>
                <w:rFonts w:ascii="Arial Narrow" w:hAnsi="Arial Narrow"/>
                <w:sz w:val="20"/>
                <w:szCs w:val="20"/>
              </w:rPr>
              <w:t>may be initiated</w:t>
            </w:r>
            <w:proofErr w:type="gramEnd"/>
            <w:r w:rsidRPr="00F33674">
              <w:rPr>
                <w:rFonts w:ascii="Arial Narrow" w:hAnsi="Arial Narrow"/>
                <w:sz w:val="20"/>
                <w:szCs w:val="20"/>
              </w:rPr>
              <w:t xml:space="preserve"> on the lowest strength patch (12 micrograms per hour).</w:t>
            </w:r>
          </w:p>
          <w:p w14:paraId="05BAF695" w14:textId="77777777" w:rsidR="00F33674" w:rsidRPr="00F33674" w:rsidRDefault="00F33674" w:rsidP="00F33674">
            <w:pPr>
              <w:jc w:val="left"/>
              <w:rPr>
                <w:rFonts w:ascii="Arial Narrow" w:hAnsi="Arial Narrow"/>
                <w:sz w:val="20"/>
                <w:szCs w:val="20"/>
              </w:rPr>
            </w:pPr>
          </w:p>
          <w:p w14:paraId="70926AEC" w14:textId="77777777" w:rsidR="00F33674" w:rsidRPr="00F33674" w:rsidRDefault="00F33674" w:rsidP="00F33674">
            <w:pPr>
              <w:jc w:val="left"/>
              <w:rPr>
                <w:rFonts w:ascii="Arial Narrow" w:hAnsi="Arial Narrow"/>
                <w:sz w:val="20"/>
                <w:szCs w:val="20"/>
              </w:rPr>
            </w:pPr>
            <w:r w:rsidRPr="00F33674">
              <w:rPr>
                <w:rFonts w:ascii="Arial Narrow" w:hAnsi="Arial Narrow"/>
                <w:sz w:val="20"/>
                <w:szCs w:val="20"/>
              </w:rPr>
              <w:t>[new] Consider consultation with a multidisciplinary pain service prior to, or after commencement of this medication.</w:t>
            </w:r>
          </w:p>
          <w:p w14:paraId="3C1CD3CD" w14:textId="77777777" w:rsidR="00F33674" w:rsidRPr="00F33674" w:rsidRDefault="00F33674" w:rsidP="00F33674">
            <w:pPr>
              <w:jc w:val="left"/>
              <w:rPr>
                <w:rFonts w:ascii="Arial Narrow" w:hAnsi="Arial Narrow"/>
                <w:sz w:val="20"/>
                <w:szCs w:val="20"/>
              </w:rPr>
            </w:pPr>
          </w:p>
          <w:p w14:paraId="38F620E3" w14:textId="77777777" w:rsidR="00F33674" w:rsidRPr="00F33674" w:rsidRDefault="00F33674" w:rsidP="00F33674">
            <w:pPr>
              <w:jc w:val="left"/>
              <w:rPr>
                <w:rFonts w:ascii="Arial Narrow" w:hAnsi="Arial Narrow" w:cs="Arial"/>
                <w:sz w:val="20"/>
                <w:szCs w:val="20"/>
              </w:rPr>
            </w:pPr>
            <w:r w:rsidRPr="00F33674">
              <w:rPr>
                <w:rFonts w:ascii="Arial Narrow" w:hAnsi="Arial Narrow" w:cs="Arial"/>
                <w:sz w:val="20"/>
                <w:szCs w:val="20"/>
              </w:rPr>
              <w:t>[new] This treatment is not suitable for ‘as-required’ pain relief.</w:t>
            </w:r>
          </w:p>
          <w:p w14:paraId="55586DE5" w14:textId="77777777" w:rsidR="00F33674" w:rsidRPr="00F33674" w:rsidRDefault="00F33674" w:rsidP="00F33674">
            <w:pPr>
              <w:jc w:val="left"/>
              <w:rPr>
                <w:rFonts w:ascii="Arial Narrow" w:hAnsi="Arial Narrow"/>
                <w:sz w:val="20"/>
                <w:szCs w:val="20"/>
              </w:rPr>
            </w:pPr>
          </w:p>
          <w:p w14:paraId="3C7CC455" w14:textId="77777777" w:rsidR="00F33674" w:rsidRPr="00F33674" w:rsidRDefault="00F33674" w:rsidP="00F33674">
            <w:pPr>
              <w:jc w:val="left"/>
              <w:rPr>
                <w:rFonts w:ascii="Arial Narrow" w:hAnsi="Arial Narrow" w:cs="Arial"/>
                <w:sz w:val="20"/>
                <w:szCs w:val="20"/>
              </w:rPr>
            </w:pPr>
            <w:r w:rsidRPr="00F33674">
              <w:rPr>
                <w:rFonts w:ascii="Arial Narrow" w:hAnsi="Arial Narrow" w:cs="Arial"/>
                <w:sz w:val="20"/>
                <w:szCs w:val="20"/>
              </w:rPr>
              <w:t>[13984] Pharmaceutical benefits that have the form fentanyl 100 microgram/hour patch are equivalent for the purposes of substitution.</w:t>
            </w:r>
          </w:p>
          <w:p w14:paraId="1984B810" w14:textId="77777777" w:rsidR="00F33674" w:rsidRPr="00F33674" w:rsidRDefault="00F33674" w:rsidP="00F33674">
            <w:pPr>
              <w:jc w:val="left"/>
              <w:rPr>
                <w:rFonts w:ascii="Arial Narrow" w:hAnsi="Arial Narrow" w:cs="Arial"/>
                <w:sz w:val="20"/>
                <w:szCs w:val="20"/>
              </w:rPr>
            </w:pPr>
          </w:p>
          <w:p w14:paraId="139606B9" w14:textId="77777777" w:rsidR="00F33674" w:rsidRPr="00F33674" w:rsidRDefault="00F33674" w:rsidP="00F33674">
            <w:pPr>
              <w:jc w:val="left"/>
              <w:rPr>
                <w:rFonts w:ascii="Arial Narrow" w:hAnsi="Arial Narrow" w:cs="Arial"/>
                <w:sz w:val="20"/>
                <w:szCs w:val="20"/>
              </w:rPr>
            </w:pPr>
            <w:r w:rsidRPr="00F33674">
              <w:rPr>
                <w:rFonts w:ascii="Arial Narrow" w:hAnsi="Arial Narrow" w:cs="Arial"/>
                <w:sz w:val="20"/>
                <w:szCs w:val="20"/>
              </w:rPr>
              <w:t xml:space="preserve">[7901] Shared Care Model: For prescribing by nurse practitioners where care of a patient </w:t>
            </w:r>
            <w:proofErr w:type="gramStart"/>
            <w:r w:rsidRPr="00F33674">
              <w:rPr>
                <w:rFonts w:ascii="Arial Narrow" w:hAnsi="Arial Narrow" w:cs="Arial"/>
                <w:sz w:val="20"/>
                <w:szCs w:val="20"/>
              </w:rPr>
              <w:t>is shared</w:t>
            </w:r>
            <w:proofErr w:type="gramEnd"/>
            <w:r w:rsidRPr="00F33674">
              <w:rPr>
                <w:rFonts w:ascii="Arial Narrow" w:hAnsi="Arial Narrow" w:cs="Arial"/>
                <w:sz w:val="20"/>
                <w:szCs w:val="20"/>
              </w:rPr>
              <w:t xml:space="preserve"> between a nurse practitioner and medical practitioner in a formalised arrangement with an agreed management plan. Further information </w:t>
            </w:r>
            <w:proofErr w:type="gramStart"/>
            <w:r w:rsidRPr="00F33674">
              <w:rPr>
                <w:rFonts w:ascii="Arial Narrow" w:hAnsi="Arial Narrow" w:cs="Arial"/>
                <w:sz w:val="20"/>
                <w:szCs w:val="20"/>
              </w:rPr>
              <w:t>can be found</w:t>
            </w:r>
            <w:proofErr w:type="gramEnd"/>
            <w:r w:rsidRPr="00F33674">
              <w:rPr>
                <w:rFonts w:ascii="Arial Narrow" w:hAnsi="Arial Narrow" w:cs="Arial"/>
                <w:sz w:val="20"/>
                <w:szCs w:val="20"/>
              </w:rPr>
              <w:t xml:space="preserve"> in the Explanatory Notes for Nurse Practitioners.</w:t>
            </w:r>
          </w:p>
          <w:p w14:paraId="7D8C9090" w14:textId="77777777" w:rsidR="00F33674" w:rsidRPr="00F33674" w:rsidRDefault="00F33674" w:rsidP="00F33674">
            <w:pPr>
              <w:jc w:val="left"/>
              <w:rPr>
                <w:rFonts w:ascii="Arial Narrow" w:hAnsi="Arial Narrow" w:cs="Arial"/>
                <w:sz w:val="20"/>
                <w:szCs w:val="20"/>
              </w:rPr>
            </w:pPr>
          </w:p>
          <w:p w14:paraId="1492EEB5" w14:textId="77777777" w:rsidR="00F33674" w:rsidRPr="00F33674" w:rsidRDefault="00F33674" w:rsidP="00F33674">
            <w:pPr>
              <w:jc w:val="left"/>
              <w:rPr>
                <w:rFonts w:ascii="Arial Narrow" w:hAnsi="Arial Narrow" w:cs="Arial"/>
                <w:sz w:val="20"/>
                <w:szCs w:val="20"/>
              </w:rPr>
            </w:pPr>
            <w:r w:rsidRPr="00F33674">
              <w:rPr>
                <w:rFonts w:ascii="Arial Narrow" w:hAnsi="Arial Narrow" w:cs="Arial"/>
                <w:sz w:val="20"/>
                <w:szCs w:val="20"/>
              </w:rPr>
              <w:t>[new] Real time online applications for increased maximum quantities/repeats may be made using the Online PBS Authorities system (see www.servicesaustralia.gov.au/organisations/health-professionals/services/medicare/hpos/services/request-authority-using-online-pbs-authorities-hpos)</w:t>
            </w:r>
          </w:p>
          <w:p w14:paraId="63DC5C1C" w14:textId="77777777" w:rsidR="00F33674" w:rsidRPr="00F33674" w:rsidRDefault="00F33674" w:rsidP="00F33674">
            <w:pPr>
              <w:jc w:val="left"/>
              <w:rPr>
                <w:rFonts w:ascii="Arial Narrow" w:hAnsi="Arial Narrow" w:cs="Arial"/>
                <w:sz w:val="20"/>
                <w:szCs w:val="20"/>
              </w:rPr>
            </w:pPr>
          </w:p>
          <w:p w14:paraId="17C68D85" w14:textId="10BE469C" w:rsidR="00F33674" w:rsidRPr="00F33674" w:rsidRDefault="00F33674" w:rsidP="00F33674">
            <w:pPr>
              <w:jc w:val="left"/>
              <w:rPr>
                <w:rFonts w:ascii="Arial Narrow" w:hAnsi="Arial Narrow" w:cs="Arial"/>
                <w:sz w:val="20"/>
                <w:szCs w:val="20"/>
              </w:rPr>
            </w:pPr>
            <w:r w:rsidRPr="00F33674">
              <w:rPr>
                <w:rFonts w:ascii="Arial Narrow" w:hAnsi="Arial Narrow" w:cs="Arial"/>
                <w:sz w:val="20"/>
                <w:szCs w:val="20"/>
              </w:rPr>
              <w:t>Phone applications for increased maximum quantities/repeats may be made by calling 1800 888 333.</w:t>
            </w:r>
          </w:p>
          <w:p w14:paraId="372FD7A5" w14:textId="77777777" w:rsidR="00F33674" w:rsidRPr="00F33674" w:rsidRDefault="00F33674" w:rsidP="00F33674">
            <w:pPr>
              <w:jc w:val="left"/>
              <w:rPr>
                <w:rFonts w:ascii="Arial Narrow" w:hAnsi="Arial Narrow" w:cs="Arial"/>
                <w:sz w:val="20"/>
                <w:szCs w:val="20"/>
              </w:rPr>
            </w:pPr>
          </w:p>
          <w:p w14:paraId="4170B4DA" w14:textId="77777777" w:rsidR="00F33674" w:rsidRPr="00F33674" w:rsidRDefault="00F33674" w:rsidP="00F33674">
            <w:pPr>
              <w:jc w:val="left"/>
              <w:rPr>
                <w:rFonts w:ascii="Arial Narrow" w:hAnsi="Arial Narrow" w:cs="Arial"/>
                <w:sz w:val="20"/>
                <w:szCs w:val="20"/>
              </w:rPr>
            </w:pPr>
            <w:r w:rsidRPr="00F33674">
              <w:rPr>
                <w:rFonts w:ascii="Arial Narrow" w:hAnsi="Arial Narrow" w:cs="Arial"/>
                <w:sz w:val="20"/>
                <w:szCs w:val="20"/>
              </w:rPr>
              <w:t>Written authority applications for increased maximum quantities/repeats can be uploaded online through HPOS form upload or mailed to:</w:t>
            </w:r>
          </w:p>
          <w:p w14:paraId="1BD6D5DB" w14:textId="77777777" w:rsidR="00F33674" w:rsidRPr="00F33674" w:rsidRDefault="00F33674" w:rsidP="00F33674">
            <w:pPr>
              <w:jc w:val="left"/>
              <w:rPr>
                <w:rFonts w:ascii="Arial Narrow" w:hAnsi="Arial Narrow" w:cs="Arial"/>
                <w:sz w:val="20"/>
                <w:szCs w:val="20"/>
              </w:rPr>
            </w:pPr>
            <w:r w:rsidRPr="00F33674">
              <w:rPr>
                <w:rFonts w:ascii="Arial Narrow" w:hAnsi="Arial Narrow" w:cs="Arial"/>
                <w:sz w:val="20"/>
                <w:szCs w:val="20"/>
              </w:rPr>
              <w:t>Pharmaceutical Benefits Scheme</w:t>
            </w:r>
          </w:p>
          <w:p w14:paraId="1BD6F10D" w14:textId="77777777" w:rsidR="00F33674" w:rsidRPr="00F33674" w:rsidRDefault="00F33674" w:rsidP="00F33674">
            <w:pPr>
              <w:jc w:val="left"/>
              <w:rPr>
                <w:rFonts w:ascii="Arial Narrow" w:hAnsi="Arial Narrow" w:cs="Arial"/>
                <w:sz w:val="20"/>
                <w:szCs w:val="20"/>
              </w:rPr>
            </w:pPr>
            <w:r w:rsidRPr="00F33674">
              <w:rPr>
                <w:rFonts w:ascii="Arial Narrow" w:hAnsi="Arial Narrow" w:cs="Arial"/>
                <w:sz w:val="20"/>
                <w:szCs w:val="20"/>
              </w:rPr>
              <w:t>Reply Paid 9857</w:t>
            </w:r>
          </w:p>
          <w:p w14:paraId="1FEA45EF" w14:textId="77777777" w:rsidR="00F33674" w:rsidRPr="00F33674" w:rsidRDefault="00F33674" w:rsidP="00F33674">
            <w:pPr>
              <w:jc w:val="left"/>
              <w:rPr>
                <w:rFonts w:ascii="Arial Narrow" w:hAnsi="Arial Narrow" w:cs="Arial"/>
                <w:sz w:val="20"/>
                <w:szCs w:val="20"/>
              </w:rPr>
            </w:pPr>
            <w:r w:rsidRPr="00F33674">
              <w:rPr>
                <w:rFonts w:ascii="Arial Narrow" w:hAnsi="Arial Narrow" w:cs="Arial"/>
                <w:sz w:val="20"/>
                <w:szCs w:val="20"/>
              </w:rPr>
              <w:t>[Your capital city]</w:t>
            </w:r>
          </w:p>
        </w:tc>
      </w:tr>
      <w:tr w:rsidR="00F33674" w:rsidRPr="00F33674" w14:paraId="2A16D275" w14:textId="77777777" w:rsidTr="00C21DFA">
        <w:trPr>
          <w:cantSplit/>
          <w:trHeight w:val="360"/>
        </w:trPr>
        <w:tc>
          <w:tcPr>
            <w:tcW w:w="3183" w:type="dxa"/>
            <w:tcBorders>
              <w:top w:val="single" w:sz="4" w:space="0" w:color="auto"/>
              <w:left w:val="single" w:sz="4" w:space="0" w:color="auto"/>
              <w:bottom w:val="single" w:sz="4" w:space="0" w:color="auto"/>
              <w:right w:val="single" w:sz="4" w:space="0" w:color="auto"/>
            </w:tcBorders>
          </w:tcPr>
          <w:p w14:paraId="2F53CF95" w14:textId="77777777" w:rsidR="00F33674" w:rsidRPr="00F33674" w:rsidRDefault="00F33674" w:rsidP="00F33674">
            <w:pPr>
              <w:rPr>
                <w:rFonts w:ascii="Arial Narrow" w:hAnsi="Arial Narrow" w:cs="Arial"/>
                <w:b/>
                <w:sz w:val="20"/>
                <w:szCs w:val="20"/>
              </w:rPr>
            </w:pPr>
            <w:r w:rsidRPr="00F33674">
              <w:rPr>
                <w:rFonts w:ascii="Arial Narrow" w:hAnsi="Arial Narrow" w:cs="Arial"/>
                <w:b/>
                <w:sz w:val="20"/>
                <w:szCs w:val="20"/>
              </w:rPr>
              <w:t>Cautions:</w:t>
            </w:r>
          </w:p>
        </w:tc>
        <w:tc>
          <w:tcPr>
            <w:tcW w:w="6031" w:type="dxa"/>
            <w:tcBorders>
              <w:top w:val="single" w:sz="4" w:space="0" w:color="auto"/>
              <w:left w:val="single" w:sz="4" w:space="0" w:color="auto"/>
              <w:bottom w:val="single" w:sz="4" w:space="0" w:color="auto"/>
              <w:right w:val="single" w:sz="4" w:space="0" w:color="auto"/>
            </w:tcBorders>
          </w:tcPr>
          <w:p w14:paraId="3D4F665D" w14:textId="77777777" w:rsidR="00F33674" w:rsidRPr="00F33674" w:rsidRDefault="00F33674" w:rsidP="00F33674">
            <w:pPr>
              <w:jc w:val="left"/>
              <w:rPr>
                <w:rFonts w:ascii="Arial Narrow" w:hAnsi="Arial Narrow" w:cs="Arial"/>
                <w:sz w:val="20"/>
                <w:szCs w:val="20"/>
              </w:rPr>
            </w:pPr>
            <w:r w:rsidRPr="00F33674">
              <w:rPr>
                <w:rFonts w:ascii="Arial Narrow" w:hAnsi="Arial Narrow" w:cs="Arial"/>
                <w:sz w:val="20"/>
                <w:szCs w:val="20"/>
              </w:rPr>
              <w:t>[6986] The risk of drug dependence is high.</w:t>
            </w:r>
          </w:p>
        </w:tc>
      </w:tr>
    </w:tbl>
    <w:p w14:paraId="0F8DBA17" w14:textId="4B28C3E5" w:rsidR="00265869" w:rsidRDefault="00265869" w:rsidP="00193259">
      <w:pPr>
        <w:pStyle w:val="3-BodyText"/>
        <w:numPr>
          <w:ilvl w:val="0"/>
          <w:numId w:val="0"/>
        </w:numPr>
        <w:ind w:left="720" w:hanging="720"/>
      </w:pPr>
    </w:p>
    <w:tbl>
      <w:tblPr>
        <w:tblW w:w="9214" w:type="dxa"/>
        <w:tblInd w:w="-5" w:type="dxa"/>
        <w:tblLook w:val="0000" w:firstRow="0" w:lastRow="0" w:firstColumn="0" w:lastColumn="0" w:noHBand="0" w:noVBand="0"/>
      </w:tblPr>
      <w:tblGrid>
        <w:gridCol w:w="3183"/>
        <w:gridCol w:w="6031"/>
      </w:tblGrid>
      <w:tr w:rsidR="00265869" w:rsidRPr="00F33674" w14:paraId="23D77AFE" w14:textId="77777777" w:rsidTr="00C21DFA">
        <w:trPr>
          <w:cantSplit/>
          <w:trHeight w:val="360"/>
        </w:trPr>
        <w:tc>
          <w:tcPr>
            <w:tcW w:w="3183" w:type="dxa"/>
            <w:tcBorders>
              <w:top w:val="single" w:sz="4" w:space="0" w:color="auto"/>
              <w:left w:val="single" w:sz="4" w:space="0" w:color="auto"/>
              <w:bottom w:val="single" w:sz="4" w:space="0" w:color="auto"/>
              <w:right w:val="single" w:sz="4" w:space="0" w:color="auto"/>
            </w:tcBorders>
          </w:tcPr>
          <w:p w14:paraId="3AC4AE49" w14:textId="77777777" w:rsidR="00265869" w:rsidRPr="00F33674" w:rsidRDefault="00265869" w:rsidP="00265869">
            <w:pPr>
              <w:rPr>
                <w:rFonts w:ascii="Arial Narrow" w:hAnsi="Arial Narrow" w:cs="Arial"/>
                <w:b/>
                <w:sz w:val="20"/>
                <w:szCs w:val="20"/>
              </w:rPr>
            </w:pPr>
            <w:r w:rsidRPr="00F33674">
              <w:rPr>
                <w:rFonts w:ascii="Arial Narrow" w:hAnsi="Arial Narrow" w:cs="Arial"/>
                <w:b/>
                <w:sz w:val="20"/>
                <w:szCs w:val="20"/>
              </w:rPr>
              <w:t>Category / Program:</w:t>
            </w:r>
          </w:p>
        </w:tc>
        <w:tc>
          <w:tcPr>
            <w:tcW w:w="6031" w:type="dxa"/>
            <w:tcBorders>
              <w:top w:val="single" w:sz="4" w:space="0" w:color="auto"/>
              <w:left w:val="single" w:sz="4" w:space="0" w:color="auto"/>
              <w:bottom w:val="single" w:sz="4" w:space="0" w:color="auto"/>
              <w:right w:val="single" w:sz="4" w:space="0" w:color="auto"/>
            </w:tcBorders>
          </w:tcPr>
          <w:p w14:paraId="265EF486" w14:textId="77777777" w:rsidR="00265869" w:rsidRPr="00F33674" w:rsidRDefault="00265869" w:rsidP="00265869">
            <w:pPr>
              <w:rPr>
                <w:rFonts w:ascii="Arial Narrow" w:hAnsi="Arial Narrow" w:cs="Arial"/>
                <w:sz w:val="20"/>
                <w:szCs w:val="20"/>
              </w:rPr>
            </w:pPr>
            <w:r w:rsidRPr="00F33674">
              <w:rPr>
                <w:rFonts w:ascii="Arial Narrow" w:hAnsi="Arial Narrow" w:cs="Arial"/>
                <w:sz w:val="20"/>
                <w:szCs w:val="20"/>
              </w:rPr>
              <w:t>GENERAL – General Schedule (Code GE)</w:t>
            </w:r>
          </w:p>
        </w:tc>
      </w:tr>
      <w:tr w:rsidR="00265869" w:rsidRPr="00F33674" w14:paraId="69803582" w14:textId="77777777" w:rsidTr="00C21DFA">
        <w:trPr>
          <w:cantSplit/>
          <w:trHeight w:val="360"/>
        </w:trPr>
        <w:tc>
          <w:tcPr>
            <w:tcW w:w="3183" w:type="dxa"/>
            <w:tcBorders>
              <w:top w:val="single" w:sz="4" w:space="0" w:color="auto"/>
              <w:left w:val="single" w:sz="4" w:space="0" w:color="auto"/>
              <w:bottom w:val="single" w:sz="4" w:space="0" w:color="auto"/>
              <w:right w:val="single" w:sz="4" w:space="0" w:color="auto"/>
            </w:tcBorders>
          </w:tcPr>
          <w:p w14:paraId="1C963299" w14:textId="77777777" w:rsidR="00265869" w:rsidRPr="00F33674" w:rsidRDefault="00265869" w:rsidP="00265869">
            <w:pPr>
              <w:rPr>
                <w:rFonts w:ascii="Arial Narrow" w:hAnsi="Arial Narrow" w:cs="Arial"/>
                <w:b/>
                <w:sz w:val="20"/>
                <w:szCs w:val="20"/>
              </w:rPr>
            </w:pPr>
            <w:r w:rsidRPr="00F33674">
              <w:rPr>
                <w:rFonts w:ascii="Arial Narrow" w:hAnsi="Arial Narrow" w:cs="Arial"/>
                <w:b/>
                <w:sz w:val="20"/>
                <w:szCs w:val="20"/>
              </w:rPr>
              <w:t>Prescriber type:</w:t>
            </w:r>
          </w:p>
          <w:p w14:paraId="491FE6A2" w14:textId="77777777" w:rsidR="00265869" w:rsidRPr="00F33674" w:rsidRDefault="00265869" w:rsidP="00265869">
            <w:pPr>
              <w:rPr>
                <w:rFonts w:ascii="Arial Narrow" w:hAnsi="Arial Narrow" w:cs="Arial"/>
                <w:b/>
                <w:sz w:val="20"/>
                <w:szCs w:val="20"/>
              </w:rPr>
            </w:pPr>
          </w:p>
        </w:tc>
        <w:tc>
          <w:tcPr>
            <w:tcW w:w="6031" w:type="dxa"/>
            <w:tcBorders>
              <w:top w:val="single" w:sz="4" w:space="0" w:color="auto"/>
              <w:left w:val="single" w:sz="4" w:space="0" w:color="auto"/>
              <w:bottom w:val="single" w:sz="4" w:space="0" w:color="auto"/>
              <w:right w:val="single" w:sz="4" w:space="0" w:color="auto"/>
            </w:tcBorders>
          </w:tcPr>
          <w:p w14:paraId="67DFA087" w14:textId="77777777" w:rsidR="00265869" w:rsidRPr="00F33674" w:rsidRDefault="00265869" w:rsidP="00265869">
            <w:pPr>
              <w:rPr>
                <w:rFonts w:ascii="Arial Narrow" w:hAnsi="Arial Narrow" w:cs="Arial"/>
                <w:sz w:val="20"/>
                <w:szCs w:val="20"/>
              </w:rPr>
            </w:pPr>
            <w:r w:rsidRPr="00F33674">
              <w:rPr>
                <w:rFonts w:ascii="Arial Narrow" w:hAnsi="Arial Narrow" w:cs="Arial"/>
                <w:sz w:val="20"/>
                <w:szCs w:val="20"/>
              </w:rPr>
              <w:fldChar w:fldCharType="begin">
                <w:ffData>
                  <w:name w:val="Check1"/>
                  <w:enabled/>
                  <w:calcOnExit w:val="0"/>
                  <w:checkBox>
                    <w:sizeAuto/>
                    <w:default w:val="0"/>
                  </w:checkBox>
                </w:ffData>
              </w:fldChar>
            </w:r>
            <w:r w:rsidRPr="00F33674">
              <w:rPr>
                <w:rFonts w:ascii="Arial Narrow" w:hAnsi="Arial Narrow" w:cs="Arial"/>
                <w:sz w:val="20"/>
                <w:szCs w:val="20"/>
              </w:rPr>
              <w:instrText xml:space="preserve"> FORMCHECKBOX </w:instrText>
            </w:r>
            <w:r w:rsidR="00233D13">
              <w:rPr>
                <w:rFonts w:ascii="Arial Narrow" w:hAnsi="Arial Narrow" w:cs="Arial"/>
                <w:sz w:val="20"/>
                <w:szCs w:val="20"/>
              </w:rPr>
            </w:r>
            <w:r w:rsidR="00233D13">
              <w:rPr>
                <w:rFonts w:ascii="Arial Narrow" w:hAnsi="Arial Narrow" w:cs="Arial"/>
                <w:sz w:val="20"/>
                <w:szCs w:val="20"/>
              </w:rPr>
              <w:fldChar w:fldCharType="separate"/>
            </w:r>
            <w:r w:rsidRPr="00F33674">
              <w:rPr>
                <w:rFonts w:ascii="Arial Narrow" w:hAnsi="Arial Narrow" w:cs="Arial"/>
                <w:sz w:val="20"/>
                <w:szCs w:val="20"/>
              </w:rPr>
              <w:fldChar w:fldCharType="end"/>
            </w:r>
            <w:r w:rsidRPr="00F33674">
              <w:rPr>
                <w:rFonts w:ascii="Arial Narrow" w:hAnsi="Arial Narrow" w:cs="Arial"/>
                <w:sz w:val="20"/>
                <w:szCs w:val="20"/>
              </w:rPr>
              <w:t>Dental</w:t>
            </w:r>
            <w:r>
              <w:rPr>
                <w:rFonts w:ascii="Arial Narrow" w:hAnsi="Arial Narrow" w:cs="Arial"/>
                <w:sz w:val="20"/>
                <w:szCs w:val="20"/>
              </w:rPr>
              <w:t xml:space="preserve"> </w:t>
            </w:r>
            <w:r w:rsidRPr="00F33674">
              <w:rPr>
                <w:rFonts w:ascii="Arial Narrow" w:hAnsi="Arial Narrow" w:cs="Arial"/>
                <w:sz w:val="20"/>
                <w:szCs w:val="20"/>
              </w:rPr>
              <w:fldChar w:fldCharType="begin">
                <w:ffData>
                  <w:name w:val=""/>
                  <w:enabled/>
                  <w:calcOnExit w:val="0"/>
                  <w:checkBox>
                    <w:sizeAuto/>
                    <w:default w:val="1"/>
                  </w:checkBox>
                </w:ffData>
              </w:fldChar>
            </w:r>
            <w:r w:rsidRPr="00F33674">
              <w:rPr>
                <w:rFonts w:ascii="Arial Narrow" w:hAnsi="Arial Narrow" w:cs="Arial"/>
                <w:sz w:val="20"/>
                <w:szCs w:val="20"/>
              </w:rPr>
              <w:instrText xml:space="preserve"> FORMCHECKBOX </w:instrText>
            </w:r>
            <w:r w:rsidR="00233D13">
              <w:rPr>
                <w:rFonts w:ascii="Arial Narrow" w:hAnsi="Arial Narrow" w:cs="Arial"/>
                <w:sz w:val="20"/>
                <w:szCs w:val="20"/>
              </w:rPr>
            </w:r>
            <w:r w:rsidR="00233D13">
              <w:rPr>
                <w:rFonts w:ascii="Arial Narrow" w:hAnsi="Arial Narrow" w:cs="Arial"/>
                <w:sz w:val="20"/>
                <w:szCs w:val="20"/>
              </w:rPr>
              <w:fldChar w:fldCharType="separate"/>
            </w:r>
            <w:r w:rsidRPr="00F33674">
              <w:rPr>
                <w:rFonts w:ascii="Arial Narrow" w:hAnsi="Arial Narrow" w:cs="Arial"/>
                <w:sz w:val="20"/>
                <w:szCs w:val="20"/>
              </w:rPr>
              <w:fldChar w:fldCharType="end"/>
            </w:r>
            <w:r w:rsidRPr="00F33674">
              <w:rPr>
                <w:rFonts w:ascii="Arial Narrow" w:hAnsi="Arial Narrow" w:cs="Arial"/>
                <w:sz w:val="20"/>
                <w:szCs w:val="20"/>
              </w:rPr>
              <w:t>Medical Practitioners</w:t>
            </w:r>
            <w:r>
              <w:rPr>
                <w:rFonts w:ascii="Arial Narrow" w:hAnsi="Arial Narrow" w:cs="Arial"/>
                <w:sz w:val="20"/>
                <w:szCs w:val="20"/>
              </w:rPr>
              <w:t xml:space="preserve"> </w:t>
            </w:r>
            <w:r w:rsidRPr="00F33674">
              <w:rPr>
                <w:rFonts w:ascii="Arial Narrow" w:hAnsi="Arial Narrow" w:cs="Arial"/>
                <w:sz w:val="20"/>
                <w:szCs w:val="20"/>
              </w:rPr>
              <w:fldChar w:fldCharType="begin">
                <w:ffData>
                  <w:name w:val="Check3"/>
                  <w:enabled/>
                  <w:calcOnExit w:val="0"/>
                  <w:checkBox>
                    <w:sizeAuto/>
                    <w:default w:val="1"/>
                  </w:checkBox>
                </w:ffData>
              </w:fldChar>
            </w:r>
            <w:r w:rsidRPr="00F33674">
              <w:rPr>
                <w:rFonts w:ascii="Arial Narrow" w:hAnsi="Arial Narrow" w:cs="Arial"/>
                <w:sz w:val="20"/>
                <w:szCs w:val="20"/>
              </w:rPr>
              <w:instrText xml:space="preserve"> FORMCHECKBOX </w:instrText>
            </w:r>
            <w:r w:rsidR="00233D13">
              <w:rPr>
                <w:rFonts w:ascii="Arial Narrow" w:hAnsi="Arial Narrow" w:cs="Arial"/>
                <w:sz w:val="20"/>
                <w:szCs w:val="20"/>
              </w:rPr>
            </w:r>
            <w:r w:rsidR="00233D13">
              <w:rPr>
                <w:rFonts w:ascii="Arial Narrow" w:hAnsi="Arial Narrow" w:cs="Arial"/>
                <w:sz w:val="20"/>
                <w:szCs w:val="20"/>
              </w:rPr>
              <w:fldChar w:fldCharType="separate"/>
            </w:r>
            <w:r w:rsidRPr="00F33674">
              <w:rPr>
                <w:rFonts w:ascii="Arial Narrow" w:hAnsi="Arial Narrow" w:cs="Arial"/>
                <w:sz w:val="20"/>
                <w:szCs w:val="20"/>
              </w:rPr>
              <w:fldChar w:fldCharType="end"/>
            </w:r>
            <w:r w:rsidRPr="00F33674">
              <w:rPr>
                <w:rFonts w:ascii="Arial Narrow" w:hAnsi="Arial Narrow" w:cs="Arial"/>
                <w:sz w:val="20"/>
                <w:szCs w:val="20"/>
              </w:rPr>
              <w:t>Nurse practitioners</w:t>
            </w:r>
            <w:r>
              <w:rPr>
                <w:rFonts w:ascii="Arial Narrow" w:hAnsi="Arial Narrow" w:cs="Arial"/>
                <w:sz w:val="20"/>
                <w:szCs w:val="20"/>
              </w:rPr>
              <w:t xml:space="preserve"> </w:t>
            </w:r>
            <w:r w:rsidRPr="00F33674">
              <w:rPr>
                <w:rFonts w:ascii="Arial Narrow" w:hAnsi="Arial Narrow" w:cs="Arial"/>
                <w:sz w:val="20"/>
                <w:szCs w:val="20"/>
              </w:rPr>
              <w:fldChar w:fldCharType="begin">
                <w:ffData>
                  <w:name w:val=""/>
                  <w:enabled/>
                  <w:calcOnExit w:val="0"/>
                  <w:checkBox>
                    <w:sizeAuto/>
                    <w:default w:val="0"/>
                  </w:checkBox>
                </w:ffData>
              </w:fldChar>
            </w:r>
            <w:r w:rsidRPr="00F33674">
              <w:rPr>
                <w:rFonts w:ascii="Arial Narrow" w:hAnsi="Arial Narrow" w:cs="Arial"/>
                <w:sz w:val="20"/>
                <w:szCs w:val="20"/>
              </w:rPr>
              <w:instrText xml:space="preserve"> FORMCHECKBOX </w:instrText>
            </w:r>
            <w:r w:rsidR="00233D13">
              <w:rPr>
                <w:rFonts w:ascii="Arial Narrow" w:hAnsi="Arial Narrow" w:cs="Arial"/>
                <w:sz w:val="20"/>
                <w:szCs w:val="20"/>
              </w:rPr>
            </w:r>
            <w:r w:rsidR="00233D13">
              <w:rPr>
                <w:rFonts w:ascii="Arial Narrow" w:hAnsi="Arial Narrow" w:cs="Arial"/>
                <w:sz w:val="20"/>
                <w:szCs w:val="20"/>
              </w:rPr>
              <w:fldChar w:fldCharType="separate"/>
            </w:r>
            <w:r w:rsidRPr="00F33674">
              <w:rPr>
                <w:rFonts w:ascii="Arial Narrow" w:hAnsi="Arial Narrow" w:cs="Arial"/>
                <w:sz w:val="20"/>
                <w:szCs w:val="20"/>
              </w:rPr>
              <w:fldChar w:fldCharType="end"/>
            </w:r>
            <w:r w:rsidRPr="00F33674">
              <w:rPr>
                <w:rFonts w:ascii="Arial Narrow" w:hAnsi="Arial Narrow" w:cs="Arial"/>
                <w:sz w:val="20"/>
                <w:szCs w:val="20"/>
              </w:rPr>
              <w:t>Optometrists</w:t>
            </w:r>
          </w:p>
          <w:p w14:paraId="091E466B" w14:textId="77777777" w:rsidR="00265869" w:rsidRPr="00F33674" w:rsidRDefault="00265869" w:rsidP="00265869">
            <w:pPr>
              <w:rPr>
                <w:rFonts w:ascii="Arial Narrow" w:hAnsi="Arial Narrow" w:cs="Arial"/>
                <w:sz w:val="20"/>
                <w:szCs w:val="20"/>
              </w:rPr>
            </w:pPr>
            <w:r w:rsidRPr="00F33674">
              <w:rPr>
                <w:rFonts w:ascii="Arial Narrow" w:hAnsi="Arial Narrow" w:cs="Arial"/>
                <w:sz w:val="20"/>
                <w:szCs w:val="20"/>
              </w:rPr>
              <w:fldChar w:fldCharType="begin">
                <w:ffData>
                  <w:name w:val="Check5"/>
                  <w:enabled/>
                  <w:calcOnExit w:val="0"/>
                  <w:checkBox>
                    <w:sizeAuto/>
                    <w:default w:val="0"/>
                  </w:checkBox>
                </w:ffData>
              </w:fldChar>
            </w:r>
            <w:r w:rsidRPr="00F33674">
              <w:rPr>
                <w:rFonts w:ascii="Arial Narrow" w:hAnsi="Arial Narrow" w:cs="Arial"/>
                <w:sz w:val="20"/>
                <w:szCs w:val="20"/>
              </w:rPr>
              <w:instrText xml:space="preserve"> FORMCHECKBOX </w:instrText>
            </w:r>
            <w:r w:rsidR="00233D13">
              <w:rPr>
                <w:rFonts w:ascii="Arial Narrow" w:hAnsi="Arial Narrow" w:cs="Arial"/>
                <w:sz w:val="20"/>
                <w:szCs w:val="20"/>
              </w:rPr>
            </w:r>
            <w:r w:rsidR="00233D13">
              <w:rPr>
                <w:rFonts w:ascii="Arial Narrow" w:hAnsi="Arial Narrow" w:cs="Arial"/>
                <w:sz w:val="20"/>
                <w:szCs w:val="20"/>
              </w:rPr>
              <w:fldChar w:fldCharType="separate"/>
            </w:r>
            <w:r w:rsidRPr="00F33674">
              <w:rPr>
                <w:rFonts w:ascii="Arial Narrow" w:hAnsi="Arial Narrow" w:cs="Arial"/>
                <w:sz w:val="20"/>
                <w:szCs w:val="20"/>
              </w:rPr>
              <w:fldChar w:fldCharType="end"/>
            </w:r>
            <w:r w:rsidRPr="00F33674">
              <w:rPr>
                <w:rFonts w:ascii="Arial Narrow" w:hAnsi="Arial Narrow" w:cs="Arial"/>
                <w:sz w:val="20"/>
                <w:szCs w:val="20"/>
              </w:rPr>
              <w:t>Midwives</w:t>
            </w:r>
          </w:p>
        </w:tc>
      </w:tr>
      <w:tr w:rsidR="00265869" w:rsidRPr="00F33674" w14:paraId="058945B4" w14:textId="77777777" w:rsidTr="00C21DFA">
        <w:trPr>
          <w:cantSplit/>
          <w:trHeight w:val="369"/>
        </w:trPr>
        <w:tc>
          <w:tcPr>
            <w:tcW w:w="3183" w:type="dxa"/>
            <w:tcBorders>
              <w:top w:val="single" w:sz="4" w:space="0" w:color="auto"/>
              <w:left w:val="single" w:sz="4" w:space="0" w:color="auto"/>
              <w:bottom w:val="single" w:sz="4" w:space="0" w:color="auto"/>
              <w:right w:val="single" w:sz="4" w:space="0" w:color="auto"/>
            </w:tcBorders>
          </w:tcPr>
          <w:p w14:paraId="7691B6BB" w14:textId="77777777" w:rsidR="00265869" w:rsidRPr="00F33674" w:rsidRDefault="00265869" w:rsidP="00265869">
            <w:pPr>
              <w:rPr>
                <w:rFonts w:ascii="Arial Narrow" w:hAnsi="Arial Narrow" w:cs="Arial"/>
                <w:b/>
                <w:sz w:val="20"/>
                <w:szCs w:val="20"/>
              </w:rPr>
            </w:pPr>
            <w:r w:rsidRPr="00F33674">
              <w:rPr>
                <w:rFonts w:ascii="Arial Narrow" w:hAnsi="Arial Narrow" w:cs="Arial"/>
                <w:b/>
                <w:sz w:val="20"/>
                <w:szCs w:val="20"/>
              </w:rPr>
              <w:t>PBS indication:</w:t>
            </w:r>
          </w:p>
        </w:tc>
        <w:tc>
          <w:tcPr>
            <w:tcW w:w="6031" w:type="dxa"/>
            <w:tcBorders>
              <w:top w:val="single" w:sz="4" w:space="0" w:color="auto"/>
              <w:left w:val="single" w:sz="4" w:space="0" w:color="auto"/>
              <w:bottom w:val="single" w:sz="4" w:space="0" w:color="auto"/>
              <w:right w:val="single" w:sz="4" w:space="0" w:color="auto"/>
            </w:tcBorders>
          </w:tcPr>
          <w:p w14:paraId="4F1C2376" w14:textId="77777777" w:rsidR="00265869" w:rsidRPr="00F33674" w:rsidRDefault="00265869" w:rsidP="00265869">
            <w:pPr>
              <w:rPr>
                <w:rFonts w:ascii="Arial Narrow" w:hAnsi="Arial Narrow" w:cs="Arial"/>
                <w:sz w:val="20"/>
                <w:szCs w:val="20"/>
              </w:rPr>
            </w:pPr>
            <w:r w:rsidRPr="00F33674">
              <w:rPr>
                <w:rFonts w:ascii="Arial Narrow" w:hAnsi="Arial Narrow" w:cs="Arial"/>
                <w:sz w:val="20"/>
                <w:szCs w:val="20"/>
              </w:rPr>
              <w:t>[9729] Chronic severe disabling pain</w:t>
            </w:r>
          </w:p>
        </w:tc>
      </w:tr>
      <w:tr w:rsidR="00265869" w:rsidRPr="00F33674" w14:paraId="2AFAB87E" w14:textId="77777777" w:rsidTr="00C21DFA">
        <w:trPr>
          <w:cantSplit/>
          <w:trHeight w:val="360"/>
        </w:trPr>
        <w:tc>
          <w:tcPr>
            <w:tcW w:w="3183" w:type="dxa"/>
            <w:tcBorders>
              <w:top w:val="single" w:sz="4" w:space="0" w:color="auto"/>
              <w:left w:val="single" w:sz="4" w:space="0" w:color="auto"/>
              <w:bottom w:val="single" w:sz="4" w:space="0" w:color="auto"/>
              <w:right w:val="single" w:sz="4" w:space="0" w:color="auto"/>
            </w:tcBorders>
          </w:tcPr>
          <w:p w14:paraId="7E43CA14" w14:textId="77777777" w:rsidR="00265869" w:rsidRPr="00F33674" w:rsidRDefault="00265869" w:rsidP="00265869">
            <w:pPr>
              <w:rPr>
                <w:rFonts w:ascii="Arial Narrow" w:hAnsi="Arial Narrow" w:cs="Arial"/>
                <w:b/>
                <w:sz w:val="20"/>
                <w:szCs w:val="20"/>
              </w:rPr>
            </w:pPr>
            <w:r w:rsidRPr="00F33674">
              <w:rPr>
                <w:rFonts w:ascii="Arial Narrow" w:hAnsi="Arial Narrow" w:cs="Arial"/>
                <w:b/>
                <w:sz w:val="20"/>
                <w:szCs w:val="20"/>
              </w:rPr>
              <w:t>Restriction Level / Method:</w:t>
            </w:r>
          </w:p>
          <w:p w14:paraId="09AC4A3E" w14:textId="77777777" w:rsidR="00265869" w:rsidRPr="00F33674" w:rsidRDefault="00265869" w:rsidP="00265869">
            <w:pPr>
              <w:rPr>
                <w:rFonts w:ascii="Arial Narrow" w:hAnsi="Arial Narrow" w:cs="Arial"/>
                <w:i/>
                <w:sz w:val="20"/>
                <w:szCs w:val="20"/>
              </w:rPr>
            </w:pPr>
          </w:p>
          <w:p w14:paraId="31A8F26F" w14:textId="77777777" w:rsidR="00265869" w:rsidRPr="00F33674" w:rsidRDefault="00265869" w:rsidP="00265869">
            <w:pPr>
              <w:rPr>
                <w:rFonts w:ascii="Arial Narrow" w:hAnsi="Arial Narrow" w:cs="Arial"/>
                <w:i/>
                <w:sz w:val="20"/>
                <w:szCs w:val="20"/>
              </w:rPr>
            </w:pPr>
          </w:p>
          <w:p w14:paraId="396951DC" w14:textId="77777777" w:rsidR="00265869" w:rsidRPr="00F33674" w:rsidRDefault="00265869" w:rsidP="00265869">
            <w:pPr>
              <w:rPr>
                <w:rFonts w:ascii="Arial Narrow" w:hAnsi="Arial Narrow" w:cs="Arial"/>
                <w:i/>
                <w:sz w:val="20"/>
                <w:szCs w:val="20"/>
              </w:rPr>
            </w:pPr>
          </w:p>
        </w:tc>
        <w:tc>
          <w:tcPr>
            <w:tcW w:w="6031" w:type="dxa"/>
            <w:tcBorders>
              <w:top w:val="single" w:sz="4" w:space="0" w:color="auto"/>
              <w:left w:val="single" w:sz="4" w:space="0" w:color="auto"/>
              <w:bottom w:val="single" w:sz="4" w:space="0" w:color="auto"/>
              <w:right w:val="single" w:sz="4" w:space="0" w:color="auto"/>
            </w:tcBorders>
          </w:tcPr>
          <w:p w14:paraId="18762DFB" w14:textId="77777777" w:rsidR="00265869" w:rsidRPr="00F33674" w:rsidRDefault="00265869" w:rsidP="00265869">
            <w:pPr>
              <w:rPr>
                <w:rFonts w:ascii="Arial Narrow" w:hAnsi="Arial Narrow" w:cs="Arial"/>
                <w:sz w:val="20"/>
                <w:szCs w:val="20"/>
              </w:rPr>
            </w:pPr>
            <w:r w:rsidRPr="00F33674">
              <w:rPr>
                <w:rFonts w:ascii="Arial Narrow" w:hAnsi="Arial Narrow" w:cs="Arial"/>
                <w:sz w:val="20"/>
                <w:szCs w:val="20"/>
              </w:rPr>
              <w:fldChar w:fldCharType="begin">
                <w:ffData>
                  <w:name w:val=""/>
                  <w:enabled/>
                  <w:calcOnExit w:val="0"/>
                  <w:checkBox>
                    <w:sizeAuto/>
                    <w:default w:val="0"/>
                  </w:checkBox>
                </w:ffData>
              </w:fldChar>
            </w:r>
            <w:r w:rsidRPr="00F33674">
              <w:rPr>
                <w:rFonts w:ascii="Arial Narrow" w:hAnsi="Arial Narrow" w:cs="Arial"/>
                <w:sz w:val="20"/>
                <w:szCs w:val="20"/>
              </w:rPr>
              <w:instrText xml:space="preserve"> FORMCHECKBOX </w:instrText>
            </w:r>
            <w:r w:rsidR="00233D13">
              <w:rPr>
                <w:rFonts w:ascii="Arial Narrow" w:hAnsi="Arial Narrow" w:cs="Arial"/>
                <w:sz w:val="20"/>
                <w:szCs w:val="20"/>
              </w:rPr>
            </w:r>
            <w:r w:rsidR="00233D13">
              <w:rPr>
                <w:rFonts w:ascii="Arial Narrow" w:hAnsi="Arial Narrow" w:cs="Arial"/>
                <w:sz w:val="20"/>
                <w:szCs w:val="20"/>
              </w:rPr>
              <w:fldChar w:fldCharType="separate"/>
            </w:r>
            <w:r w:rsidRPr="00F33674">
              <w:rPr>
                <w:rFonts w:ascii="Arial Narrow" w:hAnsi="Arial Narrow" w:cs="Arial"/>
                <w:sz w:val="20"/>
                <w:szCs w:val="20"/>
              </w:rPr>
              <w:fldChar w:fldCharType="end"/>
            </w:r>
            <w:r w:rsidRPr="00F33674">
              <w:rPr>
                <w:rFonts w:ascii="Arial Narrow" w:hAnsi="Arial Narrow" w:cs="Arial"/>
                <w:sz w:val="20"/>
                <w:szCs w:val="20"/>
              </w:rPr>
              <w:t>Unrestricted benefit</w:t>
            </w:r>
          </w:p>
          <w:p w14:paraId="08CEAD7C" w14:textId="77777777" w:rsidR="00265869" w:rsidRPr="00F33674" w:rsidRDefault="00265869" w:rsidP="00265869">
            <w:pPr>
              <w:rPr>
                <w:rFonts w:ascii="Arial Narrow" w:hAnsi="Arial Narrow" w:cs="Arial"/>
                <w:i/>
                <w:sz w:val="20"/>
                <w:szCs w:val="20"/>
              </w:rPr>
            </w:pPr>
            <w:r w:rsidRPr="00F33674">
              <w:rPr>
                <w:rFonts w:ascii="Arial Narrow" w:hAnsi="Arial Narrow" w:cs="Arial"/>
                <w:i/>
                <w:sz w:val="20"/>
                <w:szCs w:val="20"/>
              </w:rPr>
              <w:fldChar w:fldCharType="begin">
                <w:ffData>
                  <w:name w:val=""/>
                  <w:enabled/>
                  <w:calcOnExit w:val="0"/>
                  <w:checkBox>
                    <w:sizeAuto/>
                    <w:default w:val="0"/>
                  </w:checkBox>
                </w:ffData>
              </w:fldChar>
            </w:r>
            <w:r w:rsidRPr="00F33674">
              <w:rPr>
                <w:rFonts w:ascii="Arial Narrow" w:hAnsi="Arial Narrow" w:cs="Arial"/>
                <w:i/>
                <w:sz w:val="20"/>
                <w:szCs w:val="20"/>
              </w:rPr>
              <w:instrText xml:space="preserve"> FORMCHECKBOX </w:instrText>
            </w:r>
            <w:r w:rsidR="00233D13">
              <w:rPr>
                <w:rFonts w:ascii="Arial Narrow" w:hAnsi="Arial Narrow" w:cs="Arial"/>
                <w:i/>
                <w:sz w:val="20"/>
                <w:szCs w:val="20"/>
              </w:rPr>
            </w:r>
            <w:r w:rsidR="00233D13">
              <w:rPr>
                <w:rFonts w:ascii="Arial Narrow" w:hAnsi="Arial Narrow" w:cs="Arial"/>
                <w:i/>
                <w:sz w:val="20"/>
                <w:szCs w:val="20"/>
              </w:rPr>
              <w:fldChar w:fldCharType="separate"/>
            </w:r>
            <w:r w:rsidRPr="00F33674">
              <w:rPr>
                <w:rFonts w:ascii="Arial Narrow" w:hAnsi="Arial Narrow" w:cs="Arial"/>
                <w:i/>
                <w:sz w:val="20"/>
                <w:szCs w:val="20"/>
              </w:rPr>
              <w:fldChar w:fldCharType="end"/>
            </w:r>
            <w:r w:rsidRPr="00F33674">
              <w:rPr>
                <w:rFonts w:ascii="Arial Narrow" w:hAnsi="Arial Narrow" w:cs="Arial"/>
                <w:sz w:val="20"/>
                <w:szCs w:val="20"/>
              </w:rPr>
              <w:t>Restricted benefit</w:t>
            </w:r>
          </w:p>
          <w:p w14:paraId="7BE22378" w14:textId="77777777" w:rsidR="00265869" w:rsidRPr="00F33674" w:rsidRDefault="00265869" w:rsidP="00265869">
            <w:pPr>
              <w:rPr>
                <w:rFonts w:ascii="Arial Narrow" w:hAnsi="Arial Narrow" w:cs="Arial"/>
                <w:sz w:val="20"/>
                <w:szCs w:val="20"/>
              </w:rPr>
            </w:pPr>
            <w:r w:rsidRPr="00F33674">
              <w:rPr>
                <w:rFonts w:ascii="Arial Narrow" w:hAnsi="Arial Narrow" w:cs="Arial"/>
                <w:sz w:val="20"/>
                <w:szCs w:val="20"/>
              </w:rPr>
              <w:fldChar w:fldCharType="begin">
                <w:ffData>
                  <w:name w:val=""/>
                  <w:enabled/>
                  <w:calcOnExit w:val="0"/>
                  <w:checkBox>
                    <w:sizeAuto/>
                    <w:default w:val="0"/>
                  </w:checkBox>
                </w:ffData>
              </w:fldChar>
            </w:r>
            <w:r w:rsidRPr="00F33674">
              <w:rPr>
                <w:rFonts w:ascii="Arial Narrow" w:hAnsi="Arial Narrow" w:cs="Arial"/>
                <w:sz w:val="20"/>
                <w:szCs w:val="20"/>
              </w:rPr>
              <w:instrText xml:space="preserve"> FORMCHECKBOX </w:instrText>
            </w:r>
            <w:r w:rsidR="00233D13">
              <w:rPr>
                <w:rFonts w:ascii="Arial Narrow" w:hAnsi="Arial Narrow" w:cs="Arial"/>
                <w:sz w:val="20"/>
                <w:szCs w:val="20"/>
              </w:rPr>
            </w:r>
            <w:r w:rsidR="00233D13">
              <w:rPr>
                <w:rFonts w:ascii="Arial Narrow" w:hAnsi="Arial Narrow" w:cs="Arial"/>
                <w:sz w:val="20"/>
                <w:szCs w:val="20"/>
              </w:rPr>
              <w:fldChar w:fldCharType="separate"/>
            </w:r>
            <w:r w:rsidRPr="00F33674">
              <w:rPr>
                <w:rFonts w:ascii="Arial Narrow" w:hAnsi="Arial Narrow" w:cs="Arial"/>
                <w:sz w:val="20"/>
                <w:szCs w:val="20"/>
              </w:rPr>
              <w:fldChar w:fldCharType="end"/>
            </w:r>
            <w:r w:rsidRPr="00F33674">
              <w:rPr>
                <w:rFonts w:ascii="Arial Narrow" w:hAnsi="Arial Narrow" w:cs="Arial"/>
                <w:sz w:val="20"/>
                <w:szCs w:val="20"/>
              </w:rPr>
              <w:t>Authority Required – In Writing</w:t>
            </w:r>
          </w:p>
          <w:p w14:paraId="2D779FFE" w14:textId="77777777" w:rsidR="00265869" w:rsidRPr="00F33674" w:rsidRDefault="00265869" w:rsidP="00265869">
            <w:pPr>
              <w:rPr>
                <w:rFonts w:ascii="Arial Narrow" w:hAnsi="Arial Narrow" w:cs="Arial"/>
                <w:sz w:val="20"/>
                <w:szCs w:val="20"/>
              </w:rPr>
            </w:pPr>
            <w:r w:rsidRPr="00F33674">
              <w:rPr>
                <w:rFonts w:ascii="Arial Narrow" w:hAnsi="Arial Narrow" w:cs="Arial"/>
                <w:sz w:val="20"/>
                <w:szCs w:val="20"/>
              </w:rPr>
              <w:fldChar w:fldCharType="begin">
                <w:ffData>
                  <w:name w:val="Check3"/>
                  <w:enabled/>
                  <w:calcOnExit w:val="0"/>
                  <w:checkBox>
                    <w:sizeAuto/>
                    <w:default w:val="0"/>
                  </w:checkBox>
                </w:ffData>
              </w:fldChar>
            </w:r>
            <w:r w:rsidRPr="00F33674">
              <w:rPr>
                <w:rFonts w:ascii="Arial Narrow" w:hAnsi="Arial Narrow" w:cs="Arial"/>
                <w:sz w:val="20"/>
                <w:szCs w:val="20"/>
              </w:rPr>
              <w:instrText xml:space="preserve"> FORMCHECKBOX </w:instrText>
            </w:r>
            <w:r w:rsidR="00233D13">
              <w:rPr>
                <w:rFonts w:ascii="Arial Narrow" w:hAnsi="Arial Narrow" w:cs="Arial"/>
                <w:sz w:val="20"/>
                <w:szCs w:val="20"/>
              </w:rPr>
            </w:r>
            <w:r w:rsidR="00233D13">
              <w:rPr>
                <w:rFonts w:ascii="Arial Narrow" w:hAnsi="Arial Narrow" w:cs="Arial"/>
                <w:sz w:val="20"/>
                <w:szCs w:val="20"/>
              </w:rPr>
              <w:fldChar w:fldCharType="separate"/>
            </w:r>
            <w:r w:rsidRPr="00F33674">
              <w:rPr>
                <w:rFonts w:ascii="Arial Narrow" w:hAnsi="Arial Narrow" w:cs="Arial"/>
                <w:sz w:val="20"/>
                <w:szCs w:val="20"/>
              </w:rPr>
              <w:fldChar w:fldCharType="end"/>
            </w:r>
            <w:r w:rsidRPr="00F33674">
              <w:rPr>
                <w:rFonts w:ascii="Arial Narrow" w:hAnsi="Arial Narrow" w:cs="Arial"/>
                <w:sz w:val="20"/>
                <w:szCs w:val="20"/>
              </w:rPr>
              <w:t>Authority Required – Telephone/Electronic/Emergency</w:t>
            </w:r>
          </w:p>
          <w:p w14:paraId="61418E3E" w14:textId="77777777" w:rsidR="00265869" w:rsidRPr="00F33674" w:rsidRDefault="00265869" w:rsidP="00265869">
            <w:pPr>
              <w:rPr>
                <w:rFonts w:ascii="Arial Narrow" w:hAnsi="Arial Narrow" w:cs="Arial"/>
                <w:sz w:val="20"/>
                <w:szCs w:val="20"/>
              </w:rPr>
            </w:pPr>
            <w:r w:rsidRPr="00F33674">
              <w:rPr>
                <w:rFonts w:ascii="Arial Narrow" w:hAnsi="Arial Narrow" w:cs="Arial"/>
                <w:sz w:val="20"/>
                <w:szCs w:val="20"/>
              </w:rPr>
              <w:fldChar w:fldCharType="begin">
                <w:ffData>
                  <w:name w:val="Check5"/>
                  <w:enabled/>
                  <w:calcOnExit w:val="0"/>
                  <w:checkBox>
                    <w:sizeAuto/>
                    <w:default w:val="1"/>
                  </w:checkBox>
                </w:ffData>
              </w:fldChar>
            </w:r>
            <w:r w:rsidRPr="00F33674">
              <w:rPr>
                <w:rFonts w:ascii="Arial Narrow" w:hAnsi="Arial Narrow" w:cs="Arial"/>
                <w:sz w:val="20"/>
                <w:szCs w:val="20"/>
              </w:rPr>
              <w:instrText xml:space="preserve"> FORMCHECKBOX </w:instrText>
            </w:r>
            <w:r w:rsidR="00233D13">
              <w:rPr>
                <w:rFonts w:ascii="Arial Narrow" w:hAnsi="Arial Narrow" w:cs="Arial"/>
                <w:sz w:val="20"/>
                <w:szCs w:val="20"/>
              </w:rPr>
            </w:r>
            <w:r w:rsidR="00233D13">
              <w:rPr>
                <w:rFonts w:ascii="Arial Narrow" w:hAnsi="Arial Narrow" w:cs="Arial"/>
                <w:sz w:val="20"/>
                <w:szCs w:val="20"/>
              </w:rPr>
              <w:fldChar w:fldCharType="separate"/>
            </w:r>
            <w:r w:rsidRPr="00F33674">
              <w:rPr>
                <w:rFonts w:ascii="Arial Narrow" w:hAnsi="Arial Narrow" w:cs="Arial"/>
                <w:sz w:val="20"/>
                <w:szCs w:val="20"/>
              </w:rPr>
              <w:fldChar w:fldCharType="end"/>
            </w:r>
            <w:r w:rsidRPr="00F33674">
              <w:rPr>
                <w:rFonts w:ascii="Arial Narrow" w:hAnsi="Arial Narrow" w:cs="Arial"/>
                <w:sz w:val="20"/>
                <w:szCs w:val="20"/>
              </w:rPr>
              <w:t>Streamlined</w:t>
            </w:r>
          </w:p>
        </w:tc>
      </w:tr>
      <w:tr w:rsidR="00265869" w:rsidRPr="00F33674" w14:paraId="32DEB259" w14:textId="77777777" w:rsidTr="00C21DFA">
        <w:trPr>
          <w:cantSplit/>
          <w:trHeight w:val="360"/>
        </w:trPr>
        <w:tc>
          <w:tcPr>
            <w:tcW w:w="3183" w:type="dxa"/>
            <w:tcBorders>
              <w:top w:val="single" w:sz="4" w:space="0" w:color="auto"/>
              <w:left w:val="single" w:sz="4" w:space="0" w:color="auto"/>
              <w:bottom w:val="single" w:sz="4" w:space="0" w:color="auto"/>
              <w:right w:val="single" w:sz="4" w:space="0" w:color="auto"/>
            </w:tcBorders>
          </w:tcPr>
          <w:p w14:paraId="6F8476B0" w14:textId="77777777" w:rsidR="00265869" w:rsidRPr="00F33674" w:rsidRDefault="00265869" w:rsidP="00265869">
            <w:pPr>
              <w:rPr>
                <w:rFonts w:ascii="Arial Narrow" w:hAnsi="Arial Narrow" w:cs="Arial"/>
                <w:b/>
                <w:sz w:val="20"/>
                <w:szCs w:val="20"/>
              </w:rPr>
            </w:pPr>
            <w:r>
              <w:rPr>
                <w:rFonts w:ascii="Arial Narrow" w:hAnsi="Arial Narrow" w:cs="Arial"/>
                <w:b/>
                <w:sz w:val="20"/>
                <w:szCs w:val="20"/>
              </w:rPr>
              <w:t>Treatment phase:</w:t>
            </w:r>
          </w:p>
        </w:tc>
        <w:tc>
          <w:tcPr>
            <w:tcW w:w="6031" w:type="dxa"/>
            <w:tcBorders>
              <w:top w:val="single" w:sz="4" w:space="0" w:color="auto"/>
              <w:left w:val="single" w:sz="4" w:space="0" w:color="auto"/>
              <w:bottom w:val="single" w:sz="4" w:space="0" w:color="auto"/>
              <w:right w:val="single" w:sz="4" w:space="0" w:color="auto"/>
            </w:tcBorders>
          </w:tcPr>
          <w:p w14:paraId="47CA31A0" w14:textId="77777777" w:rsidR="00265869" w:rsidRPr="00F33674" w:rsidRDefault="00265869" w:rsidP="00265869">
            <w:pPr>
              <w:jc w:val="left"/>
              <w:rPr>
                <w:rFonts w:ascii="Arial Narrow" w:hAnsi="Arial Narrow" w:cs="Arial"/>
                <w:sz w:val="20"/>
                <w:szCs w:val="20"/>
              </w:rPr>
            </w:pPr>
            <w:r w:rsidRPr="004811F3">
              <w:rPr>
                <w:rFonts w:ascii="Arial Narrow" w:hAnsi="Arial Narrow" w:cs="Arial"/>
                <w:sz w:val="20"/>
                <w:szCs w:val="20"/>
              </w:rPr>
              <w:t xml:space="preserve">Initial PBS treatment after 1 June 2020 where patient </w:t>
            </w:r>
            <w:proofErr w:type="gramStart"/>
            <w:r w:rsidRPr="004811F3">
              <w:rPr>
                <w:rFonts w:ascii="Arial Narrow" w:hAnsi="Arial Narrow" w:cs="Arial"/>
                <w:sz w:val="20"/>
                <w:szCs w:val="20"/>
              </w:rPr>
              <w:t>has been treated</w:t>
            </w:r>
            <w:proofErr w:type="gramEnd"/>
            <w:r w:rsidRPr="004811F3">
              <w:rPr>
                <w:rFonts w:ascii="Arial Narrow" w:hAnsi="Arial Narrow" w:cs="Arial"/>
                <w:sz w:val="20"/>
                <w:szCs w:val="20"/>
              </w:rPr>
              <w:t xml:space="preserve"> with opioids for </w:t>
            </w:r>
            <w:r>
              <w:rPr>
                <w:rFonts w:ascii="Arial Narrow" w:hAnsi="Arial Narrow" w:cs="Arial"/>
                <w:sz w:val="20"/>
                <w:szCs w:val="20"/>
              </w:rPr>
              <w:t>more</w:t>
            </w:r>
            <w:r w:rsidRPr="004811F3">
              <w:rPr>
                <w:rFonts w:ascii="Arial Narrow" w:hAnsi="Arial Narrow" w:cs="Arial"/>
                <w:sz w:val="20"/>
                <w:szCs w:val="20"/>
              </w:rPr>
              <w:t xml:space="preserve"> than 12 months</w:t>
            </w:r>
            <w:r>
              <w:rPr>
                <w:rFonts w:ascii="Arial Narrow" w:hAnsi="Arial Narrow" w:cs="Arial"/>
                <w:sz w:val="20"/>
                <w:szCs w:val="20"/>
              </w:rPr>
              <w:t>.</w:t>
            </w:r>
          </w:p>
        </w:tc>
      </w:tr>
      <w:tr w:rsidR="00265869" w:rsidRPr="00F33674" w14:paraId="0B0E3615" w14:textId="77777777" w:rsidTr="00C21DFA">
        <w:trPr>
          <w:cantSplit/>
          <w:trHeight w:val="360"/>
        </w:trPr>
        <w:tc>
          <w:tcPr>
            <w:tcW w:w="3183" w:type="dxa"/>
            <w:tcBorders>
              <w:top w:val="single" w:sz="4" w:space="0" w:color="auto"/>
              <w:left w:val="single" w:sz="4" w:space="0" w:color="auto"/>
              <w:bottom w:val="single" w:sz="4" w:space="0" w:color="auto"/>
              <w:right w:val="single" w:sz="4" w:space="0" w:color="auto"/>
            </w:tcBorders>
          </w:tcPr>
          <w:p w14:paraId="246CD767" w14:textId="77777777" w:rsidR="00265869" w:rsidRPr="00F33674" w:rsidRDefault="00265869" w:rsidP="00265869">
            <w:pPr>
              <w:rPr>
                <w:rFonts w:ascii="Arial Narrow" w:hAnsi="Arial Narrow" w:cs="Arial"/>
                <w:b/>
                <w:sz w:val="20"/>
                <w:szCs w:val="20"/>
              </w:rPr>
            </w:pPr>
            <w:r w:rsidRPr="00F33674">
              <w:rPr>
                <w:rFonts w:ascii="Arial Narrow" w:hAnsi="Arial Narrow" w:cs="Arial"/>
                <w:b/>
                <w:sz w:val="20"/>
                <w:szCs w:val="20"/>
              </w:rPr>
              <w:lastRenderedPageBreak/>
              <w:t>Clinical criteria:</w:t>
            </w:r>
          </w:p>
        </w:tc>
        <w:tc>
          <w:tcPr>
            <w:tcW w:w="6031" w:type="dxa"/>
            <w:tcBorders>
              <w:top w:val="single" w:sz="4" w:space="0" w:color="auto"/>
              <w:left w:val="single" w:sz="4" w:space="0" w:color="auto"/>
              <w:bottom w:val="single" w:sz="4" w:space="0" w:color="auto"/>
              <w:right w:val="single" w:sz="4" w:space="0" w:color="auto"/>
            </w:tcBorders>
          </w:tcPr>
          <w:p w14:paraId="7E904070" w14:textId="77777777" w:rsidR="00265869" w:rsidRPr="00F33674" w:rsidRDefault="00265869" w:rsidP="00265869">
            <w:pPr>
              <w:jc w:val="left"/>
              <w:rPr>
                <w:rFonts w:ascii="Arial Narrow" w:hAnsi="Arial Narrow" w:cs="Arial"/>
                <w:sz w:val="20"/>
                <w:szCs w:val="20"/>
              </w:rPr>
            </w:pPr>
            <w:r w:rsidRPr="00F33674">
              <w:rPr>
                <w:rFonts w:ascii="Arial Narrow" w:hAnsi="Arial Narrow" w:cs="Arial"/>
                <w:sz w:val="20"/>
                <w:szCs w:val="20"/>
              </w:rPr>
              <w:t>[new] The condition must require daily, continuous, long term treatment</w:t>
            </w:r>
          </w:p>
          <w:p w14:paraId="7F050776" w14:textId="77777777" w:rsidR="00265869" w:rsidRPr="00F33674" w:rsidRDefault="00265869" w:rsidP="00265869">
            <w:pPr>
              <w:jc w:val="left"/>
              <w:rPr>
                <w:rFonts w:ascii="Arial Narrow" w:hAnsi="Arial Narrow" w:cs="Arial"/>
                <w:sz w:val="20"/>
                <w:szCs w:val="20"/>
              </w:rPr>
            </w:pPr>
          </w:p>
          <w:p w14:paraId="7EFC46F4" w14:textId="77777777" w:rsidR="00265869" w:rsidRPr="00F33674" w:rsidRDefault="00265869" w:rsidP="00265869">
            <w:pPr>
              <w:jc w:val="left"/>
              <w:rPr>
                <w:rFonts w:ascii="Arial Narrow" w:hAnsi="Arial Narrow" w:cs="Arial"/>
                <w:sz w:val="20"/>
                <w:szCs w:val="20"/>
              </w:rPr>
            </w:pPr>
            <w:r w:rsidRPr="00F33674">
              <w:rPr>
                <w:rFonts w:ascii="Arial Narrow" w:hAnsi="Arial Narrow" w:cs="Arial"/>
                <w:sz w:val="20"/>
                <w:szCs w:val="20"/>
              </w:rPr>
              <w:t>AND</w:t>
            </w:r>
          </w:p>
          <w:p w14:paraId="2F3B000B" w14:textId="77777777" w:rsidR="00265869" w:rsidRPr="00F33674" w:rsidRDefault="00265869" w:rsidP="00265869">
            <w:pPr>
              <w:jc w:val="left"/>
              <w:rPr>
                <w:rFonts w:ascii="Arial Narrow" w:hAnsi="Arial Narrow" w:cs="Arial"/>
                <w:sz w:val="20"/>
                <w:szCs w:val="20"/>
              </w:rPr>
            </w:pPr>
          </w:p>
          <w:p w14:paraId="057D7426" w14:textId="77777777" w:rsidR="00265869" w:rsidRPr="00F33674" w:rsidRDefault="00265869" w:rsidP="00265869">
            <w:pPr>
              <w:jc w:val="left"/>
              <w:rPr>
                <w:rFonts w:ascii="Arial Narrow" w:hAnsi="Arial Narrow" w:cs="Arial"/>
                <w:sz w:val="20"/>
                <w:szCs w:val="20"/>
              </w:rPr>
            </w:pPr>
            <w:r w:rsidRPr="00F33674">
              <w:rPr>
                <w:rFonts w:ascii="Arial Narrow" w:hAnsi="Arial Narrow" w:cs="Arial"/>
                <w:sz w:val="20"/>
                <w:szCs w:val="20"/>
              </w:rPr>
              <w:t>[new] Patient must not be opioid naïve</w:t>
            </w:r>
          </w:p>
          <w:p w14:paraId="38DD9A97" w14:textId="77777777" w:rsidR="00265869" w:rsidRPr="00F33674" w:rsidRDefault="00265869" w:rsidP="00265869">
            <w:pPr>
              <w:jc w:val="left"/>
              <w:rPr>
                <w:rFonts w:ascii="Arial Narrow" w:hAnsi="Arial Narrow" w:cs="Arial"/>
                <w:sz w:val="20"/>
                <w:szCs w:val="20"/>
              </w:rPr>
            </w:pPr>
          </w:p>
          <w:p w14:paraId="288062F5" w14:textId="77777777" w:rsidR="00265869" w:rsidRPr="00F33674" w:rsidRDefault="00265869" w:rsidP="00265869">
            <w:pPr>
              <w:jc w:val="left"/>
              <w:rPr>
                <w:rFonts w:ascii="Arial Narrow" w:hAnsi="Arial Narrow" w:cs="Arial"/>
                <w:sz w:val="20"/>
                <w:szCs w:val="20"/>
              </w:rPr>
            </w:pPr>
            <w:r w:rsidRPr="00F33674">
              <w:rPr>
                <w:rFonts w:ascii="Arial Narrow" w:hAnsi="Arial Narrow" w:cs="Arial"/>
                <w:sz w:val="20"/>
                <w:szCs w:val="20"/>
              </w:rPr>
              <w:t>AND</w:t>
            </w:r>
          </w:p>
          <w:p w14:paraId="60610B26" w14:textId="77777777" w:rsidR="00265869" w:rsidRPr="00F33674" w:rsidRDefault="00265869" w:rsidP="00265869">
            <w:pPr>
              <w:jc w:val="left"/>
              <w:rPr>
                <w:rFonts w:ascii="Arial Narrow" w:hAnsi="Arial Narrow" w:cs="Arial"/>
                <w:sz w:val="20"/>
                <w:szCs w:val="20"/>
              </w:rPr>
            </w:pPr>
          </w:p>
          <w:p w14:paraId="05F588D9" w14:textId="77777777" w:rsidR="00265869" w:rsidRPr="00F33674" w:rsidRDefault="00265869" w:rsidP="00265869">
            <w:pPr>
              <w:jc w:val="left"/>
              <w:rPr>
                <w:rFonts w:ascii="Arial Narrow" w:hAnsi="Arial Narrow" w:cs="Arial"/>
                <w:sz w:val="20"/>
                <w:szCs w:val="20"/>
              </w:rPr>
            </w:pPr>
            <w:r w:rsidRPr="00F33674">
              <w:rPr>
                <w:rFonts w:ascii="Arial Narrow" w:hAnsi="Arial Narrow" w:cs="Arial"/>
                <w:sz w:val="20"/>
                <w:szCs w:val="20"/>
              </w:rPr>
              <w:t xml:space="preserve">[18096] Patient must have </w:t>
            </w:r>
            <w:r>
              <w:rPr>
                <w:rFonts w:ascii="Arial Narrow" w:hAnsi="Arial Narrow" w:cs="Arial"/>
                <w:sz w:val="20"/>
                <w:szCs w:val="20"/>
              </w:rPr>
              <w:t>cancer pain</w:t>
            </w:r>
          </w:p>
          <w:p w14:paraId="378FB0B8" w14:textId="77777777" w:rsidR="00265869" w:rsidRPr="00F33674" w:rsidRDefault="00265869" w:rsidP="00265869">
            <w:pPr>
              <w:jc w:val="left"/>
              <w:rPr>
                <w:rFonts w:ascii="Arial Narrow" w:hAnsi="Arial Narrow" w:cs="Arial"/>
                <w:sz w:val="20"/>
                <w:szCs w:val="20"/>
              </w:rPr>
            </w:pPr>
            <w:r w:rsidRPr="00F33674">
              <w:rPr>
                <w:rFonts w:ascii="Arial Narrow" w:hAnsi="Arial Narrow" w:cs="Arial"/>
                <w:sz w:val="20"/>
                <w:szCs w:val="20"/>
              </w:rPr>
              <w:t>OR</w:t>
            </w:r>
          </w:p>
          <w:p w14:paraId="1E7B4C0D" w14:textId="77777777" w:rsidR="00265869" w:rsidRPr="00F33674" w:rsidRDefault="00265869" w:rsidP="00265869">
            <w:pPr>
              <w:jc w:val="left"/>
              <w:rPr>
                <w:rFonts w:ascii="Arial Narrow" w:hAnsi="Arial Narrow" w:cs="Arial"/>
                <w:sz w:val="20"/>
                <w:szCs w:val="20"/>
              </w:rPr>
            </w:pPr>
            <w:r w:rsidRPr="00F33674">
              <w:rPr>
                <w:rFonts w:ascii="Arial Narrow" w:hAnsi="Arial Narrow" w:cs="Arial"/>
                <w:sz w:val="20"/>
                <w:szCs w:val="20"/>
              </w:rPr>
              <w:t xml:space="preserve">[new] Patient must have </w:t>
            </w:r>
            <w:r>
              <w:rPr>
                <w:rFonts w:ascii="Arial Narrow" w:hAnsi="Arial Narrow" w:cs="Arial"/>
                <w:sz w:val="20"/>
                <w:szCs w:val="20"/>
              </w:rPr>
              <w:t>had or would have</w:t>
            </w:r>
            <w:r w:rsidRPr="00F33674">
              <w:rPr>
                <w:rFonts w:ascii="Arial Narrow" w:hAnsi="Arial Narrow" w:cs="Arial"/>
                <w:sz w:val="20"/>
                <w:szCs w:val="20"/>
              </w:rPr>
              <w:t xml:space="preserve"> </w:t>
            </w:r>
            <w:r>
              <w:rPr>
                <w:rFonts w:ascii="Arial Narrow" w:hAnsi="Arial Narrow" w:cs="Arial"/>
                <w:sz w:val="20"/>
                <w:szCs w:val="20"/>
              </w:rPr>
              <w:t>inadequate pain management</w:t>
            </w:r>
            <w:r w:rsidRPr="00F33674">
              <w:rPr>
                <w:rFonts w:ascii="Arial Narrow" w:hAnsi="Arial Narrow" w:cs="Arial"/>
                <w:sz w:val="20"/>
                <w:szCs w:val="20"/>
              </w:rPr>
              <w:t xml:space="preserve"> </w:t>
            </w:r>
            <w:r>
              <w:rPr>
                <w:rFonts w:ascii="Arial Narrow" w:hAnsi="Arial Narrow" w:cs="Arial"/>
                <w:sz w:val="20"/>
                <w:szCs w:val="20"/>
              </w:rPr>
              <w:t>with</w:t>
            </w:r>
            <w:r w:rsidRPr="00F33674">
              <w:rPr>
                <w:rFonts w:ascii="Arial Narrow" w:hAnsi="Arial Narrow" w:cs="Arial"/>
                <w:sz w:val="20"/>
                <w:szCs w:val="20"/>
              </w:rPr>
              <w:t xml:space="preserve"> tolerated doses of non-opioid and other opioid analgesics</w:t>
            </w:r>
          </w:p>
          <w:p w14:paraId="7B2153F4" w14:textId="77777777" w:rsidR="00265869" w:rsidRPr="00F33674" w:rsidRDefault="00265869" w:rsidP="00265869">
            <w:pPr>
              <w:jc w:val="left"/>
              <w:rPr>
                <w:rFonts w:ascii="Arial Narrow" w:hAnsi="Arial Narrow" w:cs="Arial"/>
                <w:sz w:val="20"/>
                <w:szCs w:val="20"/>
              </w:rPr>
            </w:pPr>
            <w:r w:rsidRPr="00F33674">
              <w:rPr>
                <w:rFonts w:ascii="Arial Narrow" w:hAnsi="Arial Narrow" w:cs="Arial"/>
                <w:sz w:val="20"/>
                <w:szCs w:val="20"/>
              </w:rPr>
              <w:t>OR</w:t>
            </w:r>
          </w:p>
          <w:p w14:paraId="489EB18C" w14:textId="77777777" w:rsidR="00265869" w:rsidRPr="00F33674" w:rsidRDefault="00265869" w:rsidP="00265869">
            <w:pPr>
              <w:jc w:val="left"/>
              <w:rPr>
                <w:rFonts w:ascii="Arial Narrow" w:hAnsi="Arial Narrow" w:cs="Arial"/>
                <w:sz w:val="20"/>
                <w:szCs w:val="20"/>
              </w:rPr>
            </w:pPr>
            <w:r w:rsidRPr="00F33674">
              <w:rPr>
                <w:rFonts w:ascii="Arial Narrow" w:hAnsi="Arial Narrow" w:cs="Arial"/>
                <w:sz w:val="20"/>
                <w:szCs w:val="20"/>
              </w:rPr>
              <w:t>[new] Patient must be unable to use non-opioid and other opioid analgesics due to contraindications or intolerance.</w:t>
            </w:r>
          </w:p>
        </w:tc>
      </w:tr>
      <w:tr w:rsidR="00265869" w:rsidRPr="00F33674" w14:paraId="6D4297EC" w14:textId="77777777" w:rsidTr="00C21DFA">
        <w:trPr>
          <w:cantSplit/>
          <w:trHeight w:val="360"/>
        </w:trPr>
        <w:tc>
          <w:tcPr>
            <w:tcW w:w="3183" w:type="dxa"/>
            <w:tcBorders>
              <w:top w:val="single" w:sz="4" w:space="0" w:color="auto"/>
              <w:left w:val="single" w:sz="4" w:space="0" w:color="auto"/>
              <w:bottom w:val="single" w:sz="4" w:space="0" w:color="auto"/>
              <w:right w:val="single" w:sz="4" w:space="0" w:color="auto"/>
            </w:tcBorders>
          </w:tcPr>
          <w:p w14:paraId="3B3D7E86" w14:textId="77777777" w:rsidR="00265869" w:rsidRPr="00F33674" w:rsidRDefault="00265869" w:rsidP="00265869">
            <w:pPr>
              <w:rPr>
                <w:rFonts w:ascii="Arial Narrow" w:hAnsi="Arial Narrow" w:cs="Arial"/>
                <w:b/>
                <w:sz w:val="20"/>
                <w:szCs w:val="20"/>
              </w:rPr>
            </w:pPr>
            <w:r w:rsidRPr="00F33674">
              <w:rPr>
                <w:rFonts w:ascii="Arial Narrow" w:hAnsi="Arial Narrow" w:cs="Arial"/>
                <w:b/>
                <w:sz w:val="20"/>
                <w:szCs w:val="20"/>
              </w:rPr>
              <w:t>Prescriber instruction:</w:t>
            </w:r>
          </w:p>
        </w:tc>
        <w:tc>
          <w:tcPr>
            <w:tcW w:w="6031" w:type="dxa"/>
            <w:tcBorders>
              <w:top w:val="single" w:sz="4" w:space="0" w:color="auto"/>
              <w:left w:val="single" w:sz="4" w:space="0" w:color="auto"/>
              <w:bottom w:val="single" w:sz="4" w:space="0" w:color="auto"/>
              <w:right w:val="single" w:sz="4" w:space="0" w:color="auto"/>
            </w:tcBorders>
          </w:tcPr>
          <w:p w14:paraId="412BABAD" w14:textId="77777777" w:rsidR="00265869" w:rsidRPr="00744FB8" w:rsidRDefault="00265869" w:rsidP="00265869">
            <w:pPr>
              <w:jc w:val="left"/>
              <w:rPr>
                <w:rFonts w:ascii="Arial Narrow" w:hAnsi="Arial Narrow" w:cs="Arial"/>
                <w:sz w:val="20"/>
                <w:szCs w:val="20"/>
              </w:rPr>
            </w:pPr>
            <w:r w:rsidRPr="00F33674">
              <w:rPr>
                <w:rFonts w:ascii="Arial Narrow" w:hAnsi="Arial Narrow" w:cs="Arial"/>
                <w:sz w:val="20"/>
                <w:szCs w:val="20"/>
              </w:rPr>
              <w:t xml:space="preserve">[new] </w:t>
            </w:r>
            <w:r w:rsidRPr="00744FB8">
              <w:rPr>
                <w:rFonts w:ascii="Arial Narrow" w:hAnsi="Arial Narrow" w:cs="Arial"/>
                <w:sz w:val="20"/>
                <w:szCs w:val="20"/>
              </w:rPr>
              <w:t>Authorities for increased maximum quantities and/or repeats must only be considered for chronic severe disabling pain where the total duration of non-PBS and PBS opioid analgesic treatment:</w:t>
            </w:r>
          </w:p>
          <w:p w14:paraId="4365F340" w14:textId="77777777" w:rsidR="00265869" w:rsidRPr="00744FB8" w:rsidRDefault="00265869" w:rsidP="00265869">
            <w:pPr>
              <w:jc w:val="left"/>
              <w:rPr>
                <w:rFonts w:ascii="Arial Narrow" w:hAnsi="Arial Narrow" w:cs="Arial"/>
                <w:sz w:val="20"/>
                <w:szCs w:val="20"/>
              </w:rPr>
            </w:pPr>
            <w:r w:rsidRPr="00744FB8">
              <w:rPr>
                <w:rFonts w:ascii="Arial Narrow" w:hAnsi="Arial Narrow" w:cs="Arial"/>
                <w:sz w:val="20"/>
                <w:szCs w:val="20"/>
              </w:rPr>
              <w:t>(i) exceeds 12 months and the palliative care patient is unable to have annual pain management review due to their clinical condition; or</w:t>
            </w:r>
          </w:p>
          <w:p w14:paraId="3931AB34" w14:textId="77777777" w:rsidR="00265869" w:rsidRPr="00744FB8" w:rsidRDefault="00265869" w:rsidP="00265869">
            <w:pPr>
              <w:jc w:val="left"/>
              <w:rPr>
                <w:rFonts w:ascii="Arial Narrow" w:hAnsi="Arial Narrow" w:cs="Arial"/>
                <w:sz w:val="20"/>
                <w:szCs w:val="20"/>
              </w:rPr>
            </w:pPr>
            <w:r w:rsidRPr="00744FB8">
              <w:rPr>
                <w:rFonts w:ascii="Arial Narrow" w:hAnsi="Arial Narrow" w:cs="Arial"/>
                <w:sz w:val="20"/>
                <w:szCs w:val="20"/>
              </w:rPr>
              <w:t>(ii) exceeds 12 months and the patient's clinical need for continuing opioid treatment has been confirmed through consultation with the patient by another medical practitioner or a palliative care nurse practitioner in the past 12 months; or</w:t>
            </w:r>
          </w:p>
          <w:p w14:paraId="4181B246" w14:textId="77777777" w:rsidR="00265869" w:rsidRPr="00F33674" w:rsidRDefault="00265869" w:rsidP="00265869">
            <w:pPr>
              <w:jc w:val="left"/>
              <w:rPr>
                <w:rFonts w:ascii="Arial Narrow" w:hAnsi="Arial Narrow" w:cs="Arial"/>
                <w:sz w:val="20"/>
                <w:szCs w:val="20"/>
              </w:rPr>
            </w:pPr>
            <w:r w:rsidRPr="00744FB8">
              <w:rPr>
                <w:rFonts w:ascii="Arial Narrow" w:hAnsi="Arial Narrow" w:cs="Arial"/>
                <w:sz w:val="20"/>
                <w:szCs w:val="20"/>
              </w:rPr>
              <w:t xml:space="preserve">(iii) </w:t>
            </w:r>
            <w:proofErr w:type="gramStart"/>
            <w:r w:rsidRPr="00744FB8">
              <w:rPr>
                <w:rFonts w:ascii="Arial Narrow" w:hAnsi="Arial Narrow" w:cs="Arial"/>
                <w:sz w:val="20"/>
                <w:szCs w:val="20"/>
              </w:rPr>
              <w:t>has</w:t>
            </w:r>
            <w:proofErr w:type="gramEnd"/>
            <w:r w:rsidRPr="00744FB8">
              <w:rPr>
                <w:rFonts w:ascii="Arial Narrow" w:hAnsi="Arial Narrow" w:cs="Arial"/>
                <w:sz w:val="20"/>
                <w:szCs w:val="20"/>
              </w:rPr>
              <w:t xml:space="preserve"> exceeded 12 months prior to 1 June 2020 and the patient's clinical need for continuing opioid treatment has not been confirmed through consultation with the patient by another medical practitioner or a palliative care nurse practitioner in the past 12 months, but is planned in the next 3 months.</w:t>
            </w:r>
          </w:p>
          <w:p w14:paraId="27A0ECBD" w14:textId="77777777" w:rsidR="00265869" w:rsidRPr="00F33674" w:rsidRDefault="00265869" w:rsidP="00265869">
            <w:pPr>
              <w:jc w:val="left"/>
              <w:rPr>
                <w:rFonts w:ascii="Arial Narrow" w:hAnsi="Arial Narrow" w:cs="Arial"/>
                <w:sz w:val="20"/>
                <w:szCs w:val="20"/>
              </w:rPr>
            </w:pPr>
          </w:p>
          <w:p w14:paraId="63A6E92C" w14:textId="77777777" w:rsidR="00265869" w:rsidRPr="00F33674" w:rsidRDefault="00265869" w:rsidP="00265869">
            <w:pPr>
              <w:jc w:val="left"/>
              <w:rPr>
                <w:rFonts w:ascii="Arial Narrow" w:hAnsi="Arial Narrow" w:cs="Arial"/>
                <w:sz w:val="20"/>
                <w:szCs w:val="20"/>
              </w:rPr>
            </w:pPr>
            <w:r w:rsidRPr="00F33674">
              <w:rPr>
                <w:rFonts w:ascii="Arial Narrow" w:hAnsi="Arial Narrow" w:cs="Arial"/>
                <w:sz w:val="20"/>
                <w:szCs w:val="20"/>
              </w:rPr>
              <w:t>[new] Authority requests extending treatment duration up to 1 month may be requested though the Online PBS Authorities system or by calling Services Australia.</w:t>
            </w:r>
          </w:p>
          <w:p w14:paraId="154C2703" w14:textId="77777777" w:rsidR="00265869" w:rsidRPr="00F33674" w:rsidRDefault="00265869" w:rsidP="00265869">
            <w:pPr>
              <w:jc w:val="left"/>
              <w:rPr>
                <w:rFonts w:ascii="Arial Narrow" w:hAnsi="Arial Narrow" w:cs="Arial"/>
                <w:sz w:val="20"/>
                <w:szCs w:val="20"/>
              </w:rPr>
            </w:pPr>
          </w:p>
          <w:p w14:paraId="25815264" w14:textId="77777777" w:rsidR="00265869" w:rsidRPr="00F33674" w:rsidRDefault="00265869" w:rsidP="00265869">
            <w:pPr>
              <w:jc w:val="left"/>
              <w:rPr>
                <w:rFonts w:ascii="Arial Narrow" w:hAnsi="Arial Narrow" w:cs="Arial"/>
                <w:sz w:val="20"/>
                <w:szCs w:val="20"/>
              </w:rPr>
            </w:pPr>
            <w:r w:rsidRPr="00F33674">
              <w:rPr>
                <w:rFonts w:ascii="Arial Narrow" w:hAnsi="Arial Narrow" w:cs="Arial"/>
                <w:sz w:val="20"/>
                <w:szCs w:val="20"/>
              </w:rPr>
              <w:t xml:space="preserve">Authority requests extending treatment duration beyond 1 month </w:t>
            </w:r>
            <w:r>
              <w:rPr>
                <w:rFonts w:ascii="Arial Narrow" w:hAnsi="Arial Narrow" w:cs="Arial"/>
                <w:sz w:val="20"/>
                <w:szCs w:val="20"/>
              </w:rPr>
              <w:t>may be requested through the Online PBS Authorities system</w:t>
            </w:r>
            <w:r w:rsidRPr="00F33674">
              <w:rPr>
                <w:rFonts w:ascii="Arial Narrow" w:hAnsi="Arial Narrow" w:cs="Arial"/>
                <w:sz w:val="20"/>
                <w:szCs w:val="20"/>
              </w:rPr>
              <w:t xml:space="preserve"> or in writing only and must not provide a treatment duration exceeding </w:t>
            </w:r>
            <w:r>
              <w:rPr>
                <w:rFonts w:ascii="Arial Narrow" w:hAnsi="Arial Narrow" w:cs="Arial"/>
                <w:sz w:val="20"/>
                <w:szCs w:val="20"/>
              </w:rPr>
              <w:t xml:space="preserve">3 months (quantity sufficient for up to </w:t>
            </w:r>
            <w:proofErr w:type="gramStart"/>
            <w:r>
              <w:rPr>
                <w:rFonts w:ascii="Arial Narrow" w:hAnsi="Arial Narrow" w:cs="Arial"/>
                <w:sz w:val="20"/>
                <w:szCs w:val="20"/>
              </w:rPr>
              <w:t>1 month</w:t>
            </w:r>
            <w:proofErr w:type="gramEnd"/>
            <w:r>
              <w:rPr>
                <w:rFonts w:ascii="Arial Narrow" w:hAnsi="Arial Narrow" w:cs="Arial"/>
                <w:sz w:val="20"/>
                <w:szCs w:val="20"/>
              </w:rPr>
              <w:t xml:space="preserve"> treatment and sufficient repeats).</w:t>
            </w:r>
          </w:p>
        </w:tc>
      </w:tr>
      <w:tr w:rsidR="00265869" w:rsidRPr="00F33674" w14:paraId="779F8408" w14:textId="77777777" w:rsidTr="00C21DFA">
        <w:trPr>
          <w:cantSplit/>
          <w:trHeight w:val="360"/>
        </w:trPr>
        <w:tc>
          <w:tcPr>
            <w:tcW w:w="3183" w:type="dxa"/>
            <w:tcBorders>
              <w:top w:val="single" w:sz="4" w:space="0" w:color="auto"/>
              <w:left w:val="single" w:sz="4" w:space="0" w:color="auto"/>
              <w:bottom w:val="single" w:sz="4" w:space="0" w:color="auto"/>
              <w:right w:val="single" w:sz="4" w:space="0" w:color="auto"/>
            </w:tcBorders>
          </w:tcPr>
          <w:p w14:paraId="2ECB3185" w14:textId="1DBF7807" w:rsidR="00265869" w:rsidRPr="00F33674" w:rsidRDefault="00265869" w:rsidP="00265869">
            <w:pPr>
              <w:rPr>
                <w:rFonts w:ascii="Arial Narrow" w:hAnsi="Arial Narrow" w:cs="Arial"/>
                <w:b/>
                <w:sz w:val="20"/>
                <w:szCs w:val="20"/>
              </w:rPr>
            </w:pPr>
            <w:r w:rsidRPr="00F33674">
              <w:rPr>
                <w:rFonts w:ascii="Arial Narrow" w:hAnsi="Arial Narrow" w:cs="Arial"/>
                <w:b/>
                <w:sz w:val="20"/>
                <w:szCs w:val="20"/>
              </w:rPr>
              <w:lastRenderedPageBreak/>
              <w:t>Administrative advice:</w:t>
            </w:r>
          </w:p>
        </w:tc>
        <w:tc>
          <w:tcPr>
            <w:tcW w:w="6031" w:type="dxa"/>
            <w:tcBorders>
              <w:top w:val="single" w:sz="4" w:space="0" w:color="auto"/>
              <w:left w:val="single" w:sz="4" w:space="0" w:color="auto"/>
              <w:bottom w:val="single" w:sz="4" w:space="0" w:color="auto"/>
              <w:right w:val="single" w:sz="4" w:space="0" w:color="auto"/>
            </w:tcBorders>
          </w:tcPr>
          <w:p w14:paraId="0E3FB54F" w14:textId="77777777" w:rsidR="00265869" w:rsidRPr="00F33674" w:rsidRDefault="00265869" w:rsidP="00265869">
            <w:pPr>
              <w:jc w:val="left"/>
              <w:rPr>
                <w:rFonts w:ascii="Arial Narrow" w:hAnsi="Arial Narrow"/>
                <w:sz w:val="20"/>
                <w:szCs w:val="20"/>
              </w:rPr>
            </w:pPr>
            <w:r w:rsidRPr="00F33674">
              <w:rPr>
                <w:rFonts w:ascii="Arial Narrow" w:hAnsi="Arial Narrow"/>
                <w:sz w:val="20"/>
                <w:szCs w:val="20"/>
              </w:rPr>
              <w:t xml:space="preserve">[13978] Fentanyl transdermal patches </w:t>
            </w:r>
            <w:proofErr w:type="gramStart"/>
            <w:r w:rsidRPr="00F33674">
              <w:rPr>
                <w:rFonts w:ascii="Arial Narrow" w:hAnsi="Arial Narrow"/>
                <w:sz w:val="20"/>
                <w:szCs w:val="20"/>
              </w:rPr>
              <w:t>are not recommended</w:t>
            </w:r>
            <w:proofErr w:type="gramEnd"/>
            <w:r w:rsidRPr="00F33674">
              <w:rPr>
                <w:rFonts w:ascii="Arial Narrow" w:hAnsi="Arial Narrow"/>
                <w:sz w:val="20"/>
                <w:szCs w:val="20"/>
              </w:rPr>
              <w:t xml:space="preserve"> in opioid naive patients with non-cancer pain because of a high incidence of adverse events in these patients. Patients with cancer pain </w:t>
            </w:r>
            <w:proofErr w:type="gramStart"/>
            <w:r w:rsidRPr="00F33674">
              <w:rPr>
                <w:rFonts w:ascii="Arial Narrow" w:hAnsi="Arial Narrow"/>
                <w:sz w:val="20"/>
                <w:szCs w:val="20"/>
              </w:rPr>
              <w:t>may be initiated</w:t>
            </w:r>
            <w:proofErr w:type="gramEnd"/>
            <w:r w:rsidRPr="00F33674">
              <w:rPr>
                <w:rFonts w:ascii="Arial Narrow" w:hAnsi="Arial Narrow"/>
                <w:sz w:val="20"/>
                <w:szCs w:val="20"/>
              </w:rPr>
              <w:t xml:space="preserve"> on the lowest strength patch (12 micrograms per hour).</w:t>
            </w:r>
          </w:p>
          <w:p w14:paraId="3D1B5FDC" w14:textId="77777777" w:rsidR="00265869" w:rsidRPr="00F33674" w:rsidRDefault="00265869" w:rsidP="00265869">
            <w:pPr>
              <w:jc w:val="left"/>
              <w:rPr>
                <w:rFonts w:ascii="Arial Narrow" w:hAnsi="Arial Narrow"/>
                <w:sz w:val="20"/>
                <w:szCs w:val="20"/>
              </w:rPr>
            </w:pPr>
          </w:p>
          <w:p w14:paraId="5E394254" w14:textId="77777777" w:rsidR="00265869" w:rsidRPr="00F33674" w:rsidRDefault="00265869" w:rsidP="00265869">
            <w:pPr>
              <w:jc w:val="left"/>
              <w:rPr>
                <w:rFonts w:ascii="Arial Narrow" w:hAnsi="Arial Narrow"/>
                <w:sz w:val="20"/>
                <w:szCs w:val="20"/>
              </w:rPr>
            </w:pPr>
            <w:r w:rsidRPr="00F33674">
              <w:rPr>
                <w:rFonts w:ascii="Arial Narrow" w:hAnsi="Arial Narrow"/>
                <w:sz w:val="20"/>
                <w:szCs w:val="20"/>
              </w:rPr>
              <w:t>[new] Consider consultation with a multidisciplinary pain service prior to, or after commencement of this medication.</w:t>
            </w:r>
          </w:p>
          <w:p w14:paraId="55B26E53" w14:textId="77777777" w:rsidR="00265869" w:rsidRPr="00F33674" w:rsidRDefault="00265869" w:rsidP="00265869">
            <w:pPr>
              <w:jc w:val="left"/>
              <w:rPr>
                <w:rFonts w:ascii="Arial Narrow" w:hAnsi="Arial Narrow"/>
                <w:sz w:val="20"/>
                <w:szCs w:val="20"/>
              </w:rPr>
            </w:pPr>
          </w:p>
          <w:p w14:paraId="393F4FE0" w14:textId="77777777" w:rsidR="00265869" w:rsidRPr="00F33674" w:rsidRDefault="00265869" w:rsidP="00265869">
            <w:pPr>
              <w:jc w:val="left"/>
              <w:rPr>
                <w:rFonts w:ascii="Arial Narrow" w:hAnsi="Arial Narrow" w:cs="Arial"/>
                <w:sz w:val="20"/>
                <w:szCs w:val="20"/>
              </w:rPr>
            </w:pPr>
            <w:r w:rsidRPr="00F33674">
              <w:rPr>
                <w:rFonts w:ascii="Arial Narrow" w:hAnsi="Arial Narrow" w:cs="Arial"/>
                <w:sz w:val="20"/>
                <w:szCs w:val="20"/>
              </w:rPr>
              <w:t>[new] This treatment is not suitable for ‘as-required’ pain relief.</w:t>
            </w:r>
          </w:p>
          <w:p w14:paraId="4CE82987" w14:textId="77777777" w:rsidR="00265869" w:rsidRPr="00F33674" w:rsidRDefault="00265869" w:rsidP="00265869">
            <w:pPr>
              <w:jc w:val="left"/>
              <w:rPr>
                <w:rFonts w:ascii="Arial Narrow" w:hAnsi="Arial Narrow"/>
                <w:sz w:val="20"/>
                <w:szCs w:val="20"/>
              </w:rPr>
            </w:pPr>
          </w:p>
          <w:p w14:paraId="018E0221" w14:textId="77777777" w:rsidR="00265869" w:rsidRPr="00F33674" w:rsidRDefault="00265869" w:rsidP="00265869">
            <w:pPr>
              <w:jc w:val="left"/>
              <w:rPr>
                <w:rFonts w:ascii="Arial Narrow" w:hAnsi="Arial Narrow" w:cs="Arial"/>
                <w:sz w:val="20"/>
                <w:szCs w:val="20"/>
              </w:rPr>
            </w:pPr>
            <w:r w:rsidRPr="00F33674">
              <w:rPr>
                <w:rFonts w:ascii="Arial Narrow" w:hAnsi="Arial Narrow" w:cs="Arial"/>
                <w:sz w:val="20"/>
                <w:szCs w:val="20"/>
              </w:rPr>
              <w:t>[13984] Pharmaceutical benefits that have the form fentanyl 100 microgram/hour patch are equivalent for the purposes of substitution.</w:t>
            </w:r>
          </w:p>
          <w:p w14:paraId="3FF4568C" w14:textId="77777777" w:rsidR="00265869" w:rsidRPr="00F33674" w:rsidRDefault="00265869" w:rsidP="00265869">
            <w:pPr>
              <w:jc w:val="left"/>
              <w:rPr>
                <w:rFonts w:ascii="Arial Narrow" w:hAnsi="Arial Narrow" w:cs="Arial"/>
                <w:sz w:val="20"/>
                <w:szCs w:val="20"/>
              </w:rPr>
            </w:pPr>
          </w:p>
          <w:p w14:paraId="1BA9194C" w14:textId="77777777" w:rsidR="00265869" w:rsidRPr="00F33674" w:rsidRDefault="00265869" w:rsidP="00265869">
            <w:pPr>
              <w:jc w:val="left"/>
              <w:rPr>
                <w:rFonts w:ascii="Arial Narrow" w:hAnsi="Arial Narrow" w:cs="Arial"/>
                <w:sz w:val="20"/>
                <w:szCs w:val="20"/>
              </w:rPr>
            </w:pPr>
            <w:r w:rsidRPr="00F33674">
              <w:rPr>
                <w:rFonts w:ascii="Arial Narrow" w:hAnsi="Arial Narrow" w:cs="Arial"/>
                <w:sz w:val="20"/>
                <w:szCs w:val="20"/>
              </w:rPr>
              <w:t xml:space="preserve">[7901] Shared Care Model: For prescribing by nurse practitioners where care of a patient </w:t>
            </w:r>
            <w:proofErr w:type="gramStart"/>
            <w:r w:rsidRPr="00F33674">
              <w:rPr>
                <w:rFonts w:ascii="Arial Narrow" w:hAnsi="Arial Narrow" w:cs="Arial"/>
                <w:sz w:val="20"/>
                <w:szCs w:val="20"/>
              </w:rPr>
              <w:t>is shared</w:t>
            </w:r>
            <w:proofErr w:type="gramEnd"/>
            <w:r w:rsidRPr="00F33674">
              <w:rPr>
                <w:rFonts w:ascii="Arial Narrow" w:hAnsi="Arial Narrow" w:cs="Arial"/>
                <w:sz w:val="20"/>
                <w:szCs w:val="20"/>
              </w:rPr>
              <w:t xml:space="preserve"> between a nurse practitioner and medical practitioner in a formalised arrangement with an agreed management plan. Further information </w:t>
            </w:r>
            <w:proofErr w:type="gramStart"/>
            <w:r w:rsidRPr="00F33674">
              <w:rPr>
                <w:rFonts w:ascii="Arial Narrow" w:hAnsi="Arial Narrow" w:cs="Arial"/>
                <w:sz w:val="20"/>
                <w:szCs w:val="20"/>
              </w:rPr>
              <w:t>can be found</w:t>
            </w:r>
            <w:proofErr w:type="gramEnd"/>
            <w:r w:rsidRPr="00F33674">
              <w:rPr>
                <w:rFonts w:ascii="Arial Narrow" w:hAnsi="Arial Narrow" w:cs="Arial"/>
                <w:sz w:val="20"/>
                <w:szCs w:val="20"/>
              </w:rPr>
              <w:t xml:space="preserve"> in the Explanatory Notes for Nurse Practitioners.</w:t>
            </w:r>
          </w:p>
          <w:p w14:paraId="413C2EC8" w14:textId="77777777" w:rsidR="00265869" w:rsidRPr="00F33674" w:rsidRDefault="00265869" w:rsidP="00265869">
            <w:pPr>
              <w:jc w:val="left"/>
              <w:rPr>
                <w:rFonts w:ascii="Arial Narrow" w:hAnsi="Arial Narrow" w:cs="Arial"/>
                <w:sz w:val="20"/>
                <w:szCs w:val="20"/>
              </w:rPr>
            </w:pPr>
          </w:p>
          <w:p w14:paraId="3CDB9502" w14:textId="77777777" w:rsidR="00265869" w:rsidRPr="00F33674" w:rsidRDefault="00265869" w:rsidP="00265869">
            <w:pPr>
              <w:jc w:val="left"/>
              <w:rPr>
                <w:rFonts w:ascii="Arial Narrow" w:hAnsi="Arial Narrow" w:cs="Arial"/>
                <w:sz w:val="20"/>
                <w:szCs w:val="20"/>
              </w:rPr>
            </w:pPr>
            <w:r w:rsidRPr="00F33674">
              <w:rPr>
                <w:rFonts w:ascii="Arial Narrow" w:hAnsi="Arial Narrow" w:cs="Arial"/>
                <w:sz w:val="20"/>
                <w:szCs w:val="20"/>
              </w:rPr>
              <w:t>[new] Real time online applications for increased maximum quantities/repeats may be made using the Online PBS Authorities system (see www.servicesaustralia.gov.au/organisations/health-professionals/services/medicare/hpos/services/request-authority-using-online-pbs-authorities-hpos)</w:t>
            </w:r>
          </w:p>
          <w:p w14:paraId="4EF04C36" w14:textId="77777777" w:rsidR="00265869" w:rsidRPr="00F33674" w:rsidRDefault="00265869" w:rsidP="00265869">
            <w:pPr>
              <w:jc w:val="left"/>
              <w:rPr>
                <w:rFonts w:ascii="Arial Narrow" w:hAnsi="Arial Narrow" w:cs="Arial"/>
                <w:sz w:val="20"/>
                <w:szCs w:val="20"/>
              </w:rPr>
            </w:pPr>
          </w:p>
          <w:p w14:paraId="73A88F54" w14:textId="77777777" w:rsidR="00265869" w:rsidRPr="00F33674" w:rsidRDefault="00265869" w:rsidP="00265869">
            <w:pPr>
              <w:jc w:val="left"/>
              <w:rPr>
                <w:rFonts w:ascii="Arial Narrow" w:hAnsi="Arial Narrow" w:cs="Arial"/>
                <w:sz w:val="20"/>
                <w:szCs w:val="20"/>
              </w:rPr>
            </w:pPr>
            <w:r w:rsidRPr="00F33674">
              <w:rPr>
                <w:rFonts w:ascii="Arial Narrow" w:hAnsi="Arial Narrow" w:cs="Arial"/>
                <w:sz w:val="20"/>
                <w:szCs w:val="20"/>
              </w:rPr>
              <w:t>Phone applications for increased maximum quantities/repeats may be made by calling 1800 888 333.</w:t>
            </w:r>
          </w:p>
          <w:p w14:paraId="248F6FF2" w14:textId="77777777" w:rsidR="00265869" w:rsidRPr="00F33674" w:rsidRDefault="00265869" w:rsidP="00265869">
            <w:pPr>
              <w:jc w:val="left"/>
              <w:rPr>
                <w:rFonts w:ascii="Arial Narrow" w:hAnsi="Arial Narrow" w:cs="Arial"/>
                <w:sz w:val="20"/>
                <w:szCs w:val="20"/>
              </w:rPr>
            </w:pPr>
          </w:p>
          <w:p w14:paraId="2DC65614" w14:textId="77777777" w:rsidR="00265869" w:rsidRPr="00F33674" w:rsidRDefault="00265869" w:rsidP="00265869">
            <w:pPr>
              <w:jc w:val="left"/>
              <w:rPr>
                <w:rFonts w:ascii="Arial Narrow" w:hAnsi="Arial Narrow" w:cs="Arial"/>
                <w:sz w:val="20"/>
                <w:szCs w:val="20"/>
              </w:rPr>
            </w:pPr>
            <w:r w:rsidRPr="00F33674">
              <w:rPr>
                <w:rFonts w:ascii="Arial Narrow" w:hAnsi="Arial Narrow" w:cs="Arial"/>
                <w:sz w:val="20"/>
                <w:szCs w:val="20"/>
              </w:rPr>
              <w:t>Written authority applications for increased maximum quantities/repeats can be uploaded online through HPOS form upload or mailed to:</w:t>
            </w:r>
          </w:p>
          <w:p w14:paraId="2CE11BD4" w14:textId="77777777" w:rsidR="00265869" w:rsidRPr="00F33674" w:rsidRDefault="00265869" w:rsidP="00265869">
            <w:pPr>
              <w:jc w:val="left"/>
              <w:rPr>
                <w:rFonts w:ascii="Arial Narrow" w:hAnsi="Arial Narrow" w:cs="Arial"/>
                <w:sz w:val="20"/>
                <w:szCs w:val="20"/>
              </w:rPr>
            </w:pPr>
            <w:r w:rsidRPr="00F33674">
              <w:rPr>
                <w:rFonts w:ascii="Arial Narrow" w:hAnsi="Arial Narrow" w:cs="Arial"/>
                <w:sz w:val="20"/>
                <w:szCs w:val="20"/>
              </w:rPr>
              <w:t>Pharmaceutical Benefits Scheme</w:t>
            </w:r>
          </w:p>
          <w:p w14:paraId="52F55055" w14:textId="77777777" w:rsidR="00265869" w:rsidRPr="00F33674" w:rsidRDefault="00265869" w:rsidP="00265869">
            <w:pPr>
              <w:jc w:val="left"/>
              <w:rPr>
                <w:rFonts w:ascii="Arial Narrow" w:hAnsi="Arial Narrow" w:cs="Arial"/>
                <w:sz w:val="20"/>
                <w:szCs w:val="20"/>
              </w:rPr>
            </w:pPr>
            <w:r w:rsidRPr="00F33674">
              <w:rPr>
                <w:rFonts w:ascii="Arial Narrow" w:hAnsi="Arial Narrow" w:cs="Arial"/>
                <w:sz w:val="20"/>
                <w:szCs w:val="20"/>
              </w:rPr>
              <w:t>Reply Paid 9857</w:t>
            </w:r>
          </w:p>
          <w:p w14:paraId="05931BD6" w14:textId="2817AF30" w:rsidR="00265869" w:rsidRPr="00F33674" w:rsidRDefault="00265869" w:rsidP="00265869">
            <w:pPr>
              <w:jc w:val="left"/>
              <w:rPr>
                <w:rFonts w:ascii="Arial Narrow" w:hAnsi="Arial Narrow" w:cs="Arial"/>
                <w:sz w:val="20"/>
                <w:szCs w:val="20"/>
              </w:rPr>
            </w:pPr>
            <w:r w:rsidRPr="00F33674">
              <w:rPr>
                <w:rFonts w:ascii="Arial Narrow" w:hAnsi="Arial Narrow" w:cs="Arial"/>
                <w:sz w:val="20"/>
                <w:szCs w:val="20"/>
              </w:rPr>
              <w:t>[Your capital city]</w:t>
            </w:r>
          </w:p>
        </w:tc>
      </w:tr>
      <w:tr w:rsidR="00265869" w:rsidRPr="00F33674" w14:paraId="72303274" w14:textId="77777777" w:rsidTr="00C21DFA">
        <w:trPr>
          <w:cantSplit/>
          <w:trHeight w:val="360"/>
        </w:trPr>
        <w:tc>
          <w:tcPr>
            <w:tcW w:w="3183" w:type="dxa"/>
            <w:tcBorders>
              <w:top w:val="single" w:sz="4" w:space="0" w:color="auto"/>
              <w:left w:val="single" w:sz="4" w:space="0" w:color="auto"/>
              <w:bottom w:val="single" w:sz="4" w:space="0" w:color="auto"/>
              <w:right w:val="single" w:sz="4" w:space="0" w:color="auto"/>
            </w:tcBorders>
          </w:tcPr>
          <w:p w14:paraId="3D992172" w14:textId="77777777" w:rsidR="00265869" w:rsidRPr="00F33674" w:rsidRDefault="00265869" w:rsidP="00265869">
            <w:pPr>
              <w:rPr>
                <w:rFonts w:ascii="Arial Narrow" w:hAnsi="Arial Narrow" w:cs="Arial"/>
                <w:b/>
                <w:sz w:val="20"/>
                <w:szCs w:val="20"/>
              </w:rPr>
            </w:pPr>
            <w:r w:rsidRPr="00F33674">
              <w:rPr>
                <w:rFonts w:ascii="Arial Narrow" w:hAnsi="Arial Narrow" w:cs="Arial"/>
                <w:b/>
                <w:sz w:val="20"/>
                <w:szCs w:val="20"/>
              </w:rPr>
              <w:t>Cautions:</w:t>
            </w:r>
          </w:p>
        </w:tc>
        <w:tc>
          <w:tcPr>
            <w:tcW w:w="6031" w:type="dxa"/>
            <w:tcBorders>
              <w:top w:val="single" w:sz="4" w:space="0" w:color="auto"/>
              <w:left w:val="single" w:sz="4" w:space="0" w:color="auto"/>
              <w:bottom w:val="single" w:sz="4" w:space="0" w:color="auto"/>
              <w:right w:val="single" w:sz="4" w:space="0" w:color="auto"/>
            </w:tcBorders>
          </w:tcPr>
          <w:p w14:paraId="36A4FAA4" w14:textId="77777777" w:rsidR="00265869" w:rsidRPr="00F33674" w:rsidRDefault="00265869" w:rsidP="00265869">
            <w:pPr>
              <w:jc w:val="left"/>
              <w:rPr>
                <w:rFonts w:ascii="Arial Narrow" w:hAnsi="Arial Narrow" w:cs="Arial"/>
                <w:sz w:val="20"/>
                <w:szCs w:val="20"/>
              </w:rPr>
            </w:pPr>
            <w:r w:rsidRPr="00F33674">
              <w:rPr>
                <w:rFonts w:ascii="Arial Narrow" w:hAnsi="Arial Narrow" w:cs="Arial"/>
                <w:sz w:val="20"/>
                <w:szCs w:val="20"/>
              </w:rPr>
              <w:t>[6986] The risk of drug dependence is high.</w:t>
            </w:r>
          </w:p>
        </w:tc>
      </w:tr>
    </w:tbl>
    <w:p w14:paraId="3E0C73EB" w14:textId="77777777" w:rsidR="00265869" w:rsidRDefault="00265869" w:rsidP="00265869">
      <w:pPr>
        <w:pStyle w:val="3-BodyText"/>
        <w:numPr>
          <w:ilvl w:val="0"/>
          <w:numId w:val="0"/>
        </w:numPr>
        <w:ind w:left="720" w:hanging="720"/>
      </w:pPr>
    </w:p>
    <w:tbl>
      <w:tblPr>
        <w:tblW w:w="9214" w:type="dxa"/>
        <w:tblInd w:w="-5" w:type="dxa"/>
        <w:tblLook w:val="0000" w:firstRow="0" w:lastRow="0" w:firstColumn="0" w:lastColumn="0" w:noHBand="0" w:noVBand="0"/>
      </w:tblPr>
      <w:tblGrid>
        <w:gridCol w:w="3183"/>
        <w:gridCol w:w="6031"/>
      </w:tblGrid>
      <w:tr w:rsidR="00265869" w:rsidRPr="00F33674" w14:paraId="61B1011B" w14:textId="77777777" w:rsidTr="00C21DFA">
        <w:trPr>
          <w:cantSplit/>
          <w:trHeight w:val="360"/>
        </w:trPr>
        <w:tc>
          <w:tcPr>
            <w:tcW w:w="3183" w:type="dxa"/>
            <w:tcBorders>
              <w:top w:val="single" w:sz="4" w:space="0" w:color="auto"/>
              <w:left w:val="single" w:sz="4" w:space="0" w:color="auto"/>
              <w:bottom w:val="single" w:sz="4" w:space="0" w:color="auto"/>
              <w:right w:val="single" w:sz="4" w:space="0" w:color="auto"/>
            </w:tcBorders>
          </w:tcPr>
          <w:p w14:paraId="7EC7C7DF" w14:textId="77777777" w:rsidR="00265869" w:rsidRPr="00F33674" w:rsidRDefault="00265869" w:rsidP="00265869">
            <w:pPr>
              <w:rPr>
                <w:rFonts w:ascii="Arial Narrow" w:hAnsi="Arial Narrow" w:cs="Arial"/>
                <w:b/>
                <w:sz w:val="20"/>
                <w:szCs w:val="20"/>
              </w:rPr>
            </w:pPr>
            <w:r w:rsidRPr="00F33674">
              <w:rPr>
                <w:rFonts w:ascii="Arial Narrow" w:hAnsi="Arial Narrow" w:cs="Arial"/>
                <w:b/>
                <w:sz w:val="20"/>
                <w:szCs w:val="20"/>
              </w:rPr>
              <w:t>Category / Program:</w:t>
            </w:r>
          </w:p>
        </w:tc>
        <w:tc>
          <w:tcPr>
            <w:tcW w:w="6031" w:type="dxa"/>
            <w:tcBorders>
              <w:top w:val="single" w:sz="4" w:space="0" w:color="auto"/>
              <w:left w:val="single" w:sz="4" w:space="0" w:color="auto"/>
              <w:bottom w:val="single" w:sz="4" w:space="0" w:color="auto"/>
              <w:right w:val="single" w:sz="4" w:space="0" w:color="auto"/>
            </w:tcBorders>
          </w:tcPr>
          <w:p w14:paraId="514BBD7B" w14:textId="77777777" w:rsidR="00265869" w:rsidRPr="00F33674" w:rsidRDefault="00265869" w:rsidP="00265869">
            <w:pPr>
              <w:rPr>
                <w:rFonts w:ascii="Arial Narrow" w:hAnsi="Arial Narrow" w:cs="Arial"/>
                <w:sz w:val="20"/>
                <w:szCs w:val="20"/>
              </w:rPr>
            </w:pPr>
            <w:r w:rsidRPr="00F33674">
              <w:rPr>
                <w:rFonts w:ascii="Arial Narrow" w:hAnsi="Arial Narrow" w:cs="Arial"/>
                <w:sz w:val="20"/>
                <w:szCs w:val="20"/>
              </w:rPr>
              <w:t>GENERAL – General Schedule (Code GE)</w:t>
            </w:r>
          </w:p>
        </w:tc>
      </w:tr>
      <w:tr w:rsidR="00265869" w:rsidRPr="00F33674" w14:paraId="41B4529A" w14:textId="77777777" w:rsidTr="00C21DFA">
        <w:trPr>
          <w:cantSplit/>
          <w:trHeight w:val="360"/>
        </w:trPr>
        <w:tc>
          <w:tcPr>
            <w:tcW w:w="3183" w:type="dxa"/>
            <w:tcBorders>
              <w:top w:val="single" w:sz="4" w:space="0" w:color="auto"/>
              <w:left w:val="single" w:sz="4" w:space="0" w:color="auto"/>
              <w:bottom w:val="single" w:sz="4" w:space="0" w:color="auto"/>
              <w:right w:val="single" w:sz="4" w:space="0" w:color="auto"/>
            </w:tcBorders>
          </w:tcPr>
          <w:p w14:paraId="5E845873" w14:textId="77777777" w:rsidR="00265869" w:rsidRPr="00F33674" w:rsidRDefault="00265869" w:rsidP="00265869">
            <w:pPr>
              <w:rPr>
                <w:rFonts w:ascii="Arial Narrow" w:hAnsi="Arial Narrow" w:cs="Arial"/>
                <w:b/>
                <w:sz w:val="20"/>
                <w:szCs w:val="20"/>
              </w:rPr>
            </w:pPr>
            <w:r w:rsidRPr="00F33674">
              <w:rPr>
                <w:rFonts w:ascii="Arial Narrow" w:hAnsi="Arial Narrow" w:cs="Arial"/>
                <w:b/>
                <w:sz w:val="20"/>
                <w:szCs w:val="20"/>
              </w:rPr>
              <w:t>Prescriber type:</w:t>
            </w:r>
          </w:p>
          <w:p w14:paraId="16422658" w14:textId="77777777" w:rsidR="00265869" w:rsidRPr="00F33674" w:rsidRDefault="00265869" w:rsidP="00265869">
            <w:pPr>
              <w:rPr>
                <w:rFonts w:ascii="Arial Narrow" w:hAnsi="Arial Narrow" w:cs="Arial"/>
                <w:b/>
                <w:sz w:val="20"/>
                <w:szCs w:val="20"/>
              </w:rPr>
            </w:pPr>
          </w:p>
        </w:tc>
        <w:tc>
          <w:tcPr>
            <w:tcW w:w="6031" w:type="dxa"/>
            <w:tcBorders>
              <w:top w:val="single" w:sz="4" w:space="0" w:color="auto"/>
              <w:left w:val="single" w:sz="4" w:space="0" w:color="auto"/>
              <w:bottom w:val="single" w:sz="4" w:space="0" w:color="auto"/>
              <w:right w:val="single" w:sz="4" w:space="0" w:color="auto"/>
            </w:tcBorders>
          </w:tcPr>
          <w:p w14:paraId="02C5CD66" w14:textId="77777777" w:rsidR="00265869" w:rsidRPr="00F33674" w:rsidRDefault="00265869" w:rsidP="00265869">
            <w:pPr>
              <w:rPr>
                <w:rFonts w:ascii="Arial Narrow" w:hAnsi="Arial Narrow" w:cs="Arial"/>
                <w:sz w:val="20"/>
                <w:szCs w:val="20"/>
              </w:rPr>
            </w:pPr>
            <w:r w:rsidRPr="00F33674">
              <w:rPr>
                <w:rFonts w:ascii="Arial Narrow" w:hAnsi="Arial Narrow" w:cs="Arial"/>
                <w:sz w:val="20"/>
                <w:szCs w:val="20"/>
              </w:rPr>
              <w:fldChar w:fldCharType="begin">
                <w:ffData>
                  <w:name w:val="Check1"/>
                  <w:enabled/>
                  <w:calcOnExit w:val="0"/>
                  <w:checkBox>
                    <w:sizeAuto/>
                    <w:default w:val="0"/>
                  </w:checkBox>
                </w:ffData>
              </w:fldChar>
            </w:r>
            <w:r w:rsidRPr="00F33674">
              <w:rPr>
                <w:rFonts w:ascii="Arial Narrow" w:hAnsi="Arial Narrow" w:cs="Arial"/>
                <w:sz w:val="20"/>
                <w:szCs w:val="20"/>
              </w:rPr>
              <w:instrText xml:space="preserve"> FORMCHECKBOX </w:instrText>
            </w:r>
            <w:r w:rsidR="00233D13">
              <w:rPr>
                <w:rFonts w:ascii="Arial Narrow" w:hAnsi="Arial Narrow" w:cs="Arial"/>
                <w:sz w:val="20"/>
                <w:szCs w:val="20"/>
              </w:rPr>
            </w:r>
            <w:r w:rsidR="00233D13">
              <w:rPr>
                <w:rFonts w:ascii="Arial Narrow" w:hAnsi="Arial Narrow" w:cs="Arial"/>
                <w:sz w:val="20"/>
                <w:szCs w:val="20"/>
              </w:rPr>
              <w:fldChar w:fldCharType="separate"/>
            </w:r>
            <w:r w:rsidRPr="00F33674">
              <w:rPr>
                <w:rFonts w:ascii="Arial Narrow" w:hAnsi="Arial Narrow" w:cs="Arial"/>
                <w:sz w:val="20"/>
                <w:szCs w:val="20"/>
              </w:rPr>
              <w:fldChar w:fldCharType="end"/>
            </w:r>
            <w:r w:rsidRPr="00F33674">
              <w:rPr>
                <w:rFonts w:ascii="Arial Narrow" w:hAnsi="Arial Narrow" w:cs="Arial"/>
                <w:sz w:val="20"/>
                <w:szCs w:val="20"/>
              </w:rPr>
              <w:t>Dental</w:t>
            </w:r>
            <w:r>
              <w:rPr>
                <w:rFonts w:ascii="Arial Narrow" w:hAnsi="Arial Narrow" w:cs="Arial"/>
                <w:sz w:val="20"/>
                <w:szCs w:val="20"/>
              </w:rPr>
              <w:t xml:space="preserve"> </w:t>
            </w:r>
            <w:r w:rsidRPr="00F33674">
              <w:rPr>
                <w:rFonts w:ascii="Arial Narrow" w:hAnsi="Arial Narrow" w:cs="Arial"/>
                <w:sz w:val="20"/>
                <w:szCs w:val="20"/>
              </w:rPr>
              <w:fldChar w:fldCharType="begin">
                <w:ffData>
                  <w:name w:val=""/>
                  <w:enabled/>
                  <w:calcOnExit w:val="0"/>
                  <w:checkBox>
                    <w:sizeAuto/>
                    <w:default w:val="1"/>
                  </w:checkBox>
                </w:ffData>
              </w:fldChar>
            </w:r>
            <w:r w:rsidRPr="00F33674">
              <w:rPr>
                <w:rFonts w:ascii="Arial Narrow" w:hAnsi="Arial Narrow" w:cs="Arial"/>
                <w:sz w:val="20"/>
                <w:szCs w:val="20"/>
              </w:rPr>
              <w:instrText xml:space="preserve"> FORMCHECKBOX </w:instrText>
            </w:r>
            <w:r w:rsidR="00233D13">
              <w:rPr>
                <w:rFonts w:ascii="Arial Narrow" w:hAnsi="Arial Narrow" w:cs="Arial"/>
                <w:sz w:val="20"/>
                <w:szCs w:val="20"/>
              </w:rPr>
            </w:r>
            <w:r w:rsidR="00233D13">
              <w:rPr>
                <w:rFonts w:ascii="Arial Narrow" w:hAnsi="Arial Narrow" w:cs="Arial"/>
                <w:sz w:val="20"/>
                <w:szCs w:val="20"/>
              </w:rPr>
              <w:fldChar w:fldCharType="separate"/>
            </w:r>
            <w:r w:rsidRPr="00F33674">
              <w:rPr>
                <w:rFonts w:ascii="Arial Narrow" w:hAnsi="Arial Narrow" w:cs="Arial"/>
                <w:sz w:val="20"/>
                <w:szCs w:val="20"/>
              </w:rPr>
              <w:fldChar w:fldCharType="end"/>
            </w:r>
            <w:r w:rsidRPr="00F33674">
              <w:rPr>
                <w:rFonts w:ascii="Arial Narrow" w:hAnsi="Arial Narrow" w:cs="Arial"/>
                <w:sz w:val="20"/>
                <w:szCs w:val="20"/>
              </w:rPr>
              <w:t>Medical Practitioners</w:t>
            </w:r>
            <w:r>
              <w:rPr>
                <w:rFonts w:ascii="Arial Narrow" w:hAnsi="Arial Narrow" w:cs="Arial"/>
                <w:sz w:val="20"/>
                <w:szCs w:val="20"/>
              </w:rPr>
              <w:t xml:space="preserve"> </w:t>
            </w:r>
            <w:r w:rsidRPr="00F33674">
              <w:rPr>
                <w:rFonts w:ascii="Arial Narrow" w:hAnsi="Arial Narrow" w:cs="Arial"/>
                <w:sz w:val="20"/>
                <w:szCs w:val="20"/>
              </w:rPr>
              <w:fldChar w:fldCharType="begin">
                <w:ffData>
                  <w:name w:val="Check3"/>
                  <w:enabled/>
                  <w:calcOnExit w:val="0"/>
                  <w:checkBox>
                    <w:sizeAuto/>
                    <w:default w:val="1"/>
                  </w:checkBox>
                </w:ffData>
              </w:fldChar>
            </w:r>
            <w:r w:rsidRPr="00F33674">
              <w:rPr>
                <w:rFonts w:ascii="Arial Narrow" w:hAnsi="Arial Narrow" w:cs="Arial"/>
                <w:sz w:val="20"/>
                <w:szCs w:val="20"/>
              </w:rPr>
              <w:instrText xml:space="preserve"> FORMCHECKBOX </w:instrText>
            </w:r>
            <w:r w:rsidR="00233D13">
              <w:rPr>
                <w:rFonts w:ascii="Arial Narrow" w:hAnsi="Arial Narrow" w:cs="Arial"/>
                <w:sz w:val="20"/>
                <w:szCs w:val="20"/>
              </w:rPr>
            </w:r>
            <w:r w:rsidR="00233D13">
              <w:rPr>
                <w:rFonts w:ascii="Arial Narrow" w:hAnsi="Arial Narrow" w:cs="Arial"/>
                <w:sz w:val="20"/>
                <w:szCs w:val="20"/>
              </w:rPr>
              <w:fldChar w:fldCharType="separate"/>
            </w:r>
            <w:r w:rsidRPr="00F33674">
              <w:rPr>
                <w:rFonts w:ascii="Arial Narrow" w:hAnsi="Arial Narrow" w:cs="Arial"/>
                <w:sz w:val="20"/>
                <w:szCs w:val="20"/>
              </w:rPr>
              <w:fldChar w:fldCharType="end"/>
            </w:r>
            <w:r w:rsidRPr="00F33674">
              <w:rPr>
                <w:rFonts w:ascii="Arial Narrow" w:hAnsi="Arial Narrow" w:cs="Arial"/>
                <w:sz w:val="20"/>
                <w:szCs w:val="20"/>
              </w:rPr>
              <w:t>Nurse practitioners</w:t>
            </w:r>
            <w:r>
              <w:rPr>
                <w:rFonts w:ascii="Arial Narrow" w:hAnsi="Arial Narrow" w:cs="Arial"/>
                <w:sz w:val="20"/>
                <w:szCs w:val="20"/>
              </w:rPr>
              <w:t xml:space="preserve"> </w:t>
            </w:r>
            <w:r w:rsidRPr="00F33674">
              <w:rPr>
                <w:rFonts w:ascii="Arial Narrow" w:hAnsi="Arial Narrow" w:cs="Arial"/>
                <w:sz w:val="20"/>
                <w:szCs w:val="20"/>
              </w:rPr>
              <w:fldChar w:fldCharType="begin">
                <w:ffData>
                  <w:name w:val=""/>
                  <w:enabled/>
                  <w:calcOnExit w:val="0"/>
                  <w:checkBox>
                    <w:sizeAuto/>
                    <w:default w:val="0"/>
                  </w:checkBox>
                </w:ffData>
              </w:fldChar>
            </w:r>
            <w:r w:rsidRPr="00F33674">
              <w:rPr>
                <w:rFonts w:ascii="Arial Narrow" w:hAnsi="Arial Narrow" w:cs="Arial"/>
                <w:sz w:val="20"/>
                <w:szCs w:val="20"/>
              </w:rPr>
              <w:instrText xml:space="preserve"> FORMCHECKBOX </w:instrText>
            </w:r>
            <w:r w:rsidR="00233D13">
              <w:rPr>
                <w:rFonts w:ascii="Arial Narrow" w:hAnsi="Arial Narrow" w:cs="Arial"/>
                <w:sz w:val="20"/>
                <w:szCs w:val="20"/>
              </w:rPr>
            </w:r>
            <w:r w:rsidR="00233D13">
              <w:rPr>
                <w:rFonts w:ascii="Arial Narrow" w:hAnsi="Arial Narrow" w:cs="Arial"/>
                <w:sz w:val="20"/>
                <w:szCs w:val="20"/>
              </w:rPr>
              <w:fldChar w:fldCharType="separate"/>
            </w:r>
            <w:r w:rsidRPr="00F33674">
              <w:rPr>
                <w:rFonts w:ascii="Arial Narrow" w:hAnsi="Arial Narrow" w:cs="Arial"/>
                <w:sz w:val="20"/>
                <w:szCs w:val="20"/>
              </w:rPr>
              <w:fldChar w:fldCharType="end"/>
            </w:r>
            <w:r w:rsidRPr="00F33674">
              <w:rPr>
                <w:rFonts w:ascii="Arial Narrow" w:hAnsi="Arial Narrow" w:cs="Arial"/>
                <w:sz w:val="20"/>
                <w:szCs w:val="20"/>
              </w:rPr>
              <w:t>Optometrists</w:t>
            </w:r>
          </w:p>
          <w:p w14:paraId="796563D8" w14:textId="77777777" w:rsidR="00265869" w:rsidRPr="00F33674" w:rsidRDefault="00265869" w:rsidP="00265869">
            <w:pPr>
              <w:rPr>
                <w:rFonts w:ascii="Arial Narrow" w:hAnsi="Arial Narrow" w:cs="Arial"/>
                <w:sz w:val="20"/>
                <w:szCs w:val="20"/>
              </w:rPr>
            </w:pPr>
            <w:r w:rsidRPr="00F33674">
              <w:rPr>
                <w:rFonts w:ascii="Arial Narrow" w:hAnsi="Arial Narrow" w:cs="Arial"/>
                <w:sz w:val="20"/>
                <w:szCs w:val="20"/>
              </w:rPr>
              <w:fldChar w:fldCharType="begin">
                <w:ffData>
                  <w:name w:val="Check5"/>
                  <w:enabled/>
                  <w:calcOnExit w:val="0"/>
                  <w:checkBox>
                    <w:sizeAuto/>
                    <w:default w:val="0"/>
                  </w:checkBox>
                </w:ffData>
              </w:fldChar>
            </w:r>
            <w:r w:rsidRPr="00F33674">
              <w:rPr>
                <w:rFonts w:ascii="Arial Narrow" w:hAnsi="Arial Narrow" w:cs="Arial"/>
                <w:sz w:val="20"/>
                <w:szCs w:val="20"/>
              </w:rPr>
              <w:instrText xml:space="preserve"> FORMCHECKBOX </w:instrText>
            </w:r>
            <w:r w:rsidR="00233D13">
              <w:rPr>
                <w:rFonts w:ascii="Arial Narrow" w:hAnsi="Arial Narrow" w:cs="Arial"/>
                <w:sz w:val="20"/>
                <w:szCs w:val="20"/>
              </w:rPr>
            </w:r>
            <w:r w:rsidR="00233D13">
              <w:rPr>
                <w:rFonts w:ascii="Arial Narrow" w:hAnsi="Arial Narrow" w:cs="Arial"/>
                <w:sz w:val="20"/>
                <w:szCs w:val="20"/>
              </w:rPr>
              <w:fldChar w:fldCharType="separate"/>
            </w:r>
            <w:r w:rsidRPr="00F33674">
              <w:rPr>
                <w:rFonts w:ascii="Arial Narrow" w:hAnsi="Arial Narrow" w:cs="Arial"/>
                <w:sz w:val="20"/>
                <w:szCs w:val="20"/>
              </w:rPr>
              <w:fldChar w:fldCharType="end"/>
            </w:r>
            <w:r w:rsidRPr="00F33674">
              <w:rPr>
                <w:rFonts w:ascii="Arial Narrow" w:hAnsi="Arial Narrow" w:cs="Arial"/>
                <w:sz w:val="20"/>
                <w:szCs w:val="20"/>
              </w:rPr>
              <w:t>Midwives</w:t>
            </w:r>
          </w:p>
        </w:tc>
      </w:tr>
      <w:tr w:rsidR="00265869" w:rsidRPr="00F33674" w14:paraId="53E3D5F8" w14:textId="77777777" w:rsidTr="00C21DFA">
        <w:trPr>
          <w:cantSplit/>
          <w:trHeight w:val="369"/>
        </w:trPr>
        <w:tc>
          <w:tcPr>
            <w:tcW w:w="3183" w:type="dxa"/>
            <w:tcBorders>
              <w:top w:val="single" w:sz="4" w:space="0" w:color="auto"/>
              <w:left w:val="single" w:sz="4" w:space="0" w:color="auto"/>
              <w:bottom w:val="single" w:sz="4" w:space="0" w:color="auto"/>
              <w:right w:val="single" w:sz="4" w:space="0" w:color="auto"/>
            </w:tcBorders>
          </w:tcPr>
          <w:p w14:paraId="3DD1B589" w14:textId="77777777" w:rsidR="00265869" w:rsidRPr="00F33674" w:rsidRDefault="00265869" w:rsidP="00265869">
            <w:pPr>
              <w:rPr>
                <w:rFonts w:ascii="Arial Narrow" w:hAnsi="Arial Narrow" w:cs="Arial"/>
                <w:b/>
                <w:sz w:val="20"/>
                <w:szCs w:val="20"/>
              </w:rPr>
            </w:pPr>
            <w:r w:rsidRPr="00F33674">
              <w:rPr>
                <w:rFonts w:ascii="Arial Narrow" w:hAnsi="Arial Narrow" w:cs="Arial"/>
                <w:b/>
                <w:sz w:val="20"/>
                <w:szCs w:val="20"/>
              </w:rPr>
              <w:t>PBS indication:</w:t>
            </w:r>
          </w:p>
        </w:tc>
        <w:tc>
          <w:tcPr>
            <w:tcW w:w="6031" w:type="dxa"/>
            <w:tcBorders>
              <w:top w:val="single" w:sz="4" w:space="0" w:color="auto"/>
              <w:left w:val="single" w:sz="4" w:space="0" w:color="auto"/>
              <w:bottom w:val="single" w:sz="4" w:space="0" w:color="auto"/>
              <w:right w:val="single" w:sz="4" w:space="0" w:color="auto"/>
            </w:tcBorders>
          </w:tcPr>
          <w:p w14:paraId="312E2F93" w14:textId="77777777" w:rsidR="00265869" w:rsidRPr="00F33674" w:rsidRDefault="00265869" w:rsidP="00265869">
            <w:pPr>
              <w:rPr>
                <w:rFonts w:ascii="Arial Narrow" w:hAnsi="Arial Narrow" w:cs="Arial"/>
                <w:sz w:val="20"/>
                <w:szCs w:val="20"/>
              </w:rPr>
            </w:pPr>
            <w:r w:rsidRPr="00F33674">
              <w:rPr>
                <w:rFonts w:ascii="Arial Narrow" w:hAnsi="Arial Narrow" w:cs="Arial"/>
                <w:sz w:val="20"/>
                <w:szCs w:val="20"/>
              </w:rPr>
              <w:t>[9729] Chronic severe disabling pain</w:t>
            </w:r>
          </w:p>
        </w:tc>
      </w:tr>
      <w:tr w:rsidR="00265869" w:rsidRPr="00F33674" w14:paraId="230D2C11" w14:textId="77777777" w:rsidTr="00C21DFA">
        <w:trPr>
          <w:cantSplit/>
          <w:trHeight w:val="360"/>
        </w:trPr>
        <w:tc>
          <w:tcPr>
            <w:tcW w:w="3183" w:type="dxa"/>
            <w:tcBorders>
              <w:top w:val="single" w:sz="4" w:space="0" w:color="auto"/>
              <w:left w:val="single" w:sz="4" w:space="0" w:color="auto"/>
              <w:bottom w:val="single" w:sz="4" w:space="0" w:color="auto"/>
              <w:right w:val="single" w:sz="4" w:space="0" w:color="auto"/>
            </w:tcBorders>
          </w:tcPr>
          <w:p w14:paraId="66947471" w14:textId="77777777" w:rsidR="00265869" w:rsidRPr="00F33674" w:rsidRDefault="00265869" w:rsidP="00265869">
            <w:pPr>
              <w:rPr>
                <w:rFonts w:ascii="Arial Narrow" w:hAnsi="Arial Narrow" w:cs="Arial"/>
                <w:b/>
                <w:sz w:val="20"/>
                <w:szCs w:val="20"/>
              </w:rPr>
            </w:pPr>
            <w:r w:rsidRPr="00F33674">
              <w:rPr>
                <w:rFonts w:ascii="Arial Narrow" w:hAnsi="Arial Narrow" w:cs="Arial"/>
                <w:b/>
                <w:sz w:val="20"/>
                <w:szCs w:val="20"/>
              </w:rPr>
              <w:t>Restriction Level / Method:</w:t>
            </w:r>
          </w:p>
          <w:p w14:paraId="6843FBB9" w14:textId="77777777" w:rsidR="00265869" w:rsidRPr="00F33674" w:rsidRDefault="00265869" w:rsidP="00265869">
            <w:pPr>
              <w:rPr>
                <w:rFonts w:ascii="Arial Narrow" w:hAnsi="Arial Narrow" w:cs="Arial"/>
                <w:i/>
                <w:sz w:val="20"/>
                <w:szCs w:val="20"/>
              </w:rPr>
            </w:pPr>
          </w:p>
          <w:p w14:paraId="131CDEE6" w14:textId="77777777" w:rsidR="00265869" w:rsidRPr="00F33674" w:rsidRDefault="00265869" w:rsidP="00265869">
            <w:pPr>
              <w:rPr>
                <w:rFonts w:ascii="Arial Narrow" w:hAnsi="Arial Narrow" w:cs="Arial"/>
                <w:i/>
                <w:sz w:val="20"/>
                <w:szCs w:val="20"/>
              </w:rPr>
            </w:pPr>
          </w:p>
          <w:p w14:paraId="559FC63D" w14:textId="77777777" w:rsidR="00265869" w:rsidRPr="00F33674" w:rsidRDefault="00265869" w:rsidP="00265869">
            <w:pPr>
              <w:rPr>
                <w:rFonts w:ascii="Arial Narrow" w:hAnsi="Arial Narrow" w:cs="Arial"/>
                <w:i/>
                <w:sz w:val="20"/>
                <w:szCs w:val="20"/>
              </w:rPr>
            </w:pPr>
          </w:p>
        </w:tc>
        <w:tc>
          <w:tcPr>
            <w:tcW w:w="6031" w:type="dxa"/>
            <w:tcBorders>
              <w:top w:val="single" w:sz="4" w:space="0" w:color="auto"/>
              <w:left w:val="single" w:sz="4" w:space="0" w:color="auto"/>
              <w:bottom w:val="single" w:sz="4" w:space="0" w:color="auto"/>
              <w:right w:val="single" w:sz="4" w:space="0" w:color="auto"/>
            </w:tcBorders>
          </w:tcPr>
          <w:p w14:paraId="6D850433" w14:textId="77777777" w:rsidR="00265869" w:rsidRPr="00F33674" w:rsidRDefault="00265869" w:rsidP="00265869">
            <w:pPr>
              <w:rPr>
                <w:rFonts w:ascii="Arial Narrow" w:hAnsi="Arial Narrow" w:cs="Arial"/>
                <w:sz w:val="20"/>
                <w:szCs w:val="20"/>
              </w:rPr>
            </w:pPr>
            <w:r w:rsidRPr="00F33674">
              <w:rPr>
                <w:rFonts w:ascii="Arial Narrow" w:hAnsi="Arial Narrow" w:cs="Arial"/>
                <w:sz w:val="20"/>
                <w:szCs w:val="20"/>
              </w:rPr>
              <w:fldChar w:fldCharType="begin">
                <w:ffData>
                  <w:name w:val=""/>
                  <w:enabled/>
                  <w:calcOnExit w:val="0"/>
                  <w:checkBox>
                    <w:sizeAuto/>
                    <w:default w:val="0"/>
                  </w:checkBox>
                </w:ffData>
              </w:fldChar>
            </w:r>
            <w:r w:rsidRPr="00F33674">
              <w:rPr>
                <w:rFonts w:ascii="Arial Narrow" w:hAnsi="Arial Narrow" w:cs="Arial"/>
                <w:sz w:val="20"/>
                <w:szCs w:val="20"/>
              </w:rPr>
              <w:instrText xml:space="preserve"> FORMCHECKBOX </w:instrText>
            </w:r>
            <w:r w:rsidR="00233D13">
              <w:rPr>
                <w:rFonts w:ascii="Arial Narrow" w:hAnsi="Arial Narrow" w:cs="Arial"/>
                <w:sz w:val="20"/>
                <w:szCs w:val="20"/>
              </w:rPr>
            </w:r>
            <w:r w:rsidR="00233D13">
              <w:rPr>
                <w:rFonts w:ascii="Arial Narrow" w:hAnsi="Arial Narrow" w:cs="Arial"/>
                <w:sz w:val="20"/>
                <w:szCs w:val="20"/>
              </w:rPr>
              <w:fldChar w:fldCharType="separate"/>
            </w:r>
            <w:r w:rsidRPr="00F33674">
              <w:rPr>
                <w:rFonts w:ascii="Arial Narrow" w:hAnsi="Arial Narrow" w:cs="Arial"/>
                <w:sz w:val="20"/>
                <w:szCs w:val="20"/>
              </w:rPr>
              <w:fldChar w:fldCharType="end"/>
            </w:r>
            <w:r w:rsidRPr="00F33674">
              <w:rPr>
                <w:rFonts w:ascii="Arial Narrow" w:hAnsi="Arial Narrow" w:cs="Arial"/>
                <w:sz w:val="20"/>
                <w:szCs w:val="20"/>
              </w:rPr>
              <w:t>Unrestricted benefit</w:t>
            </w:r>
          </w:p>
          <w:p w14:paraId="22FF03E7" w14:textId="77777777" w:rsidR="00265869" w:rsidRPr="00F33674" w:rsidRDefault="00265869" w:rsidP="00265869">
            <w:pPr>
              <w:rPr>
                <w:rFonts w:ascii="Arial Narrow" w:hAnsi="Arial Narrow" w:cs="Arial"/>
                <w:i/>
                <w:sz w:val="20"/>
                <w:szCs w:val="20"/>
              </w:rPr>
            </w:pPr>
            <w:r w:rsidRPr="00F33674">
              <w:rPr>
                <w:rFonts w:ascii="Arial Narrow" w:hAnsi="Arial Narrow" w:cs="Arial"/>
                <w:i/>
                <w:sz w:val="20"/>
                <w:szCs w:val="20"/>
              </w:rPr>
              <w:fldChar w:fldCharType="begin">
                <w:ffData>
                  <w:name w:val=""/>
                  <w:enabled/>
                  <w:calcOnExit w:val="0"/>
                  <w:checkBox>
                    <w:sizeAuto/>
                    <w:default w:val="0"/>
                  </w:checkBox>
                </w:ffData>
              </w:fldChar>
            </w:r>
            <w:r w:rsidRPr="00F33674">
              <w:rPr>
                <w:rFonts w:ascii="Arial Narrow" w:hAnsi="Arial Narrow" w:cs="Arial"/>
                <w:i/>
                <w:sz w:val="20"/>
                <w:szCs w:val="20"/>
              </w:rPr>
              <w:instrText xml:space="preserve"> FORMCHECKBOX </w:instrText>
            </w:r>
            <w:r w:rsidR="00233D13">
              <w:rPr>
                <w:rFonts w:ascii="Arial Narrow" w:hAnsi="Arial Narrow" w:cs="Arial"/>
                <w:i/>
                <w:sz w:val="20"/>
                <w:szCs w:val="20"/>
              </w:rPr>
            </w:r>
            <w:r w:rsidR="00233D13">
              <w:rPr>
                <w:rFonts w:ascii="Arial Narrow" w:hAnsi="Arial Narrow" w:cs="Arial"/>
                <w:i/>
                <w:sz w:val="20"/>
                <w:szCs w:val="20"/>
              </w:rPr>
              <w:fldChar w:fldCharType="separate"/>
            </w:r>
            <w:r w:rsidRPr="00F33674">
              <w:rPr>
                <w:rFonts w:ascii="Arial Narrow" w:hAnsi="Arial Narrow" w:cs="Arial"/>
                <w:i/>
                <w:sz w:val="20"/>
                <w:szCs w:val="20"/>
              </w:rPr>
              <w:fldChar w:fldCharType="end"/>
            </w:r>
            <w:r w:rsidRPr="00F33674">
              <w:rPr>
                <w:rFonts w:ascii="Arial Narrow" w:hAnsi="Arial Narrow" w:cs="Arial"/>
                <w:sz w:val="20"/>
                <w:szCs w:val="20"/>
              </w:rPr>
              <w:t>Restricted benefit</w:t>
            </w:r>
          </w:p>
          <w:p w14:paraId="2C4573A2" w14:textId="77777777" w:rsidR="00265869" w:rsidRPr="00F33674" w:rsidRDefault="00265869" w:rsidP="00265869">
            <w:pPr>
              <w:rPr>
                <w:rFonts w:ascii="Arial Narrow" w:hAnsi="Arial Narrow" w:cs="Arial"/>
                <w:sz w:val="20"/>
                <w:szCs w:val="20"/>
              </w:rPr>
            </w:pPr>
            <w:r w:rsidRPr="00F33674">
              <w:rPr>
                <w:rFonts w:ascii="Arial Narrow" w:hAnsi="Arial Narrow" w:cs="Arial"/>
                <w:sz w:val="20"/>
                <w:szCs w:val="20"/>
              </w:rPr>
              <w:fldChar w:fldCharType="begin">
                <w:ffData>
                  <w:name w:val=""/>
                  <w:enabled/>
                  <w:calcOnExit w:val="0"/>
                  <w:checkBox>
                    <w:sizeAuto/>
                    <w:default w:val="0"/>
                  </w:checkBox>
                </w:ffData>
              </w:fldChar>
            </w:r>
            <w:r w:rsidRPr="00F33674">
              <w:rPr>
                <w:rFonts w:ascii="Arial Narrow" w:hAnsi="Arial Narrow" w:cs="Arial"/>
                <w:sz w:val="20"/>
                <w:szCs w:val="20"/>
              </w:rPr>
              <w:instrText xml:space="preserve"> FORMCHECKBOX </w:instrText>
            </w:r>
            <w:r w:rsidR="00233D13">
              <w:rPr>
                <w:rFonts w:ascii="Arial Narrow" w:hAnsi="Arial Narrow" w:cs="Arial"/>
                <w:sz w:val="20"/>
                <w:szCs w:val="20"/>
              </w:rPr>
            </w:r>
            <w:r w:rsidR="00233D13">
              <w:rPr>
                <w:rFonts w:ascii="Arial Narrow" w:hAnsi="Arial Narrow" w:cs="Arial"/>
                <w:sz w:val="20"/>
                <w:szCs w:val="20"/>
              </w:rPr>
              <w:fldChar w:fldCharType="separate"/>
            </w:r>
            <w:r w:rsidRPr="00F33674">
              <w:rPr>
                <w:rFonts w:ascii="Arial Narrow" w:hAnsi="Arial Narrow" w:cs="Arial"/>
                <w:sz w:val="20"/>
                <w:szCs w:val="20"/>
              </w:rPr>
              <w:fldChar w:fldCharType="end"/>
            </w:r>
            <w:r w:rsidRPr="00F33674">
              <w:rPr>
                <w:rFonts w:ascii="Arial Narrow" w:hAnsi="Arial Narrow" w:cs="Arial"/>
                <w:sz w:val="20"/>
                <w:szCs w:val="20"/>
              </w:rPr>
              <w:t>Authority Required – In Writing</w:t>
            </w:r>
          </w:p>
          <w:p w14:paraId="7F71E8F6" w14:textId="77777777" w:rsidR="00265869" w:rsidRPr="00F33674" w:rsidRDefault="00265869" w:rsidP="00265869">
            <w:pPr>
              <w:rPr>
                <w:rFonts w:ascii="Arial Narrow" w:hAnsi="Arial Narrow" w:cs="Arial"/>
                <w:sz w:val="20"/>
                <w:szCs w:val="20"/>
              </w:rPr>
            </w:pPr>
            <w:r w:rsidRPr="00F33674">
              <w:rPr>
                <w:rFonts w:ascii="Arial Narrow" w:hAnsi="Arial Narrow" w:cs="Arial"/>
                <w:sz w:val="20"/>
                <w:szCs w:val="20"/>
              </w:rPr>
              <w:fldChar w:fldCharType="begin">
                <w:ffData>
                  <w:name w:val="Check3"/>
                  <w:enabled/>
                  <w:calcOnExit w:val="0"/>
                  <w:checkBox>
                    <w:sizeAuto/>
                    <w:default w:val="0"/>
                  </w:checkBox>
                </w:ffData>
              </w:fldChar>
            </w:r>
            <w:r w:rsidRPr="00F33674">
              <w:rPr>
                <w:rFonts w:ascii="Arial Narrow" w:hAnsi="Arial Narrow" w:cs="Arial"/>
                <w:sz w:val="20"/>
                <w:szCs w:val="20"/>
              </w:rPr>
              <w:instrText xml:space="preserve"> FORMCHECKBOX </w:instrText>
            </w:r>
            <w:r w:rsidR="00233D13">
              <w:rPr>
                <w:rFonts w:ascii="Arial Narrow" w:hAnsi="Arial Narrow" w:cs="Arial"/>
                <w:sz w:val="20"/>
                <w:szCs w:val="20"/>
              </w:rPr>
            </w:r>
            <w:r w:rsidR="00233D13">
              <w:rPr>
                <w:rFonts w:ascii="Arial Narrow" w:hAnsi="Arial Narrow" w:cs="Arial"/>
                <w:sz w:val="20"/>
                <w:szCs w:val="20"/>
              </w:rPr>
              <w:fldChar w:fldCharType="separate"/>
            </w:r>
            <w:r w:rsidRPr="00F33674">
              <w:rPr>
                <w:rFonts w:ascii="Arial Narrow" w:hAnsi="Arial Narrow" w:cs="Arial"/>
                <w:sz w:val="20"/>
                <w:szCs w:val="20"/>
              </w:rPr>
              <w:fldChar w:fldCharType="end"/>
            </w:r>
            <w:r w:rsidRPr="00F33674">
              <w:rPr>
                <w:rFonts w:ascii="Arial Narrow" w:hAnsi="Arial Narrow" w:cs="Arial"/>
                <w:sz w:val="20"/>
                <w:szCs w:val="20"/>
              </w:rPr>
              <w:t>Authority Required – Telephone/Electronic/Emergency</w:t>
            </w:r>
          </w:p>
          <w:p w14:paraId="500320C6" w14:textId="77777777" w:rsidR="00265869" w:rsidRPr="00F33674" w:rsidRDefault="00265869" w:rsidP="00265869">
            <w:pPr>
              <w:rPr>
                <w:rFonts w:ascii="Arial Narrow" w:hAnsi="Arial Narrow" w:cs="Arial"/>
                <w:sz w:val="20"/>
                <w:szCs w:val="20"/>
              </w:rPr>
            </w:pPr>
            <w:r w:rsidRPr="00F33674">
              <w:rPr>
                <w:rFonts w:ascii="Arial Narrow" w:hAnsi="Arial Narrow" w:cs="Arial"/>
                <w:sz w:val="20"/>
                <w:szCs w:val="20"/>
              </w:rPr>
              <w:fldChar w:fldCharType="begin">
                <w:ffData>
                  <w:name w:val="Check5"/>
                  <w:enabled/>
                  <w:calcOnExit w:val="0"/>
                  <w:checkBox>
                    <w:sizeAuto/>
                    <w:default w:val="1"/>
                  </w:checkBox>
                </w:ffData>
              </w:fldChar>
            </w:r>
            <w:r w:rsidRPr="00F33674">
              <w:rPr>
                <w:rFonts w:ascii="Arial Narrow" w:hAnsi="Arial Narrow" w:cs="Arial"/>
                <w:sz w:val="20"/>
                <w:szCs w:val="20"/>
              </w:rPr>
              <w:instrText xml:space="preserve"> FORMCHECKBOX </w:instrText>
            </w:r>
            <w:r w:rsidR="00233D13">
              <w:rPr>
                <w:rFonts w:ascii="Arial Narrow" w:hAnsi="Arial Narrow" w:cs="Arial"/>
                <w:sz w:val="20"/>
                <w:szCs w:val="20"/>
              </w:rPr>
            </w:r>
            <w:r w:rsidR="00233D13">
              <w:rPr>
                <w:rFonts w:ascii="Arial Narrow" w:hAnsi="Arial Narrow" w:cs="Arial"/>
                <w:sz w:val="20"/>
                <w:szCs w:val="20"/>
              </w:rPr>
              <w:fldChar w:fldCharType="separate"/>
            </w:r>
            <w:r w:rsidRPr="00F33674">
              <w:rPr>
                <w:rFonts w:ascii="Arial Narrow" w:hAnsi="Arial Narrow" w:cs="Arial"/>
                <w:sz w:val="20"/>
                <w:szCs w:val="20"/>
              </w:rPr>
              <w:fldChar w:fldCharType="end"/>
            </w:r>
            <w:r w:rsidRPr="00F33674">
              <w:rPr>
                <w:rFonts w:ascii="Arial Narrow" w:hAnsi="Arial Narrow" w:cs="Arial"/>
                <w:sz w:val="20"/>
                <w:szCs w:val="20"/>
              </w:rPr>
              <w:t>Streamlined</w:t>
            </w:r>
          </w:p>
        </w:tc>
      </w:tr>
      <w:tr w:rsidR="00265869" w:rsidRPr="00F33674" w14:paraId="3D5A317B" w14:textId="77777777" w:rsidTr="00C21DFA">
        <w:trPr>
          <w:cantSplit/>
          <w:trHeight w:val="360"/>
        </w:trPr>
        <w:tc>
          <w:tcPr>
            <w:tcW w:w="3183" w:type="dxa"/>
            <w:tcBorders>
              <w:top w:val="single" w:sz="4" w:space="0" w:color="auto"/>
              <w:left w:val="single" w:sz="4" w:space="0" w:color="auto"/>
              <w:bottom w:val="single" w:sz="4" w:space="0" w:color="auto"/>
              <w:right w:val="single" w:sz="4" w:space="0" w:color="auto"/>
            </w:tcBorders>
          </w:tcPr>
          <w:p w14:paraId="4B603D60" w14:textId="77777777" w:rsidR="00265869" w:rsidRPr="00F33674" w:rsidRDefault="00265869" w:rsidP="00265869">
            <w:pPr>
              <w:rPr>
                <w:rFonts w:ascii="Arial Narrow" w:hAnsi="Arial Narrow" w:cs="Arial"/>
                <w:b/>
                <w:sz w:val="20"/>
                <w:szCs w:val="20"/>
              </w:rPr>
            </w:pPr>
            <w:r>
              <w:rPr>
                <w:rFonts w:ascii="Arial Narrow" w:hAnsi="Arial Narrow" w:cs="Arial"/>
                <w:b/>
                <w:sz w:val="20"/>
                <w:szCs w:val="20"/>
              </w:rPr>
              <w:t>Treatment phase:</w:t>
            </w:r>
          </w:p>
        </w:tc>
        <w:tc>
          <w:tcPr>
            <w:tcW w:w="6031" w:type="dxa"/>
            <w:tcBorders>
              <w:top w:val="single" w:sz="4" w:space="0" w:color="auto"/>
              <w:left w:val="single" w:sz="4" w:space="0" w:color="auto"/>
              <w:bottom w:val="single" w:sz="4" w:space="0" w:color="auto"/>
              <w:right w:val="single" w:sz="4" w:space="0" w:color="auto"/>
            </w:tcBorders>
          </w:tcPr>
          <w:p w14:paraId="461F645E" w14:textId="62FEBE88" w:rsidR="00265869" w:rsidRPr="00F33674" w:rsidRDefault="00FA7EB1" w:rsidP="00265869">
            <w:pPr>
              <w:jc w:val="left"/>
              <w:rPr>
                <w:rFonts w:ascii="Arial Narrow" w:hAnsi="Arial Narrow" w:cs="Arial"/>
                <w:sz w:val="20"/>
                <w:szCs w:val="20"/>
              </w:rPr>
            </w:pPr>
            <w:r w:rsidRPr="00CB0FCB">
              <w:rPr>
                <w:rFonts w:ascii="Arial Narrow" w:hAnsi="Arial Narrow" w:cs="Arial"/>
                <w:sz w:val="20"/>
                <w:szCs w:val="20"/>
              </w:rPr>
              <w:t>Continuing PBS treatment after 1 June 2020</w:t>
            </w:r>
            <w:r>
              <w:rPr>
                <w:rFonts w:ascii="Arial Narrow" w:hAnsi="Arial Narrow" w:cs="Arial"/>
                <w:sz w:val="20"/>
                <w:szCs w:val="20"/>
              </w:rPr>
              <w:t>.</w:t>
            </w:r>
          </w:p>
        </w:tc>
      </w:tr>
      <w:tr w:rsidR="00265869" w:rsidRPr="00F33674" w14:paraId="44F3D575" w14:textId="77777777" w:rsidTr="00C21DFA">
        <w:trPr>
          <w:cantSplit/>
          <w:trHeight w:val="360"/>
        </w:trPr>
        <w:tc>
          <w:tcPr>
            <w:tcW w:w="3183" w:type="dxa"/>
            <w:tcBorders>
              <w:top w:val="single" w:sz="4" w:space="0" w:color="auto"/>
              <w:left w:val="single" w:sz="4" w:space="0" w:color="auto"/>
              <w:bottom w:val="single" w:sz="4" w:space="0" w:color="auto"/>
              <w:right w:val="single" w:sz="4" w:space="0" w:color="auto"/>
            </w:tcBorders>
          </w:tcPr>
          <w:p w14:paraId="48291286" w14:textId="77777777" w:rsidR="00265869" w:rsidRPr="00F33674" w:rsidRDefault="00265869" w:rsidP="00265869">
            <w:pPr>
              <w:rPr>
                <w:rFonts w:ascii="Arial Narrow" w:hAnsi="Arial Narrow" w:cs="Arial"/>
                <w:b/>
                <w:sz w:val="20"/>
                <w:szCs w:val="20"/>
              </w:rPr>
            </w:pPr>
            <w:r w:rsidRPr="00F33674">
              <w:rPr>
                <w:rFonts w:ascii="Arial Narrow" w:hAnsi="Arial Narrow" w:cs="Arial"/>
                <w:b/>
                <w:sz w:val="20"/>
                <w:szCs w:val="20"/>
              </w:rPr>
              <w:t>Clinical criteria:</w:t>
            </w:r>
          </w:p>
        </w:tc>
        <w:tc>
          <w:tcPr>
            <w:tcW w:w="6031" w:type="dxa"/>
            <w:tcBorders>
              <w:top w:val="single" w:sz="4" w:space="0" w:color="auto"/>
              <w:left w:val="single" w:sz="4" w:space="0" w:color="auto"/>
              <w:bottom w:val="single" w:sz="4" w:space="0" w:color="auto"/>
              <w:right w:val="single" w:sz="4" w:space="0" w:color="auto"/>
            </w:tcBorders>
          </w:tcPr>
          <w:p w14:paraId="6AB88C86" w14:textId="77777777" w:rsidR="00265869" w:rsidRPr="00F33674" w:rsidRDefault="00265869" w:rsidP="00265869">
            <w:pPr>
              <w:jc w:val="left"/>
              <w:rPr>
                <w:rFonts w:ascii="Arial Narrow" w:hAnsi="Arial Narrow" w:cs="Arial"/>
                <w:sz w:val="20"/>
                <w:szCs w:val="20"/>
              </w:rPr>
            </w:pPr>
            <w:r w:rsidRPr="00F33674">
              <w:rPr>
                <w:rFonts w:ascii="Arial Narrow" w:hAnsi="Arial Narrow" w:cs="Arial"/>
                <w:sz w:val="20"/>
                <w:szCs w:val="20"/>
              </w:rPr>
              <w:t xml:space="preserve">[new] </w:t>
            </w:r>
            <w:r w:rsidRPr="00744FB8">
              <w:rPr>
                <w:rFonts w:ascii="Arial Narrow" w:hAnsi="Arial Narrow" w:cs="Arial"/>
                <w:sz w:val="20"/>
                <w:szCs w:val="20"/>
              </w:rPr>
              <w:t>Patient must have previously received PBS-subsidised treatment with this form of this drug for this condition after 1 June 2020</w:t>
            </w:r>
            <w:r>
              <w:rPr>
                <w:rFonts w:ascii="Arial Narrow" w:hAnsi="Arial Narrow" w:cs="Arial"/>
                <w:sz w:val="20"/>
                <w:szCs w:val="20"/>
              </w:rPr>
              <w:t>.</w:t>
            </w:r>
          </w:p>
        </w:tc>
      </w:tr>
      <w:tr w:rsidR="00265869" w:rsidRPr="00F33674" w14:paraId="1D8E5F44" w14:textId="77777777" w:rsidTr="00C21DFA">
        <w:trPr>
          <w:cantSplit/>
          <w:trHeight w:val="360"/>
        </w:trPr>
        <w:tc>
          <w:tcPr>
            <w:tcW w:w="3183" w:type="dxa"/>
            <w:tcBorders>
              <w:top w:val="single" w:sz="4" w:space="0" w:color="auto"/>
              <w:left w:val="single" w:sz="4" w:space="0" w:color="auto"/>
              <w:bottom w:val="single" w:sz="4" w:space="0" w:color="auto"/>
              <w:right w:val="single" w:sz="4" w:space="0" w:color="auto"/>
            </w:tcBorders>
          </w:tcPr>
          <w:p w14:paraId="5950CF1B" w14:textId="77777777" w:rsidR="00265869" w:rsidRPr="00F33674" w:rsidRDefault="00265869" w:rsidP="00265869">
            <w:pPr>
              <w:rPr>
                <w:rFonts w:ascii="Arial Narrow" w:hAnsi="Arial Narrow" w:cs="Arial"/>
                <w:b/>
                <w:sz w:val="20"/>
                <w:szCs w:val="20"/>
              </w:rPr>
            </w:pPr>
            <w:r w:rsidRPr="00F33674">
              <w:rPr>
                <w:rFonts w:ascii="Arial Narrow" w:hAnsi="Arial Narrow" w:cs="Arial"/>
                <w:b/>
                <w:sz w:val="20"/>
                <w:szCs w:val="20"/>
              </w:rPr>
              <w:lastRenderedPageBreak/>
              <w:t>Prescriber instruction:</w:t>
            </w:r>
          </w:p>
        </w:tc>
        <w:tc>
          <w:tcPr>
            <w:tcW w:w="6031" w:type="dxa"/>
            <w:tcBorders>
              <w:top w:val="single" w:sz="4" w:space="0" w:color="auto"/>
              <w:left w:val="single" w:sz="4" w:space="0" w:color="auto"/>
              <w:bottom w:val="single" w:sz="4" w:space="0" w:color="auto"/>
              <w:right w:val="single" w:sz="4" w:space="0" w:color="auto"/>
            </w:tcBorders>
          </w:tcPr>
          <w:p w14:paraId="0C262457" w14:textId="77777777" w:rsidR="00265869" w:rsidRPr="00744FB8" w:rsidRDefault="00265869" w:rsidP="00265869">
            <w:pPr>
              <w:jc w:val="left"/>
              <w:rPr>
                <w:rFonts w:ascii="Arial Narrow" w:hAnsi="Arial Narrow" w:cs="Arial"/>
                <w:sz w:val="20"/>
                <w:szCs w:val="20"/>
              </w:rPr>
            </w:pPr>
            <w:r w:rsidRPr="00F33674">
              <w:rPr>
                <w:rFonts w:ascii="Arial Narrow" w:hAnsi="Arial Narrow" w:cs="Arial"/>
                <w:sz w:val="20"/>
                <w:szCs w:val="20"/>
              </w:rPr>
              <w:t xml:space="preserve">[new] </w:t>
            </w:r>
            <w:r w:rsidRPr="00744FB8">
              <w:rPr>
                <w:rFonts w:ascii="Arial Narrow" w:hAnsi="Arial Narrow" w:cs="Arial"/>
                <w:sz w:val="20"/>
                <w:szCs w:val="20"/>
              </w:rPr>
              <w:t>Authorities for increased maximum quantities and/or repeats must only be considered for chronic severe disabling pain where the patient has received initial authority approval and the total duration of non-PBS and PBS opioid analgesic treatment:</w:t>
            </w:r>
          </w:p>
          <w:p w14:paraId="2E4CD5CE" w14:textId="77777777" w:rsidR="00265869" w:rsidRPr="00744FB8" w:rsidRDefault="00265869" w:rsidP="00265869">
            <w:pPr>
              <w:jc w:val="left"/>
              <w:rPr>
                <w:rFonts w:ascii="Arial Narrow" w:hAnsi="Arial Narrow" w:cs="Arial"/>
                <w:sz w:val="20"/>
                <w:szCs w:val="20"/>
              </w:rPr>
            </w:pPr>
            <w:r w:rsidRPr="00744FB8">
              <w:rPr>
                <w:rFonts w:ascii="Arial Narrow" w:hAnsi="Arial Narrow" w:cs="Arial"/>
                <w:sz w:val="20"/>
                <w:szCs w:val="20"/>
              </w:rPr>
              <w:t>(i) is less than 12 months; or</w:t>
            </w:r>
          </w:p>
          <w:p w14:paraId="54B2FC27" w14:textId="77777777" w:rsidR="00265869" w:rsidRPr="00744FB8" w:rsidRDefault="00265869" w:rsidP="00265869">
            <w:pPr>
              <w:jc w:val="left"/>
              <w:rPr>
                <w:rFonts w:ascii="Arial Narrow" w:hAnsi="Arial Narrow" w:cs="Arial"/>
                <w:sz w:val="20"/>
                <w:szCs w:val="20"/>
              </w:rPr>
            </w:pPr>
            <w:r w:rsidRPr="00744FB8">
              <w:rPr>
                <w:rFonts w:ascii="Arial Narrow" w:hAnsi="Arial Narrow" w:cs="Arial"/>
                <w:sz w:val="20"/>
                <w:szCs w:val="20"/>
              </w:rPr>
              <w:t>(ii) exceeds 12 months and the palliative care patient is unable to have annual pain management review due to their clinical condition; or</w:t>
            </w:r>
          </w:p>
          <w:p w14:paraId="71804679" w14:textId="77777777" w:rsidR="00265869" w:rsidRPr="00744FB8" w:rsidRDefault="00265869" w:rsidP="00265869">
            <w:pPr>
              <w:jc w:val="left"/>
              <w:rPr>
                <w:rFonts w:ascii="Arial Narrow" w:hAnsi="Arial Narrow" w:cs="Arial"/>
                <w:sz w:val="20"/>
                <w:szCs w:val="20"/>
              </w:rPr>
            </w:pPr>
            <w:r w:rsidRPr="00744FB8">
              <w:rPr>
                <w:rFonts w:ascii="Arial Narrow" w:hAnsi="Arial Narrow" w:cs="Arial"/>
                <w:sz w:val="20"/>
                <w:szCs w:val="20"/>
              </w:rPr>
              <w:t>(iii) exceeds 12 months and the patient's clinical need for continuing opioid treatment has been confirmed through consultation with the patient by another medical practitioner or a palliative care nurse practitioner in the past 12 months; or</w:t>
            </w:r>
          </w:p>
          <w:p w14:paraId="611C75C8" w14:textId="77777777" w:rsidR="00265869" w:rsidRDefault="00265869" w:rsidP="00265869">
            <w:pPr>
              <w:jc w:val="left"/>
              <w:rPr>
                <w:rFonts w:ascii="Arial Narrow" w:hAnsi="Arial Narrow" w:cs="Arial"/>
                <w:sz w:val="20"/>
                <w:szCs w:val="20"/>
              </w:rPr>
            </w:pPr>
            <w:r w:rsidRPr="00744FB8">
              <w:rPr>
                <w:rFonts w:ascii="Arial Narrow" w:hAnsi="Arial Narrow" w:cs="Arial"/>
                <w:sz w:val="20"/>
                <w:szCs w:val="20"/>
              </w:rPr>
              <w:t xml:space="preserve">(iv) </w:t>
            </w:r>
            <w:proofErr w:type="gramStart"/>
            <w:r w:rsidRPr="00744FB8">
              <w:rPr>
                <w:rFonts w:ascii="Arial Narrow" w:hAnsi="Arial Narrow" w:cs="Arial"/>
                <w:sz w:val="20"/>
                <w:szCs w:val="20"/>
              </w:rPr>
              <w:t>has</w:t>
            </w:r>
            <w:proofErr w:type="gramEnd"/>
            <w:r w:rsidRPr="00744FB8">
              <w:rPr>
                <w:rFonts w:ascii="Arial Narrow" w:hAnsi="Arial Narrow" w:cs="Arial"/>
                <w:sz w:val="20"/>
                <w:szCs w:val="20"/>
              </w:rPr>
              <w:t xml:space="preserve"> exceeded 12 months prior to 1 June 2020 and the patient's pain management and clinical need for continuing opioid treatment has not been confirmed through consultation with the patient by another medical practitioner or a palliative care nurse practitioner in the past 12 months, but is planned in the next 3 months.</w:t>
            </w:r>
          </w:p>
          <w:p w14:paraId="1BDF742B" w14:textId="77777777" w:rsidR="00265869" w:rsidRPr="00F33674" w:rsidRDefault="00265869" w:rsidP="00265869">
            <w:pPr>
              <w:jc w:val="left"/>
              <w:rPr>
                <w:rFonts w:ascii="Arial Narrow" w:hAnsi="Arial Narrow" w:cs="Arial"/>
                <w:sz w:val="20"/>
                <w:szCs w:val="20"/>
              </w:rPr>
            </w:pPr>
          </w:p>
          <w:p w14:paraId="6678486C" w14:textId="77777777" w:rsidR="00265869" w:rsidRPr="00F33674" w:rsidRDefault="00265869" w:rsidP="00265869">
            <w:pPr>
              <w:jc w:val="left"/>
              <w:rPr>
                <w:rFonts w:ascii="Arial Narrow" w:hAnsi="Arial Narrow" w:cs="Arial"/>
                <w:sz w:val="20"/>
                <w:szCs w:val="20"/>
              </w:rPr>
            </w:pPr>
            <w:r w:rsidRPr="00F33674">
              <w:rPr>
                <w:rFonts w:ascii="Arial Narrow" w:hAnsi="Arial Narrow" w:cs="Arial"/>
                <w:sz w:val="20"/>
                <w:szCs w:val="20"/>
              </w:rPr>
              <w:t>[new] Authority requests extending treatment duration up to 1 month may be requested though the Online PBS Authorities system or by calling Services Australia.</w:t>
            </w:r>
          </w:p>
          <w:p w14:paraId="2F7F36EB" w14:textId="77777777" w:rsidR="00265869" w:rsidRPr="00F33674" w:rsidRDefault="00265869" w:rsidP="00265869">
            <w:pPr>
              <w:jc w:val="left"/>
              <w:rPr>
                <w:rFonts w:ascii="Arial Narrow" w:hAnsi="Arial Narrow" w:cs="Arial"/>
                <w:sz w:val="20"/>
                <w:szCs w:val="20"/>
              </w:rPr>
            </w:pPr>
          </w:p>
          <w:p w14:paraId="3E6AAD7D" w14:textId="77777777" w:rsidR="00265869" w:rsidRPr="00F33674" w:rsidRDefault="00265869" w:rsidP="00265869">
            <w:pPr>
              <w:jc w:val="left"/>
              <w:rPr>
                <w:rFonts w:ascii="Arial Narrow" w:hAnsi="Arial Narrow" w:cs="Arial"/>
                <w:sz w:val="20"/>
                <w:szCs w:val="20"/>
              </w:rPr>
            </w:pPr>
            <w:r w:rsidRPr="00F33674">
              <w:rPr>
                <w:rFonts w:ascii="Arial Narrow" w:hAnsi="Arial Narrow" w:cs="Arial"/>
                <w:sz w:val="20"/>
                <w:szCs w:val="20"/>
              </w:rPr>
              <w:t xml:space="preserve">Authority requests extending treatment duration beyond 1 month </w:t>
            </w:r>
            <w:r>
              <w:rPr>
                <w:rFonts w:ascii="Arial Narrow" w:hAnsi="Arial Narrow" w:cs="Arial"/>
                <w:sz w:val="20"/>
                <w:szCs w:val="20"/>
              </w:rPr>
              <w:t>may be requested through the Online PBS Authorities system</w:t>
            </w:r>
            <w:r w:rsidRPr="00F33674">
              <w:rPr>
                <w:rFonts w:ascii="Arial Narrow" w:hAnsi="Arial Narrow" w:cs="Arial"/>
                <w:sz w:val="20"/>
                <w:szCs w:val="20"/>
              </w:rPr>
              <w:t xml:space="preserve"> or in writing only and must not provide a treatment duration exceeding </w:t>
            </w:r>
            <w:r>
              <w:rPr>
                <w:rFonts w:ascii="Arial Narrow" w:hAnsi="Arial Narrow" w:cs="Arial"/>
                <w:sz w:val="20"/>
                <w:szCs w:val="20"/>
              </w:rPr>
              <w:t xml:space="preserve">3 months (quantity sufficient for up to </w:t>
            </w:r>
            <w:proofErr w:type="gramStart"/>
            <w:r>
              <w:rPr>
                <w:rFonts w:ascii="Arial Narrow" w:hAnsi="Arial Narrow" w:cs="Arial"/>
                <w:sz w:val="20"/>
                <w:szCs w:val="20"/>
              </w:rPr>
              <w:t>1 month</w:t>
            </w:r>
            <w:proofErr w:type="gramEnd"/>
            <w:r>
              <w:rPr>
                <w:rFonts w:ascii="Arial Narrow" w:hAnsi="Arial Narrow" w:cs="Arial"/>
                <w:sz w:val="20"/>
                <w:szCs w:val="20"/>
              </w:rPr>
              <w:t xml:space="preserve"> treatment and sufficient repeats).</w:t>
            </w:r>
          </w:p>
        </w:tc>
      </w:tr>
      <w:tr w:rsidR="00265869" w:rsidRPr="00F33674" w14:paraId="4CCB6FD5" w14:textId="77777777" w:rsidTr="00C21DFA">
        <w:trPr>
          <w:cantSplit/>
          <w:trHeight w:val="360"/>
        </w:trPr>
        <w:tc>
          <w:tcPr>
            <w:tcW w:w="3183" w:type="dxa"/>
            <w:tcBorders>
              <w:top w:val="single" w:sz="4" w:space="0" w:color="auto"/>
              <w:left w:val="single" w:sz="4" w:space="0" w:color="auto"/>
              <w:bottom w:val="single" w:sz="4" w:space="0" w:color="auto"/>
              <w:right w:val="single" w:sz="4" w:space="0" w:color="auto"/>
            </w:tcBorders>
          </w:tcPr>
          <w:p w14:paraId="79E978C9" w14:textId="659A60F9" w:rsidR="00265869" w:rsidRPr="00F33674" w:rsidRDefault="00265869" w:rsidP="00265869">
            <w:pPr>
              <w:rPr>
                <w:rFonts w:ascii="Arial Narrow" w:hAnsi="Arial Narrow" w:cs="Arial"/>
                <w:b/>
                <w:sz w:val="20"/>
                <w:szCs w:val="20"/>
              </w:rPr>
            </w:pPr>
            <w:r w:rsidRPr="00F33674">
              <w:rPr>
                <w:rFonts w:ascii="Arial Narrow" w:hAnsi="Arial Narrow" w:cs="Arial"/>
                <w:b/>
                <w:sz w:val="20"/>
                <w:szCs w:val="20"/>
              </w:rPr>
              <w:t>Administrative advice:</w:t>
            </w:r>
          </w:p>
        </w:tc>
        <w:tc>
          <w:tcPr>
            <w:tcW w:w="6031" w:type="dxa"/>
            <w:tcBorders>
              <w:top w:val="single" w:sz="4" w:space="0" w:color="auto"/>
              <w:left w:val="single" w:sz="4" w:space="0" w:color="auto"/>
              <w:bottom w:val="single" w:sz="4" w:space="0" w:color="auto"/>
              <w:right w:val="single" w:sz="4" w:space="0" w:color="auto"/>
            </w:tcBorders>
          </w:tcPr>
          <w:p w14:paraId="16196A0D" w14:textId="77777777" w:rsidR="00265869" w:rsidRPr="00F33674" w:rsidRDefault="00265869" w:rsidP="00265869">
            <w:pPr>
              <w:jc w:val="left"/>
              <w:rPr>
                <w:rFonts w:ascii="Arial Narrow" w:hAnsi="Arial Narrow"/>
                <w:sz w:val="20"/>
                <w:szCs w:val="20"/>
              </w:rPr>
            </w:pPr>
            <w:r w:rsidRPr="00F33674">
              <w:rPr>
                <w:rFonts w:ascii="Arial Narrow" w:hAnsi="Arial Narrow"/>
                <w:sz w:val="20"/>
                <w:szCs w:val="20"/>
              </w:rPr>
              <w:t xml:space="preserve">[13978] Fentanyl transdermal patches </w:t>
            </w:r>
            <w:proofErr w:type="gramStart"/>
            <w:r w:rsidRPr="00F33674">
              <w:rPr>
                <w:rFonts w:ascii="Arial Narrow" w:hAnsi="Arial Narrow"/>
                <w:sz w:val="20"/>
                <w:szCs w:val="20"/>
              </w:rPr>
              <w:t>are not recommended</w:t>
            </w:r>
            <w:proofErr w:type="gramEnd"/>
            <w:r w:rsidRPr="00F33674">
              <w:rPr>
                <w:rFonts w:ascii="Arial Narrow" w:hAnsi="Arial Narrow"/>
                <w:sz w:val="20"/>
                <w:szCs w:val="20"/>
              </w:rPr>
              <w:t xml:space="preserve"> in opioid naive patients with non-cancer pain because of a high incidence of adverse events in these patients. Patients with cancer pain </w:t>
            </w:r>
            <w:proofErr w:type="gramStart"/>
            <w:r w:rsidRPr="00F33674">
              <w:rPr>
                <w:rFonts w:ascii="Arial Narrow" w:hAnsi="Arial Narrow"/>
                <w:sz w:val="20"/>
                <w:szCs w:val="20"/>
              </w:rPr>
              <w:t>may be initiated</w:t>
            </w:r>
            <w:proofErr w:type="gramEnd"/>
            <w:r w:rsidRPr="00F33674">
              <w:rPr>
                <w:rFonts w:ascii="Arial Narrow" w:hAnsi="Arial Narrow"/>
                <w:sz w:val="20"/>
                <w:szCs w:val="20"/>
              </w:rPr>
              <w:t xml:space="preserve"> on the lowest strength patch (12 micrograms per hour).</w:t>
            </w:r>
          </w:p>
          <w:p w14:paraId="68062E6A" w14:textId="77777777" w:rsidR="00265869" w:rsidRPr="00F33674" w:rsidRDefault="00265869" w:rsidP="00265869">
            <w:pPr>
              <w:jc w:val="left"/>
              <w:rPr>
                <w:rFonts w:ascii="Arial Narrow" w:hAnsi="Arial Narrow"/>
                <w:sz w:val="20"/>
                <w:szCs w:val="20"/>
              </w:rPr>
            </w:pPr>
          </w:p>
          <w:p w14:paraId="502F9377" w14:textId="77777777" w:rsidR="00265869" w:rsidRPr="00F33674" w:rsidRDefault="00265869" w:rsidP="00265869">
            <w:pPr>
              <w:jc w:val="left"/>
              <w:rPr>
                <w:rFonts w:ascii="Arial Narrow" w:hAnsi="Arial Narrow"/>
                <w:sz w:val="20"/>
                <w:szCs w:val="20"/>
              </w:rPr>
            </w:pPr>
            <w:r w:rsidRPr="00F33674">
              <w:rPr>
                <w:rFonts w:ascii="Arial Narrow" w:hAnsi="Arial Narrow"/>
                <w:sz w:val="20"/>
                <w:szCs w:val="20"/>
              </w:rPr>
              <w:t>[new] Consider consultation with a multidisciplinary pain service prior to, or after commencement of this medication.</w:t>
            </w:r>
          </w:p>
          <w:p w14:paraId="4C3918D7" w14:textId="77777777" w:rsidR="00265869" w:rsidRPr="00F33674" w:rsidRDefault="00265869" w:rsidP="00265869">
            <w:pPr>
              <w:jc w:val="left"/>
              <w:rPr>
                <w:rFonts w:ascii="Arial Narrow" w:hAnsi="Arial Narrow"/>
                <w:sz w:val="20"/>
                <w:szCs w:val="20"/>
              </w:rPr>
            </w:pPr>
          </w:p>
          <w:p w14:paraId="457ADD6D" w14:textId="77777777" w:rsidR="00265869" w:rsidRPr="00F33674" w:rsidRDefault="00265869" w:rsidP="00265869">
            <w:pPr>
              <w:jc w:val="left"/>
              <w:rPr>
                <w:rFonts w:ascii="Arial Narrow" w:hAnsi="Arial Narrow" w:cs="Arial"/>
                <w:sz w:val="20"/>
                <w:szCs w:val="20"/>
              </w:rPr>
            </w:pPr>
            <w:r w:rsidRPr="00F33674">
              <w:rPr>
                <w:rFonts w:ascii="Arial Narrow" w:hAnsi="Arial Narrow" w:cs="Arial"/>
                <w:sz w:val="20"/>
                <w:szCs w:val="20"/>
              </w:rPr>
              <w:t>[new] This treatment is not suitable for ‘as-required’ pain relief.</w:t>
            </w:r>
          </w:p>
          <w:p w14:paraId="158D78F7" w14:textId="77777777" w:rsidR="00265869" w:rsidRPr="00F33674" w:rsidRDefault="00265869" w:rsidP="00265869">
            <w:pPr>
              <w:jc w:val="left"/>
              <w:rPr>
                <w:rFonts w:ascii="Arial Narrow" w:hAnsi="Arial Narrow"/>
                <w:sz w:val="20"/>
                <w:szCs w:val="20"/>
              </w:rPr>
            </w:pPr>
          </w:p>
          <w:p w14:paraId="6F665174" w14:textId="77777777" w:rsidR="00265869" w:rsidRPr="00F33674" w:rsidRDefault="00265869" w:rsidP="00265869">
            <w:pPr>
              <w:jc w:val="left"/>
              <w:rPr>
                <w:rFonts w:ascii="Arial Narrow" w:hAnsi="Arial Narrow" w:cs="Arial"/>
                <w:sz w:val="20"/>
                <w:szCs w:val="20"/>
              </w:rPr>
            </w:pPr>
            <w:r w:rsidRPr="00F33674">
              <w:rPr>
                <w:rFonts w:ascii="Arial Narrow" w:hAnsi="Arial Narrow" w:cs="Arial"/>
                <w:sz w:val="20"/>
                <w:szCs w:val="20"/>
              </w:rPr>
              <w:t>[13984] Pharmaceutical benefits that have the form fentanyl 100 microgram/hour patch are equivalent for the purposes of substitution.</w:t>
            </w:r>
          </w:p>
          <w:p w14:paraId="434FB20C" w14:textId="77777777" w:rsidR="00265869" w:rsidRPr="00F33674" w:rsidRDefault="00265869" w:rsidP="00265869">
            <w:pPr>
              <w:jc w:val="left"/>
              <w:rPr>
                <w:rFonts w:ascii="Arial Narrow" w:hAnsi="Arial Narrow" w:cs="Arial"/>
                <w:sz w:val="20"/>
                <w:szCs w:val="20"/>
              </w:rPr>
            </w:pPr>
          </w:p>
          <w:p w14:paraId="636E4735" w14:textId="77777777" w:rsidR="00265869" w:rsidRPr="00F33674" w:rsidRDefault="00265869" w:rsidP="00265869">
            <w:pPr>
              <w:jc w:val="left"/>
              <w:rPr>
                <w:rFonts w:ascii="Arial Narrow" w:hAnsi="Arial Narrow" w:cs="Arial"/>
                <w:sz w:val="20"/>
                <w:szCs w:val="20"/>
              </w:rPr>
            </w:pPr>
            <w:r w:rsidRPr="00F33674">
              <w:rPr>
                <w:rFonts w:ascii="Arial Narrow" w:hAnsi="Arial Narrow" w:cs="Arial"/>
                <w:sz w:val="20"/>
                <w:szCs w:val="20"/>
              </w:rPr>
              <w:t xml:space="preserve">[7901] Shared Care Model: For prescribing by nurse practitioners where care of a patient </w:t>
            </w:r>
            <w:proofErr w:type="gramStart"/>
            <w:r w:rsidRPr="00F33674">
              <w:rPr>
                <w:rFonts w:ascii="Arial Narrow" w:hAnsi="Arial Narrow" w:cs="Arial"/>
                <w:sz w:val="20"/>
                <w:szCs w:val="20"/>
              </w:rPr>
              <w:t>is shared</w:t>
            </w:r>
            <w:proofErr w:type="gramEnd"/>
            <w:r w:rsidRPr="00F33674">
              <w:rPr>
                <w:rFonts w:ascii="Arial Narrow" w:hAnsi="Arial Narrow" w:cs="Arial"/>
                <w:sz w:val="20"/>
                <w:szCs w:val="20"/>
              </w:rPr>
              <w:t xml:space="preserve"> between a nurse practitioner and medical practitioner in a formalised arrangement with an agreed management plan. Further information </w:t>
            </w:r>
            <w:proofErr w:type="gramStart"/>
            <w:r w:rsidRPr="00F33674">
              <w:rPr>
                <w:rFonts w:ascii="Arial Narrow" w:hAnsi="Arial Narrow" w:cs="Arial"/>
                <w:sz w:val="20"/>
                <w:szCs w:val="20"/>
              </w:rPr>
              <w:t>can be found</w:t>
            </w:r>
            <w:proofErr w:type="gramEnd"/>
            <w:r w:rsidRPr="00F33674">
              <w:rPr>
                <w:rFonts w:ascii="Arial Narrow" w:hAnsi="Arial Narrow" w:cs="Arial"/>
                <w:sz w:val="20"/>
                <w:szCs w:val="20"/>
              </w:rPr>
              <w:t xml:space="preserve"> in the Explanatory Notes for Nurse Practitioners.</w:t>
            </w:r>
          </w:p>
          <w:p w14:paraId="18AE95B9" w14:textId="77777777" w:rsidR="00265869" w:rsidRPr="00F33674" w:rsidRDefault="00265869" w:rsidP="00265869">
            <w:pPr>
              <w:jc w:val="left"/>
              <w:rPr>
                <w:rFonts w:ascii="Arial Narrow" w:hAnsi="Arial Narrow" w:cs="Arial"/>
                <w:sz w:val="20"/>
                <w:szCs w:val="20"/>
              </w:rPr>
            </w:pPr>
          </w:p>
          <w:p w14:paraId="7CB28909" w14:textId="77777777" w:rsidR="00265869" w:rsidRPr="00F33674" w:rsidRDefault="00265869" w:rsidP="00265869">
            <w:pPr>
              <w:jc w:val="left"/>
              <w:rPr>
                <w:rFonts w:ascii="Arial Narrow" w:hAnsi="Arial Narrow" w:cs="Arial"/>
                <w:sz w:val="20"/>
                <w:szCs w:val="20"/>
              </w:rPr>
            </w:pPr>
            <w:r w:rsidRPr="00F33674">
              <w:rPr>
                <w:rFonts w:ascii="Arial Narrow" w:hAnsi="Arial Narrow" w:cs="Arial"/>
                <w:sz w:val="20"/>
                <w:szCs w:val="20"/>
              </w:rPr>
              <w:t>[new] Real time online applications for increased maximum quantities/repeats may be made using the Online PBS Authorities system (see www.servicesaustralia.gov.au/organisations/health-professionals/services/medicare/hpos/services/request-authority-using-online-pbs-authorities-hpos)</w:t>
            </w:r>
          </w:p>
          <w:p w14:paraId="68400C43" w14:textId="77777777" w:rsidR="00265869" w:rsidRPr="00F33674" w:rsidRDefault="00265869" w:rsidP="00265869">
            <w:pPr>
              <w:jc w:val="left"/>
              <w:rPr>
                <w:rFonts w:ascii="Arial Narrow" w:hAnsi="Arial Narrow" w:cs="Arial"/>
                <w:sz w:val="20"/>
                <w:szCs w:val="20"/>
              </w:rPr>
            </w:pPr>
          </w:p>
          <w:p w14:paraId="7C23590D" w14:textId="77777777" w:rsidR="00265869" w:rsidRPr="00F33674" w:rsidRDefault="00265869" w:rsidP="00265869">
            <w:pPr>
              <w:jc w:val="left"/>
              <w:rPr>
                <w:rFonts w:ascii="Arial Narrow" w:hAnsi="Arial Narrow" w:cs="Arial"/>
                <w:sz w:val="20"/>
                <w:szCs w:val="20"/>
              </w:rPr>
            </w:pPr>
            <w:r w:rsidRPr="00F33674">
              <w:rPr>
                <w:rFonts w:ascii="Arial Narrow" w:hAnsi="Arial Narrow" w:cs="Arial"/>
                <w:sz w:val="20"/>
                <w:szCs w:val="20"/>
              </w:rPr>
              <w:t>Phone applications for increased maximum quantities/repeats may be made by calling 1800 888 333.</w:t>
            </w:r>
          </w:p>
          <w:p w14:paraId="731C4B72" w14:textId="77777777" w:rsidR="00265869" w:rsidRPr="00F33674" w:rsidRDefault="00265869" w:rsidP="00265869">
            <w:pPr>
              <w:jc w:val="left"/>
              <w:rPr>
                <w:rFonts w:ascii="Arial Narrow" w:hAnsi="Arial Narrow" w:cs="Arial"/>
                <w:sz w:val="20"/>
                <w:szCs w:val="20"/>
              </w:rPr>
            </w:pPr>
          </w:p>
          <w:p w14:paraId="1F873AD8" w14:textId="77777777" w:rsidR="00265869" w:rsidRPr="00F33674" w:rsidRDefault="00265869" w:rsidP="00265869">
            <w:pPr>
              <w:jc w:val="left"/>
              <w:rPr>
                <w:rFonts w:ascii="Arial Narrow" w:hAnsi="Arial Narrow" w:cs="Arial"/>
                <w:sz w:val="20"/>
                <w:szCs w:val="20"/>
              </w:rPr>
            </w:pPr>
            <w:r w:rsidRPr="00F33674">
              <w:rPr>
                <w:rFonts w:ascii="Arial Narrow" w:hAnsi="Arial Narrow" w:cs="Arial"/>
                <w:sz w:val="20"/>
                <w:szCs w:val="20"/>
              </w:rPr>
              <w:t>Written authority applications for increased maximum quantities/repeats can be uploaded online through HPOS form upload or mailed to:</w:t>
            </w:r>
          </w:p>
          <w:p w14:paraId="21E92FA3" w14:textId="77777777" w:rsidR="00265869" w:rsidRPr="00F33674" w:rsidRDefault="00265869" w:rsidP="00265869">
            <w:pPr>
              <w:jc w:val="left"/>
              <w:rPr>
                <w:rFonts w:ascii="Arial Narrow" w:hAnsi="Arial Narrow" w:cs="Arial"/>
                <w:sz w:val="20"/>
                <w:szCs w:val="20"/>
              </w:rPr>
            </w:pPr>
            <w:r w:rsidRPr="00F33674">
              <w:rPr>
                <w:rFonts w:ascii="Arial Narrow" w:hAnsi="Arial Narrow" w:cs="Arial"/>
                <w:sz w:val="20"/>
                <w:szCs w:val="20"/>
              </w:rPr>
              <w:t>Pharmaceutical Benefits Scheme</w:t>
            </w:r>
          </w:p>
          <w:p w14:paraId="09D5386A" w14:textId="77777777" w:rsidR="00265869" w:rsidRPr="00F33674" w:rsidRDefault="00265869" w:rsidP="00265869">
            <w:pPr>
              <w:jc w:val="left"/>
              <w:rPr>
                <w:rFonts w:ascii="Arial Narrow" w:hAnsi="Arial Narrow" w:cs="Arial"/>
                <w:sz w:val="20"/>
                <w:szCs w:val="20"/>
              </w:rPr>
            </w:pPr>
            <w:r w:rsidRPr="00F33674">
              <w:rPr>
                <w:rFonts w:ascii="Arial Narrow" w:hAnsi="Arial Narrow" w:cs="Arial"/>
                <w:sz w:val="20"/>
                <w:szCs w:val="20"/>
              </w:rPr>
              <w:t>Reply Paid 9857</w:t>
            </w:r>
          </w:p>
          <w:p w14:paraId="32359615" w14:textId="53E1F6D3" w:rsidR="00265869" w:rsidRPr="00F33674" w:rsidRDefault="00265869" w:rsidP="00265869">
            <w:pPr>
              <w:jc w:val="left"/>
              <w:rPr>
                <w:rFonts w:ascii="Arial Narrow" w:hAnsi="Arial Narrow" w:cs="Arial"/>
                <w:sz w:val="20"/>
                <w:szCs w:val="20"/>
              </w:rPr>
            </w:pPr>
            <w:r w:rsidRPr="00F33674">
              <w:rPr>
                <w:rFonts w:ascii="Arial Narrow" w:hAnsi="Arial Narrow" w:cs="Arial"/>
                <w:sz w:val="20"/>
                <w:szCs w:val="20"/>
              </w:rPr>
              <w:t>[Your capital city]</w:t>
            </w:r>
          </w:p>
        </w:tc>
      </w:tr>
      <w:tr w:rsidR="00265869" w:rsidRPr="00F33674" w14:paraId="01D36A0B" w14:textId="77777777" w:rsidTr="00C21DFA">
        <w:trPr>
          <w:cantSplit/>
          <w:trHeight w:val="360"/>
        </w:trPr>
        <w:tc>
          <w:tcPr>
            <w:tcW w:w="3183" w:type="dxa"/>
            <w:tcBorders>
              <w:top w:val="single" w:sz="4" w:space="0" w:color="auto"/>
              <w:left w:val="single" w:sz="4" w:space="0" w:color="auto"/>
              <w:bottom w:val="single" w:sz="4" w:space="0" w:color="auto"/>
              <w:right w:val="single" w:sz="4" w:space="0" w:color="auto"/>
            </w:tcBorders>
          </w:tcPr>
          <w:p w14:paraId="338E0DCE" w14:textId="77777777" w:rsidR="00265869" w:rsidRPr="00F33674" w:rsidRDefault="00265869" w:rsidP="00265869">
            <w:pPr>
              <w:rPr>
                <w:rFonts w:ascii="Arial Narrow" w:hAnsi="Arial Narrow" w:cs="Arial"/>
                <w:b/>
                <w:sz w:val="20"/>
                <w:szCs w:val="20"/>
              </w:rPr>
            </w:pPr>
            <w:r w:rsidRPr="00F33674">
              <w:rPr>
                <w:rFonts w:ascii="Arial Narrow" w:hAnsi="Arial Narrow" w:cs="Arial"/>
                <w:b/>
                <w:sz w:val="20"/>
                <w:szCs w:val="20"/>
              </w:rPr>
              <w:t>Cautions:</w:t>
            </w:r>
          </w:p>
        </w:tc>
        <w:tc>
          <w:tcPr>
            <w:tcW w:w="6031" w:type="dxa"/>
            <w:tcBorders>
              <w:top w:val="single" w:sz="4" w:space="0" w:color="auto"/>
              <w:left w:val="single" w:sz="4" w:space="0" w:color="auto"/>
              <w:bottom w:val="single" w:sz="4" w:space="0" w:color="auto"/>
              <w:right w:val="single" w:sz="4" w:space="0" w:color="auto"/>
            </w:tcBorders>
          </w:tcPr>
          <w:p w14:paraId="6BB45FFD" w14:textId="77777777" w:rsidR="00265869" w:rsidRPr="00F33674" w:rsidRDefault="00265869" w:rsidP="00265869">
            <w:pPr>
              <w:jc w:val="left"/>
              <w:rPr>
                <w:rFonts w:ascii="Arial Narrow" w:hAnsi="Arial Narrow" w:cs="Arial"/>
                <w:sz w:val="20"/>
                <w:szCs w:val="20"/>
              </w:rPr>
            </w:pPr>
            <w:r w:rsidRPr="00F33674">
              <w:rPr>
                <w:rFonts w:ascii="Arial Narrow" w:hAnsi="Arial Narrow" w:cs="Arial"/>
                <w:sz w:val="20"/>
                <w:szCs w:val="20"/>
              </w:rPr>
              <w:t>[6986] The risk of drug dependence is high.</w:t>
            </w:r>
          </w:p>
        </w:tc>
      </w:tr>
    </w:tbl>
    <w:p w14:paraId="3FB683B0" w14:textId="77777777" w:rsidR="00265869" w:rsidRDefault="00265869">
      <w:pPr>
        <w:jc w:val="left"/>
        <w:rPr>
          <w:rFonts w:asciiTheme="minorHAnsi" w:eastAsiaTheme="minorHAnsi" w:hAnsiTheme="minorHAnsi" w:cstheme="minorBidi"/>
          <w:szCs w:val="22"/>
        </w:rPr>
      </w:pPr>
      <w:r>
        <w:br w:type="page"/>
      </w:r>
    </w:p>
    <w:p w14:paraId="48948FB8" w14:textId="5B881B57" w:rsidR="00F33674" w:rsidRPr="00F33674" w:rsidRDefault="00F33674" w:rsidP="00243407">
      <w:pPr>
        <w:pStyle w:val="3-BodyText"/>
      </w:pPr>
      <w:r w:rsidRPr="00F33674">
        <w:lastRenderedPageBreak/>
        <w:t>Amend items:</w:t>
      </w:r>
    </w:p>
    <w:p w14:paraId="065A6F0C" w14:textId="77777777" w:rsidR="00F33674" w:rsidRPr="00F33674" w:rsidRDefault="00F33674" w:rsidP="00F33674">
      <w:pPr>
        <w:keepNext/>
        <w:keepLines/>
        <w:spacing w:before="40"/>
        <w:jc w:val="left"/>
        <w:outlineLvl w:val="2"/>
        <w:rPr>
          <w:rFonts w:asciiTheme="minorHAnsi" w:eastAsiaTheme="majorEastAsia" w:hAnsiTheme="minorHAnsi" w:cstheme="majorBidi"/>
          <w:b/>
          <w:color w:val="000000" w:themeColor="text1"/>
        </w:rPr>
      </w:pPr>
      <w:bookmarkStart w:id="44" w:name="_Toc32300609"/>
      <w:r w:rsidRPr="00F33674">
        <w:rPr>
          <w:rFonts w:asciiTheme="minorHAnsi" w:eastAsiaTheme="majorEastAsia" w:hAnsiTheme="minorHAnsi" w:cstheme="majorBidi"/>
          <w:b/>
          <w:color w:val="000000" w:themeColor="text1"/>
        </w:rPr>
        <w:t xml:space="preserve">Listing 25: Restriction for long-term pain TGA indication in </w:t>
      </w:r>
      <w:proofErr w:type="gramStart"/>
      <w:r w:rsidRPr="00F33674">
        <w:rPr>
          <w:rFonts w:asciiTheme="minorHAnsi" w:eastAsiaTheme="majorEastAsia" w:hAnsiTheme="minorHAnsi" w:cstheme="majorBidi"/>
          <w:b/>
          <w:color w:val="000000" w:themeColor="text1"/>
        </w:rPr>
        <w:t>2</w:t>
      </w:r>
      <w:r w:rsidRPr="00F33674">
        <w:rPr>
          <w:rFonts w:asciiTheme="minorHAnsi" w:eastAsiaTheme="majorEastAsia" w:hAnsiTheme="minorHAnsi" w:cstheme="majorBidi"/>
          <w:b/>
          <w:color w:val="000000" w:themeColor="text1"/>
          <w:vertAlign w:val="superscript"/>
        </w:rPr>
        <w:t>nd</w:t>
      </w:r>
      <w:proofErr w:type="gramEnd"/>
      <w:r w:rsidRPr="00F33674">
        <w:rPr>
          <w:rFonts w:asciiTheme="minorHAnsi" w:eastAsiaTheme="majorEastAsia" w:hAnsiTheme="minorHAnsi" w:cstheme="majorBidi"/>
          <w:b/>
          <w:color w:val="000000" w:themeColor="text1"/>
        </w:rPr>
        <w:t xml:space="preserve"> line opioid setting (hydromorphone MR tablets):</w:t>
      </w:r>
      <w:bookmarkEnd w:id="44"/>
    </w:p>
    <w:p w14:paraId="5662D3BC" w14:textId="77777777" w:rsidR="00F33674" w:rsidRPr="00F33674" w:rsidRDefault="00F33674" w:rsidP="00F33674">
      <w:pPr>
        <w:ind w:left="360" w:hanging="360"/>
        <w:contextualSpacing/>
        <w:jc w:val="left"/>
      </w:pPr>
    </w:p>
    <w:tbl>
      <w:tblPr>
        <w:tblW w:w="9388" w:type="dxa"/>
        <w:tblLook w:val="04A0" w:firstRow="1" w:lastRow="0" w:firstColumn="1" w:lastColumn="0" w:noHBand="0" w:noVBand="1"/>
      </w:tblPr>
      <w:tblGrid>
        <w:gridCol w:w="1842"/>
        <w:gridCol w:w="705"/>
        <w:gridCol w:w="2410"/>
        <w:gridCol w:w="836"/>
        <w:gridCol w:w="656"/>
        <w:gridCol w:w="1238"/>
        <w:gridCol w:w="1701"/>
      </w:tblGrid>
      <w:tr w:rsidR="00F33674" w:rsidRPr="00F33674" w14:paraId="7ED99274" w14:textId="77777777" w:rsidTr="00F33674">
        <w:trPr>
          <w:trHeight w:val="300"/>
        </w:trPr>
        <w:tc>
          <w:tcPr>
            <w:tcW w:w="1842" w:type="dxa"/>
            <w:tcBorders>
              <w:bottom w:val="single" w:sz="4" w:space="0" w:color="auto"/>
            </w:tcBorders>
            <w:shd w:val="clear" w:color="auto" w:fill="auto"/>
            <w:noWrap/>
            <w:hideMark/>
          </w:tcPr>
          <w:p w14:paraId="2861ABDD"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Legal Instrument Drug</w:t>
            </w:r>
          </w:p>
        </w:tc>
        <w:tc>
          <w:tcPr>
            <w:tcW w:w="705" w:type="dxa"/>
            <w:tcBorders>
              <w:bottom w:val="single" w:sz="4" w:space="0" w:color="auto"/>
            </w:tcBorders>
            <w:shd w:val="clear" w:color="auto" w:fill="auto"/>
          </w:tcPr>
          <w:p w14:paraId="460B0B96"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Item Code</w:t>
            </w:r>
          </w:p>
        </w:tc>
        <w:tc>
          <w:tcPr>
            <w:tcW w:w="2410" w:type="dxa"/>
            <w:tcBorders>
              <w:bottom w:val="single" w:sz="4" w:space="0" w:color="auto"/>
            </w:tcBorders>
            <w:shd w:val="clear" w:color="auto" w:fill="auto"/>
            <w:noWrap/>
            <w:hideMark/>
          </w:tcPr>
          <w:p w14:paraId="30C84C37"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Legal Instrument Form</w:t>
            </w:r>
          </w:p>
        </w:tc>
        <w:tc>
          <w:tcPr>
            <w:tcW w:w="836" w:type="dxa"/>
            <w:tcBorders>
              <w:bottom w:val="single" w:sz="4" w:space="0" w:color="auto"/>
            </w:tcBorders>
            <w:shd w:val="clear" w:color="auto" w:fill="auto"/>
            <w:noWrap/>
            <w:hideMark/>
          </w:tcPr>
          <w:p w14:paraId="0F20A1D7"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Max. Qty</w:t>
            </w:r>
          </w:p>
        </w:tc>
        <w:tc>
          <w:tcPr>
            <w:tcW w:w="656" w:type="dxa"/>
            <w:tcBorders>
              <w:bottom w:val="single" w:sz="4" w:space="0" w:color="auto"/>
            </w:tcBorders>
            <w:shd w:val="clear" w:color="auto" w:fill="auto"/>
            <w:noWrap/>
            <w:hideMark/>
          </w:tcPr>
          <w:p w14:paraId="71ED6FFF"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No. Rpt</w:t>
            </w:r>
          </w:p>
        </w:tc>
        <w:tc>
          <w:tcPr>
            <w:tcW w:w="1238" w:type="dxa"/>
            <w:tcBorders>
              <w:bottom w:val="single" w:sz="4" w:space="0" w:color="auto"/>
            </w:tcBorders>
            <w:shd w:val="clear" w:color="auto" w:fill="auto"/>
            <w:noWrap/>
            <w:hideMark/>
          </w:tcPr>
          <w:p w14:paraId="3CEE80FF"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Brand Name</w:t>
            </w:r>
          </w:p>
        </w:tc>
        <w:tc>
          <w:tcPr>
            <w:tcW w:w="1701" w:type="dxa"/>
            <w:tcBorders>
              <w:bottom w:val="single" w:sz="4" w:space="0" w:color="auto"/>
            </w:tcBorders>
            <w:shd w:val="clear" w:color="auto" w:fill="auto"/>
            <w:noWrap/>
            <w:hideMark/>
          </w:tcPr>
          <w:p w14:paraId="24D79E1D"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Responsible Person</w:t>
            </w:r>
          </w:p>
        </w:tc>
      </w:tr>
      <w:tr w:rsidR="00F33674" w:rsidRPr="00F33674" w14:paraId="25A4B1D5" w14:textId="77777777" w:rsidTr="00F33674">
        <w:trPr>
          <w:trHeight w:val="300"/>
        </w:trPr>
        <w:tc>
          <w:tcPr>
            <w:tcW w:w="1842" w:type="dxa"/>
            <w:tcBorders>
              <w:top w:val="single" w:sz="4" w:space="0" w:color="auto"/>
            </w:tcBorders>
            <w:shd w:val="clear" w:color="auto" w:fill="auto"/>
            <w:noWrap/>
            <w:hideMark/>
          </w:tcPr>
          <w:p w14:paraId="7BD456C3"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HYDROMORPHONE</w:t>
            </w:r>
          </w:p>
        </w:tc>
        <w:tc>
          <w:tcPr>
            <w:tcW w:w="705" w:type="dxa"/>
            <w:tcBorders>
              <w:top w:val="single" w:sz="4" w:space="0" w:color="auto"/>
            </w:tcBorders>
            <w:shd w:val="clear" w:color="auto" w:fill="auto"/>
          </w:tcPr>
          <w:p w14:paraId="1C1162F7"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9407D</w:t>
            </w:r>
          </w:p>
        </w:tc>
        <w:tc>
          <w:tcPr>
            <w:tcW w:w="2410" w:type="dxa"/>
            <w:tcBorders>
              <w:top w:val="single" w:sz="4" w:space="0" w:color="auto"/>
            </w:tcBorders>
            <w:shd w:val="clear" w:color="auto" w:fill="auto"/>
            <w:noWrap/>
            <w:hideMark/>
          </w:tcPr>
          <w:p w14:paraId="620E5567"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Tablet (modified release) containing hydromorphone hydrochloride 16 mg</w:t>
            </w:r>
          </w:p>
        </w:tc>
        <w:tc>
          <w:tcPr>
            <w:tcW w:w="836" w:type="dxa"/>
            <w:tcBorders>
              <w:top w:val="single" w:sz="4" w:space="0" w:color="auto"/>
            </w:tcBorders>
            <w:shd w:val="clear" w:color="auto" w:fill="auto"/>
            <w:noWrap/>
            <w:hideMark/>
          </w:tcPr>
          <w:p w14:paraId="5AEF28AF" w14:textId="77777777" w:rsidR="00F33674" w:rsidRPr="00F33674" w:rsidRDefault="00F33674" w:rsidP="00F33674">
            <w:pPr>
              <w:jc w:val="righ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14</w:t>
            </w:r>
          </w:p>
        </w:tc>
        <w:tc>
          <w:tcPr>
            <w:tcW w:w="656" w:type="dxa"/>
            <w:tcBorders>
              <w:top w:val="single" w:sz="4" w:space="0" w:color="auto"/>
            </w:tcBorders>
            <w:shd w:val="clear" w:color="auto" w:fill="auto"/>
            <w:noWrap/>
            <w:hideMark/>
          </w:tcPr>
          <w:p w14:paraId="23F89A5E" w14:textId="77777777" w:rsidR="00F33674" w:rsidRPr="00F33674" w:rsidRDefault="00F33674" w:rsidP="00F33674">
            <w:pPr>
              <w:jc w:val="righ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0</w:t>
            </w:r>
          </w:p>
        </w:tc>
        <w:tc>
          <w:tcPr>
            <w:tcW w:w="1238" w:type="dxa"/>
            <w:tcBorders>
              <w:top w:val="single" w:sz="4" w:space="0" w:color="auto"/>
            </w:tcBorders>
            <w:shd w:val="clear" w:color="auto" w:fill="auto"/>
            <w:noWrap/>
            <w:hideMark/>
          </w:tcPr>
          <w:p w14:paraId="1346C4FE"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Jurnista</w:t>
            </w:r>
          </w:p>
        </w:tc>
        <w:tc>
          <w:tcPr>
            <w:tcW w:w="1701" w:type="dxa"/>
            <w:tcBorders>
              <w:top w:val="single" w:sz="4" w:space="0" w:color="auto"/>
            </w:tcBorders>
            <w:shd w:val="clear" w:color="auto" w:fill="auto"/>
            <w:noWrap/>
            <w:hideMark/>
          </w:tcPr>
          <w:p w14:paraId="1D000AA2"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Janssen-Cilag Pty Ltd</w:t>
            </w:r>
          </w:p>
        </w:tc>
      </w:tr>
      <w:tr w:rsidR="00F33674" w:rsidRPr="00F33674" w14:paraId="53D1953A" w14:textId="77777777" w:rsidTr="00F33674">
        <w:trPr>
          <w:trHeight w:val="300"/>
        </w:trPr>
        <w:tc>
          <w:tcPr>
            <w:tcW w:w="1842" w:type="dxa"/>
            <w:shd w:val="clear" w:color="auto" w:fill="auto"/>
            <w:noWrap/>
          </w:tcPr>
          <w:p w14:paraId="3A470F12" w14:textId="77777777" w:rsidR="00F33674" w:rsidRPr="00F33674" w:rsidRDefault="00F33674" w:rsidP="00F33674">
            <w:pPr>
              <w:jc w:val="left"/>
              <w:rPr>
                <w:rFonts w:ascii="Arial Narrow" w:hAnsi="Arial Narrow" w:cs="Calibri"/>
                <w:color w:val="000000"/>
                <w:sz w:val="20"/>
                <w:szCs w:val="20"/>
                <w:lang w:eastAsia="en-AU"/>
              </w:rPr>
            </w:pPr>
          </w:p>
        </w:tc>
        <w:tc>
          <w:tcPr>
            <w:tcW w:w="705" w:type="dxa"/>
            <w:shd w:val="clear" w:color="auto" w:fill="auto"/>
          </w:tcPr>
          <w:p w14:paraId="531A0572"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9408E</w:t>
            </w:r>
          </w:p>
        </w:tc>
        <w:tc>
          <w:tcPr>
            <w:tcW w:w="2410" w:type="dxa"/>
            <w:shd w:val="clear" w:color="auto" w:fill="auto"/>
            <w:noWrap/>
            <w:hideMark/>
          </w:tcPr>
          <w:p w14:paraId="284FD370"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Tablet (modified release) containing hydromorphone hydrochloride 32 mg</w:t>
            </w:r>
          </w:p>
        </w:tc>
        <w:tc>
          <w:tcPr>
            <w:tcW w:w="836" w:type="dxa"/>
            <w:shd w:val="clear" w:color="auto" w:fill="auto"/>
            <w:noWrap/>
            <w:hideMark/>
          </w:tcPr>
          <w:p w14:paraId="196F2E2E" w14:textId="77777777" w:rsidR="00F33674" w:rsidRPr="00F33674" w:rsidRDefault="00F33674" w:rsidP="00F33674">
            <w:pPr>
              <w:jc w:val="righ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14</w:t>
            </w:r>
          </w:p>
        </w:tc>
        <w:tc>
          <w:tcPr>
            <w:tcW w:w="656" w:type="dxa"/>
            <w:shd w:val="clear" w:color="auto" w:fill="auto"/>
            <w:noWrap/>
            <w:hideMark/>
          </w:tcPr>
          <w:p w14:paraId="594B60EB" w14:textId="77777777" w:rsidR="00F33674" w:rsidRPr="00F33674" w:rsidRDefault="00F33674" w:rsidP="00F33674">
            <w:pPr>
              <w:jc w:val="righ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0</w:t>
            </w:r>
          </w:p>
        </w:tc>
        <w:tc>
          <w:tcPr>
            <w:tcW w:w="1238" w:type="dxa"/>
            <w:shd w:val="clear" w:color="auto" w:fill="auto"/>
            <w:noWrap/>
            <w:hideMark/>
          </w:tcPr>
          <w:p w14:paraId="3BD1F8C7"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Jurnista</w:t>
            </w:r>
          </w:p>
        </w:tc>
        <w:tc>
          <w:tcPr>
            <w:tcW w:w="1701" w:type="dxa"/>
            <w:shd w:val="clear" w:color="auto" w:fill="auto"/>
            <w:noWrap/>
            <w:hideMark/>
          </w:tcPr>
          <w:p w14:paraId="0141C93B"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Janssen-Cilag Pty Ltd</w:t>
            </w:r>
          </w:p>
        </w:tc>
      </w:tr>
      <w:tr w:rsidR="00F33674" w:rsidRPr="00F33674" w14:paraId="066E713E" w14:textId="77777777" w:rsidTr="00F33674">
        <w:trPr>
          <w:trHeight w:val="300"/>
        </w:trPr>
        <w:tc>
          <w:tcPr>
            <w:tcW w:w="1842" w:type="dxa"/>
            <w:shd w:val="clear" w:color="auto" w:fill="auto"/>
            <w:noWrap/>
          </w:tcPr>
          <w:p w14:paraId="2A56C623" w14:textId="77777777" w:rsidR="00F33674" w:rsidRPr="00F33674" w:rsidRDefault="00F33674" w:rsidP="00F33674">
            <w:pPr>
              <w:jc w:val="left"/>
              <w:rPr>
                <w:rFonts w:ascii="Arial Narrow" w:hAnsi="Arial Narrow" w:cs="Calibri"/>
                <w:color w:val="000000"/>
                <w:sz w:val="20"/>
                <w:szCs w:val="20"/>
                <w:lang w:eastAsia="en-AU"/>
              </w:rPr>
            </w:pPr>
          </w:p>
        </w:tc>
        <w:tc>
          <w:tcPr>
            <w:tcW w:w="705" w:type="dxa"/>
            <w:shd w:val="clear" w:color="auto" w:fill="auto"/>
          </w:tcPr>
          <w:p w14:paraId="5DFBF984"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9299K</w:t>
            </w:r>
          </w:p>
        </w:tc>
        <w:tc>
          <w:tcPr>
            <w:tcW w:w="2410" w:type="dxa"/>
            <w:shd w:val="clear" w:color="auto" w:fill="auto"/>
            <w:noWrap/>
            <w:hideMark/>
          </w:tcPr>
          <w:p w14:paraId="26A01DC3"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Tablet (modified release) containing hydromorphone hydrochloride 4 mg</w:t>
            </w:r>
          </w:p>
        </w:tc>
        <w:tc>
          <w:tcPr>
            <w:tcW w:w="836" w:type="dxa"/>
            <w:shd w:val="clear" w:color="auto" w:fill="auto"/>
            <w:noWrap/>
            <w:hideMark/>
          </w:tcPr>
          <w:p w14:paraId="67A28F63" w14:textId="77777777" w:rsidR="00F33674" w:rsidRPr="00F33674" w:rsidRDefault="00F33674" w:rsidP="00F33674">
            <w:pPr>
              <w:jc w:val="righ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14</w:t>
            </w:r>
          </w:p>
        </w:tc>
        <w:tc>
          <w:tcPr>
            <w:tcW w:w="656" w:type="dxa"/>
            <w:shd w:val="clear" w:color="auto" w:fill="auto"/>
            <w:noWrap/>
            <w:hideMark/>
          </w:tcPr>
          <w:p w14:paraId="6263C917" w14:textId="77777777" w:rsidR="00F33674" w:rsidRPr="00F33674" w:rsidRDefault="00F33674" w:rsidP="00F33674">
            <w:pPr>
              <w:jc w:val="righ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0</w:t>
            </w:r>
          </w:p>
        </w:tc>
        <w:tc>
          <w:tcPr>
            <w:tcW w:w="1238" w:type="dxa"/>
            <w:shd w:val="clear" w:color="auto" w:fill="auto"/>
            <w:noWrap/>
            <w:hideMark/>
          </w:tcPr>
          <w:p w14:paraId="2926686D"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Jurnista</w:t>
            </w:r>
          </w:p>
        </w:tc>
        <w:tc>
          <w:tcPr>
            <w:tcW w:w="1701" w:type="dxa"/>
            <w:shd w:val="clear" w:color="auto" w:fill="auto"/>
            <w:noWrap/>
            <w:hideMark/>
          </w:tcPr>
          <w:p w14:paraId="4180D4BF"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Janssen-Cilag Pty Ltd</w:t>
            </w:r>
          </w:p>
        </w:tc>
      </w:tr>
      <w:tr w:rsidR="00F33674" w:rsidRPr="00F33674" w14:paraId="084AD641" w14:textId="77777777" w:rsidTr="00F33674">
        <w:trPr>
          <w:trHeight w:val="300"/>
        </w:trPr>
        <w:tc>
          <w:tcPr>
            <w:tcW w:w="1842" w:type="dxa"/>
            <w:shd w:val="clear" w:color="auto" w:fill="auto"/>
            <w:noWrap/>
          </w:tcPr>
          <w:p w14:paraId="55FB006F" w14:textId="77777777" w:rsidR="00F33674" w:rsidRPr="00F33674" w:rsidRDefault="00F33674" w:rsidP="00F33674">
            <w:pPr>
              <w:jc w:val="left"/>
              <w:rPr>
                <w:rFonts w:ascii="Arial Narrow" w:hAnsi="Arial Narrow" w:cs="Calibri"/>
                <w:color w:val="000000"/>
                <w:sz w:val="20"/>
                <w:szCs w:val="20"/>
                <w:lang w:eastAsia="en-AU"/>
              </w:rPr>
            </w:pPr>
          </w:p>
        </w:tc>
        <w:tc>
          <w:tcPr>
            <w:tcW w:w="705" w:type="dxa"/>
            <w:shd w:val="clear" w:color="auto" w:fill="auto"/>
          </w:tcPr>
          <w:p w14:paraId="194C82E9"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9409F</w:t>
            </w:r>
          </w:p>
        </w:tc>
        <w:tc>
          <w:tcPr>
            <w:tcW w:w="2410" w:type="dxa"/>
            <w:shd w:val="clear" w:color="auto" w:fill="auto"/>
            <w:noWrap/>
            <w:hideMark/>
          </w:tcPr>
          <w:p w14:paraId="2746DD4B"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Tablet (modified release) containing hydromorphone hydrochloride 64 mg</w:t>
            </w:r>
          </w:p>
        </w:tc>
        <w:tc>
          <w:tcPr>
            <w:tcW w:w="836" w:type="dxa"/>
            <w:shd w:val="clear" w:color="auto" w:fill="auto"/>
            <w:noWrap/>
            <w:hideMark/>
          </w:tcPr>
          <w:p w14:paraId="64A44602" w14:textId="77777777" w:rsidR="00F33674" w:rsidRPr="00F33674" w:rsidRDefault="00F33674" w:rsidP="00F33674">
            <w:pPr>
              <w:jc w:val="righ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14</w:t>
            </w:r>
          </w:p>
        </w:tc>
        <w:tc>
          <w:tcPr>
            <w:tcW w:w="656" w:type="dxa"/>
            <w:shd w:val="clear" w:color="auto" w:fill="auto"/>
            <w:noWrap/>
            <w:hideMark/>
          </w:tcPr>
          <w:p w14:paraId="0D1EAAAC" w14:textId="77777777" w:rsidR="00F33674" w:rsidRPr="00F33674" w:rsidRDefault="00F33674" w:rsidP="00F33674">
            <w:pPr>
              <w:jc w:val="righ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0</w:t>
            </w:r>
          </w:p>
        </w:tc>
        <w:tc>
          <w:tcPr>
            <w:tcW w:w="1238" w:type="dxa"/>
            <w:shd w:val="clear" w:color="auto" w:fill="auto"/>
            <w:noWrap/>
            <w:hideMark/>
          </w:tcPr>
          <w:p w14:paraId="6C864A32"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Jurnista</w:t>
            </w:r>
          </w:p>
        </w:tc>
        <w:tc>
          <w:tcPr>
            <w:tcW w:w="1701" w:type="dxa"/>
            <w:shd w:val="clear" w:color="auto" w:fill="auto"/>
            <w:noWrap/>
            <w:hideMark/>
          </w:tcPr>
          <w:p w14:paraId="76D94577"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Janssen-Cilag Pty Ltd</w:t>
            </w:r>
          </w:p>
        </w:tc>
      </w:tr>
      <w:tr w:rsidR="00F33674" w:rsidRPr="00F33674" w14:paraId="21D820E7" w14:textId="77777777" w:rsidTr="00F33674">
        <w:trPr>
          <w:trHeight w:val="300"/>
        </w:trPr>
        <w:tc>
          <w:tcPr>
            <w:tcW w:w="1842" w:type="dxa"/>
            <w:shd w:val="clear" w:color="auto" w:fill="auto"/>
            <w:noWrap/>
          </w:tcPr>
          <w:p w14:paraId="3A0A1E02" w14:textId="77777777" w:rsidR="00F33674" w:rsidRPr="00F33674" w:rsidRDefault="00F33674" w:rsidP="00F33674">
            <w:pPr>
              <w:jc w:val="left"/>
              <w:rPr>
                <w:rFonts w:ascii="Arial Narrow" w:hAnsi="Arial Narrow" w:cs="Calibri"/>
                <w:color w:val="000000"/>
                <w:sz w:val="20"/>
                <w:szCs w:val="20"/>
                <w:lang w:eastAsia="en-AU"/>
              </w:rPr>
            </w:pPr>
          </w:p>
        </w:tc>
        <w:tc>
          <w:tcPr>
            <w:tcW w:w="705" w:type="dxa"/>
            <w:shd w:val="clear" w:color="auto" w:fill="auto"/>
          </w:tcPr>
          <w:p w14:paraId="312DF484"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9406C</w:t>
            </w:r>
          </w:p>
        </w:tc>
        <w:tc>
          <w:tcPr>
            <w:tcW w:w="2410" w:type="dxa"/>
            <w:shd w:val="clear" w:color="auto" w:fill="auto"/>
            <w:noWrap/>
            <w:hideMark/>
          </w:tcPr>
          <w:p w14:paraId="4B0A31DC"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Tablet (modified release) containing hydromorphone hydrochloride 8 mg</w:t>
            </w:r>
          </w:p>
        </w:tc>
        <w:tc>
          <w:tcPr>
            <w:tcW w:w="836" w:type="dxa"/>
            <w:shd w:val="clear" w:color="auto" w:fill="auto"/>
            <w:noWrap/>
            <w:hideMark/>
          </w:tcPr>
          <w:p w14:paraId="6127B0D1" w14:textId="77777777" w:rsidR="00F33674" w:rsidRPr="00F33674" w:rsidRDefault="00F33674" w:rsidP="00F33674">
            <w:pPr>
              <w:jc w:val="righ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14</w:t>
            </w:r>
          </w:p>
        </w:tc>
        <w:tc>
          <w:tcPr>
            <w:tcW w:w="656" w:type="dxa"/>
            <w:shd w:val="clear" w:color="auto" w:fill="auto"/>
            <w:noWrap/>
            <w:hideMark/>
          </w:tcPr>
          <w:p w14:paraId="4AB73158" w14:textId="77777777" w:rsidR="00F33674" w:rsidRPr="00F33674" w:rsidRDefault="00F33674" w:rsidP="00F33674">
            <w:pPr>
              <w:jc w:val="righ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0</w:t>
            </w:r>
          </w:p>
        </w:tc>
        <w:tc>
          <w:tcPr>
            <w:tcW w:w="1238" w:type="dxa"/>
            <w:shd w:val="clear" w:color="auto" w:fill="auto"/>
            <w:noWrap/>
            <w:hideMark/>
          </w:tcPr>
          <w:p w14:paraId="70ECDAA0"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Jurnista</w:t>
            </w:r>
          </w:p>
        </w:tc>
        <w:tc>
          <w:tcPr>
            <w:tcW w:w="1701" w:type="dxa"/>
            <w:shd w:val="clear" w:color="auto" w:fill="auto"/>
            <w:noWrap/>
            <w:hideMark/>
          </w:tcPr>
          <w:p w14:paraId="498C2E46"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Janssen-Cilag Pty Ltd</w:t>
            </w:r>
          </w:p>
        </w:tc>
      </w:tr>
    </w:tbl>
    <w:p w14:paraId="7B72FFDA" w14:textId="77777777" w:rsidR="00F33674" w:rsidRPr="00F33674" w:rsidRDefault="00F33674" w:rsidP="00F33674">
      <w:pPr>
        <w:ind w:left="360" w:hanging="360"/>
        <w:contextualSpacing/>
        <w:jc w:val="left"/>
      </w:pPr>
    </w:p>
    <w:tbl>
      <w:tblPr>
        <w:tblW w:w="9214" w:type="dxa"/>
        <w:tblInd w:w="-5" w:type="dxa"/>
        <w:tblLayout w:type="fixed"/>
        <w:tblLook w:val="0000" w:firstRow="0" w:lastRow="0" w:firstColumn="0" w:lastColumn="0" w:noHBand="0" w:noVBand="0"/>
      </w:tblPr>
      <w:tblGrid>
        <w:gridCol w:w="2835"/>
        <w:gridCol w:w="6379"/>
      </w:tblGrid>
      <w:tr w:rsidR="00F33674" w:rsidRPr="00F33674" w14:paraId="3ACD3194" w14:textId="77777777" w:rsidTr="00F33674">
        <w:trPr>
          <w:cantSplit/>
          <w:trHeight w:val="360"/>
        </w:trPr>
        <w:tc>
          <w:tcPr>
            <w:tcW w:w="2835" w:type="dxa"/>
            <w:tcBorders>
              <w:top w:val="single" w:sz="4" w:space="0" w:color="auto"/>
              <w:left w:val="single" w:sz="4" w:space="0" w:color="auto"/>
              <w:bottom w:val="single" w:sz="4" w:space="0" w:color="auto"/>
              <w:right w:val="single" w:sz="4" w:space="0" w:color="auto"/>
            </w:tcBorders>
          </w:tcPr>
          <w:p w14:paraId="05CE4868" w14:textId="77777777" w:rsidR="00F33674" w:rsidRPr="00F33674" w:rsidRDefault="00F33674" w:rsidP="00F33674">
            <w:pPr>
              <w:rPr>
                <w:rFonts w:ascii="Arial Narrow" w:hAnsi="Arial Narrow" w:cs="Arial"/>
                <w:b/>
                <w:sz w:val="20"/>
                <w:szCs w:val="20"/>
              </w:rPr>
            </w:pPr>
            <w:r w:rsidRPr="00F33674">
              <w:rPr>
                <w:rFonts w:ascii="Arial Narrow" w:hAnsi="Arial Narrow" w:cs="Arial"/>
                <w:b/>
                <w:sz w:val="20"/>
                <w:szCs w:val="20"/>
              </w:rPr>
              <w:t>Category / Program:</w:t>
            </w:r>
          </w:p>
        </w:tc>
        <w:tc>
          <w:tcPr>
            <w:tcW w:w="6379" w:type="dxa"/>
            <w:tcBorders>
              <w:top w:val="single" w:sz="4" w:space="0" w:color="auto"/>
              <w:left w:val="single" w:sz="4" w:space="0" w:color="auto"/>
              <w:bottom w:val="single" w:sz="4" w:space="0" w:color="auto"/>
              <w:right w:val="single" w:sz="4" w:space="0" w:color="auto"/>
            </w:tcBorders>
          </w:tcPr>
          <w:p w14:paraId="55BC7B26" w14:textId="77777777" w:rsidR="00F33674" w:rsidRPr="00F33674" w:rsidRDefault="00F33674" w:rsidP="00F33674">
            <w:pPr>
              <w:rPr>
                <w:rFonts w:ascii="Arial Narrow" w:hAnsi="Arial Narrow" w:cs="Arial"/>
                <w:sz w:val="20"/>
                <w:szCs w:val="20"/>
              </w:rPr>
            </w:pPr>
            <w:r w:rsidRPr="00F33674">
              <w:rPr>
                <w:rFonts w:ascii="Arial Narrow" w:hAnsi="Arial Narrow" w:cs="Arial"/>
                <w:sz w:val="20"/>
                <w:szCs w:val="20"/>
              </w:rPr>
              <w:t>GENERAL – General Schedule (Code GE)</w:t>
            </w:r>
          </w:p>
        </w:tc>
      </w:tr>
      <w:tr w:rsidR="00F33674" w:rsidRPr="00F33674" w14:paraId="0D3CCC15" w14:textId="77777777" w:rsidTr="00F33674">
        <w:trPr>
          <w:cantSplit/>
          <w:trHeight w:val="360"/>
        </w:trPr>
        <w:tc>
          <w:tcPr>
            <w:tcW w:w="2835" w:type="dxa"/>
            <w:tcBorders>
              <w:top w:val="single" w:sz="4" w:space="0" w:color="auto"/>
              <w:left w:val="single" w:sz="4" w:space="0" w:color="auto"/>
              <w:bottom w:val="single" w:sz="4" w:space="0" w:color="auto"/>
              <w:right w:val="single" w:sz="4" w:space="0" w:color="auto"/>
            </w:tcBorders>
          </w:tcPr>
          <w:p w14:paraId="6CF3CD42" w14:textId="77777777" w:rsidR="00F33674" w:rsidRPr="00F33674" w:rsidRDefault="00F33674" w:rsidP="00F33674">
            <w:pPr>
              <w:rPr>
                <w:rFonts w:ascii="Arial Narrow" w:hAnsi="Arial Narrow" w:cs="Arial"/>
                <w:b/>
                <w:sz w:val="20"/>
                <w:szCs w:val="20"/>
              </w:rPr>
            </w:pPr>
            <w:r w:rsidRPr="00F33674">
              <w:rPr>
                <w:rFonts w:ascii="Arial Narrow" w:hAnsi="Arial Narrow" w:cs="Arial"/>
                <w:b/>
                <w:sz w:val="20"/>
                <w:szCs w:val="20"/>
              </w:rPr>
              <w:t>Prescriber type:</w:t>
            </w:r>
          </w:p>
          <w:p w14:paraId="60165CA7" w14:textId="77777777" w:rsidR="00F33674" w:rsidRPr="00F33674" w:rsidRDefault="00F33674" w:rsidP="00F33674">
            <w:pPr>
              <w:rPr>
                <w:rFonts w:ascii="Arial Narrow" w:hAnsi="Arial Narrow" w:cs="Arial"/>
                <w:b/>
                <w:sz w:val="20"/>
                <w:szCs w:val="20"/>
              </w:rPr>
            </w:pPr>
          </w:p>
        </w:tc>
        <w:tc>
          <w:tcPr>
            <w:tcW w:w="6379" w:type="dxa"/>
            <w:tcBorders>
              <w:top w:val="single" w:sz="4" w:space="0" w:color="auto"/>
              <w:left w:val="single" w:sz="4" w:space="0" w:color="auto"/>
              <w:bottom w:val="single" w:sz="4" w:space="0" w:color="auto"/>
              <w:right w:val="single" w:sz="4" w:space="0" w:color="auto"/>
            </w:tcBorders>
          </w:tcPr>
          <w:p w14:paraId="54ED6049" w14:textId="34D295C2" w:rsidR="00F33674" w:rsidRPr="00F33674" w:rsidRDefault="00F33674" w:rsidP="00F33674">
            <w:pPr>
              <w:rPr>
                <w:rFonts w:ascii="Arial Narrow" w:hAnsi="Arial Narrow" w:cs="Arial"/>
                <w:sz w:val="20"/>
                <w:szCs w:val="20"/>
              </w:rPr>
            </w:pPr>
            <w:r w:rsidRPr="00F33674">
              <w:rPr>
                <w:rFonts w:ascii="Arial Narrow" w:hAnsi="Arial Narrow" w:cs="Arial"/>
                <w:sz w:val="20"/>
                <w:szCs w:val="20"/>
              </w:rPr>
              <w:fldChar w:fldCharType="begin">
                <w:ffData>
                  <w:name w:val="Check1"/>
                  <w:enabled/>
                  <w:calcOnExit w:val="0"/>
                  <w:checkBox>
                    <w:sizeAuto/>
                    <w:default w:val="0"/>
                  </w:checkBox>
                </w:ffData>
              </w:fldChar>
            </w:r>
            <w:r w:rsidRPr="00F33674">
              <w:rPr>
                <w:rFonts w:ascii="Arial Narrow" w:hAnsi="Arial Narrow" w:cs="Arial"/>
                <w:sz w:val="20"/>
                <w:szCs w:val="20"/>
              </w:rPr>
              <w:instrText xml:space="preserve"> FORMCHECKBOX </w:instrText>
            </w:r>
            <w:r w:rsidR="00233D13">
              <w:rPr>
                <w:rFonts w:ascii="Arial Narrow" w:hAnsi="Arial Narrow" w:cs="Arial"/>
                <w:sz w:val="20"/>
                <w:szCs w:val="20"/>
              </w:rPr>
            </w:r>
            <w:r w:rsidR="00233D13">
              <w:rPr>
                <w:rFonts w:ascii="Arial Narrow" w:hAnsi="Arial Narrow" w:cs="Arial"/>
                <w:sz w:val="20"/>
                <w:szCs w:val="20"/>
              </w:rPr>
              <w:fldChar w:fldCharType="separate"/>
            </w:r>
            <w:r w:rsidRPr="00F33674">
              <w:rPr>
                <w:rFonts w:ascii="Arial Narrow" w:hAnsi="Arial Narrow" w:cs="Arial"/>
                <w:sz w:val="20"/>
                <w:szCs w:val="20"/>
              </w:rPr>
              <w:fldChar w:fldCharType="end"/>
            </w:r>
            <w:r w:rsidRPr="00F33674">
              <w:rPr>
                <w:rFonts w:ascii="Arial Narrow" w:hAnsi="Arial Narrow" w:cs="Arial"/>
                <w:sz w:val="20"/>
                <w:szCs w:val="20"/>
              </w:rPr>
              <w:t>Dental</w:t>
            </w:r>
            <w:r w:rsidR="002C1329">
              <w:rPr>
                <w:rFonts w:ascii="Arial Narrow" w:hAnsi="Arial Narrow" w:cs="Arial"/>
                <w:sz w:val="20"/>
                <w:szCs w:val="20"/>
              </w:rPr>
              <w:t xml:space="preserve"> </w:t>
            </w:r>
            <w:r w:rsidRPr="00F33674">
              <w:rPr>
                <w:rFonts w:ascii="Arial Narrow" w:hAnsi="Arial Narrow" w:cs="Arial"/>
                <w:sz w:val="20"/>
                <w:szCs w:val="20"/>
              </w:rPr>
              <w:fldChar w:fldCharType="begin">
                <w:ffData>
                  <w:name w:val=""/>
                  <w:enabled/>
                  <w:calcOnExit w:val="0"/>
                  <w:checkBox>
                    <w:sizeAuto/>
                    <w:default w:val="1"/>
                  </w:checkBox>
                </w:ffData>
              </w:fldChar>
            </w:r>
            <w:r w:rsidRPr="00F33674">
              <w:rPr>
                <w:rFonts w:ascii="Arial Narrow" w:hAnsi="Arial Narrow" w:cs="Arial"/>
                <w:sz w:val="20"/>
                <w:szCs w:val="20"/>
              </w:rPr>
              <w:instrText xml:space="preserve"> FORMCHECKBOX </w:instrText>
            </w:r>
            <w:r w:rsidR="00233D13">
              <w:rPr>
                <w:rFonts w:ascii="Arial Narrow" w:hAnsi="Arial Narrow" w:cs="Arial"/>
                <w:sz w:val="20"/>
                <w:szCs w:val="20"/>
              </w:rPr>
            </w:r>
            <w:r w:rsidR="00233D13">
              <w:rPr>
                <w:rFonts w:ascii="Arial Narrow" w:hAnsi="Arial Narrow" w:cs="Arial"/>
                <w:sz w:val="20"/>
                <w:szCs w:val="20"/>
              </w:rPr>
              <w:fldChar w:fldCharType="separate"/>
            </w:r>
            <w:r w:rsidRPr="00F33674">
              <w:rPr>
                <w:rFonts w:ascii="Arial Narrow" w:hAnsi="Arial Narrow" w:cs="Arial"/>
                <w:sz w:val="20"/>
                <w:szCs w:val="20"/>
              </w:rPr>
              <w:fldChar w:fldCharType="end"/>
            </w:r>
            <w:r w:rsidRPr="00F33674">
              <w:rPr>
                <w:rFonts w:ascii="Arial Narrow" w:hAnsi="Arial Narrow" w:cs="Arial"/>
                <w:sz w:val="20"/>
                <w:szCs w:val="20"/>
              </w:rPr>
              <w:t>Medical Practitioners</w:t>
            </w:r>
            <w:r w:rsidR="002C1329">
              <w:rPr>
                <w:rFonts w:ascii="Arial Narrow" w:hAnsi="Arial Narrow" w:cs="Arial"/>
                <w:sz w:val="20"/>
                <w:szCs w:val="20"/>
              </w:rPr>
              <w:t xml:space="preserve"> </w:t>
            </w:r>
            <w:r w:rsidRPr="00F33674">
              <w:rPr>
                <w:rFonts w:ascii="Arial Narrow" w:hAnsi="Arial Narrow" w:cs="Arial"/>
                <w:sz w:val="20"/>
                <w:szCs w:val="20"/>
              </w:rPr>
              <w:fldChar w:fldCharType="begin">
                <w:ffData>
                  <w:name w:val="Check3"/>
                  <w:enabled/>
                  <w:calcOnExit w:val="0"/>
                  <w:checkBox>
                    <w:sizeAuto/>
                    <w:default w:val="1"/>
                  </w:checkBox>
                </w:ffData>
              </w:fldChar>
            </w:r>
            <w:r w:rsidRPr="00F33674">
              <w:rPr>
                <w:rFonts w:ascii="Arial Narrow" w:hAnsi="Arial Narrow" w:cs="Arial"/>
                <w:sz w:val="20"/>
                <w:szCs w:val="20"/>
              </w:rPr>
              <w:instrText xml:space="preserve"> FORMCHECKBOX </w:instrText>
            </w:r>
            <w:r w:rsidR="00233D13">
              <w:rPr>
                <w:rFonts w:ascii="Arial Narrow" w:hAnsi="Arial Narrow" w:cs="Arial"/>
                <w:sz w:val="20"/>
                <w:szCs w:val="20"/>
              </w:rPr>
            </w:r>
            <w:r w:rsidR="00233D13">
              <w:rPr>
                <w:rFonts w:ascii="Arial Narrow" w:hAnsi="Arial Narrow" w:cs="Arial"/>
                <w:sz w:val="20"/>
                <w:szCs w:val="20"/>
              </w:rPr>
              <w:fldChar w:fldCharType="separate"/>
            </w:r>
            <w:r w:rsidRPr="00F33674">
              <w:rPr>
                <w:rFonts w:ascii="Arial Narrow" w:hAnsi="Arial Narrow" w:cs="Arial"/>
                <w:sz w:val="20"/>
                <w:szCs w:val="20"/>
              </w:rPr>
              <w:fldChar w:fldCharType="end"/>
            </w:r>
            <w:r w:rsidRPr="00F33674">
              <w:rPr>
                <w:rFonts w:ascii="Arial Narrow" w:hAnsi="Arial Narrow" w:cs="Arial"/>
                <w:sz w:val="20"/>
                <w:szCs w:val="20"/>
              </w:rPr>
              <w:t>Nurse practitioners</w:t>
            </w:r>
            <w:r w:rsidR="002C1329">
              <w:rPr>
                <w:rFonts w:ascii="Arial Narrow" w:hAnsi="Arial Narrow" w:cs="Arial"/>
                <w:sz w:val="20"/>
                <w:szCs w:val="20"/>
              </w:rPr>
              <w:t xml:space="preserve"> </w:t>
            </w:r>
            <w:r w:rsidRPr="00F33674">
              <w:rPr>
                <w:rFonts w:ascii="Arial Narrow" w:hAnsi="Arial Narrow" w:cs="Arial"/>
                <w:sz w:val="20"/>
                <w:szCs w:val="20"/>
              </w:rPr>
              <w:fldChar w:fldCharType="begin">
                <w:ffData>
                  <w:name w:val=""/>
                  <w:enabled/>
                  <w:calcOnExit w:val="0"/>
                  <w:checkBox>
                    <w:sizeAuto/>
                    <w:default w:val="0"/>
                  </w:checkBox>
                </w:ffData>
              </w:fldChar>
            </w:r>
            <w:r w:rsidRPr="00F33674">
              <w:rPr>
                <w:rFonts w:ascii="Arial Narrow" w:hAnsi="Arial Narrow" w:cs="Arial"/>
                <w:sz w:val="20"/>
                <w:szCs w:val="20"/>
              </w:rPr>
              <w:instrText xml:space="preserve"> FORMCHECKBOX </w:instrText>
            </w:r>
            <w:r w:rsidR="00233D13">
              <w:rPr>
                <w:rFonts w:ascii="Arial Narrow" w:hAnsi="Arial Narrow" w:cs="Arial"/>
                <w:sz w:val="20"/>
                <w:szCs w:val="20"/>
              </w:rPr>
            </w:r>
            <w:r w:rsidR="00233D13">
              <w:rPr>
                <w:rFonts w:ascii="Arial Narrow" w:hAnsi="Arial Narrow" w:cs="Arial"/>
                <w:sz w:val="20"/>
                <w:szCs w:val="20"/>
              </w:rPr>
              <w:fldChar w:fldCharType="separate"/>
            </w:r>
            <w:r w:rsidRPr="00F33674">
              <w:rPr>
                <w:rFonts w:ascii="Arial Narrow" w:hAnsi="Arial Narrow" w:cs="Arial"/>
                <w:sz w:val="20"/>
                <w:szCs w:val="20"/>
              </w:rPr>
              <w:fldChar w:fldCharType="end"/>
            </w:r>
            <w:r w:rsidRPr="00F33674">
              <w:rPr>
                <w:rFonts w:ascii="Arial Narrow" w:hAnsi="Arial Narrow" w:cs="Arial"/>
                <w:sz w:val="20"/>
                <w:szCs w:val="20"/>
              </w:rPr>
              <w:t>Optometrists</w:t>
            </w:r>
          </w:p>
          <w:p w14:paraId="3193C6C2" w14:textId="77777777" w:rsidR="00F33674" w:rsidRPr="00F33674" w:rsidRDefault="00F33674" w:rsidP="00F33674">
            <w:pPr>
              <w:rPr>
                <w:rFonts w:ascii="Arial Narrow" w:hAnsi="Arial Narrow" w:cs="Arial"/>
                <w:sz w:val="20"/>
                <w:szCs w:val="20"/>
              </w:rPr>
            </w:pPr>
            <w:r w:rsidRPr="00F33674">
              <w:rPr>
                <w:rFonts w:ascii="Arial Narrow" w:hAnsi="Arial Narrow" w:cs="Arial"/>
                <w:sz w:val="20"/>
                <w:szCs w:val="20"/>
              </w:rPr>
              <w:fldChar w:fldCharType="begin">
                <w:ffData>
                  <w:name w:val="Check5"/>
                  <w:enabled/>
                  <w:calcOnExit w:val="0"/>
                  <w:checkBox>
                    <w:sizeAuto/>
                    <w:default w:val="0"/>
                  </w:checkBox>
                </w:ffData>
              </w:fldChar>
            </w:r>
            <w:r w:rsidRPr="00F33674">
              <w:rPr>
                <w:rFonts w:ascii="Arial Narrow" w:hAnsi="Arial Narrow" w:cs="Arial"/>
                <w:sz w:val="20"/>
                <w:szCs w:val="20"/>
              </w:rPr>
              <w:instrText xml:space="preserve"> FORMCHECKBOX </w:instrText>
            </w:r>
            <w:r w:rsidR="00233D13">
              <w:rPr>
                <w:rFonts w:ascii="Arial Narrow" w:hAnsi="Arial Narrow" w:cs="Arial"/>
                <w:sz w:val="20"/>
                <w:szCs w:val="20"/>
              </w:rPr>
            </w:r>
            <w:r w:rsidR="00233D13">
              <w:rPr>
                <w:rFonts w:ascii="Arial Narrow" w:hAnsi="Arial Narrow" w:cs="Arial"/>
                <w:sz w:val="20"/>
                <w:szCs w:val="20"/>
              </w:rPr>
              <w:fldChar w:fldCharType="separate"/>
            </w:r>
            <w:r w:rsidRPr="00F33674">
              <w:rPr>
                <w:rFonts w:ascii="Arial Narrow" w:hAnsi="Arial Narrow" w:cs="Arial"/>
                <w:sz w:val="20"/>
                <w:szCs w:val="20"/>
              </w:rPr>
              <w:fldChar w:fldCharType="end"/>
            </w:r>
            <w:r w:rsidRPr="00F33674">
              <w:rPr>
                <w:rFonts w:ascii="Arial Narrow" w:hAnsi="Arial Narrow" w:cs="Arial"/>
                <w:sz w:val="20"/>
                <w:szCs w:val="20"/>
              </w:rPr>
              <w:t>Midwives</w:t>
            </w:r>
          </w:p>
        </w:tc>
      </w:tr>
      <w:tr w:rsidR="00F33674" w:rsidRPr="00F33674" w14:paraId="6D0C40BB" w14:textId="77777777" w:rsidTr="00F33674">
        <w:trPr>
          <w:cantSplit/>
          <w:trHeight w:val="369"/>
        </w:trPr>
        <w:tc>
          <w:tcPr>
            <w:tcW w:w="2835" w:type="dxa"/>
            <w:tcBorders>
              <w:top w:val="single" w:sz="4" w:space="0" w:color="auto"/>
              <w:left w:val="single" w:sz="4" w:space="0" w:color="auto"/>
              <w:bottom w:val="single" w:sz="4" w:space="0" w:color="auto"/>
              <w:right w:val="single" w:sz="4" w:space="0" w:color="auto"/>
            </w:tcBorders>
          </w:tcPr>
          <w:p w14:paraId="706DFFAB" w14:textId="77777777" w:rsidR="00F33674" w:rsidRPr="00F33674" w:rsidRDefault="00F33674" w:rsidP="00F33674">
            <w:pPr>
              <w:rPr>
                <w:rFonts w:ascii="Arial Narrow" w:hAnsi="Arial Narrow" w:cs="Arial"/>
                <w:b/>
                <w:sz w:val="20"/>
                <w:szCs w:val="20"/>
              </w:rPr>
            </w:pPr>
            <w:r w:rsidRPr="00F33674">
              <w:rPr>
                <w:rFonts w:ascii="Arial Narrow" w:hAnsi="Arial Narrow" w:cs="Arial"/>
                <w:b/>
                <w:sz w:val="20"/>
                <w:szCs w:val="20"/>
              </w:rPr>
              <w:t>PBS indication:</w:t>
            </w:r>
          </w:p>
        </w:tc>
        <w:tc>
          <w:tcPr>
            <w:tcW w:w="6379" w:type="dxa"/>
            <w:tcBorders>
              <w:top w:val="single" w:sz="4" w:space="0" w:color="auto"/>
              <w:left w:val="single" w:sz="4" w:space="0" w:color="auto"/>
              <w:bottom w:val="single" w:sz="4" w:space="0" w:color="auto"/>
              <w:right w:val="single" w:sz="4" w:space="0" w:color="auto"/>
            </w:tcBorders>
          </w:tcPr>
          <w:p w14:paraId="46F62C3F" w14:textId="77777777" w:rsidR="00F33674" w:rsidRPr="00F33674" w:rsidRDefault="00F33674" w:rsidP="00F33674">
            <w:pPr>
              <w:rPr>
                <w:rFonts w:ascii="Arial Narrow" w:hAnsi="Arial Narrow" w:cs="Arial"/>
                <w:sz w:val="20"/>
                <w:szCs w:val="20"/>
              </w:rPr>
            </w:pPr>
            <w:r w:rsidRPr="00F33674">
              <w:rPr>
                <w:rFonts w:ascii="Arial Narrow" w:hAnsi="Arial Narrow" w:cs="Arial"/>
                <w:sz w:val="20"/>
                <w:szCs w:val="20"/>
              </w:rPr>
              <w:t>[new] Chronic severe pain</w:t>
            </w:r>
          </w:p>
        </w:tc>
      </w:tr>
      <w:tr w:rsidR="00F33674" w:rsidRPr="00F33674" w14:paraId="1916568B" w14:textId="77777777" w:rsidTr="00F33674">
        <w:trPr>
          <w:cantSplit/>
          <w:trHeight w:val="360"/>
        </w:trPr>
        <w:tc>
          <w:tcPr>
            <w:tcW w:w="2835" w:type="dxa"/>
            <w:tcBorders>
              <w:top w:val="single" w:sz="4" w:space="0" w:color="auto"/>
              <w:left w:val="single" w:sz="4" w:space="0" w:color="auto"/>
              <w:bottom w:val="single" w:sz="4" w:space="0" w:color="auto"/>
              <w:right w:val="single" w:sz="4" w:space="0" w:color="auto"/>
            </w:tcBorders>
          </w:tcPr>
          <w:p w14:paraId="0A1C2998" w14:textId="77777777" w:rsidR="00F33674" w:rsidRPr="00F33674" w:rsidRDefault="00F33674" w:rsidP="00F33674">
            <w:pPr>
              <w:rPr>
                <w:rFonts w:ascii="Arial Narrow" w:hAnsi="Arial Narrow" w:cs="Arial"/>
                <w:b/>
                <w:sz w:val="20"/>
                <w:szCs w:val="20"/>
              </w:rPr>
            </w:pPr>
            <w:r w:rsidRPr="00F33674">
              <w:rPr>
                <w:rFonts w:ascii="Arial Narrow" w:hAnsi="Arial Narrow" w:cs="Arial"/>
                <w:b/>
                <w:sz w:val="20"/>
                <w:szCs w:val="20"/>
              </w:rPr>
              <w:t>Restriction Level / Method:</w:t>
            </w:r>
          </w:p>
          <w:p w14:paraId="75744FCF" w14:textId="77777777" w:rsidR="00F33674" w:rsidRPr="00F33674" w:rsidRDefault="00F33674" w:rsidP="00F33674">
            <w:pPr>
              <w:rPr>
                <w:rFonts w:ascii="Arial Narrow" w:hAnsi="Arial Narrow" w:cs="Arial"/>
                <w:i/>
                <w:sz w:val="20"/>
                <w:szCs w:val="20"/>
              </w:rPr>
            </w:pPr>
          </w:p>
          <w:p w14:paraId="0A269CC2" w14:textId="77777777" w:rsidR="00F33674" w:rsidRPr="00F33674" w:rsidRDefault="00F33674" w:rsidP="00F33674">
            <w:pPr>
              <w:rPr>
                <w:rFonts w:ascii="Arial Narrow" w:hAnsi="Arial Narrow" w:cs="Arial"/>
                <w:i/>
                <w:sz w:val="20"/>
                <w:szCs w:val="20"/>
              </w:rPr>
            </w:pPr>
          </w:p>
          <w:p w14:paraId="065868F7" w14:textId="77777777" w:rsidR="00F33674" w:rsidRPr="00F33674" w:rsidRDefault="00F33674" w:rsidP="00F33674">
            <w:pPr>
              <w:rPr>
                <w:rFonts w:ascii="Arial Narrow" w:hAnsi="Arial Narrow" w:cs="Arial"/>
                <w:i/>
                <w:sz w:val="20"/>
                <w:szCs w:val="20"/>
              </w:rPr>
            </w:pPr>
          </w:p>
        </w:tc>
        <w:tc>
          <w:tcPr>
            <w:tcW w:w="6379" w:type="dxa"/>
            <w:tcBorders>
              <w:top w:val="single" w:sz="4" w:space="0" w:color="auto"/>
              <w:left w:val="single" w:sz="4" w:space="0" w:color="auto"/>
              <w:bottom w:val="single" w:sz="4" w:space="0" w:color="auto"/>
              <w:right w:val="single" w:sz="4" w:space="0" w:color="auto"/>
            </w:tcBorders>
          </w:tcPr>
          <w:p w14:paraId="08BF7ED6" w14:textId="77777777" w:rsidR="00F33674" w:rsidRPr="00F33674" w:rsidRDefault="00F33674" w:rsidP="00F33674">
            <w:pPr>
              <w:rPr>
                <w:rFonts w:ascii="Arial Narrow" w:hAnsi="Arial Narrow" w:cs="Arial"/>
                <w:sz w:val="20"/>
                <w:szCs w:val="20"/>
              </w:rPr>
            </w:pPr>
            <w:r w:rsidRPr="00F33674">
              <w:rPr>
                <w:rFonts w:ascii="Arial Narrow" w:hAnsi="Arial Narrow" w:cs="Arial"/>
                <w:sz w:val="20"/>
                <w:szCs w:val="20"/>
              </w:rPr>
              <w:fldChar w:fldCharType="begin">
                <w:ffData>
                  <w:name w:val=""/>
                  <w:enabled/>
                  <w:calcOnExit w:val="0"/>
                  <w:checkBox>
                    <w:sizeAuto/>
                    <w:default w:val="0"/>
                  </w:checkBox>
                </w:ffData>
              </w:fldChar>
            </w:r>
            <w:r w:rsidRPr="00F33674">
              <w:rPr>
                <w:rFonts w:ascii="Arial Narrow" w:hAnsi="Arial Narrow" w:cs="Arial"/>
                <w:sz w:val="20"/>
                <w:szCs w:val="20"/>
              </w:rPr>
              <w:instrText xml:space="preserve"> FORMCHECKBOX </w:instrText>
            </w:r>
            <w:r w:rsidR="00233D13">
              <w:rPr>
                <w:rFonts w:ascii="Arial Narrow" w:hAnsi="Arial Narrow" w:cs="Arial"/>
                <w:sz w:val="20"/>
                <w:szCs w:val="20"/>
              </w:rPr>
            </w:r>
            <w:r w:rsidR="00233D13">
              <w:rPr>
                <w:rFonts w:ascii="Arial Narrow" w:hAnsi="Arial Narrow" w:cs="Arial"/>
                <w:sz w:val="20"/>
                <w:szCs w:val="20"/>
              </w:rPr>
              <w:fldChar w:fldCharType="separate"/>
            </w:r>
            <w:r w:rsidRPr="00F33674">
              <w:rPr>
                <w:rFonts w:ascii="Arial Narrow" w:hAnsi="Arial Narrow" w:cs="Arial"/>
                <w:sz w:val="20"/>
                <w:szCs w:val="20"/>
              </w:rPr>
              <w:fldChar w:fldCharType="end"/>
            </w:r>
            <w:r w:rsidRPr="00F33674">
              <w:rPr>
                <w:rFonts w:ascii="Arial Narrow" w:hAnsi="Arial Narrow" w:cs="Arial"/>
                <w:sz w:val="20"/>
                <w:szCs w:val="20"/>
              </w:rPr>
              <w:t>Unrestricted benefit</w:t>
            </w:r>
          </w:p>
          <w:p w14:paraId="35718693" w14:textId="77777777" w:rsidR="00F33674" w:rsidRPr="00F33674" w:rsidRDefault="00F33674" w:rsidP="00F33674">
            <w:pPr>
              <w:rPr>
                <w:rFonts w:ascii="Arial Narrow" w:hAnsi="Arial Narrow" w:cs="Arial"/>
                <w:i/>
                <w:sz w:val="20"/>
                <w:szCs w:val="20"/>
              </w:rPr>
            </w:pPr>
            <w:r w:rsidRPr="00F33674">
              <w:rPr>
                <w:rFonts w:ascii="Arial Narrow" w:hAnsi="Arial Narrow" w:cs="Arial"/>
                <w:i/>
                <w:sz w:val="20"/>
                <w:szCs w:val="20"/>
              </w:rPr>
              <w:fldChar w:fldCharType="begin">
                <w:ffData>
                  <w:name w:val=""/>
                  <w:enabled/>
                  <w:calcOnExit w:val="0"/>
                  <w:checkBox>
                    <w:sizeAuto/>
                    <w:default w:val="0"/>
                  </w:checkBox>
                </w:ffData>
              </w:fldChar>
            </w:r>
            <w:r w:rsidRPr="00F33674">
              <w:rPr>
                <w:rFonts w:ascii="Arial Narrow" w:hAnsi="Arial Narrow" w:cs="Arial"/>
                <w:i/>
                <w:sz w:val="20"/>
                <w:szCs w:val="20"/>
              </w:rPr>
              <w:instrText xml:space="preserve"> FORMCHECKBOX </w:instrText>
            </w:r>
            <w:r w:rsidR="00233D13">
              <w:rPr>
                <w:rFonts w:ascii="Arial Narrow" w:hAnsi="Arial Narrow" w:cs="Arial"/>
                <w:i/>
                <w:sz w:val="20"/>
                <w:szCs w:val="20"/>
              </w:rPr>
            </w:r>
            <w:r w:rsidR="00233D13">
              <w:rPr>
                <w:rFonts w:ascii="Arial Narrow" w:hAnsi="Arial Narrow" w:cs="Arial"/>
                <w:i/>
                <w:sz w:val="20"/>
                <w:szCs w:val="20"/>
              </w:rPr>
              <w:fldChar w:fldCharType="separate"/>
            </w:r>
            <w:r w:rsidRPr="00F33674">
              <w:rPr>
                <w:rFonts w:ascii="Arial Narrow" w:hAnsi="Arial Narrow" w:cs="Arial"/>
                <w:i/>
                <w:sz w:val="20"/>
                <w:szCs w:val="20"/>
              </w:rPr>
              <w:fldChar w:fldCharType="end"/>
            </w:r>
            <w:r w:rsidRPr="00F33674">
              <w:rPr>
                <w:rFonts w:ascii="Arial Narrow" w:hAnsi="Arial Narrow" w:cs="Arial"/>
                <w:sz w:val="20"/>
                <w:szCs w:val="20"/>
              </w:rPr>
              <w:t>Restricted benefit</w:t>
            </w:r>
          </w:p>
          <w:p w14:paraId="5F447D08" w14:textId="77777777" w:rsidR="00F33674" w:rsidRPr="00F33674" w:rsidRDefault="00F33674" w:rsidP="00F33674">
            <w:pPr>
              <w:rPr>
                <w:rFonts w:ascii="Arial Narrow" w:hAnsi="Arial Narrow" w:cs="Arial"/>
                <w:sz w:val="20"/>
                <w:szCs w:val="20"/>
              </w:rPr>
            </w:pPr>
            <w:r w:rsidRPr="00F33674">
              <w:rPr>
                <w:rFonts w:ascii="Arial Narrow" w:hAnsi="Arial Narrow" w:cs="Arial"/>
                <w:sz w:val="20"/>
                <w:szCs w:val="20"/>
              </w:rPr>
              <w:fldChar w:fldCharType="begin">
                <w:ffData>
                  <w:name w:val=""/>
                  <w:enabled/>
                  <w:calcOnExit w:val="0"/>
                  <w:checkBox>
                    <w:sizeAuto/>
                    <w:default w:val="0"/>
                  </w:checkBox>
                </w:ffData>
              </w:fldChar>
            </w:r>
            <w:r w:rsidRPr="00F33674">
              <w:rPr>
                <w:rFonts w:ascii="Arial Narrow" w:hAnsi="Arial Narrow" w:cs="Arial"/>
                <w:sz w:val="20"/>
                <w:szCs w:val="20"/>
              </w:rPr>
              <w:instrText xml:space="preserve"> FORMCHECKBOX </w:instrText>
            </w:r>
            <w:r w:rsidR="00233D13">
              <w:rPr>
                <w:rFonts w:ascii="Arial Narrow" w:hAnsi="Arial Narrow" w:cs="Arial"/>
                <w:sz w:val="20"/>
                <w:szCs w:val="20"/>
              </w:rPr>
            </w:r>
            <w:r w:rsidR="00233D13">
              <w:rPr>
                <w:rFonts w:ascii="Arial Narrow" w:hAnsi="Arial Narrow" w:cs="Arial"/>
                <w:sz w:val="20"/>
                <w:szCs w:val="20"/>
              </w:rPr>
              <w:fldChar w:fldCharType="separate"/>
            </w:r>
            <w:r w:rsidRPr="00F33674">
              <w:rPr>
                <w:rFonts w:ascii="Arial Narrow" w:hAnsi="Arial Narrow" w:cs="Arial"/>
                <w:sz w:val="20"/>
                <w:szCs w:val="20"/>
              </w:rPr>
              <w:fldChar w:fldCharType="end"/>
            </w:r>
            <w:r w:rsidRPr="00F33674">
              <w:rPr>
                <w:rFonts w:ascii="Arial Narrow" w:hAnsi="Arial Narrow" w:cs="Arial"/>
                <w:sz w:val="20"/>
                <w:szCs w:val="20"/>
              </w:rPr>
              <w:t>Authority Required – In Writing</w:t>
            </w:r>
          </w:p>
          <w:p w14:paraId="617D8E9F" w14:textId="77777777" w:rsidR="00F33674" w:rsidRPr="00F33674" w:rsidRDefault="00F33674" w:rsidP="00F33674">
            <w:pPr>
              <w:rPr>
                <w:rFonts w:ascii="Arial Narrow" w:hAnsi="Arial Narrow" w:cs="Arial"/>
                <w:sz w:val="20"/>
                <w:szCs w:val="20"/>
              </w:rPr>
            </w:pPr>
            <w:r w:rsidRPr="00F33674">
              <w:rPr>
                <w:rFonts w:ascii="Arial Narrow" w:hAnsi="Arial Narrow" w:cs="Arial"/>
                <w:sz w:val="20"/>
                <w:szCs w:val="20"/>
              </w:rPr>
              <w:fldChar w:fldCharType="begin">
                <w:ffData>
                  <w:name w:val="Check3"/>
                  <w:enabled/>
                  <w:calcOnExit w:val="0"/>
                  <w:checkBox>
                    <w:sizeAuto/>
                    <w:default w:val="0"/>
                  </w:checkBox>
                </w:ffData>
              </w:fldChar>
            </w:r>
            <w:r w:rsidRPr="00F33674">
              <w:rPr>
                <w:rFonts w:ascii="Arial Narrow" w:hAnsi="Arial Narrow" w:cs="Arial"/>
                <w:sz w:val="20"/>
                <w:szCs w:val="20"/>
              </w:rPr>
              <w:instrText xml:space="preserve"> FORMCHECKBOX </w:instrText>
            </w:r>
            <w:r w:rsidR="00233D13">
              <w:rPr>
                <w:rFonts w:ascii="Arial Narrow" w:hAnsi="Arial Narrow" w:cs="Arial"/>
                <w:sz w:val="20"/>
                <w:szCs w:val="20"/>
              </w:rPr>
            </w:r>
            <w:r w:rsidR="00233D13">
              <w:rPr>
                <w:rFonts w:ascii="Arial Narrow" w:hAnsi="Arial Narrow" w:cs="Arial"/>
                <w:sz w:val="20"/>
                <w:szCs w:val="20"/>
              </w:rPr>
              <w:fldChar w:fldCharType="separate"/>
            </w:r>
            <w:r w:rsidRPr="00F33674">
              <w:rPr>
                <w:rFonts w:ascii="Arial Narrow" w:hAnsi="Arial Narrow" w:cs="Arial"/>
                <w:sz w:val="20"/>
                <w:szCs w:val="20"/>
              </w:rPr>
              <w:fldChar w:fldCharType="end"/>
            </w:r>
            <w:r w:rsidRPr="00F33674">
              <w:rPr>
                <w:rFonts w:ascii="Arial Narrow" w:hAnsi="Arial Narrow" w:cs="Arial"/>
                <w:sz w:val="20"/>
                <w:szCs w:val="20"/>
              </w:rPr>
              <w:t>Authority Required – Telephone/Electronic/Emergency</w:t>
            </w:r>
          </w:p>
          <w:p w14:paraId="28D54720" w14:textId="77777777" w:rsidR="00F33674" w:rsidRPr="00F33674" w:rsidRDefault="00F33674" w:rsidP="00F33674">
            <w:pPr>
              <w:rPr>
                <w:rFonts w:ascii="Arial Narrow" w:hAnsi="Arial Narrow" w:cs="Arial"/>
                <w:sz w:val="20"/>
                <w:szCs w:val="20"/>
              </w:rPr>
            </w:pPr>
            <w:r w:rsidRPr="00F33674">
              <w:rPr>
                <w:rFonts w:ascii="Arial Narrow" w:hAnsi="Arial Narrow" w:cs="Arial"/>
                <w:sz w:val="20"/>
                <w:szCs w:val="20"/>
              </w:rPr>
              <w:fldChar w:fldCharType="begin">
                <w:ffData>
                  <w:name w:val="Check5"/>
                  <w:enabled/>
                  <w:calcOnExit w:val="0"/>
                  <w:checkBox>
                    <w:sizeAuto/>
                    <w:default w:val="1"/>
                  </w:checkBox>
                </w:ffData>
              </w:fldChar>
            </w:r>
            <w:r w:rsidRPr="00F33674">
              <w:rPr>
                <w:rFonts w:ascii="Arial Narrow" w:hAnsi="Arial Narrow" w:cs="Arial"/>
                <w:sz w:val="20"/>
                <w:szCs w:val="20"/>
              </w:rPr>
              <w:instrText xml:space="preserve"> FORMCHECKBOX </w:instrText>
            </w:r>
            <w:r w:rsidR="00233D13">
              <w:rPr>
                <w:rFonts w:ascii="Arial Narrow" w:hAnsi="Arial Narrow" w:cs="Arial"/>
                <w:sz w:val="20"/>
                <w:szCs w:val="20"/>
              </w:rPr>
            </w:r>
            <w:r w:rsidR="00233D13">
              <w:rPr>
                <w:rFonts w:ascii="Arial Narrow" w:hAnsi="Arial Narrow" w:cs="Arial"/>
                <w:sz w:val="20"/>
                <w:szCs w:val="20"/>
              </w:rPr>
              <w:fldChar w:fldCharType="separate"/>
            </w:r>
            <w:r w:rsidRPr="00F33674">
              <w:rPr>
                <w:rFonts w:ascii="Arial Narrow" w:hAnsi="Arial Narrow" w:cs="Arial"/>
                <w:sz w:val="20"/>
                <w:szCs w:val="20"/>
              </w:rPr>
              <w:fldChar w:fldCharType="end"/>
            </w:r>
            <w:r w:rsidRPr="00F33674">
              <w:rPr>
                <w:rFonts w:ascii="Arial Narrow" w:hAnsi="Arial Narrow" w:cs="Arial"/>
                <w:sz w:val="20"/>
                <w:szCs w:val="20"/>
              </w:rPr>
              <w:t>Streamlined</w:t>
            </w:r>
          </w:p>
        </w:tc>
      </w:tr>
      <w:tr w:rsidR="004811F3" w:rsidRPr="00F33674" w14:paraId="5193FFB4" w14:textId="77777777" w:rsidTr="00F33674">
        <w:trPr>
          <w:cantSplit/>
          <w:trHeight w:val="360"/>
        </w:trPr>
        <w:tc>
          <w:tcPr>
            <w:tcW w:w="2835" w:type="dxa"/>
            <w:tcBorders>
              <w:top w:val="single" w:sz="4" w:space="0" w:color="auto"/>
              <w:left w:val="single" w:sz="4" w:space="0" w:color="auto"/>
              <w:bottom w:val="single" w:sz="4" w:space="0" w:color="auto"/>
              <w:right w:val="single" w:sz="4" w:space="0" w:color="auto"/>
            </w:tcBorders>
          </w:tcPr>
          <w:p w14:paraId="5518973C" w14:textId="35C58418" w:rsidR="004811F3" w:rsidRPr="00F33674" w:rsidRDefault="004811F3" w:rsidP="00F33674">
            <w:pPr>
              <w:rPr>
                <w:rFonts w:ascii="Arial Narrow" w:hAnsi="Arial Narrow" w:cs="Arial"/>
                <w:b/>
                <w:sz w:val="20"/>
                <w:szCs w:val="20"/>
              </w:rPr>
            </w:pPr>
            <w:r>
              <w:rPr>
                <w:rFonts w:ascii="Arial Narrow" w:hAnsi="Arial Narrow" w:cs="Arial"/>
                <w:b/>
                <w:sz w:val="20"/>
                <w:szCs w:val="20"/>
              </w:rPr>
              <w:t>Treatment phase:</w:t>
            </w:r>
          </w:p>
        </w:tc>
        <w:tc>
          <w:tcPr>
            <w:tcW w:w="6379" w:type="dxa"/>
            <w:tcBorders>
              <w:top w:val="single" w:sz="4" w:space="0" w:color="auto"/>
              <w:left w:val="single" w:sz="4" w:space="0" w:color="auto"/>
              <w:bottom w:val="single" w:sz="4" w:space="0" w:color="auto"/>
              <w:right w:val="single" w:sz="4" w:space="0" w:color="auto"/>
            </w:tcBorders>
          </w:tcPr>
          <w:p w14:paraId="2B6EB7F5" w14:textId="339FF50E" w:rsidR="004811F3" w:rsidRPr="00F33674" w:rsidRDefault="00662CE2" w:rsidP="00F33674">
            <w:pPr>
              <w:jc w:val="left"/>
              <w:rPr>
                <w:rFonts w:ascii="Arial Narrow" w:hAnsi="Arial Narrow" w:cs="Arial"/>
                <w:sz w:val="20"/>
                <w:szCs w:val="20"/>
              </w:rPr>
            </w:pPr>
            <w:r w:rsidRPr="00662CE2">
              <w:rPr>
                <w:rFonts w:ascii="Arial Narrow" w:hAnsi="Arial Narrow" w:cs="Arial"/>
                <w:sz w:val="20"/>
                <w:szCs w:val="20"/>
              </w:rPr>
              <w:t xml:space="preserve">Initial PBS treatment after 1 June 2020 where patient </w:t>
            </w:r>
            <w:proofErr w:type="gramStart"/>
            <w:r w:rsidRPr="00662CE2">
              <w:rPr>
                <w:rFonts w:ascii="Arial Narrow" w:hAnsi="Arial Narrow" w:cs="Arial"/>
                <w:sz w:val="20"/>
                <w:szCs w:val="20"/>
              </w:rPr>
              <w:t>has been treated</w:t>
            </w:r>
            <w:proofErr w:type="gramEnd"/>
            <w:r w:rsidRPr="00662CE2">
              <w:rPr>
                <w:rFonts w:ascii="Arial Narrow" w:hAnsi="Arial Narrow" w:cs="Arial"/>
                <w:sz w:val="20"/>
                <w:szCs w:val="20"/>
              </w:rPr>
              <w:t xml:space="preserve"> with opioids for less than 12 months</w:t>
            </w:r>
            <w:r>
              <w:rPr>
                <w:rFonts w:ascii="Arial Narrow" w:hAnsi="Arial Narrow" w:cs="Arial"/>
                <w:sz w:val="20"/>
                <w:szCs w:val="20"/>
              </w:rPr>
              <w:t>.</w:t>
            </w:r>
          </w:p>
        </w:tc>
      </w:tr>
      <w:tr w:rsidR="00F33674" w:rsidRPr="00F33674" w14:paraId="4535C2D5" w14:textId="77777777" w:rsidTr="00F33674">
        <w:trPr>
          <w:cantSplit/>
          <w:trHeight w:val="360"/>
        </w:trPr>
        <w:tc>
          <w:tcPr>
            <w:tcW w:w="2835" w:type="dxa"/>
            <w:tcBorders>
              <w:top w:val="single" w:sz="4" w:space="0" w:color="auto"/>
              <w:left w:val="single" w:sz="4" w:space="0" w:color="auto"/>
              <w:bottom w:val="single" w:sz="4" w:space="0" w:color="auto"/>
              <w:right w:val="single" w:sz="4" w:space="0" w:color="auto"/>
            </w:tcBorders>
          </w:tcPr>
          <w:p w14:paraId="0902C3A7" w14:textId="77777777" w:rsidR="00F33674" w:rsidRPr="00F33674" w:rsidRDefault="00F33674" w:rsidP="00F33674">
            <w:pPr>
              <w:rPr>
                <w:rFonts w:ascii="Arial Narrow" w:hAnsi="Arial Narrow" w:cs="Arial"/>
                <w:b/>
                <w:sz w:val="20"/>
                <w:szCs w:val="20"/>
              </w:rPr>
            </w:pPr>
            <w:r w:rsidRPr="00F33674">
              <w:rPr>
                <w:rFonts w:ascii="Arial Narrow" w:hAnsi="Arial Narrow" w:cs="Arial"/>
                <w:b/>
                <w:sz w:val="20"/>
                <w:szCs w:val="20"/>
              </w:rPr>
              <w:t>Clinical criteria:</w:t>
            </w:r>
          </w:p>
        </w:tc>
        <w:tc>
          <w:tcPr>
            <w:tcW w:w="6379" w:type="dxa"/>
            <w:tcBorders>
              <w:top w:val="single" w:sz="4" w:space="0" w:color="auto"/>
              <w:left w:val="single" w:sz="4" w:space="0" w:color="auto"/>
              <w:bottom w:val="single" w:sz="4" w:space="0" w:color="auto"/>
              <w:right w:val="single" w:sz="4" w:space="0" w:color="auto"/>
            </w:tcBorders>
          </w:tcPr>
          <w:p w14:paraId="4A189723" w14:textId="0DC80347" w:rsidR="00F33674" w:rsidRPr="00F33674" w:rsidRDefault="00F33674" w:rsidP="00F33674">
            <w:pPr>
              <w:jc w:val="left"/>
              <w:rPr>
                <w:rFonts w:ascii="Arial Narrow" w:hAnsi="Arial Narrow" w:cs="Arial"/>
                <w:sz w:val="20"/>
                <w:szCs w:val="20"/>
              </w:rPr>
            </w:pPr>
            <w:r w:rsidRPr="00F33674">
              <w:rPr>
                <w:rFonts w:ascii="Arial Narrow" w:hAnsi="Arial Narrow" w:cs="Arial"/>
                <w:sz w:val="20"/>
                <w:szCs w:val="20"/>
              </w:rPr>
              <w:t>[new] The condition must require daily, continuous, long term treatment</w:t>
            </w:r>
          </w:p>
          <w:p w14:paraId="2C6AFFC5" w14:textId="77777777" w:rsidR="00F33674" w:rsidRPr="00F33674" w:rsidRDefault="00F33674" w:rsidP="00F33674">
            <w:pPr>
              <w:jc w:val="left"/>
              <w:rPr>
                <w:rFonts w:ascii="Arial Narrow" w:hAnsi="Arial Narrow" w:cs="Arial"/>
                <w:sz w:val="20"/>
                <w:szCs w:val="20"/>
              </w:rPr>
            </w:pPr>
          </w:p>
          <w:p w14:paraId="1FE2EB2E" w14:textId="77777777" w:rsidR="00F33674" w:rsidRPr="00F33674" w:rsidRDefault="00F33674" w:rsidP="00F33674">
            <w:pPr>
              <w:jc w:val="left"/>
              <w:rPr>
                <w:rFonts w:ascii="Arial Narrow" w:hAnsi="Arial Narrow" w:cs="Arial"/>
                <w:sz w:val="20"/>
                <w:szCs w:val="20"/>
              </w:rPr>
            </w:pPr>
            <w:r w:rsidRPr="00F33674">
              <w:rPr>
                <w:rFonts w:ascii="Arial Narrow" w:hAnsi="Arial Narrow" w:cs="Arial"/>
                <w:sz w:val="20"/>
                <w:szCs w:val="20"/>
              </w:rPr>
              <w:t>AND</w:t>
            </w:r>
          </w:p>
          <w:p w14:paraId="5F65098B" w14:textId="77777777" w:rsidR="00F33674" w:rsidRPr="00F33674" w:rsidRDefault="00F33674" w:rsidP="00F33674">
            <w:pPr>
              <w:jc w:val="left"/>
              <w:rPr>
                <w:rFonts w:ascii="Arial Narrow" w:hAnsi="Arial Narrow" w:cs="Arial"/>
                <w:sz w:val="20"/>
                <w:szCs w:val="20"/>
              </w:rPr>
            </w:pPr>
          </w:p>
          <w:p w14:paraId="422BFE6D" w14:textId="77777777" w:rsidR="00F33674" w:rsidRPr="00F33674" w:rsidRDefault="00F33674" w:rsidP="00F33674">
            <w:pPr>
              <w:jc w:val="left"/>
              <w:rPr>
                <w:rFonts w:ascii="Arial Narrow" w:hAnsi="Arial Narrow" w:cs="Arial"/>
                <w:sz w:val="20"/>
                <w:szCs w:val="20"/>
              </w:rPr>
            </w:pPr>
            <w:r w:rsidRPr="00F33674">
              <w:rPr>
                <w:rFonts w:ascii="Arial Narrow" w:hAnsi="Arial Narrow" w:cs="Arial"/>
                <w:sz w:val="20"/>
                <w:szCs w:val="20"/>
              </w:rPr>
              <w:t>[new] Patient must not be opioid naïve</w:t>
            </w:r>
          </w:p>
          <w:p w14:paraId="2CCC68C6" w14:textId="77777777" w:rsidR="00F33674" w:rsidRPr="00F33674" w:rsidRDefault="00F33674" w:rsidP="00F33674">
            <w:pPr>
              <w:jc w:val="left"/>
              <w:rPr>
                <w:rFonts w:ascii="Arial Narrow" w:hAnsi="Arial Narrow" w:cs="Arial"/>
                <w:sz w:val="20"/>
                <w:szCs w:val="20"/>
              </w:rPr>
            </w:pPr>
          </w:p>
          <w:p w14:paraId="38DC5137" w14:textId="77777777" w:rsidR="00F33674" w:rsidRPr="00F33674" w:rsidRDefault="00F33674" w:rsidP="00F33674">
            <w:pPr>
              <w:jc w:val="left"/>
              <w:rPr>
                <w:rFonts w:ascii="Arial Narrow" w:hAnsi="Arial Narrow" w:cs="Arial"/>
                <w:sz w:val="20"/>
                <w:szCs w:val="20"/>
              </w:rPr>
            </w:pPr>
            <w:r w:rsidRPr="00F33674">
              <w:rPr>
                <w:rFonts w:ascii="Arial Narrow" w:hAnsi="Arial Narrow" w:cs="Arial"/>
                <w:sz w:val="20"/>
                <w:szCs w:val="20"/>
              </w:rPr>
              <w:t>AND</w:t>
            </w:r>
          </w:p>
          <w:p w14:paraId="77248A49" w14:textId="77777777" w:rsidR="00F33674" w:rsidRPr="00F33674" w:rsidRDefault="00F33674" w:rsidP="00F33674">
            <w:pPr>
              <w:jc w:val="left"/>
              <w:rPr>
                <w:rFonts w:ascii="Arial Narrow" w:hAnsi="Arial Narrow" w:cs="Arial"/>
                <w:sz w:val="20"/>
                <w:szCs w:val="20"/>
              </w:rPr>
            </w:pPr>
          </w:p>
          <w:p w14:paraId="4FDA1485" w14:textId="4D327F6D" w:rsidR="00F33674" w:rsidRPr="00F33674" w:rsidRDefault="00F33674" w:rsidP="00F33674">
            <w:pPr>
              <w:jc w:val="left"/>
              <w:rPr>
                <w:rFonts w:ascii="Arial Narrow" w:hAnsi="Arial Narrow" w:cs="Arial"/>
                <w:sz w:val="20"/>
                <w:szCs w:val="20"/>
              </w:rPr>
            </w:pPr>
            <w:r w:rsidRPr="00F33674">
              <w:rPr>
                <w:rFonts w:ascii="Arial Narrow" w:hAnsi="Arial Narrow" w:cs="Arial"/>
                <w:sz w:val="20"/>
                <w:szCs w:val="20"/>
              </w:rPr>
              <w:t xml:space="preserve">[18096] Patient must have </w:t>
            </w:r>
            <w:r w:rsidR="00FE50AF">
              <w:rPr>
                <w:rFonts w:ascii="Arial Narrow" w:hAnsi="Arial Narrow" w:cs="Arial"/>
                <w:sz w:val="20"/>
                <w:szCs w:val="20"/>
              </w:rPr>
              <w:t>cancer pain</w:t>
            </w:r>
          </w:p>
          <w:p w14:paraId="7C5211D9" w14:textId="77777777" w:rsidR="00F33674" w:rsidRPr="00F33674" w:rsidRDefault="00F33674" w:rsidP="00F33674">
            <w:pPr>
              <w:jc w:val="left"/>
              <w:rPr>
                <w:rFonts w:ascii="Arial Narrow" w:hAnsi="Arial Narrow" w:cs="Arial"/>
                <w:sz w:val="20"/>
                <w:szCs w:val="20"/>
              </w:rPr>
            </w:pPr>
            <w:r w:rsidRPr="00F33674">
              <w:rPr>
                <w:rFonts w:ascii="Arial Narrow" w:hAnsi="Arial Narrow" w:cs="Arial"/>
                <w:sz w:val="20"/>
                <w:szCs w:val="20"/>
              </w:rPr>
              <w:t>OR</w:t>
            </w:r>
          </w:p>
          <w:p w14:paraId="7383A25F" w14:textId="50720961" w:rsidR="00F33674" w:rsidRPr="00F33674" w:rsidRDefault="00F33674" w:rsidP="00F33674">
            <w:pPr>
              <w:jc w:val="left"/>
              <w:rPr>
                <w:rFonts w:ascii="Arial Narrow" w:hAnsi="Arial Narrow" w:cs="Arial"/>
                <w:sz w:val="20"/>
                <w:szCs w:val="20"/>
              </w:rPr>
            </w:pPr>
            <w:r w:rsidRPr="00F33674">
              <w:rPr>
                <w:rFonts w:ascii="Arial Narrow" w:hAnsi="Arial Narrow" w:cs="Arial"/>
                <w:sz w:val="20"/>
                <w:szCs w:val="20"/>
              </w:rPr>
              <w:t xml:space="preserve">[new] Patient must have </w:t>
            </w:r>
            <w:r w:rsidR="004811F3">
              <w:rPr>
                <w:rFonts w:ascii="Arial Narrow" w:hAnsi="Arial Narrow" w:cs="Arial"/>
                <w:sz w:val="20"/>
                <w:szCs w:val="20"/>
              </w:rPr>
              <w:t>had or would have</w:t>
            </w:r>
            <w:r w:rsidRPr="00F33674">
              <w:rPr>
                <w:rFonts w:ascii="Arial Narrow" w:hAnsi="Arial Narrow" w:cs="Arial"/>
                <w:sz w:val="20"/>
                <w:szCs w:val="20"/>
              </w:rPr>
              <w:t xml:space="preserve"> </w:t>
            </w:r>
            <w:r w:rsidR="004811F3">
              <w:rPr>
                <w:rFonts w:ascii="Arial Narrow" w:hAnsi="Arial Narrow" w:cs="Arial"/>
                <w:sz w:val="20"/>
                <w:szCs w:val="20"/>
              </w:rPr>
              <w:t>inadequate pain management</w:t>
            </w:r>
            <w:r w:rsidRPr="00F33674">
              <w:rPr>
                <w:rFonts w:ascii="Arial Narrow" w:hAnsi="Arial Narrow" w:cs="Arial"/>
                <w:sz w:val="20"/>
                <w:szCs w:val="20"/>
              </w:rPr>
              <w:t xml:space="preserve"> </w:t>
            </w:r>
            <w:r w:rsidR="004811F3">
              <w:rPr>
                <w:rFonts w:ascii="Arial Narrow" w:hAnsi="Arial Narrow" w:cs="Arial"/>
                <w:sz w:val="20"/>
                <w:szCs w:val="20"/>
              </w:rPr>
              <w:t>with</w:t>
            </w:r>
            <w:r w:rsidRPr="00F33674">
              <w:rPr>
                <w:rFonts w:ascii="Arial Narrow" w:hAnsi="Arial Narrow" w:cs="Arial"/>
                <w:sz w:val="20"/>
                <w:szCs w:val="20"/>
              </w:rPr>
              <w:t xml:space="preserve"> tolerated doses of non-opioid and other opioid analgesics</w:t>
            </w:r>
          </w:p>
          <w:p w14:paraId="4F83F70D" w14:textId="77777777" w:rsidR="00F33674" w:rsidRPr="00F33674" w:rsidRDefault="00F33674" w:rsidP="00F33674">
            <w:pPr>
              <w:jc w:val="left"/>
              <w:rPr>
                <w:rFonts w:ascii="Arial Narrow" w:hAnsi="Arial Narrow" w:cs="Arial"/>
                <w:sz w:val="20"/>
                <w:szCs w:val="20"/>
              </w:rPr>
            </w:pPr>
            <w:r w:rsidRPr="00F33674">
              <w:rPr>
                <w:rFonts w:ascii="Arial Narrow" w:hAnsi="Arial Narrow" w:cs="Arial"/>
                <w:sz w:val="20"/>
                <w:szCs w:val="20"/>
              </w:rPr>
              <w:t>OR</w:t>
            </w:r>
          </w:p>
          <w:p w14:paraId="14A97D39" w14:textId="7D072A3E" w:rsidR="00F33674" w:rsidRPr="00F33674" w:rsidRDefault="00F33674" w:rsidP="00F33674">
            <w:pPr>
              <w:jc w:val="left"/>
              <w:rPr>
                <w:rFonts w:ascii="Arial Narrow" w:hAnsi="Arial Narrow" w:cs="Arial"/>
                <w:sz w:val="20"/>
                <w:szCs w:val="20"/>
              </w:rPr>
            </w:pPr>
            <w:r w:rsidRPr="00F33674">
              <w:rPr>
                <w:rFonts w:ascii="Arial Narrow" w:hAnsi="Arial Narrow" w:cs="Arial"/>
                <w:sz w:val="20"/>
                <w:szCs w:val="20"/>
              </w:rPr>
              <w:t>[new] Patient must be unable to use non-opioid and other opioid analgesics due to contraindications or intolerance.</w:t>
            </w:r>
          </w:p>
        </w:tc>
      </w:tr>
      <w:tr w:rsidR="00F33674" w:rsidRPr="00F33674" w14:paraId="0B41C562" w14:textId="77777777" w:rsidTr="00F33674">
        <w:trPr>
          <w:cantSplit/>
          <w:trHeight w:val="360"/>
        </w:trPr>
        <w:tc>
          <w:tcPr>
            <w:tcW w:w="2835" w:type="dxa"/>
            <w:tcBorders>
              <w:top w:val="single" w:sz="4" w:space="0" w:color="auto"/>
              <w:left w:val="single" w:sz="4" w:space="0" w:color="auto"/>
              <w:bottom w:val="single" w:sz="4" w:space="0" w:color="auto"/>
              <w:right w:val="single" w:sz="4" w:space="0" w:color="auto"/>
            </w:tcBorders>
          </w:tcPr>
          <w:p w14:paraId="3A803807" w14:textId="77777777" w:rsidR="00F33674" w:rsidRPr="00F33674" w:rsidRDefault="00F33674" w:rsidP="00F33674">
            <w:pPr>
              <w:rPr>
                <w:rFonts w:ascii="Arial Narrow" w:hAnsi="Arial Narrow" w:cs="Arial"/>
                <w:b/>
                <w:sz w:val="20"/>
                <w:szCs w:val="20"/>
              </w:rPr>
            </w:pPr>
            <w:r w:rsidRPr="00F33674">
              <w:rPr>
                <w:rFonts w:ascii="Arial Narrow" w:hAnsi="Arial Narrow" w:cs="Arial"/>
                <w:b/>
                <w:sz w:val="20"/>
                <w:szCs w:val="20"/>
              </w:rPr>
              <w:lastRenderedPageBreak/>
              <w:t>Prescriber instruction:</w:t>
            </w:r>
          </w:p>
        </w:tc>
        <w:tc>
          <w:tcPr>
            <w:tcW w:w="6379" w:type="dxa"/>
            <w:tcBorders>
              <w:top w:val="single" w:sz="4" w:space="0" w:color="auto"/>
              <w:left w:val="single" w:sz="4" w:space="0" w:color="auto"/>
              <w:bottom w:val="single" w:sz="4" w:space="0" w:color="auto"/>
              <w:right w:val="single" w:sz="4" w:space="0" w:color="auto"/>
            </w:tcBorders>
          </w:tcPr>
          <w:p w14:paraId="4326AFFE" w14:textId="48F1E5D6" w:rsidR="00F33674" w:rsidRPr="00F33674" w:rsidRDefault="00F33674" w:rsidP="00193259">
            <w:pPr>
              <w:jc w:val="left"/>
              <w:rPr>
                <w:rFonts w:ascii="Arial Narrow" w:hAnsi="Arial Narrow" w:cs="Arial"/>
                <w:sz w:val="20"/>
                <w:szCs w:val="20"/>
              </w:rPr>
            </w:pPr>
            <w:r w:rsidRPr="00F33674">
              <w:rPr>
                <w:rFonts w:ascii="Arial Narrow" w:hAnsi="Arial Narrow" w:cs="Arial"/>
                <w:sz w:val="20"/>
                <w:szCs w:val="20"/>
              </w:rPr>
              <w:t xml:space="preserve">[new] Authorities for increased maximum quantities </w:t>
            </w:r>
            <w:r w:rsidR="00BB2EAC">
              <w:rPr>
                <w:rFonts w:ascii="Arial Narrow" w:hAnsi="Arial Narrow" w:cs="Arial"/>
                <w:sz w:val="20"/>
                <w:szCs w:val="20"/>
              </w:rPr>
              <w:t>and/or repeats under this restriction</w:t>
            </w:r>
            <w:r w:rsidRPr="00F33674">
              <w:rPr>
                <w:rFonts w:ascii="Arial Narrow" w:hAnsi="Arial Narrow" w:cs="Arial"/>
                <w:sz w:val="20"/>
                <w:szCs w:val="20"/>
              </w:rPr>
              <w:t xml:space="preserve"> </w:t>
            </w:r>
            <w:proofErr w:type="gramStart"/>
            <w:r w:rsidRPr="00F33674">
              <w:rPr>
                <w:rFonts w:ascii="Arial Narrow" w:hAnsi="Arial Narrow" w:cs="Arial"/>
                <w:sz w:val="20"/>
                <w:szCs w:val="20"/>
              </w:rPr>
              <w:t>will be granted</w:t>
            </w:r>
            <w:proofErr w:type="gramEnd"/>
            <w:r w:rsidRPr="00F33674">
              <w:rPr>
                <w:rFonts w:ascii="Arial Narrow" w:hAnsi="Arial Narrow" w:cs="Arial"/>
                <w:sz w:val="20"/>
                <w:szCs w:val="20"/>
              </w:rPr>
              <w:t xml:space="preserve"> only for chronic severe disabling pain</w:t>
            </w:r>
            <w:r w:rsidR="00662CE2">
              <w:rPr>
                <w:rFonts w:ascii="Arial Narrow" w:hAnsi="Arial Narrow" w:cs="Arial"/>
                <w:sz w:val="20"/>
                <w:szCs w:val="20"/>
              </w:rPr>
              <w:t xml:space="preserve"> </w:t>
            </w:r>
            <w:r w:rsidRPr="00F33674">
              <w:rPr>
                <w:rFonts w:ascii="Arial Narrow" w:hAnsi="Arial Narrow" w:cs="Arial"/>
                <w:sz w:val="20"/>
                <w:szCs w:val="20"/>
              </w:rPr>
              <w:t>where the total duration of non-PBS and PBS subsidised opioid analgesic treatment is less than 12 months.</w:t>
            </w:r>
          </w:p>
          <w:p w14:paraId="3E3A84D5" w14:textId="77777777" w:rsidR="00F33674" w:rsidRPr="00F33674" w:rsidRDefault="00F33674" w:rsidP="00F33674">
            <w:pPr>
              <w:jc w:val="left"/>
              <w:rPr>
                <w:rFonts w:ascii="Arial Narrow" w:hAnsi="Arial Narrow" w:cs="Arial"/>
                <w:sz w:val="20"/>
                <w:szCs w:val="20"/>
              </w:rPr>
            </w:pPr>
          </w:p>
          <w:p w14:paraId="6606A5E2" w14:textId="77777777" w:rsidR="00F33674" w:rsidRPr="00F33674" w:rsidRDefault="00F33674" w:rsidP="00F33674">
            <w:pPr>
              <w:jc w:val="left"/>
              <w:rPr>
                <w:rFonts w:ascii="Arial Narrow" w:hAnsi="Arial Narrow" w:cs="Arial"/>
                <w:sz w:val="20"/>
                <w:szCs w:val="20"/>
              </w:rPr>
            </w:pPr>
            <w:r w:rsidRPr="00F33674">
              <w:rPr>
                <w:rFonts w:ascii="Arial Narrow" w:hAnsi="Arial Narrow" w:cs="Arial"/>
                <w:sz w:val="20"/>
                <w:szCs w:val="20"/>
              </w:rPr>
              <w:t>[new] Authority requests extending treatment duration up to 1 month may be requested though the Online PBS Authorities system or by calling Services Australia.</w:t>
            </w:r>
          </w:p>
          <w:p w14:paraId="2816CC62" w14:textId="77777777" w:rsidR="00F33674" w:rsidRPr="00F33674" w:rsidRDefault="00F33674" w:rsidP="00F33674">
            <w:pPr>
              <w:jc w:val="left"/>
              <w:rPr>
                <w:rFonts w:ascii="Arial Narrow" w:hAnsi="Arial Narrow" w:cs="Arial"/>
                <w:sz w:val="20"/>
                <w:szCs w:val="20"/>
              </w:rPr>
            </w:pPr>
          </w:p>
          <w:p w14:paraId="0DAB9A0E" w14:textId="5BB0792C" w:rsidR="00F33674" w:rsidRPr="00F33674" w:rsidRDefault="00F33674" w:rsidP="00F33674">
            <w:pPr>
              <w:jc w:val="left"/>
              <w:rPr>
                <w:rFonts w:ascii="Arial Narrow" w:hAnsi="Arial Narrow" w:cs="Arial"/>
                <w:sz w:val="20"/>
                <w:szCs w:val="20"/>
              </w:rPr>
            </w:pPr>
            <w:r w:rsidRPr="00F33674">
              <w:rPr>
                <w:rFonts w:ascii="Arial Narrow" w:hAnsi="Arial Narrow" w:cs="Arial"/>
                <w:sz w:val="20"/>
                <w:szCs w:val="20"/>
              </w:rPr>
              <w:t xml:space="preserve">Authority requests extending treatment duration beyond 1 month </w:t>
            </w:r>
            <w:r w:rsidR="00827DF7">
              <w:rPr>
                <w:rFonts w:ascii="Arial Narrow" w:hAnsi="Arial Narrow" w:cs="Arial"/>
                <w:sz w:val="20"/>
                <w:szCs w:val="20"/>
              </w:rPr>
              <w:t>may be requested through the Online PBS Authorities system</w:t>
            </w:r>
            <w:r w:rsidRPr="00F33674">
              <w:rPr>
                <w:rFonts w:ascii="Arial Narrow" w:hAnsi="Arial Narrow" w:cs="Arial"/>
                <w:sz w:val="20"/>
                <w:szCs w:val="20"/>
              </w:rPr>
              <w:t xml:space="preserve"> or in writing only and must not provide a treatment duration exceeding </w:t>
            </w:r>
            <w:r w:rsidR="00827DF7">
              <w:rPr>
                <w:rFonts w:ascii="Arial Narrow" w:hAnsi="Arial Narrow" w:cs="Arial"/>
                <w:sz w:val="20"/>
                <w:szCs w:val="20"/>
              </w:rPr>
              <w:t xml:space="preserve">3 months (quantity sufficient for up to </w:t>
            </w:r>
            <w:proofErr w:type="gramStart"/>
            <w:r w:rsidR="00827DF7">
              <w:rPr>
                <w:rFonts w:ascii="Arial Narrow" w:hAnsi="Arial Narrow" w:cs="Arial"/>
                <w:sz w:val="20"/>
                <w:szCs w:val="20"/>
              </w:rPr>
              <w:t>1 month</w:t>
            </w:r>
            <w:proofErr w:type="gramEnd"/>
            <w:r w:rsidR="00827DF7">
              <w:rPr>
                <w:rFonts w:ascii="Arial Narrow" w:hAnsi="Arial Narrow" w:cs="Arial"/>
                <w:sz w:val="20"/>
                <w:szCs w:val="20"/>
              </w:rPr>
              <w:t xml:space="preserve"> treatment and sufficient repeats).</w:t>
            </w:r>
          </w:p>
        </w:tc>
      </w:tr>
      <w:tr w:rsidR="00F33674" w:rsidRPr="00F33674" w14:paraId="7094609E" w14:textId="77777777" w:rsidTr="00F33674">
        <w:trPr>
          <w:cantSplit/>
          <w:trHeight w:val="360"/>
        </w:trPr>
        <w:tc>
          <w:tcPr>
            <w:tcW w:w="2835" w:type="dxa"/>
            <w:tcBorders>
              <w:top w:val="single" w:sz="4" w:space="0" w:color="auto"/>
              <w:left w:val="single" w:sz="4" w:space="0" w:color="auto"/>
              <w:bottom w:val="single" w:sz="4" w:space="0" w:color="auto"/>
              <w:right w:val="single" w:sz="4" w:space="0" w:color="auto"/>
            </w:tcBorders>
          </w:tcPr>
          <w:p w14:paraId="753E0036" w14:textId="77777777" w:rsidR="00F33674" w:rsidRPr="00F33674" w:rsidRDefault="00F33674" w:rsidP="00F33674">
            <w:pPr>
              <w:rPr>
                <w:rFonts w:ascii="Arial Narrow" w:hAnsi="Arial Narrow" w:cs="Arial"/>
                <w:b/>
                <w:sz w:val="20"/>
                <w:szCs w:val="20"/>
              </w:rPr>
            </w:pPr>
            <w:r w:rsidRPr="00F33674">
              <w:rPr>
                <w:rFonts w:ascii="Arial Narrow" w:hAnsi="Arial Narrow" w:cs="Arial"/>
                <w:b/>
                <w:sz w:val="20"/>
                <w:szCs w:val="20"/>
              </w:rPr>
              <w:t>Administrative advice:</w:t>
            </w:r>
          </w:p>
        </w:tc>
        <w:tc>
          <w:tcPr>
            <w:tcW w:w="6379" w:type="dxa"/>
            <w:tcBorders>
              <w:top w:val="single" w:sz="4" w:space="0" w:color="auto"/>
              <w:left w:val="single" w:sz="4" w:space="0" w:color="auto"/>
              <w:bottom w:val="single" w:sz="4" w:space="0" w:color="auto"/>
              <w:right w:val="single" w:sz="4" w:space="0" w:color="auto"/>
            </w:tcBorders>
          </w:tcPr>
          <w:p w14:paraId="669B1FFC" w14:textId="77777777" w:rsidR="00F33674" w:rsidRPr="00F33674" w:rsidRDefault="00F33674" w:rsidP="00F33674">
            <w:pPr>
              <w:jc w:val="left"/>
              <w:rPr>
                <w:rFonts w:ascii="Arial Narrow" w:hAnsi="Arial Narrow"/>
                <w:sz w:val="20"/>
                <w:szCs w:val="20"/>
              </w:rPr>
            </w:pPr>
            <w:r w:rsidRPr="00F33674">
              <w:rPr>
                <w:rFonts w:ascii="Arial Narrow" w:hAnsi="Arial Narrow"/>
                <w:sz w:val="20"/>
                <w:szCs w:val="20"/>
              </w:rPr>
              <w:t>[new] Consider consultation with a multidisciplinary pain service prior to, or after commencement of this medication.</w:t>
            </w:r>
          </w:p>
          <w:p w14:paraId="6826F6DD" w14:textId="77777777" w:rsidR="00F33674" w:rsidRPr="00F33674" w:rsidRDefault="00F33674" w:rsidP="00F33674">
            <w:pPr>
              <w:jc w:val="left"/>
              <w:rPr>
                <w:rFonts w:ascii="Arial Narrow" w:hAnsi="Arial Narrow"/>
                <w:sz w:val="20"/>
                <w:szCs w:val="20"/>
              </w:rPr>
            </w:pPr>
          </w:p>
          <w:p w14:paraId="39D960D7" w14:textId="77777777" w:rsidR="00F33674" w:rsidRPr="00F33674" w:rsidRDefault="00F33674" w:rsidP="00F33674">
            <w:pPr>
              <w:jc w:val="left"/>
              <w:rPr>
                <w:rFonts w:ascii="Arial Narrow" w:hAnsi="Arial Narrow" w:cs="Arial"/>
                <w:sz w:val="20"/>
                <w:szCs w:val="20"/>
              </w:rPr>
            </w:pPr>
            <w:r w:rsidRPr="00F33674">
              <w:rPr>
                <w:rFonts w:ascii="Arial Narrow" w:hAnsi="Arial Narrow" w:cs="Arial"/>
                <w:sz w:val="20"/>
                <w:szCs w:val="20"/>
              </w:rPr>
              <w:t>[new] This treatment is not suitable for ‘as-required’ pain relief.</w:t>
            </w:r>
          </w:p>
          <w:p w14:paraId="6364E8CD" w14:textId="77777777" w:rsidR="00F33674" w:rsidRPr="00F33674" w:rsidRDefault="00F33674" w:rsidP="00F33674">
            <w:pPr>
              <w:jc w:val="left"/>
              <w:rPr>
                <w:rFonts w:ascii="Arial Narrow" w:hAnsi="Arial Narrow" w:cs="Arial"/>
                <w:sz w:val="20"/>
                <w:szCs w:val="20"/>
              </w:rPr>
            </w:pPr>
            <w:r w:rsidRPr="00F33674">
              <w:rPr>
                <w:rFonts w:ascii="Arial Narrow" w:hAnsi="Arial Narrow" w:cs="Arial"/>
                <w:sz w:val="20"/>
                <w:szCs w:val="20"/>
              </w:rPr>
              <w:t xml:space="preserve"> </w:t>
            </w:r>
          </w:p>
          <w:p w14:paraId="3143F25D" w14:textId="77777777" w:rsidR="00F33674" w:rsidRPr="00F33674" w:rsidRDefault="00F33674" w:rsidP="00F33674">
            <w:pPr>
              <w:jc w:val="left"/>
              <w:rPr>
                <w:rFonts w:ascii="Arial Narrow" w:hAnsi="Arial Narrow" w:cs="Arial"/>
                <w:sz w:val="20"/>
                <w:szCs w:val="20"/>
              </w:rPr>
            </w:pPr>
            <w:r w:rsidRPr="00F33674">
              <w:rPr>
                <w:rFonts w:ascii="Arial Narrow" w:hAnsi="Arial Narrow" w:cs="Arial"/>
                <w:sz w:val="20"/>
                <w:szCs w:val="20"/>
              </w:rPr>
              <w:t xml:space="preserve">[7901] Shared Care Model: For prescribing by nurse practitioners where care of a patient </w:t>
            </w:r>
            <w:proofErr w:type="gramStart"/>
            <w:r w:rsidRPr="00F33674">
              <w:rPr>
                <w:rFonts w:ascii="Arial Narrow" w:hAnsi="Arial Narrow" w:cs="Arial"/>
                <w:sz w:val="20"/>
                <w:szCs w:val="20"/>
              </w:rPr>
              <w:t>is shared</w:t>
            </w:r>
            <w:proofErr w:type="gramEnd"/>
            <w:r w:rsidRPr="00F33674">
              <w:rPr>
                <w:rFonts w:ascii="Arial Narrow" w:hAnsi="Arial Narrow" w:cs="Arial"/>
                <w:sz w:val="20"/>
                <w:szCs w:val="20"/>
              </w:rPr>
              <w:t xml:space="preserve"> between a nurse practitioner and medical practitioner in a formalised arrangement with an agreed management plan. Further information </w:t>
            </w:r>
            <w:proofErr w:type="gramStart"/>
            <w:r w:rsidRPr="00F33674">
              <w:rPr>
                <w:rFonts w:ascii="Arial Narrow" w:hAnsi="Arial Narrow" w:cs="Arial"/>
                <w:sz w:val="20"/>
                <w:szCs w:val="20"/>
              </w:rPr>
              <w:t>can be found</w:t>
            </w:r>
            <w:proofErr w:type="gramEnd"/>
            <w:r w:rsidRPr="00F33674">
              <w:rPr>
                <w:rFonts w:ascii="Arial Narrow" w:hAnsi="Arial Narrow" w:cs="Arial"/>
                <w:sz w:val="20"/>
                <w:szCs w:val="20"/>
              </w:rPr>
              <w:t xml:space="preserve"> in the Explanatory Notes for Nurse Practitioners.</w:t>
            </w:r>
          </w:p>
          <w:p w14:paraId="16B5B739" w14:textId="77777777" w:rsidR="00F33674" w:rsidRPr="00F33674" w:rsidRDefault="00F33674" w:rsidP="00F33674">
            <w:pPr>
              <w:jc w:val="left"/>
              <w:rPr>
                <w:rFonts w:ascii="Arial Narrow" w:hAnsi="Arial Narrow" w:cs="Arial"/>
                <w:sz w:val="20"/>
                <w:szCs w:val="20"/>
              </w:rPr>
            </w:pPr>
          </w:p>
          <w:p w14:paraId="5442CC97" w14:textId="77777777" w:rsidR="00F33674" w:rsidRPr="00F33674" w:rsidRDefault="00F33674" w:rsidP="00F33674">
            <w:pPr>
              <w:jc w:val="left"/>
              <w:rPr>
                <w:rFonts w:ascii="Arial Narrow" w:hAnsi="Arial Narrow" w:cs="Arial"/>
                <w:sz w:val="20"/>
                <w:szCs w:val="20"/>
              </w:rPr>
            </w:pPr>
            <w:r w:rsidRPr="00F33674">
              <w:rPr>
                <w:rFonts w:ascii="Arial Narrow" w:hAnsi="Arial Narrow" w:cs="Arial"/>
                <w:sz w:val="20"/>
                <w:szCs w:val="20"/>
              </w:rPr>
              <w:t>[new] Real time online applications for increased maximum quantities/repeats may be made using the Online PBS Authorities system (see www.servicesaustralia.gov.au/organisations/health-professionals/services/medicare/hpos/services/request-authority-using-online-pbs-authorities-hpos)</w:t>
            </w:r>
          </w:p>
          <w:p w14:paraId="21AF9041" w14:textId="77777777" w:rsidR="00F33674" w:rsidRPr="00F33674" w:rsidRDefault="00F33674" w:rsidP="00F33674">
            <w:pPr>
              <w:jc w:val="left"/>
              <w:rPr>
                <w:rFonts w:ascii="Arial Narrow" w:hAnsi="Arial Narrow" w:cs="Arial"/>
                <w:sz w:val="20"/>
                <w:szCs w:val="20"/>
              </w:rPr>
            </w:pPr>
          </w:p>
          <w:p w14:paraId="673DC775" w14:textId="1C256B19" w:rsidR="00F33674" w:rsidRPr="00F33674" w:rsidRDefault="00F33674" w:rsidP="00F33674">
            <w:pPr>
              <w:jc w:val="left"/>
              <w:rPr>
                <w:rFonts w:ascii="Arial Narrow" w:hAnsi="Arial Narrow" w:cs="Arial"/>
                <w:sz w:val="20"/>
                <w:szCs w:val="20"/>
              </w:rPr>
            </w:pPr>
            <w:r w:rsidRPr="00F33674">
              <w:rPr>
                <w:rFonts w:ascii="Arial Narrow" w:hAnsi="Arial Narrow" w:cs="Arial"/>
                <w:sz w:val="20"/>
                <w:szCs w:val="20"/>
              </w:rPr>
              <w:t>Phone applications for increased maximum quantities/repeats may be made by calling 1800 888 333.</w:t>
            </w:r>
          </w:p>
          <w:p w14:paraId="4819B609" w14:textId="77777777" w:rsidR="00F33674" w:rsidRPr="00F33674" w:rsidRDefault="00F33674" w:rsidP="00F33674">
            <w:pPr>
              <w:jc w:val="left"/>
              <w:rPr>
                <w:rFonts w:ascii="Arial Narrow" w:hAnsi="Arial Narrow" w:cs="Arial"/>
                <w:sz w:val="20"/>
                <w:szCs w:val="20"/>
              </w:rPr>
            </w:pPr>
          </w:p>
          <w:p w14:paraId="1D694BA4" w14:textId="77777777" w:rsidR="00F33674" w:rsidRPr="00F33674" w:rsidRDefault="00F33674" w:rsidP="00F33674">
            <w:pPr>
              <w:jc w:val="left"/>
              <w:rPr>
                <w:rFonts w:ascii="Arial Narrow" w:hAnsi="Arial Narrow" w:cs="Arial"/>
                <w:sz w:val="20"/>
                <w:szCs w:val="20"/>
              </w:rPr>
            </w:pPr>
            <w:r w:rsidRPr="00F33674">
              <w:rPr>
                <w:rFonts w:ascii="Arial Narrow" w:hAnsi="Arial Narrow" w:cs="Arial"/>
                <w:sz w:val="20"/>
                <w:szCs w:val="20"/>
              </w:rPr>
              <w:t>Written authority applications for increased maximum quantities/repeats can be uploaded online through HPOS form upload or mailed to:</w:t>
            </w:r>
          </w:p>
          <w:p w14:paraId="6B879A48" w14:textId="77777777" w:rsidR="00F33674" w:rsidRPr="00F33674" w:rsidRDefault="00F33674" w:rsidP="00F33674">
            <w:pPr>
              <w:jc w:val="left"/>
              <w:rPr>
                <w:rFonts w:ascii="Arial Narrow" w:hAnsi="Arial Narrow" w:cs="Arial"/>
                <w:sz w:val="20"/>
                <w:szCs w:val="20"/>
              </w:rPr>
            </w:pPr>
            <w:r w:rsidRPr="00F33674">
              <w:rPr>
                <w:rFonts w:ascii="Arial Narrow" w:hAnsi="Arial Narrow" w:cs="Arial"/>
                <w:sz w:val="20"/>
                <w:szCs w:val="20"/>
              </w:rPr>
              <w:t>Pharmaceutical Benefits Scheme</w:t>
            </w:r>
          </w:p>
          <w:p w14:paraId="4C36B5D7" w14:textId="77777777" w:rsidR="00F33674" w:rsidRPr="00F33674" w:rsidRDefault="00F33674" w:rsidP="00F33674">
            <w:pPr>
              <w:jc w:val="left"/>
              <w:rPr>
                <w:rFonts w:ascii="Arial Narrow" w:hAnsi="Arial Narrow" w:cs="Arial"/>
                <w:sz w:val="20"/>
                <w:szCs w:val="20"/>
              </w:rPr>
            </w:pPr>
            <w:r w:rsidRPr="00F33674">
              <w:rPr>
                <w:rFonts w:ascii="Arial Narrow" w:hAnsi="Arial Narrow" w:cs="Arial"/>
                <w:sz w:val="20"/>
                <w:szCs w:val="20"/>
              </w:rPr>
              <w:t>Reply Paid 9857</w:t>
            </w:r>
          </w:p>
          <w:p w14:paraId="69EAD258" w14:textId="77777777" w:rsidR="00F33674" w:rsidRPr="00F33674" w:rsidRDefault="00F33674" w:rsidP="00F33674">
            <w:pPr>
              <w:jc w:val="left"/>
              <w:rPr>
                <w:rFonts w:ascii="Arial Narrow" w:hAnsi="Arial Narrow" w:cs="Arial"/>
                <w:sz w:val="20"/>
                <w:szCs w:val="20"/>
              </w:rPr>
            </w:pPr>
            <w:r w:rsidRPr="00F33674">
              <w:rPr>
                <w:rFonts w:ascii="Arial Narrow" w:hAnsi="Arial Narrow" w:cs="Arial"/>
                <w:sz w:val="20"/>
                <w:szCs w:val="20"/>
              </w:rPr>
              <w:t>[Your capital city]</w:t>
            </w:r>
          </w:p>
        </w:tc>
      </w:tr>
      <w:tr w:rsidR="00F33674" w:rsidRPr="00F33674" w14:paraId="6626092F" w14:textId="77777777" w:rsidTr="00F33674">
        <w:trPr>
          <w:cantSplit/>
          <w:trHeight w:val="360"/>
        </w:trPr>
        <w:tc>
          <w:tcPr>
            <w:tcW w:w="2835" w:type="dxa"/>
            <w:tcBorders>
              <w:top w:val="single" w:sz="4" w:space="0" w:color="auto"/>
              <w:left w:val="single" w:sz="4" w:space="0" w:color="auto"/>
              <w:bottom w:val="single" w:sz="4" w:space="0" w:color="auto"/>
              <w:right w:val="single" w:sz="4" w:space="0" w:color="auto"/>
            </w:tcBorders>
          </w:tcPr>
          <w:p w14:paraId="074B87C3" w14:textId="77777777" w:rsidR="00F33674" w:rsidRPr="00F33674" w:rsidRDefault="00F33674" w:rsidP="00F33674">
            <w:pPr>
              <w:rPr>
                <w:rFonts w:ascii="Arial Narrow" w:hAnsi="Arial Narrow" w:cs="Arial"/>
                <w:b/>
                <w:sz w:val="20"/>
                <w:szCs w:val="20"/>
              </w:rPr>
            </w:pPr>
            <w:r w:rsidRPr="00F33674">
              <w:rPr>
                <w:rFonts w:ascii="Arial Narrow" w:hAnsi="Arial Narrow" w:cs="Arial"/>
                <w:b/>
                <w:sz w:val="20"/>
                <w:szCs w:val="20"/>
              </w:rPr>
              <w:t>Cautions:</w:t>
            </w:r>
          </w:p>
        </w:tc>
        <w:tc>
          <w:tcPr>
            <w:tcW w:w="6379" w:type="dxa"/>
            <w:tcBorders>
              <w:top w:val="single" w:sz="4" w:space="0" w:color="auto"/>
              <w:left w:val="single" w:sz="4" w:space="0" w:color="auto"/>
              <w:bottom w:val="single" w:sz="4" w:space="0" w:color="auto"/>
              <w:right w:val="single" w:sz="4" w:space="0" w:color="auto"/>
            </w:tcBorders>
          </w:tcPr>
          <w:p w14:paraId="77A3E8C7" w14:textId="77777777" w:rsidR="00F33674" w:rsidRPr="00F33674" w:rsidRDefault="00F33674" w:rsidP="00F33674">
            <w:pPr>
              <w:jc w:val="left"/>
              <w:rPr>
                <w:rFonts w:ascii="Arial Narrow" w:hAnsi="Arial Narrow" w:cs="Arial"/>
                <w:sz w:val="20"/>
                <w:szCs w:val="20"/>
              </w:rPr>
            </w:pPr>
            <w:r w:rsidRPr="00F33674">
              <w:rPr>
                <w:rFonts w:ascii="Arial Narrow" w:hAnsi="Arial Narrow" w:cs="Arial"/>
                <w:sz w:val="20"/>
                <w:szCs w:val="20"/>
              </w:rPr>
              <w:t>[6986] The risk of drug dependence is high.</w:t>
            </w:r>
          </w:p>
        </w:tc>
      </w:tr>
    </w:tbl>
    <w:p w14:paraId="44AA4EDF" w14:textId="77777777" w:rsidR="00662CE2" w:rsidRDefault="00662CE2">
      <w:pPr>
        <w:jc w:val="left"/>
      </w:pPr>
    </w:p>
    <w:tbl>
      <w:tblPr>
        <w:tblW w:w="9072" w:type="dxa"/>
        <w:tblInd w:w="-5" w:type="dxa"/>
        <w:tblLook w:val="0000" w:firstRow="0" w:lastRow="0" w:firstColumn="0" w:lastColumn="0" w:noHBand="0" w:noVBand="0"/>
      </w:tblPr>
      <w:tblGrid>
        <w:gridCol w:w="3183"/>
        <w:gridCol w:w="5889"/>
      </w:tblGrid>
      <w:tr w:rsidR="00662CE2" w:rsidRPr="00F33674" w14:paraId="05B98EE6" w14:textId="77777777" w:rsidTr="00C21DFA">
        <w:trPr>
          <w:cantSplit/>
          <w:trHeight w:val="360"/>
        </w:trPr>
        <w:tc>
          <w:tcPr>
            <w:tcW w:w="3183" w:type="dxa"/>
            <w:tcBorders>
              <w:top w:val="single" w:sz="4" w:space="0" w:color="auto"/>
              <w:left w:val="single" w:sz="4" w:space="0" w:color="auto"/>
              <w:bottom w:val="single" w:sz="4" w:space="0" w:color="auto"/>
              <w:right w:val="single" w:sz="4" w:space="0" w:color="auto"/>
            </w:tcBorders>
          </w:tcPr>
          <w:p w14:paraId="727F8E1D" w14:textId="77777777" w:rsidR="00662CE2" w:rsidRPr="00F33674" w:rsidRDefault="00662CE2" w:rsidP="008514D0">
            <w:pPr>
              <w:rPr>
                <w:rFonts w:ascii="Arial Narrow" w:hAnsi="Arial Narrow" w:cs="Arial"/>
                <w:b/>
                <w:sz w:val="20"/>
                <w:szCs w:val="20"/>
              </w:rPr>
            </w:pPr>
            <w:r w:rsidRPr="00F33674">
              <w:rPr>
                <w:rFonts w:ascii="Arial Narrow" w:hAnsi="Arial Narrow" w:cs="Arial"/>
                <w:b/>
                <w:sz w:val="20"/>
                <w:szCs w:val="20"/>
              </w:rPr>
              <w:t>Category / Program:</w:t>
            </w:r>
          </w:p>
        </w:tc>
        <w:tc>
          <w:tcPr>
            <w:tcW w:w="5889" w:type="dxa"/>
            <w:tcBorders>
              <w:top w:val="single" w:sz="4" w:space="0" w:color="auto"/>
              <w:left w:val="single" w:sz="4" w:space="0" w:color="auto"/>
              <w:bottom w:val="single" w:sz="4" w:space="0" w:color="auto"/>
              <w:right w:val="single" w:sz="4" w:space="0" w:color="auto"/>
            </w:tcBorders>
          </w:tcPr>
          <w:p w14:paraId="227BE2D3" w14:textId="77777777" w:rsidR="00662CE2" w:rsidRPr="00F33674" w:rsidRDefault="00662CE2" w:rsidP="008514D0">
            <w:pPr>
              <w:rPr>
                <w:rFonts w:ascii="Arial Narrow" w:hAnsi="Arial Narrow" w:cs="Arial"/>
                <w:sz w:val="20"/>
                <w:szCs w:val="20"/>
              </w:rPr>
            </w:pPr>
            <w:r w:rsidRPr="00F33674">
              <w:rPr>
                <w:rFonts w:ascii="Arial Narrow" w:hAnsi="Arial Narrow" w:cs="Arial"/>
                <w:sz w:val="20"/>
                <w:szCs w:val="20"/>
              </w:rPr>
              <w:t>GENERAL – General Schedule (Code GE)</w:t>
            </w:r>
          </w:p>
        </w:tc>
      </w:tr>
      <w:tr w:rsidR="00662CE2" w:rsidRPr="00F33674" w14:paraId="6E349037" w14:textId="77777777" w:rsidTr="00C21DFA">
        <w:trPr>
          <w:cantSplit/>
          <w:trHeight w:val="360"/>
        </w:trPr>
        <w:tc>
          <w:tcPr>
            <w:tcW w:w="3183" w:type="dxa"/>
            <w:tcBorders>
              <w:top w:val="single" w:sz="4" w:space="0" w:color="auto"/>
              <w:left w:val="single" w:sz="4" w:space="0" w:color="auto"/>
              <w:bottom w:val="single" w:sz="4" w:space="0" w:color="auto"/>
              <w:right w:val="single" w:sz="4" w:space="0" w:color="auto"/>
            </w:tcBorders>
          </w:tcPr>
          <w:p w14:paraId="3AABC3A7" w14:textId="77777777" w:rsidR="00662CE2" w:rsidRPr="00F33674" w:rsidRDefault="00662CE2" w:rsidP="008514D0">
            <w:pPr>
              <w:rPr>
                <w:rFonts w:ascii="Arial Narrow" w:hAnsi="Arial Narrow" w:cs="Arial"/>
                <w:b/>
                <w:sz w:val="20"/>
                <w:szCs w:val="20"/>
              </w:rPr>
            </w:pPr>
            <w:r w:rsidRPr="00F33674">
              <w:rPr>
                <w:rFonts w:ascii="Arial Narrow" w:hAnsi="Arial Narrow" w:cs="Arial"/>
                <w:b/>
                <w:sz w:val="20"/>
                <w:szCs w:val="20"/>
              </w:rPr>
              <w:t>Prescriber type:</w:t>
            </w:r>
          </w:p>
          <w:p w14:paraId="6A7DBD0D" w14:textId="77777777" w:rsidR="00662CE2" w:rsidRPr="00F33674" w:rsidRDefault="00662CE2" w:rsidP="008514D0">
            <w:pPr>
              <w:rPr>
                <w:rFonts w:ascii="Arial Narrow" w:hAnsi="Arial Narrow" w:cs="Arial"/>
                <w:b/>
                <w:sz w:val="20"/>
                <w:szCs w:val="20"/>
              </w:rPr>
            </w:pPr>
          </w:p>
        </w:tc>
        <w:tc>
          <w:tcPr>
            <w:tcW w:w="5889" w:type="dxa"/>
            <w:tcBorders>
              <w:top w:val="single" w:sz="4" w:space="0" w:color="auto"/>
              <w:left w:val="single" w:sz="4" w:space="0" w:color="auto"/>
              <w:bottom w:val="single" w:sz="4" w:space="0" w:color="auto"/>
              <w:right w:val="single" w:sz="4" w:space="0" w:color="auto"/>
            </w:tcBorders>
          </w:tcPr>
          <w:p w14:paraId="74CA7E53" w14:textId="77777777" w:rsidR="00662CE2" w:rsidRPr="00F33674" w:rsidRDefault="00662CE2" w:rsidP="008514D0">
            <w:pPr>
              <w:rPr>
                <w:rFonts w:ascii="Arial Narrow" w:hAnsi="Arial Narrow" w:cs="Arial"/>
                <w:sz w:val="20"/>
                <w:szCs w:val="20"/>
              </w:rPr>
            </w:pPr>
            <w:r w:rsidRPr="00F33674">
              <w:rPr>
                <w:rFonts w:ascii="Arial Narrow" w:hAnsi="Arial Narrow" w:cs="Arial"/>
                <w:sz w:val="20"/>
                <w:szCs w:val="20"/>
              </w:rPr>
              <w:fldChar w:fldCharType="begin">
                <w:ffData>
                  <w:name w:val="Check1"/>
                  <w:enabled/>
                  <w:calcOnExit w:val="0"/>
                  <w:checkBox>
                    <w:sizeAuto/>
                    <w:default w:val="0"/>
                  </w:checkBox>
                </w:ffData>
              </w:fldChar>
            </w:r>
            <w:r w:rsidRPr="00F33674">
              <w:rPr>
                <w:rFonts w:ascii="Arial Narrow" w:hAnsi="Arial Narrow" w:cs="Arial"/>
                <w:sz w:val="20"/>
                <w:szCs w:val="20"/>
              </w:rPr>
              <w:instrText xml:space="preserve"> FORMCHECKBOX </w:instrText>
            </w:r>
            <w:r w:rsidR="00233D13">
              <w:rPr>
                <w:rFonts w:ascii="Arial Narrow" w:hAnsi="Arial Narrow" w:cs="Arial"/>
                <w:sz w:val="20"/>
                <w:szCs w:val="20"/>
              </w:rPr>
            </w:r>
            <w:r w:rsidR="00233D13">
              <w:rPr>
                <w:rFonts w:ascii="Arial Narrow" w:hAnsi="Arial Narrow" w:cs="Arial"/>
                <w:sz w:val="20"/>
                <w:szCs w:val="20"/>
              </w:rPr>
              <w:fldChar w:fldCharType="separate"/>
            </w:r>
            <w:r w:rsidRPr="00F33674">
              <w:rPr>
                <w:rFonts w:ascii="Arial Narrow" w:hAnsi="Arial Narrow" w:cs="Arial"/>
                <w:sz w:val="20"/>
                <w:szCs w:val="20"/>
              </w:rPr>
              <w:fldChar w:fldCharType="end"/>
            </w:r>
            <w:r w:rsidRPr="00F33674">
              <w:rPr>
                <w:rFonts w:ascii="Arial Narrow" w:hAnsi="Arial Narrow" w:cs="Arial"/>
                <w:sz w:val="20"/>
                <w:szCs w:val="20"/>
              </w:rPr>
              <w:t>Dental</w:t>
            </w:r>
            <w:r>
              <w:rPr>
                <w:rFonts w:ascii="Arial Narrow" w:hAnsi="Arial Narrow" w:cs="Arial"/>
                <w:sz w:val="20"/>
                <w:szCs w:val="20"/>
              </w:rPr>
              <w:t xml:space="preserve"> </w:t>
            </w:r>
            <w:r w:rsidRPr="00F33674">
              <w:rPr>
                <w:rFonts w:ascii="Arial Narrow" w:hAnsi="Arial Narrow" w:cs="Arial"/>
                <w:sz w:val="20"/>
                <w:szCs w:val="20"/>
              </w:rPr>
              <w:fldChar w:fldCharType="begin">
                <w:ffData>
                  <w:name w:val=""/>
                  <w:enabled/>
                  <w:calcOnExit w:val="0"/>
                  <w:checkBox>
                    <w:sizeAuto/>
                    <w:default w:val="1"/>
                  </w:checkBox>
                </w:ffData>
              </w:fldChar>
            </w:r>
            <w:r w:rsidRPr="00F33674">
              <w:rPr>
                <w:rFonts w:ascii="Arial Narrow" w:hAnsi="Arial Narrow" w:cs="Arial"/>
                <w:sz w:val="20"/>
                <w:szCs w:val="20"/>
              </w:rPr>
              <w:instrText xml:space="preserve"> FORMCHECKBOX </w:instrText>
            </w:r>
            <w:r w:rsidR="00233D13">
              <w:rPr>
                <w:rFonts w:ascii="Arial Narrow" w:hAnsi="Arial Narrow" w:cs="Arial"/>
                <w:sz w:val="20"/>
                <w:szCs w:val="20"/>
              </w:rPr>
            </w:r>
            <w:r w:rsidR="00233D13">
              <w:rPr>
                <w:rFonts w:ascii="Arial Narrow" w:hAnsi="Arial Narrow" w:cs="Arial"/>
                <w:sz w:val="20"/>
                <w:szCs w:val="20"/>
              </w:rPr>
              <w:fldChar w:fldCharType="separate"/>
            </w:r>
            <w:r w:rsidRPr="00F33674">
              <w:rPr>
                <w:rFonts w:ascii="Arial Narrow" w:hAnsi="Arial Narrow" w:cs="Arial"/>
                <w:sz w:val="20"/>
                <w:szCs w:val="20"/>
              </w:rPr>
              <w:fldChar w:fldCharType="end"/>
            </w:r>
            <w:r w:rsidRPr="00F33674">
              <w:rPr>
                <w:rFonts w:ascii="Arial Narrow" w:hAnsi="Arial Narrow" w:cs="Arial"/>
                <w:sz w:val="20"/>
                <w:szCs w:val="20"/>
              </w:rPr>
              <w:t>Medical Practitioners</w:t>
            </w:r>
            <w:r>
              <w:rPr>
                <w:rFonts w:ascii="Arial Narrow" w:hAnsi="Arial Narrow" w:cs="Arial"/>
                <w:sz w:val="20"/>
                <w:szCs w:val="20"/>
              </w:rPr>
              <w:t xml:space="preserve"> </w:t>
            </w:r>
            <w:r w:rsidRPr="00F33674">
              <w:rPr>
                <w:rFonts w:ascii="Arial Narrow" w:hAnsi="Arial Narrow" w:cs="Arial"/>
                <w:sz w:val="20"/>
                <w:szCs w:val="20"/>
              </w:rPr>
              <w:fldChar w:fldCharType="begin">
                <w:ffData>
                  <w:name w:val="Check3"/>
                  <w:enabled/>
                  <w:calcOnExit w:val="0"/>
                  <w:checkBox>
                    <w:sizeAuto/>
                    <w:default w:val="1"/>
                  </w:checkBox>
                </w:ffData>
              </w:fldChar>
            </w:r>
            <w:r w:rsidRPr="00F33674">
              <w:rPr>
                <w:rFonts w:ascii="Arial Narrow" w:hAnsi="Arial Narrow" w:cs="Arial"/>
                <w:sz w:val="20"/>
                <w:szCs w:val="20"/>
              </w:rPr>
              <w:instrText xml:space="preserve"> FORMCHECKBOX </w:instrText>
            </w:r>
            <w:r w:rsidR="00233D13">
              <w:rPr>
                <w:rFonts w:ascii="Arial Narrow" w:hAnsi="Arial Narrow" w:cs="Arial"/>
                <w:sz w:val="20"/>
                <w:szCs w:val="20"/>
              </w:rPr>
            </w:r>
            <w:r w:rsidR="00233D13">
              <w:rPr>
                <w:rFonts w:ascii="Arial Narrow" w:hAnsi="Arial Narrow" w:cs="Arial"/>
                <w:sz w:val="20"/>
                <w:szCs w:val="20"/>
              </w:rPr>
              <w:fldChar w:fldCharType="separate"/>
            </w:r>
            <w:r w:rsidRPr="00F33674">
              <w:rPr>
                <w:rFonts w:ascii="Arial Narrow" w:hAnsi="Arial Narrow" w:cs="Arial"/>
                <w:sz w:val="20"/>
                <w:szCs w:val="20"/>
              </w:rPr>
              <w:fldChar w:fldCharType="end"/>
            </w:r>
            <w:r w:rsidRPr="00F33674">
              <w:rPr>
                <w:rFonts w:ascii="Arial Narrow" w:hAnsi="Arial Narrow" w:cs="Arial"/>
                <w:sz w:val="20"/>
                <w:szCs w:val="20"/>
              </w:rPr>
              <w:t>Nurse practitioners</w:t>
            </w:r>
            <w:r>
              <w:rPr>
                <w:rFonts w:ascii="Arial Narrow" w:hAnsi="Arial Narrow" w:cs="Arial"/>
                <w:sz w:val="20"/>
                <w:szCs w:val="20"/>
              </w:rPr>
              <w:t xml:space="preserve"> </w:t>
            </w:r>
            <w:r w:rsidRPr="00F33674">
              <w:rPr>
                <w:rFonts w:ascii="Arial Narrow" w:hAnsi="Arial Narrow" w:cs="Arial"/>
                <w:sz w:val="20"/>
                <w:szCs w:val="20"/>
              </w:rPr>
              <w:fldChar w:fldCharType="begin">
                <w:ffData>
                  <w:name w:val=""/>
                  <w:enabled/>
                  <w:calcOnExit w:val="0"/>
                  <w:checkBox>
                    <w:sizeAuto/>
                    <w:default w:val="0"/>
                  </w:checkBox>
                </w:ffData>
              </w:fldChar>
            </w:r>
            <w:r w:rsidRPr="00F33674">
              <w:rPr>
                <w:rFonts w:ascii="Arial Narrow" w:hAnsi="Arial Narrow" w:cs="Arial"/>
                <w:sz w:val="20"/>
                <w:szCs w:val="20"/>
              </w:rPr>
              <w:instrText xml:space="preserve"> FORMCHECKBOX </w:instrText>
            </w:r>
            <w:r w:rsidR="00233D13">
              <w:rPr>
                <w:rFonts w:ascii="Arial Narrow" w:hAnsi="Arial Narrow" w:cs="Arial"/>
                <w:sz w:val="20"/>
                <w:szCs w:val="20"/>
              </w:rPr>
            </w:r>
            <w:r w:rsidR="00233D13">
              <w:rPr>
                <w:rFonts w:ascii="Arial Narrow" w:hAnsi="Arial Narrow" w:cs="Arial"/>
                <w:sz w:val="20"/>
                <w:szCs w:val="20"/>
              </w:rPr>
              <w:fldChar w:fldCharType="separate"/>
            </w:r>
            <w:r w:rsidRPr="00F33674">
              <w:rPr>
                <w:rFonts w:ascii="Arial Narrow" w:hAnsi="Arial Narrow" w:cs="Arial"/>
                <w:sz w:val="20"/>
                <w:szCs w:val="20"/>
              </w:rPr>
              <w:fldChar w:fldCharType="end"/>
            </w:r>
            <w:r w:rsidRPr="00F33674">
              <w:rPr>
                <w:rFonts w:ascii="Arial Narrow" w:hAnsi="Arial Narrow" w:cs="Arial"/>
                <w:sz w:val="20"/>
                <w:szCs w:val="20"/>
              </w:rPr>
              <w:t>Optometrists</w:t>
            </w:r>
          </w:p>
          <w:p w14:paraId="175D37DB" w14:textId="77777777" w:rsidR="00662CE2" w:rsidRPr="00F33674" w:rsidRDefault="00662CE2" w:rsidP="008514D0">
            <w:pPr>
              <w:rPr>
                <w:rFonts w:ascii="Arial Narrow" w:hAnsi="Arial Narrow" w:cs="Arial"/>
                <w:sz w:val="20"/>
                <w:szCs w:val="20"/>
              </w:rPr>
            </w:pPr>
            <w:r w:rsidRPr="00F33674">
              <w:rPr>
                <w:rFonts w:ascii="Arial Narrow" w:hAnsi="Arial Narrow" w:cs="Arial"/>
                <w:sz w:val="20"/>
                <w:szCs w:val="20"/>
              </w:rPr>
              <w:fldChar w:fldCharType="begin">
                <w:ffData>
                  <w:name w:val="Check5"/>
                  <w:enabled/>
                  <w:calcOnExit w:val="0"/>
                  <w:checkBox>
                    <w:sizeAuto/>
                    <w:default w:val="0"/>
                  </w:checkBox>
                </w:ffData>
              </w:fldChar>
            </w:r>
            <w:r w:rsidRPr="00F33674">
              <w:rPr>
                <w:rFonts w:ascii="Arial Narrow" w:hAnsi="Arial Narrow" w:cs="Arial"/>
                <w:sz w:val="20"/>
                <w:szCs w:val="20"/>
              </w:rPr>
              <w:instrText xml:space="preserve"> FORMCHECKBOX </w:instrText>
            </w:r>
            <w:r w:rsidR="00233D13">
              <w:rPr>
                <w:rFonts w:ascii="Arial Narrow" w:hAnsi="Arial Narrow" w:cs="Arial"/>
                <w:sz w:val="20"/>
                <w:szCs w:val="20"/>
              </w:rPr>
            </w:r>
            <w:r w:rsidR="00233D13">
              <w:rPr>
                <w:rFonts w:ascii="Arial Narrow" w:hAnsi="Arial Narrow" w:cs="Arial"/>
                <w:sz w:val="20"/>
                <w:szCs w:val="20"/>
              </w:rPr>
              <w:fldChar w:fldCharType="separate"/>
            </w:r>
            <w:r w:rsidRPr="00F33674">
              <w:rPr>
                <w:rFonts w:ascii="Arial Narrow" w:hAnsi="Arial Narrow" w:cs="Arial"/>
                <w:sz w:val="20"/>
                <w:szCs w:val="20"/>
              </w:rPr>
              <w:fldChar w:fldCharType="end"/>
            </w:r>
            <w:r w:rsidRPr="00F33674">
              <w:rPr>
                <w:rFonts w:ascii="Arial Narrow" w:hAnsi="Arial Narrow" w:cs="Arial"/>
                <w:sz w:val="20"/>
                <w:szCs w:val="20"/>
              </w:rPr>
              <w:t>Midwives</w:t>
            </w:r>
          </w:p>
        </w:tc>
      </w:tr>
      <w:tr w:rsidR="00662CE2" w:rsidRPr="00F33674" w14:paraId="3D0F2F64" w14:textId="77777777" w:rsidTr="00C21DFA">
        <w:trPr>
          <w:cantSplit/>
          <w:trHeight w:val="369"/>
        </w:trPr>
        <w:tc>
          <w:tcPr>
            <w:tcW w:w="3183" w:type="dxa"/>
            <w:tcBorders>
              <w:top w:val="single" w:sz="4" w:space="0" w:color="auto"/>
              <w:left w:val="single" w:sz="4" w:space="0" w:color="auto"/>
              <w:bottom w:val="single" w:sz="4" w:space="0" w:color="auto"/>
              <w:right w:val="single" w:sz="4" w:space="0" w:color="auto"/>
            </w:tcBorders>
          </w:tcPr>
          <w:p w14:paraId="718D8F01" w14:textId="77777777" w:rsidR="00662CE2" w:rsidRPr="00F33674" w:rsidRDefault="00662CE2" w:rsidP="008514D0">
            <w:pPr>
              <w:rPr>
                <w:rFonts w:ascii="Arial Narrow" w:hAnsi="Arial Narrow" w:cs="Arial"/>
                <w:b/>
                <w:sz w:val="20"/>
                <w:szCs w:val="20"/>
              </w:rPr>
            </w:pPr>
            <w:r w:rsidRPr="00F33674">
              <w:rPr>
                <w:rFonts w:ascii="Arial Narrow" w:hAnsi="Arial Narrow" w:cs="Arial"/>
                <w:b/>
                <w:sz w:val="20"/>
                <w:szCs w:val="20"/>
              </w:rPr>
              <w:t>PBS indication:</w:t>
            </w:r>
          </w:p>
        </w:tc>
        <w:tc>
          <w:tcPr>
            <w:tcW w:w="5889" w:type="dxa"/>
            <w:tcBorders>
              <w:top w:val="single" w:sz="4" w:space="0" w:color="auto"/>
              <w:left w:val="single" w:sz="4" w:space="0" w:color="auto"/>
              <w:bottom w:val="single" w:sz="4" w:space="0" w:color="auto"/>
              <w:right w:val="single" w:sz="4" w:space="0" w:color="auto"/>
            </w:tcBorders>
          </w:tcPr>
          <w:p w14:paraId="5EB41179" w14:textId="77777777" w:rsidR="00662CE2" w:rsidRPr="00F33674" w:rsidRDefault="00662CE2" w:rsidP="008514D0">
            <w:pPr>
              <w:rPr>
                <w:rFonts w:ascii="Arial Narrow" w:hAnsi="Arial Narrow" w:cs="Arial"/>
                <w:sz w:val="20"/>
                <w:szCs w:val="20"/>
              </w:rPr>
            </w:pPr>
            <w:r w:rsidRPr="00F33674">
              <w:rPr>
                <w:rFonts w:ascii="Arial Narrow" w:hAnsi="Arial Narrow" w:cs="Arial"/>
                <w:sz w:val="20"/>
                <w:szCs w:val="20"/>
              </w:rPr>
              <w:t>[9729] Chronic severe disabling pain</w:t>
            </w:r>
          </w:p>
        </w:tc>
      </w:tr>
      <w:tr w:rsidR="00662CE2" w:rsidRPr="00F33674" w14:paraId="62E941FD" w14:textId="77777777" w:rsidTr="00C21DFA">
        <w:trPr>
          <w:cantSplit/>
          <w:trHeight w:val="360"/>
        </w:trPr>
        <w:tc>
          <w:tcPr>
            <w:tcW w:w="3183" w:type="dxa"/>
            <w:tcBorders>
              <w:top w:val="single" w:sz="4" w:space="0" w:color="auto"/>
              <w:left w:val="single" w:sz="4" w:space="0" w:color="auto"/>
              <w:bottom w:val="single" w:sz="4" w:space="0" w:color="auto"/>
              <w:right w:val="single" w:sz="4" w:space="0" w:color="auto"/>
            </w:tcBorders>
          </w:tcPr>
          <w:p w14:paraId="0A99E067" w14:textId="77777777" w:rsidR="00662CE2" w:rsidRPr="00F33674" w:rsidRDefault="00662CE2" w:rsidP="008514D0">
            <w:pPr>
              <w:rPr>
                <w:rFonts w:ascii="Arial Narrow" w:hAnsi="Arial Narrow" w:cs="Arial"/>
                <w:b/>
                <w:sz w:val="20"/>
                <w:szCs w:val="20"/>
              </w:rPr>
            </w:pPr>
            <w:r w:rsidRPr="00F33674">
              <w:rPr>
                <w:rFonts w:ascii="Arial Narrow" w:hAnsi="Arial Narrow" w:cs="Arial"/>
                <w:b/>
                <w:sz w:val="20"/>
                <w:szCs w:val="20"/>
              </w:rPr>
              <w:t>Restriction Level / Method:</w:t>
            </w:r>
          </w:p>
          <w:p w14:paraId="4C42976C" w14:textId="77777777" w:rsidR="00662CE2" w:rsidRPr="00F33674" w:rsidRDefault="00662CE2" w:rsidP="008514D0">
            <w:pPr>
              <w:rPr>
                <w:rFonts w:ascii="Arial Narrow" w:hAnsi="Arial Narrow" w:cs="Arial"/>
                <w:i/>
                <w:sz w:val="20"/>
                <w:szCs w:val="20"/>
              </w:rPr>
            </w:pPr>
          </w:p>
          <w:p w14:paraId="31B7F96E" w14:textId="77777777" w:rsidR="00662CE2" w:rsidRPr="00F33674" w:rsidRDefault="00662CE2" w:rsidP="008514D0">
            <w:pPr>
              <w:rPr>
                <w:rFonts w:ascii="Arial Narrow" w:hAnsi="Arial Narrow" w:cs="Arial"/>
                <w:i/>
                <w:sz w:val="20"/>
                <w:szCs w:val="20"/>
              </w:rPr>
            </w:pPr>
          </w:p>
          <w:p w14:paraId="79E8B9B7" w14:textId="77777777" w:rsidR="00662CE2" w:rsidRPr="00F33674" w:rsidRDefault="00662CE2" w:rsidP="008514D0">
            <w:pPr>
              <w:rPr>
                <w:rFonts w:ascii="Arial Narrow" w:hAnsi="Arial Narrow" w:cs="Arial"/>
                <w:i/>
                <w:sz w:val="20"/>
                <w:szCs w:val="20"/>
              </w:rPr>
            </w:pPr>
          </w:p>
        </w:tc>
        <w:tc>
          <w:tcPr>
            <w:tcW w:w="5889" w:type="dxa"/>
            <w:tcBorders>
              <w:top w:val="single" w:sz="4" w:space="0" w:color="auto"/>
              <w:left w:val="single" w:sz="4" w:space="0" w:color="auto"/>
              <w:bottom w:val="single" w:sz="4" w:space="0" w:color="auto"/>
              <w:right w:val="single" w:sz="4" w:space="0" w:color="auto"/>
            </w:tcBorders>
          </w:tcPr>
          <w:p w14:paraId="702989A1" w14:textId="77777777" w:rsidR="00662CE2" w:rsidRPr="00F33674" w:rsidRDefault="00662CE2" w:rsidP="008514D0">
            <w:pPr>
              <w:rPr>
                <w:rFonts w:ascii="Arial Narrow" w:hAnsi="Arial Narrow" w:cs="Arial"/>
                <w:sz w:val="20"/>
                <w:szCs w:val="20"/>
              </w:rPr>
            </w:pPr>
            <w:r w:rsidRPr="00F33674">
              <w:rPr>
                <w:rFonts w:ascii="Arial Narrow" w:hAnsi="Arial Narrow" w:cs="Arial"/>
                <w:sz w:val="20"/>
                <w:szCs w:val="20"/>
              </w:rPr>
              <w:fldChar w:fldCharType="begin">
                <w:ffData>
                  <w:name w:val=""/>
                  <w:enabled/>
                  <w:calcOnExit w:val="0"/>
                  <w:checkBox>
                    <w:sizeAuto/>
                    <w:default w:val="0"/>
                  </w:checkBox>
                </w:ffData>
              </w:fldChar>
            </w:r>
            <w:r w:rsidRPr="00F33674">
              <w:rPr>
                <w:rFonts w:ascii="Arial Narrow" w:hAnsi="Arial Narrow" w:cs="Arial"/>
                <w:sz w:val="20"/>
                <w:szCs w:val="20"/>
              </w:rPr>
              <w:instrText xml:space="preserve"> FORMCHECKBOX </w:instrText>
            </w:r>
            <w:r w:rsidR="00233D13">
              <w:rPr>
                <w:rFonts w:ascii="Arial Narrow" w:hAnsi="Arial Narrow" w:cs="Arial"/>
                <w:sz w:val="20"/>
                <w:szCs w:val="20"/>
              </w:rPr>
            </w:r>
            <w:r w:rsidR="00233D13">
              <w:rPr>
                <w:rFonts w:ascii="Arial Narrow" w:hAnsi="Arial Narrow" w:cs="Arial"/>
                <w:sz w:val="20"/>
                <w:szCs w:val="20"/>
              </w:rPr>
              <w:fldChar w:fldCharType="separate"/>
            </w:r>
            <w:r w:rsidRPr="00F33674">
              <w:rPr>
                <w:rFonts w:ascii="Arial Narrow" w:hAnsi="Arial Narrow" w:cs="Arial"/>
                <w:sz w:val="20"/>
                <w:szCs w:val="20"/>
              </w:rPr>
              <w:fldChar w:fldCharType="end"/>
            </w:r>
            <w:r w:rsidRPr="00F33674">
              <w:rPr>
                <w:rFonts w:ascii="Arial Narrow" w:hAnsi="Arial Narrow" w:cs="Arial"/>
                <w:sz w:val="20"/>
                <w:szCs w:val="20"/>
              </w:rPr>
              <w:t>Unrestricted benefit</w:t>
            </w:r>
          </w:p>
          <w:p w14:paraId="0491D1EA" w14:textId="77777777" w:rsidR="00662CE2" w:rsidRPr="00F33674" w:rsidRDefault="00662CE2" w:rsidP="008514D0">
            <w:pPr>
              <w:rPr>
                <w:rFonts w:ascii="Arial Narrow" w:hAnsi="Arial Narrow" w:cs="Arial"/>
                <w:i/>
                <w:sz w:val="20"/>
                <w:szCs w:val="20"/>
              </w:rPr>
            </w:pPr>
            <w:r w:rsidRPr="00F33674">
              <w:rPr>
                <w:rFonts w:ascii="Arial Narrow" w:hAnsi="Arial Narrow" w:cs="Arial"/>
                <w:i/>
                <w:sz w:val="20"/>
                <w:szCs w:val="20"/>
              </w:rPr>
              <w:fldChar w:fldCharType="begin">
                <w:ffData>
                  <w:name w:val=""/>
                  <w:enabled/>
                  <w:calcOnExit w:val="0"/>
                  <w:checkBox>
                    <w:sizeAuto/>
                    <w:default w:val="0"/>
                  </w:checkBox>
                </w:ffData>
              </w:fldChar>
            </w:r>
            <w:r w:rsidRPr="00F33674">
              <w:rPr>
                <w:rFonts w:ascii="Arial Narrow" w:hAnsi="Arial Narrow" w:cs="Arial"/>
                <w:i/>
                <w:sz w:val="20"/>
                <w:szCs w:val="20"/>
              </w:rPr>
              <w:instrText xml:space="preserve"> FORMCHECKBOX </w:instrText>
            </w:r>
            <w:r w:rsidR="00233D13">
              <w:rPr>
                <w:rFonts w:ascii="Arial Narrow" w:hAnsi="Arial Narrow" w:cs="Arial"/>
                <w:i/>
                <w:sz w:val="20"/>
                <w:szCs w:val="20"/>
              </w:rPr>
            </w:r>
            <w:r w:rsidR="00233D13">
              <w:rPr>
                <w:rFonts w:ascii="Arial Narrow" w:hAnsi="Arial Narrow" w:cs="Arial"/>
                <w:i/>
                <w:sz w:val="20"/>
                <w:szCs w:val="20"/>
              </w:rPr>
              <w:fldChar w:fldCharType="separate"/>
            </w:r>
            <w:r w:rsidRPr="00F33674">
              <w:rPr>
                <w:rFonts w:ascii="Arial Narrow" w:hAnsi="Arial Narrow" w:cs="Arial"/>
                <w:i/>
                <w:sz w:val="20"/>
                <w:szCs w:val="20"/>
              </w:rPr>
              <w:fldChar w:fldCharType="end"/>
            </w:r>
            <w:r w:rsidRPr="00F33674">
              <w:rPr>
                <w:rFonts w:ascii="Arial Narrow" w:hAnsi="Arial Narrow" w:cs="Arial"/>
                <w:sz w:val="20"/>
                <w:szCs w:val="20"/>
              </w:rPr>
              <w:t>Restricted benefit</w:t>
            </w:r>
          </w:p>
          <w:p w14:paraId="692EAB30" w14:textId="77777777" w:rsidR="00662CE2" w:rsidRPr="00F33674" w:rsidRDefault="00662CE2" w:rsidP="008514D0">
            <w:pPr>
              <w:rPr>
                <w:rFonts w:ascii="Arial Narrow" w:hAnsi="Arial Narrow" w:cs="Arial"/>
                <w:sz w:val="20"/>
                <w:szCs w:val="20"/>
              </w:rPr>
            </w:pPr>
            <w:r w:rsidRPr="00F33674">
              <w:rPr>
                <w:rFonts w:ascii="Arial Narrow" w:hAnsi="Arial Narrow" w:cs="Arial"/>
                <w:sz w:val="20"/>
                <w:szCs w:val="20"/>
              </w:rPr>
              <w:fldChar w:fldCharType="begin">
                <w:ffData>
                  <w:name w:val=""/>
                  <w:enabled/>
                  <w:calcOnExit w:val="0"/>
                  <w:checkBox>
                    <w:sizeAuto/>
                    <w:default w:val="0"/>
                  </w:checkBox>
                </w:ffData>
              </w:fldChar>
            </w:r>
            <w:r w:rsidRPr="00F33674">
              <w:rPr>
                <w:rFonts w:ascii="Arial Narrow" w:hAnsi="Arial Narrow" w:cs="Arial"/>
                <w:sz w:val="20"/>
                <w:szCs w:val="20"/>
              </w:rPr>
              <w:instrText xml:space="preserve"> FORMCHECKBOX </w:instrText>
            </w:r>
            <w:r w:rsidR="00233D13">
              <w:rPr>
                <w:rFonts w:ascii="Arial Narrow" w:hAnsi="Arial Narrow" w:cs="Arial"/>
                <w:sz w:val="20"/>
                <w:szCs w:val="20"/>
              </w:rPr>
            </w:r>
            <w:r w:rsidR="00233D13">
              <w:rPr>
                <w:rFonts w:ascii="Arial Narrow" w:hAnsi="Arial Narrow" w:cs="Arial"/>
                <w:sz w:val="20"/>
                <w:szCs w:val="20"/>
              </w:rPr>
              <w:fldChar w:fldCharType="separate"/>
            </w:r>
            <w:r w:rsidRPr="00F33674">
              <w:rPr>
                <w:rFonts w:ascii="Arial Narrow" w:hAnsi="Arial Narrow" w:cs="Arial"/>
                <w:sz w:val="20"/>
                <w:szCs w:val="20"/>
              </w:rPr>
              <w:fldChar w:fldCharType="end"/>
            </w:r>
            <w:r w:rsidRPr="00F33674">
              <w:rPr>
                <w:rFonts w:ascii="Arial Narrow" w:hAnsi="Arial Narrow" w:cs="Arial"/>
                <w:sz w:val="20"/>
                <w:szCs w:val="20"/>
              </w:rPr>
              <w:t>Authority Required – In Writing</w:t>
            </w:r>
          </w:p>
          <w:p w14:paraId="3E6A3E95" w14:textId="77777777" w:rsidR="00662CE2" w:rsidRPr="00F33674" w:rsidRDefault="00662CE2" w:rsidP="008514D0">
            <w:pPr>
              <w:rPr>
                <w:rFonts w:ascii="Arial Narrow" w:hAnsi="Arial Narrow" w:cs="Arial"/>
                <w:sz w:val="20"/>
                <w:szCs w:val="20"/>
              </w:rPr>
            </w:pPr>
            <w:r w:rsidRPr="00F33674">
              <w:rPr>
                <w:rFonts w:ascii="Arial Narrow" w:hAnsi="Arial Narrow" w:cs="Arial"/>
                <w:sz w:val="20"/>
                <w:szCs w:val="20"/>
              </w:rPr>
              <w:fldChar w:fldCharType="begin">
                <w:ffData>
                  <w:name w:val="Check3"/>
                  <w:enabled/>
                  <w:calcOnExit w:val="0"/>
                  <w:checkBox>
                    <w:sizeAuto/>
                    <w:default w:val="0"/>
                  </w:checkBox>
                </w:ffData>
              </w:fldChar>
            </w:r>
            <w:r w:rsidRPr="00F33674">
              <w:rPr>
                <w:rFonts w:ascii="Arial Narrow" w:hAnsi="Arial Narrow" w:cs="Arial"/>
                <w:sz w:val="20"/>
                <w:szCs w:val="20"/>
              </w:rPr>
              <w:instrText xml:space="preserve"> FORMCHECKBOX </w:instrText>
            </w:r>
            <w:r w:rsidR="00233D13">
              <w:rPr>
                <w:rFonts w:ascii="Arial Narrow" w:hAnsi="Arial Narrow" w:cs="Arial"/>
                <w:sz w:val="20"/>
                <w:szCs w:val="20"/>
              </w:rPr>
            </w:r>
            <w:r w:rsidR="00233D13">
              <w:rPr>
                <w:rFonts w:ascii="Arial Narrow" w:hAnsi="Arial Narrow" w:cs="Arial"/>
                <w:sz w:val="20"/>
                <w:szCs w:val="20"/>
              </w:rPr>
              <w:fldChar w:fldCharType="separate"/>
            </w:r>
            <w:r w:rsidRPr="00F33674">
              <w:rPr>
                <w:rFonts w:ascii="Arial Narrow" w:hAnsi="Arial Narrow" w:cs="Arial"/>
                <w:sz w:val="20"/>
                <w:szCs w:val="20"/>
              </w:rPr>
              <w:fldChar w:fldCharType="end"/>
            </w:r>
            <w:r w:rsidRPr="00F33674">
              <w:rPr>
                <w:rFonts w:ascii="Arial Narrow" w:hAnsi="Arial Narrow" w:cs="Arial"/>
                <w:sz w:val="20"/>
                <w:szCs w:val="20"/>
              </w:rPr>
              <w:t>Authority Required – Telephone/Electronic/Emergency</w:t>
            </w:r>
          </w:p>
          <w:p w14:paraId="0CEFB46C" w14:textId="77777777" w:rsidR="00662CE2" w:rsidRPr="00F33674" w:rsidRDefault="00662CE2" w:rsidP="008514D0">
            <w:pPr>
              <w:rPr>
                <w:rFonts w:ascii="Arial Narrow" w:hAnsi="Arial Narrow" w:cs="Arial"/>
                <w:sz w:val="20"/>
                <w:szCs w:val="20"/>
              </w:rPr>
            </w:pPr>
            <w:r w:rsidRPr="00F33674">
              <w:rPr>
                <w:rFonts w:ascii="Arial Narrow" w:hAnsi="Arial Narrow" w:cs="Arial"/>
                <w:sz w:val="20"/>
                <w:szCs w:val="20"/>
              </w:rPr>
              <w:fldChar w:fldCharType="begin">
                <w:ffData>
                  <w:name w:val="Check5"/>
                  <w:enabled/>
                  <w:calcOnExit w:val="0"/>
                  <w:checkBox>
                    <w:sizeAuto/>
                    <w:default w:val="1"/>
                  </w:checkBox>
                </w:ffData>
              </w:fldChar>
            </w:r>
            <w:r w:rsidRPr="00F33674">
              <w:rPr>
                <w:rFonts w:ascii="Arial Narrow" w:hAnsi="Arial Narrow" w:cs="Arial"/>
                <w:sz w:val="20"/>
                <w:szCs w:val="20"/>
              </w:rPr>
              <w:instrText xml:space="preserve"> FORMCHECKBOX </w:instrText>
            </w:r>
            <w:r w:rsidR="00233D13">
              <w:rPr>
                <w:rFonts w:ascii="Arial Narrow" w:hAnsi="Arial Narrow" w:cs="Arial"/>
                <w:sz w:val="20"/>
                <w:szCs w:val="20"/>
              </w:rPr>
            </w:r>
            <w:r w:rsidR="00233D13">
              <w:rPr>
                <w:rFonts w:ascii="Arial Narrow" w:hAnsi="Arial Narrow" w:cs="Arial"/>
                <w:sz w:val="20"/>
                <w:szCs w:val="20"/>
              </w:rPr>
              <w:fldChar w:fldCharType="separate"/>
            </w:r>
            <w:r w:rsidRPr="00F33674">
              <w:rPr>
                <w:rFonts w:ascii="Arial Narrow" w:hAnsi="Arial Narrow" w:cs="Arial"/>
                <w:sz w:val="20"/>
                <w:szCs w:val="20"/>
              </w:rPr>
              <w:fldChar w:fldCharType="end"/>
            </w:r>
            <w:r w:rsidRPr="00F33674">
              <w:rPr>
                <w:rFonts w:ascii="Arial Narrow" w:hAnsi="Arial Narrow" w:cs="Arial"/>
                <w:sz w:val="20"/>
                <w:szCs w:val="20"/>
              </w:rPr>
              <w:t>Streamlined</w:t>
            </w:r>
          </w:p>
        </w:tc>
      </w:tr>
      <w:tr w:rsidR="00662CE2" w:rsidRPr="00F33674" w14:paraId="04341062" w14:textId="77777777" w:rsidTr="00C21DFA">
        <w:trPr>
          <w:cantSplit/>
          <w:trHeight w:val="360"/>
        </w:trPr>
        <w:tc>
          <w:tcPr>
            <w:tcW w:w="3183" w:type="dxa"/>
            <w:tcBorders>
              <w:top w:val="single" w:sz="4" w:space="0" w:color="auto"/>
              <w:left w:val="single" w:sz="4" w:space="0" w:color="auto"/>
              <w:bottom w:val="single" w:sz="4" w:space="0" w:color="auto"/>
              <w:right w:val="single" w:sz="4" w:space="0" w:color="auto"/>
            </w:tcBorders>
          </w:tcPr>
          <w:p w14:paraId="29956DF0" w14:textId="77777777" w:rsidR="00662CE2" w:rsidRPr="00F33674" w:rsidRDefault="00662CE2" w:rsidP="008514D0">
            <w:pPr>
              <w:rPr>
                <w:rFonts w:ascii="Arial Narrow" w:hAnsi="Arial Narrow" w:cs="Arial"/>
                <w:b/>
                <w:sz w:val="20"/>
                <w:szCs w:val="20"/>
              </w:rPr>
            </w:pPr>
            <w:r>
              <w:rPr>
                <w:rFonts w:ascii="Arial Narrow" w:hAnsi="Arial Narrow" w:cs="Arial"/>
                <w:b/>
                <w:sz w:val="20"/>
                <w:szCs w:val="20"/>
              </w:rPr>
              <w:t>Treatment phase:</w:t>
            </w:r>
          </w:p>
        </w:tc>
        <w:tc>
          <w:tcPr>
            <w:tcW w:w="5889" w:type="dxa"/>
            <w:tcBorders>
              <w:top w:val="single" w:sz="4" w:space="0" w:color="auto"/>
              <w:left w:val="single" w:sz="4" w:space="0" w:color="auto"/>
              <w:bottom w:val="single" w:sz="4" w:space="0" w:color="auto"/>
              <w:right w:val="single" w:sz="4" w:space="0" w:color="auto"/>
            </w:tcBorders>
          </w:tcPr>
          <w:p w14:paraId="64A760A9" w14:textId="77777777" w:rsidR="00662CE2" w:rsidRPr="00F33674" w:rsidRDefault="00662CE2" w:rsidP="008514D0">
            <w:pPr>
              <w:jc w:val="left"/>
              <w:rPr>
                <w:rFonts w:ascii="Arial Narrow" w:hAnsi="Arial Narrow" w:cs="Arial"/>
                <w:sz w:val="20"/>
                <w:szCs w:val="20"/>
              </w:rPr>
            </w:pPr>
            <w:r w:rsidRPr="004811F3">
              <w:rPr>
                <w:rFonts w:ascii="Arial Narrow" w:hAnsi="Arial Narrow" w:cs="Arial"/>
                <w:sz w:val="20"/>
                <w:szCs w:val="20"/>
              </w:rPr>
              <w:t xml:space="preserve">Initial PBS treatment after 1 June 2020 where patient </w:t>
            </w:r>
            <w:proofErr w:type="gramStart"/>
            <w:r w:rsidRPr="004811F3">
              <w:rPr>
                <w:rFonts w:ascii="Arial Narrow" w:hAnsi="Arial Narrow" w:cs="Arial"/>
                <w:sz w:val="20"/>
                <w:szCs w:val="20"/>
              </w:rPr>
              <w:t>has been treated</w:t>
            </w:r>
            <w:proofErr w:type="gramEnd"/>
            <w:r w:rsidRPr="004811F3">
              <w:rPr>
                <w:rFonts w:ascii="Arial Narrow" w:hAnsi="Arial Narrow" w:cs="Arial"/>
                <w:sz w:val="20"/>
                <w:szCs w:val="20"/>
              </w:rPr>
              <w:t xml:space="preserve"> with opioids for </w:t>
            </w:r>
            <w:r>
              <w:rPr>
                <w:rFonts w:ascii="Arial Narrow" w:hAnsi="Arial Narrow" w:cs="Arial"/>
                <w:sz w:val="20"/>
                <w:szCs w:val="20"/>
              </w:rPr>
              <w:t>more</w:t>
            </w:r>
            <w:r w:rsidRPr="004811F3">
              <w:rPr>
                <w:rFonts w:ascii="Arial Narrow" w:hAnsi="Arial Narrow" w:cs="Arial"/>
                <w:sz w:val="20"/>
                <w:szCs w:val="20"/>
              </w:rPr>
              <w:t xml:space="preserve"> than 12 months</w:t>
            </w:r>
            <w:r>
              <w:rPr>
                <w:rFonts w:ascii="Arial Narrow" w:hAnsi="Arial Narrow" w:cs="Arial"/>
                <w:sz w:val="20"/>
                <w:szCs w:val="20"/>
              </w:rPr>
              <w:t>.</w:t>
            </w:r>
          </w:p>
        </w:tc>
      </w:tr>
      <w:tr w:rsidR="00662CE2" w:rsidRPr="00F33674" w14:paraId="41B238EC" w14:textId="77777777" w:rsidTr="00C21DFA">
        <w:trPr>
          <w:cantSplit/>
          <w:trHeight w:val="360"/>
        </w:trPr>
        <w:tc>
          <w:tcPr>
            <w:tcW w:w="3183" w:type="dxa"/>
            <w:tcBorders>
              <w:top w:val="single" w:sz="4" w:space="0" w:color="auto"/>
              <w:left w:val="single" w:sz="4" w:space="0" w:color="auto"/>
              <w:bottom w:val="single" w:sz="4" w:space="0" w:color="auto"/>
              <w:right w:val="single" w:sz="4" w:space="0" w:color="auto"/>
            </w:tcBorders>
          </w:tcPr>
          <w:p w14:paraId="5C654309" w14:textId="77777777" w:rsidR="00662CE2" w:rsidRPr="00F33674" w:rsidRDefault="00662CE2" w:rsidP="008514D0">
            <w:pPr>
              <w:rPr>
                <w:rFonts w:ascii="Arial Narrow" w:hAnsi="Arial Narrow" w:cs="Arial"/>
                <w:b/>
                <w:sz w:val="20"/>
                <w:szCs w:val="20"/>
              </w:rPr>
            </w:pPr>
            <w:r w:rsidRPr="00F33674">
              <w:rPr>
                <w:rFonts w:ascii="Arial Narrow" w:hAnsi="Arial Narrow" w:cs="Arial"/>
                <w:b/>
                <w:sz w:val="20"/>
                <w:szCs w:val="20"/>
              </w:rPr>
              <w:lastRenderedPageBreak/>
              <w:t>Clinical criteria:</w:t>
            </w:r>
          </w:p>
        </w:tc>
        <w:tc>
          <w:tcPr>
            <w:tcW w:w="5889" w:type="dxa"/>
            <w:tcBorders>
              <w:top w:val="single" w:sz="4" w:space="0" w:color="auto"/>
              <w:left w:val="single" w:sz="4" w:space="0" w:color="auto"/>
              <w:bottom w:val="single" w:sz="4" w:space="0" w:color="auto"/>
              <w:right w:val="single" w:sz="4" w:space="0" w:color="auto"/>
            </w:tcBorders>
          </w:tcPr>
          <w:p w14:paraId="33C99C64" w14:textId="77777777" w:rsidR="00662CE2" w:rsidRPr="00F33674" w:rsidRDefault="00662CE2" w:rsidP="008514D0">
            <w:pPr>
              <w:jc w:val="left"/>
              <w:rPr>
                <w:rFonts w:ascii="Arial Narrow" w:hAnsi="Arial Narrow" w:cs="Arial"/>
                <w:sz w:val="20"/>
                <w:szCs w:val="20"/>
              </w:rPr>
            </w:pPr>
            <w:r w:rsidRPr="00F33674">
              <w:rPr>
                <w:rFonts w:ascii="Arial Narrow" w:hAnsi="Arial Narrow" w:cs="Arial"/>
                <w:sz w:val="20"/>
                <w:szCs w:val="20"/>
              </w:rPr>
              <w:t>[new] The condition must require daily, continuous, long term treatment</w:t>
            </w:r>
          </w:p>
          <w:p w14:paraId="58818649" w14:textId="77777777" w:rsidR="00662CE2" w:rsidRPr="00F33674" w:rsidRDefault="00662CE2" w:rsidP="008514D0">
            <w:pPr>
              <w:jc w:val="left"/>
              <w:rPr>
                <w:rFonts w:ascii="Arial Narrow" w:hAnsi="Arial Narrow" w:cs="Arial"/>
                <w:sz w:val="20"/>
                <w:szCs w:val="20"/>
              </w:rPr>
            </w:pPr>
          </w:p>
          <w:p w14:paraId="7C09962D" w14:textId="77777777" w:rsidR="00662CE2" w:rsidRPr="00F33674" w:rsidRDefault="00662CE2" w:rsidP="008514D0">
            <w:pPr>
              <w:jc w:val="left"/>
              <w:rPr>
                <w:rFonts w:ascii="Arial Narrow" w:hAnsi="Arial Narrow" w:cs="Arial"/>
                <w:sz w:val="20"/>
                <w:szCs w:val="20"/>
              </w:rPr>
            </w:pPr>
            <w:r w:rsidRPr="00F33674">
              <w:rPr>
                <w:rFonts w:ascii="Arial Narrow" w:hAnsi="Arial Narrow" w:cs="Arial"/>
                <w:sz w:val="20"/>
                <w:szCs w:val="20"/>
              </w:rPr>
              <w:t>AND</w:t>
            </w:r>
          </w:p>
          <w:p w14:paraId="16D33FA0" w14:textId="77777777" w:rsidR="00662CE2" w:rsidRPr="00F33674" w:rsidRDefault="00662CE2" w:rsidP="008514D0">
            <w:pPr>
              <w:jc w:val="left"/>
              <w:rPr>
                <w:rFonts w:ascii="Arial Narrow" w:hAnsi="Arial Narrow" w:cs="Arial"/>
                <w:sz w:val="20"/>
                <w:szCs w:val="20"/>
              </w:rPr>
            </w:pPr>
          </w:p>
          <w:p w14:paraId="413C9998" w14:textId="77777777" w:rsidR="00662CE2" w:rsidRPr="00F33674" w:rsidRDefault="00662CE2" w:rsidP="008514D0">
            <w:pPr>
              <w:jc w:val="left"/>
              <w:rPr>
                <w:rFonts w:ascii="Arial Narrow" w:hAnsi="Arial Narrow" w:cs="Arial"/>
                <w:sz w:val="20"/>
                <w:szCs w:val="20"/>
              </w:rPr>
            </w:pPr>
            <w:r w:rsidRPr="00F33674">
              <w:rPr>
                <w:rFonts w:ascii="Arial Narrow" w:hAnsi="Arial Narrow" w:cs="Arial"/>
                <w:sz w:val="20"/>
                <w:szCs w:val="20"/>
              </w:rPr>
              <w:t>[new] Patient must not be opioid naïve</w:t>
            </w:r>
          </w:p>
          <w:p w14:paraId="4CDD2619" w14:textId="77777777" w:rsidR="00662CE2" w:rsidRPr="00F33674" w:rsidRDefault="00662CE2" w:rsidP="008514D0">
            <w:pPr>
              <w:jc w:val="left"/>
              <w:rPr>
                <w:rFonts w:ascii="Arial Narrow" w:hAnsi="Arial Narrow" w:cs="Arial"/>
                <w:sz w:val="20"/>
                <w:szCs w:val="20"/>
              </w:rPr>
            </w:pPr>
          </w:p>
          <w:p w14:paraId="5B0B6AAB" w14:textId="77777777" w:rsidR="00662CE2" w:rsidRPr="00F33674" w:rsidRDefault="00662CE2" w:rsidP="008514D0">
            <w:pPr>
              <w:jc w:val="left"/>
              <w:rPr>
                <w:rFonts w:ascii="Arial Narrow" w:hAnsi="Arial Narrow" w:cs="Arial"/>
                <w:sz w:val="20"/>
                <w:szCs w:val="20"/>
              </w:rPr>
            </w:pPr>
            <w:r w:rsidRPr="00F33674">
              <w:rPr>
                <w:rFonts w:ascii="Arial Narrow" w:hAnsi="Arial Narrow" w:cs="Arial"/>
                <w:sz w:val="20"/>
                <w:szCs w:val="20"/>
              </w:rPr>
              <w:t>AND</w:t>
            </w:r>
          </w:p>
          <w:p w14:paraId="6007F6F0" w14:textId="77777777" w:rsidR="00662CE2" w:rsidRPr="00F33674" w:rsidRDefault="00662CE2" w:rsidP="008514D0">
            <w:pPr>
              <w:jc w:val="left"/>
              <w:rPr>
                <w:rFonts w:ascii="Arial Narrow" w:hAnsi="Arial Narrow" w:cs="Arial"/>
                <w:sz w:val="20"/>
                <w:szCs w:val="20"/>
              </w:rPr>
            </w:pPr>
          </w:p>
          <w:p w14:paraId="2C9946B5" w14:textId="77777777" w:rsidR="00662CE2" w:rsidRPr="00F33674" w:rsidRDefault="00662CE2" w:rsidP="008514D0">
            <w:pPr>
              <w:jc w:val="left"/>
              <w:rPr>
                <w:rFonts w:ascii="Arial Narrow" w:hAnsi="Arial Narrow" w:cs="Arial"/>
                <w:sz w:val="20"/>
                <w:szCs w:val="20"/>
              </w:rPr>
            </w:pPr>
            <w:r w:rsidRPr="00F33674">
              <w:rPr>
                <w:rFonts w:ascii="Arial Narrow" w:hAnsi="Arial Narrow" w:cs="Arial"/>
                <w:sz w:val="20"/>
                <w:szCs w:val="20"/>
              </w:rPr>
              <w:t xml:space="preserve">[18096] Patient must have </w:t>
            </w:r>
            <w:r>
              <w:rPr>
                <w:rFonts w:ascii="Arial Narrow" w:hAnsi="Arial Narrow" w:cs="Arial"/>
                <w:sz w:val="20"/>
                <w:szCs w:val="20"/>
              </w:rPr>
              <w:t>cancer pain</w:t>
            </w:r>
          </w:p>
          <w:p w14:paraId="0F3A485A" w14:textId="77777777" w:rsidR="00662CE2" w:rsidRPr="00F33674" w:rsidRDefault="00662CE2" w:rsidP="008514D0">
            <w:pPr>
              <w:jc w:val="left"/>
              <w:rPr>
                <w:rFonts w:ascii="Arial Narrow" w:hAnsi="Arial Narrow" w:cs="Arial"/>
                <w:sz w:val="20"/>
                <w:szCs w:val="20"/>
              </w:rPr>
            </w:pPr>
            <w:r w:rsidRPr="00F33674">
              <w:rPr>
                <w:rFonts w:ascii="Arial Narrow" w:hAnsi="Arial Narrow" w:cs="Arial"/>
                <w:sz w:val="20"/>
                <w:szCs w:val="20"/>
              </w:rPr>
              <w:t>OR</w:t>
            </w:r>
          </w:p>
          <w:p w14:paraId="49F659D2" w14:textId="77777777" w:rsidR="00662CE2" w:rsidRPr="00F33674" w:rsidRDefault="00662CE2" w:rsidP="008514D0">
            <w:pPr>
              <w:jc w:val="left"/>
              <w:rPr>
                <w:rFonts w:ascii="Arial Narrow" w:hAnsi="Arial Narrow" w:cs="Arial"/>
                <w:sz w:val="20"/>
                <w:szCs w:val="20"/>
              </w:rPr>
            </w:pPr>
            <w:r w:rsidRPr="00F33674">
              <w:rPr>
                <w:rFonts w:ascii="Arial Narrow" w:hAnsi="Arial Narrow" w:cs="Arial"/>
                <w:sz w:val="20"/>
                <w:szCs w:val="20"/>
              </w:rPr>
              <w:t xml:space="preserve">[new] Patient must have </w:t>
            </w:r>
            <w:r>
              <w:rPr>
                <w:rFonts w:ascii="Arial Narrow" w:hAnsi="Arial Narrow" w:cs="Arial"/>
                <w:sz w:val="20"/>
                <w:szCs w:val="20"/>
              </w:rPr>
              <w:t>had or would have</w:t>
            </w:r>
            <w:r w:rsidRPr="00F33674">
              <w:rPr>
                <w:rFonts w:ascii="Arial Narrow" w:hAnsi="Arial Narrow" w:cs="Arial"/>
                <w:sz w:val="20"/>
                <w:szCs w:val="20"/>
              </w:rPr>
              <w:t xml:space="preserve"> </w:t>
            </w:r>
            <w:r>
              <w:rPr>
                <w:rFonts w:ascii="Arial Narrow" w:hAnsi="Arial Narrow" w:cs="Arial"/>
                <w:sz w:val="20"/>
                <w:szCs w:val="20"/>
              </w:rPr>
              <w:t>inadequate pain management</w:t>
            </w:r>
            <w:r w:rsidRPr="00F33674">
              <w:rPr>
                <w:rFonts w:ascii="Arial Narrow" w:hAnsi="Arial Narrow" w:cs="Arial"/>
                <w:sz w:val="20"/>
                <w:szCs w:val="20"/>
              </w:rPr>
              <w:t xml:space="preserve"> </w:t>
            </w:r>
            <w:r>
              <w:rPr>
                <w:rFonts w:ascii="Arial Narrow" w:hAnsi="Arial Narrow" w:cs="Arial"/>
                <w:sz w:val="20"/>
                <w:szCs w:val="20"/>
              </w:rPr>
              <w:t>with</w:t>
            </w:r>
            <w:r w:rsidRPr="00F33674">
              <w:rPr>
                <w:rFonts w:ascii="Arial Narrow" w:hAnsi="Arial Narrow" w:cs="Arial"/>
                <w:sz w:val="20"/>
                <w:szCs w:val="20"/>
              </w:rPr>
              <w:t xml:space="preserve"> tolerated doses of non-opioid and other opioid analgesics</w:t>
            </w:r>
          </w:p>
          <w:p w14:paraId="0AE09ED1" w14:textId="77777777" w:rsidR="00662CE2" w:rsidRPr="00F33674" w:rsidRDefault="00662CE2" w:rsidP="008514D0">
            <w:pPr>
              <w:jc w:val="left"/>
              <w:rPr>
                <w:rFonts w:ascii="Arial Narrow" w:hAnsi="Arial Narrow" w:cs="Arial"/>
                <w:sz w:val="20"/>
                <w:szCs w:val="20"/>
              </w:rPr>
            </w:pPr>
            <w:r w:rsidRPr="00F33674">
              <w:rPr>
                <w:rFonts w:ascii="Arial Narrow" w:hAnsi="Arial Narrow" w:cs="Arial"/>
                <w:sz w:val="20"/>
                <w:szCs w:val="20"/>
              </w:rPr>
              <w:t>OR</w:t>
            </w:r>
          </w:p>
          <w:p w14:paraId="66395D03" w14:textId="77777777" w:rsidR="00662CE2" w:rsidRPr="00F33674" w:rsidRDefault="00662CE2" w:rsidP="008514D0">
            <w:pPr>
              <w:jc w:val="left"/>
              <w:rPr>
                <w:rFonts w:ascii="Arial Narrow" w:hAnsi="Arial Narrow" w:cs="Arial"/>
                <w:sz w:val="20"/>
                <w:szCs w:val="20"/>
              </w:rPr>
            </w:pPr>
            <w:r w:rsidRPr="00F33674">
              <w:rPr>
                <w:rFonts w:ascii="Arial Narrow" w:hAnsi="Arial Narrow" w:cs="Arial"/>
                <w:sz w:val="20"/>
                <w:szCs w:val="20"/>
              </w:rPr>
              <w:t>[new] Patient must be unable to use non-opioid and other opioid analgesics due to contraindications or intolerance.</w:t>
            </w:r>
          </w:p>
        </w:tc>
      </w:tr>
      <w:tr w:rsidR="00662CE2" w:rsidRPr="00F33674" w14:paraId="14471736" w14:textId="77777777" w:rsidTr="00C21DFA">
        <w:trPr>
          <w:cantSplit/>
          <w:trHeight w:val="360"/>
        </w:trPr>
        <w:tc>
          <w:tcPr>
            <w:tcW w:w="3183" w:type="dxa"/>
            <w:tcBorders>
              <w:top w:val="single" w:sz="4" w:space="0" w:color="auto"/>
              <w:left w:val="single" w:sz="4" w:space="0" w:color="auto"/>
              <w:bottom w:val="single" w:sz="4" w:space="0" w:color="auto"/>
              <w:right w:val="single" w:sz="4" w:space="0" w:color="auto"/>
            </w:tcBorders>
          </w:tcPr>
          <w:p w14:paraId="6D3E80BC" w14:textId="77777777" w:rsidR="00662CE2" w:rsidRPr="00F33674" w:rsidRDefault="00662CE2" w:rsidP="008514D0">
            <w:pPr>
              <w:rPr>
                <w:rFonts w:ascii="Arial Narrow" w:hAnsi="Arial Narrow" w:cs="Arial"/>
                <w:b/>
                <w:sz w:val="20"/>
                <w:szCs w:val="20"/>
              </w:rPr>
            </w:pPr>
            <w:r w:rsidRPr="00F33674">
              <w:rPr>
                <w:rFonts w:ascii="Arial Narrow" w:hAnsi="Arial Narrow" w:cs="Arial"/>
                <w:b/>
                <w:sz w:val="20"/>
                <w:szCs w:val="20"/>
              </w:rPr>
              <w:t>Prescriber instruction:</w:t>
            </w:r>
          </w:p>
        </w:tc>
        <w:tc>
          <w:tcPr>
            <w:tcW w:w="5889" w:type="dxa"/>
            <w:tcBorders>
              <w:top w:val="single" w:sz="4" w:space="0" w:color="auto"/>
              <w:left w:val="single" w:sz="4" w:space="0" w:color="auto"/>
              <w:bottom w:val="single" w:sz="4" w:space="0" w:color="auto"/>
              <w:right w:val="single" w:sz="4" w:space="0" w:color="auto"/>
            </w:tcBorders>
          </w:tcPr>
          <w:p w14:paraId="11DDA5AF" w14:textId="77777777" w:rsidR="00662CE2" w:rsidRPr="00744FB8" w:rsidRDefault="00662CE2" w:rsidP="008514D0">
            <w:pPr>
              <w:jc w:val="left"/>
              <w:rPr>
                <w:rFonts w:ascii="Arial Narrow" w:hAnsi="Arial Narrow" w:cs="Arial"/>
                <w:sz w:val="20"/>
                <w:szCs w:val="20"/>
              </w:rPr>
            </w:pPr>
            <w:r w:rsidRPr="00F33674">
              <w:rPr>
                <w:rFonts w:ascii="Arial Narrow" w:hAnsi="Arial Narrow" w:cs="Arial"/>
                <w:sz w:val="20"/>
                <w:szCs w:val="20"/>
              </w:rPr>
              <w:t xml:space="preserve">[new] </w:t>
            </w:r>
            <w:r w:rsidRPr="00744FB8">
              <w:rPr>
                <w:rFonts w:ascii="Arial Narrow" w:hAnsi="Arial Narrow" w:cs="Arial"/>
                <w:sz w:val="20"/>
                <w:szCs w:val="20"/>
              </w:rPr>
              <w:t>Authorities for increased maximum quantities and/or repeats must only be considered for chronic severe disabling pain where the total duration of non-PBS and PBS opioid analgesic treatment:</w:t>
            </w:r>
          </w:p>
          <w:p w14:paraId="7F29E7F0" w14:textId="77777777" w:rsidR="00662CE2" w:rsidRPr="00744FB8" w:rsidRDefault="00662CE2" w:rsidP="008514D0">
            <w:pPr>
              <w:jc w:val="left"/>
              <w:rPr>
                <w:rFonts w:ascii="Arial Narrow" w:hAnsi="Arial Narrow" w:cs="Arial"/>
                <w:sz w:val="20"/>
                <w:szCs w:val="20"/>
              </w:rPr>
            </w:pPr>
            <w:r w:rsidRPr="00744FB8">
              <w:rPr>
                <w:rFonts w:ascii="Arial Narrow" w:hAnsi="Arial Narrow" w:cs="Arial"/>
                <w:sz w:val="20"/>
                <w:szCs w:val="20"/>
              </w:rPr>
              <w:t>(i) exceeds 12 months and the palliative care patient is unable to have annual pain management review due to their clinical condition; or</w:t>
            </w:r>
          </w:p>
          <w:p w14:paraId="05B3D954" w14:textId="77777777" w:rsidR="00662CE2" w:rsidRPr="00744FB8" w:rsidRDefault="00662CE2" w:rsidP="008514D0">
            <w:pPr>
              <w:jc w:val="left"/>
              <w:rPr>
                <w:rFonts w:ascii="Arial Narrow" w:hAnsi="Arial Narrow" w:cs="Arial"/>
                <w:sz w:val="20"/>
                <w:szCs w:val="20"/>
              </w:rPr>
            </w:pPr>
            <w:r w:rsidRPr="00744FB8">
              <w:rPr>
                <w:rFonts w:ascii="Arial Narrow" w:hAnsi="Arial Narrow" w:cs="Arial"/>
                <w:sz w:val="20"/>
                <w:szCs w:val="20"/>
              </w:rPr>
              <w:t>(ii) exceeds 12 months and the patient's clinical need for continuing opioid treatment has been confirmed through consultation with the patient by another medical practitioner or a palliative care nurse practitioner in the past 12 months; or</w:t>
            </w:r>
          </w:p>
          <w:p w14:paraId="5FA517CC" w14:textId="77777777" w:rsidR="00662CE2" w:rsidRPr="00F33674" w:rsidRDefault="00662CE2" w:rsidP="008514D0">
            <w:pPr>
              <w:jc w:val="left"/>
              <w:rPr>
                <w:rFonts w:ascii="Arial Narrow" w:hAnsi="Arial Narrow" w:cs="Arial"/>
                <w:sz w:val="20"/>
                <w:szCs w:val="20"/>
              </w:rPr>
            </w:pPr>
            <w:r w:rsidRPr="00744FB8">
              <w:rPr>
                <w:rFonts w:ascii="Arial Narrow" w:hAnsi="Arial Narrow" w:cs="Arial"/>
                <w:sz w:val="20"/>
                <w:szCs w:val="20"/>
              </w:rPr>
              <w:t xml:space="preserve">(iii) </w:t>
            </w:r>
            <w:proofErr w:type="gramStart"/>
            <w:r w:rsidRPr="00744FB8">
              <w:rPr>
                <w:rFonts w:ascii="Arial Narrow" w:hAnsi="Arial Narrow" w:cs="Arial"/>
                <w:sz w:val="20"/>
                <w:szCs w:val="20"/>
              </w:rPr>
              <w:t>has</w:t>
            </w:r>
            <w:proofErr w:type="gramEnd"/>
            <w:r w:rsidRPr="00744FB8">
              <w:rPr>
                <w:rFonts w:ascii="Arial Narrow" w:hAnsi="Arial Narrow" w:cs="Arial"/>
                <w:sz w:val="20"/>
                <w:szCs w:val="20"/>
              </w:rPr>
              <w:t xml:space="preserve"> exceeded 12 months prior to 1 June 2020 and the patient's clinical need for continuing opioid treatment has not been confirmed through consultation with the patient by another medical practitioner or a palliative care nurse practitioner in the past 12 months, but is planned in the next 3 months.</w:t>
            </w:r>
          </w:p>
          <w:p w14:paraId="5B8ED45C" w14:textId="77777777" w:rsidR="00662CE2" w:rsidRPr="00F33674" w:rsidRDefault="00662CE2" w:rsidP="008514D0">
            <w:pPr>
              <w:jc w:val="left"/>
              <w:rPr>
                <w:rFonts w:ascii="Arial Narrow" w:hAnsi="Arial Narrow" w:cs="Arial"/>
                <w:sz w:val="20"/>
                <w:szCs w:val="20"/>
              </w:rPr>
            </w:pPr>
          </w:p>
          <w:p w14:paraId="1175B2CE" w14:textId="77777777" w:rsidR="00662CE2" w:rsidRPr="00F33674" w:rsidRDefault="00662CE2" w:rsidP="008514D0">
            <w:pPr>
              <w:jc w:val="left"/>
              <w:rPr>
                <w:rFonts w:ascii="Arial Narrow" w:hAnsi="Arial Narrow" w:cs="Arial"/>
                <w:sz w:val="20"/>
                <w:szCs w:val="20"/>
              </w:rPr>
            </w:pPr>
            <w:r w:rsidRPr="00F33674">
              <w:rPr>
                <w:rFonts w:ascii="Arial Narrow" w:hAnsi="Arial Narrow" w:cs="Arial"/>
                <w:sz w:val="20"/>
                <w:szCs w:val="20"/>
              </w:rPr>
              <w:t>[new] Authority requests extending treatment duration up to 1 month may be requested though the Online PBS Authorities system or by calling Services Australia.</w:t>
            </w:r>
          </w:p>
          <w:p w14:paraId="6B593318" w14:textId="77777777" w:rsidR="00662CE2" w:rsidRPr="00F33674" w:rsidRDefault="00662CE2" w:rsidP="008514D0">
            <w:pPr>
              <w:jc w:val="left"/>
              <w:rPr>
                <w:rFonts w:ascii="Arial Narrow" w:hAnsi="Arial Narrow" w:cs="Arial"/>
                <w:sz w:val="20"/>
                <w:szCs w:val="20"/>
              </w:rPr>
            </w:pPr>
          </w:p>
          <w:p w14:paraId="580A0AA4" w14:textId="77777777" w:rsidR="00662CE2" w:rsidRPr="00F33674" w:rsidRDefault="00662CE2" w:rsidP="008514D0">
            <w:pPr>
              <w:jc w:val="left"/>
              <w:rPr>
                <w:rFonts w:ascii="Arial Narrow" w:hAnsi="Arial Narrow" w:cs="Arial"/>
                <w:sz w:val="20"/>
                <w:szCs w:val="20"/>
              </w:rPr>
            </w:pPr>
            <w:r w:rsidRPr="00F33674">
              <w:rPr>
                <w:rFonts w:ascii="Arial Narrow" w:hAnsi="Arial Narrow" w:cs="Arial"/>
                <w:sz w:val="20"/>
                <w:szCs w:val="20"/>
              </w:rPr>
              <w:t xml:space="preserve">Authority requests extending treatment duration beyond 1 month </w:t>
            </w:r>
            <w:r>
              <w:rPr>
                <w:rFonts w:ascii="Arial Narrow" w:hAnsi="Arial Narrow" w:cs="Arial"/>
                <w:sz w:val="20"/>
                <w:szCs w:val="20"/>
              </w:rPr>
              <w:t>may be requested through the Online PBS Authorities system</w:t>
            </w:r>
            <w:r w:rsidRPr="00F33674">
              <w:rPr>
                <w:rFonts w:ascii="Arial Narrow" w:hAnsi="Arial Narrow" w:cs="Arial"/>
                <w:sz w:val="20"/>
                <w:szCs w:val="20"/>
              </w:rPr>
              <w:t xml:space="preserve"> or in writing only and must not provide a treatment duration exceeding </w:t>
            </w:r>
            <w:r>
              <w:rPr>
                <w:rFonts w:ascii="Arial Narrow" w:hAnsi="Arial Narrow" w:cs="Arial"/>
                <w:sz w:val="20"/>
                <w:szCs w:val="20"/>
              </w:rPr>
              <w:t xml:space="preserve">3 months (quantity sufficient for up to </w:t>
            </w:r>
            <w:proofErr w:type="gramStart"/>
            <w:r>
              <w:rPr>
                <w:rFonts w:ascii="Arial Narrow" w:hAnsi="Arial Narrow" w:cs="Arial"/>
                <w:sz w:val="20"/>
                <w:szCs w:val="20"/>
              </w:rPr>
              <w:t>1 month</w:t>
            </w:r>
            <w:proofErr w:type="gramEnd"/>
            <w:r>
              <w:rPr>
                <w:rFonts w:ascii="Arial Narrow" w:hAnsi="Arial Narrow" w:cs="Arial"/>
                <w:sz w:val="20"/>
                <w:szCs w:val="20"/>
              </w:rPr>
              <w:t xml:space="preserve"> treatment and sufficient repeats).</w:t>
            </w:r>
          </w:p>
        </w:tc>
      </w:tr>
      <w:tr w:rsidR="00662CE2" w:rsidRPr="00F33674" w14:paraId="76FE2469" w14:textId="77777777" w:rsidTr="00C21DFA">
        <w:trPr>
          <w:cantSplit/>
          <w:trHeight w:val="360"/>
        </w:trPr>
        <w:tc>
          <w:tcPr>
            <w:tcW w:w="3183" w:type="dxa"/>
            <w:tcBorders>
              <w:top w:val="single" w:sz="4" w:space="0" w:color="auto"/>
              <w:left w:val="single" w:sz="4" w:space="0" w:color="auto"/>
              <w:bottom w:val="single" w:sz="4" w:space="0" w:color="auto"/>
              <w:right w:val="single" w:sz="4" w:space="0" w:color="auto"/>
            </w:tcBorders>
          </w:tcPr>
          <w:p w14:paraId="06524019" w14:textId="7BF6ED3E" w:rsidR="00662CE2" w:rsidRPr="00F33674" w:rsidRDefault="00662CE2" w:rsidP="00662CE2">
            <w:pPr>
              <w:rPr>
                <w:rFonts w:ascii="Arial Narrow" w:hAnsi="Arial Narrow" w:cs="Arial"/>
                <w:b/>
                <w:sz w:val="20"/>
                <w:szCs w:val="20"/>
              </w:rPr>
            </w:pPr>
            <w:r w:rsidRPr="00F33674">
              <w:rPr>
                <w:rFonts w:ascii="Arial Narrow" w:hAnsi="Arial Narrow" w:cs="Arial"/>
                <w:b/>
                <w:sz w:val="20"/>
                <w:szCs w:val="20"/>
              </w:rPr>
              <w:lastRenderedPageBreak/>
              <w:t>Administrative advice:</w:t>
            </w:r>
          </w:p>
        </w:tc>
        <w:tc>
          <w:tcPr>
            <w:tcW w:w="5889" w:type="dxa"/>
            <w:tcBorders>
              <w:top w:val="single" w:sz="4" w:space="0" w:color="auto"/>
              <w:left w:val="single" w:sz="4" w:space="0" w:color="auto"/>
              <w:bottom w:val="single" w:sz="4" w:space="0" w:color="auto"/>
              <w:right w:val="single" w:sz="4" w:space="0" w:color="auto"/>
            </w:tcBorders>
          </w:tcPr>
          <w:p w14:paraId="085AA1F9" w14:textId="77777777" w:rsidR="00662CE2" w:rsidRPr="00F33674" w:rsidRDefault="00662CE2" w:rsidP="00662CE2">
            <w:pPr>
              <w:jc w:val="left"/>
              <w:rPr>
                <w:rFonts w:ascii="Arial Narrow" w:hAnsi="Arial Narrow"/>
                <w:sz w:val="20"/>
                <w:szCs w:val="20"/>
              </w:rPr>
            </w:pPr>
            <w:r w:rsidRPr="00F33674">
              <w:rPr>
                <w:rFonts w:ascii="Arial Narrow" w:hAnsi="Arial Narrow"/>
                <w:sz w:val="20"/>
                <w:szCs w:val="20"/>
              </w:rPr>
              <w:t>[new] Consider consultation with a multidisciplinary pain service prior to, or after commencement of this medication.</w:t>
            </w:r>
          </w:p>
          <w:p w14:paraId="1804868E" w14:textId="77777777" w:rsidR="00662CE2" w:rsidRPr="00F33674" w:rsidRDefault="00662CE2" w:rsidP="00662CE2">
            <w:pPr>
              <w:jc w:val="left"/>
              <w:rPr>
                <w:rFonts w:ascii="Arial Narrow" w:hAnsi="Arial Narrow"/>
                <w:sz w:val="20"/>
                <w:szCs w:val="20"/>
              </w:rPr>
            </w:pPr>
          </w:p>
          <w:p w14:paraId="00AAB8CD" w14:textId="77777777" w:rsidR="00662CE2" w:rsidRPr="00F33674" w:rsidRDefault="00662CE2" w:rsidP="00662CE2">
            <w:pPr>
              <w:jc w:val="left"/>
              <w:rPr>
                <w:rFonts w:ascii="Arial Narrow" w:hAnsi="Arial Narrow" w:cs="Arial"/>
                <w:sz w:val="20"/>
                <w:szCs w:val="20"/>
              </w:rPr>
            </w:pPr>
            <w:r w:rsidRPr="00F33674">
              <w:rPr>
                <w:rFonts w:ascii="Arial Narrow" w:hAnsi="Arial Narrow" w:cs="Arial"/>
                <w:sz w:val="20"/>
                <w:szCs w:val="20"/>
              </w:rPr>
              <w:t>[new] This treatment is not suitable for ‘as-required’ pain relief.</w:t>
            </w:r>
          </w:p>
          <w:p w14:paraId="30804154" w14:textId="77777777" w:rsidR="00662CE2" w:rsidRPr="00F33674" w:rsidRDefault="00662CE2" w:rsidP="00662CE2">
            <w:pPr>
              <w:jc w:val="left"/>
              <w:rPr>
                <w:rFonts w:ascii="Arial Narrow" w:hAnsi="Arial Narrow" w:cs="Arial"/>
                <w:sz w:val="20"/>
                <w:szCs w:val="20"/>
              </w:rPr>
            </w:pPr>
            <w:r w:rsidRPr="00F33674">
              <w:rPr>
                <w:rFonts w:ascii="Arial Narrow" w:hAnsi="Arial Narrow" w:cs="Arial"/>
                <w:sz w:val="20"/>
                <w:szCs w:val="20"/>
              </w:rPr>
              <w:t xml:space="preserve"> </w:t>
            </w:r>
          </w:p>
          <w:p w14:paraId="4356F77A" w14:textId="77777777" w:rsidR="00662CE2" w:rsidRPr="00F33674" w:rsidRDefault="00662CE2" w:rsidP="00662CE2">
            <w:pPr>
              <w:jc w:val="left"/>
              <w:rPr>
                <w:rFonts w:ascii="Arial Narrow" w:hAnsi="Arial Narrow" w:cs="Arial"/>
                <w:sz w:val="20"/>
                <w:szCs w:val="20"/>
              </w:rPr>
            </w:pPr>
            <w:r w:rsidRPr="00F33674">
              <w:rPr>
                <w:rFonts w:ascii="Arial Narrow" w:hAnsi="Arial Narrow" w:cs="Arial"/>
                <w:sz w:val="20"/>
                <w:szCs w:val="20"/>
              </w:rPr>
              <w:t xml:space="preserve">[7901] Shared Care Model: For prescribing by nurse practitioners where care of a patient </w:t>
            </w:r>
            <w:proofErr w:type="gramStart"/>
            <w:r w:rsidRPr="00F33674">
              <w:rPr>
                <w:rFonts w:ascii="Arial Narrow" w:hAnsi="Arial Narrow" w:cs="Arial"/>
                <w:sz w:val="20"/>
                <w:szCs w:val="20"/>
              </w:rPr>
              <w:t>is shared</w:t>
            </w:r>
            <w:proofErr w:type="gramEnd"/>
            <w:r w:rsidRPr="00F33674">
              <w:rPr>
                <w:rFonts w:ascii="Arial Narrow" w:hAnsi="Arial Narrow" w:cs="Arial"/>
                <w:sz w:val="20"/>
                <w:szCs w:val="20"/>
              </w:rPr>
              <w:t xml:space="preserve"> between a nurse practitioner and medical practitioner in a formalised arrangement with an agreed management plan. Further information </w:t>
            </w:r>
            <w:proofErr w:type="gramStart"/>
            <w:r w:rsidRPr="00F33674">
              <w:rPr>
                <w:rFonts w:ascii="Arial Narrow" w:hAnsi="Arial Narrow" w:cs="Arial"/>
                <w:sz w:val="20"/>
                <w:szCs w:val="20"/>
              </w:rPr>
              <w:t>can be found</w:t>
            </w:r>
            <w:proofErr w:type="gramEnd"/>
            <w:r w:rsidRPr="00F33674">
              <w:rPr>
                <w:rFonts w:ascii="Arial Narrow" w:hAnsi="Arial Narrow" w:cs="Arial"/>
                <w:sz w:val="20"/>
                <w:szCs w:val="20"/>
              </w:rPr>
              <w:t xml:space="preserve"> in the Explanatory Notes for Nurse Practitioners.</w:t>
            </w:r>
          </w:p>
          <w:p w14:paraId="7A60DEFE" w14:textId="77777777" w:rsidR="00662CE2" w:rsidRPr="00F33674" w:rsidRDefault="00662CE2" w:rsidP="00662CE2">
            <w:pPr>
              <w:jc w:val="left"/>
              <w:rPr>
                <w:rFonts w:ascii="Arial Narrow" w:hAnsi="Arial Narrow" w:cs="Arial"/>
                <w:sz w:val="20"/>
                <w:szCs w:val="20"/>
              </w:rPr>
            </w:pPr>
          </w:p>
          <w:p w14:paraId="7157AC5C" w14:textId="77777777" w:rsidR="00662CE2" w:rsidRPr="00F33674" w:rsidRDefault="00662CE2" w:rsidP="00662CE2">
            <w:pPr>
              <w:jc w:val="left"/>
              <w:rPr>
                <w:rFonts w:ascii="Arial Narrow" w:hAnsi="Arial Narrow" w:cs="Arial"/>
                <w:sz w:val="20"/>
                <w:szCs w:val="20"/>
              </w:rPr>
            </w:pPr>
            <w:r w:rsidRPr="00F33674">
              <w:rPr>
                <w:rFonts w:ascii="Arial Narrow" w:hAnsi="Arial Narrow" w:cs="Arial"/>
                <w:sz w:val="20"/>
                <w:szCs w:val="20"/>
              </w:rPr>
              <w:t>[new] Real time online applications for increased maximum quantities/repeats may be made using the Online PBS Authorities system (see www.servicesaustralia.gov.au/organisations/health-professionals/services/medicare/hpos/services/request-authority-using-online-pbs-authorities-hpos)</w:t>
            </w:r>
          </w:p>
          <w:p w14:paraId="4B7C2973" w14:textId="77777777" w:rsidR="00662CE2" w:rsidRPr="00F33674" w:rsidRDefault="00662CE2" w:rsidP="00662CE2">
            <w:pPr>
              <w:jc w:val="left"/>
              <w:rPr>
                <w:rFonts w:ascii="Arial Narrow" w:hAnsi="Arial Narrow" w:cs="Arial"/>
                <w:sz w:val="20"/>
                <w:szCs w:val="20"/>
              </w:rPr>
            </w:pPr>
          </w:p>
          <w:p w14:paraId="754F0D7F" w14:textId="77777777" w:rsidR="00662CE2" w:rsidRPr="00F33674" w:rsidRDefault="00662CE2" w:rsidP="00662CE2">
            <w:pPr>
              <w:jc w:val="left"/>
              <w:rPr>
                <w:rFonts w:ascii="Arial Narrow" w:hAnsi="Arial Narrow" w:cs="Arial"/>
                <w:sz w:val="20"/>
                <w:szCs w:val="20"/>
              </w:rPr>
            </w:pPr>
            <w:r w:rsidRPr="00F33674">
              <w:rPr>
                <w:rFonts w:ascii="Arial Narrow" w:hAnsi="Arial Narrow" w:cs="Arial"/>
                <w:sz w:val="20"/>
                <w:szCs w:val="20"/>
              </w:rPr>
              <w:t>Phone applications for increased maximum quantities/repeats may be made by calling 1800 888 333.</w:t>
            </w:r>
          </w:p>
          <w:p w14:paraId="74C5B07A" w14:textId="77777777" w:rsidR="00662CE2" w:rsidRPr="00F33674" w:rsidRDefault="00662CE2" w:rsidP="00662CE2">
            <w:pPr>
              <w:jc w:val="left"/>
              <w:rPr>
                <w:rFonts w:ascii="Arial Narrow" w:hAnsi="Arial Narrow" w:cs="Arial"/>
                <w:sz w:val="20"/>
                <w:szCs w:val="20"/>
              </w:rPr>
            </w:pPr>
          </w:p>
          <w:p w14:paraId="5F103586" w14:textId="77777777" w:rsidR="00662CE2" w:rsidRPr="00F33674" w:rsidRDefault="00662CE2" w:rsidP="00662CE2">
            <w:pPr>
              <w:jc w:val="left"/>
              <w:rPr>
                <w:rFonts w:ascii="Arial Narrow" w:hAnsi="Arial Narrow" w:cs="Arial"/>
                <w:sz w:val="20"/>
                <w:szCs w:val="20"/>
              </w:rPr>
            </w:pPr>
            <w:r w:rsidRPr="00F33674">
              <w:rPr>
                <w:rFonts w:ascii="Arial Narrow" w:hAnsi="Arial Narrow" w:cs="Arial"/>
                <w:sz w:val="20"/>
                <w:szCs w:val="20"/>
              </w:rPr>
              <w:t>Written authority applications for increased maximum quantities/repeats can be uploaded online through HPOS form upload or mailed to:</w:t>
            </w:r>
          </w:p>
          <w:p w14:paraId="0BE2439A" w14:textId="77777777" w:rsidR="00662CE2" w:rsidRPr="00F33674" w:rsidRDefault="00662CE2" w:rsidP="00662CE2">
            <w:pPr>
              <w:jc w:val="left"/>
              <w:rPr>
                <w:rFonts w:ascii="Arial Narrow" w:hAnsi="Arial Narrow" w:cs="Arial"/>
                <w:sz w:val="20"/>
                <w:szCs w:val="20"/>
              </w:rPr>
            </w:pPr>
            <w:r w:rsidRPr="00F33674">
              <w:rPr>
                <w:rFonts w:ascii="Arial Narrow" w:hAnsi="Arial Narrow" w:cs="Arial"/>
                <w:sz w:val="20"/>
                <w:szCs w:val="20"/>
              </w:rPr>
              <w:t>Pharmaceutical Benefits Scheme</w:t>
            </w:r>
          </w:p>
          <w:p w14:paraId="02483055" w14:textId="77777777" w:rsidR="00662CE2" w:rsidRPr="00F33674" w:rsidRDefault="00662CE2" w:rsidP="00662CE2">
            <w:pPr>
              <w:jc w:val="left"/>
              <w:rPr>
                <w:rFonts w:ascii="Arial Narrow" w:hAnsi="Arial Narrow" w:cs="Arial"/>
                <w:sz w:val="20"/>
                <w:szCs w:val="20"/>
              </w:rPr>
            </w:pPr>
            <w:r w:rsidRPr="00F33674">
              <w:rPr>
                <w:rFonts w:ascii="Arial Narrow" w:hAnsi="Arial Narrow" w:cs="Arial"/>
                <w:sz w:val="20"/>
                <w:szCs w:val="20"/>
              </w:rPr>
              <w:t>Reply Paid 9857</w:t>
            </w:r>
          </w:p>
          <w:p w14:paraId="351B64FE" w14:textId="2672E800" w:rsidR="00662CE2" w:rsidRPr="00F33674" w:rsidRDefault="00662CE2" w:rsidP="00662CE2">
            <w:pPr>
              <w:jc w:val="left"/>
              <w:rPr>
                <w:rFonts w:ascii="Arial Narrow" w:hAnsi="Arial Narrow" w:cs="Arial"/>
                <w:sz w:val="20"/>
                <w:szCs w:val="20"/>
              </w:rPr>
            </w:pPr>
            <w:r w:rsidRPr="00F33674">
              <w:rPr>
                <w:rFonts w:ascii="Arial Narrow" w:hAnsi="Arial Narrow" w:cs="Arial"/>
                <w:sz w:val="20"/>
                <w:szCs w:val="20"/>
              </w:rPr>
              <w:t>[Your capital city]</w:t>
            </w:r>
          </w:p>
        </w:tc>
      </w:tr>
      <w:tr w:rsidR="00662CE2" w:rsidRPr="00F33674" w14:paraId="6C55847C" w14:textId="77777777" w:rsidTr="00C21DFA">
        <w:trPr>
          <w:cantSplit/>
          <w:trHeight w:val="360"/>
        </w:trPr>
        <w:tc>
          <w:tcPr>
            <w:tcW w:w="3183" w:type="dxa"/>
            <w:tcBorders>
              <w:top w:val="single" w:sz="4" w:space="0" w:color="auto"/>
              <w:left w:val="single" w:sz="4" w:space="0" w:color="auto"/>
              <w:bottom w:val="single" w:sz="4" w:space="0" w:color="auto"/>
              <w:right w:val="single" w:sz="4" w:space="0" w:color="auto"/>
            </w:tcBorders>
          </w:tcPr>
          <w:p w14:paraId="0EC7BC92" w14:textId="77777777" w:rsidR="00662CE2" w:rsidRPr="00F33674" w:rsidRDefault="00662CE2" w:rsidP="008514D0">
            <w:pPr>
              <w:rPr>
                <w:rFonts w:ascii="Arial Narrow" w:hAnsi="Arial Narrow" w:cs="Arial"/>
                <w:b/>
                <w:sz w:val="20"/>
                <w:szCs w:val="20"/>
              </w:rPr>
            </w:pPr>
            <w:r w:rsidRPr="00F33674">
              <w:rPr>
                <w:rFonts w:ascii="Arial Narrow" w:hAnsi="Arial Narrow" w:cs="Arial"/>
                <w:b/>
                <w:sz w:val="20"/>
                <w:szCs w:val="20"/>
              </w:rPr>
              <w:t>Cautions:</w:t>
            </w:r>
          </w:p>
        </w:tc>
        <w:tc>
          <w:tcPr>
            <w:tcW w:w="5889" w:type="dxa"/>
            <w:tcBorders>
              <w:top w:val="single" w:sz="4" w:space="0" w:color="auto"/>
              <w:left w:val="single" w:sz="4" w:space="0" w:color="auto"/>
              <w:bottom w:val="single" w:sz="4" w:space="0" w:color="auto"/>
              <w:right w:val="single" w:sz="4" w:space="0" w:color="auto"/>
            </w:tcBorders>
          </w:tcPr>
          <w:p w14:paraId="1F99DA39" w14:textId="77777777" w:rsidR="00662CE2" w:rsidRPr="00F33674" w:rsidRDefault="00662CE2" w:rsidP="008514D0">
            <w:pPr>
              <w:jc w:val="left"/>
              <w:rPr>
                <w:rFonts w:ascii="Arial Narrow" w:hAnsi="Arial Narrow" w:cs="Arial"/>
                <w:sz w:val="20"/>
                <w:szCs w:val="20"/>
              </w:rPr>
            </w:pPr>
            <w:r w:rsidRPr="00F33674">
              <w:rPr>
                <w:rFonts w:ascii="Arial Narrow" w:hAnsi="Arial Narrow" w:cs="Arial"/>
                <w:sz w:val="20"/>
                <w:szCs w:val="20"/>
              </w:rPr>
              <w:t>[6986] The risk of drug dependence is high.</w:t>
            </w:r>
          </w:p>
        </w:tc>
      </w:tr>
    </w:tbl>
    <w:p w14:paraId="27C889B3" w14:textId="77777777" w:rsidR="00662CE2" w:rsidRDefault="00662CE2" w:rsidP="00662CE2">
      <w:pPr>
        <w:pStyle w:val="3-BodyText"/>
        <w:numPr>
          <w:ilvl w:val="0"/>
          <w:numId w:val="0"/>
        </w:numPr>
        <w:ind w:left="720" w:hanging="720"/>
      </w:pPr>
    </w:p>
    <w:tbl>
      <w:tblPr>
        <w:tblW w:w="9072" w:type="dxa"/>
        <w:tblInd w:w="-5" w:type="dxa"/>
        <w:tblLook w:val="0000" w:firstRow="0" w:lastRow="0" w:firstColumn="0" w:lastColumn="0" w:noHBand="0" w:noVBand="0"/>
      </w:tblPr>
      <w:tblGrid>
        <w:gridCol w:w="3183"/>
        <w:gridCol w:w="5889"/>
      </w:tblGrid>
      <w:tr w:rsidR="00662CE2" w:rsidRPr="00F33674" w14:paraId="6A2234F5" w14:textId="77777777" w:rsidTr="00C21DFA">
        <w:trPr>
          <w:cantSplit/>
          <w:trHeight w:val="360"/>
        </w:trPr>
        <w:tc>
          <w:tcPr>
            <w:tcW w:w="3183" w:type="dxa"/>
            <w:tcBorders>
              <w:top w:val="single" w:sz="4" w:space="0" w:color="auto"/>
              <w:left w:val="single" w:sz="4" w:space="0" w:color="auto"/>
              <w:bottom w:val="single" w:sz="4" w:space="0" w:color="auto"/>
              <w:right w:val="single" w:sz="4" w:space="0" w:color="auto"/>
            </w:tcBorders>
          </w:tcPr>
          <w:p w14:paraId="53576D38" w14:textId="77777777" w:rsidR="00662CE2" w:rsidRPr="00F33674" w:rsidRDefault="00662CE2" w:rsidP="008514D0">
            <w:pPr>
              <w:rPr>
                <w:rFonts w:ascii="Arial Narrow" w:hAnsi="Arial Narrow" w:cs="Arial"/>
                <w:b/>
                <w:sz w:val="20"/>
                <w:szCs w:val="20"/>
              </w:rPr>
            </w:pPr>
            <w:r w:rsidRPr="00F33674">
              <w:rPr>
                <w:rFonts w:ascii="Arial Narrow" w:hAnsi="Arial Narrow" w:cs="Arial"/>
                <w:b/>
                <w:sz w:val="20"/>
                <w:szCs w:val="20"/>
              </w:rPr>
              <w:t>Category / Program:</w:t>
            </w:r>
          </w:p>
        </w:tc>
        <w:tc>
          <w:tcPr>
            <w:tcW w:w="5889" w:type="dxa"/>
            <w:tcBorders>
              <w:top w:val="single" w:sz="4" w:space="0" w:color="auto"/>
              <w:left w:val="single" w:sz="4" w:space="0" w:color="auto"/>
              <w:bottom w:val="single" w:sz="4" w:space="0" w:color="auto"/>
              <w:right w:val="single" w:sz="4" w:space="0" w:color="auto"/>
            </w:tcBorders>
          </w:tcPr>
          <w:p w14:paraId="5C05EB56" w14:textId="77777777" w:rsidR="00662CE2" w:rsidRPr="00F33674" w:rsidRDefault="00662CE2" w:rsidP="008514D0">
            <w:pPr>
              <w:rPr>
                <w:rFonts w:ascii="Arial Narrow" w:hAnsi="Arial Narrow" w:cs="Arial"/>
                <w:sz w:val="20"/>
                <w:szCs w:val="20"/>
              </w:rPr>
            </w:pPr>
            <w:r w:rsidRPr="00F33674">
              <w:rPr>
                <w:rFonts w:ascii="Arial Narrow" w:hAnsi="Arial Narrow" w:cs="Arial"/>
                <w:sz w:val="20"/>
                <w:szCs w:val="20"/>
              </w:rPr>
              <w:t>GENERAL – General Schedule (Code GE)</w:t>
            </w:r>
          </w:p>
        </w:tc>
      </w:tr>
      <w:tr w:rsidR="00662CE2" w:rsidRPr="00F33674" w14:paraId="7B742575" w14:textId="77777777" w:rsidTr="00C21DFA">
        <w:trPr>
          <w:cantSplit/>
          <w:trHeight w:val="360"/>
        </w:trPr>
        <w:tc>
          <w:tcPr>
            <w:tcW w:w="3183" w:type="dxa"/>
            <w:tcBorders>
              <w:top w:val="single" w:sz="4" w:space="0" w:color="auto"/>
              <w:left w:val="single" w:sz="4" w:space="0" w:color="auto"/>
              <w:bottom w:val="single" w:sz="4" w:space="0" w:color="auto"/>
              <w:right w:val="single" w:sz="4" w:space="0" w:color="auto"/>
            </w:tcBorders>
          </w:tcPr>
          <w:p w14:paraId="3D56785D" w14:textId="77777777" w:rsidR="00662CE2" w:rsidRPr="00F33674" w:rsidRDefault="00662CE2" w:rsidP="008514D0">
            <w:pPr>
              <w:rPr>
                <w:rFonts w:ascii="Arial Narrow" w:hAnsi="Arial Narrow" w:cs="Arial"/>
                <w:b/>
                <w:sz w:val="20"/>
                <w:szCs w:val="20"/>
              </w:rPr>
            </w:pPr>
            <w:r w:rsidRPr="00F33674">
              <w:rPr>
                <w:rFonts w:ascii="Arial Narrow" w:hAnsi="Arial Narrow" w:cs="Arial"/>
                <w:b/>
                <w:sz w:val="20"/>
                <w:szCs w:val="20"/>
              </w:rPr>
              <w:t>Prescriber type:</w:t>
            </w:r>
          </w:p>
          <w:p w14:paraId="39546E10" w14:textId="77777777" w:rsidR="00662CE2" w:rsidRPr="00F33674" w:rsidRDefault="00662CE2" w:rsidP="008514D0">
            <w:pPr>
              <w:rPr>
                <w:rFonts w:ascii="Arial Narrow" w:hAnsi="Arial Narrow" w:cs="Arial"/>
                <w:b/>
                <w:sz w:val="20"/>
                <w:szCs w:val="20"/>
              </w:rPr>
            </w:pPr>
          </w:p>
        </w:tc>
        <w:tc>
          <w:tcPr>
            <w:tcW w:w="5889" w:type="dxa"/>
            <w:tcBorders>
              <w:top w:val="single" w:sz="4" w:space="0" w:color="auto"/>
              <w:left w:val="single" w:sz="4" w:space="0" w:color="auto"/>
              <w:bottom w:val="single" w:sz="4" w:space="0" w:color="auto"/>
              <w:right w:val="single" w:sz="4" w:space="0" w:color="auto"/>
            </w:tcBorders>
          </w:tcPr>
          <w:p w14:paraId="770F3353" w14:textId="77777777" w:rsidR="00662CE2" w:rsidRPr="00F33674" w:rsidRDefault="00662CE2" w:rsidP="008514D0">
            <w:pPr>
              <w:rPr>
                <w:rFonts w:ascii="Arial Narrow" w:hAnsi="Arial Narrow" w:cs="Arial"/>
                <w:sz w:val="20"/>
                <w:szCs w:val="20"/>
              </w:rPr>
            </w:pPr>
            <w:r w:rsidRPr="00F33674">
              <w:rPr>
                <w:rFonts w:ascii="Arial Narrow" w:hAnsi="Arial Narrow" w:cs="Arial"/>
                <w:sz w:val="20"/>
                <w:szCs w:val="20"/>
              </w:rPr>
              <w:fldChar w:fldCharType="begin">
                <w:ffData>
                  <w:name w:val="Check1"/>
                  <w:enabled/>
                  <w:calcOnExit w:val="0"/>
                  <w:checkBox>
                    <w:sizeAuto/>
                    <w:default w:val="0"/>
                  </w:checkBox>
                </w:ffData>
              </w:fldChar>
            </w:r>
            <w:r w:rsidRPr="00F33674">
              <w:rPr>
                <w:rFonts w:ascii="Arial Narrow" w:hAnsi="Arial Narrow" w:cs="Arial"/>
                <w:sz w:val="20"/>
                <w:szCs w:val="20"/>
              </w:rPr>
              <w:instrText xml:space="preserve"> FORMCHECKBOX </w:instrText>
            </w:r>
            <w:r w:rsidR="00233D13">
              <w:rPr>
                <w:rFonts w:ascii="Arial Narrow" w:hAnsi="Arial Narrow" w:cs="Arial"/>
                <w:sz w:val="20"/>
                <w:szCs w:val="20"/>
              </w:rPr>
            </w:r>
            <w:r w:rsidR="00233D13">
              <w:rPr>
                <w:rFonts w:ascii="Arial Narrow" w:hAnsi="Arial Narrow" w:cs="Arial"/>
                <w:sz w:val="20"/>
                <w:szCs w:val="20"/>
              </w:rPr>
              <w:fldChar w:fldCharType="separate"/>
            </w:r>
            <w:r w:rsidRPr="00F33674">
              <w:rPr>
                <w:rFonts w:ascii="Arial Narrow" w:hAnsi="Arial Narrow" w:cs="Arial"/>
                <w:sz w:val="20"/>
                <w:szCs w:val="20"/>
              </w:rPr>
              <w:fldChar w:fldCharType="end"/>
            </w:r>
            <w:r w:rsidRPr="00F33674">
              <w:rPr>
                <w:rFonts w:ascii="Arial Narrow" w:hAnsi="Arial Narrow" w:cs="Arial"/>
                <w:sz w:val="20"/>
                <w:szCs w:val="20"/>
              </w:rPr>
              <w:t>Dental</w:t>
            </w:r>
            <w:r>
              <w:rPr>
                <w:rFonts w:ascii="Arial Narrow" w:hAnsi="Arial Narrow" w:cs="Arial"/>
                <w:sz w:val="20"/>
                <w:szCs w:val="20"/>
              </w:rPr>
              <w:t xml:space="preserve"> </w:t>
            </w:r>
            <w:r w:rsidRPr="00F33674">
              <w:rPr>
                <w:rFonts w:ascii="Arial Narrow" w:hAnsi="Arial Narrow" w:cs="Arial"/>
                <w:sz w:val="20"/>
                <w:szCs w:val="20"/>
              </w:rPr>
              <w:fldChar w:fldCharType="begin">
                <w:ffData>
                  <w:name w:val=""/>
                  <w:enabled/>
                  <w:calcOnExit w:val="0"/>
                  <w:checkBox>
                    <w:sizeAuto/>
                    <w:default w:val="1"/>
                  </w:checkBox>
                </w:ffData>
              </w:fldChar>
            </w:r>
            <w:r w:rsidRPr="00F33674">
              <w:rPr>
                <w:rFonts w:ascii="Arial Narrow" w:hAnsi="Arial Narrow" w:cs="Arial"/>
                <w:sz w:val="20"/>
                <w:szCs w:val="20"/>
              </w:rPr>
              <w:instrText xml:space="preserve"> FORMCHECKBOX </w:instrText>
            </w:r>
            <w:r w:rsidR="00233D13">
              <w:rPr>
                <w:rFonts w:ascii="Arial Narrow" w:hAnsi="Arial Narrow" w:cs="Arial"/>
                <w:sz w:val="20"/>
                <w:szCs w:val="20"/>
              </w:rPr>
            </w:r>
            <w:r w:rsidR="00233D13">
              <w:rPr>
                <w:rFonts w:ascii="Arial Narrow" w:hAnsi="Arial Narrow" w:cs="Arial"/>
                <w:sz w:val="20"/>
                <w:szCs w:val="20"/>
              </w:rPr>
              <w:fldChar w:fldCharType="separate"/>
            </w:r>
            <w:r w:rsidRPr="00F33674">
              <w:rPr>
                <w:rFonts w:ascii="Arial Narrow" w:hAnsi="Arial Narrow" w:cs="Arial"/>
                <w:sz w:val="20"/>
                <w:szCs w:val="20"/>
              </w:rPr>
              <w:fldChar w:fldCharType="end"/>
            </w:r>
            <w:r w:rsidRPr="00F33674">
              <w:rPr>
                <w:rFonts w:ascii="Arial Narrow" w:hAnsi="Arial Narrow" w:cs="Arial"/>
                <w:sz w:val="20"/>
                <w:szCs w:val="20"/>
              </w:rPr>
              <w:t>Medical Practitioners</w:t>
            </w:r>
            <w:r>
              <w:rPr>
                <w:rFonts w:ascii="Arial Narrow" w:hAnsi="Arial Narrow" w:cs="Arial"/>
                <w:sz w:val="20"/>
                <w:szCs w:val="20"/>
              </w:rPr>
              <w:t xml:space="preserve"> </w:t>
            </w:r>
            <w:r w:rsidRPr="00F33674">
              <w:rPr>
                <w:rFonts w:ascii="Arial Narrow" w:hAnsi="Arial Narrow" w:cs="Arial"/>
                <w:sz w:val="20"/>
                <w:szCs w:val="20"/>
              </w:rPr>
              <w:fldChar w:fldCharType="begin">
                <w:ffData>
                  <w:name w:val="Check3"/>
                  <w:enabled/>
                  <w:calcOnExit w:val="0"/>
                  <w:checkBox>
                    <w:sizeAuto/>
                    <w:default w:val="1"/>
                  </w:checkBox>
                </w:ffData>
              </w:fldChar>
            </w:r>
            <w:r w:rsidRPr="00F33674">
              <w:rPr>
                <w:rFonts w:ascii="Arial Narrow" w:hAnsi="Arial Narrow" w:cs="Arial"/>
                <w:sz w:val="20"/>
                <w:szCs w:val="20"/>
              </w:rPr>
              <w:instrText xml:space="preserve"> FORMCHECKBOX </w:instrText>
            </w:r>
            <w:r w:rsidR="00233D13">
              <w:rPr>
                <w:rFonts w:ascii="Arial Narrow" w:hAnsi="Arial Narrow" w:cs="Arial"/>
                <w:sz w:val="20"/>
                <w:szCs w:val="20"/>
              </w:rPr>
            </w:r>
            <w:r w:rsidR="00233D13">
              <w:rPr>
                <w:rFonts w:ascii="Arial Narrow" w:hAnsi="Arial Narrow" w:cs="Arial"/>
                <w:sz w:val="20"/>
                <w:szCs w:val="20"/>
              </w:rPr>
              <w:fldChar w:fldCharType="separate"/>
            </w:r>
            <w:r w:rsidRPr="00F33674">
              <w:rPr>
                <w:rFonts w:ascii="Arial Narrow" w:hAnsi="Arial Narrow" w:cs="Arial"/>
                <w:sz w:val="20"/>
                <w:szCs w:val="20"/>
              </w:rPr>
              <w:fldChar w:fldCharType="end"/>
            </w:r>
            <w:r w:rsidRPr="00F33674">
              <w:rPr>
                <w:rFonts w:ascii="Arial Narrow" w:hAnsi="Arial Narrow" w:cs="Arial"/>
                <w:sz w:val="20"/>
                <w:szCs w:val="20"/>
              </w:rPr>
              <w:t>Nurse practitioners</w:t>
            </w:r>
            <w:r>
              <w:rPr>
                <w:rFonts w:ascii="Arial Narrow" w:hAnsi="Arial Narrow" w:cs="Arial"/>
                <w:sz w:val="20"/>
                <w:szCs w:val="20"/>
              </w:rPr>
              <w:t xml:space="preserve"> </w:t>
            </w:r>
            <w:r w:rsidRPr="00F33674">
              <w:rPr>
                <w:rFonts w:ascii="Arial Narrow" w:hAnsi="Arial Narrow" w:cs="Arial"/>
                <w:sz w:val="20"/>
                <w:szCs w:val="20"/>
              </w:rPr>
              <w:fldChar w:fldCharType="begin">
                <w:ffData>
                  <w:name w:val=""/>
                  <w:enabled/>
                  <w:calcOnExit w:val="0"/>
                  <w:checkBox>
                    <w:sizeAuto/>
                    <w:default w:val="0"/>
                  </w:checkBox>
                </w:ffData>
              </w:fldChar>
            </w:r>
            <w:r w:rsidRPr="00F33674">
              <w:rPr>
                <w:rFonts w:ascii="Arial Narrow" w:hAnsi="Arial Narrow" w:cs="Arial"/>
                <w:sz w:val="20"/>
                <w:szCs w:val="20"/>
              </w:rPr>
              <w:instrText xml:space="preserve"> FORMCHECKBOX </w:instrText>
            </w:r>
            <w:r w:rsidR="00233D13">
              <w:rPr>
                <w:rFonts w:ascii="Arial Narrow" w:hAnsi="Arial Narrow" w:cs="Arial"/>
                <w:sz w:val="20"/>
                <w:szCs w:val="20"/>
              </w:rPr>
            </w:r>
            <w:r w:rsidR="00233D13">
              <w:rPr>
                <w:rFonts w:ascii="Arial Narrow" w:hAnsi="Arial Narrow" w:cs="Arial"/>
                <w:sz w:val="20"/>
                <w:szCs w:val="20"/>
              </w:rPr>
              <w:fldChar w:fldCharType="separate"/>
            </w:r>
            <w:r w:rsidRPr="00F33674">
              <w:rPr>
                <w:rFonts w:ascii="Arial Narrow" w:hAnsi="Arial Narrow" w:cs="Arial"/>
                <w:sz w:val="20"/>
                <w:szCs w:val="20"/>
              </w:rPr>
              <w:fldChar w:fldCharType="end"/>
            </w:r>
            <w:r w:rsidRPr="00F33674">
              <w:rPr>
                <w:rFonts w:ascii="Arial Narrow" w:hAnsi="Arial Narrow" w:cs="Arial"/>
                <w:sz w:val="20"/>
                <w:szCs w:val="20"/>
              </w:rPr>
              <w:t>Optometrists</w:t>
            </w:r>
          </w:p>
          <w:p w14:paraId="1D30FD5A" w14:textId="77777777" w:rsidR="00662CE2" w:rsidRPr="00F33674" w:rsidRDefault="00662CE2" w:rsidP="008514D0">
            <w:pPr>
              <w:rPr>
                <w:rFonts w:ascii="Arial Narrow" w:hAnsi="Arial Narrow" w:cs="Arial"/>
                <w:sz w:val="20"/>
                <w:szCs w:val="20"/>
              </w:rPr>
            </w:pPr>
            <w:r w:rsidRPr="00F33674">
              <w:rPr>
                <w:rFonts w:ascii="Arial Narrow" w:hAnsi="Arial Narrow" w:cs="Arial"/>
                <w:sz w:val="20"/>
                <w:szCs w:val="20"/>
              </w:rPr>
              <w:fldChar w:fldCharType="begin">
                <w:ffData>
                  <w:name w:val="Check5"/>
                  <w:enabled/>
                  <w:calcOnExit w:val="0"/>
                  <w:checkBox>
                    <w:sizeAuto/>
                    <w:default w:val="0"/>
                  </w:checkBox>
                </w:ffData>
              </w:fldChar>
            </w:r>
            <w:r w:rsidRPr="00F33674">
              <w:rPr>
                <w:rFonts w:ascii="Arial Narrow" w:hAnsi="Arial Narrow" w:cs="Arial"/>
                <w:sz w:val="20"/>
                <w:szCs w:val="20"/>
              </w:rPr>
              <w:instrText xml:space="preserve"> FORMCHECKBOX </w:instrText>
            </w:r>
            <w:r w:rsidR="00233D13">
              <w:rPr>
                <w:rFonts w:ascii="Arial Narrow" w:hAnsi="Arial Narrow" w:cs="Arial"/>
                <w:sz w:val="20"/>
                <w:szCs w:val="20"/>
              </w:rPr>
            </w:r>
            <w:r w:rsidR="00233D13">
              <w:rPr>
                <w:rFonts w:ascii="Arial Narrow" w:hAnsi="Arial Narrow" w:cs="Arial"/>
                <w:sz w:val="20"/>
                <w:szCs w:val="20"/>
              </w:rPr>
              <w:fldChar w:fldCharType="separate"/>
            </w:r>
            <w:r w:rsidRPr="00F33674">
              <w:rPr>
                <w:rFonts w:ascii="Arial Narrow" w:hAnsi="Arial Narrow" w:cs="Arial"/>
                <w:sz w:val="20"/>
                <w:szCs w:val="20"/>
              </w:rPr>
              <w:fldChar w:fldCharType="end"/>
            </w:r>
            <w:r w:rsidRPr="00F33674">
              <w:rPr>
                <w:rFonts w:ascii="Arial Narrow" w:hAnsi="Arial Narrow" w:cs="Arial"/>
                <w:sz w:val="20"/>
                <w:szCs w:val="20"/>
              </w:rPr>
              <w:t>Midwives</w:t>
            </w:r>
          </w:p>
        </w:tc>
      </w:tr>
      <w:tr w:rsidR="00662CE2" w:rsidRPr="00F33674" w14:paraId="5F493A74" w14:textId="77777777" w:rsidTr="00C21DFA">
        <w:trPr>
          <w:cantSplit/>
          <w:trHeight w:val="369"/>
        </w:trPr>
        <w:tc>
          <w:tcPr>
            <w:tcW w:w="3183" w:type="dxa"/>
            <w:tcBorders>
              <w:top w:val="single" w:sz="4" w:space="0" w:color="auto"/>
              <w:left w:val="single" w:sz="4" w:space="0" w:color="auto"/>
              <w:bottom w:val="single" w:sz="4" w:space="0" w:color="auto"/>
              <w:right w:val="single" w:sz="4" w:space="0" w:color="auto"/>
            </w:tcBorders>
          </w:tcPr>
          <w:p w14:paraId="31CDE973" w14:textId="77777777" w:rsidR="00662CE2" w:rsidRPr="00F33674" w:rsidRDefault="00662CE2" w:rsidP="008514D0">
            <w:pPr>
              <w:rPr>
                <w:rFonts w:ascii="Arial Narrow" w:hAnsi="Arial Narrow" w:cs="Arial"/>
                <w:b/>
                <w:sz w:val="20"/>
                <w:szCs w:val="20"/>
              </w:rPr>
            </w:pPr>
            <w:r w:rsidRPr="00F33674">
              <w:rPr>
                <w:rFonts w:ascii="Arial Narrow" w:hAnsi="Arial Narrow" w:cs="Arial"/>
                <w:b/>
                <w:sz w:val="20"/>
                <w:szCs w:val="20"/>
              </w:rPr>
              <w:t>PBS indication:</w:t>
            </w:r>
          </w:p>
        </w:tc>
        <w:tc>
          <w:tcPr>
            <w:tcW w:w="5889" w:type="dxa"/>
            <w:tcBorders>
              <w:top w:val="single" w:sz="4" w:space="0" w:color="auto"/>
              <w:left w:val="single" w:sz="4" w:space="0" w:color="auto"/>
              <w:bottom w:val="single" w:sz="4" w:space="0" w:color="auto"/>
              <w:right w:val="single" w:sz="4" w:space="0" w:color="auto"/>
            </w:tcBorders>
          </w:tcPr>
          <w:p w14:paraId="4381A2A4" w14:textId="77777777" w:rsidR="00662CE2" w:rsidRPr="00F33674" w:rsidRDefault="00662CE2" w:rsidP="008514D0">
            <w:pPr>
              <w:rPr>
                <w:rFonts w:ascii="Arial Narrow" w:hAnsi="Arial Narrow" w:cs="Arial"/>
                <w:sz w:val="20"/>
                <w:szCs w:val="20"/>
              </w:rPr>
            </w:pPr>
            <w:r w:rsidRPr="00F33674">
              <w:rPr>
                <w:rFonts w:ascii="Arial Narrow" w:hAnsi="Arial Narrow" w:cs="Arial"/>
                <w:sz w:val="20"/>
                <w:szCs w:val="20"/>
              </w:rPr>
              <w:t>[9729] Chronic severe disabling pain</w:t>
            </w:r>
          </w:p>
        </w:tc>
      </w:tr>
      <w:tr w:rsidR="00662CE2" w:rsidRPr="00F33674" w14:paraId="675100A9" w14:textId="77777777" w:rsidTr="00C21DFA">
        <w:trPr>
          <w:cantSplit/>
          <w:trHeight w:val="360"/>
        </w:trPr>
        <w:tc>
          <w:tcPr>
            <w:tcW w:w="3183" w:type="dxa"/>
            <w:tcBorders>
              <w:top w:val="single" w:sz="4" w:space="0" w:color="auto"/>
              <w:left w:val="single" w:sz="4" w:space="0" w:color="auto"/>
              <w:bottom w:val="single" w:sz="4" w:space="0" w:color="auto"/>
              <w:right w:val="single" w:sz="4" w:space="0" w:color="auto"/>
            </w:tcBorders>
          </w:tcPr>
          <w:p w14:paraId="17545BEB" w14:textId="77777777" w:rsidR="00662CE2" w:rsidRPr="00F33674" w:rsidRDefault="00662CE2" w:rsidP="008514D0">
            <w:pPr>
              <w:rPr>
                <w:rFonts w:ascii="Arial Narrow" w:hAnsi="Arial Narrow" w:cs="Arial"/>
                <w:b/>
                <w:sz w:val="20"/>
                <w:szCs w:val="20"/>
              </w:rPr>
            </w:pPr>
            <w:r w:rsidRPr="00F33674">
              <w:rPr>
                <w:rFonts w:ascii="Arial Narrow" w:hAnsi="Arial Narrow" w:cs="Arial"/>
                <w:b/>
                <w:sz w:val="20"/>
                <w:szCs w:val="20"/>
              </w:rPr>
              <w:t>Restriction Level / Method:</w:t>
            </w:r>
          </w:p>
          <w:p w14:paraId="1A570FCE" w14:textId="77777777" w:rsidR="00662CE2" w:rsidRPr="00F33674" w:rsidRDefault="00662CE2" w:rsidP="008514D0">
            <w:pPr>
              <w:rPr>
                <w:rFonts w:ascii="Arial Narrow" w:hAnsi="Arial Narrow" w:cs="Arial"/>
                <w:i/>
                <w:sz w:val="20"/>
                <w:szCs w:val="20"/>
              </w:rPr>
            </w:pPr>
          </w:p>
          <w:p w14:paraId="1906059D" w14:textId="77777777" w:rsidR="00662CE2" w:rsidRPr="00F33674" w:rsidRDefault="00662CE2" w:rsidP="008514D0">
            <w:pPr>
              <w:rPr>
                <w:rFonts w:ascii="Arial Narrow" w:hAnsi="Arial Narrow" w:cs="Arial"/>
                <w:i/>
                <w:sz w:val="20"/>
                <w:szCs w:val="20"/>
              </w:rPr>
            </w:pPr>
          </w:p>
          <w:p w14:paraId="17121F38" w14:textId="77777777" w:rsidR="00662CE2" w:rsidRPr="00F33674" w:rsidRDefault="00662CE2" w:rsidP="008514D0">
            <w:pPr>
              <w:rPr>
                <w:rFonts w:ascii="Arial Narrow" w:hAnsi="Arial Narrow" w:cs="Arial"/>
                <w:i/>
                <w:sz w:val="20"/>
                <w:szCs w:val="20"/>
              </w:rPr>
            </w:pPr>
          </w:p>
        </w:tc>
        <w:tc>
          <w:tcPr>
            <w:tcW w:w="5889" w:type="dxa"/>
            <w:tcBorders>
              <w:top w:val="single" w:sz="4" w:space="0" w:color="auto"/>
              <w:left w:val="single" w:sz="4" w:space="0" w:color="auto"/>
              <w:bottom w:val="single" w:sz="4" w:space="0" w:color="auto"/>
              <w:right w:val="single" w:sz="4" w:space="0" w:color="auto"/>
            </w:tcBorders>
          </w:tcPr>
          <w:p w14:paraId="2D447040" w14:textId="77777777" w:rsidR="00662CE2" w:rsidRPr="00F33674" w:rsidRDefault="00662CE2" w:rsidP="008514D0">
            <w:pPr>
              <w:rPr>
                <w:rFonts w:ascii="Arial Narrow" w:hAnsi="Arial Narrow" w:cs="Arial"/>
                <w:sz w:val="20"/>
                <w:szCs w:val="20"/>
              </w:rPr>
            </w:pPr>
            <w:r w:rsidRPr="00F33674">
              <w:rPr>
                <w:rFonts w:ascii="Arial Narrow" w:hAnsi="Arial Narrow" w:cs="Arial"/>
                <w:sz w:val="20"/>
                <w:szCs w:val="20"/>
              </w:rPr>
              <w:fldChar w:fldCharType="begin">
                <w:ffData>
                  <w:name w:val=""/>
                  <w:enabled/>
                  <w:calcOnExit w:val="0"/>
                  <w:checkBox>
                    <w:sizeAuto/>
                    <w:default w:val="0"/>
                  </w:checkBox>
                </w:ffData>
              </w:fldChar>
            </w:r>
            <w:r w:rsidRPr="00F33674">
              <w:rPr>
                <w:rFonts w:ascii="Arial Narrow" w:hAnsi="Arial Narrow" w:cs="Arial"/>
                <w:sz w:val="20"/>
                <w:szCs w:val="20"/>
              </w:rPr>
              <w:instrText xml:space="preserve"> FORMCHECKBOX </w:instrText>
            </w:r>
            <w:r w:rsidR="00233D13">
              <w:rPr>
                <w:rFonts w:ascii="Arial Narrow" w:hAnsi="Arial Narrow" w:cs="Arial"/>
                <w:sz w:val="20"/>
                <w:szCs w:val="20"/>
              </w:rPr>
            </w:r>
            <w:r w:rsidR="00233D13">
              <w:rPr>
                <w:rFonts w:ascii="Arial Narrow" w:hAnsi="Arial Narrow" w:cs="Arial"/>
                <w:sz w:val="20"/>
                <w:szCs w:val="20"/>
              </w:rPr>
              <w:fldChar w:fldCharType="separate"/>
            </w:r>
            <w:r w:rsidRPr="00F33674">
              <w:rPr>
                <w:rFonts w:ascii="Arial Narrow" w:hAnsi="Arial Narrow" w:cs="Arial"/>
                <w:sz w:val="20"/>
                <w:szCs w:val="20"/>
              </w:rPr>
              <w:fldChar w:fldCharType="end"/>
            </w:r>
            <w:r w:rsidRPr="00F33674">
              <w:rPr>
                <w:rFonts w:ascii="Arial Narrow" w:hAnsi="Arial Narrow" w:cs="Arial"/>
                <w:sz w:val="20"/>
                <w:szCs w:val="20"/>
              </w:rPr>
              <w:t>Unrestricted benefit</w:t>
            </w:r>
          </w:p>
          <w:p w14:paraId="359316FA" w14:textId="77777777" w:rsidR="00662CE2" w:rsidRPr="00F33674" w:rsidRDefault="00662CE2" w:rsidP="008514D0">
            <w:pPr>
              <w:rPr>
                <w:rFonts w:ascii="Arial Narrow" w:hAnsi="Arial Narrow" w:cs="Arial"/>
                <w:i/>
                <w:sz w:val="20"/>
                <w:szCs w:val="20"/>
              </w:rPr>
            </w:pPr>
            <w:r w:rsidRPr="00F33674">
              <w:rPr>
                <w:rFonts w:ascii="Arial Narrow" w:hAnsi="Arial Narrow" w:cs="Arial"/>
                <w:i/>
                <w:sz w:val="20"/>
                <w:szCs w:val="20"/>
              </w:rPr>
              <w:fldChar w:fldCharType="begin">
                <w:ffData>
                  <w:name w:val=""/>
                  <w:enabled/>
                  <w:calcOnExit w:val="0"/>
                  <w:checkBox>
                    <w:sizeAuto/>
                    <w:default w:val="0"/>
                  </w:checkBox>
                </w:ffData>
              </w:fldChar>
            </w:r>
            <w:r w:rsidRPr="00F33674">
              <w:rPr>
                <w:rFonts w:ascii="Arial Narrow" w:hAnsi="Arial Narrow" w:cs="Arial"/>
                <w:i/>
                <w:sz w:val="20"/>
                <w:szCs w:val="20"/>
              </w:rPr>
              <w:instrText xml:space="preserve"> FORMCHECKBOX </w:instrText>
            </w:r>
            <w:r w:rsidR="00233D13">
              <w:rPr>
                <w:rFonts w:ascii="Arial Narrow" w:hAnsi="Arial Narrow" w:cs="Arial"/>
                <w:i/>
                <w:sz w:val="20"/>
                <w:szCs w:val="20"/>
              </w:rPr>
            </w:r>
            <w:r w:rsidR="00233D13">
              <w:rPr>
                <w:rFonts w:ascii="Arial Narrow" w:hAnsi="Arial Narrow" w:cs="Arial"/>
                <w:i/>
                <w:sz w:val="20"/>
                <w:szCs w:val="20"/>
              </w:rPr>
              <w:fldChar w:fldCharType="separate"/>
            </w:r>
            <w:r w:rsidRPr="00F33674">
              <w:rPr>
                <w:rFonts w:ascii="Arial Narrow" w:hAnsi="Arial Narrow" w:cs="Arial"/>
                <w:i/>
                <w:sz w:val="20"/>
                <w:szCs w:val="20"/>
              </w:rPr>
              <w:fldChar w:fldCharType="end"/>
            </w:r>
            <w:r w:rsidRPr="00F33674">
              <w:rPr>
                <w:rFonts w:ascii="Arial Narrow" w:hAnsi="Arial Narrow" w:cs="Arial"/>
                <w:sz w:val="20"/>
                <w:szCs w:val="20"/>
              </w:rPr>
              <w:t>Restricted benefit</w:t>
            </w:r>
          </w:p>
          <w:p w14:paraId="66E5327C" w14:textId="77777777" w:rsidR="00662CE2" w:rsidRPr="00F33674" w:rsidRDefault="00662CE2" w:rsidP="008514D0">
            <w:pPr>
              <w:rPr>
                <w:rFonts w:ascii="Arial Narrow" w:hAnsi="Arial Narrow" w:cs="Arial"/>
                <w:sz w:val="20"/>
                <w:szCs w:val="20"/>
              </w:rPr>
            </w:pPr>
            <w:r w:rsidRPr="00F33674">
              <w:rPr>
                <w:rFonts w:ascii="Arial Narrow" w:hAnsi="Arial Narrow" w:cs="Arial"/>
                <w:sz w:val="20"/>
                <w:szCs w:val="20"/>
              </w:rPr>
              <w:fldChar w:fldCharType="begin">
                <w:ffData>
                  <w:name w:val=""/>
                  <w:enabled/>
                  <w:calcOnExit w:val="0"/>
                  <w:checkBox>
                    <w:sizeAuto/>
                    <w:default w:val="0"/>
                  </w:checkBox>
                </w:ffData>
              </w:fldChar>
            </w:r>
            <w:r w:rsidRPr="00F33674">
              <w:rPr>
                <w:rFonts w:ascii="Arial Narrow" w:hAnsi="Arial Narrow" w:cs="Arial"/>
                <w:sz w:val="20"/>
                <w:szCs w:val="20"/>
              </w:rPr>
              <w:instrText xml:space="preserve"> FORMCHECKBOX </w:instrText>
            </w:r>
            <w:r w:rsidR="00233D13">
              <w:rPr>
                <w:rFonts w:ascii="Arial Narrow" w:hAnsi="Arial Narrow" w:cs="Arial"/>
                <w:sz w:val="20"/>
                <w:szCs w:val="20"/>
              </w:rPr>
            </w:r>
            <w:r w:rsidR="00233D13">
              <w:rPr>
                <w:rFonts w:ascii="Arial Narrow" w:hAnsi="Arial Narrow" w:cs="Arial"/>
                <w:sz w:val="20"/>
                <w:szCs w:val="20"/>
              </w:rPr>
              <w:fldChar w:fldCharType="separate"/>
            </w:r>
            <w:r w:rsidRPr="00F33674">
              <w:rPr>
                <w:rFonts w:ascii="Arial Narrow" w:hAnsi="Arial Narrow" w:cs="Arial"/>
                <w:sz w:val="20"/>
                <w:szCs w:val="20"/>
              </w:rPr>
              <w:fldChar w:fldCharType="end"/>
            </w:r>
            <w:r w:rsidRPr="00F33674">
              <w:rPr>
                <w:rFonts w:ascii="Arial Narrow" w:hAnsi="Arial Narrow" w:cs="Arial"/>
                <w:sz w:val="20"/>
                <w:szCs w:val="20"/>
              </w:rPr>
              <w:t>Authority Required – In Writing</w:t>
            </w:r>
          </w:p>
          <w:p w14:paraId="01CEABB2" w14:textId="77777777" w:rsidR="00662CE2" w:rsidRPr="00F33674" w:rsidRDefault="00662CE2" w:rsidP="008514D0">
            <w:pPr>
              <w:rPr>
                <w:rFonts w:ascii="Arial Narrow" w:hAnsi="Arial Narrow" w:cs="Arial"/>
                <w:sz w:val="20"/>
                <w:szCs w:val="20"/>
              </w:rPr>
            </w:pPr>
            <w:r w:rsidRPr="00F33674">
              <w:rPr>
                <w:rFonts w:ascii="Arial Narrow" w:hAnsi="Arial Narrow" w:cs="Arial"/>
                <w:sz w:val="20"/>
                <w:szCs w:val="20"/>
              </w:rPr>
              <w:fldChar w:fldCharType="begin">
                <w:ffData>
                  <w:name w:val="Check3"/>
                  <w:enabled/>
                  <w:calcOnExit w:val="0"/>
                  <w:checkBox>
                    <w:sizeAuto/>
                    <w:default w:val="0"/>
                  </w:checkBox>
                </w:ffData>
              </w:fldChar>
            </w:r>
            <w:r w:rsidRPr="00F33674">
              <w:rPr>
                <w:rFonts w:ascii="Arial Narrow" w:hAnsi="Arial Narrow" w:cs="Arial"/>
                <w:sz w:val="20"/>
                <w:szCs w:val="20"/>
              </w:rPr>
              <w:instrText xml:space="preserve"> FORMCHECKBOX </w:instrText>
            </w:r>
            <w:r w:rsidR="00233D13">
              <w:rPr>
                <w:rFonts w:ascii="Arial Narrow" w:hAnsi="Arial Narrow" w:cs="Arial"/>
                <w:sz w:val="20"/>
                <w:szCs w:val="20"/>
              </w:rPr>
            </w:r>
            <w:r w:rsidR="00233D13">
              <w:rPr>
                <w:rFonts w:ascii="Arial Narrow" w:hAnsi="Arial Narrow" w:cs="Arial"/>
                <w:sz w:val="20"/>
                <w:szCs w:val="20"/>
              </w:rPr>
              <w:fldChar w:fldCharType="separate"/>
            </w:r>
            <w:r w:rsidRPr="00F33674">
              <w:rPr>
                <w:rFonts w:ascii="Arial Narrow" w:hAnsi="Arial Narrow" w:cs="Arial"/>
                <w:sz w:val="20"/>
                <w:szCs w:val="20"/>
              </w:rPr>
              <w:fldChar w:fldCharType="end"/>
            </w:r>
            <w:r w:rsidRPr="00F33674">
              <w:rPr>
                <w:rFonts w:ascii="Arial Narrow" w:hAnsi="Arial Narrow" w:cs="Arial"/>
                <w:sz w:val="20"/>
                <w:szCs w:val="20"/>
              </w:rPr>
              <w:t>Authority Required – Telephone/Electronic/Emergency</w:t>
            </w:r>
          </w:p>
          <w:p w14:paraId="709D8DAC" w14:textId="77777777" w:rsidR="00662CE2" w:rsidRPr="00F33674" w:rsidRDefault="00662CE2" w:rsidP="008514D0">
            <w:pPr>
              <w:rPr>
                <w:rFonts w:ascii="Arial Narrow" w:hAnsi="Arial Narrow" w:cs="Arial"/>
                <w:sz w:val="20"/>
                <w:szCs w:val="20"/>
              </w:rPr>
            </w:pPr>
            <w:r w:rsidRPr="00F33674">
              <w:rPr>
                <w:rFonts w:ascii="Arial Narrow" w:hAnsi="Arial Narrow" w:cs="Arial"/>
                <w:sz w:val="20"/>
                <w:szCs w:val="20"/>
              </w:rPr>
              <w:fldChar w:fldCharType="begin">
                <w:ffData>
                  <w:name w:val="Check5"/>
                  <w:enabled/>
                  <w:calcOnExit w:val="0"/>
                  <w:checkBox>
                    <w:sizeAuto/>
                    <w:default w:val="1"/>
                  </w:checkBox>
                </w:ffData>
              </w:fldChar>
            </w:r>
            <w:r w:rsidRPr="00F33674">
              <w:rPr>
                <w:rFonts w:ascii="Arial Narrow" w:hAnsi="Arial Narrow" w:cs="Arial"/>
                <w:sz w:val="20"/>
                <w:szCs w:val="20"/>
              </w:rPr>
              <w:instrText xml:space="preserve"> FORMCHECKBOX </w:instrText>
            </w:r>
            <w:r w:rsidR="00233D13">
              <w:rPr>
                <w:rFonts w:ascii="Arial Narrow" w:hAnsi="Arial Narrow" w:cs="Arial"/>
                <w:sz w:val="20"/>
                <w:szCs w:val="20"/>
              </w:rPr>
            </w:r>
            <w:r w:rsidR="00233D13">
              <w:rPr>
                <w:rFonts w:ascii="Arial Narrow" w:hAnsi="Arial Narrow" w:cs="Arial"/>
                <w:sz w:val="20"/>
                <w:szCs w:val="20"/>
              </w:rPr>
              <w:fldChar w:fldCharType="separate"/>
            </w:r>
            <w:r w:rsidRPr="00F33674">
              <w:rPr>
                <w:rFonts w:ascii="Arial Narrow" w:hAnsi="Arial Narrow" w:cs="Arial"/>
                <w:sz w:val="20"/>
                <w:szCs w:val="20"/>
              </w:rPr>
              <w:fldChar w:fldCharType="end"/>
            </w:r>
            <w:r w:rsidRPr="00F33674">
              <w:rPr>
                <w:rFonts w:ascii="Arial Narrow" w:hAnsi="Arial Narrow" w:cs="Arial"/>
                <w:sz w:val="20"/>
                <w:szCs w:val="20"/>
              </w:rPr>
              <w:t>Streamlined</w:t>
            </w:r>
          </w:p>
        </w:tc>
      </w:tr>
      <w:tr w:rsidR="00662CE2" w:rsidRPr="00F33674" w14:paraId="782B32FF" w14:textId="77777777" w:rsidTr="00C21DFA">
        <w:trPr>
          <w:cantSplit/>
          <w:trHeight w:val="360"/>
        </w:trPr>
        <w:tc>
          <w:tcPr>
            <w:tcW w:w="3183" w:type="dxa"/>
            <w:tcBorders>
              <w:top w:val="single" w:sz="4" w:space="0" w:color="auto"/>
              <w:left w:val="single" w:sz="4" w:space="0" w:color="auto"/>
              <w:bottom w:val="single" w:sz="4" w:space="0" w:color="auto"/>
              <w:right w:val="single" w:sz="4" w:space="0" w:color="auto"/>
            </w:tcBorders>
          </w:tcPr>
          <w:p w14:paraId="29934A02" w14:textId="77777777" w:rsidR="00662CE2" w:rsidRPr="00F33674" w:rsidRDefault="00662CE2" w:rsidP="008514D0">
            <w:pPr>
              <w:rPr>
                <w:rFonts w:ascii="Arial Narrow" w:hAnsi="Arial Narrow" w:cs="Arial"/>
                <w:b/>
                <w:sz w:val="20"/>
                <w:szCs w:val="20"/>
              </w:rPr>
            </w:pPr>
            <w:r>
              <w:rPr>
                <w:rFonts w:ascii="Arial Narrow" w:hAnsi="Arial Narrow" w:cs="Arial"/>
                <w:b/>
                <w:sz w:val="20"/>
                <w:szCs w:val="20"/>
              </w:rPr>
              <w:t>Treatment phase:</w:t>
            </w:r>
          </w:p>
        </w:tc>
        <w:tc>
          <w:tcPr>
            <w:tcW w:w="5889" w:type="dxa"/>
            <w:tcBorders>
              <w:top w:val="single" w:sz="4" w:space="0" w:color="auto"/>
              <w:left w:val="single" w:sz="4" w:space="0" w:color="auto"/>
              <w:bottom w:val="single" w:sz="4" w:space="0" w:color="auto"/>
              <w:right w:val="single" w:sz="4" w:space="0" w:color="auto"/>
            </w:tcBorders>
          </w:tcPr>
          <w:p w14:paraId="128AF6D0" w14:textId="75B7C296" w:rsidR="00662CE2" w:rsidRPr="00F33674" w:rsidRDefault="009260EC" w:rsidP="008514D0">
            <w:pPr>
              <w:jc w:val="left"/>
              <w:rPr>
                <w:rFonts w:ascii="Arial Narrow" w:hAnsi="Arial Narrow" w:cs="Arial"/>
                <w:sz w:val="20"/>
                <w:szCs w:val="20"/>
              </w:rPr>
            </w:pPr>
            <w:r w:rsidRPr="00CB0FCB">
              <w:rPr>
                <w:rFonts w:ascii="Arial Narrow" w:hAnsi="Arial Narrow" w:cs="Arial"/>
                <w:sz w:val="20"/>
                <w:szCs w:val="20"/>
              </w:rPr>
              <w:t>Continuing PBS treatment after 1 June 2020</w:t>
            </w:r>
            <w:r>
              <w:rPr>
                <w:rFonts w:ascii="Arial Narrow" w:hAnsi="Arial Narrow" w:cs="Arial"/>
                <w:sz w:val="20"/>
                <w:szCs w:val="20"/>
              </w:rPr>
              <w:t>.</w:t>
            </w:r>
          </w:p>
        </w:tc>
      </w:tr>
      <w:tr w:rsidR="00662CE2" w:rsidRPr="00F33674" w14:paraId="040141A1" w14:textId="77777777" w:rsidTr="00C21DFA">
        <w:trPr>
          <w:cantSplit/>
          <w:trHeight w:val="360"/>
        </w:trPr>
        <w:tc>
          <w:tcPr>
            <w:tcW w:w="3183" w:type="dxa"/>
            <w:tcBorders>
              <w:top w:val="single" w:sz="4" w:space="0" w:color="auto"/>
              <w:left w:val="single" w:sz="4" w:space="0" w:color="auto"/>
              <w:bottom w:val="single" w:sz="4" w:space="0" w:color="auto"/>
              <w:right w:val="single" w:sz="4" w:space="0" w:color="auto"/>
            </w:tcBorders>
          </w:tcPr>
          <w:p w14:paraId="2C504BA3" w14:textId="77777777" w:rsidR="00662CE2" w:rsidRPr="00F33674" w:rsidRDefault="00662CE2" w:rsidP="008514D0">
            <w:pPr>
              <w:rPr>
                <w:rFonts w:ascii="Arial Narrow" w:hAnsi="Arial Narrow" w:cs="Arial"/>
                <w:b/>
                <w:sz w:val="20"/>
                <w:szCs w:val="20"/>
              </w:rPr>
            </w:pPr>
            <w:r w:rsidRPr="00F33674">
              <w:rPr>
                <w:rFonts w:ascii="Arial Narrow" w:hAnsi="Arial Narrow" w:cs="Arial"/>
                <w:b/>
                <w:sz w:val="20"/>
                <w:szCs w:val="20"/>
              </w:rPr>
              <w:t>Clinical criteria:</w:t>
            </w:r>
          </w:p>
        </w:tc>
        <w:tc>
          <w:tcPr>
            <w:tcW w:w="5889" w:type="dxa"/>
            <w:tcBorders>
              <w:top w:val="single" w:sz="4" w:space="0" w:color="auto"/>
              <w:left w:val="single" w:sz="4" w:space="0" w:color="auto"/>
              <w:bottom w:val="single" w:sz="4" w:space="0" w:color="auto"/>
              <w:right w:val="single" w:sz="4" w:space="0" w:color="auto"/>
            </w:tcBorders>
          </w:tcPr>
          <w:p w14:paraId="1F726E61" w14:textId="77777777" w:rsidR="00662CE2" w:rsidRPr="00F33674" w:rsidRDefault="00662CE2" w:rsidP="008514D0">
            <w:pPr>
              <w:jc w:val="left"/>
              <w:rPr>
                <w:rFonts w:ascii="Arial Narrow" w:hAnsi="Arial Narrow" w:cs="Arial"/>
                <w:sz w:val="20"/>
                <w:szCs w:val="20"/>
              </w:rPr>
            </w:pPr>
            <w:r w:rsidRPr="00F33674">
              <w:rPr>
                <w:rFonts w:ascii="Arial Narrow" w:hAnsi="Arial Narrow" w:cs="Arial"/>
                <w:sz w:val="20"/>
                <w:szCs w:val="20"/>
              </w:rPr>
              <w:t xml:space="preserve">[new] </w:t>
            </w:r>
            <w:r w:rsidRPr="00744FB8">
              <w:rPr>
                <w:rFonts w:ascii="Arial Narrow" w:hAnsi="Arial Narrow" w:cs="Arial"/>
                <w:sz w:val="20"/>
                <w:szCs w:val="20"/>
              </w:rPr>
              <w:t>Patient must have previously received PBS-subsidised treatment with this form of this drug for this condition after 1 June 2020</w:t>
            </w:r>
            <w:r>
              <w:rPr>
                <w:rFonts w:ascii="Arial Narrow" w:hAnsi="Arial Narrow" w:cs="Arial"/>
                <w:sz w:val="20"/>
                <w:szCs w:val="20"/>
              </w:rPr>
              <w:t>.</w:t>
            </w:r>
          </w:p>
        </w:tc>
      </w:tr>
      <w:tr w:rsidR="00662CE2" w:rsidRPr="00F33674" w14:paraId="3FC8EFEF" w14:textId="77777777" w:rsidTr="00C21DFA">
        <w:trPr>
          <w:cantSplit/>
          <w:trHeight w:val="360"/>
        </w:trPr>
        <w:tc>
          <w:tcPr>
            <w:tcW w:w="3183" w:type="dxa"/>
            <w:tcBorders>
              <w:top w:val="single" w:sz="4" w:space="0" w:color="auto"/>
              <w:left w:val="single" w:sz="4" w:space="0" w:color="auto"/>
              <w:bottom w:val="single" w:sz="4" w:space="0" w:color="auto"/>
              <w:right w:val="single" w:sz="4" w:space="0" w:color="auto"/>
            </w:tcBorders>
          </w:tcPr>
          <w:p w14:paraId="3F3F6E6B" w14:textId="77777777" w:rsidR="00662CE2" w:rsidRPr="00F33674" w:rsidRDefault="00662CE2" w:rsidP="008514D0">
            <w:pPr>
              <w:rPr>
                <w:rFonts w:ascii="Arial Narrow" w:hAnsi="Arial Narrow" w:cs="Arial"/>
                <w:b/>
                <w:sz w:val="20"/>
                <w:szCs w:val="20"/>
              </w:rPr>
            </w:pPr>
            <w:r w:rsidRPr="00F33674">
              <w:rPr>
                <w:rFonts w:ascii="Arial Narrow" w:hAnsi="Arial Narrow" w:cs="Arial"/>
                <w:b/>
                <w:sz w:val="20"/>
                <w:szCs w:val="20"/>
              </w:rPr>
              <w:lastRenderedPageBreak/>
              <w:t>Prescriber instruction:</w:t>
            </w:r>
          </w:p>
        </w:tc>
        <w:tc>
          <w:tcPr>
            <w:tcW w:w="5889" w:type="dxa"/>
            <w:tcBorders>
              <w:top w:val="single" w:sz="4" w:space="0" w:color="auto"/>
              <w:left w:val="single" w:sz="4" w:space="0" w:color="auto"/>
              <w:bottom w:val="single" w:sz="4" w:space="0" w:color="auto"/>
              <w:right w:val="single" w:sz="4" w:space="0" w:color="auto"/>
            </w:tcBorders>
          </w:tcPr>
          <w:p w14:paraId="7F7BC9CC" w14:textId="77777777" w:rsidR="00662CE2" w:rsidRPr="00744FB8" w:rsidRDefault="00662CE2" w:rsidP="008514D0">
            <w:pPr>
              <w:jc w:val="left"/>
              <w:rPr>
                <w:rFonts w:ascii="Arial Narrow" w:hAnsi="Arial Narrow" w:cs="Arial"/>
                <w:sz w:val="20"/>
                <w:szCs w:val="20"/>
              </w:rPr>
            </w:pPr>
            <w:r w:rsidRPr="00F33674">
              <w:rPr>
                <w:rFonts w:ascii="Arial Narrow" w:hAnsi="Arial Narrow" w:cs="Arial"/>
                <w:sz w:val="20"/>
                <w:szCs w:val="20"/>
              </w:rPr>
              <w:t xml:space="preserve">[new] </w:t>
            </w:r>
            <w:r w:rsidRPr="00744FB8">
              <w:rPr>
                <w:rFonts w:ascii="Arial Narrow" w:hAnsi="Arial Narrow" w:cs="Arial"/>
                <w:sz w:val="20"/>
                <w:szCs w:val="20"/>
              </w:rPr>
              <w:t>Authorities for increased maximum quantities and/or repeats must only be considered for chronic severe disabling pain where the patient has received initial authority approval and the total duration of non-PBS and PBS opioid analgesic treatment:</w:t>
            </w:r>
          </w:p>
          <w:p w14:paraId="4AF98986" w14:textId="77777777" w:rsidR="00662CE2" w:rsidRPr="00744FB8" w:rsidRDefault="00662CE2" w:rsidP="008514D0">
            <w:pPr>
              <w:jc w:val="left"/>
              <w:rPr>
                <w:rFonts w:ascii="Arial Narrow" w:hAnsi="Arial Narrow" w:cs="Arial"/>
                <w:sz w:val="20"/>
                <w:szCs w:val="20"/>
              </w:rPr>
            </w:pPr>
            <w:r w:rsidRPr="00744FB8">
              <w:rPr>
                <w:rFonts w:ascii="Arial Narrow" w:hAnsi="Arial Narrow" w:cs="Arial"/>
                <w:sz w:val="20"/>
                <w:szCs w:val="20"/>
              </w:rPr>
              <w:t>(i) is less than 12 months; or</w:t>
            </w:r>
          </w:p>
          <w:p w14:paraId="621DC19A" w14:textId="77777777" w:rsidR="00662CE2" w:rsidRPr="00744FB8" w:rsidRDefault="00662CE2" w:rsidP="008514D0">
            <w:pPr>
              <w:jc w:val="left"/>
              <w:rPr>
                <w:rFonts w:ascii="Arial Narrow" w:hAnsi="Arial Narrow" w:cs="Arial"/>
                <w:sz w:val="20"/>
                <w:szCs w:val="20"/>
              </w:rPr>
            </w:pPr>
            <w:r w:rsidRPr="00744FB8">
              <w:rPr>
                <w:rFonts w:ascii="Arial Narrow" w:hAnsi="Arial Narrow" w:cs="Arial"/>
                <w:sz w:val="20"/>
                <w:szCs w:val="20"/>
              </w:rPr>
              <w:t>(ii) exceeds 12 months and the palliative care patient is unable to have annual pain management review due to their clinical condition; or</w:t>
            </w:r>
          </w:p>
          <w:p w14:paraId="2A992EAD" w14:textId="77777777" w:rsidR="00662CE2" w:rsidRPr="00744FB8" w:rsidRDefault="00662CE2" w:rsidP="008514D0">
            <w:pPr>
              <w:jc w:val="left"/>
              <w:rPr>
                <w:rFonts w:ascii="Arial Narrow" w:hAnsi="Arial Narrow" w:cs="Arial"/>
                <w:sz w:val="20"/>
                <w:szCs w:val="20"/>
              </w:rPr>
            </w:pPr>
            <w:r w:rsidRPr="00744FB8">
              <w:rPr>
                <w:rFonts w:ascii="Arial Narrow" w:hAnsi="Arial Narrow" w:cs="Arial"/>
                <w:sz w:val="20"/>
                <w:szCs w:val="20"/>
              </w:rPr>
              <w:t>(iii) exceeds 12 months and the patient's clinical need for continuing opioid treatment has been confirmed through consultation with the patient by another medical practitioner or a palliative care nurse practitioner in the past 12 months; or</w:t>
            </w:r>
          </w:p>
          <w:p w14:paraId="51A074BE" w14:textId="77777777" w:rsidR="00662CE2" w:rsidRDefault="00662CE2" w:rsidP="008514D0">
            <w:pPr>
              <w:jc w:val="left"/>
              <w:rPr>
                <w:rFonts w:ascii="Arial Narrow" w:hAnsi="Arial Narrow" w:cs="Arial"/>
                <w:sz w:val="20"/>
                <w:szCs w:val="20"/>
              </w:rPr>
            </w:pPr>
            <w:r w:rsidRPr="00744FB8">
              <w:rPr>
                <w:rFonts w:ascii="Arial Narrow" w:hAnsi="Arial Narrow" w:cs="Arial"/>
                <w:sz w:val="20"/>
                <w:szCs w:val="20"/>
              </w:rPr>
              <w:t xml:space="preserve">(iv) </w:t>
            </w:r>
            <w:proofErr w:type="gramStart"/>
            <w:r w:rsidRPr="00744FB8">
              <w:rPr>
                <w:rFonts w:ascii="Arial Narrow" w:hAnsi="Arial Narrow" w:cs="Arial"/>
                <w:sz w:val="20"/>
                <w:szCs w:val="20"/>
              </w:rPr>
              <w:t>has</w:t>
            </w:r>
            <w:proofErr w:type="gramEnd"/>
            <w:r w:rsidRPr="00744FB8">
              <w:rPr>
                <w:rFonts w:ascii="Arial Narrow" w:hAnsi="Arial Narrow" w:cs="Arial"/>
                <w:sz w:val="20"/>
                <w:szCs w:val="20"/>
              </w:rPr>
              <w:t xml:space="preserve"> exceeded 12 months prior to 1 June 2020 and the patient's pain management and clinical need for continuing opioid treatment has not been confirmed through consultation with the patient by another medical practitioner or a palliative care nurse practitioner in the past 12 months, but is planned in the next 3 months.</w:t>
            </w:r>
          </w:p>
          <w:p w14:paraId="13AB8B52" w14:textId="77777777" w:rsidR="00662CE2" w:rsidRPr="00F33674" w:rsidRDefault="00662CE2" w:rsidP="008514D0">
            <w:pPr>
              <w:jc w:val="left"/>
              <w:rPr>
                <w:rFonts w:ascii="Arial Narrow" w:hAnsi="Arial Narrow" w:cs="Arial"/>
                <w:sz w:val="20"/>
                <w:szCs w:val="20"/>
              </w:rPr>
            </w:pPr>
          </w:p>
          <w:p w14:paraId="370C8AA7" w14:textId="77777777" w:rsidR="00662CE2" w:rsidRPr="00F33674" w:rsidRDefault="00662CE2" w:rsidP="008514D0">
            <w:pPr>
              <w:jc w:val="left"/>
              <w:rPr>
                <w:rFonts w:ascii="Arial Narrow" w:hAnsi="Arial Narrow" w:cs="Arial"/>
                <w:sz w:val="20"/>
                <w:szCs w:val="20"/>
              </w:rPr>
            </w:pPr>
            <w:r w:rsidRPr="00F33674">
              <w:rPr>
                <w:rFonts w:ascii="Arial Narrow" w:hAnsi="Arial Narrow" w:cs="Arial"/>
                <w:sz w:val="20"/>
                <w:szCs w:val="20"/>
              </w:rPr>
              <w:t>[new] Authority requests extending treatment duration up to 1 month may be requested though the Online PBS Authorities system or by calling Services Australia.</w:t>
            </w:r>
          </w:p>
          <w:p w14:paraId="772FF58B" w14:textId="77777777" w:rsidR="00662CE2" w:rsidRPr="00F33674" w:rsidRDefault="00662CE2" w:rsidP="008514D0">
            <w:pPr>
              <w:jc w:val="left"/>
              <w:rPr>
                <w:rFonts w:ascii="Arial Narrow" w:hAnsi="Arial Narrow" w:cs="Arial"/>
                <w:sz w:val="20"/>
                <w:szCs w:val="20"/>
              </w:rPr>
            </w:pPr>
          </w:p>
          <w:p w14:paraId="05EBBD47" w14:textId="77777777" w:rsidR="00662CE2" w:rsidRPr="00F33674" w:rsidRDefault="00662CE2" w:rsidP="008514D0">
            <w:pPr>
              <w:jc w:val="left"/>
              <w:rPr>
                <w:rFonts w:ascii="Arial Narrow" w:hAnsi="Arial Narrow" w:cs="Arial"/>
                <w:sz w:val="20"/>
                <w:szCs w:val="20"/>
              </w:rPr>
            </w:pPr>
            <w:r w:rsidRPr="00F33674">
              <w:rPr>
                <w:rFonts w:ascii="Arial Narrow" w:hAnsi="Arial Narrow" w:cs="Arial"/>
                <w:sz w:val="20"/>
                <w:szCs w:val="20"/>
              </w:rPr>
              <w:t xml:space="preserve">Authority requests extending treatment duration beyond 1 month </w:t>
            </w:r>
            <w:r>
              <w:rPr>
                <w:rFonts w:ascii="Arial Narrow" w:hAnsi="Arial Narrow" w:cs="Arial"/>
                <w:sz w:val="20"/>
                <w:szCs w:val="20"/>
              </w:rPr>
              <w:t>may be requested through the Online PBS Authorities system</w:t>
            </w:r>
            <w:r w:rsidRPr="00F33674">
              <w:rPr>
                <w:rFonts w:ascii="Arial Narrow" w:hAnsi="Arial Narrow" w:cs="Arial"/>
                <w:sz w:val="20"/>
                <w:szCs w:val="20"/>
              </w:rPr>
              <w:t xml:space="preserve"> or in writing only and must not provide a treatment duration exceeding </w:t>
            </w:r>
            <w:r>
              <w:rPr>
                <w:rFonts w:ascii="Arial Narrow" w:hAnsi="Arial Narrow" w:cs="Arial"/>
                <w:sz w:val="20"/>
                <w:szCs w:val="20"/>
              </w:rPr>
              <w:t xml:space="preserve">3 months (quantity sufficient for up to </w:t>
            </w:r>
            <w:proofErr w:type="gramStart"/>
            <w:r>
              <w:rPr>
                <w:rFonts w:ascii="Arial Narrow" w:hAnsi="Arial Narrow" w:cs="Arial"/>
                <w:sz w:val="20"/>
                <w:szCs w:val="20"/>
              </w:rPr>
              <w:t>1 month</w:t>
            </w:r>
            <w:proofErr w:type="gramEnd"/>
            <w:r>
              <w:rPr>
                <w:rFonts w:ascii="Arial Narrow" w:hAnsi="Arial Narrow" w:cs="Arial"/>
                <w:sz w:val="20"/>
                <w:szCs w:val="20"/>
              </w:rPr>
              <w:t xml:space="preserve"> treatment and sufficient repeats).</w:t>
            </w:r>
          </w:p>
        </w:tc>
      </w:tr>
      <w:tr w:rsidR="00662CE2" w:rsidRPr="00F33674" w14:paraId="1F47F701" w14:textId="77777777" w:rsidTr="00C21DFA">
        <w:trPr>
          <w:cantSplit/>
          <w:trHeight w:val="360"/>
        </w:trPr>
        <w:tc>
          <w:tcPr>
            <w:tcW w:w="3183" w:type="dxa"/>
            <w:tcBorders>
              <w:top w:val="single" w:sz="4" w:space="0" w:color="auto"/>
              <w:left w:val="single" w:sz="4" w:space="0" w:color="auto"/>
              <w:bottom w:val="single" w:sz="4" w:space="0" w:color="auto"/>
              <w:right w:val="single" w:sz="4" w:space="0" w:color="auto"/>
            </w:tcBorders>
          </w:tcPr>
          <w:p w14:paraId="1AA984EF" w14:textId="70216783" w:rsidR="00662CE2" w:rsidRPr="00F33674" w:rsidRDefault="00662CE2" w:rsidP="00662CE2">
            <w:pPr>
              <w:rPr>
                <w:rFonts w:ascii="Arial Narrow" w:hAnsi="Arial Narrow" w:cs="Arial"/>
                <w:b/>
                <w:sz w:val="20"/>
                <w:szCs w:val="20"/>
              </w:rPr>
            </w:pPr>
            <w:r w:rsidRPr="00F33674">
              <w:rPr>
                <w:rFonts w:ascii="Arial Narrow" w:hAnsi="Arial Narrow" w:cs="Arial"/>
                <w:b/>
                <w:sz w:val="20"/>
                <w:szCs w:val="20"/>
              </w:rPr>
              <w:t>Administrative advice:</w:t>
            </w:r>
          </w:p>
        </w:tc>
        <w:tc>
          <w:tcPr>
            <w:tcW w:w="5889" w:type="dxa"/>
            <w:tcBorders>
              <w:top w:val="single" w:sz="4" w:space="0" w:color="auto"/>
              <w:left w:val="single" w:sz="4" w:space="0" w:color="auto"/>
              <w:bottom w:val="single" w:sz="4" w:space="0" w:color="auto"/>
              <w:right w:val="single" w:sz="4" w:space="0" w:color="auto"/>
            </w:tcBorders>
          </w:tcPr>
          <w:p w14:paraId="2003AF4C" w14:textId="77777777" w:rsidR="00662CE2" w:rsidRPr="00F33674" w:rsidRDefault="00662CE2" w:rsidP="00662CE2">
            <w:pPr>
              <w:jc w:val="left"/>
              <w:rPr>
                <w:rFonts w:ascii="Arial Narrow" w:hAnsi="Arial Narrow"/>
                <w:sz w:val="20"/>
                <w:szCs w:val="20"/>
              </w:rPr>
            </w:pPr>
            <w:r w:rsidRPr="00F33674">
              <w:rPr>
                <w:rFonts w:ascii="Arial Narrow" w:hAnsi="Arial Narrow"/>
                <w:sz w:val="20"/>
                <w:szCs w:val="20"/>
              </w:rPr>
              <w:t>[new] Consider consultation with a multidisciplinary pain service prior to, or after commencement of this medication.</w:t>
            </w:r>
          </w:p>
          <w:p w14:paraId="4868C18A" w14:textId="77777777" w:rsidR="00662CE2" w:rsidRPr="00F33674" w:rsidRDefault="00662CE2" w:rsidP="00662CE2">
            <w:pPr>
              <w:jc w:val="left"/>
              <w:rPr>
                <w:rFonts w:ascii="Arial Narrow" w:hAnsi="Arial Narrow"/>
                <w:sz w:val="20"/>
                <w:szCs w:val="20"/>
              </w:rPr>
            </w:pPr>
          </w:p>
          <w:p w14:paraId="75D5972F" w14:textId="77777777" w:rsidR="00662CE2" w:rsidRPr="00F33674" w:rsidRDefault="00662CE2" w:rsidP="00662CE2">
            <w:pPr>
              <w:jc w:val="left"/>
              <w:rPr>
                <w:rFonts w:ascii="Arial Narrow" w:hAnsi="Arial Narrow" w:cs="Arial"/>
                <w:sz w:val="20"/>
                <w:szCs w:val="20"/>
              </w:rPr>
            </w:pPr>
            <w:r w:rsidRPr="00F33674">
              <w:rPr>
                <w:rFonts w:ascii="Arial Narrow" w:hAnsi="Arial Narrow" w:cs="Arial"/>
                <w:sz w:val="20"/>
                <w:szCs w:val="20"/>
              </w:rPr>
              <w:t>[new] This treatment is not suitable for ‘as-required’ pain relief.</w:t>
            </w:r>
          </w:p>
          <w:p w14:paraId="1E15CDED" w14:textId="77777777" w:rsidR="00662CE2" w:rsidRPr="00F33674" w:rsidRDefault="00662CE2" w:rsidP="00662CE2">
            <w:pPr>
              <w:jc w:val="left"/>
              <w:rPr>
                <w:rFonts w:ascii="Arial Narrow" w:hAnsi="Arial Narrow" w:cs="Arial"/>
                <w:sz w:val="20"/>
                <w:szCs w:val="20"/>
              </w:rPr>
            </w:pPr>
            <w:r w:rsidRPr="00F33674">
              <w:rPr>
                <w:rFonts w:ascii="Arial Narrow" w:hAnsi="Arial Narrow" w:cs="Arial"/>
                <w:sz w:val="20"/>
                <w:szCs w:val="20"/>
              </w:rPr>
              <w:t xml:space="preserve"> </w:t>
            </w:r>
          </w:p>
          <w:p w14:paraId="4589CDA5" w14:textId="77777777" w:rsidR="00662CE2" w:rsidRPr="00F33674" w:rsidRDefault="00662CE2" w:rsidP="00662CE2">
            <w:pPr>
              <w:jc w:val="left"/>
              <w:rPr>
                <w:rFonts w:ascii="Arial Narrow" w:hAnsi="Arial Narrow" w:cs="Arial"/>
                <w:sz w:val="20"/>
                <w:szCs w:val="20"/>
              </w:rPr>
            </w:pPr>
            <w:r w:rsidRPr="00F33674">
              <w:rPr>
                <w:rFonts w:ascii="Arial Narrow" w:hAnsi="Arial Narrow" w:cs="Arial"/>
                <w:sz w:val="20"/>
                <w:szCs w:val="20"/>
              </w:rPr>
              <w:t xml:space="preserve">[7901] Shared Care Model: For prescribing by nurse practitioners where care of a patient </w:t>
            </w:r>
            <w:proofErr w:type="gramStart"/>
            <w:r w:rsidRPr="00F33674">
              <w:rPr>
                <w:rFonts w:ascii="Arial Narrow" w:hAnsi="Arial Narrow" w:cs="Arial"/>
                <w:sz w:val="20"/>
                <w:szCs w:val="20"/>
              </w:rPr>
              <w:t>is shared</w:t>
            </w:r>
            <w:proofErr w:type="gramEnd"/>
            <w:r w:rsidRPr="00F33674">
              <w:rPr>
                <w:rFonts w:ascii="Arial Narrow" w:hAnsi="Arial Narrow" w:cs="Arial"/>
                <w:sz w:val="20"/>
                <w:szCs w:val="20"/>
              </w:rPr>
              <w:t xml:space="preserve"> between a nurse practitioner and medical practitioner in a formalised arrangement with an agreed management plan. Further information </w:t>
            </w:r>
            <w:proofErr w:type="gramStart"/>
            <w:r w:rsidRPr="00F33674">
              <w:rPr>
                <w:rFonts w:ascii="Arial Narrow" w:hAnsi="Arial Narrow" w:cs="Arial"/>
                <w:sz w:val="20"/>
                <w:szCs w:val="20"/>
              </w:rPr>
              <w:t>can be found</w:t>
            </w:r>
            <w:proofErr w:type="gramEnd"/>
            <w:r w:rsidRPr="00F33674">
              <w:rPr>
                <w:rFonts w:ascii="Arial Narrow" w:hAnsi="Arial Narrow" w:cs="Arial"/>
                <w:sz w:val="20"/>
                <w:szCs w:val="20"/>
              </w:rPr>
              <w:t xml:space="preserve"> in the Explanatory Notes for Nurse Practitioners.</w:t>
            </w:r>
          </w:p>
          <w:p w14:paraId="52A316E5" w14:textId="77777777" w:rsidR="00662CE2" w:rsidRPr="00F33674" w:rsidRDefault="00662CE2" w:rsidP="00662CE2">
            <w:pPr>
              <w:jc w:val="left"/>
              <w:rPr>
                <w:rFonts w:ascii="Arial Narrow" w:hAnsi="Arial Narrow" w:cs="Arial"/>
                <w:sz w:val="20"/>
                <w:szCs w:val="20"/>
              </w:rPr>
            </w:pPr>
          </w:p>
          <w:p w14:paraId="55B234DE" w14:textId="77777777" w:rsidR="00662CE2" w:rsidRPr="00F33674" w:rsidRDefault="00662CE2" w:rsidP="00662CE2">
            <w:pPr>
              <w:jc w:val="left"/>
              <w:rPr>
                <w:rFonts w:ascii="Arial Narrow" w:hAnsi="Arial Narrow" w:cs="Arial"/>
                <w:sz w:val="20"/>
                <w:szCs w:val="20"/>
              </w:rPr>
            </w:pPr>
            <w:r w:rsidRPr="00F33674">
              <w:rPr>
                <w:rFonts w:ascii="Arial Narrow" w:hAnsi="Arial Narrow" w:cs="Arial"/>
                <w:sz w:val="20"/>
                <w:szCs w:val="20"/>
              </w:rPr>
              <w:t>[new] Real time online applications for increased maximum quantities/repeats may be made using the Online PBS Authorities system (see www.servicesaustralia.gov.au/organisations/health-professionals/services/medicare/hpos/services/request-authority-using-online-pbs-authorities-hpos)</w:t>
            </w:r>
          </w:p>
          <w:p w14:paraId="30A31525" w14:textId="77777777" w:rsidR="00662CE2" w:rsidRPr="00F33674" w:rsidRDefault="00662CE2" w:rsidP="00662CE2">
            <w:pPr>
              <w:jc w:val="left"/>
              <w:rPr>
                <w:rFonts w:ascii="Arial Narrow" w:hAnsi="Arial Narrow" w:cs="Arial"/>
                <w:sz w:val="20"/>
                <w:szCs w:val="20"/>
              </w:rPr>
            </w:pPr>
          </w:p>
          <w:p w14:paraId="7B6F06E0" w14:textId="77777777" w:rsidR="00662CE2" w:rsidRPr="00F33674" w:rsidRDefault="00662CE2" w:rsidP="00662CE2">
            <w:pPr>
              <w:jc w:val="left"/>
              <w:rPr>
                <w:rFonts w:ascii="Arial Narrow" w:hAnsi="Arial Narrow" w:cs="Arial"/>
                <w:sz w:val="20"/>
                <w:szCs w:val="20"/>
              </w:rPr>
            </w:pPr>
            <w:r w:rsidRPr="00F33674">
              <w:rPr>
                <w:rFonts w:ascii="Arial Narrow" w:hAnsi="Arial Narrow" w:cs="Arial"/>
                <w:sz w:val="20"/>
                <w:szCs w:val="20"/>
              </w:rPr>
              <w:t>Phone applications for increased maximum quantities/repeats may be made by calling 1800 888 333.</w:t>
            </w:r>
          </w:p>
          <w:p w14:paraId="6D67C8CB" w14:textId="77777777" w:rsidR="00662CE2" w:rsidRPr="00F33674" w:rsidRDefault="00662CE2" w:rsidP="00662CE2">
            <w:pPr>
              <w:jc w:val="left"/>
              <w:rPr>
                <w:rFonts w:ascii="Arial Narrow" w:hAnsi="Arial Narrow" w:cs="Arial"/>
                <w:sz w:val="20"/>
                <w:szCs w:val="20"/>
              </w:rPr>
            </w:pPr>
          </w:p>
          <w:p w14:paraId="418EF2AE" w14:textId="77777777" w:rsidR="00662CE2" w:rsidRPr="00F33674" w:rsidRDefault="00662CE2" w:rsidP="00662CE2">
            <w:pPr>
              <w:jc w:val="left"/>
              <w:rPr>
                <w:rFonts w:ascii="Arial Narrow" w:hAnsi="Arial Narrow" w:cs="Arial"/>
                <w:sz w:val="20"/>
                <w:szCs w:val="20"/>
              </w:rPr>
            </w:pPr>
            <w:r w:rsidRPr="00F33674">
              <w:rPr>
                <w:rFonts w:ascii="Arial Narrow" w:hAnsi="Arial Narrow" w:cs="Arial"/>
                <w:sz w:val="20"/>
                <w:szCs w:val="20"/>
              </w:rPr>
              <w:t>Written authority applications for increased maximum quantities/repeats can be uploaded online through HPOS form upload or mailed to:</w:t>
            </w:r>
          </w:p>
          <w:p w14:paraId="2400DC72" w14:textId="77777777" w:rsidR="00662CE2" w:rsidRPr="00F33674" w:rsidRDefault="00662CE2" w:rsidP="00662CE2">
            <w:pPr>
              <w:jc w:val="left"/>
              <w:rPr>
                <w:rFonts w:ascii="Arial Narrow" w:hAnsi="Arial Narrow" w:cs="Arial"/>
                <w:sz w:val="20"/>
                <w:szCs w:val="20"/>
              </w:rPr>
            </w:pPr>
            <w:r w:rsidRPr="00F33674">
              <w:rPr>
                <w:rFonts w:ascii="Arial Narrow" w:hAnsi="Arial Narrow" w:cs="Arial"/>
                <w:sz w:val="20"/>
                <w:szCs w:val="20"/>
              </w:rPr>
              <w:t>Pharmaceutical Benefits Scheme</w:t>
            </w:r>
          </w:p>
          <w:p w14:paraId="5015D615" w14:textId="77777777" w:rsidR="00662CE2" w:rsidRPr="00F33674" w:rsidRDefault="00662CE2" w:rsidP="00662CE2">
            <w:pPr>
              <w:jc w:val="left"/>
              <w:rPr>
                <w:rFonts w:ascii="Arial Narrow" w:hAnsi="Arial Narrow" w:cs="Arial"/>
                <w:sz w:val="20"/>
                <w:szCs w:val="20"/>
              </w:rPr>
            </w:pPr>
            <w:r w:rsidRPr="00F33674">
              <w:rPr>
                <w:rFonts w:ascii="Arial Narrow" w:hAnsi="Arial Narrow" w:cs="Arial"/>
                <w:sz w:val="20"/>
                <w:szCs w:val="20"/>
              </w:rPr>
              <w:t>Reply Paid 9857</w:t>
            </w:r>
          </w:p>
          <w:p w14:paraId="344D9488" w14:textId="70C2C735" w:rsidR="00662CE2" w:rsidRPr="00F33674" w:rsidRDefault="00662CE2" w:rsidP="00662CE2">
            <w:pPr>
              <w:jc w:val="left"/>
              <w:rPr>
                <w:rFonts w:ascii="Arial Narrow" w:hAnsi="Arial Narrow" w:cs="Arial"/>
                <w:sz w:val="20"/>
                <w:szCs w:val="20"/>
              </w:rPr>
            </w:pPr>
            <w:r w:rsidRPr="00F33674">
              <w:rPr>
                <w:rFonts w:ascii="Arial Narrow" w:hAnsi="Arial Narrow" w:cs="Arial"/>
                <w:sz w:val="20"/>
                <w:szCs w:val="20"/>
              </w:rPr>
              <w:t>[Your capital city]</w:t>
            </w:r>
          </w:p>
        </w:tc>
      </w:tr>
      <w:tr w:rsidR="00662CE2" w:rsidRPr="00F33674" w14:paraId="1C20F987" w14:textId="77777777" w:rsidTr="00C21DFA">
        <w:trPr>
          <w:cantSplit/>
          <w:trHeight w:val="360"/>
        </w:trPr>
        <w:tc>
          <w:tcPr>
            <w:tcW w:w="3183" w:type="dxa"/>
            <w:tcBorders>
              <w:top w:val="single" w:sz="4" w:space="0" w:color="auto"/>
              <w:left w:val="single" w:sz="4" w:space="0" w:color="auto"/>
              <w:bottom w:val="single" w:sz="4" w:space="0" w:color="auto"/>
              <w:right w:val="single" w:sz="4" w:space="0" w:color="auto"/>
            </w:tcBorders>
          </w:tcPr>
          <w:p w14:paraId="26DBB3C9" w14:textId="77777777" w:rsidR="00662CE2" w:rsidRPr="00F33674" w:rsidRDefault="00662CE2" w:rsidP="008514D0">
            <w:pPr>
              <w:rPr>
                <w:rFonts w:ascii="Arial Narrow" w:hAnsi="Arial Narrow" w:cs="Arial"/>
                <w:b/>
                <w:sz w:val="20"/>
                <w:szCs w:val="20"/>
              </w:rPr>
            </w:pPr>
            <w:r w:rsidRPr="00F33674">
              <w:rPr>
                <w:rFonts w:ascii="Arial Narrow" w:hAnsi="Arial Narrow" w:cs="Arial"/>
                <w:b/>
                <w:sz w:val="20"/>
                <w:szCs w:val="20"/>
              </w:rPr>
              <w:t>Cautions:</w:t>
            </w:r>
          </w:p>
        </w:tc>
        <w:tc>
          <w:tcPr>
            <w:tcW w:w="5889" w:type="dxa"/>
            <w:tcBorders>
              <w:top w:val="single" w:sz="4" w:space="0" w:color="auto"/>
              <w:left w:val="single" w:sz="4" w:space="0" w:color="auto"/>
              <w:bottom w:val="single" w:sz="4" w:space="0" w:color="auto"/>
              <w:right w:val="single" w:sz="4" w:space="0" w:color="auto"/>
            </w:tcBorders>
          </w:tcPr>
          <w:p w14:paraId="558CF85D" w14:textId="77777777" w:rsidR="00662CE2" w:rsidRPr="00F33674" w:rsidRDefault="00662CE2" w:rsidP="008514D0">
            <w:pPr>
              <w:jc w:val="left"/>
              <w:rPr>
                <w:rFonts w:ascii="Arial Narrow" w:hAnsi="Arial Narrow" w:cs="Arial"/>
                <w:sz w:val="20"/>
                <w:szCs w:val="20"/>
              </w:rPr>
            </w:pPr>
            <w:r w:rsidRPr="00F33674">
              <w:rPr>
                <w:rFonts w:ascii="Arial Narrow" w:hAnsi="Arial Narrow" w:cs="Arial"/>
                <w:sz w:val="20"/>
                <w:szCs w:val="20"/>
              </w:rPr>
              <w:t>[6986] The risk of drug dependence is high.</w:t>
            </w:r>
          </w:p>
        </w:tc>
      </w:tr>
    </w:tbl>
    <w:p w14:paraId="36035CAB" w14:textId="388E42ED" w:rsidR="00CB71CC" w:rsidRDefault="00CB71CC">
      <w:pPr>
        <w:jc w:val="left"/>
        <w:rPr>
          <w:rFonts w:asciiTheme="minorHAnsi" w:eastAsiaTheme="minorHAnsi" w:hAnsiTheme="minorHAnsi" w:cstheme="minorBidi"/>
          <w:szCs w:val="22"/>
        </w:rPr>
      </w:pPr>
      <w:r>
        <w:br w:type="page"/>
      </w:r>
    </w:p>
    <w:p w14:paraId="5C3B49AE" w14:textId="1E802B21" w:rsidR="00F33674" w:rsidRPr="00F33674" w:rsidRDefault="00F33674" w:rsidP="00243407">
      <w:pPr>
        <w:pStyle w:val="3-BodyText"/>
      </w:pPr>
      <w:r w:rsidRPr="00F33674">
        <w:lastRenderedPageBreak/>
        <w:t>Amend items:</w:t>
      </w:r>
    </w:p>
    <w:p w14:paraId="698690D8" w14:textId="77777777" w:rsidR="00F33674" w:rsidRPr="00F33674" w:rsidRDefault="00F33674" w:rsidP="00F33674">
      <w:pPr>
        <w:keepNext/>
        <w:keepLines/>
        <w:spacing w:before="40"/>
        <w:jc w:val="left"/>
        <w:outlineLvl w:val="2"/>
        <w:rPr>
          <w:rFonts w:asciiTheme="minorHAnsi" w:eastAsiaTheme="majorEastAsia" w:hAnsiTheme="minorHAnsi" w:cstheme="majorBidi"/>
          <w:b/>
          <w:color w:val="000000" w:themeColor="text1"/>
        </w:rPr>
      </w:pPr>
      <w:bookmarkStart w:id="45" w:name="_Toc32300610"/>
      <w:r w:rsidRPr="00F33674">
        <w:rPr>
          <w:rFonts w:asciiTheme="minorHAnsi" w:eastAsiaTheme="majorEastAsia" w:hAnsiTheme="minorHAnsi" w:cstheme="majorBidi"/>
          <w:b/>
          <w:color w:val="000000" w:themeColor="text1"/>
        </w:rPr>
        <w:t xml:space="preserve">Listing 26: Restriction for long-term pain TGA indication in </w:t>
      </w:r>
      <w:proofErr w:type="gramStart"/>
      <w:r w:rsidRPr="00F33674">
        <w:rPr>
          <w:rFonts w:asciiTheme="minorHAnsi" w:eastAsiaTheme="majorEastAsia" w:hAnsiTheme="minorHAnsi" w:cstheme="majorBidi"/>
          <w:b/>
          <w:color w:val="000000" w:themeColor="text1"/>
        </w:rPr>
        <w:t>2</w:t>
      </w:r>
      <w:r w:rsidRPr="00F33674">
        <w:rPr>
          <w:rFonts w:asciiTheme="minorHAnsi" w:eastAsiaTheme="majorEastAsia" w:hAnsiTheme="minorHAnsi" w:cstheme="majorBidi"/>
          <w:b/>
          <w:color w:val="000000" w:themeColor="text1"/>
          <w:vertAlign w:val="superscript"/>
        </w:rPr>
        <w:t>nd</w:t>
      </w:r>
      <w:proofErr w:type="gramEnd"/>
      <w:r w:rsidRPr="00F33674">
        <w:rPr>
          <w:rFonts w:asciiTheme="minorHAnsi" w:eastAsiaTheme="majorEastAsia" w:hAnsiTheme="minorHAnsi" w:cstheme="majorBidi"/>
          <w:b/>
          <w:color w:val="000000" w:themeColor="text1"/>
        </w:rPr>
        <w:t xml:space="preserve"> line opioid setting (methadone injection and IR tablet):</w:t>
      </w:r>
      <w:bookmarkEnd w:id="45"/>
    </w:p>
    <w:p w14:paraId="6A6F993D" w14:textId="77777777" w:rsidR="00F33674" w:rsidRPr="00F33674" w:rsidRDefault="00F33674" w:rsidP="00F33674">
      <w:pPr>
        <w:ind w:left="360" w:hanging="360"/>
        <w:contextualSpacing/>
        <w:jc w:val="left"/>
      </w:pPr>
    </w:p>
    <w:tbl>
      <w:tblPr>
        <w:tblW w:w="9400" w:type="dxa"/>
        <w:tblLook w:val="04A0" w:firstRow="1" w:lastRow="0" w:firstColumn="1" w:lastColumn="0" w:noHBand="0" w:noVBand="1"/>
      </w:tblPr>
      <w:tblGrid>
        <w:gridCol w:w="1559"/>
        <w:gridCol w:w="718"/>
        <w:gridCol w:w="2538"/>
        <w:gridCol w:w="661"/>
        <w:gridCol w:w="530"/>
        <w:gridCol w:w="1409"/>
        <w:gridCol w:w="1985"/>
      </w:tblGrid>
      <w:tr w:rsidR="00F33674" w:rsidRPr="00F33674" w14:paraId="2E22C098" w14:textId="77777777" w:rsidTr="00F33674">
        <w:trPr>
          <w:trHeight w:val="300"/>
        </w:trPr>
        <w:tc>
          <w:tcPr>
            <w:tcW w:w="1559" w:type="dxa"/>
            <w:tcBorders>
              <w:bottom w:val="single" w:sz="4" w:space="0" w:color="auto"/>
            </w:tcBorders>
            <w:shd w:val="clear" w:color="auto" w:fill="auto"/>
            <w:noWrap/>
            <w:hideMark/>
          </w:tcPr>
          <w:p w14:paraId="5656B324"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Legal Instrument Drug</w:t>
            </w:r>
          </w:p>
        </w:tc>
        <w:tc>
          <w:tcPr>
            <w:tcW w:w="718" w:type="dxa"/>
            <w:tcBorders>
              <w:bottom w:val="single" w:sz="4" w:space="0" w:color="auto"/>
            </w:tcBorders>
            <w:shd w:val="clear" w:color="auto" w:fill="auto"/>
          </w:tcPr>
          <w:p w14:paraId="57236131"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Item Code</w:t>
            </w:r>
          </w:p>
        </w:tc>
        <w:tc>
          <w:tcPr>
            <w:tcW w:w="2538" w:type="dxa"/>
            <w:tcBorders>
              <w:bottom w:val="single" w:sz="4" w:space="0" w:color="auto"/>
            </w:tcBorders>
            <w:shd w:val="clear" w:color="auto" w:fill="auto"/>
            <w:noWrap/>
            <w:hideMark/>
          </w:tcPr>
          <w:p w14:paraId="03546AF9"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Legal Instrument Form</w:t>
            </w:r>
          </w:p>
        </w:tc>
        <w:tc>
          <w:tcPr>
            <w:tcW w:w="661" w:type="dxa"/>
            <w:tcBorders>
              <w:bottom w:val="single" w:sz="4" w:space="0" w:color="auto"/>
            </w:tcBorders>
            <w:shd w:val="clear" w:color="auto" w:fill="auto"/>
            <w:noWrap/>
            <w:hideMark/>
          </w:tcPr>
          <w:p w14:paraId="58988196"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Max. Qty</w:t>
            </w:r>
          </w:p>
        </w:tc>
        <w:tc>
          <w:tcPr>
            <w:tcW w:w="530" w:type="dxa"/>
            <w:tcBorders>
              <w:bottom w:val="single" w:sz="4" w:space="0" w:color="auto"/>
            </w:tcBorders>
            <w:shd w:val="clear" w:color="auto" w:fill="auto"/>
            <w:noWrap/>
            <w:hideMark/>
          </w:tcPr>
          <w:p w14:paraId="6DB03AFF"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No. Rpt</w:t>
            </w:r>
          </w:p>
        </w:tc>
        <w:tc>
          <w:tcPr>
            <w:tcW w:w="1409" w:type="dxa"/>
            <w:tcBorders>
              <w:bottom w:val="single" w:sz="4" w:space="0" w:color="auto"/>
            </w:tcBorders>
            <w:shd w:val="clear" w:color="auto" w:fill="auto"/>
            <w:noWrap/>
            <w:hideMark/>
          </w:tcPr>
          <w:p w14:paraId="1CD441E0"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Brand Name</w:t>
            </w:r>
          </w:p>
        </w:tc>
        <w:tc>
          <w:tcPr>
            <w:tcW w:w="1985" w:type="dxa"/>
            <w:tcBorders>
              <w:bottom w:val="single" w:sz="4" w:space="0" w:color="auto"/>
            </w:tcBorders>
            <w:shd w:val="clear" w:color="auto" w:fill="auto"/>
            <w:noWrap/>
            <w:hideMark/>
          </w:tcPr>
          <w:p w14:paraId="15EFDDF5"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Responsible Person</w:t>
            </w:r>
          </w:p>
        </w:tc>
      </w:tr>
      <w:tr w:rsidR="00F33674" w:rsidRPr="00F33674" w14:paraId="19D7ED4B" w14:textId="77777777" w:rsidTr="00F33674">
        <w:trPr>
          <w:trHeight w:val="300"/>
        </w:trPr>
        <w:tc>
          <w:tcPr>
            <w:tcW w:w="1559" w:type="dxa"/>
            <w:tcBorders>
              <w:top w:val="single" w:sz="4" w:space="0" w:color="auto"/>
            </w:tcBorders>
            <w:shd w:val="clear" w:color="auto" w:fill="auto"/>
            <w:noWrap/>
            <w:hideMark/>
          </w:tcPr>
          <w:p w14:paraId="064350BA"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METHADONE</w:t>
            </w:r>
          </w:p>
        </w:tc>
        <w:tc>
          <w:tcPr>
            <w:tcW w:w="718" w:type="dxa"/>
            <w:tcBorders>
              <w:top w:val="single" w:sz="4" w:space="0" w:color="auto"/>
            </w:tcBorders>
            <w:shd w:val="clear" w:color="auto" w:fill="auto"/>
          </w:tcPr>
          <w:p w14:paraId="5F7CAA50"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1606M</w:t>
            </w:r>
          </w:p>
        </w:tc>
        <w:tc>
          <w:tcPr>
            <w:tcW w:w="2538" w:type="dxa"/>
            <w:tcBorders>
              <w:top w:val="single" w:sz="4" w:space="0" w:color="auto"/>
            </w:tcBorders>
            <w:shd w:val="clear" w:color="auto" w:fill="auto"/>
            <w:noWrap/>
            <w:hideMark/>
          </w:tcPr>
          <w:p w14:paraId="4C9EA87C"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Injection containing methadone hydrochloride 10 mg in 1 mL</w:t>
            </w:r>
          </w:p>
        </w:tc>
        <w:tc>
          <w:tcPr>
            <w:tcW w:w="661" w:type="dxa"/>
            <w:tcBorders>
              <w:top w:val="single" w:sz="4" w:space="0" w:color="auto"/>
            </w:tcBorders>
            <w:shd w:val="clear" w:color="auto" w:fill="auto"/>
            <w:noWrap/>
            <w:hideMark/>
          </w:tcPr>
          <w:p w14:paraId="7DB28CB0" w14:textId="77777777" w:rsidR="00F33674" w:rsidRPr="00F33674" w:rsidRDefault="00F33674" w:rsidP="00F33674">
            <w:pPr>
              <w:jc w:val="righ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5</w:t>
            </w:r>
          </w:p>
        </w:tc>
        <w:tc>
          <w:tcPr>
            <w:tcW w:w="530" w:type="dxa"/>
            <w:tcBorders>
              <w:top w:val="single" w:sz="4" w:space="0" w:color="auto"/>
            </w:tcBorders>
            <w:shd w:val="clear" w:color="auto" w:fill="auto"/>
            <w:noWrap/>
            <w:hideMark/>
          </w:tcPr>
          <w:p w14:paraId="45CC2E81" w14:textId="77777777" w:rsidR="00F33674" w:rsidRPr="00F33674" w:rsidRDefault="00F33674" w:rsidP="00F33674">
            <w:pPr>
              <w:jc w:val="righ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0</w:t>
            </w:r>
          </w:p>
        </w:tc>
        <w:tc>
          <w:tcPr>
            <w:tcW w:w="1409" w:type="dxa"/>
            <w:tcBorders>
              <w:top w:val="single" w:sz="4" w:space="0" w:color="auto"/>
            </w:tcBorders>
            <w:shd w:val="clear" w:color="auto" w:fill="auto"/>
            <w:noWrap/>
            <w:hideMark/>
          </w:tcPr>
          <w:p w14:paraId="4520DA5D"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Physeptone</w:t>
            </w:r>
          </w:p>
        </w:tc>
        <w:tc>
          <w:tcPr>
            <w:tcW w:w="1985" w:type="dxa"/>
            <w:tcBorders>
              <w:top w:val="single" w:sz="4" w:space="0" w:color="auto"/>
            </w:tcBorders>
            <w:shd w:val="clear" w:color="auto" w:fill="auto"/>
            <w:noWrap/>
            <w:hideMark/>
          </w:tcPr>
          <w:p w14:paraId="1865F0EA"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Aspen Pharma Pty Ltd</w:t>
            </w:r>
          </w:p>
        </w:tc>
      </w:tr>
      <w:tr w:rsidR="00F33674" w:rsidRPr="00F33674" w14:paraId="4569F9D1" w14:textId="77777777" w:rsidTr="00F33674">
        <w:trPr>
          <w:trHeight w:val="300"/>
        </w:trPr>
        <w:tc>
          <w:tcPr>
            <w:tcW w:w="1559" w:type="dxa"/>
            <w:shd w:val="clear" w:color="auto" w:fill="auto"/>
            <w:noWrap/>
            <w:hideMark/>
          </w:tcPr>
          <w:p w14:paraId="0BB71723" w14:textId="77777777" w:rsidR="00F33674" w:rsidRPr="00F33674" w:rsidRDefault="00F33674" w:rsidP="00F33674">
            <w:pPr>
              <w:jc w:val="left"/>
              <w:rPr>
                <w:rFonts w:ascii="Arial Narrow" w:hAnsi="Arial Narrow" w:cs="Calibri"/>
                <w:color w:val="000000"/>
                <w:sz w:val="20"/>
                <w:szCs w:val="20"/>
                <w:lang w:eastAsia="en-AU"/>
              </w:rPr>
            </w:pPr>
          </w:p>
        </w:tc>
        <w:tc>
          <w:tcPr>
            <w:tcW w:w="718" w:type="dxa"/>
            <w:shd w:val="clear" w:color="auto" w:fill="auto"/>
          </w:tcPr>
          <w:p w14:paraId="09FF58BC"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1609Q</w:t>
            </w:r>
          </w:p>
        </w:tc>
        <w:tc>
          <w:tcPr>
            <w:tcW w:w="2538" w:type="dxa"/>
            <w:shd w:val="clear" w:color="auto" w:fill="auto"/>
            <w:noWrap/>
            <w:hideMark/>
          </w:tcPr>
          <w:p w14:paraId="23FBCE8F"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Tablet containing methadone hydrochloride 10 mg</w:t>
            </w:r>
          </w:p>
        </w:tc>
        <w:tc>
          <w:tcPr>
            <w:tcW w:w="661" w:type="dxa"/>
            <w:shd w:val="clear" w:color="auto" w:fill="auto"/>
            <w:noWrap/>
            <w:hideMark/>
          </w:tcPr>
          <w:p w14:paraId="0E300883" w14:textId="77777777" w:rsidR="00F33674" w:rsidRPr="00F33674" w:rsidRDefault="00F33674" w:rsidP="00F33674">
            <w:pPr>
              <w:jc w:val="righ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20</w:t>
            </w:r>
          </w:p>
        </w:tc>
        <w:tc>
          <w:tcPr>
            <w:tcW w:w="530" w:type="dxa"/>
            <w:shd w:val="clear" w:color="auto" w:fill="auto"/>
            <w:noWrap/>
            <w:hideMark/>
          </w:tcPr>
          <w:p w14:paraId="63C344C8" w14:textId="77777777" w:rsidR="00F33674" w:rsidRPr="00F33674" w:rsidRDefault="00F33674" w:rsidP="00F33674">
            <w:pPr>
              <w:jc w:val="righ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0</w:t>
            </w:r>
          </w:p>
        </w:tc>
        <w:tc>
          <w:tcPr>
            <w:tcW w:w="1409" w:type="dxa"/>
            <w:shd w:val="clear" w:color="auto" w:fill="auto"/>
            <w:noWrap/>
            <w:hideMark/>
          </w:tcPr>
          <w:p w14:paraId="55329987"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Physeptone</w:t>
            </w:r>
          </w:p>
        </w:tc>
        <w:tc>
          <w:tcPr>
            <w:tcW w:w="1985" w:type="dxa"/>
            <w:shd w:val="clear" w:color="auto" w:fill="auto"/>
            <w:noWrap/>
            <w:hideMark/>
          </w:tcPr>
          <w:p w14:paraId="1138A6F7" w14:textId="77777777" w:rsidR="00F33674" w:rsidRPr="00F33674" w:rsidRDefault="00F33674" w:rsidP="00F33674">
            <w:pPr>
              <w:jc w:val="left"/>
              <w:rPr>
                <w:rFonts w:ascii="Arial Narrow" w:hAnsi="Arial Narrow" w:cs="Calibri"/>
                <w:color w:val="000000"/>
                <w:sz w:val="20"/>
                <w:szCs w:val="20"/>
                <w:lang w:eastAsia="en-AU"/>
              </w:rPr>
            </w:pPr>
            <w:r w:rsidRPr="00F33674">
              <w:rPr>
                <w:rFonts w:ascii="Arial Narrow" w:hAnsi="Arial Narrow" w:cs="Calibri"/>
                <w:color w:val="000000"/>
                <w:sz w:val="20"/>
                <w:szCs w:val="20"/>
                <w:lang w:eastAsia="en-AU"/>
              </w:rPr>
              <w:t>Aspen Pharma Pty Ltd</w:t>
            </w:r>
          </w:p>
        </w:tc>
      </w:tr>
    </w:tbl>
    <w:p w14:paraId="0DA1A796" w14:textId="77777777" w:rsidR="00F33674" w:rsidRPr="00F33674" w:rsidRDefault="00F33674" w:rsidP="00F33674">
      <w:pPr>
        <w:ind w:left="360" w:hanging="360"/>
        <w:contextualSpacing/>
        <w:jc w:val="left"/>
      </w:pPr>
    </w:p>
    <w:tbl>
      <w:tblPr>
        <w:tblW w:w="9214" w:type="dxa"/>
        <w:tblInd w:w="-5" w:type="dxa"/>
        <w:tblLayout w:type="fixed"/>
        <w:tblLook w:val="0000" w:firstRow="0" w:lastRow="0" w:firstColumn="0" w:lastColumn="0" w:noHBand="0" w:noVBand="0"/>
      </w:tblPr>
      <w:tblGrid>
        <w:gridCol w:w="2835"/>
        <w:gridCol w:w="6379"/>
      </w:tblGrid>
      <w:tr w:rsidR="00F33674" w:rsidRPr="00F33674" w14:paraId="3D9B01E1" w14:textId="77777777" w:rsidTr="00F33674">
        <w:trPr>
          <w:cantSplit/>
          <w:trHeight w:val="360"/>
        </w:trPr>
        <w:tc>
          <w:tcPr>
            <w:tcW w:w="2835" w:type="dxa"/>
            <w:tcBorders>
              <w:top w:val="single" w:sz="4" w:space="0" w:color="auto"/>
              <w:left w:val="single" w:sz="4" w:space="0" w:color="auto"/>
              <w:bottom w:val="single" w:sz="4" w:space="0" w:color="auto"/>
              <w:right w:val="single" w:sz="4" w:space="0" w:color="auto"/>
            </w:tcBorders>
          </w:tcPr>
          <w:p w14:paraId="0DA6E51C" w14:textId="77777777" w:rsidR="00F33674" w:rsidRPr="00F33674" w:rsidRDefault="00F33674" w:rsidP="00F33674">
            <w:pPr>
              <w:rPr>
                <w:rFonts w:ascii="Arial Narrow" w:hAnsi="Arial Narrow" w:cs="Arial"/>
                <w:b/>
                <w:sz w:val="20"/>
                <w:szCs w:val="20"/>
              </w:rPr>
            </w:pPr>
            <w:r w:rsidRPr="00F33674">
              <w:rPr>
                <w:rFonts w:ascii="Arial Narrow" w:hAnsi="Arial Narrow" w:cs="Arial"/>
                <w:b/>
                <w:sz w:val="20"/>
                <w:szCs w:val="20"/>
              </w:rPr>
              <w:t>Category / Program:</w:t>
            </w:r>
          </w:p>
        </w:tc>
        <w:tc>
          <w:tcPr>
            <w:tcW w:w="6379" w:type="dxa"/>
            <w:tcBorders>
              <w:top w:val="single" w:sz="4" w:space="0" w:color="auto"/>
              <w:left w:val="single" w:sz="4" w:space="0" w:color="auto"/>
              <w:bottom w:val="single" w:sz="4" w:space="0" w:color="auto"/>
              <w:right w:val="single" w:sz="4" w:space="0" w:color="auto"/>
            </w:tcBorders>
          </w:tcPr>
          <w:p w14:paraId="56B01ED0" w14:textId="77777777" w:rsidR="00F33674" w:rsidRPr="00F33674" w:rsidRDefault="00F33674" w:rsidP="00F33674">
            <w:pPr>
              <w:rPr>
                <w:rFonts w:ascii="Arial Narrow" w:hAnsi="Arial Narrow" w:cs="Arial"/>
                <w:sz w:val="20"/>
                <w:szCs w:val="20"/>
              </w:rPr>
            </w:pPr>
            <w:r w:rsidRPr="00F33674">
              <w:rPr>
                <w:rFonts w:ascii="Arial Narrow" w:hAnsi="Arial Narrow" w:cs="Arial"/>
                <w:sz w:val="20"/>
                <w:szCs w:val="20"/>
              </w:rPr>
              <w:t>GENERAL – General Schedule (Code GE)</w:t>
            </w:r>
          </w:p>
        </w:tc>
      </w:tr>
      <w:tr w:rsidR="00F33674" w:rsidRPr="00F33674" w14:paraId="17C9390E" w14:textId="77777777" w:rsidTr="00F33674">
        <w:trPr>
          <w:cantSplit/>
          <w:trHeight w:val="360"/>
        </w:trPr>
        <w:tc>
          <w:tcPr>
            <w:tcW w:w="2835" w:type="dxa"/>
            <w:tcBorders>
              <w:top w:val="single" w:sz="4" w:space="0" w:color="auto"/>
              <w:left w:val="single" w:sz="4" w:space="0" w:color="auto"/>
              <w:bottom w:val="single" w:sz="4" w:space="0" w:color="auto"/>
              <w:right w:val="single" w:sz="4" w:space="0" w:color="auto"/>
            </w:tcBorders>
          </w:tcPr>
          <w:p w14:paraId="7EA3F94A" w14:textId="77777777" w:rsidR="00F33674" w:rsidRPr="00F33674" w:rsidRDefault="00F33674" w:rsidP="00F33674">
            <w:pPr>
              <w:rPr>
                <w:rFonts w:ascii="Arial Narrow" w:hAnsi="Arial Narrow" w:cs="Arial"/>
                <w:b/>
                <w:sz w:val="20"/>
                <w:szCs w:val="20"/>
              </w:rPr>
            </w:pPr>
            <w:r w:rsidRPr="00F33674">
              <w:rPr>
                <w:rFonts w:ascii="Arial Narrow" w:hAnsi="Arial Narrow" w:cs="Arial"/>
                <w:b/>
                <w:sz w:val="20"/>
                <w:szCs w:val="20"/>
              </w:rPr>
              <w:t>Prescriber type:</w:t>
            </w:r>
          </w:p>
          <w:p w14:paraId="739F82F1" w14:textId="77777777" w:rsidR="00F33674" w:rsidRPr="00F33674" w:rsidRDefault="00F33674" w:rsidP="00F33674">
            <w:pPr>
              <w:rPr>
                <w:rFonts w:ascii="Arial Narrow" w:hAnsi="Arial Narrow" w:cs="Arial"/>
                <w:b/>
                <w:sz w:val="20"/>
                <w:szCs w:val="20"/>
              </w:rPr>
            </w:pPr>
          </w:p>
        </w:tc>
        <w:tc>
          <w:tcPr>
            <w:tcW w:w="6379" w:type="dxa"/>
            <w:tcBorders>
              <w:top w:val="single" w:sz="4" w:space="0" w:color="auto"/>
              <w:left w:val="single" w:sz="4" w:space="0" w:color="auto"/>
              <w:bottom w:val="single" w:sz="4" w:space="0" w:color="auto"/>
              <w:right w:val="single" w:sz="4" w:space="0" w:color="auto"/>
            </w:tcBorders>
          </w:tcPr>
          <w:p w14:paraId="496F4984" w14:textId="6D2BE0DC" w:rsidR="00F33674" w:rsidRPr="00F33674" w:rsidRDefault="00F33674" w:rsidP="00F33674">
            <w:pPr>
              <w:rPr>
                <w:rFonts w:ascii="Arial Narrow" w:hAnsi="Arial Narrow" w:cs="Arial"/>
                <w:sz w:val="20"/>
                <w:szCs w:val="20"/>
              </w:rPr>
            </w:pPr>
            <w:r w:rsidRPr="00F33674">
              <w:rPr>
                <w:rFonts w:ascii="Arial Narrow" w:hAnsi="Arial Narrow" w:cs="Arial"/>
                <w:sz w:val="20"/>
                <w:szCs w:val="20"/>
              </w:rPr>
              <w:fldChar w:fldCharType="begin">
                <w:ffData>
                  <w:name w:val="Check1"/>
                  <w:enabled/>
                  <w:calcOnExit w:val="0"/>
                  <w:checkBox>
                    <w:sizeAuto/>
                    <w:default w:val="0"/>
                  </w:checkBox>
                </w:ffData>
              </w:fldChar>
            </w:r>
            <w:r w:rsidRPr="00F33674">
              <w:rPr>
                <w:rFonts w:ascii="Arial Narrow" w:hAnsi="Arial Narrow" w:cs="Arial"/>
                <w:sz w:val="20"/>
                <w:szCs w:val="20"/>
              </w:rPr>
              <w:instrText xml:space="preserve"> FORMCHECKBOX </w:instrText>
            </w:r>
            <w:r w:rsidR="00233D13">
              <w:rPr>
                <w:rFonts w:ascii="Arial Narrow" w:hAnsi="Arial Narrow" w:cs="Arial"/>
                <w:sz w:val="20"/>
                <w:szCs w:val="20"/>
              </w:rPr>
            </w:r>
            <w:r w:rsidR="00233D13">
              <w:rPr>
                <w:rFonts w:ascii="Arial Narrow" w:hAnsi="Arial Narrow" w:cs="Arial"/>
                <w:sz w:val="20"/>
                <w:szCs w:val="20"/>
              </w:rPr>
              <w:fldChar w:fldCharType="separate"/>
            </w:r>
            <w:r w:rsidRPr="00F33674">
              <w:rPr>
                <w:rFonts w:ascii="Arial Narrow" w:hAnsi="Arial Narrow" w:cs="Arial"/>
                <w:sz w:val="20"/>
                <w:szCs w:val="20"/>
              </w:rPr>
              <w:fldChar w:fldCharType="end"/>
            </w:r>
            <w:r w:rsidRPr="00F33674">
              <w:rPr>
                <w:rFonts w:ascii="Arial Narrow" w:hAnsi="Arial Narrow" w:cs="Arial"/>
                <w:sz w:val="20"/>
                <w:szCs w:val="20"/>
              </w:rPr>
              <w:t>Dental</w:t>
            </w:r>
            <w:r w:rsidR="002C1329">
              <w:rPr>
                <w:rFonts w:ascii="Arial Narrow" w:hAnsi="Arial Narrow" w:cs="Arial"/>
                <w:sz w:val="20"/>
                <w:szCs w:val="20"/>
              </w:rPr>
              <w:t xml:space="preserve"> </w:t>
            </w:r>
            <w:r w:rsidRPr="00F33674">
              <w:rPr>
                <w:rFonts w:ascii="Arial Narrow" w:hAnsi="Arial Narrow" w:cs="Arial"/>
                <w:sz w:val="20"/>
                <w:szCs w:val="20"/>
              </w:rPr>
              <w:fldChar w:fldCharType="begin">
                <w:ffData>
                  <w:name w:val=""/>
                  <w:enabled/>
                  <w:calcOnExit w:val="0"/>
                  <w:checkBox>
                    <w:sizeAuto/>
                    <w:default w:val="1"/>
                  </w:checkBox>
                </w:ffData>
              </w:fldChar>
            </w:r>
            <w:r w:rsidRPr="00F33674">
              <w:rPr>
                <w:rFonts w:ascii="Arial Narrow" w:hAnsi="Arial Narrow" w:cs="Arial"/>
                <w:sz w:val="20"/>
                <w:szCs w:val="20"/>
              </w:rPr>
              <w:instrText xml:space="preserve"> FORMCHECKBOX </w:instrText>
            </w:r>
            <w:r w:rsidR="00233D13">
              <w:rPr>
                <w:rFonts w:ascii="Arial Narrow" w:hAnsi="Arial Narrow" w:cs="Arial"/>
                <w:sz w:val="20"/>
                <w:szCs w:val="20"/>
              </w:rPr>
            </w:r>
            <w:r w:rsidR="00233D13">
              <w:rPr>
                <w:rFonts w:ascii="Arial Narrow" w:hAnsi="Arial Narrow" w:cs="Arial"/>
                <w:sz w:val="20"/>
                <w:szCs w:val="20"/>
              </w:rPr>
              <w:fldChar w:fldCharType="separate"/>
            </w:r>
            <w:r w:rsidRPr="00F33674">
              <w:rPr>
                <w:rFonts w:ascii="Arial Narrow" w:hAnsi="Arial Narrow" w:cs="Arial"/>
                <w:sz w:val="20"/>
                <w:szCs w:val="20"/>
              </w:rPr>
              <w:fldChar w:fldCharType="end"/>
            </w:r>
            <w:r w:rsidRPr="00F33674">
              <w:rPr>
                <w:rFonts w:ascii="Arial Narrow" w:hAnsi="Arial Narrow" w:cs="Arial"/>
                <w:sz w:val="20"/>
                <w:szCs w:val="20"/>
              </w:rPr>
              <w:t>Medical Practitioners</w:t>
            </w:r>
            <w:r w:rsidR="002C1329">
              <w:rPr>
                <w:rFonts w:ascii="Arial Narrow" w:hAnsi="Arial Narrow" w:cs="Arial"/>
                <w:sz w:val="20"/>
                <w:szCs w:val="20"/>
              </w:rPr>
              <w:t xml:space="preserve"> </w:t>
            </w:r>
            <w:r w:rsidRPr="00F33674">
              <w:rPr>
                <w:rFonts w:ascii="Arial Narrow" w:hAnsi="Arial Narrow" w:cs="Arial"/>
                <w:sz w:val="20"/>
                <w:szCs w:val="20"/>
              </w:rPr>
              <w:fldChar w:fldCharType="begin">
                <w:ffData>
                  <w:name w:val="Check3"/>
                  <w:enabled/>
                  <w:calcOnExit w:val="0"/>
                  <w:checkBox>
                    <w:sizeAuto/>
                    <w:default w:val="1"/>
                  </w:checkBox>
                </w:ffData>
              </w:fldChar>
            </w:r>
            <w:r w:rsidRPr="00F33674">
              <w:rPr>
                <w:rFonts w:ascii="Arial Narrow" w:hAnsi="Arial Narrow" w:cs="Arial"/>
                <w:sz w:val="20"/>
                <w:szCs w:val="20"/>
              </w:rPr>
              <w:instrText xml:space="preserve"> FORMCHECKBOX </w:instrText>
            </w:r>
            <w:r w:rsidR="00233D13">
              <w:rPr>
                <w:rFonts w:ascii="Arial Narrow" w:hAnsi="Arial Narrow" w:cs="Arial"/>
                <w:sz w:val="20"/>
                <w:szCs w:val="20"/>
              </w:rPr>
            </w:r>
            <w:r w:rsidR="00233D13">
              <w:rPr>
                <w:rFonts w:ascii="Arial Narrow" w:hAnsi="Arial Narrow" w:cs="Arial"/>
                <w:sz w:val="20"/>
                <w:szCs w:val="20"/>
              </w:rPr>
              <w:fldChar w:fldCharType="separate"/>
            </w:r>
            <w:r w:rsidRPr="00F33674">
              <w:rPr>
                <w:rFonts w:ascii="Arial Narrow" w:hAnsi="Arial Narrow" w:cs="Arial"/>
                <w:sz w:val="20"/>
                <w:szCs w:val="20"/>
              </w:rPr>
              <w:fldChar w:fldCharType="end"/>
            </w:r>
            <w:r w:rsidRPr="00F33674">
              <w:rPr>
                <w:rFonts w:ascii="Arial Narrow" w:hAnsi="Arial Narrow" w:cs="Arial"/>
                <w:sz w:val="20"/>
                <w:szCs w:val="20"/>
              </w:rPr>
              <w:t>Nurse practitioners</w:t>
            </w:r>
            <w:r w:rsidR="002C1329">
              <w:rPr>
                <w:rFonts w:ascii="Arial Narrow" w:hAnsi="Arial Narrow" w:cs="Arial"/>
                <w:sz w:val="20"/>
                <w:szCs w:val="20"/>
              </w:rPr>
              <w:t xml:space="preserve"> </w:t>
            </w:r>
            <w:r w:rsidRPr="00F33674">
              <w:rPr>
                <w:rFonts w:ascii="Arial Narrow" w:hAnsi="Arial Narrow" w:cs="Arial"/>
                <w:sz w:val="20"/>
                <w:szCs w:val="20"/>
              </w:rPr>
              <w:fldChar w:fldCharType="begin">
                <w:ffData>
                  <w:name w:val=""/>
                  <w:enabled/>
                  <w:calcOnExit w:val="0"/>
                  <w:checkBox>
                    <w:sizeAuto/>
                    <w:default w:val="0"/>
                  </w:checkBox>
                </w:ffData>
              </w:fldChar>
            </w:r>
            <w:r w:rsidRPr="00F33674">
              <w:rPr>
                <w:rFonts w:ascii="Arial Narrow" w:hAnsi="Arial Narrow" w:cs="Arial"/>
                <w:sz w:val="20"/>
                <w:szCs w:val="20"/>
              </w:rPr>
              <w:instrText xml:space="preserve"> FORMCHECKBOX </w:instrText>
            </w:r>
            <w:r w:rsidR="00233D13">
              <w:rPr>
                <w:rFonts w:ascii="Arial Narrow" w:hAnsi="Arial Narrow" w:cs="Arial"/>
                <w:sz w:val="20"/>
                <w:szCs w:val="20"/>
              </w:rPr>
            </w:r>
            <w:r w:rsidR="00233D13">
              <w:rPr>
                <w:rFonts w:ascii="Arial Narrow" w:hAnsi="Arial Narrow" w:cs="Arial"/>
                <w:sz w:val="20"/>
                <w:szCs w:val="20"/>
              </w:rPr>
              <w:fldChar w:fldCharType="separate"/>
            </w:r>
            <w:r w:rsidRPr="00F33674">
              <w:rPr>
                <w:rFonts w:ascii="Arial Narrow" w:hAnsi="Arial Narrow" w:cs="Arial"/>
                <w:sz w:val="20"/>
                <w:szCs w:val="20"/>
              </w:rPr>
              <w:fldChar w:fldCharType="end"/>
            </w:r>
            <w:r w:rsidRPr="00F33674">
              <w:rPr>
                <w:rFonts w:ascii="Arial Narrow" w:hAnsi="Arial Narrow" w:cs="Arial"/>
                <w:sz w:val="20"/>
                <w:szCs w:val="20"/>
              </w:rPr>
              <w:t>Optometrists</w:t>
            </w:r>
          </w:p>
          <w:p w14:paraId="4D64316E" w14:textId="77777777" w:rsidR="00F33674" w:rsidRPr="00F33674" w:rsidRDefault="00F33674" w:rsidP="00F33674">
            <w:pPr>
              <w:rPr>
                <w:rFonts w:ascii="Arial Narrow" w:hAnsi="Arial Narrow" w:cs="Arial"/>
                <w:sz w:val="20"/>
                <w:szCs w:val="20"/>
              </w:rPr>
            </w:pPr>
            <w:r w:rsidRPr="00F33674">
              <w:rPr>
                <w:rFonts w:ascii="Arial Narrow" w:hAnsi="Arial Narrow" w:cs="Arial"/>
                <w:sz w:val="20"/>
                <w:szCs w:val="20"/>
              </w:rPr>
              <w:fldChar w:fldCharType="begin">
                <w:ffData>
                  <w:name w:val="Check5"/>
                  <w:enabled/>
                  <w:calcOnExit w:val="0"/>
                  <w:checkBox>
                    <w:sizeAuto/>
                    <w:default w:val="0"/>
                  </w:checkBox>
                </w:ffData>
              </w:fldChar>
            </w:r>
            <w:r w:rsidRPr="00F33674">
              <w:rPr>
                <w:rFonts w:ascii="Arial Narrow" w:hAnsi="Arial Narrow" w:cs="Arial"/>
                <w:sz w:val="20"/>
                <w:szCs w:val="20"/>
              </w:rPr>
              <w:instrText xml:space="preserve"> FORMCHECKBOX </w:instrText>
            </w:r>
            <w:r w:rsidR="00233D13">
              <w:rPr>
                <w:rFonts w:ascii="Arial Narrow" w:hAnsi="Arial Narrow" w:cs="Arial"/>
                <w:sz w:val="20"/>
                <w:szCs w:val="20"/>
              </w:rPr>
            </w:r>
            <w:r w:rsidR="00233D13">
              <w:rPr>
                <w:rFonts w:ascii="Arial Narrow" w:hAnsi="Arial Narrow" w:cs="Arial"/>
                <w:sz w:val="20"/>
                <w:szCs w:val="20"/>
              </w:rPr>
              <w:fldChar w:fldCharType="separate"/>
            </w:r>
            <w:r w:rsidRPr="00F33674">
              <w:rPr>
                <w:rFonts w:ascii="Arial Narrow" w:hAnsi="Arial Narrow" w:cs="Arial"/>
                <w:sz w:val="20"/>
                <w:szCs w:val="20"/>
              </w:rPr>
              <w:fldChar w:fldCharType="end"/>
            </w:r>
            <w:r w:rsidRPr="00F33674">
              <w:rPr>
                <w:rFonts w:ascii="Arial Narrow" w:hAnsi="Arial Narrow" w:cs="Arial"/>
                <w:sz w:val="20"/>
                <w:szCs w:val="20"/>
              </w:rPr>
              <w:t>Midwives</w:t>
            </w:r>
          </w:p>
        </w:tc>
      </w:tr>
      <w:tr w:rsidR="00F33674" w:rsidRPr="00F33674" w14:paraId="0ECB1DD4" w14:textId="77777777" w:rsidTr="00F33674">
        <w:trPr>
          <w:cantSplit/>
          <w:trHeight w:val="369"/>
        </w:trPr>
        <w:tc>
          <w:tcPr>
            <w:tcW w:w="2835" w:type="dxa"/>
            <w:tcBorders>
              <w:top w:val="single" w:sz="4" w:space="0" w:color="auto"/>
              <w:left w:val="single" w:sz="4" w:space="0" w:color="auto"/>
              <w:bottom w:val="single" w:sz="4" w:space="0" w:color="auto"/>
              <w:right w:val="single" w:sz="4" w:space="0" w:color="auto"/>
            </w:tcBorders>
          </w:tcPr>
          <w:p w14:paraId="1D9E9DBD" w14:textId="77777777" w:rsidR="00F33674" w:rsidRPr="00F33674" w:rsidRDefault="00F33674" w:rsidP="00F33674">
            <w:pPr>
              <w:rPr>
                <w:rFonts w:ascii="Arial Narrow" w:hAnsi="Arial Narrow" w:cs="Arial"/>
                <w:b/>
                <w:sz w:val="20"/>
                <w:szCs w:val="20"/>
              </w:rPr>
            </w:pPr>
            <w:r w:rsidRPr="00F33674">
              <w:rPr>
                <w:rFonts w:ascii="Arial Narrow" w:hAnsi="Arial Narrow" w:cs="Arial"/>
                <w:b/>
                <w:sz w:val="20"/>
                <w:szCs w:val="20"/>
              </w:rPr>
              <w:t>PBS indication:</w:t>
            </w:r>
          </w:p>
        </w:tc>
        <w:tc>
          <w:tcPr>
            <w:tcW w:w="6379" w:type="dxa"/>
            <w:tcBorders>
              <w:top w:val="single" w:sz="4" w:space="0" w:color="auto"/>
              <w:left w:val="single" w:sz="4" w:space="0" w:color="auto"/>
              <w:bottom w:val="single" w:sz="4" w:space="0" w:color="auto"/>
              <w:right w:val="single" w:sz="4" w:space="0" w:color="auto"/>
            </w:tcBorders>
          </w:tcPr>
          <w:p w14:paraId="6916125B" w14:textId="77777777" w:rsidR="00F33674" w:rsidRPr="00F33674" w:rsidRDefault="00F33674" w:rsidP="00F33674">
            <w:pPr>
              <w:rPr>
                <w:rFonts w:ascii="Arial Narrow" w:hAnsi="Arial Narrow" w:cs="Arial"/>
                <w:sz w:val="20"/>
                <w:szCs w:val="20"/>
              </w:rPr>
            </w:pPr>
            <w:r w:rsidRPr="00F33674">
              <w:rPr>
                <w:rFonts w:ascii="Arial Narrow" w:hAnsi="Arial Narrow" w:cs="Arial"/>
                <w:sz w:val="20"/>
                <w:szCs w:val="20"/>
              </w:rPr>
              <w:t>[9729] Chronic severe disabling pain</w:t>
            </w:r>
          </w:p>
        </w:tc>
      </w:tr>
      <w:tr w:rsidR="00F33674" w:rsidRPr="00F33674" w14:paraId="0365D50E" w14:textId="77777777" w:rsidTr="00F33674">
        <w:trPr>
          <w:cantSplit/>
          <w:trHeight w:val="360"/>
        </w:trPr>
        <w:tc>
          <w:tcPr>
            <w:tcW w:w="2835" w:type="dxa"/>
            <w:tcBorders>
              <w:top w:val="single" w:sz="4" w:space="0" w:color="auto"/>
              <w:left w:val="single" w:sz="4" w:space="0" w:color="auto"/>
              <w:bottom w:val="single" w:sz="4" w:space="0" w:color="auto"/>
              <w:right w:val="single" w:sz="4" w:space="0" w:color="auto"/>
            </w:tcBorders>
          </w:tcPr>
          <w:p w14:paraId="21440FA8" w14:textId="77777777" w:rsidR="00F33674" w:rsidRPr="00F33674" w:rsidRDefault="00F33674" w:rsidP="00F33674">
            <w:pPr>
              <w:rPr>
                <w:rFonts w:ascii="Arial Narrow" w:hAnsi="Arial Narrow" w:cs="Arial"/>
                <w:b/>
                <w:sz w:val="20"/>
                <w:szCs w:val="20"/>
              </w:rPr>
            </w:pPr>
            <w:r w:rsidRPr="00F33674">
              <w:rPr>
                <w:rFonts w:ascii="Arial Narrow" w:hAnsi="Arial Narrow" w:cs="Arial"/>
                <w:b/>
                <w:sz w:val="20"/>
                <w:szCs w:val="20"/>
              </w:rPr>
              <w:t>Restriction Level / Method:</w:t>
            </w:r>
          </w:p>
          <w:p w14:paraId="4B195801" w14:textId="77777777" w:rsidR="00F33674" w:rsidRPr="00F33674" w:rsidRDefault="00F33674" w:rsidP="00F33674">
            <w:pPr>
              <w:rPr>
                <w:rFonts w:ascii="Arial Narrow" w:hAnsi="Arial Narrow" w:cs="Arial"/>
                <w:i/>
                <w:sz w:val="20"/>
                <w:szCs w:val="20"/>
              </w:rPr>
            </w:pPr>
          </w:p>
          <w:p w14:paraId="2651EC24" w14:textId="77777777" w:rsidR="00F33674" w:rsidRPr="00F33674" w:rsidRDefault="00F33674" w:rsidP="00F33674">
            <w:pPr>
              <w:rPr>
                <w:rFonts w:ascii="Arial Narrow" w:hAnsi="Arial Narrow" w:cs="Arial"/>
                <w:i/>
                <w:sz w:val="20"/>
                <w:szCs w:val="20"/>
              </w:rPr>
            </w:pPr>
          </w:p>
          <w:p w14:paraId="2FDCE963" w14:textId="77777777" w:rsidR="00F33674" w:rsidRPr="00F33674" w:rsidRDefault="00F33674" w:rsidP="00F33674">
            <w:pPr>
              <w:rPr>
                <w:rFonts w:ascii="Arial Narrow" w:hAnsi="Arial Narrow" w:cs="Arial"/>
                <w:i/>
                <w:sz w:val="20"/>
                <w:szCs w:val="20"/>
              </w:rPr>
            </w:pPr>
          </w:p>
        </w:tc>
        <w:tc>
          <w:tcPr>
            <w:tcW w:w="6379" w:type="dxa"/>
            <w:tcBorders>
              <w:top w:val="single" w:sz="4" w:space="0" w:color="auto"/>
              <w:left w:val="single" w:sz="4" w:space="0" w:color="auto"/>
              <w:bottom w:val="single" w:sz="4" w:space="0" w:color="auto"/>
              <w:right w:val="single" w:sz="4" w:space="0" w:color="auto"/>
            </w:tcBorders>
          </w:tcPr>
          <w:p w14:paraId="48F2394E" w14:textId="77777777" w:rsidR="00F33674" w:rsidRPr="00F33674" w:rsidRDefault="00F33674" w:rsidP="00F33674">
            <w:pPr>
              <w:rPr>
                <w:rFonts w:ascii="Arial Narrow" w:hAnsi="Arial Narrow" w:cs="Arial"/>
                <w:sz w:val="20"/>
                <w:szCs w:val="20"/>
              </w:rPr>
            </w:pPr>
            <w:r w:rsidRPr="00F33674">
              <w:rPr>
                <w:rFonts w:ascii="Arial Narrow" w:hAnsi="Arial Narrow" w:cs="Arial"/>
                <w:sz w:val="20"/>
                <w:szCs w:val="20"/>
              </w:rPr>
              <w:fldChar w:fldCharType="begin">
                <w:ffData>
                  <w:name w:val=""/>
                  <w:enabled/>
                  <w:calcOnExit w:val="0"/>
                  <w:checkBox>
                    <w:sizeAuto/>
                    <w:default w:val="0"/>
                  </w:checkBox>
                </w:ffData>
              </w:fldChar>
            </w:r>
            <w:r w:rsidRPr="00F33674">
              <w:rPr>
                <w:rFonts w:ascii="Arial Narrow" w:hAnsi="Arial Narrow" w:cs="Arial"/>
                <w:sz w:val="20"/>
                <w:szCs w:val="20"/>
              </w:rPr>
              <w:instrText xml:space="preserve"> FORMCHECKBOX </w:instrText>
            </w:r>
            <w:r w:rsidR="00233D13">
              <w:rPr>
                <w:rFonts w:ascii="Arial Narrow" w:hAnsi="Arial Narrow" w:cs="Arial"/>
                <w:sz w:val="20"/>
                <w:szCs w:val="20"/>
              </w:rPr>
            </w:r>
            <w:r w:rsidR="00233D13">
              <w:rPr>
                <w:rFonts w:ascii="Arial Narrow" w:hAnsi="Arial Narrow" w:cs="Arial"/>
                <w:sz w:val="20"/>
                <w:szCs w:val="20"/>
              </w:rPr>
              <w:fldChar w:fldCharType="separate"/>
            </w:r>
            <w:r w:rsidRPr="00F33674">
              <w:rPr>
                <w:rFonts w:ascii="Arial Narrow" w:hAnsi="Arial Narrow" w:cs="Arial"/>
                <w:sz w:val="20"/>
                <w:szCs w:val="20"/>
              </w:rPr>
              <w:fldChar w:fldCharType="end"/>
            </w:r>
            <w:r w:rsidRPr="00F33674">
              <w:rPr>
                <w:rFonts w:ascii="Arial Narrow" w:hAnsi="Arial Narrow" w:cs="Arial"/>
                <w:sz w:val="20"/>
                <w:szCs w:val="20"/>
              </w:rPr>
              <w:t>Unrestricted benefit</w:t>
            </w:r>
          </w:p>
          <w:p w14:paraId="0F8D43F9" w14:textId="77777777" w:rsidR="00F33674" w:rsidRPr="00F33674" w:rsidRDefault="00F33674" w:rsidP="00F33674">
            <w:pPr>
              <w:rPr>
                <w:rFonts w:ascii="Arial Narrow" w:hAnsi="Arial Narrow" w:cs="Arial"/>
                <w:i/>
                <w:sz w:val="20"/>
                <w:szCs w:val="20"/>
              </w:rPr>
            </w:pPr>
            <w:r w:rsidRPr="00F33674">
              <w:rPr>
                <w:rFonts w:ascii="Arial Narrow" w:hAnsi="Arial Narrow" w:cs="Arial"/>
                <w:i/>
                <w:sz w:val="20"/>
                <w:szCs w:val="20"/>
              </w:rPr>
              <w:fldChar w:fldCharType="begin">
                <w:ffData>
                  <w:name w:val=""/>
                  <w:enabled/>
                  <w:calcOnExit w:val="0"/>
                  <w:checkBox>
                    <w:sizeAuto/>
                    <w:default w:val="0"/>
                  </w:checkBox>
                </w:ffData>
              </w:fldChar>
            </w:r>
            <w:r w:rsidRPr="00F33674">
              <w:rPr>
                <w:rFonts w:ascii="Arial Narrow" w:hAnsi="Arial Narrow" w:cs="Arial"/>
                <w:i/>
                <w:sz w:val="20"/>
                <w:szCs w:val="20"/>
              </w:rPr>
              <w:instrText xml:space="preserve"> FORMCHECKBOX </w:instrText>
            </w:r>
            <w:r w:rsidR="00233D13">
              <w:rPr>
                <w:rFonts w:ascii="Arial Narrow" w:hAnsi="Arial Narrow" w:cs="Arial"/>
                <w:i/>
                <w:sz w:val="20"/>
                <w:szCs w:val="20"/>
              </w:rPr>
            </w:r>
            <w:r w:rsidR="00233D13">
              <w:rPr>
                <w:rFonts w:ascii="Arial Narrow" w:hAnsi="Arial Narrow" w:cs="Arial"/>
                <w:i/>
                <w:sz w:val="20"/>
                <w:szCs w:val="20"/>
              </w:rPr>
              <w:fldChar w:fldCharType="separate"/>
            </w:r>
            <w:r w:rsidRPr="00F33674">
              <w:rPr>
                <w:rFonts w:ascii="Arial Narrow" w:hAnsi="Arial Narrow" w:cs="Arial"/>
                <w:i/>
                <w:sz w:val="20"/>
                <w:szCs w:val="20"/>
              </w:rPr>
              <w:fldChar w:fldCharType="end"/>
            </w:r>
            <w:r w:rsidRPr="00F33674">
              <w:rPr>
                <w:rFonts w:ascii="Arial Narrow" w:hAnsi="Arial Narrow" w:cs="Arial"/>
                <w:sz w:val="20"/>
                <w:szCs w:val="20"/>
              </w:rPr>
              <w:t>Restricted benefit</w:t>
            </w:r>
          </w:p>
          <w:p w14:paraId="39756ABE" w14:textId="77777777" w:rsidR="00F33674" w:rsidRPr="00F33674" w:rsidRDefault="00F33674" w:rsidP="00F33674">
            <w:pPr>
              <w:rPr>
                <w:rFonts w:ascii="Arial Narrow" w:hAnsi="Arial Narrow" w:cs="Arial"/>
                <w:sz w:val="20"/>
                <w:szCs w:val="20"/>
              </w:rPr>
            </w:pPr>
            <w:r w:rsidRPr="00F33674">
              <w:rPr>
                <w:rFonts w:ascii="Arial Narrow" w:hAnsi="Arial Narrow" w:cs="Arial"/>
                <w:sz w:val="20"/>
                <w:szCs w:val="20"/>
              </w:rPr>
              <w:fldChar w:fldCharType="begin">
                <w:ffData>
                  <w:name w:val=""/>
                  <w:enabled/>
                  <w:calcOnExit w:val="0"/>
                  <w:checkBox>
                    <w:sizeAuto/>
                    <w:default w:val="0"/>
                  </w:checkBox>
                </w:ffData>
              </w:fldChar>
            </w:r>
            <w:r w:rsidRPr="00F33674">
              <w:rPr>
                <w:rFonts w:ascii="Arial Narrow" w:hAnsi="Arial Narrow" w:cs="Arial"/>
                <w:sz w:val="20"/>
                <w:szCs w:val="20"/>
              </w:rPr>
              <w:instrText xml:space="preserve"> FORMCHECKBOX </w:instrText>
            </w:r>
            <w:r w:rsidR="00233D13">
              <w:rPr>
                <w:rFonts w:ascii="Arial Narrow" w:hAnsi="Arial Narrow" w:cs="Arial"/>
                <w:sz w:val="20"/>
                <w:szCs w:val="20"/>
              </w:rPr>
            </w:r>
            <w:r w:rsidR="00233D13">
              <w:rPr>
                <w:rFonts w:ascii="Arial Narrow" w:hAnsi="Arial Narrow" w:cs="Arial"/>
                <w:sz w:val="20"/>
                <w:szCs w:val="20"/>
              </w:rPr>
              <w:fldChar w:fldCharType="separate"/>
            </w:r>
            <w:r w:rsidRPr="00F33674">
              <w:rPr>
                <w:rFonts w:ascii="Arial Narrow" w:hAnsi="Arial Narrow" w:cs="Arial"/>
                <w:sz w:val="20"/>
                <w:szCs w:val="20"/>
              </w:rPr>
              <w:fldChar w:fldCharType="end"/>
            </w:r>
            <w:r w:rsidRPr="00F33674">
              <w:rPr>
                <w:rFonts w:ascii="Arial Narrow" w:hAnsi="Arial Narrow" w:cs="Arial"/>
                <w:sz w:val="20"/>
                <w:szCs w:val="20"/>
              </w:rPr>
              <w:t>Authority Required – In Writing</w:t>
            </w:r>
          </w:p>
          <w:p w14:paraId="688CD935" w14:textId="77777777" w:rsidR="00F33674" w:rsidRPr="00F33674" w:rsidRDefault="00F33674" w:rsidP="00F33674">
            <w:pPr>
              <w:rPr>
                <w:rFonts w:ascii="Arial Narrow" w:hAnsi="Arial Narrow" w:cs="Arial"/>
                <w:sz w:val="20"/>
                <w:szCs w:val="20"/>
              </w:rPr>
            </w:pPr>
            <w:r w:rsidRPr="00F33674">
              <w:rPr>
                <w:rFonts w:ascii="Arial Narrow" w:hAnsi="Arial Narrow" w:cs="Arial"/>
                <w:sz w:val="20"/>
                <w:szCs w:val="20"/>
              </w:rPr>
              <w:fldChar w:fldCharType="begin">
                <w:ffData>
                  <w:name w:val="Check3"/>
                  <w:enabled/>
                  <w:calcOnExit w:val="0"/>
                  <w:checkBox>
                    <w:sizeAuto/>
                    <w:default w:val="0"/>
                  </w:checkBox>
                </w:ffData>
              </w:fldChar>
            </w:r>
            <w:r w:rsidRPr="00F33674">
              <w:rPr>
                <w:rFonts w:ascii="Arial Narrow" w:hAnsi="Arial Narrow" w:cs="Arial"/>
                <w:sz w:val="20"/>
                <w:szCs w:val="20"/>
              </w:rPr>
              <w:instrText xml:space="preserve"> FORMCHECKBOX </w:instrText>
            </w:r>
            <w:r w:rsidR="00233D13">
              <w:rPr>
                <w:rFonts w:ascii="Arial Narrow" w:hAnsi="Arial Narrow" w:cs="Arial"/>
                <w:sz w:val="20"/>
                <w:szCs w:val="20"/>
              </w:rPr>
            </w:r>
            <w:r w:rsidR="00233D13">
              <w:rPr>
                <w:rFonts w:ascii="Arial Narrow" w:hAnsi="Arial Narrow" w:cs="Arial"/>
                <w:sz w:val="20"/>
                <w:szCs w:val="20"/>
              </w:rPr>
              <w:fldChar w:fldCharType="separate"/>
            </w:r>
            <w:r w:rsidRPr="00F33674">
              <w:rPr>
                <w:rFonts w:ascii="Arial Narrow" w:hAnsi="Arial Narrow" w:cs="Arial"/>
                <w:sz w:val="20"/>
                <w:szCs w:val="20"/>
              </w:rPr>
              <w:fldChar w:fldCharType="end"/>
            </w:r>
            <w:r w:rsidRPr="00F33674">
              <w:rPr>
                <w:rFonts w:ascii="Arial Narrow" w:hAnsi="Arial Narrow" w:cs="Arial"/>
                <w:sz w:val="20"/>
                <w:szCs w:val="20"/>
              </w:rPr>
              <w:t>Authority Required – Telephone/Electronic/Emergency</w:t>
            </w:r>
          </w:p>
          <w:p w14:paraId="7E75AC74" w14:textId="77777777" w:rsidR="00F33674" w:rsidRPr="00F33674" w:rsidRDefault="00F33674" w:rsidP="00F33674">
            <w:pPr>
              <w:rPr>
                <w:rFonts w:ascii="Arial Narrow" w:hAnsi="Arial Narrow" w:cs="Arial"/>
                <w:sz w:val="20"/>
                <w:szCs w:val="20"/>
              </w:rPr>
            </w:pPr>
            <w:r w:rsidRPr="00F33674">
              <w:rPr>
                <w:rFonts w:ascii="Arial Narrow" w:hAnsi="Arial Narrow" w:cs="Arial"/>
                <w:sz w:val="20"/>
                <w:szCs w:val="20"/>
              </w:rPr>
              <w:fldChar w:fldCharType="begin">
                <w:ffData>
                  <w:name w:val="Check5"/>
                  <w:enabled/>
                  <w:calcOnExit w:val="0"/>
                  <w:checkBox>
                    <w:sizeAuto/>
                    <w:default w:val="1"/>
                  </w:checkBox>
                </w:ffData>
              </w:fldChar>
            </w:r>
            <w:r w:rsidRPr="00F33674">
              <w:rPr>
                <w:rFonts w:ascii="Arial Narrow" w:hAnsi="Arial Narrow" w:cs="Arial"/>
                <w:sz w:val="20"/>
                <w:szCs w:val="20"/>
              </w:rPr>
              <w:instrText xml:space="preserve"> FORMCHECKBOX </w:instrText>
            </w:r>
            <w:r w:rsidR="00233D13">
              <w:rPr>
                <w:rFonts w:ascii="Arial Narrow" w:hAnsi="Arial Narrow" w:cs="Arial"/>
                <w:sz w:val="20"/>
                <w:szCs w:val="20"/>
              </w:rPr>
            </w:r>
            <w:r w:rsidR="00233D13">
              <w:rPr>
                <w:rFonts w:ascii="Arial Narrow" w:hAnsi="Arial Narrow" w:cs="Arial"/>
                <w:sz w:val="20"/>
                <w:szCs w:val="20"/>
              </w:rPr>
              <w:fldChar w:fldCharType="separate"/>
            </w:r>
            <w:r w:rsidRPr="00F33674">
              <w:rPr>
                <w:rFonts w:ascii="Arial Narrow" w:hAnsi="Arial Narrow" w:cs="Arial"/>
                <w:sz w:val="20"/>
                <w:szCs w:val="20"/>
              </w:rPr>
              <w:fldChar w:fldCharType="end"/>
            </w:r>
            <w:r w:rsidRPr="00F33674">
              <w:rPr>
                <w:rFonts w:ascii="Arial Narrow" w:hAnsi="Arial Narrow" w:cs="Arial"/>
                <w:sz w:val="20"/>
                <w:szCs w:val="20"/>
              </w:rPr>
              <w:t>Streamlined</w:t>
            </w:r>
          </w:p>
        </w:tc>
      </w:tr>
      <w:tr w:rsidR="004811F3" w:rsidRPr="00F33674" w14:paraId="2D8AEB1A" w14:textId="77777777" w:rsidTr="00F33674">
        <w:trPr>
          <w:cantSplit/>
          <w:trHeight w:val="360"/>
        </w:trPr>
        <w:tc>
          <w:tcPr>
            <w:tcW w:w="2835" w:type="dxa"/>
            <w:tcBorders>
              <w:top w:val="single" w:sz="4" w:space="0" w:color="auto"/>
              <w:left w:val="single" w:sz="4" w:space="0" w:color="auto"/>
              <w:bottom w:val="single" w:sz="4" w:space="0" w:color="auto"/>
              <w:right w:val="single" w:sz="4" w:space="0" w:color="auto"/>
            </w:tcBorders>
          </w:tcPr>
          <w:p w14:paraId="402D986A" w14:textId="456A00FD" w:rsidR="004811F3" w:rsidRPr="00F33674" w:rsidRDefault="004811F3" w:rsidP="00F33674">
            <w:pPr>
              <w:rPr>
                <w:rFonts w:ascii="Arial Narrow" w:hAnsi="Arial Narrow" w:cs="Arial"/>
                <w:b/>
                <w:sz w:val="20"/>
                <w:szCs w:val="20"/>
              </w:rPr>
            </w:pPr>
            <w:r>
              <w:rPr>
                <w:rFonts w:ascii="Arial Narrow" w:hAnsi="Arial Narrow" w:cs="Arial"/>
                <w:b/>
                <w:sz w:val="20"/>
                <w:szCs w:val="20"/>
              </w:rPr>
              <w:t>Treatment phase:</w:t>
            </w:r>
          </w:p>
        </w:tc>
        <w:tc>
          <w:tcPr>
            <w:tcW w:w="6379" w:type="dxa"/>
            <w:tcBorders>
              <w:top w:val="single" w:sz="4" w:space="0" w:color="auto"/>
              <w:left w:val="single" w:sz="4" w:space="0" w:color="auto"/>
              <w:bottom w:val="single" w:sz="4" w:space="0" w:color="auto"/>
              <w:right w:val="single" w:sz="4" w:space="0" w:color="auto"/>
            </w:tcBorders>
          </w:tcPr>
          <w:p w14:paraId="303CF4DF" w14:textId="4D9F0B8F" w:rsidR="004811F3" w:rsidRPr="00F33674" w:rsidRDefault="00265869" w:rsidP="00F33674">
            <w:pPr>
              <w:jc w:val="left"/>
              <w:rPr>
                <w:rFonts w:ascii="Arial Narrow" w:hAnsi="Arial Narrow" w:cs="Arial"/>
                <w:sz w:val="20"/>
                <w:szCs w:val="20"/>
              </w:rPr>
            </w:pPr>
            <w:r>
              <w:rPr>
                <w:rFonts w:ascii="Arial Narrow" w:hAnsi="Arial Narrow" w:cs="Arial"/>
                <w:sz w:val="20"/>
                <w:szCs w:val="20"/>
              </w:rPr>
              <w:t xml:space="preserve">Initial PBS treatment after 1 June 2020 where patient </w:t>
            </w:r>
            <w:proofErr w:type="gramStart"/>
            <w:r>
              <w:rPr>
                <w:rFonts w:ascii="Arial Narrow" w:hAnsi="Arial Narrow" w:cs="Arial"/>
                <w:sz w:val="20"/>
                <w:szCs w:val="20"/>
              </w:rPr>
              <w:t>has been treated</w:t>
            </w:r>
            <w:proofErr w:type="gramEnd"/>
            <w:r>
              <w:rPr>
                <w:rFonts w:ascii="Arial Narrow" w:hAnsi="Arial Narrow" w:cs="Arial"/>
                <w:sz w:val="20"/>
                <w:szCs w:val="20"/>
              </w:rPr>
              <w:t xml:space="preserve"> with opioids for less than 12 months.</w:t>
            </w:r>
          </w:p>
        </w:tc>
      </w:tr>
      <w:tr w:rsidR="00F33674" w:rsidRPr="00F33674" w14:paraId="004DBA83" w14:textId="77777777" w:rsidTr="00F33674">
        <w:trPr>
          <w:cantSplit/>
          <w:trHeight w:val="360"/>
        </w:trPr>
        <w:tc>
          <w:tcPr>
            <w:tcW w:w="2835" w:type="dxa"/>
            <w:tcBorders>
              <w:top w:val="single" w:sz="4" w:space="0" w:color="auto"/>
              <w:left w:val="single" w:sz="4" w:space="0" w:color="auto"/>
              <w:bottom w:val="single" w:sz="4" w:space="0" w:color="auto"/>
              <w:right w:val="single" w:sz="4" w:space="0" w:color="auto"/>
            </w:tcBorders>
          </w:tcPr>
          <w:p w14:paraId="74AB37C0" w14:textId="77777777" w:rsidR="00F33674" w:rsidRPr="00F33674" w:rsidRDefault="00F33674" w:rsidP="00F33674">
            <w:pPr>
              <w:rPr>
                <w:rFonts w:ascii="Arial Narrow" w:hAnsi="Arial Narrow" w:cs="Arial"/>
                <w:b/>
                <w:sz w:val="20"/>
                <w:szCs w:val="20"/>
              </w:rPr>
            </w:pPr>
            <w:r w:rsidRPr="00F33674">
              <w:rPr>
                <w:rFonts w:ascii="Arial Narrow" w:hAnsi="Arial Narrow" w:cs="Arial"/>
                <w:b/>
                <w:sz w:val="20"/>
                <w:szCs w:val="20"/>
              </w:rPr>
              <w:t>Clinical criteria:</w:t>
            </w:r>
          </w:p>
        </w:tc>
        <w:tc>
          <w:tcPr>
            <w:tcW w:w="6379" w:type="dxa"/>
            <w:tcBorders>
              <w:top w:val="single" w:sz="4" w:space="0" w:color="auto"/>
              <w:left w:val="single" w:sz="4" w:space="0" w:color="auto"/>
              <w:bottom w:val="single" w:sz="4" w:space="0" w:color="auto"/>
              <w:right w:val="single" w:sz="4" w:space="0" w:color="auto"/>
            </w:tcBorders>
          </w:tcPr>
          <w:p w14:paraId="6786AD65" w14:textId="475E56A0" w:rsidR="00F33674" w:rsidRPr="00F33674" w:rsidRDefault="00F33674" w:rsidP="00F33674">
            <w:pPr>
              <w:jc w:val="left"/>
              <w:rPr>
                <w:rFonts w:ascii="Arial Narrow" w:hAnsi="Arial Narrow" w:cs="Arial"/>
                <w:sz w:val="20"/>
                <w:szCs w:val="20"/>
              </w:rPr>
            </w:pPr>
            <w:r w:rsidRPr="00F33674">
              <w:rPr>
                <w:rFonts w:ascii="Arial Narrow" w:hAnsi="Arial Narrow" w:cs="Arial"/>
                <w:sz w:val="20"/>
                <w:szCs w:val="20"/>
              </w:rPr>
              <w:t>[new] The condition must require daily, continuous, long term treatment</w:t>
            </w:r>
          </w:p>
          <w:p w14:paraId="34B6E438" w14:textId="77777777" w:rsidR="00F33674" w:rsidRPr="00F33674" w:rsidRDefault="00F33674" w:rsidP="00F33674">
            <w:pPr>
              <w:jc w:val="left"/>
              <w:rPr>
                <w:rFonts w:ascii="Arial Narrow" w:hAnsi="Arial Narrow" w:cs="Arial"/>
                <w:sz w:val="20"/>
                <w:szCs w:val="20"/>
              </w:rPr>
            </w:pPr>
          </w:p>
          <w:p w14:paraId="675DFABA" w14:textId="77777777" w:rsidR="00F33674" w:rsidRPr="00F33674" w:rsidRDefault="00F33674" w:rsidP="00F33674">
            <w:pPr>
              <w:jc w:val="left"/>
              <w:rPr>
                <w:rFonts w:ascii="Arial Narrow" w:hAnsi="Arial Narrow" w:cs="Arial"/>
                <w:sz w:val="20"/>
                <w:szCs w:val="20"/>
              </w:rPr>
            </w:pPr>
            <w:r w:rsidRPr="00F33674">
              <w:rPr>
                <w:rFonts w:ascii="Arial Narrow" w:hAnsi="Arial Narrow" w:cs="Arial"/>
                <w:sz w:val="20"/>
                <w:szCs w:val="20"/>
              </w:rPr>
              <w:t>AND</w:t>
            </w:r>
          </w:p>
          <w:p w14:paraId="1B68AF3A" w14:textId="77777777" w:rsidR="00F33674" w:rsidRPr="00F33674" w:rsidRDefault="00F33674" w:rsidP="00F33674">
            <w:pPr>
              <w:jc w:val="left"/>
              <w:rPr>
                <w:rFonts w:ascii="Arial Narrow" w:hAnsi="Arial Narrow" w:cs="Arial"/>
                <w:sz w:val="20"/>
                <w:szCs w:val="20"/>
              </w:rPr>
            </w:pPr>
          </w:p>
          <w:p w14:paraId="1A170F00" w14:textId="77777777" w:rsidR="00F33674" w:rsidRPr="00F33674" w:rsidRDefault="00F33674" w:rsidP="00F33674">
            <w:pPr>
              <w:jc w:val="left"/>
              <w:rPr>
                <w:rFonts w:ascii="Arial Narrow" w:hAnsi="Arial Narrow" w:cs="Arial"/>
                <w:sz w:val="20"/>
                <w:szCs w:val="20"/>
              </w:rPr>
            </w:pPr>
            <w:r w:rsidRPr="00F33674">
              <w:rPr>
                <w:rFonts w:ascii="Arial Narrow" w:hAnsi="Arial Narrow" w:cs="Arial"/>
                <w:sz w:val="20"/>
                <w:szCs w:val="20"/>
              </w:rPr>
              <w:t>[new] Patient must not be opioid naïve</w:t>
            </w:r>
          </w:p>
          <w:p w14:paraId="01A73F0E" w14:textId="77777777" w:rsidR="00F33674" w:rsidRPr="00F33674" w:rsidRDefault="00F33674" w:rsidP="00F33674">
            <w:pPr>
              <w:jc w:val="left"/>
              <w:rPr>
                <w:rFonts w:ascii="Arial Narrow" w:hAnsi="Arial Narrow" w:cs="Arial"/>
                <w:sz w:val="20"/>
                <w:szCs w:val="20"/>
              </w:rPr>
            </w:pPr>
          </w:p>
          <w:p w14:paraId="082ABD94" w14:textId="77777777" w:rsidR="00F33674" w:rsidRPr="00F33674" w:rsidRDefault="00F33674" w:rsidP="00F33674">
            <w:pPr>
              <w:jc w:val="left"/>
              <w:rPr>
                <w:rFonts w:ascii="Arial Narrow" w:hAnsi="Arial Narrow" w:cs="Arial"/>
                <w:sz w:val="20"/>
                <w:szCs w:val="20"/>
              </w:rPr>
            </w:pPr>
            <w:r w:rsidRPr="00F33674">
              <w:rPr>
                <w:rFonts w:ascii="Arial Narrow" w:hAnsi="Arial Narrow" w:cs="Arial"/>
                <w:sz w:val="20"/>
                <w:szCs w:val="20"/>
              </w:rPr>
              <w:t>AND</w:t>
            </w:r>
          </w:p>
          <w:p w14:paraId="6AB780CD" w14:textId="77777777" w:rsidR="00F33674" w:rsidRPr="00F33674" w:rsidRDefault="00F33674" w:rsidP="00F33674">
            <w:pPr>
              <w:jc w:val="left"/>
              <w:rPr>
                <w:rFonts w:ascii="Arial Narrow" w:hAnsi="Arial Narrow" w:cs="Arial"/>
                <w:sz w:val="20"/>
                <w:szCs w:val="20"/>
              </w:rPr>
            </w:pPr>
          </w:p>
          <w:p w14:paraId="1CD519FF" w14:textId="092E17F6" w:rsidR="00F33674" w:rsidRPr="00F33674" w:rsidRDefault="00F33674" w:rsidP="00F33674">
            <w:pPr>
              <w:jc w:val="left"/>
              <w:rPr>
                <w:rFonts w:ascii="Arial Narrow" w:hAnsi="Arial Narrow" w:cs="Arial"/>
                <w:sz w:val="20"/>
                <w:szCs w:val="20"/>
              </w:rPr>
            </w:pPr>
            <w:r w:rsidRPr="00F33674">
              <w:rPr>
                <w:rFonts w:ascii="Arial Narrow" w:hAnsi="Arial Narrow" w:cs="Arial"/>
                <w:sz w:val="20"/>
                <w:szCs w:val="20"/>
              </w:rPr>
              <w:t xml:space="preserve">[18096] Patient must have </w:t>
            </w:r>
            <w:r w:rsidR="00FE50AF">
              <w:rPr>
                <w:rFonts w:ascii="Arial Narrow" w:hAnsi="Arial Narrow" w:cs="Arial"/>
                <w:sz w:val="20"/>
                <w:szCs w:val="20"/>
              </w:rPr>
              <w:t>cancer pain</w:t>
            </w:r>
          </w:p>
          <w:p w14:paraId="3652FB71" w14:textId="77777777" w:rsidR="00F33674" w:rsidRPr="00F33674" w:rsidRDefault="00F33674" w:rsidP="00F33674">
            <w:pPr>
              <w:jc w:val="left"/>
              <w:rPr>
                <w:rFonts w:ascii="Arial Narrow" w:hAnsi="Arial Narrow" w:cs="Arial"/>
                <w:sz w:val="20"/>
                <w:szCs w:val="20"/>
              </w:rPr>
            </w:pPr>
            <w:r w:rsidRPr="00F33674">
              <w:rPr>
                <w:rFonts w:ascii="Arial Narrow" w:hAnsi="Arial Narrow" w:cs="Arial"/>
                <w:sz w:val="20"/>
                <w:szCs w:val="20"/>
              </w:rPr>
              <w:t>OR</w:t>
            </w:r>
          </w:p>
          <w:p w14:paraId="2884F38C" w14:textId="1CCEA7DF" w:rsidR="00F33674" w:rsidRPr="00F33674" w:rsidRDefault="00F33674" w:rsidP="00F33674">
            <w:pPr>
              <w:jc w:val="left"/>
              <w:rPr>
                <w:rFonts w:ascii="Arial Narrow" w:hAnsi="Arial Narrow" w:cs="Arial"/>
                <w:sz w:val="20"/>
                <w:szCs w:val="20"/>
              </w:rPr>
            </w:pPr>
            <w:r w:rsidRPr="00F33674">
              <w:rPr>
                <w:rFonts w:ascii="Arial Narrow" w:hAnsi="Arial Narrow" w:cs="Arial"/>
                <w:sz w:val="20"/>
                <w:szCs w:val="20"/>
              </w:rPr>
              <w:t xml:space="preserve">[new] Patient must have </w:t>
            </w:r>
            <w:r w:rsidR="004811F3">
              <w:rPr>
                <w:rFonts w:ascii="Arial Narrow" w:hAnsi="Arial Narrow" w:cs="Arial"/>
                <w:sz w:val="20"/>
                <w:szCs w:val="20"/>
              </w:rPr>
              <w:t>had or would have</w:t>
            </w:r>
            <w:r w:rsidRPr="00F33674">
              <w:rPr>
                <w:rFonts w:ascii="Arial Narrow" w:hAnsi="Arial Narrow" w:cs="Arial"/>
                <w:sz w:val="20"/>
                <w:szCs w:val="20"/>
              </w:rPr>
              <w:t xml:space="preserve"> </w:t>
            </w:r>
            <w:r w:rsidR="004811F3">
              <w:rPr>
                <w:rFonts w:ascii="Arial Narrow" w:hAnsi="Arial Narrow" w:cs="Arial"/>
                <w:sz w:val="20"/>
                <w:szCs w:val="20"/>
              </w:rPr>
              <w:t>inadequate pain management</w:t>
            </w:r>
            <w:r w:rsidRPr="00F33674">
              <w:rPr>
                <w:rFonts w:ascii="Arial Narrow" w:hAnsi="Arial Narrow" w:cs="Arial"/>
                <w:sz w:val="20"/>
                <w:szCs w:val="20"/>
              </w:rPr>
              <w:t xml:space="preserve"> </w:t>
            </w:r>
            <w:r w:rsidR="004811F3">
              <w:rPr>
                <w:rFonts w:ascii="Arial Narrow" w:hAnsi="Arial Narrow" w:cs="Arial"/>
                <w:sz w:val="20"/>
                <w:szCs w:val="20"/>
              </w:rPr>
              <w:t>with</w:t>
            </w:r>
            <w:r w:rsidRPr="00F33674">
              <w:rPr>
                <w:rFonts w:ascii="Arial Narrow" w:hAnsi="Arial Narrow" w:cs="Arial"/>
                <w:sz w:val="20"/>
                <w:szCs w:val="20"/>
              </w:rPr>
              <w:t xml:space="preserve"> tolerated doses of non-opioid and other opioid analgesics</w:t>
            </w:r>
          </w:p>
          <w:p w14:paraId="4412074B" w14:textId="77777777" w:rsidR="00F33674" w:rsidRPr="00F33674" w:rsidRDefault="00F33674" w:rsidP="00F33674">
            <w:pPr>
              <w:jc w:val="left"/>
              <w:rPr>
                <w:rFonts w:ascii="Arial Narrow" w:hAnsi="Arial Narrow" w:cs="Arial"/>
                <w:sz w:val="20"/>
                <w:szCs w:val="20"/>
              </w:rPr>
            </w:pPr>
            <w:r w:rsidRPr="00F33674">
              <w:rPr>
                <w:rFonts w:ascii="Arial Narrow" w:hAnsi="Arial Narrow" w:cs="Arial"/>
                <w:sz w:val="20"/>
                <w:szCs w:val="20"/>
              </w:rPr>
              <w:t>OR</w:t>
            </w:r>
          </w:p>
          <w:p w14:paraId="02AEA071" w14:textId="5B5F98CB" w:rsidR="00F33674" w:rsidRPr="00F33674" w:rsidRDefault="00F33674" w:rsidP="00F33674">
            <w:pPr>
              <w:jc w:val="left"/>
              <w:rPr>
                <w:rFonts w:ascii="Arial Narrow" w:hAnsi="Arial Narrow" w:cs="Arial"/>
                <w:sz w:val="20"/>
                <w:szCs w:val="20"/>
              </w:rPr>
            </w:pPr>
            <w:r w:rsidRPr="00F33674">
              <w:rPr>
                <w:rFonts w:ascii="Arial Narrow" w:hAnsi="Arial Narrow" w:cs="Arial"/>
                <w:sz w:val="20"/>
                <w:szCs w:val="20"/>
              </w:rPr>
              <w:t>[new] Patient must be unable to use non-opioid and other opioid analgesics due to contraindications or intolerance.</w:t>
            </w:r>
          </w:p>
        </w:tc>
      </w:tr>
      <w:tr w:rsidR="00F33674" w:rsidRPr="00F33674" w14:paraId="62A42C9D" w14:textId="77777777" w:rsidTr="00F33674">
        <w:trPr>
          <w:cantSplit/>
          <w:trHeight w:val="360"/>
        </w:trPr>
        <w:tc>
          <w:tcPr>
            <w:tcW w:w="2835" w:type="dxa"/>
            <w:tcBorders>
              <w:top w:val="single" w:sz="4" w:space="0" w:color="auto"/>
              <w:left w:val="single" w:sz="4" w:space="0" w:color="auto"/>
              <w:bottom w:val="single" w:sz="4" w:space="0" w:color="auto"/>
              <w:right w:val="single" w:sz="4" w:space="0" w:color="auto"/>
            </w:tcBorders>
          </w:tcPr>
          <w:p w14:paraId="40F8F48E" w14:textId="77777777" w:rsidR="00F33674" w:rsidRPr="00F33674" w:rsidRDefault="00F33674" w:rsidP="00F33674">
            <w:pPr>
              <w:rPr>
                <w:rFonts w:ascii="Arial Narrow" w:hAnsi="Arial Narrow" w:cs="Arial"/>
                <w:b/>
                <w:sz w:val="20"/>
                <w:szCs w:val="20"/>
              </w:rPr>
            </w:pPr>
            <w:r w:rsidRPr="00F33674">
              <w:rPr>
                <w:rFonts w:ascii="Arial Narrow" w:hAnsi="Arial Narrow" w:cs="Arial"/>
                <w:b/>
                <w:sz w:val="20"/>
                <w:szCs w:val="20"/>
              </w:rPr>
              <w:t>Prescriber instruction:</w:t>
            </w:r>
          </w:p>
        </w:tc>
        <w:tc>
          <w:tcPr>
            <w:tcW w:w="6379" w:type="dxa"/>
            <w:tcBorders>
              <w:top w:val="single" w:sz="4" w:space="0" w:color="auto"/>
              <w:left w:val="single" w:sz="4" w:space="0" w:color="auto"/>
              <w:bottom w:val="single" w:sz="4" w:space="0" w:color="auto"/>
              <w:right w:val="single" w:sz="4" w:space="0" w:color="auto"/>
            </w:tcBorders>
          </w:tcPr>
          <w:p w14:paraId="6A38DCF3" w14:textId="5FDA18C7" w:rsidR="00F33674" w:rsidRPr="00F33674" w:rsidRDefault="00F33674" w:rsidP="00193259">
            <w:pPr>
              <w:jc w:val="left"/>
              <w:rPr>
                <w:rFonts w:ascii="Arial Narrow" w:hAnsi="Arial Narrow" w:cs="Arial"/>
                <w:sz w:val="20"/>
                <w:szCs w:val="20"/>
              </w:rPr>
            </w:pPr>
            <w:r w:rsidRPr="00F33674">
              <w:rPr>
                <w:rFonts w:ascii="Arial Narrow" w:hAnsi="Arial Narrow" w:cs="Arial"/>
                <w:sz w:val="20"/>
                <w:szCs w:val="20"/>
              </w:rPr>
              <w:t xml:space="preserve">[new] Authorities for increased maximum quantities </w:t>
            </w:r>
            <w:r w:rsidR="00BB2EAC">
              <w:rPr>
                <w:rFonts w:ascii="Arial Narrow" w:hAnsi="Arial Narrow" w:cs="Arial"/>
                <w:sz w:val="20"/>
                <w:szCs w:val="20"/>
              </w:rPr>
              <w:t>and/or repeats under this restriction</w:t>
            </w:r>
            <w:r w:rsidRPr="00F33674">
              <w:rPr>
                <w:rFonts w:ascii="Arial Narrow" w:hAnsi="Arial Narrow" w:cs="Arial"/>
                <w:sz w:val="20"/>
                <w:szCs w:val="20"/>
              </w:rPr>
              <w:t xml:space="preserve"> </w:t>
            </w:r>
            <w:proofErr w:type="gramStart"/>
            <w:r w:rsidRPr="00F33674">
              <w:rPr>
                <w:rFonts w:ascii="Arial Narrow" w:hAnsi="Arial Narrow" w:cs="Arial"/>
                <w:sz w:val="20"/>
                <w:szCs w:val="20"/>
              </w:rPr>
              <w:t>will be granted</w:t>
            </w:r>
            <w:proofErr w:type="gramEnd"/>
            <w:r w:rsidRPr="00F33674">
              <w:rPr>
                <w:rFonts w:ascii="Arial Narrow" w:hAnsi="Arial Narrow" w:cs="Arial"/>
                <w:sz w:val="20"/>
                <w:szCs w:val="20"/>
              </w:rPr>
              <w:t xml:space="preserve"> only for chronic severe disabling pain</w:t>
            </w:r>
            <w:r w:rsidR="00265869">
              <w:rPr>
                <w:rFonts w:ascii="Arial Narrow" w:hAnsi="Arial Narrow" w:cs="Arial"/>
                <w:sz w:val="20"/>
                <w:szCs w:val="20"/>
              </w:rPr>
              <w:t xml:space="preserve"> </w:t>
            </w:r>
            <w:r w:rsidRPr="00F33674">
              <w:rPr>
                <w:rFonts w:ascii="Arial Narrow" w:hAnsi="Arial Narrow" w:cs="Arial"/>
                <w:sz w:val="20"/>
                <w:szCs w:val="20"/>
              </w:rPr>
              <w:t>where the total duration of non-PBS and PBS subsidised opioid analgesic treatment is less than 12 months.</w:t>
            </w:r>
          </w:p>
          <w:p w14:paraId="2281495F" w14:textId="77777777" w:rsidR="00F33674" w:rsidRPr="00F33674" w:rsidRDefault="00F33674" w:rsidP="00F33674">
            <w:pPr>
              <w:jc w:val="left"/>
              <w:rPr>
                <w:rFonts w:ascii="Arial Narrow" w:hAnsi="Arial Narrow" w:cs="Arial"/>
                <w:sz w:val="20"/>
                <w:szCs w:val="20"/>
              </w:rPr>
            </w:pPr>
          </w:p>
          <w:p w14:paraId="54E874FD" w14:textId="77777777" w:rsidR="00F33674" w:rsidRPr="00F33674" w:rsidRDefault="00F33674" w:rsidP="00F33674">
            <w:pPr>
              <w:jc w:val="left"/>
              <w:rPr>
                <w:rFonts w:ascii="Arial Narrow" w:hAnsi="Arial Narrow" w:cs="Arial"/>
                <w:sz w:val="20"/>
                <w:szCs w:val="20"/>
              </w:rPr>
            </w:pPr>
            <w:r w:rsidRPr="00F33674">
              <w:rPr>
                <w:rFonts w:ascii="Arial Narrow" w:hAnsi="Arial Narrow" w:cs="Arial"/>
                <w:sz w:val="20"/>
                <w:szCs w:val="20"/>
              </w:rPr>
              <w:t>[new] Authority requests extending treatment duration up to 1 month may be requested though the Online PBS Authorities system or by calling Services Australia.</w:t>
            </w:r>
          </w:p>
          <w:p w14:paraId="74DCDF94" w14:textId="77777777" w:rsidR="00F33674" w:rsidRPr="00F33674" w:rsidRDefault="00F33674" w:rsidP="00F33674">
            <w:pPr>
              <w:jc w:val="left"/>
              <w:rPr>
                <w:rFonts w:ascii="Arial Narrow" w:hAnsi="Arial Narrow" w:cs="Arial"/>
                <w:sz w:val="20"/>
                <w:szCs w:val="20"/>
              </w:rPr>
            </w:pPr>
          </w:p>
          <w:p w14:paraId="587A3084" w14:textId="7EB2EB23" w:rsidR="00F33674" w:rsidRPr="00F33674" w:rsidRDefault="00F33674" w:rsidP="00F33674">
            <w:pPr>
              <w:jc w:val="left"/>
              <w:rPr>
                <w:rFonts w:ascii="Arial Narrow" w:hAnsi="Arial Narrow" w:cs="Arial"/>
                <w:sz w:val="20"/>
                <w:szCs w:val="20"/>
              </w:rPr>
            </w:pPr>
            <w:r w:rsidRPr="00F33674">
              <w:rPr>
                <w:rFonts w:ascii="Arial Narrow" w:hAnsi="Arial Narrow" w:cs="Arial"/>
                <w:sz w:val="20"/>
                <w:szCs w:val="20"/>
              </w:rPr>
              <w:t xml:space="preserve">Authority requests extending treatment duration beyond 1 month </w:t>
            </w:r>
            <w:r w:rsidR="00827DF7">
              <w:rPr>
                <w:rFonts w:ascii="Arial Narrow" w:hAnsi="Arial Narrow" w:cs="Arial"/>
                <w:sz w:val="20"/>
                <w:szCs w:val="20"/>
              </w:rPr>
              <w:t>may be requested through the Online PBS Authorities system</w:t>
            </w:r>
            <w:r w:rsidRPr="00F33674">
              <w:rPr>
                <w:rFonts w:ascii="Arial Narrow" w:hAnsi="Arial Narrow" w:cs="Arial"/>
                <w:sz w:val="20"/>
                <w:szCs w:val="20"/>
              </w:rPr>
              <w:t xml:space="preserve"> or in writing only and must not provide a treatment duration exceeding </w:t>
            </w:r>
            <w:r w:rsidR="00827DF7">
              <w:rPr>
                <w:rFonts w:ascii="Arial Narrow" w:hAnsi="Arial Narrow" w:cs="Arial"/>
                <w:sz w:val="20"/>
                <w:szCs w:val="20"/>
              </w:rPr>
              <w:t xml:space="preserve">3 months (quantity sufficient for up to </w:t>
            </w:r>
            <w:proofErr w:type="gramStart"/>
            <w:r w:rsidR="00827DF7">
              <w:rPr>
                <w:rFonts w:ascii="Arial Narrow" w:hAnsi="Arial Narrow" w:cs="Arial"/>
                <w:sz w:val="20"/>
                <w:szCs w:val="20"/>
              </w:rPr>
              <w:t>1 month</w:t>
            </w:r>
            <w:proofErr w:type="gramEnd"/>
            <w:r w:rsidR="00827DF7">
              <w:rPr>
                <w:rFonts w:ascii="Arial Narrow" w:hAnsi="Arial Narrow" w:cs="Arial"/>
                <w:sz w:val="20"/>
                <w:szCs w:val="20"/>
              </w:rPr>
              <w:t xml:space="preserve"> treatment and sufficient repeats).</w:t>
            </w:r>
          </w:p>
        </w:tc>
      </w:tr>
      <w:tr w:rsidR="00F33674" w:rsidRPr="00F33674" w14:paraId="71275C7B" w14:textId="77777777" w:rsidTr="00F33674">
        <w:trPr>
          <w:cantSplit/>
          <w:trHeight w:val="360"/>
        </w:trPr>
        <w:tc>
          <w:tcPr>
            <w:tcW w:w="2835" w:type="dxa"/>
            <w:tcBorders>
              <w:top w:val="single" w:sz="4" w:space="0" w:color="auto"/>
              <w:left w:val="single" w:sz="4" w:space="0" w:color="auto"/>
              <w:bottom w:val="single" w:sz="4" w:space="0" w:color="auto"/>
              <w:right w:val="single" w:sz="4" w:space="0" w:color="auto"/>
            </w:tcBorders>
          </w:tcPr>
          <w:p w14:paraId="4F507C1E" w14:textId="77777777" w:rsidR="00F33674" w:rsidRPr="00F33674" w:rsidRDefault="00F33674" w:rsidP="00F33674">
            <w:pPr>
              <w:rPr>
                <w:rFonts w:ascii="Arial Narrow" w:hAnsi="Arial Narrow" w:cs="Arial"/>
                <w:b/>
                <w:sz w:val="20"/>
                <w:szCs w:val="20"/>
              </w:rPr>
            </w:pPr>
            <w:r w:rsidRPr="00F33674">
              <w:rPr>
                <w:rFonts w:ascii="Arial Narrow" w:hAnsi="Arial Narrow" w:cs="Arial"/>
                <w:b/>
                <w:sz w:val="20"/>
                <w:szCs w:val="20"/>
              </w:rPr>
              <w:lastRenderedPageBreak/>
              <w:t>Administrative advice:</w:t>
            </w:r>
          </w:p>
        </w:tc>
        <w:tc>
          <w:tcPr>
            <w:tcW w:w="6379" w:type="dxa"/>
            <w:tcBorders>
              <w:top w:val="single" w:sz="4" w:space="0" w:color="auto"/>
              <w:left w:val="single" w:sz="4" w:space="0" w:color="auto"/>
              <w:bottom w:val="single" w:sz="4" w:space="0" w:color="auto"/>
              <w:right w:val="single" w:sz="4" w:space="0" w:color="auto"/>
            </w:tcBorders>
          </w:tcPr>
          <w:p w14:paraId="5DB6791E" w14:textId="77777777" w:rsidR="00F33674" w:rsidRPr="00F33674" w:rsidRDefault="00F33674" w:rsidP="00F33674">
            <w:pPr>
              <w:jc w:val="left"/>
              <w:rPr>
                <w:rFonts w:ascii="Arial Narrow" w:hAnsi="Arial Narrow"/>
                <w:sz w:val="20"/>
                <w:szCs w:val="20"/>
              </w:rPr>
            </w:pPr>
            <w:r w:rsidRPr="00F33674">
              <w:rPr>
                <w:rFonts w:ascii="Arial Narrow" w:hAnsi="Arial Narrow"/>
                <w:sz w:val="20"/>
                <w:szCs w:val="20"/>
              </w:rPr>
              <w:t>[new] Consider consultation with a multidisciplinary pain service prior to, or after commencement of this medication.</w:t>
            </w:r>
          </w:p>
          <w:p w14:paraId="3C515528" w14:textId="77777777" w:rsidR="00F33674" w:rsidRPr="00F33674" w:rsidRDefault="00F33674" w:rsidP="00F33674">
            <w:pPr>
              <w:jc w:val="left"/>
              <w:rPr>
                <w:rFonts w:ascii="Arial Narrow" w:hAnsi="Arial Narrow" w:cs="Arial"/>
                <w:sz w:val="20"/>
                <w:szCs w:val="20"/>
              </w:rPr>
            </w:pPr>
          </w:p>
          <w:p w14:paraId="173CB088" w14:textId="77777777" w:rsidR="00F33674" w:rsidRPr="00F33674" w:rsidRDefault="00F33674" w:rsidP="00F33674">
            <w:pPr>
              <w:jc w:val="left"/>
              <w:rPr>
                <w:rFonts w:ascii="Arial Narrow" w:hAnsi="Arial Narrow" w:cs="Arial"/>
                <w:sz w:val="20"/>
                <w:szCs w:val="20"/>
              </w:rPr>
            </w:pPr>
            <w:r w:rsidRPr="00F33674">
              <w:rPr>
                <w:rFonts w:ascii="Arial Narrow" w:hAnsi="Arial Narrow" w:cs="Arial"/>
                <w:sz w:val="20"/>
                <w:szCs w:val="20"/>
              </w:rPr>
              <w:t xml:space="preserve">[new] This treatment </w:t>
            </w:r>
            <w:proofErr w:type="gramStart"/>
            <w:r w:rsidRPr="00F33674">
              <w:rPr>
                <w:rFonts w:ascii="Arial Narrow" w:hAnsi="Arial Narrow" w:cs="Arial"/>
                <w:sz w:val="20"/>
                <w:szCs w:val="20"/>
              </w:rPr>
              <w:t>is not recommended</w:t>
            </w:r>
            <w:proofErr w:type="gramEnd"/>
            <w:r w:rsidRPr="00F33674">
              <w:rPr>
                <w:rFonts w:ascii="Arial Narrow" w:hAnsi="Arial Narrow" w:cs="Arial"/>
                <w:sz w:val="20"/>
                <w:szCs w:val="20"/>
              </w:rPr>
              <w:t xml:space="preserve"> for use in ambulant patients.</w:t>
            </w:r>
          </w:p>
          <w:p w14:paraId="0E4D1273" w14:textId="77777777" w:rsidR="00F33674" w:rsidRPr="00F33674" w:rsidRDefault="00F33674" w:rsidP="00F33674">
            <w:pPr>
              <w:jc w:val="left"/>
              <w:rPr>
                <w:rFonts w:ascii="Arial Narrow" w:hAnsi="Arial Narrow" w:cs="Arial"/>
                <w:sz w:val="20"/>
                <w:szCs w:val="20"/>
              </w:rPr>
            </w:pPr>
          </w:p>
          <w:p w14:paraId="3DC96C5E" w14:textId="77777777" w:rsidR="00F33674" w:rsidRPr="00F33674" w:rsidRDefault="00F33674" w:rsidP="00F33674">
            <w:pPr>
              <w:jc w:val="left"/>
              <w:rPr>
                <w:rFonts w:ascii="Arial Narrow" w:hAnsi="Arial Narrow" w:cs="Arial"/>
                <w:sz w:val="20"/>
                <w:szCs w:val="20"/>
              </w:rPr>
            </w:pPr>
            <w:r w:rsidRPr="00F33674">
              <w:rPr>
                <w:rFonts w:ascii="Arial Narrow" w:hAnsi="Arial Narrow" w:cs="Arial"/>
                <w:sz w:val="20"/>
                <w:szCs w:val="20"/>
              </w:rPr>
              <w:t>[new] This treatment is not suitable for ‘as-required’ pain relief.</w:t>
            </w:r>
          </w:p>
          <w:p w14:paraId="734F1A87" w14:textId="77777777" w:rsidR="00F33674" w:rsidRPr="00F33674" w:rsidRDefault="00F33674" w:rsidP="00F33674">
            <w:pPr>
              <w:jc w:val="left"/>
              <w:rPr>
                <w:rFonts w:ascii="Arial Narrow" w:hAnsi="Arial Narrow" w:cs="Arial"/>
                <w:sz w:val="20"/>
                <w:szCs w:val="20"/>
              </w:rPr>
            </w:pPr>
          </w:p>
          <w:p w14:paraId="3CB998B7" w14:textId="77777777" w:rsidR="00F33674" w:rsidRPr="00F33674" w:rsidRDefault="00F33674" w:rsidP="00F33674">
            <w:pPr>
              <w:jc w:val="left"/>
              <w:rPr>
                <w:rFonts w:ascii="Arial Narrow" w:hAnsi="Arial Narrow" w:cs="Arial"/>
                <w:sz w:val="20"/>
                <w:szCs w:val="20"/>
              </w:rPr>
            </w:pPr>
            <w:r w:rsidRPr="00F33674">
              <w:rPr>
                <w:rFonts w:ascii="Arial Narrow" w:hAnsi="Arial Narrow" w:cs="Arial"/>
                <w:sz w:val="20"/>
                <w:szCs w:val="20"/>
              </w:rPr>
              <w:t xml:space="preserve">[7901] Shared Care Model: For prescribing by nurse practitioners where care of a patient </w:t>
            </w:r>
            <w:proofErr w:type="gramStart"/>
            <w:r w:rsidRPr="00F33674">
              <w:rPr>
                <w:rFonts w:ascii="Arial Narrow" w:hAnsi="Arial Narrow" w:cs="Arial"/>
                <w:sz w:val="20"/>
                <w:szCs w:val="20"/>
              </w:rPr>
              <w:t>is shared</w:t>
            </w:r>
            <w:proofErr w:type="gramEnd"/>
            <w:r w:rsidRPr="00F33674">
              <w:rPr>
                <w:rFonts w:ascii="Arial Narrow" w:hAnsi="Arial Narrow" w:cs="Arial"/>
                <w:sz w:val="20"/>
                <w:szCs w:val="20"/>
              </w:rPr>
              <w:t xml:space="preserve"> between a nurse practitioner and medical practitioner in a formalised arrangement with an agreed management plan. Further information </w:t>
            </w:r>
            <w:proofErr w:type="gramStart"/>
            <w:r w:rsidRPr="00F33674">
              <w:rPr>
                <w:rFonts w:ascii="Arial Narrow" w:hAnsi="Arial Narrow" w:cs="Arial"/>
                <w:sz w:val="20"/>
                <w:szCs w:val="20"/>
              </w:rPr>
              <w:t>can be found</w:t>
            </w:r>
            <w:proofErr w:type="gramEnd"/>
            <w:r w:rsidRPr="00F33674">
              <w:rPr>
                <w:rFonts w:ascii="Arial Narrow" w:hAnsi="Arial Narrow" w:cs="Arial"/>
                <w:sz w:val="20"/>
                <w:szCs w:val="20"/>
              </w:rPr>
              <w:t xml:space="preserve"> in the Explanatory Notes for Nurse Practitioners.</w:t>
            </w:r>
          </w:p>
          <w:p w14:paraId="37247F12" w14:textId="77777777" w:rsidR="00F33674" w:rsidRPr="00F33674" w:rsidRDefault="00F33674" w:rsidP="00F33674">
            <w:pPr>
              <w:jc w:val="left"/>
              <w:rPr>
                <w:rFonts w:ascii="Arial Narrow" w:hAnsi="Arial Narrow" w:cs="Arial"/>
                <w:sz w:val="20"/>
                <w:szCs w:val="20"/>
              </w:rPr>
            </w:pPr>
          </w:p>
          <w:p w14:paraId="0E2BA02C" w14:textId="77777777" w:rsidR="00F33674" w:rsidRPr="00F33674" w:rsidRDefault="00F33674" w:rsidP="00F33674">
            <w:pPr>
              <w:jc w:val="left"/>
              <w:rPr>
                <w:rFonts w:ascii="Arial Narrow" w:hAnsi="Arial Narrow" w:cs="Arial"/>
                <w:sz w:val="20"/>
                <w:szCs w:val="20"/>
              </w:rPr>
            </w:pPr>
            <w:r w:rsidRPr="00F33674">
              <w:rPr>
                <w:rFonts w:ascii="Arial Narrow" w:hAnsi="Arial Narrow" w:cs="Arial"/>
                <w:sz w:val="20"/>
                <w:szCs w:val="20"/>
              </w:rPr>
              <w:t>[new] Real time online applications for increased maximum quantities/repeats may be made using the Online PBS Authorities system (see www.servicesaustralia.gov.au/organisations/health-professionals/services/medicare/hpos/services/request-authority-using-online-pbs-authorities-hpos)</w:t>
            </w:r>
          </w:p>
          <w:p w14:paraId="3AAC682A" w14:textId="77777777" w:rsidR="00F33674" w:rsidRPr="00F33674" w:rsidRDefault="00F33674" w:rsidP="00F33674">
            <w:pPr>
              <w:jc w:val="left"/>
              <w:rPr>
                <w:rFonts w:ascii="Arial Narrow" w:hAnsi="Arial Narrow" w:cs="Arial"/>
                <w:sz w:val="20"/>
                <w:szCs w:val="20"/>
              </w:rPr>
            </w:pPr>
          </w:p>
          <w:p w14:paraId="0324E53C" w14:textId="30F3A99B" w:rsidR="00F33674" w:rsidRPr="00F33674" w:rsidRDefault="00F33674" w:rsidP="00F33674">
            <w:pPr>
              <w:jc w:val="left"/>
              <w:rPr>
                <w:rFonts w:ascii="Arial Narrow" w:hAnsi="Arial Narrow" w:cs="Arial"/>
                <w:sz w:val="20"/>
                <w:szCs w:val="20"/>
              </w:rPr>
            </w:pPr>
            <w:r w:rsidRPr="00F33674">
              <w:rPr>
                <w:rFonts w:ascii="Arial Narrow" w:hAnsi="Arial Narrow" w:cs="Arial"/>
                <w:sz w:val="20"/>
                <w:szCs w:val="20"/>
              </w:rPr>
              <w:t>Phone applications for increased maximum quantities/repeats may be made by calling 1800 888 333.</w:t>
            </w:r>
          </w:p>
          <w:p w14:paraId="397AD755" w14:textId="77777777" w:rsidR="00F33674" w:rsidRPr="00F33674" w:rsidRDefault="00F33674" w:rsidP="00F33674">
            <w:pPr>
              <w:jc w:val="left"/>
              <w:rPr>
                <w:rFonts w:ascii="Arial Narrow" w:hAnsi="Arial Narrow" w:cs="Arial"/>
                <w:sz w:val="20"/>
                <w:szCs w:val="20"/>
              </w:rPr>
            </w:pPr>
          </w:p>
          <w:p w14:paraId="38A3BBFC" w14:textId="77777777" w:rsidR="00F33674" w:rsidRPr="00F33674" w:rsidRDefault="00F33674" w:rsidP="00F33674">
            <w:pPr>
              <w:jc w:val="left"/>
              <w:rPr>
                <w:rFonts w:ascii="Arial Narrow" w:hAnsi="Arial Narrow" w:cs="Arial"/>
                <w:sz w:val="20"/>
                <w:szCs w:val="20"/>
              </w:rPr>
            </w:pPr>
            <w:r w:rsidRPr="00F33674">
              <w:rPr>
                <w:rFonts w:ascii="Arial Narrow" w:hAnsi="Arial Narrow" w:cs="Arial"/>
                <w:sz w:val="20"/>
                <w:szCs w:val="20"/>
              </w:rPr>
              <w:t>Written authority applications for increased maximum quantities/repeats can be uploaded online through HPOS form upload or mailed to:</w:t>
            </w:r>
          </w:p>
          <w:p w14:paraId="7C6F96CC" w14:textId="77777777" w:rsidR="00F33674" w:rsidRPr="00F33674" w:rsidRDefault="00F33674" w:rsidP="00F33674">
            <w:pPr>
              <w:jc w:val="left"/>
              <w:rPr>
                <w:rFonts w:ascii="Arial Narrow" w:hAnsi="Arial Narrow" w:cs="Arial"/>
                <w:sz w:val="20"/>
                <w:szCs w:val="20"/>
              </w:rPr>
            </w:pPr>
            <w:r w:rsidRPr="00F33674">
              <w:rPr>
                <w:rFonts w:ascii="Arial Narrow" w:hAnsi="Arial Narrow" w:cs="Arial"/>
                <w:sz w:val="20"/>
                <w:szCs w:val="20"/>
              </w:rPr>
              <w:t>Pharmaceutical Benefits Scheme</w:t>
            </w:r>
          </w:p>
          <w:p w14:paraId="5FF911A9" w14:textId="77777777" w:rsidR="00F33674" w:rsidRPr="00F33674" w:rsidRDefault="00F33674" w:rsidP="00F33674">
            <w:pPr>
              <w:jc w:val="left"/>
              <w:rPr>
                <w:rFonts w:ascii="Arial Narrow" w:hAnsi="Arial Narrow" w:cs="Arial"/>
                <w:sz w:val="20"/>
                <w:szCs w:val="20"/>
              </w:rPr>
            </w:pPr>
            <w:r w:rsidRPr="00F33674">
              <w:rPr>
                <w:rFonts w:ascii="Arial Narrow" w:hAnsi="Arial Narrow" w:cs="Arial"/>
                <w:sz w:val="20"/>
                <w:szCs w:val="20"/>
              </w:rPr>
              <w:t>Reply Paid 9857</w:t>
            </w:r>
          </w:p>
        </w:tc>
      </w:tr>
      <w:tr w:rsidR="00F33674" w:rsidRPr="00F33674" w14:paraId="5CD644DB" w14:textId="77777777" w:rsidTr="00F33674">
        <w:trPr>
          <w:cantSplit/>
          <w:trHeight w:val="360"/>
        </w:trPr>
        <w:tc>
          <w:tcPr>
            <w:tcW w:w="2835" w:type="dxa"/>
            <w:tcBorders>
              <w:top w:val="single" w:sz="4" w:space="0" w:color="auto"/>
              <w:left w:val="single" w:sz="4" w:space="0" w:color="auto"/>
              <w:bottom w:val="single" w:sz="4" w:space="0" w:color="auto"/>
              <w:right w:val="single" w:sz="4" w:space="0" w:color="auto"/>
            </w:tcBorders>
          </w:tcPr>
          <w:p w14:paraId="0E13BD98" w14:textId="77777777" w:rsidR="00F33674" w:rsidRPr="00F33674" w:rsidRDefault="00F33674" w:rsidP="00F33674">
            <w:pPr>
              <w:rPr>
                <w:rFonts w:ascii="Arial Narrow" w:hAnsi="Arial Narrow" w:cs="Arial"/>
                <w:b/>
                <w:sz w:val="20"/>
                <w:szCs w:val="20"/>
              </w:rPr>
            </w:pPr>
            <w:r w:rsidRPr="00F33674">
              <w:rPr>
                <w:rFonts w:ascii="Arial Narrow" w:hAnsi="Arial Narrow" w:cs="Arial"/>
                <w:b/>
                <w:sz w:val="20"/>
                <w:szCs w:val="20"/>
              </w:rPr>
              <w:t>Cautions:</w:t>
            </w:r>
          </w:p>
        </w:tc>
        <w:tc>
          <w:tcPr>
            <w:tcW w:w="6379" w:type="dxa"/>
            <w:tcBorders>
              <w:top w:val="single" w:sz="4" w:space="0" w:color="auto"/>
              <w:left w:val="single" w:sz="4" w:space="0" w:color="auto"/>
              <w:bottom w:val="single" w:sz="4" w:space="0" w:color="auto"/>
              <w:right w:val="single" w:sz="4" w:space="0" w:color="auto"/>
            </w:tcBorders>
          </w:tcPr>
          <w:p w14:paraId="265D1AB4" w14:textId="77777777" w:rsidR="00F33674" w:rsidRPr="00F33674" w:rsidRDefault="00F33674" w:rsidP="00F33674">
            <w:pPr>
              <w:jc w:val="left"/>
              <w:rPr>
                <w:rFonts w:ascii="Arial Narrow" w:hAnsi="Arial Narrow" w:cs="Arial"/>
                <w:sz w:val="20"/>
                <w:szCs w:val="20"/>
              </w:rPr>
            </w:pPr>
            <w:r w:rsidRPr="00F33674">
              <w:rPr>
                <w:rFonts w:ascii="Arial Narrow" w:hAnsi="Arial Narrow" w:cs="Arial"/>
                <w:sz w:val="20"/>
                <w:szCs w:val="20"/>
              </w:rPr>
              <w:t>[6986] The risk of drug dependence is high.</w:t>
            </w:r>
          </w:p>
        </w:tc>
      </w:tr>
    </w:tbl>
    <w:p w14:paraId="5F180FC5" w14:textId="3B0069C8" w:rsidR="005D5751" w:rsidRDefault="005D5751" w:rsidP="00243407">
      <w:pPr>
        <w:rPr>
          <w:rFonts w:eastAsia="Calibri"/>
        </w:rPr>
      </w:pPr>
    </w:p>
    <w:tbl>
      <w:tblPr>
        <w:tblW w:w="9072" w:type="dxa"/>
        <w:tblInd w:w="-5" w:type="dxa"/>
        <w:tblLook w:val="0000" w:firstRow="0" w:lastRow="0" w:firstColumn="0" w:lastColumn="0" w:noHBand="0" w:noVBand="0"/>
      </w:tblPr>
      <w:tblGrid>
        <w:gridCol w:w="3183"/>
        <w:gridCol w:w="5889"/>
      </w:tblGrid>
      <w:tr w:rsidR="00265869" w:rsidRPr="00F33674" w14:paraId="439F0E5A" w14:textId="77777777" w:rsidTr="00C21DFA">
        <w:trPr>
          <w:cantSplit/>
          <w:trHeight w:val="360"/>
        </w:trPr>
        <w:tc>
          <w:tcPr>
            <w:tcW w:w="3183" w:type="dxa"/>
            <w:tcBorders>
              <w:top w:val="single" w:sz="4" w:space="0" w:color="auto"/>
              <w:left w:val="single" w:sz="4" w:space="0" w:color="auto"/>
              <w:bottom w:val="single" w:sz="4" w:space="0" w:color="auto"/>
              <w:right w:val="single" w:sz="4" w:space="0" w:color="auto"/>
            </w:tcBorders>
          </w:tcPr>
          <w:p w14:paraId="42E8D094" w14:textId="77777777" w:rsidR="00265869" w:rsidRPr="00F33674" w:rsidRDefault="00265869" w:rsidP="00265869">
            <w:pPr>
              <w:rPr>
                <w:rFonts w:ascii="Arial Narrow" w:hAnsi="Arial Narrow" w:cs="Arial"/>
                <w:b/>
                <w:sz w:val="20"/>
                <w:szCs w:val="20"/>
              </w:rPr>
            </w:pPr>
            <w:r w:rsidRPr="00F33674">
              <w:rPr>
                <w:rFonts w:ascii="Arial Narrow" w:hAnsi="Arial Narrow" w:cs="Arial"/>
                <w:b/>
                <w:sz w:val="20"/>
                <w:szCs w:val="20"/>
              </w:rPr>
              <w:t>Category / Program:</w:t>
            </w:r>
          </w:p>
        </w:tc>
        <w:tc>
          <w:tcPr>
            <w:tcW w:w="5889" w:type="dxa"/>
            <w:tcBorders>
              <w:top w:val="single" w:sz="4" w:space="0" w:color="auto"/>
              <w:left w:val="single" w:sz="4" w:space="0" w:color="auto"/>
              <w:bottom w:val="single" w:sz="4" w:space="0" w:color="auto"/>
              <w:right w:val="single" w:sz="4" w:space="0" w:color="auto"/>
            </w:tcBorders>
          </w:tcPr>
          <w:p w14:paraId="78969355" w14:textId="77777777" w:rsidR="00265869" w:rsidRPr="00F33674" w:rsidRDefault="00265869" w:rsidP="00265869">
            <w:pPr>
              <w:rPr>
                <w:rFonts w:ascii="Arial Narrow" w:hAnsi="Arial Narrow" w:cs="Arial"/>
                <w:sz w:val="20"/>
                <w:szCs w:val="20"/>
              </w:rPr>
            </w:pPr>
            <w:r w:rsidRPr="00F33674">
              <w:rPr>
                <w:rFonts w:ascii="Arial Narrow" w:hAnsi="Arial Narrow" w:cs="Arial"/>
                <w:sz w:val="20"/>
                <w:szCs w:val="20"/>
              </w:rPr>
              <w:t>GENERAL – General Schedule (Code GE)</w:t>
            </w:r>
          </w:p>
        </w:tc>
      </w:tr>
      <w:tr w:rsidR="00265869" w:rsidRPr="00F33674" w14:paraId="343ED4F3" w14:textId="77777777" w:rsidTr="00C21DFA">
        <w:trPr>
          <w:cantSplit/>
          <w:trHeight w:val="360"/>
        </w:trPr>
        <w:tc>
          <w:tcPr>
            <w:tcW w:w="3183" w:type="dxa"/>
            <w:tcBorders>
              <w:top w:val="single" w:sz="4" w:space="0" w:color="auto"/>
              <w:left w:val="single" w:sz="4" w:space="0" w:color="auto"/>
              <w:bottom w:val="single" w:sz="4" w:space="0" w:color="auto"/>
              <w:right w:val="single" w:sz="4" w:space="0" w:color="auto"/>
            </w:tcBorders>
          </w:tcPr>
          <w:p w14:paraId="47F670E1" w14:textId="77777777" w:rsidR="00265869" w:rsidRPr="00F33674" w:rsidRDefault="00265869" w:rsidP="00265869">
            <w:pPr>
              <w:rPr>
                <w:rFonts w:ascii="Arial Narrow" w:hAnsi="Arial Narrow" w:cs="Arial"/>
                <w:b/>
                <w:sz w:val="20"/>
                <w:szCs w:val="20"/>
              </w:rPr>
            </w:pPr>
            <w:r w:rsidRPr="00F33674">
              <w:rPr>
                <w:rFonts w:ascii="Arial Narrow" w:hAnsi="Arial Narrow" w:cs="Arial"/>
                <w:b/>
                <w:sz w:val="20"/>
                <w:szCs w:val="20"/>
              </w:rPr>
              <w:t>Prescriber type:</w:t>
            </w:r>
          </w:p>
          <w:p w14:paraId="54554DF1" w14:textId="77777777" w:rsidR="00265869" w:rsidRPr="00F33674" w:rsidRDefault="00265869" w:rsidP="00265869">
            <w:pPr>
              <w:rPr>
                <w:rFonts w:ascii="Arial Narrow" w:hAnsi="Arial Narrow" w:cs="Arial"/>
                <w:b/>
                <w:sz w:val="20"/>
                <w:szCs w:val="20"/>
              </w:rPr>
            </w:pPr>
          </w:p>
        </w:tc>
        <w:tc>
          <w:tcPr>
            <w:tcW w:w="5889" w:type="dxa"/>
            <w:tcBorders>
              <w:top w:val="single" w:sz="4" w:space="0" w:color="auto"/>
              <w:left w:val="single" w:sz="4" w:space="0" w:color="auto"/>
              <w:bottom w:val="single" w:sz="4" w:space="0" w:color="auto"/>
              <w:right w:val="single" w:sz="4" w:space="0" w:color="auto"/>
            </w:tcBorders>
          </w:tcPr>
          <w:p w14:paraId="679BE719" w14:textId="77777777" w:rsidR="00265869" w:rsidRPr="00F33674" w:rsidRDefault="00265869" w:rsidP="00265869">
            <w:pPr>
              <w:rPr>
                <w:rFonts w:ascii="Arial Narrow" w:hAnsi="Arial Narrow" w:cs="Arial"/>
                <w:sz w:val="20"/>
                <w:szCs w:val="20"/>
              </w:rPr>
            </w:pPr>
            <w:r w:rsidRPr="00F33674">
              <w:rPr>
                <w:rFonts w:ascii="Arial Narrow" w:hAnsi="Arial Narrow" w:cs="Arial"/>
                <w:sz w:val="20"/>
                <w:szCs w:val="20"/>
              </w:rPr>
              <w:fldChar w:fldCharType="begin">
                <w:ffData>
                  <w:name w:val="Check1"/>
                  <w:enabled/>
                  <w:calcOnExit w:val="0"/>
                  <w:checkBox>
                    <w:sizeAuto/>
                    <w:default w:val="0"/>
                  </w:checkBox>
                </w:ffData>
              </w:fldChar>
            </w:r>
            <w:r w:rsidRPr="00F33674">
              <w:rPr>
                <w:rFonts w:ascii="Arial Narrow" w:hAnsi="Arial Narrow" w:cs="Arial"/>
                <w:sz w:val="20"/>
                <w:szCs w:val="20"/>
              </w:rPr>
              <w:instrText xml:space="preserve"> FORMCHECKBOX </w:instrText>
            </w:r>
            <w:r w:rsidR="00233D13">
              <w:rPr>
                <w:rFonts w:ascii="Arial Narrow" w:hAnsi="Arial Narrow" w:cs="Arial"/>
                <w:sz w:val="20"/>
                <w:szCs w:val="20"/>
              </w:rPr>
            </w:r>
            <w:r w:rsidR="00233D13">
              <w:rPr>
                <w:rFonts w:ascii="Arial Narrow" w:hAnsi="Arial Narrow" w:cs="Arial"/>
                <w:sz w:val="20"/>
                <w:szCs w:val="20"/>
              </w:rPr>
              <w:fldChar w:fldCharType="separate"/>
            </w:r>
            <w:r w:rsidRPr="00F33674">
              <w:rPr>
                <w:rFonts w:ascii="Arial Narrow" w:hAnsi="Arial Narrow" w:cs="Arial"/>
                <w:sz w:val="20"/>
                <w:szCs w:val="20"/>
              </w:rPr>
              <w:fldChar w:fldCharType="end"/>
            </w:r>
            <w:r w:rsidRPr="00F33674">
              <w:rPr>
                <w:rFonts w:ascii="Arial Narrow" w:hAnsi="Arial Narrow" w:cs="Arial"/>
                <w:sz w:val="20"/>
                <w:szCs w:val="20"/>
              </w:rPr>
              <w:t>Dental</w:t>
            </w:r>
            <w:r>
              <w:rPr>
                <w:rFonts w:ascii="Arial Narrow" w:hAnsi="Arial Narrow" w:cs="Arial"/>
                <w:sz w:val="20"/>
                <w:szCs w:val="20"/>
              </w:rPr>
              <w:t xml:space="preserve"> </w:t>
            </w:r>
            <w:r w:rsidRPr="00F33674">
              <w:rPr>
                <w:rFonts w:ascii="Arial Narrow" w:hAnsi="Arial Narrow" w:cs="Arial"/>
                <w:sz w:val="20"/>
                <w:szCs w:val="20"/>
              </w:rPr>
              <w:fldChar w:fldCharType="begin">
                <w:ffData>
                  <w:name w:val=""/>
                  <w:enabled/>
                  <w:calcOnExit w:val="0"/>
                  <w:checkBox>
                    <w:sizeAuto/>
                    <w:default w:val="1"/>
                  </w:checkBox>
                </w:ffData>
              </w:fldChar>
            </w:r>
            <w:r w:rsidRPr="00F33674">
              <w:rPr>
                <w:rFonts w:ascii="Arial Narrow" w:hAnsi="Arial Narrow" w:cs="Arial"/>
                <w:sz w:val="20"/>
                <w:szCs w:val="20"/>
              </w:rPr>
              <w:instrText xml:space="preserve"> FORMCHECKBOX </w:instrText>
            </w:r>
            <w:r w:rsidR="00233D13">
              <w:rPr>
                <w:rFonts w:ascii="Arial Narrow" w:hAnsi="Arial Narrow" w:cs="Arial"/>
                <w:sz w:val="20"/>
                <w:szCs w:val="20"/>
              </w:rPr>
            </w:r>
            <w:r w:rsidR="00233D13">
              <w:rPr>
                <w:rFonts w:ascii="Arial Narrow" w:hAnsi="Arial Narrow" w:cs="Arial"/>
                <w:sz w:val="20"/>
                <w:szCs w:val="20"/>
              </w:rPr>
              <w:fldChar w:fldCharType="separate"/>
            </w:r>
            <w:r w:rsidRPr="00F33674">
              <w:rPr>
                <w:rFonts w:ascii="Arial Narrow" w:hAnsi="Arial Narrow" w:cs="Arial"/>
                <w:sz w:val="20"/>
                <w:szCs w:val="20"/>
              </w:rPr>
              <w:fldChar w:fldCharType="end"/>
            </w:r>
            <w:r w:rsidRPr="00F33674">
              <w:rPr>
                <w:rFonts w:ascii="Arial Narrow" w:hAnsi="Arial Narrow" w:cs="Arial"/>
                <w:sz w:val="20"/>
                <w:szCs w:val="20"/>
              </w:rPr>
              <w:t>Medical Practitioners</w:t>
            </w:r>
            <w:r>
              <w:rPr>
                <w:rFonts w:ascii="Arial Narrow" w:hAnsi="Arial Narrow" w:cs="Arial"/>
                <w:sz w:val="20"/>
                <w:szCs w:val="20"/>
              </w:rPr>
              <w:t xml:space="preserve"> </w:t>
            </w:r>
            <w:r w:rsidRPr="00F33674">
              <w:rPr>
                <w:rFonts w:ascii="Arial Narrow" w:hAnsi="Arial Narrow" w:cs="Arial"/>
                <w:sz w:val="20"/>
                <w:szCs w:val="20"/>
              </w:rPr>
              <w:fldChar w:fldCharType="begin">
                <w:ffData>
                  <w:name w:val="Check3"/>
                  <w:enabled/>
                  <w:calcOnExit w:val="0"/>
                  <w:checkBox>
                    <w:sizeAuto/>
                    <w:default w:val="1"/>
                  </w:checkBox>
                </w:ffData>
              </w:fldChar>
            </w:r>
            <w:r w:rsidRPr="00F33674">
              <w:rPr>
                <w:rFonts w:ascii="Arial Narrow" w:hAnsi="Arial Narrow" w:cs="Arial"/>
                <w:sz w:val="20"/>
                <w:szCs w:val="20"/>
              </w:rPr>
              <w:instrText xml:space="preserve"> FORMCHECKBOX </w:instrText>
            </w:r>
            <w:r w:rsidR="00233D13">
              <w:rPr>
                <w:rFonts w:ascii="Arial Narrow" w:hAnsi="Arial Narrow" w:cs="Arial"/>
                <w:sz w:val="20"/>
                <w:szCs w:val="20"/>
              </w:rPr>
            </w:r>
            <w:r w:rsidR="00233D13">
              <w:rPr>
                <w:rFonts w:ascii="Arial Narrow" w:hAnsi="Arial Narrow" w:cs="Arial"/>
                <w:sz w:val="20"/>
                <w:szCs w:val="20"/>
              </w:rPr>
              <w:fldChar w:fldCharType="separate"/>
            </w:r>
            <w:r w:rsidRPr="00F33674">
              <w:rPr>
                <w:rFonts w:ascii="Arial Narrow" w:hAnsi="Arial Narrow" w:cs="Arial"/>
                <w:sz w:val="20"/>
                <w:szCs w:val="20"/>
              </w:rPr>
              <w:fldChar w:fldCharType="end"/>
            </w:r>
            <w:r w:rsidRPr="00F33674">
              <w:rPr>
                <w:rFonts w:ascii="Arial Narrow" w:hAnsi="Arial Narrow" w:cs="Arial"/>
                <w:sz w:val="20"/>
                <w:szCs w:val="20"/>
              </w:rPr>
              <w:t>Nurse practitioners</w:t>
            </w:r>
            <w:r>
              <w:rPr>
                <w:rFonts w:ascii="Arial Narrow" w:hAnsi="Arial Narrow" w:cs="Arial"/>
                <w:sz w:val="20"/>
                <w:szCs w:val="20"/>
              </w:rPr>
              <w:t xml:space="preserve"> </w:t>
            </w:r>
            <w:r w:rsidRPr="00F33674">
              <w:rPr>
                <w:rFonts w:ascii="Arial Narrow" w:hAnsi="Arial Narrow" w:cs="Arial"/>
                <w:sz w:val="20"/>
                <w:szCs w:val="20"/>
              </w:rPr>
              <w:fldChar w:fldCharType="begin">
                <w:ffData>
                  <w:name w:val=""/>
                  <w:enabled/>
                  <w:calcOnExit w:val="0"/>
                  <w:checkBox>
                    <w:sizeAuto/>
                    <w:default w:val="0"/>
                  </w:checkBox>
                </w:ffData>
              </w:fldChar>
            </w:r>
            <w:r w:rsidRPr="00F33674">
              <w:rPr>
                <w:rFonts w:ascii="Arial Narrow" w:hAnsi="Arial Narrow" w:cs="Arial"/>
                <w:sz w:val="20"/>
                <w:szCs w:val="20"/>
              </w:rPr>
              <w:instrText xml:space="preserve"> FORMCHECKBOX </w:instrText>
            </w:r>
            <w:r w:rsidR="00233D13">
              <w:rPr>
                <w:rFonts w:ascii="Arial Narrow" w:hAnsi="Arial Narrow" w:cs="Arial"/>
                <w:sz w:val="20"/>
                <w:szCs w:val="20"/>
              </w:rPr>
            </w:r>
            <w:r w:rsidR="00233D13">
              <w:rPr>
                <w:rFonts w:ascii="Arial Narrow" w:hAnsi="Arial Narrow" w:cs="Arial"/>
                <w:sz w:val="20"/>
                <w:szCs w:val="20"/>
              </w:rPr>
              <w:fldChar w:fldCharType="separate"/>
            </w:r>
            <w:r w:rsidRPr="00F33674">
              <w:rPr>
                <w:rFonts w:ascii="Arial Narrow" w:hAnsi="Arial Narrow" w:cs="Arial"/>
                <w:sz w:val="20"/>
                <w:szCs w:val="20"/>
              </w:rPr>
              <w:fldChar w:fldCharType="end"/>
            </w:r>
            <w:r w:rsidRPr="00F33674">
              <w:rPr>
                <w:rFonts w:ascii="Arial Narrow" w:hAnsi="Arial Narrow" w:cs="Arial"/>
                <w:sz w:val="20"/>
                <w:szCs w:val="20"/>
              </w:rPr>
              <w:t>Optometrists</w:t>
            </w:r>
          </w:p>
          <w:p w14:paraId="62FD8E09" w14:textId="77777777" w:rsidR="00265869" w:rsidRPr="00F33674" w:rsidRDefault="00265869" w:rsidP="00265869">
            <w:pPr>
              <w:rPr>
                <w:rFonts w:ascii="Arial Narrow" w:hAnsi="Arial Narrow" w:cs="Arial"/>
                <w:sz w:val="20"/>
                <w:szCs w:val="20"/>
              </w:rPr>
            </w:pPr>
            <w:r w:rsidRPr="00F33674">
              <w:rPr>
                <w:rFonts w:ascii="Arial Narrow" w:hAnsi="Arial Narrow" w:cs="Arial"/>
                <w:sz w:val="20"/>
                <w:szCs w:val="20"/>
              </w:rPr>
              <w:fldChar w:fldCharType="begin">
                <w:ffData>
                  <w:name w:val="Check5"/>
                  <w:enabled/>
                  <w:calcOnExit w:val="0"/>
                  <w:checkBox>
                    <w:sizeAuto/>
                    <w:default w:val="0"/>
                  </w:checkBox>
                </w:ffData>
              </w:fldChar>
            </w:r>
            <w:r w:rsidRPr="00F33674">
              <w:rPr>
                <w:rFonts w:ascii="Arial Narrow" w:hAnsi="Arial Narrow" w:cs="Arial"/>
                <w:sz w:val="20"/>
                <w:szCs w:val="20"/>
              </w:rPr>
              <w:instrText xml:space="preserve"> FORMCHECKBOX </w:instrText>
            </w:r>
            <w:r w:rsidR="00233D13">
              <w:rPr>
                <w:rFonts w:ascii="Arial Narrow" w:hAnsi="Arial Narrow" w:cs="Arial"/>
                <w:sz w:val="20"/>
                <w:szCs w:val="20"/>
              </w:rPr>
            </w:r>
            <w:r w:rsidR="00233D13">
              <w:rPr>
                <w:rFonts w:ascii="Arial Narrow" w:hAnsi="Arial Narrow" w:cs="Arial"/>
                <w:sz w:val="20"/>
                <w:szCs w:val="20"/>
              </w:rPr>
              <w:fldChar w:fldCharType="separate"/>
            </w:r>
            <w:r w:rsidRPr="00F33674">
              <w:rPr>
                <w:rFonts w:ascii="Arial Narrow" w:hAnsi="Arial Narrow" w:cs="Arial"/>
                <w:sz w:val="20"/>
                <w:szCs w:val="20"/>
              </w:rPr>
              <w:fldChar w:fldCharType="end"/>
            </w:r>
            <w:r w:rsidRPr="00F33674">
              <w:rPr>
                <w:rFonts w:ascii="Arial Narrow" w:hAnsi="Arial Narrow" w:cs="Arial"/>
                <w:sz w:val="20"/>
                <w:szCs w:val="20"/>
              </w:rPr>
              <w:t>Midwives</w:t>
            </w:r>
          </w:p>
        </w:tc>
      </w:tr>
      <w:tr w:rsidR="00265869" w:rsidRPr="00F33674" w14:paraId="03B28930" w14:textId="77777777" w:rsidTr="00C21DFA">
        <w:trPr>
          <w:cantSplit/>
          <w:trHeight w:val="369"/>
        </w:trPr>
        <w:tc>
          <w:tcPr>
            <w:tcW w:w="3183" w:type="dxa"/>
            <w:tcBorders>
              <w:top w:val="single" w:sz="4" w:space="0" w:color="auto"/>
              <w:left w:val="single" w:sz="4" w:space="0" w:color="auto"/>
              <w:bottom w:val="single" w:sz="4" w:space="0" w:color="auto"/>
              <w:right w:val="single" w:sz="4" w:space="0" w:color="auto"/>
            </w:tcBorders>
          </w:tcPr>
          <w:p w14:paraId="697C3468" w14:textId="77777777" w:rsidR="00265869" w:rsidRPr="00F33674" w:rsidRDefault="00265869" w:rsidP="00265869">
            <w:pPr>
              <w:rPr>
                <w:rFonts w:ascii="Arial Narrow" w:hAnsi="Arial Narrow" w:cs="Arial"/>
                <w:b/>
                <w:sz w:val="20"/>
                <w:szCs w:val="20"/>
              </w:rPr>
            </w:pPr>
            <w:r w:rsidRPr="00F33674">
              <w:rPr>
                <w:rFonts w:ascii="Arial Narrow" w:hAnsi="Arial Narrow" w:cs="Arial"/>
                <w:b/>
                <w:sz w:val="20"/>
                <w:szCs w:val="20"/>
              </w:rPr>
              <w:t>PBS indication:</w:t>
            </w:r>
          </w:p>
        </w:tc>
        <w:tc>
          <w:tcPr>
            <w:tcW w:w="5889" w:type="dxa"/>
            <w:tcBorders>
              <w:top w:val="single" w:sz="4" w:space="0" w:color="auto"/>
              <w:left w:val="single" w:sz="4" w:space="0" w:color="auto"/>
              <w:bottom w:val="single" w:sz="4" w:space="0" w:color="auto"/>
              <w:right w:val="single" w:sz="4" w:space="0" w:color="auto"/>
            </w:tcBorders>
          </w:tcPr>
          <w:p w14:paraId="5CF37A95" w14:textId="77777777" w:rsidR="00265869" w:rsidRPr="00F33674" w:rsidRDefault="00265869" w:rsidP="00265869">
            <w:pPr>
              <w:rPr>
                <w:rFonts w:ascii="Arial Narrow" w:hAnsi="Arial Narrow" w:cs="Arial"/>
                <w:sz w:val="20"/>
                <w:szCs w:val="20"/>
              </w:rPr>
            </w:pPr>
            <w:r w:rsidRPr="00F33674">
              <w:rPr>
                <w:rFonts w:ascii="Arial Narrow" w:hAnsi="Arial Narrow" w:cs="Arial"/>
                <w:sz w:val="20"/>
                <w:szCs w:val="20"/>
              </w:rPr>
              <w:t>[9729] Chronic severe disabling pain</w:t>
            </w:r>
          </w:p>
        </w:tc>
      </w:tr>
      <w:tr w:rsidR="00265869" w:rsidRPr="00F33674" w14:paraId="693DFECF" w14:textId="77777777" w:rsidTr="00C21DFA">
        <w:trPr>
          <w:cantSplit/>
          <w:trHeight w:val="360"/>
        </w:trPr>
        <w:tc>
          <w:tcPr>
            <w:tcW w:w="3183" w:type="dxa"/>
            <w:tcBorders>
              <w:top w:val="single" w:sz="4" w:space="0" w:color="auto"/>
              <w:left w:val="single" w:sz="4" w:space="0" w:color="auto"/>
              <w:bottom w:val="single" w:sz="4" w:space="0" w:color="auto"/>
              <w:right w:val="single" w:sz="4" w:space="0" w:color="auto"/>
            </w:tcBorders>
          </w:tcPr>
          <w:p w14:paraId="7345AEDB" w14:textId="77777777" w:rsidR="00265869" w:rsidRPr="00F33674" w:rsidRDefault="00265869" w:rsidP="00265869">
            <w:pPr>
              <w:rPr>
                <w:rFonts w:ascii="Arial Narrow" w:hAnsi="Arial Narrow" w:cs="Arial"/>
                <w:b/>
                <w:sz w:val="20"/>
                <w:szCs w:val="20"/>
              </w:rPr>
            </w:pPr>
            <w:r w:rsidRPr="00F33674">
              <w:rPr>
                <w:rFonts w:ascii="Arial Narrow" w:hAnsi="Arial Narrow" w:cs="Arial"/>
                <w:b/>
                <w:sz w:val="20"/>
                <w:szCs w:val="20"/>
              </w:rPr>
              <w:t>Restriction Level / Method:</w:t>
            </w:r>
          </w:p>
          <w:p w14:paraId="5351FF25" w14:textId="77777777" w:rsidR="00265869" w:rsidRPr="00F33674" w:rsidRDefault="00265869" w:rsidP="00265869">
            <w:pPr>
              <w:rPr>
                <w:rFonts w:ascii="Arial Narrow" w:hAnsi="Arial Narrow" w:cs="Arial"/>
                <w:i/>
                <w:sz w:val="20"/>
                <w:szCs w:val="20"/>
              </w:rPr>
            </w:pPr>
          </w:p>
          <w:p w14:paraId="0BB60463" w14:textId="77777777" w:rsidR="00265869" w:rsidRPr="00F33674" w:rsidRDefault="00265869" w:rsidP="00265869">
            <w:pPr>
              <w:rPr>
                <w:rFonts w:ascii="Arial Narrow" w:hAnsi="Arial Narrow" w:cs="Arial"/>
                <w:i/>
                <w:sz w:val="20"/>
                <w:szCs w:val="20"/>
              </w:rPr>
            </w:pPr>
          </w:p>
          <w:p w14:paraId="60D30A8D" w14:textId="77777777" w:rsidR="00265869" w:rsidRPr="00F33674" w:rsidRDefault="00265869" w:rsidP="00265869">
            <w:pPr>
              <w:rPr>
                <w:rFonts w:ascii="Arial Narrow" w:hAnsi="Arial Narrow" w:cs="Arial"/>
                <w:i/>
                <w:sz w:val="20"/>
                <w:szCs w:val="20"/>
              </w:rPr>
            </w:pPr>
          </w:p>
        </w:tc>
        <w:tc>
          <w:tcPr>
            <w:tcW w:w="5889" w:type="dxa"/>
            <w:tcBorders>
              <w:top w:val="single" w:sz="4" w:space="0" w:color="auto"/>
              <w:left w:val="single" w:sz="4" w:space="0" w:color="auto"/>
              <w:bottom w:val="single" w:sz="4" w:space="0" w:color="auto"/>
              <w:right w:val="single" w:sz="4" w:space="0" w:color="auto"/>
            </w:tcBorders>
          </w:tcPr>
          <w:p w14:paraId="1B48B318" w14:textId="77777777" w:rsidR="00265869" w:rsidRPr="00F33674" w:rsidRDefault="00265869" w:rsidP="00265869">
            <w:pPr>
              <w:rPr>
                <w:rFonts w:ascii="Arial Narrow" w:hAnsi="Arial Narrow" w:cs="Arial"/>
                <w:sz w:val="20"/>
                <w:szCs w:val="20"/>
              </w:rPr>
            </w:pPr>
            <w:r w:rsidRPr="00F33674">
              <w:rPr>
                <w:rFonts w:ascii="Arial Narrow" w:hAnsi="Arial Narrow" w:cs="Arial"/>
                <w:sz w:val="20"/>
                <w:szCs w:val="20"/>
              </w:rPr>
              <w:fldChar w:fldCharType="begin">
                <w:ffData>
                  <w:name w:val=""/>
                  <w:enabled/>
                  <w:calcOnExit w:val="0"/>
                  <w:checkBox>
                    <w:sizeAuto/>
                    <w:default w:val="0"/>
                  </w:checkBox>
                </w:ffData>
              </w:fldChar>
            </w:r>
            <w:r w:rsidRPr="00F33674">
              <w:rPr>
                <w:rFonts w:ascii="Arial Narrow" w:hAnsi="Arial Narrow" w:cs="Arial"/>
                <w:sz w:val="20"/>
                <w:szCs w:val="20"/>
              </w:rPr>
              <w:instrText xml:space="preserve"> FORMCHECKBOX </w:instrText>
            </w:r>
            <w:r w:rsidR="00233D13">
              <w:rPr>
                <w:rFonts w:ascii="Arial Narrow" w:hAnsi="Arial Narrow" w:cs="Arial"/>
                <w:sz w:val="20"/>
                <w:szCs w:val="20"/>
              </w:rPr>
            </w:r>
            <w:r w:rsidR="00233D13">
              <w:rPr>
                <w:rFonts w:ascii="Arial Narrow" w:hAnsi="Arial Narrow" w:cs="Arial"/>
                <w:sz w:val="20"/>
                <w:szCs w:val="20"/>
              </w:rPr>
              <w:fldChar w:fldCharType="separate"/>
            </w:r>
            <w:r w:rsidRPr="00F33674">
              <w:rPr>
                <w:rFonts w:ascii="Arial Narrow" w:hAnsi="Arial Narrow" w:cs="Arial"/>
                <w:sz w:val="20"/>
                <w:szCs w:val="20"/>
              </w:rPr>
              <w:fldChar w:fldCharType="end"/>
            </w:r>
            <w:r w:rsidRPr="00F33674">
              <w:rPr>
                <w:rFonts w:ascii="Arial Narrow" w:hAnsi="Arial Narrow" w:cs="Arial"/>
                <w:sz w:val="20"/>
                <w:szCs w:val="20"/>
              </w:rPr>
              <w:t>Unrestricted benefit</w:t>
            </w:r>
          </w:p>
          <w:p w14:paraId="4F0B5A76" w14:textId="77777777" w:rsidR="00265869" w:rsidRPr="00F33674" w:rsidRDefault="00265869" w:rsidP="00265869">
            <w:pPr>
              <w:rPr>
                <w:rFonts w:ascii="Arial Narrow" w:hAnsi="Arial Narrow" w:cs="Arial"/>
                <w:i/>
                <w:sz w:val="20"/>
                <w:szCs w:val="20"/>
              </w:rPr>
            </w:pPr>
            <w:r w:rsidRPr="00F33674">
              <w:rPr>
                <w:rFonts w:ascii="Arial Narrow" w:hAnsi="Arial Narrow" w:cs="Arial"/>
                <w:i/>
                <w:sz w:val="20"/>
                <w:szCs w:val="20"/>
              </w:rPr>
              <w:fldChar w:fldCharType="begin">
                <w:ffData>
                  <w:name w:val=""/>
                  <w:enabled/>
                  <w:calcOnExit w:val="0"/>
                  <w:checkBox>
                    <w:sizeAuto/>
                    <w:default w:val="0"/>
                  </w:checkBox>
                </w:ffData>
              </w:fldChar>
            </w:r>
            <w:r w:rsidRPr="00F33674">
              <w:rPr>
                <w:rFonts w:ascii="Arial Narrow" w:hAnsi="Arial Narrow" w:cs="Arial"/>
                <w:i/>
                <w:sz w:val="20"/>
                <w:szCs w:val="20"/>
              </w:rPr>
              <w:instrText xml:space="preserve"> FORMCHECKBOX </w:instrText>
            </w:r>
            <w:r w:rsidR="00233D13">
              <w:rPr>
                <w:rFonts w:ascii="Arial Narrow" w:hAnsi="Arial Narrow" w:cs="Arial"/>
                <w:i/>
                <w:sz w:val="20"/>
                <w:szCs w:val="20"/>
              </w:rPr>
            </w:r>
            <w:r w:rsidR="00233D13">
              <w:rPr>
                <w:rFonts w:ascii="Arial Narrow" w:hAnsi="Arial Narrow" w:cs="Arial"/>
                <w:i/>
                <w:sz w:val="20"/>
                <w:szCs w:val="20"/>
              </w:rPr>
              <w:fldChar w:fldCharType="separate"/>
            </w:r>
            <w:r w:rsidRPr="00F33674">
              <w:rPr>
                <w:rFonts w:ascii="Arial Narrow" w:hAnsi="Arial Narrow" w:cs="Arial"/>
                <w:i/>
                <w:sz w:val="20"/>
                <w:szCs w:val="20"/>
              </w:rPr>
              <w:fldChar w:fldCharType="end"/>
            </w:r>
            <w:r w:rsidRPr="00F33674">
              <w:rPr>
                <w:rFonts w:ascii="Arial Narrow" w:hAnsi="Arial Narrow" w:cs="Arial"/>
                <w:sz w:val="20"/>
                <w:szCs w:val="20"/>
              </w:rPr>
              <w:t>Restricted benefit</w:t>
            </w:r>
          </w:p>
          <w:p w14:paraId="019A4A4C" w14:textId="77777777" w:rsidR="00265869" w:rsidRPr="00F33674" w:rsidRDefault="00265869" w:rsidP="00265869">
            <w:pPr>
              <w:rPr>
                <w:rFonts w:ascii="Arial Narrow" w:hAnsi="Arial Narrow" w:cs="Arial"/>
                <w:sz w:val="20"/>
                <w:szCs w:val="20"/>
              </w:rPr>
            </w:pPr>
            <w:r w:rsidRPr="00F33674">
              <w:rPr>
                <w:rFonts w:ascii="Arial Narrow" w:hAnsi="Arial Narrow" w:cs="Arial"/>
                <w:sz w:val="20"/>
                <w:szCs w:val="20"/>
              </w:rPr>
              <w:fldChar w:fldCharType="begin">
                <w:ffData>
                  <w:name w:val=""/>
                  <w:enabled/>
                  <w:calcOnExit w:val="0"/>
                  <w:checkBox>
                    <w:sizeAuto/>
                    <w:default w:val="0"/>
                  </w:checkBox>
                </w:ffData>
              </w:fldChar>
            </w:r>
            <w:r w:rsidRPr="00F33674">
              <w:rPr>
                <w:rFonts w:ascii="Arial Narrow" w:hAnsi="Arial Narrow" w:cs="Arial"/>
                <w:sz w:val="20"/>
                <w:szCs w:val="20"/>
              </w:rPr>
              <w:instrText xml:space="preserve"> FORMCHECKBOX </w:instrText>
            </w:r>
            <w:r w:rsidR="00233D13">
              <w:rPr>
                <w:rFonts w:ascii="Arial Narrow" w:hAnsi="Arial Narrow" w:cs="Arial"/>
                <w:sz w:val="20"/>
                <w:szCs w:val="20"/>
              </w:rPr>
            </w:r>
            <w:r w:rsidR="00233D13">
              <w:rPr>
                <w:rFonts w:ascii="Arial Narrow" w:hAnsi="Arial Narrow" w:cs="Arial"/>
                <w:sz w:val="20"/>
                <w:szCs w:val="20"/>
              </w:rPr>
              <w:fldChar w:fldCharType="separate"/>
            </w:r>
            <w:r w:rsidRPr="00F33674">
              <w:rPr>
                <w:rFonts w:ascii="Arial Narrow" w:hAnsi="Arial Narrow" w:cs="Arial"/>
                <w:sz w:val="20"/>
                <w:szCs w:val="20"/>
              </w:rPr>
              <w:fldChar w:fldCharType="end"/>
            </w:r>
            <w:r w:rsidRPr="00F33674">
              <w:rPr>
                <w:rFonts w:ascii="Arial Narrow" w:hAnsi="Arial Narrow" w:cs="Arial"/>
                <w:sz w:val="20"/>
                <w:szCs w:val="20"/>
              </w:rPr>
              <w:t>Authority Required – In Writing</w:t>
            </w:r>
          </w:p>
          <w:p w14:paraId="1720E887" w14:textId="77777777" w:rsidR="00265869" w:rsidRPr="00F33674" w:rsidRDefault="00265869" w:rsidP="00265869">
            <w:pPr>
              <w:rPr>
                <w:rFonts w:ascii="Arial Narrow" w:hAnsi="Arial Narrow" w:cs="Arial"/>
                <w:sz w:val="20"/>
                <w:szCs w:val="20"/>
              </w:rPr>
            </w:pPr>
            <w:r w:rsidRPr="00F33674">
              <w:rPr>
                <w:rFonts w:ascii="Arial Narrow" w:hAnsi="Arial Narrow" w:cs="Arial"/>
                <w:sz w:val="20"/>
                <w:szCs w:val="20"/>
              </w:rPr>
              <w:fldChar w:fldCharType="begin">
                <w:ffData>
                  <w:name w:val="Check3"/>
                  <w:enabled/>
                  <w:calcOnExit w:val="0"/>
                  <w:checkBox>
                    <w:sizeAuto/>
                    <w:default w:val="0"/>
                  </w:checkBox>
                </w:ffData>
              </w:fldChar>
            </w:r>
            <w:r w:rsidRPr="00F33674">
              <w:rPr>
                <w:rFonts w:ascii="Arial Narrow" w:hAnsi="Arial Narrow" w:cs="Arial"/>
                <w:sz w:val="20"/>
                <w:szCs w:val="20"/>
              </w:rPr>
              <w:instrText xml:space="preserve"> FORMCHECKBOX </w:instrText>
            </w:r>
            <w:r w:rsidR="00233D13">
              <w:rPr>
                <w:rFonts w:ascii="Arial Narrow" w:hAnsi="Arial Narrow" w:cs="Arial"/>
                <w:sz w:val="20"/>
                <w:szCs w:val="20"/>
              </w:rPr>
            </w:r>
            <w:r w:rsidR="00233D13">
              <w:rPr>
                <w:rFonts w:ascii="Arial Narrow" w:hAnsi="Arial Narrow" w:cs="Arial"/>
                <w:sz w:val="20"/>
                <w:szCs w:val="20"/>
              </w:rPr>
              <w:fldChar w:fldCharType="separate"/>
            </w:r>
            <w:r w:rsidRPr="00F33674">
              <w:rPr>
                <w:rFonts w:ascii="Arial Narrow" w:hAnsi="Arial Narrow" w:cs="Arial"/>
                <w:sz w:val="20"/>
                <w:szCs w:val="20"/>
              </w:rPr>
              <w:fldChar w:fldCharType="end"/>
            </w:r>
            <w:r w:rsidRPr="00F33674">
              <w:rPr>
                <w:rFonts w:ascii="Arial Narrow" w:hAnsi="Arial Narrow" w:cs="Arial"/>
                <w:sz w:val="20"/>
                <w:szCs w:val="20"/>
              </w:rPr>
              <w:t>Authority Required – Telephone/Electronic/Emergency</w:t>
            </w:r>
          </w:p>
          <w:p w14:paraId="64854F3F" w14:textId="77777777" w:rsidR="00265869" w:rsidRPr="00F33674" w:rsidRDefault="00265869" w:rsidP="00265869">
            <w:pPr>
              <w:rPr>
                <w:rFonts w:ascii="Arial Narrow" w:hAnsi="Arial Narrow" w:cs="Arial"/>
                <w:sz w:val="20"/>
                <w:szCs w:val="20"/>
              </w:rPr>
            </w:pPr>
            <w:r w:rsidRPr="00F33674">
              <w:rPr>
                <w:rFonts w:ascii="Arial Narrow" w:hAnsi="Arial Narrow" w:cs="Arial"/>
                <w:sz w:val="20"/>
                <w:szCs w:val="20"/>
              </w:rPr>
              <w:fldChar w:fldCharType="begin">
                <w:ffData>
                  <w:name w:val="Check5"/>
                  <w:enabled/>
                  <w:calcOnExit w:val="0"/>
                  <w:checkBox>
                    <w:sizeAuto/>
                    <w:default w:val="1"/>
                  </w:checkBox>
                </w:ffData>
              </w:fldChar>
            </w:r>
            <w:r w:rsidRPr="00F33674">
              <w:rPr>
                <w:rFonts w:ascii="Arial Narrow" w:hAnsi="Arial Narrow" w:cs="Arial"/>
                <w:sz w:val="20"/>
                <w:szCs w:val="20"/>
              </w:rPr>
              <w:instrText xml:space="preserve"> FORMCHECKBOX </w:instrText>
            </w:r>
            <w:r w:rsidR="00233D13">
              <w:rPr>
                <w:rFonts w:ascii="Arial Narrow" w:hAnsi="Arial Narrow" w:cs="Arial"/>
                <w:sz w:val="20"/>
                <w:szCs w:val="20"/>
              </w:rPr>
            </w:r>
            <w:r w:rsidR="00233D13">
              <w:rPr>
                <w:rFonts w:ascii="Arial Narrow" w:hAnsi="Arial Narrow" w:cs="Arial"/>
                <w:sz w:val="20"/>
                <w:szCs w:val="20"/>
              </w:rPr>
              <w:fldChar w:fldCharType="separate"/>
            </w:r>
            <w:r w:rsidRPr="00F33674">
              <w:rPr>
                <w:rFonts w:ascii="Arial Narrow" w:hAnsi="Arial Narrow" w:cs="Arial"/>
                <w:sz w:val="20"/>
                <w:szCs w:val="20"/>
              </w:rPr>
              <w:fldChar w:fldCharType="end"/>
            </w:r>
            <w:r w:rsidRPr="00F33674">
              <w:rPr>
                <w:rFonts w:ascii="Arial Narrow" w:hAnsi="Arial Narrow" w:cs="Arial"/>
                <w:sz w:val="20"/>
                <w:szCs w:val="20"/>
              </w:rPr>
              <w:t>Streamlined</w:t>
            </w:r>
          </w:p>
        </w:tc>
      </w:tr>
      <w:tr w:rsidR="00265869" w:rsidRPr="00F33674" w14:paraId="6399D63A" w14:textId="77777777" w:rsidTr="00C21DFA">
        <w:trPr>
          <w:cantSplit/>
          <w:trHeight w:val="360"/>
        </w:trPr>
        <w:tc>
          <w:tcPr>
            <w:tcW w:w="3183" w:type="dxa"/>
            <w:tcBorders>
              <w:top w:val="single" w:sz="4" w:space="0" w:color="auto"/>
              <w:left w:val="single" w:sz="4" w:space="0" w:color="auto"/>
              <w:bottom w:val="single" w:sz="4" w:space="0" w:color="auto"/>
              <w:right w:val="single" w:sz="4" w:space="0" w:color="auto"/>
            </w:tcBorders>
          </w:tcPr>
          <w:p w14:paraId="0A654855" w14:textId="77777777" w:rsidR="00265869" w:rsidRPr="00F33674" w:rsidRDefault="00265869" w:rsidP="00265869">
            <w:pPr>
              <w:rPr>
                <w:rFonts w:ascii="Arial Narrow" w:hAnsi="Arial Narrow" w:cs="Arial"/>
                <w:b/>
                <w:sz w:val="20"/>
                <w:szCs w:val="20"/>
              </w:rPr>
            </w:pPr>
            <w:r>
              <w:rPr>
                <w:rFonts w:ascii="Arial Narrow" w:hAnsi="Arial Narrow" w:cs="Arial"/>
                <w:b/>
                <w:sz w:val="20"/>
                <w:szCs w:val="20"/>
              </w:rPr>
              <w:t>Treatment phase:</w:t>
            </w:r>
          </w:p>
        </w:tc>
        <w:tc>
          <w:tcPr>
            <w:tcW w:w="5889" w:type="dxa"/>
            <w:tcBorders>
              <w:top w:val="single" w:sz="4" w:space="0" w:color="auto"/>
              <w:left w:val="single" w:sz="4" w:space="0" w:color="auto"/>
              <w:bottom w:val="single" w:sz="4" w:space="0" w:color="auto"/>
              <w:right w:val="single" w:sz="4" w:space="0" w:color="auto"/>
            </w:tcBorders>
          </w:tcPr>
          <w:p w14:paraId="6A94A564" w14:textId="77777777" w:rsidR="00265869" w:rsidRPr="00F33674" w:rsidRDefault="00265869" w:rsidP="00265869">
            <w:pPr>
              <w:jc w:val="left"/>
              <w:rPr>
                <w:rFonts w:ascii="Arial Narrow" w:hAnsi="Arial Narrow" w:cs="Arial"/>
                <w:sz w:val="20"/>
                <w:szCs w:val="20"/>
              </w:rPr>
            </w:pPr>
            <w:r w:rsidRPr="004811F3">
              <w:rPr>
                <w:rFonts w:ascii="Arial Narrow" w:hAnsi="Arial Narrow" w:cs="Arial"/>
                <w:sz w:val="20"/>
                <w:szCs w:val="20"/>
              </w:rPr>
              <w:t xml:space="preserve">Initial PBS treatment after 1 June 2020 where patient </w:t>
            </w:r>
            <w:proofErr w:type="gramStart"/>
            <w:r w:rsidRPr="004811F3">
              <w:rPr>
                <w:rFonts w:ascii="Arial Narrow" w:hAnsi="Arial Narrow" w:cs="Arial"/>
                <w:sz w:val="20"/>
                <w:szCs w:val="20"/>
              </w:rPr>
              <w:t>has been treated</w:t>
            </w:r>
            <w:proofErr w:type="gramEnd"/>
            <w:r w:rsidRPr="004811F3">
              <w:rPr>
                <w:rFonts w:ascii="Arial Narrow" w:hAnsi="Arial Narrow" w:cs="Arial"/>
                <w:sz w:val="20"/>
                <w:szCs w:val="20"/>
              </w:rPr>
              <w:t xml:space="preserve"> with opioids for </w:t>
            </w:r>
            <w:r>
              <w:rPr>
                <w:rFonts w:ascii="Arial Narrow" w:hAnsi="Arial Narrow" w:cs="Arial"/>
                <w:sz w:val="20"/>
                <w:szCs w:val="20"/>
              </w:rPr>
              <w:t>more</w:t>
            </w:r>
            <w:r w:rsidRPr="004811F3">
              <w:rPr>
                <w:rFonts w:ascii="Arial Narrow" w:hAnsi="Arial Narrow" w:cs="Arial"/>
                <w:sz w:val="20"/>
                <w:szCs w:val="20"/>
              </w:rPr>
              <w:t xml:space="preserve"> than 12 months</w:t>
            </w:r>
            <w:r>
              <w:rPr>
                <w:rFonts w:ascii="Arial Narrow" w:hAnsi="Arial Narrow" w:cs="Arial"/>
                <w:sz w:val="20"/>
                <w:szCs w:val="20"/>
              </w:rPr>
              <w:t>.</w:t>
            </w:r>
          </w:p>
        </w:tc>
      </w:tr>
      <w:tr w:rsidR="00265869" w:rsidRPr="00F33674" w14:paraId="41105934" w14:textId="77777777" w:rsidTr="00C21DFA">
        <w:trPr>
          <w:cantSplit/>
          <w:trHeight w:val="360"/>
        </w:trPr>
        <w:tc>
          <w:tcPr>
            <w:tcW w:w="3183" w:type="dxa"/>
            <w:tcBorders>
              <w:top w:val="single" w:sz="4" w:space="0" w:color="auto"/>
              <w:left w:val="single" w:sz="4" w:space="0" w:color="auto"/>
              <w:bottom w:val="single" w:sz="4" w:space="0" w:color="auto"/>
              <w:right w:val="single" w:sz="4" w:space="0" w:color="auto"/>
            </w:tcBorders>
          </w:tcPr>
          <w:p w14:paraId="1FBC544D" w14:textId="77777777" w:rsidR="00265869" w:rsidRPr="00F33674" w:rsidRDefault="00265869" w:rsidP="00265869">
            <w:pPr>
              <w:rPr>
                <w:rFonts w:ascii="Arial Narrow" w:hAnsi="Arial Narrow" w:cs="Arial"/>
                <w:b/>
                <w:sz w:val="20"/>
                <w:szCs w:val="20"/>
              </w:rPr>
            </w:pPr>
            <w:r w:rsidRPr="00F33674">
              <w:rPr>
                <w:rFonts w:ascii="Arial Narrow" w:hAnsi="Arial Narrow" w:cs="Arial"/>
                <w:b/>
                <w:sz w:val="20"/>
                <w:szCs w:val="20"/>
              </w:rPr>
              <w:t>Clinical criteria:</w:t>
            </w:r>
          </w:p>
        </w:tc>
        <w:tc>
          <w:tcPr>
            <w:tcW w:w="5889" w:type="dxa"/>
            <w:tcBorders>
              <w:top w:val="single" w:sz="4" w:space="0" w:color="auto"/>
              <w:left w:val="single" w:sz="4" w:space="0" w:color="auto"/>
              <w:bottom w:val="single" w:sz="4" w:space="0" w:color="auto"/>
              <w:right w:val="single" w:sz="4" w:space="0" w:color="auto"/>
            </w:tcBorders>
          </w:tcPr>
          <w:p w14:paraId="16FAD0A9" w14:textId="77777777" w:rsidR="00265869" w:rsidRPr="00F33674" w:rsidRDefault="00265869" w:rsidP="00265869">
            <w:pPr>
              <w:jc w:val="left"/>
              <w:rPr>
                <w:rFonts w:ascii="Arial Narrow" w:hAnsi="Arial Narrow" w:cs="Arial"/>
                <w:sz w:val="20"/>
                <w:szCs w:val="20"/>
              </w:rPr>
            </w:pPr>
            <w:r w:rsidRPr="00F33674">
              <w:rPr>
                <w:rFonts w:ascii="Arial Narrow" w:hAnsi="Arial Narrow" w:cs="Arial"/>
                <w:sz w:val="20"/>
                <w:szCs w:val="20"/>
              </w:rPr>
              <w:t>[new] The condition must require daily, continuous, long term treatment</w:t>
            </w:r>
          </w:p>
          <w:p w14:paraId="2F23B033" w14:textId="77777777" w:rsidR="00265869" w:rsidRPr="00F33674" w:rsidRDefault="00265869" w:rsidP="00265869">
            <w:pPr>
              <w:jc w:val="left"/>
              <w:rPr>
                <w:rFonts w:ascii="Arial Narrow" w:hAnsi="Arial Narrow" w:cs="Arial"/>
                <w:sz w:val="20"/>
                <w:szCs w:val="20"/>
              </w:rPr>
            </w:pPr>
          </w:p>
          <w:p w14:paraId="072B4EFA" w14:textId="77777777" w:rsidR="00265869" w:rsidRPr="00F33674" w:rsidRDefault="00265869" w:rsidP="00265869">
            <w:pPr>
              <w:jc w:val="left"/>
              <w:rPr>
                <w:rFonts w:ascii="Arial Narrow" w:hAnsi="Arial Narrow" w:cs="Arial"/>
                <w:sz w:val="20"/>
                <w:szCs w:val="20"/>
              </w:rPr>
            </w:pPr>
            <w:r w:rsidRPr="00F33674">
              <w:rPr>
                <w:rFonts w:ascii="Arial Narrow" w:hAnsi="Arial Narrow" w:cs="Arial"/>
                <w:sz w:val="20"/>
                <w:szCs w:val="20"/>
              </w:rPr>
              <w:t>AND</w:t>
            </w:r>
          </w:p>
          <w:p w14:paraId="23817403" w14:textId="77777777" w:rsidR="00265869" w:rsidRPr="00F33674" w:rsidRDefault="00265869" w:rsidP="00265869">
            <w:pPr>
              <w:jc w:val="left"/>
              <w:rPr>
                <w:rFonts w:ascii="Arial Narrow" w:hAnsi="Arial Narrow" w:cs="Arial"/>
                <w:sz w:val="20"/>
                <w:szCs w:val="20"/>
              </w:rPr>
            </w:pPr>
          </w:p>
          <w:p w14:paraId="384C4A7E" w14:textId="77777777" w:rsidR="00265869" w:rsidRPr="00F33674" w:rsidRDefault="00265869" w:rsidP="00265869">
            <w:pPr>
              <w:jc w:val="left"/>
              <w:rPr>
                <w:rFonts w:ascii="Arial Narrow" w:hAnsi="Arial Narrow" w:cs="Arial"/>
                <w:sz w:val="20"/>
                <w:szCs w:val="20"/>
              </w:rPr>
            </w:pPr>
            <w:r w:rsidRPr="00F33674">
              <w:rPr>
                <w:rFonts w:ascii="Arial Narrow" w:hAnsi="Arial Narrow" w:cs="Arial"/>
                <w:sz w:val="20"/>
                <w:szCs w:val="20"/>
              </w:rPr>
              <w:t>[new] Patient must not be opioid naïve</w:t>
            </w:r>
          </w:p>
          <w:p w14:paraId="61D28E7A" w14:textId="77777777" w:rsidR="00265869" w:rsidRPr="00F33674" w:rsidRDefault="00265869" w:rsidP="00265869">
            <w:pPr>
              <w:jc w:val="left"/>
              <w:rPr>
                <w:rFonts w:ascii="Arial Narrow" w:hAnsi="Arial Narrow" w:cs="Arial"/>
                <w:sz w:val="20"/>
                <w:szCs w:val="20"/>
              </w:rPr>
            </w:pPr>
          </w:p>
          <w:p w14:paraId="65B0BBD4" w14:textId="77777777" w:rsidR="00265869" w:rsidRPr="00F33674" w:rsidRDefault="00265869" w:rsidP="00265869">
            <w:pPr>
              <w:jc w:val="left"/>
              <w:rPr>
                <w:rFonts w:ascii="Arial Narrow" w:hAnsi="Arial Narrow" w:cs="Arial"/>
                <w:sz w:val="20"/>
                <w:szCs w:val="20"/>
              </w:rPr>
            </w:pPr>
            <w:r w:rsidRPr="00F33674">
              <w:rPr>
                <w:rFonts w:ascii="Arial Narrow" w:hAnsi="Arial Narrow" w:cs="Arial"/>
                <w:sz w:val="20"/>
                <w:szCs w:val="20"/>
              </w:rPr>
              <w:t>AND</w:t>
            </w:r>
          </w:p>
          <w:p w14:paraId="4822A83B" w14:textId="77777777" w:rsidR="00265869" w:rsidRPr="00F33674" w:rsidRDefault="00265869" w:rsidP="00265869">
            <w:pPr>
              <w:jc w:val="left"/>
              <w:rPr>
                <w:rFonts w:ascii="Arial Narrow" w:hAnsi="Arial Narrow" w:cs="Arial"/>
                <w:sz w:val="20"/>
                <w:szCs w:val="20"/>
              </w:rPr>
            </w:pPr>
          </w:p>
          <w:p w14:paraId="749CAEB4" w14:textId="77777777" w:rsidR="00265869" w:rsidRPr="00F33674" w:rsidRDefault="00265869" w:rsidP="00265869">
            <w:pPr>
              <w:jc w:val="left"/>
              <w:rPr>
                <w:rFonts w:ascii="Arial Narrow" w:hAnsi="Arial Narrow" w:cs="Arial"/>
                <w:sz w:val="20"/>
                <w:szCs w:val="20"/>
              </w:rPr>
            </w:pPr>
            <w:r w:rsidRPr="00F33674">
              <w:rPr>
                <w:rFonts w:ascii="Arial Narrow" w:hAnsi="Arial Narrow" w:cs="Arial"/>
                <w:sz w:val="20"/>
                <w:szCs w:val="20"/>
              </w:rPr>
              <w:t xml:space="preserve">[18096] Patient must have </w:t>
            </w:r>
            <w:r>
              <w:rPr>
                <w:rFonts w:ascii="Arial Narrow" w:hAnsi="Arial Narrow" w:cs="Arial"/>
                <w:sz w:val="20"/>
                <w:szCs w:val="20"/>
              </w:rPr>
              <w:t>cancer pain</w:t>
            </w:r>
          </w:p>
          <w:p w14:paraId="39E73656" w14:textId="77777777" w:rsidR="00265869" w:rsidRPr="00F33674" w:rsidRDefault="00265869" w:rsidP="00265869">
            <w:pPr>
              <w:jc w:val="left"/>
              <w:rPr>
                <w:rFonts w:ascii="Arial Narrow" w:hAnsi="Arial Narrow" w:cs="Arial"/>
                <w:sz w:val="20"/>
                <w:szCs w:val="20"/>
              </w:rPr>
            </w:pPr>
            <w:r w:rsidRPr="00F33674">
              <w:rPr>
                <w:rFonts w:ascii="Arial Narrow" w:hAnsi="Arial Narrow" w:cs="Arial"/>
                <w:sz w:val="20"/>
                <w:szCs w:val="20"/>
              </w:rPr>
              <w:t>OR</w:t>
            </w:r>
          </w:p>
          <w:p w14:paraId="761C6053" w14:textId="77777777" w:rsidR="00265869" w:rsidRPr="00F33674" w:rsidRDefault="00265869" w:rsidP="00265869">
            <w:pPr>
              <w:jc w:val="left"/>
              <w:rPr>
                <w:rFonts w:ascii="Arial Narrow" w:hAnsi="Arial Narrow" w:cs="Arial"/>
                <w:sz w:val="20"/>
                <w:szCs w:val="20"/>
              </w:rPr>
            </w:pPr>
            <w:r w:rsidRPr="00F33674">
              <w:rPr>
                <w:rFonts w:ascii="Arial Narrow" w:hAnsi="Arial Narrow" w:cs="Arial"/>
                <w:sz w:val="20"/>
                <w:szCs w:val="20"/>
              </w:rPr>
              <w:t xml:space="preserve">[new] Patient must have </w:t>
            </w:r>
            <w:r>
              <w:rPr>
                <w:rFonts w:ascii="Arial Narrow" w:hAnsi="Arial Narrow" w:cs="Arial"/>
                <w:sz w:val="20"/>
                <w:szCs w:val="20"/>
              </w:rPr>
              <w:t>had or would have</w:t>
            </w:r>
            <w:r w:rsidRPr="00F33674">
              <w:rPr>
                <w:rFonts w:ascii="Arial Narrow" w:hAnsi="Arial Narrow" w:cs="Arial"/>
                <w:sz w:val="20"/>
                <w:szCs w:val="20"/>
              </w:rPr>
              <w:t xml:space="preserve"> </w:t>
            </w:r>
            <w:r>
              <w:rPr>
                <w:rFonts w:ascii="Arial Narrow" w:hAnsi="Arial Narrow" w:cs="Arial"/>
                <w:sz w:val="20"/>
                <w:szCs w:val="20"/>
              </w:rPr>
              <w:t>inadequate pain management</w:t>
            </w:r>
            <w:r w:rsidRPr="00F33674">
              <w:rPr>
                <w:rFonts w:ascii="Arial Narrow" w:hAnsi="Arial Narrow" w:cs="Arial"/>
                <w:sz w:val="20"/>
                <w:szCs w:val="20"/>
              </w:rPr>
              <w:t xml:space="preserve"> </w:t>
            </w:r>
            <w:r>
              <w:rPr>
                <w:rFonts w:ascii="Arial Narrow" w:hAnsi="Arial Narrow" w:cs="Arial"/>
                <w:sz w:val="20"/>
                <w:szCs w:val="20"/>
              </w:rPr>
              <w:t>with</w:t>
            </w:r>
            <w:r w:rsidRPr="00F33674">
              <w:rPr>
                <w:rFonts w:ascii="Arial Narrow" w:hAnsi="Arial Narrow" w:cs="Arial"/>
                <w:sz w:val="20"/>
                <w:szCs w:val="20"/>
              </w:rPr>
              <w:t xml:space="preserve"> tolerated doses of non-opioid and other opioid analgesics</w:t>
            </w:r>
          </w:p>
          <w:p w14:paraId="39A83D40" w14:textId="77777777" w:rsidR="00265869" w:rsidRPr="00F33674" w:rsidRDefault="00265869" w:rsidP="00265869">
            <w:pPr>
              <w:jc w:val="left"/>
              <w:rPr>
                <w:rFonts w:ascii="Arial Narrow" w:hAnsi="Arial Narrow" w:cs="Arial"/>
                <w:sz w:val="20"/>
                <w:szCs w:val="20"/>
              </w:rPr>
            </w:pPr>
            <w:r w:rsidRPr="00F33674">
              <w:rPr>
                <w:rFonts w:ascii="Arial Narrow" w:hAnsi="Arial Narrow" w:cs="Arial"/>
                <w:sz w:val="20"/>
                <w:szCs w:val="20"/>
              </w:rPr>
              <w:t>OR</w:t>
            </w:r>
          </w:p>
          <w:p w14:paraId="064285B6" w14:textId="77777777" w:rsidR="00265869" w:rsidRPr="00F33674" w:rsidRDefault="00265869" w:rsidP="00265869">
            <w:pPr>
              <w:jc w:val="left"/>
              <w:rPr>
                <w:rFonts w:ascii="Arial Narrow" w:hAnsi="Arial Narrow" w:cs="Arial"/>
                <w:sz w:val="20"/>
                <w:szCs w:val="20"/>
              </w:rPr>
            </w:pPr>
            <w:r w:rsidRPr="00F33674">
              <w:rPr>
                <w:rFonts w:ascii="Arial Narrow" w:hAnsi="Arial Narrow" w:cs="Arial"/>
                <w:sz w:val="20"/>
                <w:szCs w:val="20"/>
              </w:rPr>
              <w:t>[new] Patient must be unable to use non-opioid and other opioid analgesics due to contraindications or intolerance.</w:t>
            </w:r>
          </w:p>
        </w:tc>
      </w:tr>
      <w:tr w:rsidR="00265869" w:rsidRPr="00F33674" w14:paraId="4A5EC676" w14:textId="77777777" w:rsidTr="00C21DFA">
        <w:trPr>
          <w:cantSplit/>
          <w:trHeight w:val="360"/>
        </w:trPr>
        <w:tc>
          <w:tcPr>
            <w:tcW w:w="3183" w:type="dxa"/>
            <w:tcBorders>
              <w:top w:val="single" w:sz="4" w:space="0" w:color="auto"/>
              <w:left w:val="single" w:sz="4" w:space="0" w:color="auto"/>
              <w:bottom w:val="single" w:sz="4" w:space="0" w:color="auto"/>
              <w:right w:val="single" w:sz="4" w:space="0" w:color="auto"/>
            </w:tcBorders>
          </w:tcPr>
          <w:p w14:paraId="2B3B01AC" w14:textId="77777777" w:rsidR="00265869" w:rsidRPr="00F33674" w:rsidRDefault="00265869" w:rsidP="00265869">
            <w:pPr>
              <w:rPr>
                <w:rFonts w:ascii="Arial Narrow" w:hAnsi="Arial Narrow" w:cs="Arial"/>
                <w:b/>
                <w:sz w:val="20"/>
                <w:szCs w:val="20"/>
              </w:rPr>
            </w:pPr>
            <w:r w:rsidRPr="00F33674">
              <w:rPr>
                <w:rFonts w:ascii="Arial Narrow" w:hAnsi="Arial Narrow" w:cs="Arial"/>
                <w:b/>
                <w:sz w:val="20"/>
                <w:szCs w:val="20"/>
              </w:rPr>
              <w:lastRenderedPageBreak/>
              <w:t>Prescriber instruction:</w:t>
            </w:r>
          </w:p>
        </w:tc>
        <w:tc>
          <w:tcPr>
            <w:tcW w:w="5889" w:type="dxa"/>
            <w:tcBorders>
              <w:top w:val="single" w:sz="4" w:space="0" w:color="auto"/>
              <w:left w:val="single" w:sz="4" w:space="0" w:color="auto"/>
              <w:bottom w:val="single" w:sz="4" w:space="0" w:color="auto"/>
              <w:right w:val="single" w:sz="4" w:space="0" w:color="auto"/>
            </w:tcBorders>
          </w:tcPr>
          <w:p w14:paraId="11BBFEE6" w14:textId="77777777" w:rsidR="00265869" w:rsidRPr="00744FB8" w:rsidRDefault="00265869" w:rsidP="00265869">
            <w:pPr>
              <w:jc w:val="left"/>
              <w:rPr>
                <w:rFonts w:ascii="Arial Narrow" w:hAnsi="Arial Narrow" w:cs="Arial"/>
                <w:sz w:val="20"/>
                <w:szCs w:val="20"/>
              </w:rPr>
            </w:pPr>
            <w:r w:rsidRPr="00F33674">
              <w:rPr>
                <w:rFonts w:ascii="Arial Narrow" w:hAnsi="Arial Narrow" w:cs="Arial"/>
                <w:sz w:val="20"/>
                <w:szCs w:val="20"/>
              </w:rPr>
              <w:t xml:space="preserve">[new] </w:t>
            </w:r>
            <w:r w:rsidRPr="00744FB8">
              <w:rPr>
                <w:rFonts w:ascii="Arial Narrow" w:hAnsi="Arial Narrow" w:cs="Arial"/>
                <w:sz w:val="20"/>
                <w:szCs w:val="20"/>
              </w:rPr>
              <w:t>Authorities for increased maximum quantities and/or repeats must only be considered for chronic severe disabling pain where the total duration of non-PBS and PBS opioid analgesic treatment:</w:t>
            </w:r>
          </w:p>
          <w:p w14:paraId="742E881B" w14:textId="77777777" w:rsidR="00265869" w:rsidRPr="00744FB8" w:rsidRDefault="00265869" w:rsidP="00265869">
            <w:pPr>
              <w:jc w:val="left"/>
              <w:rPr>
                <w:rFonts w:ascii="Arial Narrow" w:hAnsi="Arial Narrow" w:cs="Arial"/>
                <w:sz w:val="20"/>
                <w:szCs w:val="20"/>
              </w:rPr>
            </w:pPr>
            <w:r w:rsidRPr="00744FB8">
              <w:rPr>
                <w:rFonts w:ascii="Arial Narrow" w:hAnsi="Arial Narrow" w:cs="Arial"/>
                <w:sz w:val="20"/>
                <w:szCs w:val="20"/>
              </w:rPr>
              <w:t>(i) exceeds 12 months and the palliative care patient is unable to have annual pain management review due to their clinical condition; or</w:t>
            </w:r>
          </w:p>
          <w:p w14:paraId="382869BF" w14:textId="77777777" w:rsidR="00265869" w:rsidRPr="00744FB8" w:rsidRDefault="00265869" w:rsidP="00265869">
            <w:pPr>
              <w:jc w:val="left"/>
              <w:rPr>
                <w:rFonts w:ascii="Arial Narrow" w:hAnsi="Arial Narrow" w:cs="Arial"/>
                <w:sz w:val="20"/>
                <w:szCs w:val="20"/>
              </w:rPr>
            </w:pPr>
            <w:r w:rsidRPr="00744FB8">
              <w:rPr>
                <w:rFonts w:ascii="Arial Narrow" w:hAnsi="Arial Narrow" w:cs="Arial"/>
                <w:sz w:val="20"/>
                <w:szCs w:val="20"/>
              </w:rPr>
              <w:t>(ii) exceeds 12 months and the patient's clinical need for continuing opioid treatment has been confirmed through consultation with the patient by another medical practitioner or a palliative care nurse practitioner in the past 12 months; or</w:t>
            </w:r>
          </w:p>
          <w:p w14:paraId="016D9AA2" w14:textId="77777777" w:rsidR="00265869" w:rsidRPr="00F33674" w:rsidRDefault="00265869" w:rsidP="00265869">
            <w:pPr>
              <w:jc w:val="left"/>
              <w:rPr>
                <w:rFonts w:ascii="Arial Narrow" w:hAnsi="Arial Narrow" w:cs="Arial"/>
                <w:sz w:val="20"/>
                <w:szCs w:val="20"/>
              </w:rPr>
            </w:pPr>
            <w:r w:rsidRPr="00744FB8">
              <w:rPr>
                <w:rFonts w:ascii="Arial Narrow" w:hAnsi="Arial Narrow" w:cs="Arial"/>
                <w:sz w:val="20"/>
                <w:szCs w:val="20"/>
              </w:rPr>
              <w:t xml:space="preserve">(iii) </w:t>
            </w:r>
            <w:proofErr w:type="gramStart"/>
            <w:r w:rsidRPr="00744FB8">
              <w:rPr>
                <w:rFonts w:ascii="Arial Narrow" w:hAnsi="Arial Narrow" w:cs="Arial"/>
                <w:sz w:val="20"/>
                <w:szCs w:val="20"/>
              </w:rPr>
              <w:t>has</w:t>
            </w:r>
            <w:proofErr w:type="gramEnd"/>
            <w:r w:rsidRPr="00744FB8">
              <w:rPr>
                <w:rFonts w:ascii="Arial Narrow" w:hAnsi="Arial Narrow" w:cs="Arial"/>
                <w:sz w:val="20"/>
                <w:szCs w:val="20"/>
              </w:rPr>
              <w:t xml:space="preserve"> exceeded 12 months prior to 1 June 2020 and the patient's clinical need for continuing opioid treatment has not been confirmed through consultation with the patient by another medical practitioner or a palliative care nurse practitioner in the past 12 months, but is planned in the next 3 months.</w:t>
            </w:r>
          </w:p>
          <w:p w14:paraId="64D1EEF3" w14:textId="77777777" w:rsidR="00265869" w:rsidRPr="00F33674" w:rsidRDefault="00265869" w:rsidP="00265869">
            <w:pPr>
              <w:jc w:val="left"/>
              <w:rPr>
                <w:rFonts w:ascii="Arial Narrow" w:hAnsi="Arial Narrow" w:cs="Arial"/>
                <w:sz w:val="20"/>
                <w:szCs w:val="20"/>
              </w:rPr>
            </w:pPr>
          </w:p>
          <w:p w14:paraId="64C8BFA9" w14:textId="77777777" w:rsidR="00265869" w:rsidRPr="00F33674" w:rsidRDefault="00265869" w:rsidP="00265869">
            <w:pPr>
              <w:jc w:val="left"/>
              <w:rPr>
                <w:rFonts w:ascii="Arial Narrow" w:hAnsi="Arial Narrow" w:cs="Arial"/>
                <w:sz w:val="20"/>
                <w:szCs w:val="20"/>
              </w:rPr>
            </w:pPr>
            <w:r w:rsidRPr="00F33674">
              <w:rPr>
                <w:rFonts w:ascii="Arial Narrow" w:hAnsi="Arial Narrow" w:cs="Arial"/>
                <w:sz w:val="20"/>
                <w:szCs w:val="20"/>
              </w:rPr>
              <w:t>[new] Authority requests extending treatment duration up to 1 month may be requested though the Online PBS Authorities system or by calling Services Australia.</w:t>
            </w:r>
          </w:p>
          <w:p w14:paraId="046DA478" w14:textId="77777777" w:rsidR="00265869" w:rsidRPr="00F33674" w:rsidRDefault="00265869" w:rsidP="00265869">
            <w:pPr>
              <w:jc w:val="left"/>
              <w:rPr>
                <w:rFonts w:ascii="Arial Narrow" w:hAnsi="Arial Narrow" w:cs="Arial"/>
                <w:sz w:val="20"/>
                <w:szCs w:val="20"/>
              </w:rPr>
            </w:pPr>
          </w:p>
          <w:p w14:paraId="7D4B3C8C" w14:textId="77777777" w:rsidR="00265869" w:rsidRPr="00F33674" w:rsidRDefault="00265869" w:rsidP="00265869">
            <w:pPr>
              <w:jc w:val="left"/>
              <w:rPr>
                <w:rFonts w:ascii="Arial Narrow" w:hAnsi="Arial Narrow" w:cs="Arial"/>
                <w:sz w:val="20"/>
                <w:szCs w:val="20"/>
              </w:rPr>
            </w:pPr>
            <w:r w:rsidRPr="00F33674">
              <w:rPr>
                <w:rFonts w:ascii="Arial Narrow" w:hAnsi="Arial Narrow" w:cs="Arial"/>
                <w:sz w:val="20"/>
                <w:szCs w:val="20"/>
              </w:rPr>
              <w:t xml:space="preserve">Authority requests extending treatment duration beyond 1 month </w:t>
            </w:r>
            <w:r>
              <w:rPr>
                <w:rFonts w:ascii="Arial Narrow" w:hAnsi="Arial Narrow" w:cs="Arial"/>
                <w:sz w:val="20"/>
                <w:szCs w:val="20"/>
              </w:rPr>
              <w:t>may be requested through the Online PBS Authorities system</w:t>
            </w:r>
            <w:r w:rsidRPr="00F33674">
              <w:rPr>
                <w:rFonts w:ascii="Arial Narrow" w:hAnsi="Arial Narrow" w:cs="Arial"/>
                <w:sz w:val="20"/>
                <w:szCs w:val="20"/>
              </w:rPr>
              <w:t xml:space="preserve"> or in writing only and must not provide a treatment duration exceeding </w:t>
            </w:r>
            <w:r>
              <w:rPr>
                <w:rFonts w:ascii="Arial Narrow" w:hAnsi="Arial Narrow" w:cs="Arial"/>
                <w:sz w:val="20"/>
                <w:szCs w:val="20"/>
              </w:rPr>
              <w:t xml:space="preserve">3 months (quantity sufficient for up to </w:t>
            </w:r>
            <w:proofErr w:type="gramStart"/>
            <w:r>
              <w:rPr>
                <w:rFonts w:ascii="Arial Narrow" w:hAnsi="Arial Narrow" w:cs="Arial"/>
                <w:sz w:val="20"/>
                <w:szCs w:val="20"/>
              </w:rPr>
              <w:t>1 month</w:t>
            </w:r>
            <w:proofErr w:type="gramEnd"/>
            <w:r>
              <w:rPr>
                <w:rFonts w:ascii="Arial Narrow" w:hAnsi="Arial Narrow" w:cs="Arial"/>
                <w:sz w:val="20"/>
                <w:szCs w:val="20"/>
              </w:rPr>
              <w:t xml:space="preserve"> treatment and sufficient repeats).</w:t>
            </w:r>
          </w:p>
        </w:tc>
      </w:tr>
      <w:tr w:rsidR="00265869" w:rsidRPr="00F33674" w14:paraId="4DC467B2" w14:textId="77777777" w:rsidTr="00C21DFA">
        <w:trPr>
          <w:cantSplit/>
          <w:trHeight w:val="360"/>
        </w:trPr>
        <w:tc>
          <w:tcPr>
            <w:tcW w:w="3183" w:type="dxa"/>
            <w:tcBorders>
              <w:top w:val="single" w:sz="4" w:space="0" w:color="auto"/>
              <w:left w:val="single" w:sz="4" w:space="0" w:color="auto"/>
              <w:bottom w:val="single" w:sz="4" w:space="0" w:color="auto"/>
              <w:right w:val="single" w:sz="4" w:space="0" w:color="auto"/>
            </w:tcBorders>
          </w:tcPr>
          <w:p w14:paraId="30F08398" w14:textId="114D1D1A" w:rsidR="00265869" w:rsidRPr="00F33674" w:rsidRDefault="00265869" w:rsidP="00265869">
            <w:pPr>
              <w:rPr>
                <w:rFonts w:ascii="Arial Narrow" w:hAnsi="Arial Narrow" w:cs="Arial"/>
                <w:b/>
                <w:sz w:val="20"/>
                <w:szCs w:val="20"/>
              </w:rPr>
            </w:pPr>
            <w:r w:rsidRPr="00F33674">
              <w:rPr>
                <w:rFonts w:ascii="Arial Narrow" w:hAnsi="Arial Narrow" w:cs="Arial"/>
                <w:b/>
                <w:sz w:val="20"/>
                <w:szCs w:val="20"/>
              </w:rPr>
              <w:t>Administrative advice:</w:t>
            </w:r>
          </w:p>
        </w:tc>
        <w:tc>
          <w:tcPr>
            <w:tcW w:w="5889" w:type="dxa"/>
            <w:tcBorders>
              <w:top w:val="single" w:sz="4" w:space="0" w:color="auto"/>
              <w:left w:val="single" w:sz="4" w:space="0" w:color="auto"/>
              <w:bottom w:val="single" w:sz="4" w:space="0" w:color="auto"/>
              <w:right w:val="single" w:sz="4" w:space="0" w:color="auto"/>
            </w:tcBorders>
          </w:tcPr>
          <w:p w14:paraId="50E68F37" w14:textId="77777777" w:rsidR="00265869" w:rsidRPr="00F33674" w:rsidRDefault="00265869" w:rsidP="00265869">
            <w:pPr>
              <w:jc w:val="left"/>
              <w:rPr>
                <w:rFonts w:ascii="Arial Narrow" w:hAnsi="Arial Narrow"/>
                <w:sz w:val="20"/>
                <w:szCs w:val="20"/>
              </w:rPr>
            </w:pPr>
            <w:r w:rsidRPr="00F33674">
              <w:rPr>
                <w:rFonts w:ascii="Arial Narrow" w:hAnsi="Arial Narrow"/>
                <w:sz w:val="20"/>
                <w:szCs w:val="20"/>
              </w:rPr>
              <w:t>[new] Consider consultation with a multidisciplinary pain service prior to, or after commencement of this medication.</w:t>
            </w:r>
          </w:p>
          <w:p w14:paraId="38112425" w14:textId="77777777" w:rsidR="00265869" w:rsidRPr="00F33674" w:rsidRDefault="00265869" w:rsidP="00265869">
            <w:pPr>
              <w:jc w:val="left"/>
              <w:rPr>
                <w:rFonts w:ascii="Arial Narrow" w:hAnsi="Arial Narrow" w:cs="Arial"/>
                <w:sz w:val="20"/>
                <w:szCs w:val="20"/>
              </w:rPr>
            </w:pPr>
          </w:p>
          <w:p w14:paraId="04A48041" w14:textId="77777777" w:rsidR="00265869" w:rsidRPr="00F33674" w:rsidRDefault="00265869" w:rsidP="00265869">
            <w:pPr>
              <w:jc w:val="left"/>
              <w:rPr>
                <w:rFonts w:ascii="Arial Narrow" w:hAnsi="Arial Narrow" w:cs="Arial"/>
                <w:sz w:val="20"/>
                <w:szCs w:val="20"/>
              </w:rPr>
            </w:pPr>
            <w:r w:rsidRPr="00F33674">
              <w:rPr>
                <w:rFonts w:ascii="Arial Narrow" w:hAnsi="Arial Narrow" w:cs="Arial"/>
                <w:sz w:val="20"/>
                <w:szCs w:val="20"/>
              </w:rPr>
              <w:t xml:space="preserve">[new] This treatment </w:t>
            </w:r>
            <w:proofErr w:type="gramStart"/>
            <w:r w:rsidRPr="00F33674">
              <w:rPr>
                <w:rFonts w:ascii="Arial Narrow" w:hAnsi="Arial Narrow" w:cs="Arial"/>
                <w:sz w:val="20"/>
                <w:szCs w:val="20"/>
              </w:rPr>
              <w:t>is not recommended</w:t>
            </w:r>
            <w:proofErr w:type="gramEnd"/>
            <w:r w:rsidRPr="00F33674">
              <w:rPr>
                <w:rFonts w:ascii="Arial Narrow" w:hAnsi="Arial Narrow" w:cs="Arial"/>
                <w:sz w:val="20"/>
                <w:szCs w:val="20"/>
              </w:rPr>
              <w:t xml:space="preserve"> for use in ambulant patients.</w:t>
            </w:r>
          </w:p>
          <w:p w14:paraId="35D8E4CD" w14:textId="77777777" w:rsidR="00265869" w:rsidRPr="00F33674" w:rsidRDefault="00265869" w:rsidP="00265869">
            <w:pPr>
              <w:jc w:val="left"/>
              <w:rPr>
                <w:rFonts w:ascii="Arial Narrow" w:hAnsi="Arial Narrow" w:cs="Arial"/>
                <w:sz w:val="20"/>
                <w:szCs w:val="20"/>
              </w:rPr>
            </w:pPr>
          </w:p>
          <w:p w14:paraId="5CCE663C" w14:textId="77777777" w:rsidR="00265869" w:rsidRPr="00F33674" w:rsidRDefault="00265869" w:rsidP="00265869">
            <w:pPr>
              <w:jc w:val="left"/>
              <w:rPr>
                <w:rFonts w:ascii="Arial Narrow" w:hAnsi="Arial Narrow" w:cs="Arial"/>
                <w:sz w:val="20"/>
                <w:szCs w:val="20"/>
              </w:rPr>
            </w:pPr>
            <w:r w:rsidRPr="00F33674">
              <w:rPr>
                <w:rFonts w:ascii="Arial Narrow" w:hAnsi="Arial Narrow" w:cs="Arial"/>
                <w:sz w:val="20"/>
                <w:szCs w:val="20"/>
              </w:rPr>
              <w:t>[new] This treatment is not suitable for ‘as-required’ pain relief.</w:t>
            </w:r>
          </w:p>
          <w:p w14:paraId="7534FCDC" w14:textId="77777777" w:rsidR="00265869" w:rsidRPr="00F33674" w:rsidRDefault="00265869" w:rsidP="00265869">
            <w:pPr>
              <w:jc w:val="left"/>
              <w:rPr>
                <w:rFonts w:ascii="Arial Narrow" w:hAnsi="Arial Narrow" w:cs="Arial"/>
                <w:sz w:val="20"/>
                <w:szCs w:val="20"/>
              </w:rPr>
            </w:pPr>
          </w:p>
          <w:p w14:paraId="0CD587CD" w14:textId="77777777" w:rsidR="00265869" w:rsidRPr="00F33674" w:rsidRDefault="00265869" w:rsidP="00265869">
            <w:pPr>
              <w:jc w:val="left"/>
              <w:rPr>
                <w:rFonts w:ascii="Arial Narrow" w:hAnsi="Arial Narrow" w:cs="Arial"/>
                <w:sz w:val="20"/>
                <w:szCs w:val="20"/>
              </w:rPr>
            </w:pPr>
            <w:r w:rsidRPr="00F33674">
              <w:rPr>
                <w:rFonts w:ascii="Arial Narrow" w:hAnsi="Arial Narrow" w:cs="Arial"/>
                <w:sz w:val="20"/>
                <w:szCs w:val="20"/>
              </w:rPr>
              <w:t xml:space="preserve">[7901] Shared Care Model: For prescribing by nurse practitioners where care of a patient </w:t>
            </w:r>
            <w:proofErr w:type="gramStart"/>
            <w:r w:rsidRPr="00F33674">
              <w:rPr>
                <w:rFonts w:ascii="Arial Narrow" w:hAnsi="Arial Narrow" w:cs="Arial"/>
                <w:sz w:val="20"/>
                <w:szCs w:val="20"/>
              </w:rPr>
              <w:t>is shared</w:t>
            </w:r>
            <w:proofErr w:type="gramEnd"/>
            <w:r w:rsidRPr="00F33674">
              <w:rPr>
                <w:rFonts w:ascii="Arial Narrow" w:hAnsi="Arial Narrow" w:cs="Arial"/>
                <w:sz w:val="20"/>
                <w:szCs w:val="20"/>
              </w:rPr>
              <w:t xml:space="preserve"> between a nurse practitioner and medical practitioner in a formalised arrangement with an agreed management plan. Further information </w:t>
            </w:r>
            <w:proofErr w:type="gramStart"/>
            <w:r w:rsidRPr="00F33674">
              <w:rPr>
                <w:rFonts w:ascii="Arial Narrow" w:hAnsi="Arial Narrow" w:cs="Arial"/>
                <w:sz w:val="20"/>
                <w:szCs w:val="20"/>
              </w:rPr>
              <w:t>can be found</w:t>
            </w:r>
            <w:proofErr w:type="gramEnd"/>
            <w:r w:rsidRPr="00F33674">
              <w:rPr>
                <w:rFonts w:ascii="Arial Narrow" w:hAnsi="Arial Narrow" w:cs="Arial"/>
                <w:sz w:val="20"/>
                <w:szCs w:val="20"/>
              </w:rPr>
              <w:t xml:space="preserve"> in the Explanatory Notes for Nurse Practitioners.</w:t>
            </w:r>
          </w:p>
          <w:p w14:paraId="76C76AF5" w14:textId="77777777" w:rsidR="00265869" w:rsidRPr="00F33674" w:rsidRDefault="00265869" w:rsidP="00265869">
            <w:pPr>
              <w:jc w:val="left"/>
              <w:rPr>
                <w:rFonts w:ascii="Arial Narrow" w:hAnsi="Arial Narrow" w:cs="Arial"/>
                <w:sz w:val="20"/>
                <w:szCs w:val="20"/>
              </w:rPr>
            </w:pPr>
          </w:p>
          <w:p w14:paraId="5B5F2EA4" w14:textId="77777777" w:rsidR="00265869" w:rsidRPr="00F33674" w:rsidRDefault="00265869" w:rsidP="00265869">
            <w:pPr>
              <w:jc w:val="left"/>
              <w:rPr>
                <w:rFonts w:ascii="Arial Narrow" w:hAnsi="Arial Narrow" w:cs="Arial"/>
                <w:sz w:val="20"/>
                <w:szCs w:val="20"/>
              </w:rPr>
            </w:pPr>
            <w:r w:rsidRPr="00F33674">
              <w:rPr>
                <w:rFonts w:ascii="Arial Narrow" w:hAnsi="Arial Narrow" w:cs="Arial"/>
                <w:sz w:val="20"/>
                <w:szCs w:val="20"/>
              </w:rPr>
              <w:t>[new] Real time online applications for increased maximum quantities/repeats may be made using the Online PBS Authorities system (see www.servicesaustralia.gov.au/organisations/health-professionals/services/medicare/hpos/services/request-authority-using-online-pbs-authorities-hpos)</w:t>
            </w:r>
          </w:p>
          <w:p w14:paraId="6D8D2A4F" w14:textId="77777777" w:rsidR="00265869" w:rsidRPr="00F33674" w:rsidRDefault="00265869" w:rsidP="00265869">
            <w:pPr>
              <w:jc w:val="left"/>
              <w:rPr>
                <w:rFonts w:ascii="Arial Narrow" w:hAnsi="Arial Narrow" w:cs="Arial"/>
                <w:sz w:val="20"/>
                <w:szCs w:val="20"/>
              </w:rPr>
            </w:pPr>
          </w:p>
          <w:p w14:paraId="5B9D05A5" w14:textId="77777777" w:rsidR="00265869" w:rsidRPr="00F33674" w:rsidRDefault="00265869" w:rsidP="00265869">
            <w:pPr>
              <w:jc w:val="left"/>
              <w:rPr>
                <w:rFonts w:ascii="Arial Narrow" w:hAnsi="Arial Narrow" w:cs="Arial"/>
                <w:sz w:val="20"/>
                <w:szCs w:val="20"/>
              </w:rPr>
            </w:pPr>
            <w:r w:rsidRPr="00F33674">
              <w:rPr>
                <w:rFonts w:ascii="Arial Narrow" w:hAnsi="Arial Narrow" w:cs="Arial"/>
                <w:sz w:val="20"/>
                <w:szCs w:val="20"/>
              </w:rPr>
              <w:t>Phone applications for increased maximum quantities/repeats may be made by calling 1800 888 333.</w:t>
            </w:r>
          </w:p>
          <w:p w14:paraId="31EE68FA" w14:textId="77777777" w:rsidR="00265869" w:rsidRPr="00F33674" w:rsidRDefault="00265869" w:rsidP="00265869">
            <w:pPr>
              <w:jc w:val="left"/>
              <w:rPr>
                <w:rFonts w:ascii="Arial Narrow" w:hAnsi="Arial Narrow" w:cs="Arial"/>
                <w:sz w:val="20"/>
                <w:szCs w:val="20"/>
              </w:rPr>
            </w:pPr>
          </w:p>
          <w:p w14:paraId="223E1717" w14:textId="77777777" w:rsidR="00265869" w:rsidRPr="00F33674" w:rsidRDefault="00265869" w:rsidP="00265869">
            <w:pPr>
              <w:jc w:val="left"/>
              <w:rPr>
                <w:rFonts w:ascii="Arial Narrow" w:hAnsi="Arial Narrow" w:cs="Arial"/>
                <w:sz w:val="20"/>
                <w:szCs w:val="20"/>
              </w:rPr>
            </w:pPr>
            <w:r w:rsidRPr="00F33674">
              <w:rPr>
                <w:rFonts w:ascii="Arial Narrow" w:hAnsi="Arial Narrow" w:cs="Arial"/>
                <w:sz w:val="20"/>
                <w:szCs w:val="20"/>
              </w:rPr>
              <w:t>Written authority applications for increased maximum quantities/repeats can be uploaded online through HPOS form upload or mailed to:</w:t>
            </w:r>
          </w:p>
          <w:p w14:paraId="43087FC8" w14:textId="77777777" w:rsidR="00265869" w:rsidRPr="00F33674" w:rsidRDefault="00265869" w:rsidP="00265869">
            <w:pPr>
              <w:jc w:val="left"/>
              <w:rPr>
                <w:rFonts w:ascii="Arial Narrow" w:hAnsi="Arial Narrow" w:cs="Arial"/>
                <w:sz w:val="20"/>
                <w:szCs w:val="20"/>
              </w:rPr>
            </w:pPr>
            <w:r w:rsidRPr="00F33674">
              <w:rPr>
                <w:rFonts w:ascii="Arial Narrow" w:hAnsi="Arial Narrow" w:cs="Arial"/>
                <w:sz w:val="20"/>
                <w:szCs w:val="20"/>
              </w:rPr>
              <w:t>Pharmaceutical Benefits Scheme</w:t>
            </w:r>
          </w:p>
          <w:p w14:paraId="1E26B397" w14:textId="381AFEDD" w:rsidR="00265869" w:rsidRPr="00F33674" w:rsidRDefault="00265869" w:rsidP="00265869">
            <w:pPr>
              <w:jc w:val="left"/>
              <w:rPr>
                <w:rFonts w:ascii="Arial Narrow" w:hAnsi="Arial Narrow" w:cs="Arial"/>
                <w:sz w:val="20"/>
                <w:szCs w:val="20"/>
              </w:rPr>
            </w:pPr>
            <w:r w:rsidRPr="00F33674">
              <w:rPr>
                <w:rFonts w:ascii="Arial Narrow" w:hAnsi="Arial Narrow" w:cs="Arial"/>
                <w:sz w:val="20"/>
                <w:szCs w:val="20"/>
              </w:rPr>
              <w:t>Reply Paid 9857</w:t>
            </w:r>
          </w:p>
        </w:tc>
      </w:tr>
      <w:tr w:rsidR="00265869" w:rsidRPr="00F33674" w14:paraId="259C1DB9" w14:textId="77777777" w:rsidTr="00C21DFA">
        <w:trPr>
          <w:cantSplit/>
          <w:trHeight w:val="360"/>
        </w:trPr>
        <w:tc>
          <w:tcPr>
            <w:tcW w:w="3183" w:type="dxa"/>
            <w:tcBorders>
              <w:top w:val="single" w:sz="4" w:space="0" w:color="auto"/>
              <w:left w:val="single" w:sz="4" w:space="0" w:color="auto"/>
              <w:bottom w:val="single" w:sz="4" w:space="0" w:color="auto"/>
              <w:right w:val="single" w:sz="4" w:space="0" w:color="auto"/>
            </w:tcBorders>
          </w:tcPr>
          <w:p w14:paraId="02CAE837" w14:textId="77777777" w:rsidR="00265869" w:rsidRPr="00F33674" w:rsidRDefault="00265869" w:rsidP="00265869">
            <w:pPr>
              <w:rPr>
                <w:rFonts w:ascii="Arial Narrow" w:hAnsi="Arial Narrow" w:cs="Arial"/>
                <w:b/>
                <w:sz w:val="20"/>
                <w:szCs w:val="20"/>
              </w:rPr>
            </w:pPr>
            <w:r w:rsidRPr="00F33674">
              <w:rPr>
                <w:rFonts w:ascii="Arial Narrow" w:hAnsi="Arial Narrow" w:cs="Arial"/>
                <w:b/>
                <w:sz w:val="20"/>
                <w:szCs w:val="20"/>
              </w:rPr>
              <w:t>Cautions:</w:t>
            </w:r>
          </w:p>
        </w:tc>
        <w:tc>
          <w:tcPr>
            <w:tcW w:w="5889" w:type="dxa"/>
            <w:tcBorders>
              <w:top w:val="single" w:sz="4" w:space="0" w:color="auto"/>
              <w:left w:val="single" w:sz="4" w:space="0" w:color="auto"/>
              <w:bottom w:val="single" w:sz="4" w:space="0" w:color="auto"/>
              <w:right w:val="single" w:sz="4" w:space="0" w:color="auto"/>
            </w:tcBorders>
          </w:tcPr>
          <w:p w14:paraId="3D3B4392" w14:textId="77777777" w:rsidR="00265869" w:rsidRPr="00F33674" w:rsidRDefault="00265869" w:rsidP="00265869">
            <w:pPr>
              <w:jc w:val="left"/>
              <w:rPr>
                <w:rFonts w:ascii="Arial Narrow" w:hAnsi="Arial Narrow" w:cs="Arial"/>
                <w:sz w:val="20"/>
                <w:szCs w:val="20"/>
              </w:rPr>
            </w:pPr>
            <w:r w:rsidRPr="00F33674">
              <w:rPr>
                <w:rFonts w:ascii="Arial Narrow" w:hAnsi="Arial Narrow" w:cs="Arial"/>
                <w:sz w:val="20"/>
                <w:szCs w:val="20"/>
              </w:rPr>
              <w:t>[6986] The risk of drug dependence is high.</w:t>
            </w:r>
          </w:p>
        </w:tc>
      </w:tr>
    </w:tbl>
    <w:p w14:paraId="712CF8FA" w14:textId="77777777" w:rsidR="00265869" w:rsidRDefault="00265869" w:rsidP="00265869">
      <w:pPr>
        <w:pStyle w:val="3-BodyText"/>
        <w:numPr>
          <w:ilvl w:val="0"/>
          <w:numId w:val="0"/>
        </w:numPr>
        <w:ind w:left="720" w:hanging="720"/>
      </w:pPr>
    </w:p>
    <w:tbl>
      <w:tblPr>
        <w:tblW w:w="9214" w:type="dxa"/>
        <w:tblInd w:w="-5" w:type="dxa"/>
        <w:tblLook w:val="0000" w:firstRow="0" w:lastRow="0" w:firstColumn="0" w:lastColumn="0" w:noHBand="0" w:noVBand="0"/>
      </w:tblPr>
      <w:tblGrid>
        <w:gridCol w:w="3183"/>
        <w:gridCol w:w="6031"/>
      </w:tblGrid>
      <w:tr w:rsidR="00265869" w:rsidRPr="00F33674" w14:paraId="705F48AE" w14:textId="77777777" w:rsidTr="00C21DFA">
        <w:trPr>
          <w:cantSplit/>
          <w:trHeight w:val="360"/>
        </w:trPr>
        <w:tc>
          <w:tcPr>
            <w:tcW w:w="3183" w:type="dxa"/>
            <w:tcBorders>
              <w:top w:val="single" w:sz="4" w:space="0" w:color="auto"/>
              <w:left w:val="single" w:sz="4" w:space="0" w:color="auto"/>
              <w:bottom w:val="single" w:sz="4" w:space="0" w:color="auto"/>
              <w:right w:val="single" w:sz="4" w:space="0" w:color="auto"/>
            </w:tcBorders>
          </w:tcPr>
          <w:p w14:paraId="6558868E" w14:textId="77777777" w:rsidR="00265869" w:rsidRPr="00F33674" w:rsidRDefault="00265869" w:rsidP="00265869">
            <w:pPr>
              <w:rPr>
                <w:rFonts w:ascii="Arial Narrow" w:hAnsi="Arial Narrow" w:cs="Arial"/>
                <w:b/>
                <w:sz w:val="20"/>
                <w:szCs w:val="20"/>
              </w:rPr>
            </w:pPr>
            <w:r w:rsidRPr="00F33674">
              <w:rPr>
                <w:rFonts w:ascii="Arial Narrow" w:hAnsi="Arial Narrow" w:cs="Arial"/>
                <w:b/>
                <w:sz w:val="20"/>
                <w:szCs w:val="20"/>
              </w:rPr>
              <w:t>Category / Program:</w:t>
            </w:r>
          </w:p>
        </w:tc>
        <w:tc>
          <w:tcPr>
            <w:tcW w:w="6031" w:type="dxa"/>
            <w:tcBorders>
              <w:top w:val="single" w:sz="4" w:space="0" w:color="auto"/>
              <w:left w:val="single" w:sz="4" w:space="0" w:color="auto"/>
              <w:bottom w:val="single" w:sz="4" w:space="0" w:color="auto"/>
              <w:right w:val="single" w:sz="4" w:space="0" w:color="auto"/>
            </w:tcBorders>
          </w:tcPr>
          <w:p w14:paraId="102ED99E" w14:textId="77777777" w:rsidR="00265869" w:rsidRPr="00F33674" w:rsidRDefault="00265869" w:rsidP="00265869">
            <w:pPr>
              <w:rPr>
                <w:rFonts w:ascii="Arial Narrow" w:hAnsi="Arial Narrow" w:cs="Arial"/>
                <w:sz w:val="20"/>
                <w:szCs w:val="20"/>
              </w:rPr>
            </w:pPr>
            <w:r w:rsidRPr="00F33674">
              <w:rPr>
                <w:rFonts w:ascii="Arial Narrow" w:hAnsi="Arial Narrow" w:cs="Arial"/>
                <w:sz w:val="20"/>
                <w:szCs w:val="20"/>
              </w:rPr>
              <w:t>GENERAL – General Schedule (Code GE)</w:t>
            </w:r>
          </w:p>
        </w:tc>
      </w:tr>
      <w:tr w:rsidR="00265869" w:rsidRPr="00F33674" w14:paraId="4EE13F19" w14:textId="77777777" w:rsidTr="00C21DFA">
        <w:trPr>
          <w:cantSplit/>
          <w:trHeight w:val="360"/>
        </w:trPr>
        <w:tc>
          <w:tcPr>
            <w:tcW w:w="3183" w:type="dxa"/>
            <w:tcBorders>
              <w:top w:val="single" w:sz="4" w:space="0" w:color="auto"/>
              <w:left w:val="single" w:sz="4" w:space="0" w:color="auto"/>
              <w:bottom w:val="single" w:sz="4" w:space="0" w:color="auto"/>
              <w:right w:val="single" w:sz="4" w:space="0" w:color="auto"/>
            </w:tcBorders>
          </w:tcPr>
          <w:p w14:paraId="12742397" w14:textId="77777777" w:rsidR="00265869" w:rsidRPr="00F33674" w:rsidRDefault="00265869" w:rsidP="00265869">
            <w:pPr>
              <w:rPr>
                <w:rFonts w:ascii="Arial Narrow" w:hAnsi="Arial Narrow" w:cs="Arial"/>
                <w:b/>
                <w:sz w:val="20"/>
                <w:szCs w:val="20"/>
              </w:rPr>
            </w:pPr>
            <w:r w:rsidRPr="00F33674">
              <w:rPr>
                <w:rFonts w:ascii="Arial Narrow" w:hAnsi="Arial Narrow" w:cs="Arial"/>
                <w:b/>
                <w:sz w:val="20"/>
                <w:szCs w:val="20"/>
              </w:rPr>
              <w:t>Prescriber type:</w:t>
            </w:r>
          </w:p>
          <w:p w14:paraId="0C860C62" w14:textId="77777777" w:rsidR="00265869" w:rsidRPr="00F33674" w:rsidRDefault="00265869" w:rsidP="00265869">
            <w:pPr>
              <w:rPr>
                <w:rFonts w:ascii="Arial Narrow" w:hAnsi="Arial Narrow" w:cs="Arial"/>
                <w:b/>
                <w:sz w:val="20"/>
                <w:szCs w:val="20"/>
              </w:rPr>
            </w:pPr>
          </w:p>
        </w:tc>
        <w:tc>
          <w:tcPr>
            <w:tcW w:w="6031" w:type="dxa"/>
            <w:tcBorders>
              <w:top w:val="single" w:sz="4" w:space="0" w:color="auto"/>
              <w:left w:val="single" w:sz="4" w:space="0" w:color="auto"/>
              <w:bottom w:val="single" w:sz="4" w:space="0" w:color="auto"/>
              <w:right w:val="single" w:sz="4" w:space="0" w:color="auto"/>
            </w:tcBorders>
          </w:tcPr>
          <w:p w14:paraId="0D95CBBE" w14:textId="77777777" w:rsidR="00265869" w:rsidRPr="00F33674" w:rsidRDefault="00265869" w:rsidP="00265869">
            <w:pPr>
              <w:rPr>
                <w:rFonts w:ascii="Arial Narrow" w:hAnsi="Arial Narrow" w:cs="Arial"/>
                <w:sz w:val="20"/>
                <w:szCs w:val="20"/>
              </w:rPr>
            </w:pPr>
            <w:r w:rsidRPr="00F33674">
              <w:rPr>
                <w:rFonts w:ascii="Arial Narrow" w:hAnsi="Arial Narrow" w:cs="Arial"/>
                <w:sz w:val="20"/>
                <w:szCs w:val="20"/>
              </w:rPr>
              <w:fldChar w:fldCharType="begin">
                <w:ffData>
                  <w:name w:val="Check1"/>
                  <w:enabled/>
                  <w:calcOnExit w:val="0"/>
                  <w:checkBox>
                    <w:sizeAuto/>
                    <w:default w:val="0"/>
                  </w:checkBox>
                </w:ffData>
              </w:fldChar>
            </w:r>
            <w:r w:rsidRPr="00F33674">
              <w:rPr>
                <w:rFonts w:ascii="Arial Narrow" w:hAnsi="Arial Narrow" w:cs="Arial"/>
                <w:sz w:val="20"/>
                <w:szCs w:val="20"/>
              </w:rPr>
              <w:instrText xml:space="preserve"> FORMCHECKBOX </w:instrText>
            </w:r>
            <w:r w:rsidR="00233D13">
              <w:rPr>
                <w:rFonts w:ascii="Arial Narrow" w:hAnsi="Arial Narrow" w:cs="Arial"/>
                <w:sz w:val="20"/>
                <w:szCs w:val="20"/>
              </w:rPr>
            </w:r>
            <w:r w:rsidR="00233D13">
              <w:rPr>
                <w:rFonts w:ascii="Arial Narrow" w:hAnsi="Arial Narrow" w:cs="Arial"/>
                <w:sz w:val="20"/>
                <w:szCs w:val="20"/>
              </w:rPr>
              <w:fldChar w:fldCharType="separate"/>
            </w:r>
            <w:r w:rsidRPr="00F33674">
              <w:rPr>
                <w:rFonts w:ascii="Arial Narrow" w:hAnsi="Arial Narrow" w:cs="Arial"/>
                <w:sz w:val="20"/>
                <w:szCs w:val="20"/>
              </w:rPr>
              <w:fldChar w:fldCharType="end"/>
            </w:r>
            <w:r w:rsidRPr="00F33674">
              <w:rPr>
                <w:rFonts w:ascii="Arial Narrow" w:hAnsi="Arial Narrow" w:cs="Arial"/>
                <w:sz w:val="20"/>
                <w:szCs w:val="20"/>
              </w:rPr>
              <w:t>Dental</w:t>
            </w:r>
            <w:r>
              <w:rPr>
                <w:rFonts w:ascii="Arial Narrow" w:hAnsi="Arial Narrow" w:cs="Arial"/>
                <w:sz w:val="20"/>
                <w:szCs w:val="20"/>
              </w:rPr>
              <w:t xml:space="preserve"> </w:t>
            </w:r>
            <w:r w:rsidRPr="00F33674">
              <w:rPr>
                <w:rFonts w:ascii="Arial Narrow" w:hAnsi="Arial Narrow" w:cs="Arial"/>
                <w:sz w:val="20"/>
                <w:szCs w:val="20"/>
              </w:rPr>
              <w:fldChar w:fldCharType="begin">
                <w:ffData>
                  <w:name w:val=""/>
                  <w:enabled/>
                  <w:calcOnExit w:val="0"/>
                  <w:checkBox>
                    <w:sizeAuto/>
                    <w:default w:val="1"/>
                  </w:checkBox>
                </w:ffData>
              </w:fldChar>
            </w:r>
            <w:r w:rsidRPr="00F33674">
              <w:rPr>
                <w:rFonts w:ascii="Arial Narrow" w:hAnsi="Arial Narrow" w:cs="Arial"/>
                <w:sz w:val="20"/>
                <w:szCs w:val="20"/>
              </w:rPr>
              <w:instrText xml:space="preserve"> FORMCHECKBOX </w:instrText>
            </w:r>
            <w:r w:rsidR="00233D13">
              <w:rPr>
                <w:rFonts w:ascii="Arial Narrow" w:hAnsi="Arial Narrow" w:cs="Arial"/>
                <w:sz w:val="20"/>
                <w:szCs w:val="20"/>
              </w:rPr>
            </w:r>
            <w:r w:rsidR="00233D13">
              <w:rPr>
                <w:rFonts w:ascii="Arial Narrow" w:hAnsi="Arial Narrow" w:cs="Arial"/>
                <w:sz w:val="20"/>
                <w:szCs w:val="20"/>
              </w:rPr>
              <w:fldChar w:fldCharType="separate"/>
            </w:r>
            <w:r w:rsidRPr="00F33674">
              <w:rPr>
                <w:rFonts w:ascii="Arial Narrow" w:hAnsi="Arial Narrow" w:cs="Arial"/>
                <w:sz w:val="20"/>
                <w:szCs w:val="20"/>
              </w:rPr>
              <w:fldChar w:fldCharType="end"/>
            </w:r>
            <w:r w:rsidRPr="00F33674">
              <w:rPr>
                <w:rFonts w:ascii="Arial Narrow" w:hAnsi="Arial Narrow" w:cs="Arial"/>
                <w:sz w:val="20"/>
                <w:szCs w:val="20"/>
              </w:rPr>
              <w:t>Medical Practitioners</w:t>
            </w:r>
            <w:r>
              <w:rPr>
                <w:rFonts w:ascii="Arial Narrow" w:hAnsi="Arial Narrow" w:cs="Arial"/>
                <w:sz w:val="20"/>
                <w:szCs w:val="20"/>
              </w:rPr>
              <w:t xml:space="preserve"> </w:t>
            </w:r>
            <w:r w:rsidRPr="00F33674">
              <w:rPr>
                <w:rFonts w:ascii="Arial Narrow" w:hAnsi="Arial Narrow" w:cs="Arial"/>
                <w:sz w:val="20"/>
                <w:szCs w:val="20"/>
              </w:rPr>
              <w:fldChar w:fldCharType="begin">
                <w:ffData>
                  <w:name w:val="Check3"/>
                  <w:enabled/>
                  <w:calcOnExit w:val="0"/>
                  <w:checkBox>
                    <w:sizeAuto/>
                    <w:default w:val="1"/>
                  </w:checkBox>
                </w:ffData>
              </w:fldChar>
            </w:r>
            <w:r w:rsidRPr="00F33674">
              <w:rPr>
                <w:rFonts w:ascii="Arial Narrow" w:hAnsi="Arial Narrow" w:cs="Arial"/>
                <w:sz w:val="20"/>
                <w:szCs w:val="20"/>
              </w:rPr>
              <w:instrText xml:space="preserve"> FORMCHECKBOX </w:instrText>
            </w:r>
            <w:r w:rsidR="00233D13">
              <w:rPr>
                <w:rFonts w:ascii="Arial Narrow" w:hAnsi="Arial Narrow" w:cs="Arial"/>
                <w:sz w:val="20"/>
                <w:szCs w:val="20"/>
              </w:rPr>
            </w:r>
            <w:r w:rsidR="00233D13">
              <w:rPr>
                <w:rFonts w:ascii="Arial Narrow" w:hAnsi="Arial Narrow" w:cs="Arial"/>
                <w:sz w:val="20"/>
                <w:szCs w:val="20"/>
              </w:rPr>
              <w:fldChar w:fldCharType="separate"/>
            </w:r>
            <w:r w:rsidRPr="00F33674">
              <w:rPr>
                <w:rFonts w:ascii="Arial Narrow" w:hAnsi="Arial Narrow" w:cs="Arial"/>
                <w:sz w:val="20"/>
                <w:szCs w:val="20"/>
              </w:rPr>
              <w:fldChar w:fldCharType="end"/>
            </w:r>
            <w:r w:rsidRPr="00F33674">
              <w:rPr>
                <w:rFonts w:ascii="Arial Narrow" w:hAnsi="Arial Narrow" w:cs="Arial"/>
                <w:sz w:val="20"/>
                <w:szCs w:val="20"/>
              </w:rPr>
              <w:t>Nurse practitioners</w:t>
            </w:r>
            <w:r>
              <w:rPr>
                <w:rFonts w:ascii="Arial Narrow" w:hAnsi="Arial Narrow" w:cs="Arial"/>
                <w:sz w:val="20"/>
                <w:szCs w:val="20"/>
              </w:rPr>
              <w:t xml:space="preserve"> </w:t>
            </w:r>
            <w:r w:rsidRPr="00F33674">
              <w:rPr>
                <w:rFonts w:ascii="Arial Narrow" w:hAnsi="Arial Narrow" w:cs="Arial"/>
                <w:sz w:val="20"/>
                <w:szCs w:val="20"/>
              </w:rPr>
              <w:fldChar w:fldCharType="begin">
                <w:ffData>
                  <w:name w:val=""/>
                  <w:enabled/>
                  <w:calcOnExit w:val="0"/>
                  <w:checkBox>
                    <w:sizeAuto/>
                    <w:default w:val="0"/>
                  </w:checkBox>
                </w:ffData>
              </w:fldChar>
            </w:r>
            <w:r w:rsidRPr="00F33674">
              <w:rPr>
                <w:rFonts w:ascii="Arial Narrow" w:hAnsi="Arial Narrow" w:cs="Arial"/>
                <w:sz w:val="20"/>
                <w:szCs w:val="20"/>
              </w:rPr>
              <w:instrText xml:space="preserve"> FORMCHECKBOX </w:instrText>
            </w:r>
            <w:r w:rsidR="00233D13">
              <w:rPr>
                <w:rFonts w:ascii="Arial Narrow" w:hAnsi="Arial Narrow" w:cs="Arial"/>
                <w:sz w:val="20"/>
                <w:szCs w:val="20"/>
              </w:rPr>
            </w:r>
            <w:r w:rsidR="00233D13">
              <w:rPr>
                <w:rFonts w:ascii="Arial Narrow" w:hAnsi="Arial Narrow" w:cs="Arial"/>
                <w:sz w:val="20"/>
                <w:szCs w:val="20"/>
              </w:rPr>
              <w:fldChar w:fldCharType="separate"/>
            </w:r>
            <w:r w:rsidRPr="00F33674">
              <w:rPr>
                <w:rFonts w:ascii="Arial Narrow" w:hAnsi="Arial Narrow" w:cs="Arial"/>
                <w:sz w:val="20"/>
                <w:szCs w:val="20"/>
              </w:rPr>
              <w:fldChar w:fldCharType="end"/>
            </w:r>
            <w:r w:rsidRPr="00F33674">
              <w:rPr>
                <w:rFonts w:ascii="Arial Narrow" w:hAnsi="Arial Narrow" w:cs="Arial"/>
                <w:sz w:val="20"/>
                <w:szCs w:val="20"/>
              </w:rPr>
              <w:t>Optometrists</w:t>
            </w:r>
          </w:p>
          <w:p w14:paraId="46B5FE15" w14:textId="77777777" w:rsidR="00265869" w:rsidRPr="00F33674" w:rsidRDefault="00265869" w:rsidP="00265869">
            <w:pPr>
              <w:rPr>
                <w:rFonts w:ascii="Arial Narrow" w:hAnsi="Arial Narrow" w:cs="Arial"/>
                <w:sz w:val="20"/>
                <w:szCs w:val="20"/>
              </w:rPr>
            </w:pPr>
            <w:r w:rsidRPr="00F33674">
              <w:rPr>
                <w:rFonts w:ascii="Arial Narrow" w:hAnsi="Arial Narrow" w:cs="Arial"/>
                <w:sz w:val="20"/>
                <w:szCs w:val="20"/>
              </w:rPr>
              <w:fldChar w:fldCharType="begin">
                <w:ffData>
                  <w:name w:val="Check5"/>
                  <w:enabled/>
                  <w:calcOnExit w:val="0"/>
                  <w:checkBox>
                    <w:sizeAuto/>
                    <w:default w:val="0"/>
                  </w:checkBox>
                </w:ffData>
              </w:fldChar>
            </w:r>
            <w:r w:rsidRPr="00F33674">
              <w:rPr>
                <w:rFonts w:ascii="Arial Narrow" w:hAnsi="Arial Narrow" w:cs="Arial"/>
                <w:sz w:val="20"/>
                <w:szCs w:val="20"/>
              </w:rPr>
              <w:instrText xml:space="preserve"> FORMCHECKBOX </w:instrText>
            </w:r>
            <w:r w:rsidR="00233D13">
              <w:rPr>
                <w:rFonts w:ascii="Arial Narrow" w:hAnsi="Arial Narrow" w:cs="Arial"/>
                <w:sz w:val="20"/>
                <w:szCs w:val="20"/>
              </w:rPr>
            </w:r>
            <w:r w:rsidR="00233D13">
              <w:rPr>
                <w:rFonts w:ascii="Arial Narrow" w:hAnsi="Arial Narrow" w:cs="Arial"/>
                <w:sz w:val="20"/>
                <w:szCs w:val="20"/>
              </w:rPr>
              <w:fldChar w:fldCharType="separate"/>
            </w:r>
            <w:r w:rsidRPr="00F33674">
              <w:rPr>
                <w:rFonts w:ascii="Arial Narrow" w:hAnsi="Arial Narrow" w:cs="Arial"/>
                <w:sz w:val="20"/>
                <w:szCs w:val="20"/>
              </w:rPr>
              <w:fldChar w:fldCharType="end"/>
            </w:r>
            <w:r w:rsidRPr="00F33674">
              <w:rPr>
                <w:rFonts w:ascii="Arial Narrow" w:hAnsi="Arial Narrow" w:cs="Arial"/>
                <w:sz w:val="20"/>
                <w:szCs w:val="20"/>
              </w:rPr>
              <w:t>Midwives</w:t>
            </w:r>
          </w:p>
        </w:tc>
      </w:tr>
      <w:tr w:rsidR="00265869" w:rsidRPr="00F33674" w14:paraId="286AB5B6" w14:textId="77777777" w:rsidTr="00C21DFA">
        <w:trPr>
          <w:cantSplit/>
          <w:trHeight w:val="369"/>
        </w:trPr>
        <w:tc>
          <w:tcPr>
            <w:tcW w:w="3183" w:type="dxa"/>
            <w:tcBorders>
              <w:top w:val="single" w:sz="4" w:space="0" w:color="auto"/>
              <w:left w:val="single" w:sz="4" w:space="0" w:color="auto"/>
              <w:bottom w:val="single" w:sz="4" w:space="0" w:color="auto"/>
              <w:right w:val="single" w:sz="4" w:space="0" w:color="auto"/>
            </w:tcBorders>
          </w:tcPr>
          <w:p w14:paraId="323E8942" w14:textId="77777777" w:rsidR="00265869" w:rsidRPr="00F33674" w:rsidRDefault="00265869" w:rsidP="00265869">
            <w:pPr>
              <w:rPr>
                <w:rFonts w:ascii="Arial Narrow" w:hAnsi="Arial Narrow" w:cs="Arial"/>
                <w:b/>
                <w:sz w:val="20"/>
                <w:szCs w:val="20"/>
              </w:rPr>
            </w:pPr>
            <w:r w:rsidRPr="00F33674">
              <w:rPr>
                <w:rFonts w:ascii="Arial Narrow" w:hAnsi="Arial Narrow" w:cs="Arial"/>
                <w:b/>
                <w:sz w:val="20"/>
                <w:szCs w:val="20"/>
              </w:rPr>
              <w:t>PBS indication:</w:t>
            </w:r>
          </w:p>
        </w:tc>
        <w:tc>
          <w:tcPr>
            <w:tcW w:w="6031" w:type="dxa"/>
            <w:tcBorders>
              <w:top w:val="single" w:sz="4" w:space="0" w:color="auto"/>
              <w:left w:val="single" w:sz="4" w:space="0" w:color="auto"/>
              <w:bottom w:val="single" w:sz="4" w:space="0" w:color="auto"/>
              <w:right w:val="single" w:sz="4" w:space="0" w:color="auto"/>
            </w:tcBorders>
          </w:tcPr>
          <w:p w14:paraId="24248763" w14:textId="77777777" w:rsidR="00265869" w:rsidRPr="00F33674" w:rsidRDefault="00265869" w:rsidP="00265869">
            <w:pPr>
              <w:rPr>
                <w:rFonts w:ascii="Arial Narrow" w:hAnsi="Arial Narrow" w:cs="Arial"/>
                <w:sz w:val="20"/>
                <w:szCs w:val="20"/>
              </w:rPr>
            </w:pPr>
            <w:r w:rsidRPr="00F33674">
              <w:rPr>
                <w:rFonts w:ascii="Arial Narrow" w:hAnsi="Arial Narrow" w:cs="Arial"/>
                <w:sz w:val="20"/>
                <w:szCs w:val="20"/>
              </w:rPr>
              <w:t>[9729] Chronic severe disabling pain</w:t>
            </w:r>
          </w:p>
        </w:tc>
      </w:tr>
      <w:tr w:rsidR="00265869" w:rsidRPr="00F33674" w14:paraId="0267CEEA" w14:textId="77777777" w:rsidTr="00C21DFA">
        <w:trPr>
          <w:cantSplit/>
          <w:trHeight w:val="360"/>
        </w:trPr>
        <w:tc>
          <w:tcPr>
            <w:tcW w:w="3183" w:type="dxa"/>
            <w:tcBorders>
              <w:top w:val="single" w:sz="4" w:space="0" w:color="auto"/>
              <w:left w:val="single" w:sz="4" w:space="0" w:color="auto"/>
              <w:bottom w:val="single" w:sz="4" w:space="0" w:color="auto"/>
              <w:right w:val="single" w:sz="4" w:space="0" w:color="auto"/>
            </w:tcBorders>
          </w:tcPr>
          <w:p w14:paraId="20C9CB4E" w14:textId="77777777" w:rsidR="00265869" w:rsidRPr="00F33674" w:rsidRDefault="00265869" w:rsidP="00265869">
            <w:pPr>
              <w:rPr>
                <w:rFonts w:ascii="Arial Narrow" w:hAnsi="Arial Narrow" w:cs="Arial"/>
                <w:b/>
                <w:sz w:val="20"/>
                <w:szCs w:val="20"/>
              </w:rPr>
            </w:pPr>
            <w:r w:rsidRPr="00F33674">
              <w:rPr>
                <w:rFonts w:ascii="Arial Narrow" w:hAnsi="Arial Narrow" w:cs="Arial"/>
                <w:b/>
                <w:sz w:val="20"/>
                <w:szCs w:val="20"/>
              </w:rPr>
              <w:lastRenderedPageBreak/>
              <w:t>Restriction Level / Method:</w:t>
            </w:r>
          </w:p>
          <w:p w14:paraId="78892E0C" w14:textId="77777777" w:rsidR="00265869" w:rsidRPr="00F33674" w:rsidRDefault="00265869" w:rsidP="00265869">
            <w:pPr>
              <w:rPr>
                <w:rFonts w:ascii="Arial Narrow" w:hAnsi="Arial Narrow" w:cs="Arial"/>
                <w:i/>
                <w:sz w:val="20"/>
                <w:szCs w:val="20"/>
              </w:rPr>
            </w:pPr>
          </w:p>
          <w:p w14:paraId="41B883D6" w14:textId="77777777" w:rsidR="00265869" w:rsidRPr="00F33674" w:rsidRDefault="00265869" w:rsidP="00265869">
            <w:pPr>
              <w:rPr>
                <w:rFonts w:ascii="Arial Narrow" w:hAnsi="Arial Narrow" w:cs="Arial"/>
                <w:i/>
                <w:sz w:val="20"/>
                <w:szCs w:val="20"/>
              </w:rPr>
            </w:pPr>
          </w:p>
          <w:p w14:paraId="5EA67DC9" w14:textId="77777777" w:rsidR="00265869" w:rsidRPr="00F33674" w:rsidRDefault="00265869" w:rsidP="00265869">
            <w:pPr>
              <w:rPr>
                <w:rFonts w:ascii="Arial Narrow" w:hAnsi="Arial Narrow" w:cs="Arial"/>
                <w:i/>
                <w:sz w:val="20"/>
                <w:szCs w:val="20"/>
              </w:rPr>
            </w:pPr>
          </w:p>
        </w:tc>
        <w:tc>
          <w:tcPr>
            <w:tcW w:w="6031" w:type="dxa"/>
            <w:tcBorders>
              <w:top w:val="single" w:sz="4" w:space="0" w:color="auto"/>
              <w:left w:val="single" w:sz="4" w:space="0" w:color="auto"/>
              <w:bottom w:val="single" w:sz="4" w:space="0" w:color="auto"/>
              <w:right w:val="single" w:sz="4" w:space="0" w:color="auto"/>
            </w:tcBorders>
          </w:tcPr>
          <w:p w14:paraId="34346814" w14:textId="77777777" w:rsidR="00265869" w:rsidRPr="00F33674" w:rsidRDefault="00265869" w:rsidP="00265869">
            <w:pPr>
              <w:rPr>
                <w:rFonts w:ascii="Arial Narrow" w:hAnsi="Arial Narrow" w:cs="Arial"/>
                <w:sz w:val="20"/>
                <w:szCs w:val="20"/>
              </w:rPr>
            </w:pPr>
            <w:r w:rsidRPr="00F33674">
              <w:rPr>
                <w:rFonts w:ascii="Arial Narrow" w:hAnsi="Arial Narrow" w:cs="Arial"/>
                <w:sz w:val="20"/>
                <w:szCs w:val="20"/>
              </w:rPr>
              <w:fldChar w:fldCharType="begin">
                <w:ffData>
                  <w:name w:val=""/>
                  <w:enabled/>
                  <w:calcOnExit w:val="0"/>
                  <w:checkBox>
                    <w:sizeAuto/>
                    <w:default w:val="0"/>
                  </w:checkBox>
                </w:ffData>
              </w:fldChar>
            </w:r>
            <w:r w:rsidRPr="00F33674">
              <w:rPr>
                <w:rFonts w:ascii="Arial Narrow" w:hAnsi="Arial Narrow" w:cs="Arial"/>
                <w:sz w:val="20"/>
                <w:szCs w:val="20"/>
              </w:rPr>
              <w:instrText xml:space="preserve"> FORMCHECKBOX </w:instrText>
            </w:r>
            <w:r w:rsidR="00233D13">
              <w:rPr>
                <w:rFonts w:ascii="Arial Narrow" w:hAnsi="Arial Narrow" w:cs="Arial"/>
                <w:sz w:val="20"/>
                <w:szCs w:val="20"/>
              </w:rPr>
            </w:r>
            <w:r w:rsidR="00233D13">
              <w:rPr>
                <w:rFonts w:ascii="Arial Narrow" w:hAnsi="Arial Narrow" w:cs="Arial"/>
                <w:sz w:val="20"/>
                <w:szCs w:val="20"/>
              </w:rPr>
              <w:fldChar w:fldCharType="separate"/>
            </w:r>
            <w:r w:rsidRPr="00F33674">
              <w:rPr>
                <w:rFonts w:ascii="Arial Narrow" w:hAnsi="Arial Narrow" w:cs="Arial"/>
                <w:sz w:val="20"/>
                <w:szCs w:val="20"/>
              </w:rPr>
              <w:fldChar w:fldCharType="end"/>
            </w:r>
            <w:r w:rsidRPr="00F33674">
              <w:rPr>
                <w:rFonts w:ascii="Arial Narrow" w:hAnsi="Arial Narrow" w:cs="Arial"/>
                <w:sz w:val="20"/>
                <w:szCs w:val="20"/>
              </w:rPr>
              <w:t>Unrestricted benefit</w:t>
            </w:r>
          </w:p>
          <w:p w14:paraId="59899BDC" w14:textId="77777777" w:rsidR="00265869" w:rsidRPr="00F33674" w:rsidRDefault="00265869" w:rsidP="00265869">
            <w:pPr>
              <w:rPr>
                <w:rFonts w:ascii="Arial Narrow" w:hAnsi="Arial Narrow" w:cs="Arial"/>
                <w:i/>
                <w:sz w:val="20"/>
                <w:szCs w:val="20"/>
              </w:rPr>
            </w:pPr>
            <w:r w:rsidRPr="00F33674">
              <w:rPr>
                <w:rFonts w:ascii="Arial Narrow" w:hAnsi="Arial Narrow" w:cs="Arial"/>
                <w:i/>
                <w:sz w:val="20"/>
                <w:szCs w:val="20"/>
              </w:rPr>
              <w:fldChar w:fldCharType="begin">
                <w:ffData>
                  <w:name w:val=""/>
                  <w:enabled/>
                  <w:calcOnExit w:val="0"/>
                  <w:checkBox>
                    <w:sizeAuto/>
                    <w:default w:val="0"/>
                  </w:checkBox>
                </w:ffData>
              </w:fldChar>
            </w:r>
            <w:r w:rsidRPr="00F33674">
              <w:rPr>
                <w:rFonts w:ascii="Arial Narrow" w:hAnsi="Arial Narrow" w:cs="Arial"/>
                <w:i/>
                <w:sz w:val="20"/>
                <w:szCs w:val="20"/>
              </w:rPr>
              <w:instrText xml:space="preserve"> FORMCHECKBOX </w:instrText>
            </w:r>
            <w:r w:rsidR="00233D13">
              <w:rPr>
                <w:rFonts w:ascii="Arial Narrow" w:hAnsi="Arial Narrow" w:cs="Arial"/>
                <w:i/>
                <w:sz w:val="20"/>
                <w:szCs w:val="20"/>
              </w:rPr>
            </w:r>
            <w:r w:rsidR="00233D13">
              <w:rPr>
                <w:rFonts w:ascii="Arial Narrow" w:hAnsi="Arial Narrow" w:cs="Arial"/>
                <w:i/>
                <w:sz w:val="20"/>
                <w:szCs w:val="20"/>
              </w:rPr>
              <w:fldChar w:fldCharType="separate"/>
            </w:r>
            <w:r w:rsidRPr="00F33674">
              <w:rPr>
                <w:rFonts w:ascii="Arial Narrow" w:hAnsi="Arial Narrow" w:cs="Arial"/>
                <w:i/>
                <w:sz w:val="20"/>
                <w:szCs w:val="20"/>
              </w:rPr>
              <w:fldChar w:fldCharType="end"/>
            </w:r>
            <w:r w:rsidRPr="00F33674">
              <w:rPr>
                <w:rFonts w:ascii="Arial Narrow" w:hAnsi="Arial Narrow" w:cs="Arial"/>
                <w:sz w:val="20"/>
                <w:szCs w:val="20"/>
              </w:rPr>
              <w:t>Restricted benefit</w:t>
            </w:r>
          </w:p>
          <w:p w14:paraId="0F2D2389" w14:textId="77777777" w:rsidR="00265869" w:rsidRPr="00F33674" w:rsidRDefault="00265869" w:rsidP="00265869">
            <w:pPr>
              <w:rPr>
                <w:rFonts w:ascii="Arial Narrow" w:hAnsi="Arial Narrow" w:cs="Arial"/>
                <w:sz w:val="20"/>
                <w:szCs w:val="20"/>
              </w:rPr>
            </w:pPr>
            <w:r w:rsidRPr="00F33674">
              <w:rPr>
                <w:rFonts w:ascii="Arial Narrow" w:hAnsi="Arial Narrow" w:cs="Arial"/>
                <w:sz w:val="20"/>
                <w:szCs w:val="20"/>
              </w:rPr>
              <w:fldChar w:fldCharType="begin">
                <w:ffData>
                  <w:name w:val=""/>
                  <w:enabled/>
                  <w:calcOnExit w:val="0"/>
                  <w:checkBox>
                    <w:sizeAuto/>
                    <w:default w:val="0"/>
                  </w:checkBox>
                </w:ffData>
              </w:fldChar>
            </w:r>
            <w:r w:rsidRPr="00F33674">
              <w:rPr>
                <w:rFonts w:ascii="Arial Narrow" w:hAnsi="Arial Narrow" w:cs="Arial"/>
                <w:sz w:val="20"/>
                <w:szCs w:val="20"/>
              </w:rPr>
              <w:instrText xml:space="preserve"> FORMCHECKBOX </w:instrText>
            </w:r>
            <w:r w:rsidR="00233D13">
              <w:rPr>
                <w:rFonts w:ascii="Arial Narrow" w:hAnsi="Arial Narrow" w:cs="Arial"/>
                <w:sz w:val="20"/>
                <w:szCs w:val="20"/>
              </w:rPr>
            </w:r>
            <w:r w:rsidR="00233D13">
              <w:rPr>
                <w:rFonts w:ascii="Arial Narrow" w:hAnsi="Arial Narrow" w:cs="Arial"/>
                <w:sz w:val="20"/>
                <w:szCs w:val="20"/>
              </w:rPr>
              <w:fldChar w:fldCharType="separate"/>
            </w:r>
            <w:r w:rsidRPr="00F33674">
              <w:rPr>
                <w:rFonts w:ascii="Arial Narrow" w:hAnsi="Arial Narrow" w:cs="Arial"/>
                <w:sz w:val="20"/>
                <w:szCs w:val="20"/>
              </w:rPr>
              <w:fldChar w:fldCharType="end"/>
            </w:r>
            <w:r w:rsidRPr="00F33674">
              <w:rPr>
                <w:rFonts w:ascii="Arial Narrow" w:hAnsi="Arial Narrow" w:cs="Arial"/>
                <w:sz w:val="20"/>
                <w:szCs w:val="20"/>
              </w:rPr>
              <w:t>Authority Required – In Writing</w:t>
            </w:r>
          </w:p>
          <w:p w14:paraId="51B905BA" w14:textId="77777777" w:rsidR="00265869" w:rsidRPr="00F33674" w:rsidRDefault="00265869" w:rsidP="00265869">
            <w:pPr>
              <w:rPr>
                <w:rFonts w:ascii="Arial Narrow" w:hAnsi="Arial Narrow" w:cs="Arial"/>
                <w:sz w:val="20"/>
                <w:szCs w:val="20"/>
              </w:rPr>
            </w:pPr>
            <w:r w:rsidRPr="00F33674">
              <w:rPr>
                <w:rFonts w:ascii="Arial Narrow" w:hAnsi="Arial Narrow" w:cs="Arial"/>
                <w:sz w:val="20"/>
                <w:szCs w:val="20"/>
              </w:rPr>
              <w:fldChar w:fldCharType="begin">
                <w:ffData>
                  <w:name w:val="Check3"/>
                  <w:enabled/>
                  <w:calcOnExit w:val="0"/>
                  <w:checkBox>
                    <w:sizeAuto/>
                    <w:default w:val="0"/>
                  </w:checkBox>
                </w:ffData>
              </w:fldChar>
            </w:r>
            <w:r w:rsidRPr="00F33674">
              <w:rPr>
                <w:rFonts w:ascii="Arial Narrow" w:hAnsi="Arial Narrow" w:cs="Arial"/>
                <w:sz w:val="20"/>
                <w:szCs w:val="20"/>
              </w:rPr>
              <w:instrText xml:space="preserve"> FORMCHECKBOX </w:instrText>
            </w:r>
            <w:r w:rsidR="00233D13">
              <w:rPr>
                <w:rFonts w:ascii="Arial Narrow" w:hAnsi="Arial Narrow" w:cs="Arial"/>
                <w:sz w:val="20"/>
                <w:szCs w:val="20"/>
              </w:rPr>
            </w:r>
            <w:r w:rsidR="00233D13">
              <w:rPr>
                <w:rFonts w:ascii="Arial Narrow" w:hAnsi="Arial Narrow" w:cs="Arial"/>
                <w:sz w:val="20"/>
                <w:szCs w:val="20"/>
              </w:rPr>
              <w:fldChar w:fldCharType="separate"/>
            </w:r>
            <w:r w:rsidRPr="00F33674">
              <w:rPr>
                <w:rFonts w:ascii="Arial Narrow" w:hAnsi="Arial Narrow" w:cs="Arial"/>
                <w:sz w:val="20"/>
                <w:szCs w:val="20"/>
              </w:rPr>
              <w:fldChar w:fldCharType="end"/>
            </w:r>
            <w:r w:rsidRPr="00F33674">
              <w:rPr>
                <w:rFonts w:ascii="Arial Narrow" w:hAnsi="Arial Narrow" w:cs="Arial"/>
                <w:sz w:val="20"/>
                <w:szCs w:val="20"/>
              </w:rPr>
              <w:t>Authority Required – Telephone/Electronic/Emergency</w:t>
            </w:r>
          </w:p>
          <w:p w14:paraId="421D8AEF" w14:textId="77777777" w:rsidR="00265869" w:rsidRPr="00F33674" w:rsidRDefault="00265869" w:rsidP="00265869">
            <w:pPr>
              <w:rPr>
                <w:rFonts w:ascii="Arial Narrow" w:hAnsi="Arial Narrow" w:cs="Arial"/>
                <w:sz w:val="20"/>
                <w:szCs w:val="20"/>
              </w:rPr>
            </w:pPr>
            <w:r w:rsidRPr="00F33674">
              <w:rPr>
                <w:rFonts w:ascii="Arial Narrow" w:hAnsi="Arial Narrow" w:cs="Arial"/>
                <w:sz w:val="20"/>
                <w:szCs w:val="20"/>
              </w:rPr>
              <w:fldChar w:fldCharType="begin">
                <w:ffData>
                  <w:name w:val="Check5"/>
                  <w:enabled/>
                  <w:calcOnExit w:val="0"/>
                  <w:checkBox>
                    <w:sizeAuto/>
                    <w:default w:val="1"/>
                  </w:checkBox>
                </w:ffData>
              </w:fldChar>
            </w:r>
            <w:r w:rsidRPr="00F33674">
              <w:rPr>
                <w:rFonts w:ascii="Arial Narrow" w:hAnsi="Arial Narrow" w:cs="Arial"/>
                <w:sz w:val="20"/>
                <w:szCs w:val="20"/>
              </w:rPr>
              <w:instrText xml:space="preserve"> FORMCHECKBOX </w:instrText>
            </w:r>
            <w:r w:rsidR="00233D13">
              <w:rPr>
                <w:rFonts w:ascii="Arial Narrow" w:hAnsi="Arial Narrow" w:cs="Arial"/>
                <w:sz w:val="20"/>
                <w:szCs w:val="20"/>
              </w:rPr>
            </w:r>
            <w:r w:rsidR="00233D13">
              <w:rPr>
                <w:rFonts w:ascii="Arial Narrow" w:hAnsi="Arial Narrow" w:cs="Arial"/>
                <w:sz w:val="20"/>
                <w:szCs w:val="20"/>
              </w:rPr>
              <w:fldChar w:fldCharType="separate"/>
            </w:r>
            <w:r w:rsidRPr="00F33674">
              <w:rPr>
                <w:rFonts w:ascii="Arial Narrow" w:hAnsi="Arial Narrow" w:cs="Arial"/>
                <w:sz w:val="20"/>
                <w:szCs w:val="20"/>
              </w:rPr>
              <w:fldChar w:fldCharType="end"/>
            </w:r>
            <w:r w:rsidRPr="00F33674">
              <w:rPr>
                <w:rFonts w:ascii="Arial Narrow" w:hAnsi="Arial Narrow" w:cs="Arial"/>
                <w:sz w:val="20"/>
                <w:szCs w:val="20"/>
              </w:rPr>
              <w:t>Streamlined</w:t>
            </w:r>
          </w:p>
        </w:tc>
      </w:tr>
      <w:tr w:rsidR="00265869" w:rsidRPr="00F33674" w14:paraId="05288803" w14:textId="77777777" w:rsidTr="00C21DFA">
        <w:trPr>
          <w:cantSplit/>
          <w:trHeight w:val="360"/>
        </w:trPr>
        <w:tc>
          <w:tcPr>
            <w:tcW w:w="3183" w:type="dxa"/>
            <w:tcBorders>
              <w:top w:val="single" w:sz="4" w:space="0" w:color="auto"/>
              <w:left w:val="single" w:sz="4" w:space="0" w:color="auto"/>
              <w:bottom w:val="single" w:sz="4" w:space="0" w:color="auto"/>
              <w:right w:val="single" w:sz="4" w:space="0" w:color="auto"/>
            </w:tcBorders>
          </w:tcPr>
          <w:p w14:paraId="6379A38C" w14:textId="77777777" w:rsidR="00265869" w:rsidRPr="00F33674" w:rsidRDefault="00265869" w:rsidP="00265869">
            <w:pPr>
              <w:rPr>
                <w:rFonts w:ascii="Arial Narrow" w:hAnsi="Arial Narrow" w:cs="Arial"/>
                <w:b/>
                <w:sz w:val="20"/>
                <w:szCs w:val="20"/>
              </w:rPr>
            </w:pPr>
            <w:r>
              <w:rPr>
                <w:rFonts w:ascii="Arial Narrow" w:hAnsi="Arial Narrow" w:cs="Arial"/>
                <w:b/>
                <w:sz w:val="20"/>
                <w:szCs w:val="20"/>
              </w:rPr>
              <w:t>Treatment phase:</w:t>
            </w:r>
          </w:p>
        </w:tc>
        <w:tc>
          <w:tcPr>
            <w:tcW w:w="6031" w:type="dxa"/>
            <w:tcBorders>
              <w:top w:val="single" w:sz="4" w:space="0" w:color="auto"/>
              <w:left w:val="single" w:sz="4" w:space="0" w:color="auto"/>
              <w:bottom w:val="single" w:sz="4" w:space="0" w:color="auto"/>
              <w:right w:val="single" w:sz="4" w:space="0" w:color="auto"/>
            </w:tcBorders>
          </w:tcPr>
          <w:p w14:paraId="4C842912" w14:textId="103AE754" w:rsidR="00265869" w:rsidRPr="00F33674" w:rsidRDefault="009260EC" w:rsidP="00265869">
            <w:pPr>
              <w:jc w:val="left"/>
              <w:rPr>
                <w:rFonts w:ascii="Arial Narrow" w:hAnsi="Arial Narrow" w:cs="Arial"/>
                <w:sz w:val="20"/>
                <w:szCs w:val="20"/>
              </w:rPr>
            </w:pPr>
            <w:r w:rsidRPr="00CB0FCB">
              <w:rPr>
                <w:rFonts w:ascii="Arial Narrow" w:hAnsi="Arial Narrow" w:cs="Arial"/>
                <w:sz w:val="20"/>
                <w:szCs w:val="20"/>
              </w:rPr>
              <w:t>Continuing PBS treatment after 1 June 2020</w:t>
            </w:r>
            <w:r>
              <w:rPr>
                <w:rFonts w:ascii="Arial Narrow" w:hAnsi="Arial Narrow" w:cs="Arial"/>
                <w:sz w:val="20"/>
                <w:szCs w:val="20"/>
              </w:rPr>
              <w:t>.</w:t>
            </w:r>
          </w:p>
        </w:tc>
      </w:tr>
      <w:tr w:rsidR="00265869" w:rsidRPr="00F33674" w14:paraId="6B84D7CD" w14:textId="77777777" w:rsidTr="00C21DFA">
        <w:trPr>
          <w:cantSplit/>
          <w:trHeight w:val="360"/>
        </w:trPr>
        <w:tc>
          <w:tcPr>
            <w:tcW w:w="3183" w:type="dxa"/>
            <w:tcBorders>
              <w:top w:val="single" w:sz="4" w:space="0" w:color="auto"/>
              <w:left w:val="single" w:sz="4" w:space="0" w:color="auto"/>
              <w:bottom w:val="single" w:sz="4" w:space="0" w:color="auto"/>
              <w:right w:val="single" w:sz="4" w:space="0" w:color="auto"/>
            </w:tcBorders>
          </w:tcPr>
          <w:p w14:paraId="7EF680DA" w14:textId="77777777" w:rsidR="00265869" w:rsidRPr="00F33674" w:rsidRDefault="00265869" w:rsidP="00265869">
            <w:pPr>
              <w:rPr>
                <w:rFonts w:ascii="Arial Narrow" w:hAnsi="Arial Narrow" w:cs="Arial"/>
                <w:b/>
                <w:sz w:val="20"/>
                <w:szCs w:val="20"/>
              </w:rPr>
            </w:pPr>
            <w:r w:rsidRPr="00F33674">
              <w:rPr>
                <w:rFonts w:ascii="Arial Narrow" w:hAnsi="Arial Narrow" w:cs="Arial"/>
                <w:b/>
                <w:sz w:val="20"/>
                <w:szCs w:val="20"/>
              </w:rPr>
              <w:t>Clinical criteria:</w:t>
            </w:r>
          </w:p>
        </w:tc>
        <w:tc>
          <w:tcPr>
            <w:tcW w:w="6031" w:type="dxa"/>
            <w:tcBorders>
              <w:top w:val="single" w:sz="4" w:space="0" w:color="auto"/>
              <w:left w:val="single" w:sz="4" w:space="0" w:color="auto"/>
              <w:bottom w:val="single" w:sz="4" w:space="0" w:color="auto"/>
              <w:right w:val="single" w:sz="4" w:space="0" w:color="auto"/>
            </w:tcBorders>
          </w:tcPr>
          <w:p w14:paraId="51BA1A03" w14:textId="77777777" w:rsidR="00265869" w:rsidRPr="00F33674" w:rsidRDefault="00265869" w:rsidP="00265869">
            <w:pPr>
              <w:jc w:val="left"/>
              <w:rPr>
                <w:rFonts w:ascii="Arial Narrow" w:hAnsi="Arial Narrow" w:cs="Arial"/>
                <w:sz w:val="20"/>
                <w:szCs w:val="20"/>
              </w:rPr>
            </w:pPr>
            <w:r w:rsidRPr="00F33674">
              <w:rPr>
                <w:rFonts w:ascii="Arial Narrow" w:hAnsi="Arial Narrow" w:cs="Arial"/>
                <w:sz w:val="20"/>
                <w:szCs w:val="20"/>
              </w:rPr>
              <w:t xml:space="preserve">[new] </w:t>
            </w:r>
            <w:r w:rsidRPr="00744FB8">
              <w:rPr>
                <w:rFonts w:ascii="Arial Narrow" w:hAnsi="Arial Narrow" w:cs="Arial"/>
                <w:sz w:val="20"/>
                <w:szCs w:val="20"/>
              </w:rPr>
              <w:t>Patient must have previously received PBS-subsidised treatment with this form of this drug for this condition after 1 June 2020</w:t>
            </w:r>
            <w:r>
              <w:rPr>
                <w:rFonts w:ascii="Arial Narrow" w:hAnsi="Arial Narrow" w:cs="Arial"/>
                <w:sz w:val="20"/>
                <w:szCs w:val="20"/>
              </w:rPr>
              <w:t>.</w:t>
            </w:r>
          </w:p>
        </w:tc>
      </w:tr>
      <w:tr w:rsidR="00265869" w:rsidRPr="00F33674" w14:paraId="116CE596" w14:textId="77777777" w:rsidTr="00C21DFA">
        <w:trPr>
          <w:cantSplit/>
          <w:trHeight w:val="360"/>
        </w:trPr>
        <w:tc>
          <w:tcPr>
            <w:tcW w:w="3183" w:type="dxa"/>
            <w:tcBorders>
              <w:top w:val="single" w:sz="4" w:space="0" w:color="auto"/>
              <w:left w:val="single" w:sz="4" w:space="0" w:color="auto"/>
              <w:bottom w:val="single" w:sz="4" w:space="0" w:color="auto"/>
              <w:right w:val="single" w:sz="4" w:space="0" w:color="auto"/>
            </w:tcBorders>
          </w:tcPr>
          <w:p w14:paraId="6257D732" w14:textId="77777777" w:rsidR="00265869" w:rsidRPr="00F33674" w:rsidRDefault="00265869" w:rsidP="00265869">
            <w:pPr>
              <w:rPr>
                <w:rFonts w:ascii="Arial Narrow" w:hAnsi="Arial Narrow" w:cs="Arial"/>
                <w:b/>
                <w:sz w:val="20"/>
                <w:szCs w:val="20"/>
              </w:rPr>
            </w:pPr>
            <w:r w:rsidRPr="00F33674">
              <w:rPr>
                <w:rFonts w:ascii="Arial Narrow" w:hAnsi="Arial Narrow" w:cs="Arial"/>
                <w:b/>
                <w:sz w:val="20"/>
                <w:szCs w:val="20"/>
              </w:rPr>
              <w:t>Prescriber instruction:</w:t>
            </w:r>
          </w:p>
        </w:tc>
        <w:tc>
          <w:tcPr>
            <w:tcW w:w="6031" w:type="dxa"/>
            <w:tcBorders>
              <w:top w:val="single" w:sz="4" w:space="0" w:color="auto"/>
              <w:left w:val="single" w:sz="4" w:space="0" w:color="auto"/>
              <w:bottom w:val="single" w:sz="4" w:space="0" w:color="auto"/>
              <w:right w:val="single" w:sz="4" w:space="0" w:color="auto"/>
            </w:tcBorders>
          </w:tcPr>
          <w:p w14:paraId="5EE77F97" w14:textId="77777777" w:rsidR="00265869" w:rsidRPr="00744FB8" w:rsidRDefault="00265869" w:rsidP="00265869">
            <w:pPr>
              <w:jc w:val="left"/>
              <w:rPr>
                <w:rFonts w:ascii="Arial Narrow" w:hAnsi="Arial Narrow" w:cs="Arial"/>
                <w:sz w:val="20"/>
                <w:szCs w:val="20"/>
              </w:rPr>
            </w:pPr>
            <w:r w:rsidRPr="00F33674">
              <w:rPr>
                <w:rFonts w:ascii="Arial Narrow" w:hAnsi="Arial Narrow" w:cs="Arial"/>
                <w:sz w:val="20"/>
                <w:szCs w:val="20"/>
              </w:rPr>
              <w:t xml:space="preserve">[new] </w:t>
            </w:r>
            <w:r w:rsidRPr="00744FB8">
              <w:rPr>
                <w:rFonts w:ascii="Arial Narrow" w:hAnsi="Arial Narrow" w:cs="Arial"/>
                <w:sz w:val="20"/>
                <w:szCs w:val="20"/>
              </w:rPr>
              <w:t>Authorities for increased maximum quantities and/or repeats must only be considered for chronic severe disabling pain where the patient has received initial authority approval and the total duration of non-PBS and PBS opioid analgesic treatment:</w:t>
            </w:r>
          </w:p>
          <w:p w14:paraId="7216A94E" w14:textId="77777777" w:rsidR="00265869" w:rsidRPr="00744FB8" w:rsidRDefault="00265869" w:rsidP="00265869">
            <w:pPr>
              <w:jc w:val="left"/>
              <w:rPr>
                <w:rFonts w:ascii="Arial Narrow" w:hAnsi="Arial Narrow" w:cs="Arial"/>
                <w:sz w:val="20"/>
                <w:szCs w:val="20"/>
              </w:rPr>
            </w:pPr>
            <w:r w:rsidRPr="00744FB8">
              <w:rPr>
                <w:rFonts w:ascii="Arial Narrow" w:hAnsi="Arial Narrow" w:cs="Arial"/>
                <w:sz w:val="20"/>
                <w:szCs w:val="20"/>
              </w:rPr>
              <w:t>(i) is less than 12 months; or</w:t>
            </w:r>
          </w:p>
          <w:p w14:paraId="6A6A134A" w14:textId="77777777" w:rsidR="00265869" w:rsidRPr="00744FB8" w:rsidRDefault="00265869" w:rsidP="00265869">
            <w:pPr>
              <w:jc w:val="left"/>
              <w:rPr>
                <w:rFonts w:ascii="Arial Narrow" w:hAnsi="Arial Narrow" w:cs="Arial"/>
                <w:sz w:val="20"/>
                <w:szCs w:val="20"/>
              </w:rPr>
            </w:pPr>
            <w:r w:rsidRPr="00744FB8">
              <w:rPr>
                <w:rFonts w:ascii="Arial Narrow" w:hAnsi="Arial Narrow" w:cs="Arial"/>
                <w:sz w:val="20"/>
                <w:szCs w:val="20"/>
              </w:rPr>
              <w:t>(ii) exceeds 12 months and the palliative care patient is unable to have annual pain management review due to their clinical condition; or</w:t>
            </w:r>
          </w:p>
          <w:p w14:paraId="0272E4C3" w14:textId="77777777" w:rsidR="00265869" w:rsidRPr="00744FB8" w:rsidRDefault="00265869" w:rsidP="00265869">
            <w:pPr>
              <w:jc w:val="left"/>
              <w:rPr>
                <w:rFonts w:ascii="Arial Narrow" w:hAnsi="Arial Narrow" w:cs="Arial"/>
                <w:sz w:val="20"/>
                <w:szCs w:val="20"/>
              </w:rPr>
            </w:pPr>
            <w:r w:rsidRPr="00744FB8">
              <w:rPr>
                <w:rFonts w:ascii="Arial Narrow" w:hAnsi="Arial Narrow" w:cs="Arial"/>
                <w:sz w:val="20"/>
                <w:szCs w:val="20"/>
              </w:rPr>
              <w:t>(iii) exceeds 12 months and the patient's clinical need for continuing opioid treatment has been confirmed through consultation with the patient by another medical practitioner or a palliative care nurse practitioner in the past 12 months; or</w:t>
            </w:r>
          </w:p>
          <w:p w14:paraId="0CBECF61" w14:textId="77777777" w:rsidR="00265869" w:rsidRDefault="00265869" w:rsidP="00265869">
            <w:pPr>
              <w:jc w:val="left"/>
              <w:rPr>
                <w:rFonts w:ascii="Arial Narrow" w:hAnsi="Arial Narrow" w:cs="Arial"/>
                <w:sz w:val="20"/>
                <w:szCs w:val="20"/>
              </w:rPr>
            </w:pPr>
            <w:r w:rsidRPr="00744FB8">
              <w:rPr>
                <w:rFonts w:ascii="Arial Narrow" w:hAnsi="Arial Narrow" w:cs="Arial"/>
                <w:sz w:val="20"/>
                <w:szCs w:val="20"/>
              </w:rPr>
              <w:t xml:space="preserve">(iv) </w:t>
            </w:r>
            <w:proofErr w:type="gramStart"/>
            <w:r w:rsidRPr="00744FB8">
              <w:rPr>
                <w:rFonts w:ascii="Arial Narrow" w:hAnsi="Arial Narrow" w:cs="Arial"/>
                <w:sz w:val="20"/>
                <w:szCs w:val="20"/>
              </w:rPr>
              <w:t>has</w:t>
            </w:r>
            <w:proofErr w:type="gramEnd"/>
            <w:r w:rsidRPr="00744FB8">
              <w:rPr>
                <w:rFonts w:ascii="Arial Narrow" w:hAnsi="Arial Narrow" w:cs="Arial"/>
                <w:sz w:val="20"/>
                <w:szCs w:val="20"/>
              </w:rPr>
              <w:t xml:space="preserve"> exceeded 12 months prior to 1 June 2020 and the patient's pain management and clinical need for continuing opioid treatment has not been confirmed through consultation with the patient by another medical practitioner or a palliative care nurse practitioner in the past 12 months, but is planned in the next 3 months.</w:t>
            </w:r>
          </w:p>
          <w:p w14:paraId="0F267B1C" w14:textId="77777777" w:rsidR="00265869" w:rsidRPr="00F33674" w:rsidRDefault="00265869" w:rsidP="00265869">
            <w:pPr>
              <w:jc w:val="left"/>
              <w:rPr>
                <w:rFonts w:ascii="Arial Narrow" w:hAnsi="Arial Narrow" w:cs="Arial"/>
                <w:sz w:val="20"/>
                <w:szCs w:val="20"/>
              </w:rPr>
            </w:pPr>
          </w:p>
          <w:p w14:paraId="524D947D" w14:textId="77777777" w:rsidR="00265869" w:rsidRPr="00F33674" w:rsidRDefault="00265869" w:rsidP="00265869">
            <w:pPr>
              <w:jc w:val="left"/>
              <w:rPr>
                <w:rFonts w:ascii="Arial Narrow" w:hAnsi="Arial Narrow" w:cs="Arial"/>
                <w:sz w:val="20"/>
                <w:szCs w:val="20"/>
              </w:rPr>
            </w:pPr>
            <w:r w:rsidRPr="00F33674">
              <w:rPr>
                <w:rFonts w:ascii="Arial Narrow" w:hAnsi="Arial Narrow" w:cs="Arial"/>
                <w:sz w:val="20"/>
                <w:szCs w:val="20"/>
              </w:rPr>
              <w:t>[new] Authority requests extending treatment duration up to 1 month may be requested though the Online PBS Authorities system or by calling Services Australia.</w:t>
            </w:r>
          </w:p>
          <w:p w14:paraId="05465A44" w14:textId="77777777" w:rsidR="00265869" w:rsidRPr="00F33674" w:rsidRDefault="00265869" w:rsidP="00265869">
            <w:pPr>
              <w:jc w:val="left"/>
              <w:rPr>
                <w:rFonts w:ascii="Arial Narrow" w:hAnsi="Arial Narrow" w:cs="Arial"/>
                <w:sz w:val="20"/>
                <w:szCs w:val="20"/>
              </w:rPr>
            </w:pPr>
          </w:p>
          <w:p w14:paraId="77018C36" w14:textId="77777777" w:rsidR="00265869" w:rsidRPr="00F33674" w:rsidRDefault="00265869" w:rsidP="00265869">
            <w:pPr>
              <w:jc w:val="left"/>
              <w:rPr>
                <w:rFonts w:ascii="Arial Narrow" w:hAnsi="Arial Narrow" w:cs="Arial"/>
                <w:sz w:val="20"/>
                <w:szCs w:val="20"/>
              </w:rPr>
            </w:pPr>
            <w:r w:rsidRPr="00F33674">
              <w:rPr>
                <w:rFonts w:ascii="Arial Narrow" w:hAnsi="Arial Narrow" w:cs="Arial"/>
                <w:sz w:val="20"/>
                <w:szCs w:val="20"/>
              </w:rPr>
              <w:t xml:space="preserve">Authority requests extending treatment duration beyond 1 month </w:t>
            </w:r>
            <w:r>
              <w:rPr>
                <w:rFonts w:ascii="Arial Narrow" w:hAnsi="Arial Narrow" w:cs="Arial"/>
                <w:sz w:val="20"/>
                <w:szCs w:val="20"/>
              </w:rPr>
              <w:t>may be requested through the Online PBS Authorities system</w:t>
            </w:r>
            <w:r w:rsidRPr="00F33674">
              <w:rPr>
                <w:rFonts w:ascii="Arial Narrow" w:hAnsi="Arial Narrow" w:cs="Arial"/>
                <w:sz w:val="20"/>
                <w:szCs w:val="20"/>
              </w:rPr>
              <w:t xml:space="preserve"> or in writing only and must not provide a treatment duration exceeding </w:t>
            </w:r>
            <w:r>
              <w:rPr>
                <w:rFonts w:ascii="Arial Narrow" w:hAnsi="Arial Narrow" w:cs="Arial"/>
                <w:sz w:val="20"/>
                <w:szCs w:val="20"/>
              </w:rPr>
              <w:t xml:space="preserve">3 months (quantity sufficient for up to </w:t>
            </w:r>
            <w:proofErr w:type="gramStart"/>
            <w:r>
              <w:rPr>
                <w:rFonts w:ascii="Arial Narrow" w:hAnsi="Arial Narrow" w:cs="Arial"/>
                <w:sz w:val="20"/>
                <w:szCs w:val="20"/>
              </w:rPr>
              <w:t>1 month</w:t>
            </w:r>
            <w:proofErr w:type="gramEnd"/>
            <w:r>
              <w:rPr>
                <w:rFonts w:ascii="Arial Narrow" w:hAnsi="Arial Narrow" w:cs="Arial"/>
                <w:sz w:val="20"/>
                <w:szCs w:val="20"/>
              </w:rPr>
              <w:t xml:space="preserve"> treatment and sufficient repeats).</w:t>
            </w:r>
          </w:p>
        </w:tc>
      </w:tr>
      <w:tr w:rsidR="00265869" w:rsidRPr="00F33674" w14:paraId="550294E1" w14:textId="77777777" w:rsidTr="00C21DFA">
        <w:trPr>
          <w:cantSplit/>
          <w:trHeight w:val="360"/>
        </w:trPr>
        <w:tc>
          <w:tcPr>
            <w:tcW w:w="3183" w:type="dxa"/>
            <w:tcBorders>
              <w:top w:val="single" w:sz="4" w:space="0" w:color="auto"/>
              <w:left w:val="single" w:sz="4" w:space="0" w:color="auto"/>
              <w:bottom w:val="single" w:sz="4" w:space="0" w:color="auto"/>
              <w:right w:val="single" w:sz="4" w:space="0" w:color="auto"/>
            </w:tcBorders>
          </w:tcPr>
          <w:p w14:paraId="19B0699C" w14:textId="6CA1A55C" w:rsidR="00265869" w:rsidRPr="00F33674" w:rsidRDefault="00265869" w:rsidP="00265869">
            <w:pPr>
              <w:rPr>
                <w:rFonts w:ascii="Arial Narrow" w:hAnsi="Arial Narrow" w:cs="Arial"/>
                <w:b/>
                <w:sz w:val="20"/>
                <w:szCs w:val="20"/>
              </w:rPr>
            </w:pPr>
            <w:r w:rsidRPr="00F33674">
              <w:rPr>
                <w:rFonts w:ascii="Arial Narrow" w:hAnsi="Arial Narrow" w:cs="Arial"/>
                <w:b/>
                <w:sz w:val="20"/>
                <w:szCs w:val="20"/>
              </w:rPr>
              <w:t>Administrative advice:</w:t>
            </w:r>
          </w:p>
        </w:tc>
        <w:tc>
          <w:tcPr>
            <w:tcW w:w="6031" w:type="dxa"/>
            <w:tcBorders>
              <w:top w:val="single" w:sz="4" w:space="0" w:color="auto"/>
              <w:left w:val="single" w:sz="4" w:space="0" w:color="auto"/>
              <w:bottom w:val="single" w:sz="4" w:space="0" w:color="auto"/>
              <w:right w:val="single" w:sz="4" w:space="0" w:color="auto"/>
            </w:tcBorders>
          </w:tcPr>
          <w:p w14:paraId="4BA466E0" w14:textId="77777777" w:rsidR="00265869" w:rsidRPr="00F33674" w:rsidRDefault="00265869" w:rsidP="00265869">
            <w:pPr>
              <w:jc w:val="left"/>
              <w:rPr>
                <w:rFonts w:ascii="Arial Narrow" w:hAnsi="Arial Narrow"/>
                <w:sz w:val="20"/>
                <w:szCs w:val="20"/>
              </w:rPr>
            </w:pPr>
            <w:r w:rsidRPr="00F33674">
              <w:rPr>
                <w:rFonts w:ascii="Arial Narrow" w:hAnsi="Arial Narrow"/>
                <w:sz w:val="20"/>
                <w:szCs w:val="20"/>
              </w:rPr>
              <w:t>[new] Consider consultation with a multidisciplinary pain service prior to, or after commencement of this medication.</w:t>
            </w:r>
          </w:p>
          <w:p w14:paraId="7D0B8832" w14:textId="77777777" w:rsidR="00265869" w:rsidRPr="00F33674" w:rsidRDefault="00265869" w:rsidP="00265869">
            <w:pPr>
              <w:jc w:val="left"/>
              <w:rPr>
                <w:rFonts w:ascii="Arial Narrow" w:hAnsi="Arial Narrow" w:cs="Arial"/>
                <w:sz w:val="20"/>
                <w:szCs w:val="20"/>
              </w:rPr>
            </w:pPr>
          </w:p>
          <w:p w14:paraId="3E74EACA" w14:textId="77777777" w:rsidR="00265869" w:rsidRPr="00F33674" w:rsidRDefault="00265869" w:rsidP="00265869">
            <w:pPr>
              <w:jc w:val="left"/>
              <w:rPr>
                <w:rFonts w:ascii="Arial Narrow" w:hAnsi="Arial Narrow" w:cs="Arial"/>
                <w:sz w:val="20"/>
                <w:szCs w:val="20"/>
              </w:rPr>
            </w:pPr>
            <w:r w:rsidRPr="00F33674">
              <w:rPr>
                <w:rFonts w:ascii="Arial Narrow" w:hAnsi="Arial Narrow" w:cs="Arial"/>
                <w:sz w:val="20"/>
                <w:szCs w:val="20"/>
              </w:rPr>
              <w:t xml:space="preserve">[new] This treatment </w:t>
            </w:r>
            <w:proofErr w:type="gramStart"/>
            <w:r w:rsidRPr="00F33674">
              <w:rPr>
                <w:rFonts w:ascii="Arial Narrow" w:hAnsi="Arial Narrow" w:cs="Arial"/>
                <w:sz w:val="20"/>
                <w:szCs w:val="20"/>
              </w:rPr>
              <w:t>is not recommended</w:t>
            </w:r>
            <w:proofErr w:type="gramEnd"/>
            <w:r w:rsidRPr="00F33674">
              <w:rPr>
                <w:rFonts w:ascii="Arial Narrow" w:hAnsi="Arial Narrow" w:cs="Arial"/>
                <w:sz w:val="20"/>
                <w:szCs w:val="20"/>
              </w:rPr>
              <w:t xml:space="preserve"> for use in ambulant patients.</w:t>
            </w:r>
          </w:p>
          <w:p w14:paraId="26600E57" w14:textId="77777777" w:rsidR="00265869" w:rsidRPr="00F33674" w:rsidRDefault="00265869" w:rsidP="00265869">
            <w:pPr>
              <w:jc w:val="left"/>
              <w:rPr>
                <w:rFonts w:ascii="Arial Narrow" w:hAnsi="Arial Narrow" w:cs="Arial"/>
                <w:sz w:val="20"/>
                <w:szCs w:val="20"/>
              </w:rPr>
            </w:pPr>
          </w:p>
          <w:p w14:paraId="4E12F9F8" w14:textId="77777777" w:rsidR="00265869" w:rsidRPr="00F33674" w:rsidRDefault="00265869" w:rsidP="00265869">
            <w:pPr>
              <w:jc w:val="left"/>
              <w:rPr>
                <w:rFonts w:ascii="Arial Narrow" w:hAnsi="Arial Narrow" w:cs="Arial"/>
                <w:sz w:val="20"/>
                <w:szCs w:val="20"/>
              </w:rPr>
            </w:pPr>
            <w:r w:rsidRPr="00F33674">
              <w:rPr>
                <w:rFonts w:ascii="Arial Narrow" w:hAnsi="Arial Narrow" w:cs="Arial"/>
                <w:sz w:val="20"/>
                <w:szCs w:val="20"/>
              </w:rPr>
              <w:t>[new] This treatment is not suitable for ‘as-required’ pain relief.</w:t>
            </w:r>
          </w:p>
          <w:p w14:paraId="490C7B2E" w14:textId="77777777" w:rsidR="00265869" w:rsidRPr="00F33674" w:rsidRDefault="00265869" w:rsidP="00265869">
            <w:pPr>
              <w:jc w:val="left"/>
              <w:rPr>
                <w:rFonts w:ascii="Arial Narrow" w:hAnsi="Arial Narrow" w:cs="Arial"/>
                <w:sz w:val="20"/>
                <w:szCs w:val="20"/>
              </w:rPr>
            </w:pPr>
          </w:p>
          <w:p w14:paraId="7EDE769D" w14:textId="77777777" w:rsidR="00265869" w:rsidRPr="00F33674" w:rsidRDefault="00265869" w:rsidP="00265869">
            <w:pPr>
              <w:jc w:val="left"/>
              <w:rPr>
                <w:rFonts w:ascii="Arial Narrow" w:hAnsi="Arial Narrow" w:cs="Arial"/>
                <w:sz w:val="20"/>
                <w:szCs w:val="20"/>
              </w:rPr>
            </w:pPr>
            <w:r w:rsidRPr="00F33674">
              <w:rPr>
                <w:rFonts w:ascii="Arial Narrow" w:hAnsi="Arial Narrow" w:cs="Arial"/>
                <w:sz w:val="20"/>
                <w:szCs w:val="20"/>
              </w:rPr>
              <w:t xml:space="preserve">[7901] Shared Care Model: For prescribing by nurse practitioners where care of a patient </w:t>
            </w:r>
            <w:proofErr w:type="gramStart"/>
            <w:r w:rsidRPr="00F33674">
              <w:rPr>
                <w:rFonts w:ascii="Arial Narrow" w:hAnsi="Arial Narrow" w:cs="Arial"/>
                <w:sz w:val="20"/>
                <w:szCs w:val="20"/>
              </w:rPr>
              <w:t>is shared</w:t>
            </w:r>
            <w:proofErr w:type="gramEnd"/>
            <w:r w:rsidRPr="00F33674">
              <w:rPr>
                <w:rFonts w:ascii="Arial Narrow" w:hAnsi="Arial Narrow" w:cs="Arial"/>
                <w:sz w:val="20"/>
                <w:szCs w:val="20"/>
              </w:rPr>
              <w:t xml:space="preserve"> between a nurse practitioner and medical practitioner in a formalised arrangement with an agreed management plan. Further information </w:t>
            </w:r>
            <w:proofErr w:type="gramStart"/>
            <w:r w:rsidRPr="00F33674">
              <w:rPr>
                <w:rFonts w:ascii="Arial Narrow" w:hAnsi="Arial Narrow" w:cs="Arial"/>
                <w:sz w:val="20"/>
                <w:szCs w:val="20"/>
              </w:rPr>
              <w:t>can be found</w:t>
            </w:r>
            <w:proofErr w:type="gramEnd"/>
            <w:r w:rsidRPr="00F33674">
              <w:rPr>
                <w:rFonts w:ascii="Arial Narrow" w:hAnsi="Arial Narrow" w:cs="Arial"/>
                <w:sz w:val="20"/>
                <w:szCs w:val="20"/>
              </w:rPr>
              <w:t xml:space="preserve"> in the Explanatory Notes for Nurse Practitioners.</w:t>
            </w:r>
          </w:p>
          <w:p w14:paraId="37795C3F" w14:textId="77777777" w:rsidR="00265869" w:rsidRPr="00F33674" w:rsidRDefault="00265869" w:rsidP="00265869">
            <w:pPr>
              <w:jc w:val="left"/>
              <w:rPr>
                <w:rFonts w:ascii="Arial Narrow" w:hAnsi="Arial Narrow" w:cs="Arial"/>
                <w:sz w:val="20"/>
                <w:szCs w:val="20"/>
              </w:rPr>
            </w:pPr>
          </w:p>
          <w:p w14:paraId="45D4B66D" w14:textId="77777777" w:rsidR="00265869" w:rsidRPr="00F33674" w:rsidRDefault="00265869" w:rsidP="00265869">
            <w:pPr>
              <w:jc w:val="left"/>
              <w:rPr>
                <w:rFonts w:ascii="Arial Narrow" w:hAnsi="Arial Narrow" w:cs="Arial"/>
                <w:sz w:val="20"/>
                <w:szCs w:val="20"/>
              </w:rPr>
            </w:pPr>
            <w:r w:rsidRPr="00F33674">
              <w:rPr>
                <w:rFonts w:ascii="Arial Narrow" w:hAnsi="Arial Narrow" w:cs="Arial"/>
                <w:sz w:val="20"/>
                <w:szCs w:val="20"/>
              </w:rPr>
              <w:t>[new] Real time online applications for increased maximum quantities/repeats may be made using the Online PBS Authorities system (see www.servicesaustralia.gov.au/organisations/health-professionals/services/medicare/hpos/services/request-authority-using-online-pbs-authorities-hpos)</w:t>
            </w:r>
          </w:p>
          <w:p w14:paraId="0C674FC3" w14:textId="77777777" w:rsidR="00265869" w:rsidRPr="00F33674" w:rsidRDefault="00265869" w:rsidP="00265869">
            <w:pPr>
              <w:jc w:val="left"/>
              <w:rPr>
                <w:rFonts w:ascii="Arial Narrow" w:hAnsi="Arial Narrow" w:cs="Arial"/>
                <w:sz w:val="20"/>
                <w:szCs w:val="20"/>
              </w:rPr>
            </w:pPr>
          </w:p>
          <w:p w14:paraId="726BAF59" w14:textId="77777777" w:rsidR="00265869" w:rsidRPr="00F33674" w:rsidRDefault="00265869" w:rsidP="00265869">
            <w:pPr>
              <w:jc w:val="left"/>
              <w:rPr>
                <w:rFonts w:ascii="Arial Narrow" w:hAnsi="Arial Narrow" w:cs="Arial"/>
                <w:sz w:val="20"/>
                <w:szCs w:val="20"/>
              </w:rPr>
            </w:pPr>
            <w:r w:rsidRPr="00F33674">
              <w:rPr>
                <w:rFonts w:ascii="Arial Narrow" w:hAnsi="Arial Narrow" w:cs="Arial"/>
                <w:sz w:val="20"/>
                <w:szCs w:val="20"/>
              </w:rPr>
              <w:t>Phone applications for increased maximum quantities/repeats may be made by calling 1800 888 333.</w:t>
            </w:r>
          </w:p>
          <w:p w14:paraId="2832DC6C" w14:textId="77777777" w:rsidR="00265869" w:rsidRPr="00F33674" w:rsidRDefault="00265869" w:rsidP="00265869">
            <w:pPr>
              <w:jc w:val="left"/>
              <w:rPr>
                <w:rFonts w:ascii="Arial Narrow" w:hAnsi="Arial Narrow" w:cs="Arial"/>
                <w:sz w:val="20"/>
                <w:szCs w:val="20"/>
              </w:rPr>
            </w:pPr>
          </w:p>
          <w:p w14:paraId="423EF513" w14:textId="77777777" w:rsidR="00265869" w:rsidRPr="00F33674" w:rsidRDefault="00265869" w:rsidP="00265869">
            <w:pPr>
              <w:jc w:val="left"/>
              <w:rPr>
                <w:rFonts w:ascii="Arial Narrow" w:hAnsi="Arial Narrow" w:cs="Arial"/>
                <w:sz w:val="20"/>
                <w:szCs w:val="20"/>
              </w:rPr>
            </w:pPr>
            <w:r w:rsidRPr="00F33674">
              <w:rPr>
                <w:rFonts w:ascii="Arial Narrow" w:hAnsi="Arial Narrow" w:cs="Arial"/>
                <w:sz w:val="20"/>
                <w:szCs w:val="20"/>
              </w:rPr>
              <w:t>Written authority applications for increased maximum quantities/repeats can be uploaded online through HPOS form upload or mailed to:</w:t>
            </w:r>
          </w:p>
          <w:p w14:paraId="044CAB94" w14:textId="77777777" w:rsidR="00265869" w:rsidRPr="00F33674" w:rsidRDefault="00265869" w:rsidP="00265869">
            <w:pPr>
              <w:jc w:val="left"/>
              <w:rPr>
                <w:rFonts w:ascii="Arial Narrow" w:hAnsi="Arial Narrow" w:cs="Arial"/>
                <w:sz w:val="20"/>
                <w:szCs w:val="20"/>
              </w:rPr>
            </w:pPr>
            <w:r w:rsidRPr="00F33674">
              <w:rPr>
                <w:rFonts w:ascii="Arial Narrow" w:hAnsi="Arial Narrow" w:cs="Arial"/>
                <w:sz w:val="20"/>
                <w:szCs w:val="20"/>
              </w:rPr>
              <w:t>Pharmaceutical Benefits Scheme</w:t>
            </w:r>
          </w:p>
          <w:p w14:paraId="6EF55674" w14:textId="0C5EFFCC" w:rsidR="00265869" w:rsidRPr="00F33674" w:rsidRDefault="00265869" w:rsidP="00265869">
            <w:pPr>
              <w:jc w:val="left"/>
              <w:rPr>
                <w:rFonts w:ascii="Arial Narrow" w:hAnsi="Arial Narrow" w:cs="Arial"/>
                <w:sz w:val="20"/>
                <w:szCs w:val="20"/>
              </w:rPr>
            </w:pPr>
            <w:r w:rsidRPr="00F33674">
              <w:rPr>
                <w:rFonts w:ascii="Arial Narrow" w:hAnsi="Arial Narrow" w:cs="Arial"/>
                <w:sz w:val="20"/>
                <w:szCs w:val="20"/>
              </w:rPr>
              <w:t>Reply Paid 9857</w:t>
            </w:r>
          </w:p>
        </w:tc>
      </w:tr>
      <w:tr w:rsidR="00265869" w:rsidRPr="00F33674" w14:paraId="38F80214" w14:textId="77777777" w:rsidTr="00C21DFA">
        <w:trPr>
          <w:cantSplit/>
          <w:trHeight w:val="360"/>
        </w:trPr>
        <w:tc>
          <w:tcPr>
            <w:tcW w:w="3183" w:type="dxa"/>
            <w:tcBorders>
              <w:top w:val="single" w:sz="4" w:space="0" w:color="auto"/>
              <w:left w:val="single" w:sz="4" w:space="0" w:color="auto"/>
              <w:bottom w:val="single" w:sz="4" w:space="0" w:color="auto"/>
              <w:right w:val="single" w:sz="4" w:space="0" w:color="auto"/>
            </w:tcBorders>
          </w:tcPr>
          <w:p w14:paraId="5F165593" w14:textId="77777777" w:rsidR="00265869" w:rsidRPr="00F33674" w:rsidRDefault="00265869" w:rsidP="00265869">
            <w:pPr>
              <w:rPr>
                <w:rFonts w:ascii="Arial Narrow" w:hAnsi="Arial Narrow" w:cs="Arial"/>
                <w:b/>
                <w:sz w:val="20"/>
                <w:szCs w:val="20"/>
              </w:rPr>
            </w:pPr>
            <w:r w:rsidRPr="00F33674">
              <w:rPr>
                <w:rFonts w:ascii="Arial Narrow" w:hAnsi="Arial Narrow" w:cs="Arial"/>
                <w:b/>
                <w:sz w:val="20"/>
                <w:szCs w:val="20"/>
              </w:rPr>
              <w:t>Cautions:</w:t>
            </w:r>
          </w:p>
        </w:tc>
        <w:tc>
          <w:tcPr>
            <w:tcW w:w="6031" w:type="dxa"/>
            <w:tcBorders>
              <w:top w:val="single" w:sz="4" w:space="0" w:color="auto"/>
              <w:left w:val="single" w:sz="4" w:space="0" w:color="auto"/>
              <w:bottom w:val="single" w:sz="4" w:space="0" w:color="auto"/>
              <w:right w:val="single" w:sz="4" w:space="0" w:color="auto"/>
            </w:tcBorders>
          </w:tcPr>
          <w:p w14:paraId="76DDE06F" w14:textId="77777777" w:rsidR="00265869" w:rsidRPr="00F33674" w:rsidRDefault="00265869" w:rsidP="00265869">
            <w:pPr>
              <w:jc w:val="left"/>
              <w:rPr>
                <w:rFonts w:ascii="Arial Narrow" w:hAnsi="Arial Narrow" w:cs="Arial"/>
                <w:sz w:val="20"/>
                <w:szCs w:val="20"/>
              </w:rPr>
            </w:pPr>
            <w:r w:rsidRPr="00F33674">
              <w:rPr>
                <w:rFonts w:ascii="Arial Narrow" w:hAnsi="Arial Narrow" w:cs="Arial"/>
                <w:sz w:val="20"/>
                <w:szCs w:val="20"/>
              </w:rPr>
              <w:t>[6986] The risk of drug dependence is high.</w:t>
            </w:r>
          </w:p>
        </w:tc>
      </w:tr>
    </w:tbl>
    <w:p w14:paraId="19E6F2B4" w14:textId="77777777" w:rsidR="00265869" w:rsidRPr="00DE4B23" w:rsidRDefault="00265869" w:rsidP="00243407">
      <w:pPr>
        <w:rPr>
          <w:rFonts w:eastAsia="Calibri"/>
        </w:rPr>
      </w:pPr>
      <w:bookmarkStart w:id="46" w:name="_GoBack"/>
      <w:bookmarkEnd w:id="46"/>
    </w:p>
    <w:sectPr w:rsidR="00265869" w:rsidRPr="00DE4B23">
      <w:headerReference w:type="default" r:id="rId11"/>
      <w:footerReference w:type="default" r:id="rId12"/>
      <w:pgSz w:w="11906" w:h="16838"/>
      <w:pgMar w:top="1440" w:right="1440" w:bottom="1440" w:left="1440"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FB41DFA" w16cid:durableId="21DB2132"/>
  <w16cid:commentId w16cid:paraId="636BD92C" w16cid:durableId="21DB21D7"/>
  <w16cid:commentId w16cid:paraId="6E821FF3" w16cid:durableId="21DB248C"/>
  <w16cid:commentId w16cid:paraId="6BC5D8F7" w16cid:durableId="21DB2587"/>
  <w16cid:commentId w16cid:paraId="13E0C3AA" w16cid:durableId="21DAD73C"/>
  <w16cid:commentId w16cid:paraId="79A5ABA2" w16cid:durableId="21DB2670"/>
  <w16cid:commentId w16cid:paraId="5E4B7F48" w16cid:durableId="21DB2795"/>
  <w16cid:commentId w16cid:paraId="3BA32C69" w16cid:durableId="21DB2F6B"/>
  <w16cid:commentId w16cid:paraId="5BB7C140" w16cid:durableId="21DAD6EF"/>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6C415D" w14:textId="77777777" w:rsidR="00EA1C1D" w:rsidRDefault="00EA1C1D" w:rsidP="002B79EC">
      <w:r>
        <w:separator/>
      </w:r>
    </w:p>
  </w:endnote>
  <w:endnote w:type="continuationSeparator" w:id="0">
    <w:p w14:paraId="4657B8E5" w14:textId="77777777" w:rsidR="00EA1C1D" w:rsidRDefault="00EA1C1D" w:rsidP="002B79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90544797"/>
      <w:docPartObj>
        <w:docPartGallery w:val="Page Numbers (Bottom of Page)"/>
        <w:docPartUnique/>
      </w:docPartObj>
    </w:sdtPr>
    <w:sdtEndPr>
      <w:rPr>
        <w:noProof/>
      </w:rPr>
    </w:sdtEndPr>
    <w:sdtContent>
      <w:p w14:paraId="3CE24007" w14:textId="77777777" w:rsidR="00EA1C1D" w:rsidRDefault="00EA1C1D" w:rsidP="00AA6DF9">
        <w:pPr>
          <w:pStyle w:val="Footer"/>
          <w:jc w:val="center"/>
        </w:pPr>
      </w:p>
      <w:p w14:paraId="0B1485FE" w14:textId="6F00E6A9" w:rsidR="00EA1C1D" w:rsidRDefault="00EA1C1D" w:rsidP="00AA6DF9">
        <w:pPr>
          <w:pStyle w:val="Footer"/>
          <w:jc w:val="center"/>
        </w:pPr>
        <w:r w:rsidRPr="00DE4B23">
          <w:rPr>
            <w:b/>
          </w:rPr>
          <w:fldChar w:fldCharType="begin"/>
        </w:r>
        <w:r w:rsidRPr="00DE4B23">
          <w:rPr>
            <w:b/>
          </w:rPr>
          <w:instrText xml:space="preserve"> PAGE   \* MERGEFORMAT </w:instrText>
        </w:r>
        <w:r w:rsidRPr="00DE4B23">
          <w:rPr>
            <w:b/>
          </w:rPr>
          <w:fldChar w:fldCharType="separate"/>
        </w:r>
        <w:r w:rsidR="00233D13">
          <w:rPr>
            <w:b/>
            <w:noProof/>
          </w:rPr>
          <w:t>12</w:t>
        </w:r>
        <w:r w:rsidRPr="00DE4B23">
          <w:rPr>
            <w:b/>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D95C05" w14:textId="77777777" w:rsidR="00EA1C1D" w:rsidRDefault="00EA1C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8DC0B4" w14:textId="77777777" w:rsidR="00EA1C1D" w:rsidRDefault="00EA1C1D" w:rsidP="002B79EC">
      <w:r>
        <w:separator/>
      </w:r>
    </w:p>
  </w:footnote>
  <w:footnote w:type="continuationSeparator" w:id="0">
    <w:p w14:paraId="4EAB24FC" w14:textId="77777777" w:rsidR="00EA1C1D" w:rsidRDefault="00EA1C1D" w:rsidP="002B79EC">
      <w:r>
        <w:continuationSeparator/>
      </w:r>
    </w:p>
  </w:footnote>
  <w:footnote w:id="1">
    <w:p w14:paraId="495339DA" w14:textId="69344EEE" w:rsidR="00EA1C1D" w:rsidRPr="00A3670D" w:rsidRDefault="00EA1C1D">
      <w:pPr>
        <w:pStyle w:val="FootnoteText"/>
        <w:rPr>
          <w:lang w:val="en-US"/>
        </w:rPr>
      </w:pPr>
      <w:r>
        <w:rPr>
          <w:rStyle w:val="FootnoteReference"/>
        </w:rPr>
        <w:footnoteRef/>
      </w:r>
      <w:hyperlink r:id="rId1" w:history="1">
        <w:r w:rsidRPr="00A3670D">
          <w:rPr>
            <w:rStyle w:val="Hyperlink"/>
            <w:rFonts w:ascii="Arial Narrow" w:hAnsi="Arial Narrow"/>
          </w:rPr>
          <w:t>http://www.pbs.gov.au/info/industry/listing/elements/pbac-meetings/psd/2019-07/oxycodone-capsule-containing-oxycodone-hydrochloride-5-mg%3B</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92E2C1" w14:textId="48C8C23C" w:rsidR="00EA1C1D" w:rsidRDefault="00EA1C1D" w:rsidP="00DE4B23">
    <w:pPr>
      <w:pStyle w:val="NoSpacing"/>
      <w:jc w:val="center"/>
      <w:rPr>
        <w:i/>
      </w:rPr>
    </w:pPr>
    <w:r>
      <w:rPr>
        <w:i/>
      </w:rPr>
      <w:t xml:space="preserve">Public Summary Document – December 2019 PBAC Meeting </w:t>
    </w:r>
  </w:p>
  <w:p w14:paraId="6F1D43B6" w14:textId="4DD1CA38" w:rsidR="00EA1C1D" w:rsidRDefault="00EA1C1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443119" w14:textId="5F66EE6D" w:rsidR="00EA1C1D" w:rsidRDefault="00EA1C1D" w:rsidP="00CB71CC">
    <w:pPr>
      <w:pStyle w:val="NoSpacing"/>
      <w:jc w:val="center"/>
      <w:rPr>
        <w:i/>
      </w:rPr>
    </w:pPr>
    <w:r>
      <w:rPr>
        <w:i/>
      </w:rPr>
      <w:t xml:space="preserve">Public Summary Document – December 2019 PBAC Meeting </w:t>
    </w:r>
  </w:p>
  <w:p w14:paraId="11D265BF" w14:textId="0540B58F" w:rsidR="00EA1C1D" w:rsidRDefault="00EA1C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B9F0AF1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5317A8"/>
    <w:multiLevelType w:val="hybridMultilevel"/>
    <w:tmpl w:val="99DE6680"/>
    <w:lvl w:ilvl="0" w:tplc="D4E619FA">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13F7ECF"/>
    <w:multiLevelType w:val="hybridMultilevel"/>
    <w:tmpl w:val="8E62DD62"/>
    <w:lvl w:ilvl="0" w:tplc="D4E619FA">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BAA36DB"/>
    <w:multiLevelType w:val="hybridMultilevel"/>
    <w:tmpl w:val="E8F23696"/>
    <w:lvl w:ilvl="0" w:tplc="D4E619FA">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01E008F"/>
    <w:multiLevelType w:val="hybridMultilevel"/>
    <w:tmpl w:val="4E7EC852"/>
    <w:lvl w:ilvl="0" w:tplc="D4E619FA">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02757F9"/>
    <w:multiLevelType w:val="hybridMultilevel"/>
    <w:tmpl w:val="551EE4D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B000B96"/>
    <w:multiLevelType w:val="hybridMultilevel"/>
    <w:tmpl w:val="1D2A4182"/>
    <w:lvl w:ilvl="0" w:tplc="D4E619FA">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1CD72970"/>
    <w:multiLevelType w:val="multilevel"/>
    <w:tmpl w:val="C1603B3A"/>
    <w:lvl w:ilvl="0">
      <w:start w:val="1"/>
      <w:numFmt w:val="decimal"/>
      <w:lvlText w:val="%1."/>
      <w:lvlJc w:val="left"/>
      <w:pPr>
        <w:ind w:left="360" w:hanging="360"/>
      </w:pPr>
      <w:rPr>
        <w:rFonts w:hint="default"/>
      </w:r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FFB2AB5"/>
    <w:multiLevelType w:val="hybridMultilevel"/>
    <w:tmpl w:val="E8F23696"/>
    <w:lvl w:ilvl="0" w:tplc="D4E619FA">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25C53498"/>
    <w:multiLevelType w:val="hybridMultilevel"/>
    <w:tmpl w:val="E2FA1AEC"/>
    <w:lvl w:ilvl="0" w:tplc="D4E619FA">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33F45D3C"/>
    <w:multiLevelType w:val="multilevel"/>
    <w:tmpl w:val="A11E6CFA"/>
    <w:lvl w:ilvl="0">
      <w:start w:val="1"/>
      <w:numFmt w:val="decimal"/>
      <w:pStyle w:val="Heading1"/>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345C7447"/>
    <w:multiLevelType w:val="hybridMultilevel"/>
    <w:tmpl w:val="10CA673E"/>
    <w:lvl w:ilvl="0" w:tplc="D4E619FA">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3EFE4993"/>
    <w:multiLevelType w:val="hybridMultilevel"/>
    <w:tmpl w:val="5B6EFE88"/>
    <w:lvl w:ilvl="0" w:tplc="D4E619FA">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3FC80B15"/>
    <w:multiLevelType w:val="multilevel"/>
    <w:tmpl w:val="8F3EBA0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42A4467A"/>
    <w:multiLevelType w:val="hybridMultilevel"/>
    <w:tmpl w:val="DA3E278A"/>
    <w:lvl w:ilvl="0" w:tplc="D4E619FA">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45120CD0"/>
    <w:multiLevelType w:val="hybridMultilevel"/>
    <w:tmpl w:val="F45ADA60"/>
    <w:lvl w:ilvl="0" w:tplc="D4E619FA">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459369DC"/>
    <w:multiLevelType w:val="hybridMultilevel"/>
    <w:tmpl w:val="31D62C8A"/>
    <w:lvl w:ilvl="0" w:tplc="D4E619FA">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4F9E3904"/>
    <w:multiLevelType w:val="hybridMultilevel"/>
    <w:tmpl w:val="DE54F106"/>
    <w:lvl w:ilvl="0" w:tplc="D4E619FA">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670F651D"/>
    <w:multiLevelType w:val="hybridMultilevel"/>
    <w:tmpl w:val="E368B254"/>
    <w:lvl w:ilvl="0" w:tplc="D4E619FA">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681D6C59"/>
    <w:multiLevelType w:val="hybridMultilevel"/>
    <w:tmpl w:val="E8F23696"/>
    <w:lvl w:ilvl="0" w:tplc="D4E619FA">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694D7410"/>
    <w:multiLevelType w:val="hybridMultilevel"/>
    <w:tmpl w:val="99DE6680"/>
    <w:lvl w:ilvl="0" w:tplc="D4E619FA">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698A1819"/>
    <w:multiLevelType w:val="hybridMultilevel"/>
    <w:tmpl w:val="5C4AEC9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2" w15:restartNumberingAfterBreak="0">
    <w:nsid w:val="6B3C239C"/>
    <w:multiLevelType w:val="hybridMultilevel"/>
    <w:tmpl w:val="0C068624"/>
    <w:lvl w:ilvl="0" w:tplc="87985856">
      <w:start w:val="1"/>
      <w:numFmt w:val="bullet"/>
      <w:pStyle w:val="ListParagraph"/>
      <w:lvlText w:val=""/>
      <w:lvlJc w:val="left"/>
      <w:pPr>
        <w:ind w:left="1080" w:hanging="360"/>
      </w:pPr>
      <w:rPr>
        <w:rFonts w:ascii="Symbol" w:hAnsi="Symbol" w:hint="default"/>
      </w:rPr>
    </w:lvl>
    <w:lvl w:ilvl="1" w:tplc="0C090019">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3" w15:restartNumberingAfterBreak="0">
    <w:nsid w:val="748B490F"/>
    <w:multiLevelType w:val="hybridMultilevel"/>
    <w:tmpl w:val="510C99CA"/>
    <w:lvl w:ilvl="0" w:tplc="D4E619FA">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784D033C"/>
    <w:multiLevelType w:val="multilevel"/>
    <w:tmpl w:val="DFF8C32C"/>
    <w:lvl w:ilvl="0">
      <w:start w:val="1"/>
      <w:numFmt w:val="decimal"/>
      <w:pStyle w:val="2-SectionHeading"/>
      <w:lvlText w:val="%1"/>
      <w:lvlJc w:val="left"/>
      <w:pPr>
        <w:ind w:left="720" w:hanging="720"/>
      </w:pPr>
      <w:rPr>
        <w:rFonts w:hint="default"/>
        <w:b/>
      </w:rPr>
    </w:lvl>
    <w:lvl w:ilvl="1">
      <w:start w:val="1"/>
      <w:numFmt w:val="decimal"/>
      <w:pStyle w:val="3-BodyText"/>
      <w:lvlText w:val="%1.%2"/>
      <w:lvlJc w:val="left"/>
      <w:pPr>
        <w:ind w:left="720" w:hanging="720"/>
      </w:pPr>
      <w:rPr>
        <w:rFonts w:hint="default"/>
        <w:b w:val="0"/>
        <w:i w:val="0"/>
        <w:color w:val="auto"/>
      </w:rPr>
    </w:lvl>
    <w:lvl w:ilvl="2">
      <w:numFmt w:val="bullet"/>
      <w:lvlText w:val="-"/>
      <w:lvlJc w:val="left"/>
      <w:pPr>
        <w:ind w:left="720" w:hanging="720"/>
      </w:pPr>
      <w:rPr>
        <w:rFonts w:ascii="Calibri" w:eastAsiaTheme="minorHAnsi" w:hAnsi="Calibri" w:cs="Calibri"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78DA132B"/>
    <w:multiLevelType w:val="hybridMultilevel"/>
    <w:tmpl w:val="92CC3A4A"/>
    <w:lvl w:ilvl="0" w:tplc="86ECA218">
      <w:start w:val="1"/>
      <w:numFmt w:val="bullet"/>
      <w:pStyle w:val="4bulletpoin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2"/>
  </w:num>
  <w:num w:numId="2">
    <w:abstractNumId w:val="10"/>
  </w:num>
  <w:num w:numId="3">
    <w:abstractNumId w:val="0"/>
  </w:num>
  <w:num w:numId="4">
    <w:abstractNumId w:val="24"/>
  </w:num>
  <w:num w:numId="5">
    <w:abstractNumId w:val="13"/>
  </w:num>
  <w:num w:numId="6">
    <w:abstractNumId w:val="7"/>
  </w:num>
  <w:num w:numId="7">
    <w:abstractNumId w:val="25"/>
  </w:num>
  <w:num w:numId="8">
    <w:abstractNumId w:val="21"/>
  </w:num>
  <w:num w:numId="9">
    <w:abstractNumId w:val="8"/>
  </w:num>
  <w:num w:numId="10">
    <w:abstractNumId w:val="19"/>
  </w:num>
  <w:num w:numId="11">
    <w:abstractNumId w:val="17"/>
  </w:num>
  <w:num w:numId="12">
    <w:abstractNumId w:val="3"/>
  </w:num>
  <w:num w:numId="13">
    <w:abstractNumId w:val="6"/>
  </w:num>
  <w:num w:numId="14">
    <w:abstractNumId w:val="23"/>
  </w:num>
  <w:num w:numId="15">
    <w:abstractNumId w:val="11"/>
  </w:num>
  <w:num w:numId="16">
    <w:abstractNumId w:val="2"/>
  </w:num>
  <w:num w:numId="17">
    <w:abstractNumId w:val="1"/>
  </w:num>
  <w:num w:numId="18">
    <w:abstractNumId w:val="15"/>
  </w:num>
  <w:num w:numId="19">
    <w:abstractNumId w:val="14"/>
  </w:num>
  <w:num w:numId="20">
    <w:abstractNumId w:val="16"/>
  </w:num>
  <w:num w:numId="21">
    <w:abstractNumId w:val="4"/>
  </w:num>
  <w:num w:numId="22">
    <w:abstractNumId w:val="12"/>
  </w:num>
  <w:num w:numId="23">
    <w:abstractNumId w:val="18"/>
  </w:num>
  <w:num w:numId="24">
    <w:abstractNumId w:val="9"/>
  </w:num>
  <w:num w:numId="25">
    <w:abstractNumId w:val="20"/>
  </w:num>
  <w:num w:numId="26">
    <w:abstractNumId w:val="5"/>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proofState w:grammar="clean"/>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00BB"/>
    <w:rsid w:val="000025D3"/>
    <w:rsid w:val="000030A8"/>
    <w:rsid w:val="00003225"/>
    <w:rsid w:val="00007462"/>
    <w:rsid w:val="00010B7A"/>
    <w:rsid w:val="000131AB"/>
    <w:rsid w:val="00016460"/>
    <w:rsid w:val="00017BA0"/>
    <w:rsid w:val="000216B7"/>
    <w:rsid w:val="000220DB"/>
    <w:rsid w:val="00026461"/>
    <w:rsid w:val="00035C9D"/>
    <w:rsid w:val="0004315B"/>
    <w:rsid w:val="00045ABE"/>
    <w:rsid w:val="00052EB4"/>
    <w:rsid w:val="000575F8"/>
    <w:rsid w:val="000648B5"/>
    <w:rsid w:val="000661B1"/>
    <w:rsid w:val="00067273"/>
    <w:rsid w:val="0007046D"/>
    <w:rsid w:val="00074F9E"/>
    <w:rsid w:val="00077C95"/>
    <w:rsid w:val="0008219A"/>
    <w:rsid w:val="00087705"/>
    <w:rsid w:val="0009012E"/>
    <w:rsid w:val="00093537"/>
    <w:rsid w:val="00093B48"/>
    <w:rsid w:val="000A350D"/>
    <w:rsid w:val="000B66C8"/>
    <w:rsid w:val="000C5EB2"/>
    <w:rsid w:val="000C7F52"/>
    <w:rsid w:val="000D0A03"/>
    <w:rsid w:val="000D2011"/>
    <w:rsid w:val="000D6160"/>
    <w:rsid w:val="000E180C"/>
    <w:rsid w:val="000E35AC"/>
    <w:rsid w:val="000F17A3"/>
    <w:rsid w:val="00100C63"/>
    <w:rsid w:val="00101336"/>
    <w:rsid w:val="00101556"/>
    <w:rsid w:val="001106B9"/>
    <w:rsid w:val="00110885"/>
    <w:rsid w:val="0012753F"/>
    <w:rsid w:val="00145E94"/>
    <w:rsid w:val="001549B2"/>
    <w:rsid w:val="00155830"/>
    <w:rsid w:val="001667BC"/>
    <w:rsid w:val="00171ECE"/>
    <w:rsid w:val="001723CE"/>
    <w:rsid w:val="001736B7"/>
    <w:rsid w:val="001858DA"/>
    <w:rsid w:val="00187105"/>
    <w:rsid w:val="00193259"/>
    <w:rsid w:val="00195102"/>
    <w:rsid w:val="00196DAF"/>
    <w:rsid w:val="00197EA1"/>
    <w:rsid w:val="001A4A29"/>
    <w:rsid w:val="001A5787"/>
    <w:rsid w:val="001A62D5"/>
    <w:rsid w:val="001A7E3A"/>
    <w:rsid w:val="001B04FE"/>
    <w:rsid w:val="001B2DDA"/>
    <w:rsid w:val="001B47A6"/>
    <w:rsid w:val="001C6215"/>
    <w:rsid w:val="001D2EE0"/>
    <w:rsid w:val="001D7D71"/>
    <w:rsid w:val="001E1AB6"/>
    <w:rsid w:val="001F1700"/>
    <w:rsid w:val="001F3244"/>
    <w:rsid w:val="001F3B22"/>
    <w:rsid w:val="001F75E3"/>
    <w:rsid w:val="00206917"/>
    <w:rsid w:val="0021023D"/>
    <w:rsid w:val="00210705"/>
    <w:rsid w:val="00213C38"/>
    <w:rsid w:val="00217F1C"/>
    <w:rsid w:val="00223E0C"/>
    <w:rsid w:val="002306F7"/>
    <w:rsid w:val="00233D13"/>
    <w:rsid w:val="002407CC"/>
    <w:rsid w:val="00241526"/>
    <w:rsid w:val="00243407"/>
    <w:rsid w:val="00246E34"/>
    <w:rsid w:val="00251C85"/>
    <w:rsid w:val="002605F2"/>
    <w:rsid w:val="002626C4"/>
    <w:rsid w:val="00262F7D"/>
    <w:rsid w:val="00264834"/>
    <w:rsid w:val="00265869"/>
    <w:rsid w:val="00266741"/>
    <w:rsid w:val="00267253"/>
    <w:rsid w:val="00267369"/>
    <w:rsid w:val="00275CE4"/>
    <w:rsid w:val="00276B6F"/>
    <w:rsid w:val="00280050"/>
    <w:rsid w:val="00285DF1"/>
    <w:rsid w:val="002900EB"/>
    <w:rsid w:val="00297188"/>
    <w:rsid w:val="002A1598"/>
    <w:rsid w:val="002A2544"/>
    <w:rsid w:val="002B2434"/>
    <w:rsid w:val="002B290C"/>
    <w:rsid w:val="002B342D"/>
    <w:rsid w:val="002B37C2"/>
    <w:rsid w:val="002B53EF"/>
    <w:rsid w:val="002B545E"/>
    <w:rsid w:val="002B79EC"/>
    <w:rsid w:val="002C1329"/>
    <w:rsid w:val="002C2E1F"/>
    <w:rsid w:val="002C42AC"/>
    <w:rsid w:val="002C505A"/>
    <w:rsid w:val="002C758C"/>
    <w:rsid w:val="002D1AD9"/>
    <w:rsid w:val="002D66AE"/>
    <w:rsid w:val="002E21F2"/>
    <w:rsid w:val="002F0C77"/>
    <w:rsid w:val="002F1D15"/>
    <w:rsid w:val="00307482"/>
    <w:rsid w:val="0031333F"/>
    <w:rsid w:val="00314585"/>
    <w:rsid w:val="00316DEC"/>
    <w:rsid w:val="00317495"/>
    <w:rsid w:val="00326125"/>
    <w:rsid w:val="003321A3"/>
    <w:rsid w:val="0033666B"/>
    <w:rsid w:val="0034284A"/>
    <w:rsid w:val="00342A8C"/>
    <w:rsid w:val="003453C2"/>
    <w:rsid w:val="00347692"/>
    <w:rsid w:val="00351A68"/>
    <w:rsid w:val="00354177"/>
    <w:rsid w:val="003554FE"/>
    <w:rsid w:val="00360577"/>
    <w:rsid w:val="003707CB"/>
    <w:rsid w:val="0038165C"/>
    <w:rsid w:val="003927D9"/>
    <w:rsid w:val="00393D9A"/>
    <w:rsid w:val="00394793"/>
    <w:rsid w:val="00396A23"/>
    <w:rsid w:val="003A0D4F"/>
    <w:rsid w:val="003A0E63"/>
    <w:rsid w:val="003A3B60"/>
    <w:rsid w:val="003A725A"/>
    <w:rsid w:val="003C1356"/>
    <w:rsid w:val="003C1898"/>
    <w:rsid w:val="003C4353"/>
    <w:rsid w:val="003C4498"/>
    <w:rsid w:val="003C4DB8"/>
    <w:rsid w:val="003C7059"/>
    <w:rsid w:val="003D3729"/>
    <w:rsid w:val="003D5C3C"/>
    <w:rsid w:val="003E3122"/>
    <w:rsid w:val="003E3BED"/>
    <w:rsid w:val="003E456A"/>
    <w:rsid w:val="003E5459"/>
    <w:rsid w:val="003E596D"/>
    <w:rsid w:val="003F2F40"/>
    <w:rsid w:val="003F4164"/>
    <w:rsid w:val="00400B15"/>
    <w:rsid w:val="00401424"/>
    <w:rsid w:val="004041C5"/>
    <w:rsid w:val="00404395"/>
    <w:rsid w:val="00404580"/>
    <w:rsid w:val="00407308"/>
    <w:rsid w:val="00407313"/>
    <w:rsid w:val="00413C44"/>
    <w:rsid w:val="004140DD"/>
    <w:rsid w:val="00420A61"/>
    <w:rsid w:val="0042426D"/>
    <w:rsid w:val="00425A36"/>
    <w:rsid w:val="00445664"/>
    <w:rsid w:val="00447D58"/>
    <w:rsid w:val="0045003C"/>
    <w:rsid w:val="00450066"/>
    <w:rsid w:val="00453CCC"/>
    <w:rsid w:val="00454638"/>
    <w:rsid w:val="004546E8"/>
    <w:rsid w:val="0045694B"/>
    <w:rsid w:val="004600FE"/>
    <w:rsid w:val="00460278"/>
    <w:rsid w:val="0046103E"/>
    <w:rsid w:val="00461939"/>
    <w:rsid w:val="00462A4A"/>
    <w:rsid w:val="004634FF"/>
    <w:rsid w:val="0046594A"/>
    <w:rsid w:val="00470208"/>
    <w:rsid w:val="00470518"/>
    <w:rsid w:val="004744EE"/>
    <w:rsid w:val="004811F3"/>
    <w:rsid w:val="0049197A"/>
    <w:rsid w:val="00491A5D"/>
    <w:rsid w:val="00497E01"/>
    <w:rsid w:val="004A6780"/>
    <w:rsid w:val="004B1271"/>
    <w:rsid w:val="004B720D"/>
    <w:rsid w:val="004D287B"/>
    <w:rsid w:val="004D45A4"/>
    <w:rsid w:val="004D65D4"/>
    <w:rsid w:val="004E0BE4"/>
    <w:rsid w:val="004E3B9F"/>
    <w:rsid w:val="004F050E"/>
    <w:rsid w:val="004F3827"/>
    <w:rsid w:val="004F3C4B"/>
    <w:rsid w:val="004F5C84"/>
    <w:rsid w:val="005025CD"/>
    <w:rsid w:val="0050717B"/>
    <w:rsid w:val="00515EA2"/>
    <w:rsid w:val="00516C1B"/>
    <w:rsid w:val="00522C84"/>
    <w:rsid w:val="005263C1"/>
    <w:rsid w:val="00530029"/>
    <w:rsid w:val="00543B77"/>
    <w:rsid w:val="005474BF"/>
    <w:rsid w:val="00561B13"/>
    <w:rsid w:val="005706B9"/>
    <w:rsid w:val="00570D8B"/>
    <w:rsid w:val="0057426D"/>
    <w:rsid w:val="0057533D"/>
    <w:rsid w:val="00575DCD"/>
    <w:rsid w:val="00590B2A"/>
    <w:rsid w:val="00591234"/>
    <w:rsid w:val="0059123D"/>
    <w:rsid w:val="00593200"/>
    <w:rsid w:val="00593CA5"/>
    <w:rsid w:val="0059472F"/>
    <w:rsid w:val="005A0575"/>
    <w:rsid w:val="005A1809"/>
    <w:rsid w:val="005A2898"/>
    <w:rsid w:val="005A3A8C"/>
    <w:rsid w:val="005A46B6"/>
    <w:rsid w:val="005A545C"/>
    <w:rsid w:val="005B3060"/>
    <w:rsid w:val="005B3CF4"/>
    <w:rsid w:val="005C0AEA"/>
    <w:rsid w:val="005D5751"/>
    <w:rsid w:val="005D6704"/>
    <w:rsid w:val="005D6C7C"/>
    <w:rsid w:val="005E10AF"/>
    <w:rsid w:val="005E5921"/>
    <w:rsid w:val="005F0225"/>
    <w:rsid w:val="005F3FA8"/>
    <w:rsid w:val="005F6A60"/>
    <w:rsid w:val="00602851"/>
    <w:rsid w:val="0060444E"/>
    <w:rsid w:val="0060560F"/>
    <w:rsid w:val="00613644"/>
    <w:rsid w:val="00613740"/>
    <w:rsid w:val="00613C9E"/>
    <w:rsid w:val="0062004B"/>
    <w:rsid w:val="00630FB2"/>
    <w:rsid w:val="00636CF9"/>
    <w:rsid w:val="00636D00"/>
    <w:rsid w:val="00640990"/>
    <w:rsid w:val="00641B9E"/>
    <w:rsid w:val="00641E67"/>
    <w:rsid w:val="00644B64"/>
    <w:rsid w:val="00646894"/>
    <w:rsid w:val="006509DF"/>
    <w:rsid w:val="00662CE2"/>
    <w:rsid w:val="00663785"/>
    <w:rsid w:val="006654D4"/>
    <w:rsid w:val="00665C55"/>
    <w:rsid w:val="00667362"/>
    <w:rsid w:val="006716F3"/>
    <w:rsid w:val="00672F6C"/>
    <w:rsid w:val="006774FC"/>
    <w:rsid w:val="006817DE"/>
    <w:rsid w:val="00690738"/>
    <w:rsid w:val="006911C9"/>
    <w:rsid w:val="00691331"/>
    <w:rsid w:val="006930E5"/>
    <w:rsid w:val="006A0B13"/>
    <w:rsid w:val="006A1319"/>
    <w:rsid w:val="006A40F4"/>
    <w:rsid w:val="006A4967"/>
    <w:rsid w:val="006A55F6"/>
    <w:rsid w:val="006B5BE3"/>
    <w:rsid w:val="006B5CEC"/>
    <w:rsid w:val="006B7C9C"/>
    <w:rsid w:val="006C0D4A"/>
    <w:rsid w:val="006C1D11"/>
    <w:rsid w:val="006C3FC6"/>
    <w:rsid w:val="006C4285"/>
    <w:rsid w:val="006C539D"/>
    <w:rsid w:val="006C67F4"/>
    <w:rsid w:val="006D039F"/>
    <w:rsid w:val="006D2776"/>
    <w:rsid w:val="006D69F7"/>
    <w:rsid w:val="006E0BAE"/>
    <w:rsid w:val="006E3079"/>
    <w:rsid w:val="006E3779"/>
    <w:rsid w:val="006E75DC"/>
    <w:rsid w:val="006F0DAF"/>
    <w:rsid w:val="006F750B"/>
    <w:rsid w:val="00700B2E"/>
    <w:rsid w:val="00710D93"/>
    <w:rsid w:val="00710EEB"/>
    <w:rsid w:val="0071652E"/>
    <w:rsid w:val="00720700"/>
    <w:rsid w:val="00724C80"/>
    <w:rsid w:val="007256DB"/>
    <w:rsid w:val="007277D9"/>
    <w:rsid w:val="007313C2"/>
    <w:rsid w:val="007443AC"/>
    <w:rsid w:val="00744FB8"/>
    <w:rsid w:val="00745AD9"/>
    <w:rsid w:val="00751ACA"/>
    <w:rsid w:val="00756A7F"/>
    <w:rsid w:val="00757209"/>
    <w:rsid w:val="00763E1C"/>
    <w:rsid w:val="00765261"/>
    <w:rsid w:val="00766EBB"/>
    <w:rsid w:val="00767ADB"/>
    <w:rsid w:val="00767DE6"/>
    <w:rsid w:val="00775FC0"/>
    <w:rsid w:val="0078318B"/>
    <w:rsid w:val="007838C8"/>
    <w:rsid w:val="00791AAC"/>
    <w:rsid w:val="0079326A"/>
    <w:rsid w:val="007960C2"/>
    <w:rsid w:val="007A2171"/>
    <w:rsid w:val="007A5D95"/>
    <w:rsid w:val="007B5E15"/>
    <w:rsid w:val="007C05D4"/>
    <w:rsid w:val="007C63B8"/>
    <w:rsid w:val="007C6860"/>
    <w:rsid w:val="007D00BB"/>
    <w:rsid w:val="007D3700"/>
    <w:rsid w:val="007E26A8"/>
    <w:rsid w:val="007E29CA"/>
    <w:rsid w:val="007E353A"/>
    <w:rsid w:val="007E5B3C"/>
    <w:rsid w:val="007E7D09"/>
    <w:rsid w:val="007E7F3F"/>
    <w:rsid w:val="007F0E4B"/>
    <w:rsid w:val="008002A8"/>
    <w:rsid w:val="0081191B"/>
    <w:rsid w:val="008129F0"/>
    <w:rsid w:val="00820416"/>
    <w:rsid w:val="00822457"/>
    <w:rsid w:val="0082433F"/>
    <w:rsid w:val="00827DF7"/>
    <w:rsid w:val="00830656"/>
    <w:rsid w:val="00836503"/>
    <w:rsid w:val="00837D4A"/>
    <w:rsid w:val="00841E6B"/>
    <w:rsid w:val="0085096D"/>
    <w:rsid w:val="008514D0"/>
    <w:rsid w:val="00852F7E"/>
    <w:rsid w:val="00856CA1"/>
    <w:rsid w:val="008637E3"/>
    <w:rsid w:val="008659FC"/>
    <w:rsid w:val="00871CDF"/>
    <w:rsid w:val="00873424"/>
    <w:rsid w:val="00873715"/>
    <w:rsid w:val="00873869"/>
    <w:rsid w:val="00873C64"/>
    <w:rsid w:val="008751CC"/>
    <w:rsid w:val="00877B25"/>
    <w:rsid w:val="00877E34"/>
    <w:rsid w:val="00892E2F"/>
    <w:rsid w:val="00894404"/>
    <w:rsid w:val="00895D49"/>
    <w:rsid w:val="008A13D3"/>
    <w:rsid w:val="008A1B02"/>
    <w:rsid w:val="008A5626"/>
    <w:rsid w:val="008B0BE6"/>
    <w:rsid w:val="008B2F6F"/>
    <w:rsid w:val="008B7821"/>
    <w:rsid w:val="008C1548"/>
    <w:rsid w:val="008C5EF4"/>
    <w:rsid w:val="008C6478"/>
    <w:rsid w:val="008C7503"/>
    <w:rsid w:val="008C7D42"/>
    <w:rsid w:val="008D503A"/>
    <w:rsid w:val="008E70E3"/>
    <w:rsid w:val="008F7C8A"/>
    <w:rsid w:val="00900B6E"/>
    <w:rsid w:val="009046C1"/>
    <w:rsid w:val="00907448"/>
    <w:rsid w:val="00910114"/>
    <w:rsid w:val="0091161F"/>
    <w:rsid w:val="00922A1E"/>
    <w:rsid w:val="009260EC"/>
    <w:rsid w:val="00927869"/>
    <w:rsid w:val="00934804"/>
    <w:rsid w:val="0093514C"/>
    <w:rsid w:val="00935C72"/>
    <w:rsid w:val="00940E51"/>
    <w:rsid w:val="00945502"/>
    <w:rsid w:val="00946FB8"/>
    <w:rsid w:val="009513A0"/>
    <w:rsid w:val="009541D6"/>
    <w:rsid w:val="00955D52"/>
    <w:rsid w:val="009575BF"/>
    <w:rsid w:val="0096432C"/>
    <w:rsid w:val="00964FA3"/>
    <w:rsid w:val="00966505"/>
    <w:rsid w:val="00967E66"/>
    <w:rsid w:val="00971250"/>
    <w:rsid w:val="00973C00"/>
    <w:rsid w:val="009821D7"/>
    <w:rsid w:val="009827F9"/>
    <w:rsid w:val="00987201"/>
    <w:rsid w:val="00987523"/>
    <w:rsid w:val="0099513C"/>
    <w:rsid w:val="00996C28"/>
    <w:rsid w:val="009A08D3"/>
    <w:rsid w:val="009A1AFC"/>
    <w:rsid w:val="009A214E"/>
    <w:rsid w:val="009A41A0"/>
    <w:rsid w:val="009A5330"/>
    <w:rsid w:val="009A6EAA"/>
    <w:rsid w:val="009B24AF"/>
    <w:rsid w:val="009B3E65"/>
    <w:rsid w:val="009C3331"/>
    <w:rsid w:val="009C3742"/>
    <w:rsid w:val="009C5967"/>
    <w:rsid w:val="009C7689"/>
    <w:rsid w:val="009C7E70"/>
    <w:rsid w:val="009D53A5"/>
    <w:rsid w:val="009E141A"/>
    <w:rsid w:val="009E4370"/>
    <w:rsid w:val="009E5EA5"/>
    <w:rsid w:val="009E6FD3"/>
    <w:rsid w:val="009F3089"/>
    <w:rsid w:val="009F539B"/>
    <w:rsid w:val="00A02B23"/>
    <w:rsid w:val="00A0472E"/>
    <w:rsid w:val="00A05477"/>
    <w:rsid w:val="00A0620F"/>
    <w:rsid w:val="00A144EA"/>
    <w:rsid w:val="00A176BC"/>
    <w:rsid w:val="00A22E8B"/>
    <w:rsid w:val="00A30807"/>
    <w:rsid w:val="00A30826"/>
    <w:rsid w:val="00A311EE"/>
    <w:rsid w:val="00A32639"/>
    <w:rsid w:val="00A3394F"/>
    <w:rsid w:val="00A35FB2"/>
    <w:rsid w:val="00A3670D"/>
    <w:rsid w:val="00A4096A"/>
    <w:rsid w:val="00A42F3E"/>
    <w:rsid w:val="00A461D9"/>
    <w:rsid w:val="00A50A0F"/>
    <w:rsid w:val="00A51D59"/>
    <w:rsid w:val="00A52524"/>
    <w:rsid w:val="00A53C75"/>
    <w:rsid w:val="00A56F12"/>
    <w:rsid w:val="00A600F7"/>
    <w:rsid w:val="00A61AD0"/>
    <w:rsid w:val="00A622C3"/>
    <w:rsid w:val="00A63B32"/>
    <w:rsid w:val="00A65994"/>
    <w:rsid w:val="00A72DCB"/>
    <w:rsid w:val="00A74C03"/>
    <w:rsid w:val="00A80C3C"/>
    <w:rsid w:val="00A84A39"/>
    <w:rsid w:val="00A904AC"/>
    <w:rsid w:val="00A9261C"/>
    <w:rsid w:val="00A954DD"/>
    <w:rsid w:val="00A9636C"/>
    <w:rsid w:val="00A96A80"/>
    <w:rsid w:val="00AA0B47"/>
    <w:rsid w:val="00AA1C9D"/>
    <w:rsid w:val="00AA6295"/>
    <w:rsid w:val="00AA6DF9"/>
    <w:rsid w:val="00AC2021"/>
    <w:rsid w:val="00AC3471"/>
    <w:rsid w:val="00AC389C"/>
    <w:rsid w:val="00AD2099"/>
    <w:rsid w:val="00AD2E65"/>
    <w:rsid w:val="00AD4C9B"/>
    <w:rsid w:val="00AF37E5"/>
    <w:rsid w:val="00B2125B"/>
    <w:rsid w:val="00B23A5F"/>
    <w:rsid w:val="00B32028"/>
    <w:rsid w:val="00B36EFC"/>
    <w:rsid w:val="00B41668"/>
    <w:rsid w:val="00B44DBF"/>
    <w:rsid w:val="00B45270"/>
    <w:rsid w:val="00B536BD"/>
    <w:rsid w:val="00B54CE7"/>
    <w:rsid w:val="00B5646F"/>
    <w:rsid w:val="00B61A94"/>
    <w:rsid w:val="00B62121"/>
    <w:rsid w:val="00B716A0"/>
    <w:rsid w:val="00B73493"/>
    <w:rsid w:val="00B757C3"/>
    <w:rsid w:val="00B77DDA"/>
    <w:rsid w:val="00B81B6C"/>
    <w:rsid w:val="00B82CCE"/>
    <w:rsid w:val="00B83BF2"/>
    <w:rsid w:val="00B83C39"/>
    <w:rsid w:val="00B85E40"/>
    <w:rsid w:val="00B85ED7"/>
    <w:rsid w:val="00B938A5"/>
    <w:rsid w:val="00BA53D0"/>
    <w:rsid w:val="00BB0C14"/>
    <w:rsid w:val="00BB2EAC"/>
    <w:rsid w:val="00BB37BA"/>
    <w:rsid w:val="00BC0D39"/>
    <w:rsid w:val="00BC271D"/>
    <w:rsid w:val="00BD2A41"/>
    <w:rsid w:val="00BD55BC"/>
    <w:rsid w:val="00BE17C6"/>
    <w:rsid w:val="00C0032D"/>
    <w:rsid w:val="00C0045A"/>
    <w:rsid w:val="00C02414"/>
    <w:rsid w:val="00C032BC"/>
    <w:rsid w:val="00C03CB6"/>
    <w:rsid w:val="00C11245"/>
    <w:rsid w:val="00C1561F"/>
    <w:rsid w:val="00C16D4D"/>
    <w:rsid w:val="00C17A07"/>
    <w:rsid w:val="00C215E1"/>
    <w:rsid w:val="00C21DFA"/>
    <w:rsid w:val="00C24C07"/>
    <w:rsid w:val="00C3265D"/>
    <w:rsid w:val="00C40511"/>
    <w:rsid w:val="00C426FC"/>
    <w:rsid w:val="00C42ED5"/>
    <w:rsid w:val="00C56151"/>
    <w:rsid w:val="00C56B30"/>
    <w:rsid w:val="00C60AF9"/>
    <w:rsid w:val="00C6393E"/>
    <w:rsid w:val="00C65095"/>
    <w:rsid w:val="00C65D12"/>
    <w:rsid w:val="00C674ED"/>
    <w:rsid w:val="00C67508"/>
    <w:rsid w:val="00C74A74"/>
    <w:rsid w:val="00C835D3"/>
    <w:rsid w:val="00C84229"/>
    <w:rsid w:val="00C97EFB"/>
    <w:rsid w:val="00CA1D39"/>
    <w:rsid w:val="00CA3988"/>
    <w:rsid w:val="00CA5477"/>
    <w:rsid w:val="00CA6069"/>
    <w:rsid w:val="00CB0FCB"/>
    <w:rsid w:val="00CB2F18"/>
    <w:rsid w:val="00CB32E8"/>
    <w:rsid w:val="00CB655E"/>
    <w:rsid w:val="00CB6C09"/>
    <w:rsid w:val="00CB71CC"/>
    <w:rsid w:val="00CC13AC"/>
    <w:rsid w:val="00CC3691"/>
    <w:rsid w:val="00CC54EB"/>
    <w:rsid w:val="00CE6159"/>
    <w:rsid w:val="00CE7682"/>
    <w:rsid w:val="00CF1968"/>
    <w:rsid w:val="00CF2415"/>
    <w:rsid w:val="00CF4AB4"/>
    <w:rsid w:val="00CF5B36"/>
    <w:rsid w:val="00D055A6"/>
    <w:rsid w:val="00D11D61"/>
    <w:rsid w:val="00D15109"/>
    <w:rsid w:val="00D24F42"/>
    <w:rsid w:val="00D25B39"/>
    <w:rsid w:val="00D26E6A"/>
    <w:rsid w:val="00D31F07"/>
    <w:rsid w:val="00D32765"/>
    <w:rsid w:val="00D35C24"/>
    <w:rsid w:val="00D36BEC"/>
    <w:rsid w:val="00D41460"/>
    <w:rsid w:val="00D45DB9"/>
    <w:rsid w:val="00D55F68"/>
    <w:rsid w:val="00D562A0"/>
    <w:rsid w:val="00D6060F"/>
    <w:rsid w:val="00D6632D"/>
    <w:rsid w:val="00D700CD"/>
    <w:rsid w:val="00D7248D"/>
    <w:rsid w:val="00D72921"/>
    <w:rsid w:val="00D82242"/>
    <w:rsid w:val="00D82898"/>
    <w:rsid w:val="00D85430"/>
    <w:rsid w:val="00D8733F"/>
    <w:rsid w:val="00D907E9"/>
    <w:rsid w:val="00D91FE6"/>
    <w:rsid w:val="00D93871"/>
    <w:rsid w:val="00D96276"/>
    <w:rsid w:val="00D96ECF"/>
    <w:rsid w:val="00DA3D87"/>
    <w:rsid w:val="00DA750C"/>
    <w:rsid w:val="00DB4E0C"/>
    <w:rsid w:val="00DC032B"/>
    <w:rsid w:val="00DC5A7B"/>
    <w:rsid w:val="00DC6C19"/>
    <w:rsid w:val="00DD0BE4"/>
    <w:rsid w:val="00DD2721"/>
    <w:rsid w:val="00DD3638"/>
    <w:rsid w:val="00DE115F"/>
    <w:rsid w:val="00DE12BC"/>
    <w:rsid w:val="00DE2452"/>
    <w:rsid w:val="00DE4B23"/>
    <w:rsid w:val="00DE5EDC"/>
    <w:rsid w:val="00DE62B2"/>
    <w:rsid w:val="00DE6B94"/>
    <w:rsid w:val="00DE744F"/>
    <w:rsid w:val="00DF257F"/>
    <w:rsid w:val="00DF4A47"/>
    <w:rsid w:val="00DF7CC7"/>
    <w:rsid w:val="00E000C9"/>
    <w:rsid w:val="00E008AF"/>
    <w:rsid w:val="00E11A62"/>
    <w:rsid w:val="00E12A51"/>
    <w:rsid w:val="00E14D71"/>
    <w:rsid w:val="00E17967"/>
    <w:rsid w:val="00E23061"/>
    <w:rsid w:val="00E2755C"/>
    <w:rsid w:val="00E30306"/>
    <w:rsid w:val="00E30508"/>
    <w:rsid w:val="00E31620"/>
    <w:rsid w:val="00E32173"/>
    <w:rsid w:val="00E33DCE"/>
    <w:rsid w:val="00E348ED"/>
    <w:rsid w:val="00E36D31"/>
    <w:rsid w:val="00E36D69"/>
    <w:rsid w:val="00E40804"/>
    <w:rsid w:val="00E41546"/>
    <w:rsid w:val="00E47A57"/>
    <w:rsid w:val="00E47D0E"/>
    <w:rsid w:val="00E52934"/>
    <w:rsid w:val="00E54014"/>
    <w:rsid w:val="00E56B62"/>
    <w:rsid w:val="00E6469C"/>
    <w:rsid w:val="00E64855"/>
    <w:rsid w:val="00E71D60"/>
    <w:rsid w:val="00E8022C"/>
    <w:rsid w:val="00E83A97"/>
    <w:rsid w:val="00E908B0"/>
    <w:rsid w:val="00E93CDE"/>
    <w:rsid w:val="00E96CA4"/>
    <w:rsid w:val="00EA15A5"/>
    <w:rsid w:val="00EA1C1D"/>
    <w:rsid w:val="00EB5232"/>
    <w:rsid w:val="00EB6095"/>
    <w:rsid w:val="00EC0A01"/>
    <w:rsid w:val="00EC4831"/>
    <w:rsid w:val="00ED386F"/>
    <w:rsid w:val="00ED4494"/>
    <w:rsid w:val="00EE4B3D"/>
    <w:rsid w:val="00EF144E"/>
    <w:rsid w:val="00EF1ABC"/>
    <w:rsid w:val="00EF27D1"/>
    <w:rsid w:val="00EF3C4F"/>
    <w:rsid w:val="00EF4786"/>
    <w:rsid w:val="00EF6D0B"/>
    <w:rsid w:val="00F014BC"/>
    <w:rsid w:val="00F07110"/>
    <w:rsid w:val="00F11B40"/>
    <w:rsid w:val="00F14D6C"/>
    <w:rsid w:val="00F14F26"/>
    <w:rsid w:val="00F20358"/>
    <w:rsid w:val="00F2548A"/>
    <w:rsid w:val="00F33674"/>
    <w:rsid w:val="00F34EF6"/>
    <w:rsid w:val="00F41088"/>
    <w:rsid w:val="00F4632C"/>
    <w:rsid w:val="00F46416"/>
    <w:rsid w:val="00F51305"/>
    <w:rsid w:val="00F54A93"/>
    <w:rsid w:val="00F66B01"/>
    <w:rsid w:val="00F66E0B"/>
    <w:rsid w:val="00F66E92"/>
    <w:rsid w:val="00F66F87"/>
    <w:rsid w:val="00F67A8F"/>
    <w:rsid w:val="00F72171"/>
    <w:rsid w:val="00F73283"/>
    <w:rsid w:val="00F7377F"/>
    <w:rsid w:val="00F74098"/>
    <w:rsid w:val="00F771C2"/>
    <w:rsid w:val="00F80F70"/>
    <w:rsid w:val="00F83467"/>
    <w:rsid w:val="00F838A9"/>
    <w:rsid w:val="00F87209"/>
    <w:rsid w:val="00F94819"/>
    <w:rsid w:val="00F97A53"/>
    <w:rsid w:val="00FA0680"/>
    <w:rsid w:val="00FA4D76"/>
    <w:rsid w:val="00FA521D"/>
    <w:rsid w:val="00FA7EB1"/>
    <w:rsid w:val="00FB777B"/>
    <w:rsid w:val="00FC281C"/>
    <w:rsid w:val="00FD405C"/>
    <w:rsid w:val="00FD439A"/>
    <w:rsid w:val="00FD6548"/>
    <w:rsid w:val="00FE4BD1"/>
    <w:rsid w:val="00FE50AF"/>
    <w:rsid w:val="00FF5396"/>
    <w:rsid w:val="00FF6DE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2B6C2CD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07462"/>
    <w:pPr>
      <w:jc w:val="both"/>
    </w:pPr>
    <w:rPr>
      <w:rFonts w:ascii="Calibri" w:hAnsi="Calibri"/>
      <w:sz w:val="24"/>
      <w:szCs w:val="24"/>
    </w:rPr>
  </w:style>
  <w:style w:type="paragraph" w:styleId="Heading1">
    <w:name w:val="heading 1"/>
    <w:basedOn w:val="ListNumber"/>
    <w:next w:val="Normal"/>
    <w:link w:val="Heading1Char"/>
    <w:autoRedefine/>
    <w:uiPriority w:val="9"/>
    <w:qFormat/>
    <w:rsid w:val="0012753F"/>
    <w:pPr>
      <w:keepNext/>
      <w:keepLines/>
      <w:numPr>
        <w:numId w:val="2"/>
      </w:numPr>
      <w:ind w:hanging="720"/>
      <w:contextualSpacing w:val="0"/>
      <w:outlineLvl w:val="0"/>
    </w:pPr>
    <w:rPr>
      <w:rFonts w:ascii="Arial" w:eastAsiaTheme="majorEastAsia" w:hAnsi="Arial"/>
      <w:b/>
      <w:sz w:val="28"/>
      <w:szCs w:val="28"/>
      <w:lang w:eastAsia="en-AU"/>
    </w:rPr>
  </w:style>
  <w:style w:type="paragraph" w:styleId="Heading2">
    <w:name w:val="heading 2"/>
    <w:basedOn w:val="Normal"/>
    <w:next w:val="Normal"/>
    <w:link w:val="Heading2Char"/>
    <w:unhideWhenUsed/>
    <w:qFormat/>
    <w:rsid w:val="00007462"/>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007462"/>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2753F"/>
    <w:rPr>
      <w:rFonts w:ascii="Arial" w:eastAsiaTheme="majorEastAsia" w:hAnsi="Arial"/>
      <w:b/>
      <w:sz w:val="28"/>
      <w:szCs w:val="28"/>
      <w:lang w:eastAsia="en-AU"/>
    </w:rPr>
  </w:style>
  <w:style w:type="paragraph" w:styleId="ListParagraph">
    <w:name w:val="List Paragraph"/>
    <w:aliases w:val="Body Text Bullet Points,BulletPoints,Numbered para,Footnote,Bullet point,List Paragraph1,List Paragraph11,Recommendation,standard lewis,Bullet List Paragraph,L,CV text,Table text,F5 List Paragraph,Dot pt,Colorful List - Accent 11,列"/>
    <w:next w:val="ListBullet"/>
    <w:link w:val="ListParagraphChar"/>
    <w:uiPriority w:val="34"/>
    <w:qFormat/>
    <w:rsid w:val="00007462"/>
    <w:pPr>
      <w:numPr>
        <w:numId w:val="1"/>
      </w:numPr>
      <w:spacing w:after="120"/>
    </w:pPr>
    <w:rPr>
      <w:rFonts w:asciiTheme="minorHAnsi" w:hAnsiTheme="minorHAnsi" w:cs="Arial"/>
      <w:snapToGrid w:val="0"/>
      <w:sz w:val="24"/>
      <w:szCs w:val="24"/>
    </w:rPr>
  </w:style>
  <w:style w:type="character" w:customStyle="1" w:styleId="ListParagraphChar">
    <w:name w:val="List Paragraph Char"/>
    <w:aliases w:val="Body Text Bullet Points Char,BulletPoints Char,Numbered para Char,Footnote Char,Bullet point Char,List Paragraph1 Char,List Paragraph11 Char,Recommendation Char,standard lewis Char,Bullet List Paragraph Char,L Char,CV text Char"/>
    <w:basedOn w:val="DefaultParagraphFont"/>
    <w:link w:val="ListParagraph"/>
    <w:uiPriority w:val="34"/>
    <w:qFormat/>
    <w:rsid w:val="00007462"/>
    <w:rPr>
      <w:rFonts w:asciiTheme="minorHAnsi" w:hAnsiTheme="minorHAnsi" w:cs="Arial"/>
      <w:snapToGrid w:val="0"/>
      <w:sz w:val="24"/>
      <w:szCs w:val="24"/>
    </w:rPr>
  </w:style>
  <w:style w:type="paragraph" w:styleId="ListNumber">
    <w:name w:val="List Number"/>
    <w:basedOn w:val="Normal"/>
    <w:uiPriority w:val="99"/>
    <w:unhideWhenUsed/>
    <w:rsid w:val="007D00BB"/>
    <w:pPr>
      <w:contextualSpacing/>
    </w:pPr>
  </w:style>
  <w:style w:type="character" w:styleId="CommentReference">
    <w:name w:val="annotation reference"/>
    <w:basedOn w:val="DefaultParagraphFont"/>
    <w:uiPriority w:val="99"/>
    <w:semiHidden/>
    <w:unhideWhenUsed/>
    <w:rsid w:val="009A08D3"/>
    <w:rPr>
      <w:sz w:val="16"/>
      <w:szCs w:val="16"/>
    </w:rPr>
  </w:style>
  <w:style w:type="paragraph" w:styleId="CommentText">
    <w:name w:val="annotation text"/>
    <w:basedOn w:val="Normal"/>
    <w:link w:val="CommentTextChar"/>
    <w:uiPriority w:val="99"/>
    <w:unhideWhenUsed/>
    <w:rsid w:val="009A08D3"/>
    <w:rPr>
      <w:sz w:val="20"/>
      <w:szCs w:val="20"/>
    </w:rPr>
  </w:style>
  <w:style w:type="character" w:customStyle="1" w:styleId="CommentTextChar">
    <w:name w:val="Comment Text Char"/>
    <w:basedOn w:val="DefaultParagraphFont"/>
    <w:link w:val="CommentText"/>
    <w:uiPriority w:val="99"/>
    <w:rsid w:val="009A08D3"/>
    <w:rPr>
      <w:sz w:val="20"/>
      <w:szCs w:val="20"/>
    </w:rPr>
  </w:style>
  <w:style w:type="paragraph" w:styleId="CommentSubject">
    <w:name w:val="annotation subject"/>
    <w:basedOn w:val="CommentText"/>
    <w:next w:val="CommentText"/>
    <w:link w:val="CommentSubjectChar"/>
    <w:uiPriority w:val="99"/>
    <w:semiHidden/>
    <w:unhideWhenUsed/>
    <w:rsid w:val="009A08D3"/>
    <w:rPr>
      <w:b/>
      <w:bCs/>
    </w:rPr>
  </w:style>
  <w:style w:type="character" w:customStyle="1" w:styleId="CommentSubjectChar">
    <w:name w:val="Comment Subject Char"/>
    <w:basedOn w:val="CommentTextChar"/>
    <w:link w:val="CommentSubject"/>
    <w:uiPriority w:val="99"/>
    <w:semiHidden/>
    <w:rsid w:val="009A08D3"/>
    <w:rPr>
      <w:b/>
      <w:bCs/>
      <w:sz w:val="20"/>
      <w:szCs w:val="20"/>
    </w:rPr>
  </w:style>
  <w:style w:type="paragraph" w:styleId="BalloonText">
    <w:name w:val="Balloon Text"/>
    <w:basedOn w:val="Normal"/>
    <w:link w:val="BalloonTextChar"/>
    <w:uiPriority w:val="99"/>
    <w:semiHidden/>
    <w:unhideWhenUsed/>
    <w:rsid w:val="009A08D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A08D3"/>
    <w:rPr>
      <w:rFonts w:ascii="Segoe UI" w:hAnsi="Segoe UI" w:cs="Segoe UI"/>
      <w:sz w:val="18"/>
      <w:szCs w:val="18"/>
    </w:rPr>
  </w:style>
  <w:style w:type="character" w:styleId="Hyperlink">
    <w:name w:val="Hyperlink"/>
    <w:basedOn w:val="DefaultParagraphFont"/>
    <w:uiPriority w:val="99"/>
    <w:unhideWhenUsed/>
    <w:rsid w:val="009A08D3"/>
    <w:rPr>
      <w:color w:val="0000FF"/>
      <w:u w:val="single"/>
    </w:rPr>
  </w:style>
  <w:style w:type="paragraph" w:customStyle="1" w:styleId="2Sections">
    <w:name w:val="2. Sections"/>
    <w:qFormat/>
    <w:rsid w:val="00C65095"/>
    <w:pPr>
      <w:spacing w:before="240" w:after="120"/>
      <w:ind w:left="720" w:hanging="720"/>
      <w:outlineLvl w:val="0"/>
    </w:pPr>
    <w:rPr>
      <w:rFonts w:asciiTheme="minorHAnsi" w:hAnsiTheme="minorHAnsi" w:cs="Arial"/>
      <w:b/>
      <w:snapToGrid w:val="0"/>
      <w:sz w:val="32"/>
      <w:szCs w:val="32"/>
    </w:rPr>
  </w:style>
  <w:style w:type="paragraph" w:customStyle="1" w:styleId="3Bodytext">
    <w:name w:val="3. Body text"/>
    <w:basedOn w:val="ListParagraph"/>
    <w:link w:val="3BodytextChar"/>
    <w:qFormat/>
    <w:rsid w:val="00C65095"/>
    <w:pPr>
      <w:jc w:val="both"/>
    </w:pPr>
    <w:rPr>
      <w:rFonts w:eastAsiaTheme="minorHAnsi" w:cstheme="minorBidi"/>
      <w:szCs w:val="22"/>
    </w:rPr>
  </w:style>
  <w:style w:type="character" w:customStyle="1" w:styleId="3BodytextChar">
    <w:name w:val="3. Body text Char"/>
    <w:basedOn w:val="DefaultParagraphFont"/>
    <w:link w:val="3Bodytext"/>
    <w:rsid w:val="00C65095"/>
    <w:rPr>
      <w:rFonts w:asciiTheme="minorHAnsi" w:eastAsiaTheme="minorHAnsi" w:hAnsiTheme="minorHAnsi" w:cstheme="minorBidi"/>
      <w:snapToGrid w:val="0"/>
      <w:sz w:val="24"/>
      <w:szCs w:val="22"/>
    </w:rPr>
  </w:style>
  <w:style w:type="character" w:styleId="FollowedHyperlink">
    <w:name w:val="FollowedHyperlink"/>
    <w:basedOn w:val="DefaultParagraphFont"/>
    <w:uiPriority w:val="99"/>
    <w:semiHidden/>
    <w:unhideWhenUsed/>
    <w:rsid w:val="001736B7"/>
    <w:rPr>
      <w:color w:val="954F72" w:themeColor="followedHyperlink"/>
      <w:u w:val="single"/>
    </w:rPr>
  </w:style>
  <w:style w:type="paragraph" w:styleId="Revision">
    <w:name w:val="Revision"/>
    <w:hidden/>
    <w:uiPriority w:val="99"/>
    <w:semiHidden/>
    <w:rsid w:val="005025CD"/>
  </w:style>
  <w:style w:type="paragraph" w:styleId="FootnoteText">
    <w:name w:val="footnote text"/>
    <w:basedOn w:val="Normal"/>
    <w:link w:val="FootnoteTextChar"/>
    <w:uiPriority w:val="99"/>
    <w:semiHidden/>
    <w:unhideWhenUsed/>
    <w:rsid w:val="002B79EC"/>
    <w:rPr>
      <w:sz w:val="20"/>
      <w:szCs w:val="20"/>
    </w:rPr>
  </w:style>
  <w:style w:type="character" w:customStyle="1" w:styleId="FootnoteTextChar">
    <w:name w:val="Footnote Text Char"/>
    <w:basedOn w:val="DefaultParagraphFont"/>
    <w:link w:val="FootnoteText"/>
    <w:uiPriority w:val="99"/>
    <w:semiHidden/>
    <w:rsid w:val="002B79EC"/>
    <w:rPr>
      <w:sz w:val="20"/>
      <w:szCs w:val="20"/>
    </w:rPr>
  </w:style>
  <w:style w:type="character" w:styleId="FootnoteReference">
    <w:name w:val="footnote reference"/>
    <w:basedOn w:val="DefaultParagraphFont"/>
    <w:uiPriority w:val="99"/>
    <w:semiHidden/>
    <w:unhideWhenUsed/>
    <w:rsid w:val="002B79EC"/>
    <w:rPr>
      <w:vertAlign w:val="superscript"/>
    </w:rPr>
  </w:style>
  <w:style w:type="paragraph" w:styleId="Header">
    <w:name w:val="header"/>
    <w:basedOn w:val="Normal"/>
    <w:link w:val="HeaderChar"/>
    <w:uiPriority w:val="99"/>
    <w:unhideWhenUsed/>
    <w:rsid w:val="00516C1B"/>
    <w:pPr>
      <w:tabs>
        <w:tab w:val="center" w:pos="4513"/>
        <w:tab w:val="right" w:pos="9026"/>
      </w:tabs>
    </w:pPr>
  </w:style>
  <w:style w:type="character" w:customStyle="1" w:styleId="HeaderChar">
    <w:name w:val="Header Char"/>
    <w:basedOn w:val="DefaultParagraphFont"/>
    <w:link w:val="Header"/>
    <w:uiPriority w:val="99"/>
    <w:rsid w:val="00516C1B"/>
  </w:style>
  <w:style w:type="paragraph" w:styleId="Footer">
    <w:name w:val="footer"/>
    <w:basedOn w:val="Normal"/>
    <w:link w:val="FooterChar"/>
    <w:uiPriority w:val="99"/>
    <w:unhideWhenUsed/>
    <w:rsid w:val="00516C1B"/>
    <w:pPr>
      <w:tabs>
        <w:tab w:val="center" w:pos="4513"/>
        <w:tab w:val="right" w:pos="9026"/>
      </w:tabs>
    </w:pPr>
  </w:style>
  <w:style w:type="character" w:customStyle="1" w:styleId="FooterChar">
    <w:name w:val="Footer Char"/>
    <w:basedOn w:val="DefaultParagraphFont"/>
    <w:link w:val="Footer"/>
    <w:uiPriority w:val="99"/>
    <w:rsid w:val="00516C1B"/>
  </w:style>
  <w:style w:type="paragraph" w:customStyle="1" w:styleId="TableText">
    <w:name w:val="Table Text"/>
    <w:link w:val="TableTextChar"/>
    <w:qFormat/>
    <w:rsid w:val="00007462"/>
    <w:pPr>
      <w:keepNext/>
    </w:pPr>
    <w:rPr>
      <w:rFonts w:ascii="Arial Narrow" w:eastAsiaTheme="majorEastAsia" w:hAnsi="Arial Narrow" w:cstheme="majorBidi"/>
      <w:bCs/>
      <w:szCs w:val="24"/>
    </w:rPr>
  </w:style>
  <w:style w:type="character" w:customStyle="1" w:styleId="TableTextChar">
    <w:name w:val="Table Text Char"/>
    <w:basedOn w:val="DefaultParagraphFont"/>
    <w:link w:val="TableText"/>
    <w:rsid w:val="00007462"/>
    <w:rPr>
      <w:rFonts w:ascii="Arial Narrow" w:eastAsiaTheme="majorEastAsia" w:hAnsi="Arial Narrow" w:cstheme="majorBidi"/>
      <w:bCs/>
      <w:szCs w:val="24"/>
    </w:rPr>
  </w:style>
  <w:style w:type="paragraph" w:customStyle="1" w:styleId="GeneralHeading">
    <w:name w:val="General Heading"/>
    <w:qFormat/>
    <w:rsid w:val="00007462"/>
    <w:pPr>
      <w:keepNext/>
      <w:spacing w:before="120" w:after="120"/>
      <w:ind w:left="720" w:hanging="720"/>
      <w:outlineLvl w:val="0"/>
    </w:pPr>
    <w:rPr>
      <w:rFonts w:ascii="Calibri" w:hAnsi="Calibri" w:cs="Arial"/>
      <w:b/>
      <w:snapToGrid w:val="0"/>
      <w:sz w:val="28"/>
      <w:szCs w:val="22"/>
    </w:rPr>
  </w:style>
  <w:style w:type="paragraph" w:customStyle="1" w:styleId="In-tableHeading">
    <w:name w:val="In-table Heading"/>
    <w:qFormat/>
    <w:rsid w:val="00007462"/>
    <w:pPr>
      <w:keepNext/>
    </w:pPr>
    <w:rPr>
      <w:rFonts w:ascii="Arial Narrow" w:eastAsiaTheme="majorEastAsia" w:hAnsi="Arial Narrow"/>
      <w:b/>
      <w:szCs w:val="24"/>
      <w:lang w:val="en-US"/>
    </w:rPr>
  </w:style>
  <w:style w:type="paragraph" w:customStyle="1" w:styleId="2-SectionHeading">
    <w:name w:val="2-Section Heading"/>
    <w:qFormat/>
    <w:rsid w:val="00007462"/>
    <w:pPr>
      <w:keepNext/>
      <w:numPr>
        <w:numId w:val="4"/>
      </w:numPr>
      <w:spacing w:before="240" w:after="120"/>
      <w:outlineLvl w:val="0"/>
    </w:pPr>
    <w:rPr>
      <w:rFonts w:asciiTheme="minorHAnsi" w:hAnsiTheme="minorHAnsi" w:cs="Arial"/>
      <w:b/>
      <w:snapToGrid w:val="0"/>
      <w:sz w:val="32"/>
      <w:szCs w:val="32"/>
    </w:rPr>
  </w:style>
  <w:style w:type="paragraph" w:customStyle="1" w:styleId="1-MainHeading">
    <w:name w:val="1-Main Heading"/>
    <w:link w:val="1-MainHeadingChar"/>
    <w:qFormat/>
    <w:rsid w:val="00007462"/>
    <w:pPr>
      <w:keepNext/>
      <w:spacing w:before="120" w:after="160"/>
      <w:ind w:left="720" w:hanging="720"/>
      <w:outlineLvl w:val="0"/>
    </w:pPr>
    <w:rPr>
      <w:rFonts w:asciiTheme="minorHAnsi" w:eastAsiaTheme="majorEastAsia" w:hAnsiTheme="minorHAnsi" w:cstheme="majorBidi"/>
      <w:b/>
      <w:spacing w:val="5"/>
      <w:kern w:val="28"/>
      <w:sz w:val="36"/>
      <w:szCs w:val="36"/>
    </w:rPr>
  </w:style>
  <w:style w:type="character" w:customStyle="1" w:styleId="1-MainHeadingChar">
    <w:name w:val="1-Main Heading Char"/>
    <w:basedOn w:val="DefaultParagraphFont"/>
    <w:link w:val="1-MainHeading"/>
    <w:rsid w:val="00007462"/>
    <w:rPr>
      <w:rFonts w:asciiTheme="minorHAnsi" w:eastAsiaTheme="majorEastAsia" w:hAnsiTheme="minorHAnsi" w:cstheme="majorBidi"/>
      <w:b/>
      <w:spacing w:val="5"/>
      <w:kern w:val="28"/>
      <w:sz w:val="36"/>
      <w:szCs w:val="36"/>
    </w:rPr>
  </w:style>
  <w:style w:type="paragraph" w:customStyle="1" w:styleId="TableFigureHeading">
    <w:name w:val="Table/Figure Heading"/>
    <w:link w:val="TableFigureHeadingChar"/>
    <w:qFormat/>
    <w:rsid w:val="00007462"/>
    <w:pPr>
      <w:keepNext/>
    </w:pPr>
    <w:rPr>
      <w:rFonts w:ascii="Arial Narrow" w:eastAsiaTheme="majorEastAsia" w:hAnsi="Arial Narrow" w:cstheme="majorBidi"/>
      <w:b/>
      <w:bCs/>
      <w:szCs w:val="24"/>
    </w:rPr>
  </w:style>
  <w:style w:type="character" w:customStyle="1" w:styleId="TableFigureHeadingChar">
    <w:name w:val="Table/Figure Heading Char"/>
    <w:basedOn w:val="DefaultParagraphFont"/>
    <w:link w:val="TableFigureHeading"/>
    <w:rsid w:val="00007462"/>
    <w:rPr>
      <w:rFonts w:ascii="Arial Narrow" w:eastAsiaTheme="majorEastAsia" w:hAnsi="Arial Narrow" w:cstheme="majorBidi"/>
      <w:b/>
      <w:bCs/>
      <w:szCs w:val="24"/>
    </w:rPr>
  </w:style>
  <w:style w:type="paragraph" w:customStyle="1" w:styleId="3-BodyText">
    <w:name w:val="3-Body Text"/>
    <w:link w:val="3-BodyTextChar"/>
    <w:qFormat/>
    <w:rsid w:val="00F33674"/>
    <w:pPr>
      <w:numPr>
        <w:ilvl w:val="1"/>
        <w:numId w:val="4"/>
      </w:numPr>
      <w:spacing w:before="120" w:after="120"/>
      <w:jc w:val="both"/>
    </w:pPr>
    <w:rPr>
      <w:rFonts w:asciiTheme="minorHAnsi" w:eastAsiaTheme="minorHAnsi" w:hAnsiTheme="minorHAnsi" w:cstheme="minorBidi"/>
      <w:sz w:val="24"/>
      <w:szCs w:val="22"/>
    </w:rPr>
  </w:style>
  <w:style w:type="character" w:customStyle="1" w:styleId="3-BodyTextChar">
    <w:name w:val="3-Body Text Char"/>
    <w:basedOn w:val="ListParagraphChar"/>
    <w:link w:val="3-BodyText"/>
    <w:rsid w:val="00F33674"/>
    <w:rPr>
      <w:rFonts w:asciiTheme="minorHAnsi" w:eastAsiaTheme="minorHAnsi" w:hAnsiTheme="minorHAnsi" w:cstheme="minorBidi"/>
      <w:snapToGrid/>
      <w:sz w:val="24"/>
      <w:szCs w:val="22"/>
    </w:rPr>
  </w:style>
  <w:style w:type="paragraph" w:customStyle="1" w:styleId="PageFooter">
    <w:name w:val="Page Footer"/>
    <w:basedOn w:val="Normal"/>
    <w:link w:val="PageFooterChar"/>
    <w:qFormat/>
    <w:rsid w:val="00007462"/>
    <w:pPr>
      <w:keepNext/>
      <w:tabs>
        <w:tab w:val="center" w:pos="4153"/>
        <w:tab w:val="center" w:pos="4513"/>
        <w:tab w:val="right" w:pos="8306"/>
        <w:tab w:val="right" w:pos="9026"/>
      </w:tabs>
      <w:jc w:val="center"/>
    </w:pPr>
    <w:rPr>
      <w:rFonts w:cs="Arial"/>
      <w:b/>
    </w:rPr>
  </w:style>
  <w:style w:type="character" w:customStyle="1" w:styleId="PageFooterChar">
    <w:name w:val="Page Footer Char"/>
    <w:basedOn w:val="DefaultParagraphFont"/>
    <w:link w:val="PageFooter"/>
    <w:rsid w:val="00007462"/>
    <w:rPr>
      <w:rFonts w:ascii="Calibri" w:hAnsi="Calibri" w:cs="Arial"/>
      <w:b/>
      <w:sz w:val="24"/>
      <w:szCs w:val="24"/>
    </w:rPr>
  </w:style>
  <w:style w:type="paragraph" w:customStyle="1" w:styleId="TableFigureFooter">
    <w:name w:val="Table/Figure Footer"/>
    <w:basedOn w:val="Normal"/>
    <w:link w:val="TableFigureFooterChar"/>
    <w:qFormat/>
    <w:rsid w:val="00007462"/>
    <w:pPr>
      <w:spacing w:after="120"/>
      <w:contextualSpacing/>
    </w:pPr>
    <w:rPr>
      <w:rFonts w:ascii="Arial Narrow" w:hAnsi="Arial Narrow" w:cs="Arial"/>
      <w:snapToGrid w:val="0"/>
      <w:sz w:val="18"/>
      <w:szCs w:val="22"/>
    </w:rPr>
  </w:style>
  <w:style w:type="character" w:customStyle="1" w:styleId="TableFigureFooterChar">
    <w:name w:val="Table/Figure Footer Char"/>
    <w:link w:val="TableFigureFooter"/>
    <w:rsid w:val="00007462"/>
    <w:rPr>
      <w:rFonts w:ascii="Arial Narrow" w:hAnsi="Arial Narrow" w:cs="Arial"/>
      <w:snapToGrid w:val="0"/>
      <w:sz w:val="18"/>
      <w:szCs w:val="22"/>
    </w:rPr>
  </w:style>
  <w:style w:type="paragraph" w:customStyle="1" w:styleId="PageHeader">
    <w:name w:val="Page Header"/>
    <w:basedOn w:val="Normal"/>
    <w:link w:val="PageHeaderChar"/>
    <w:qFormat/>
    <w:rsid w:val="00007462"/>
    <w:pPr>
      <w:keepNext/>
      <w:tabs>
        <w:tab w:val="center" w:pos="4513"/>
        <w:tab w:val="right" w:pos="9026"/>
      </w:tabs>
      <w:jc w:val="center"/>
    </w:pPr>
  </w:style>
  <w:style w:type="character" w:customStyle="1" w:styleId="PageHeaderChar">
    <w:name w:val="Page Header Char"/>
    <w:basedOn w:val="DefaultParagraphFont"/>
    <w:link w:val="PageHeader"/>
    <w:rsid w:val="00007462"/>
    <w:rPr>
      <w:rFonts w:ascii="Calibri" w:hAnsi="Calibri"/>
      <w:sz w:val="24"/>
      <w:szCs w:val="24"/>
    </w:rPr>
  </w:style>
  <w:style w:type="paragraph" w:customStyle="1" w:styleId="4-SubsectionHeading">
    <w:name w:val="4-Subsection Heading"/>
    <w:basedOn w:val="Heading2"/>
    <w:next w:val="3-BodyText"/>
    <w:link w:val="4-SubsectionHeadingChar"/>
    <w:qFormat/>
    <w:rsid w:val="00007462"/>
    <w:pPr>
      <w:keepLines w:val="0"/>
      <w:spacing w:before="120" w:after="120"/>
    </w:pPr>
    <w:rPr>
      <w:rFonts w:asciiTheme="minorHAnsi" w:hAnsiTheme="minorHAnsi"/>
      <w:b/>
      <w:i/>
      <w:color w:val="auto"/>
      <w:spacing w:val="5"/>
      <w:kern w:val="28"/>
      <w:sz w:val="28"/>
      <w:szCs w:val="36"/>
    </w:rPr>
  </w:style>
  <w:style w:type="character" w:customStyle="1" w:styleId="4-SubsectionHeadingChar">
    <w:name w:val="4-Subsection Heading Char"/>
    <w:basedOn w:val="Heading2Char"/>
    <w:link w:val="4-SubsectionHeading"/>
    <w:rsid w:val="00007462"/>
    <w:rPr>
      <w:rFonts w:asciiTheme="minorHAnsi" w:eastAsiaTheme="majorEastAsia" w:hAnsiTheme="minorHAnsi" w:cstheme="majorBidi"/>
      <w:b/>
      <w:i/>
      <w:color w:val="2E74B5" w:themeColor="accent1" w:themeShade="BF"/>
      <w:spacing w:val="5"/>
      <w:kern w:val="28"/>
      <w:sz w:val="28"/>
      <w:szCs w:val="36"/>
    </w:rPr>
  </w:style>
  <w:style w:type="character" w:customStyle="1" w:styleId="Heading2Char">
    <w:name w:val="Heading 2 Char"/>
    <w:basedOn w:val="DefaultParagraphFont"/>
    <w:link w:val="Heading2"/>
    <w:rsid w:val="00007462"/>
    <w:rPr>
      <w:rFonts w:asciiTheme="majorHAnsi" w:eastAsiaTheme="majorEastAsia" w:hAnsiTheme="majorHAnsi" w:cstheme="majorBidi"/>
      <w:color w:val="2E74B5" w:themeColor="accent1" w:themeShade="BF"/>
      <w:sz w:val="26"/>
      <w:szCs w:val="26"/>
    </w:rPr>
  </w:style>
  <w:style w:type="paragraph" w:customStyle="1" w:styleId="5-SubsectionSubheading">
    <w:name w:val="5-Subsection Subheading"/>
    <w:basedOn w:val="Heading3"/>
    <w:next w:val="3-BodyText"/>
    <w:link w:val="5-SubsectionSubheadingChar"/>
    <w:qFormat/>
    <w:rsid w:val="00007462"/>
    <w:rPr>
      <w:rFonts w:asciiTheme="minorHAnsi" w:hAnsiTheme="minorHAnsi"/>
      <w:b/>
      <w:color w:val="000000" w:themeColor="text1"/>
    </w:rPr>
  </w:style>
  <w:style w:type="character" w:customStyle="1" w:styleId="5-SubsectionSubheadingChar">
    <w:name w:val="5-Subsection Subheading Char"/>
    <w:basedOn w:val="Heading3Char"/>
    <w:link w:val="5-SubsectionSubheading"/>
    <w:rsid w:val="00007462"/>
    <w:rPr>
      <w:rFonts w:asciiTheme="minorHAnsi" w:eastAsiaTheme="majorEastAsia" w:hAnsiTheme="minorHAnsi" w:cstheme="majorBidi"/>
      <w:b/>
      <w:color w:val="000000" w:themeColor="text1"/>
      <w:sz w:val="24"/>
      <w:szCs w:val="24"/>
    </w:rPr>
  </w:style>
  <w:style w:type="character" w:customStyle="1" w:styleId="Heading3Char">
    <w:name w:val="Heading 3 Char"/>
    <w:basedOn w:val="DefaultParagraphFont"/>
    <w:link w:val="Heading3"/>
    <w:uiPriority w:val="9"/>
    <w:semiHidden/>
    <w:rsid w:val="00007462"/>
    <w:rPr>
      <w:rFonts w:asciiTheme="majorHAnsi" w:eastAsiaTheme="majorEastAsia" w:hAnsiTheme="majorHAnsi" w:cstheme="majorBidi"/>
      <w:color w:val="1F4D78" w:themeColor="accent1" w:themeShade="7F"/>
      <w:sz w:val="24"/>
      <w:szCs w:val="24"/>
    </w:rPr>
  </w:style>
  <w:style w:type="paragraph" w:styleId="ListBullet">
    <w:name w:val="List Bullet"/>
    <w:basedOn w:val="Normal"/>
    <w:uiPriority w:val="99"/>
    <w:unhideWhenUsed/>
    <w:rsid w:val="00007462"/>
    <w:pPr>
      <w:numPr>
        <w:numId w:val="3"/>
      </w:numPr>
      <w:contextualSpacing/>
    </w:pPr>
  </w:style>
  <w:style w:type="table" w:styleId="TableGrid">
    <w:name w:val="Table Grid"/>
    <w:basedOn w:val="TableNormal"/>
    <w:uiPriority w:val="59"/>
    <w:rsid w:val="009665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basedOn w:val="Normal"/>
    <w:link w:val="NoSpacingChar"/>
    <w:uiPriority w:val="1"/>
    <w:qFormat/>
    <w:rsid w:val="00DE4B23"/>
    <w:rPr>
      <w:rFonts w:asciiTheme="minorHAnsi" w:hAnsiTheme="minorHAnsi" w:cstheme="minorHAnsi"/>
    </w:rPr>
  </w:style>
  <w:style w:type="character" w:customStyle="1" w:styleId="NoSpacingChar">
    <w:name w:val="No Spacing Char"/>
    <w:basedOn w:val="DefaultParagraphFont"/>
    <w:link w:val="NoSpacing"/>
    <w:uiPriority w:val="1"/>
    <w:rsid w:val="00DE4B23"/>
    <w:rPr>
      <w:rFonts w:asciiTheme="minorHAnsi" w:hAnsiTheme="minorHAnsi" w:cstheme="minorHAnsi"/>
      <w:sz w:val="24"/>
      <w:szCs w:val="24"/>
    </w:rPr>
  </w:style>
  <w:style w:type="paragraph" w:customStyle="1" w:styleId="1MainTitle">
    <w:name w:val="1. Main Title"/>
    <w:basedOn w:val="Title"/>
    <w:link w:val="1MainTitleChar"/>
    <w:qFormat/>
    <w:rsid w:val="00DE4B23"/>
    <w:pPr>
      <w:spacing w:after="120"/>
      <w:ind w:left="720" w:hanging="720"/>
      <w:jc w:val="left"/>
      <w:outlineLvl w:val="0"/>
    </w:pPr>
    <w:rPr>
      <w:rFonts w:asciiTheme="minorHAnsi" w:hAnsiTheme="minorHAnsi"/>
      <w:b/>
      <w:spacing w:val="5"/>
      <w:sz w:val="36"/>
      <w:szCs w:val="36"/>
    </w:rPr>
  </w:style>
  <w:style w:type="character" w:customStyle="1" w:styleId="1MainTitleChar">
    <w:name w:val="1. Main Title Char"/>
    <w:basedOn w:val="TitleChar"/>
    <w:link w:val="1MainTitle"/>
    <w:rsid w:val="00DE4B23"/>
    <w:rPr>
      <w:rFonts w:asciiTheme="minorHAnsi" w:eastAsiaTheme="majorEastAsia" w:hAnsiTheme="minorHAnsi" w:cstheme="majorBidi"/>
      <w:b/>
      <w:spacing w:val="5"/>
      <w:kern w:val="28"/>
      <w:sz w:val="36"/>
      <w:szCs w:val="36"/>
    </w:rPr>
  </w:style>
  <w:style w:type="paragraph" w:styleId="Title">
    <w:name w:val="Title"/>
    <w:basedOn w:val="Normal"/>
    <w:next w:val="Normal"/>
    <w:link w:val="TitleChar"/>
    <w:uiPriority w:val="10"/>
    <w:rsid w:val="00DE4B23"/>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E4B23"/>
    <w:rPr>
      <w:rFonts w:asciiTheme="majorHAnsi" w:eastAsiaTheme="majorEastAsia" w:hAnsiTheme="majorHAnsi" w:cstheme="majorBidi"/>
      <w:spacing w:val="-10"/>
      <w:kern w:val="28"/>
      <w:sz w:val="56"/>
      <w:szCs w:val="56"/>
    </w:rPr>
  </w:style>
  <w:style w:type="paragraph" w:customStyle="1" w:styleId="4bulletpoint">
    <w:name w:val="4. bullet point"/>
    <w:basedOn w:val="ListParagraph"/>
    <w:link w:val="4bulletpointChar"/>
    <w:qFormat/>
    <w:rsid w:val="00DE4B23"/>
    <w:pPr>
      <w:widowControl w:val="0"/>
      <w:numPr>
        <w:numId w:val="7"/>
      </w:numPr>
      <w:ind w:left="1077" w:hanging="357"/>
      <w:jc w:val="both"/>
    </w:pPr>
  </w:style>
  <w:style w:type="character" w:customStyle="1" w:styleId="4bulletpointChar">
    <w:name w:val="4. bullet point Char"/>
    <w:basedOn w:val="DefaultParagraphFont"/>
    <w:link w:val="4bulletpoint"/>
    <w:rsid w:val="00DE4B23"/>
    <w:rPr>
      <w:rFonts w:asciiTheme="minorHAnsi" w:hAnsiTheme="minorHAnsi" w:cs="Arial"/>
      <w:snapToGrid w:val="0"/>
      <w:sz w:val="24"/>
      <w:szCs w:val="24"/>
    </w:rPr>
  </w:style>
  <w:style w:type="paragraph" w:customStyle="1" w:styleId="4Bodytextnumbered">
    <w:name w:val="4. Body text numbered"/>
    <w:basedOn w:val="ListParagraph"/>
    <w:qFormat/>
    <w:rsid w:val="00DE4B23"/>
    <w:pPr>
      <w:numPr>
        <w:numId w:val="0"/>
      </w:numPr>
      <w:ind w:left="720" w:hanging="720"/>
      <w:jc w:val="both"/>
    </w:pPr>
    <w:rPr>
      <w:rFonts w:eastAsiaTheme="minorHAnsi" w:cstheme="minorBidi"/>
      <w:snapToGrid/>
      <w:szCs w:val="22"/>
    </w:rPr>
  </w:style>
  <w:style w:type="paragraph" w:customStyle="1" w:styleId="PBACheading1">
    <w:name w:val="PBAC heading 1"/>
    <w:qFormat/>
    <w:rsid w:val="00450066"/>
    <w:pPr>
      <w:spacing w:after="120"/>
      <w:ind w:left="720" w:hanging="720"/>
      <w:outlineLvl w:val="0"/>
    </w:pPr>
    <w:rPr>
      <w:rFonts w:asciiTheme="minorHAnsi" w:hAnsiTheme="minorHAnsi" w:cstheme="minorHAnsi"/>
      <w:b/>
      <w:snapToGrid w:val="0"/>
      <w:sz w:val="32"/>
      <w:szCs w:val="32"/>
    </w:rPr>
  </w:style>
  <w:style w:type="numbering" w:customStyle="1" w:styleId="NoList1">
    <w:name w:val="No List1"/>
    <w:next w:val="NoList"/>
    <w:uiPriority w:val="99"/>
    <w:semiHidden/>
    <w:unhideWhenUsed/>
    <w:rsid w:val="00F33674"/>
  </w:style>
  <w:style w:type="paragraph" w:styleId="ListContinue">
    <w:name w:val="List Continue"/>
    <w:basedOn w:val="Normal"/>
    <w:uiPriority w:val="99"/>
    <w:semiHidden/>
    <w:unhideWhenUsed/>
    <w:rsid w:val="00F33674"/>
    <w:pPr>
      <w:spacing w:after="120"/>
      <w:ind w:left="283"/>
      <w:contextualSpacing/>
      <w:jc w:val="left"/>
    </w:pPr>
  </w:style>
  <w:style w:type="paragraph" w:styleId="TOCHeading">
    <w:name w:val="TOC Heading"/>
    <w:basedOn w:val="Heading1"/>
    <w:next w:val="Normal"/>
    <w:uiPriority w:val="39"/>
    <w:unhideWhenUsed/>
    <w:qFormat/>
    <w:rsid w:val="00F33674"/>
    <w:pPr>
      <w:numPr>
        <w:numId w:val="0"/>
      </w:numPr>
      <w:spacing w:before="240" w:line="259" w:lineRule="auto"/>
      <w:jc w:val="left"/>
      <w:outlineLvl w:val="9"/>
    </w:pPr>
    <w:rPr>
      <w:rFonts w:asciiTheme="majorHAnsi" w:hAnsiTheme="majorHAnsi" w:cstheme="majorBidi"/>
      <w:b w:val="0"/>
      <w:color w:val="2E74B5" w:themeColor="accent1" w:themeShade="BF"/>
      <w:sz w:val="32"/>
      <w:szCs w:val="32"/>
      <w:lang w:val="en-US" w:eastAsia="en-US"/>
    </w:rPr>
  </w:style>
  <w:style w:type="paragraph" w:styleId="TOC1">
    <w:name w:val="toc 1"/>
    <w:basedOn w:val="Normal"/>
    <w:next w:val="Normal"/>
    <w:autoRedefine/>
    <w:uiPriority w:val="39"/>
    <w:unhideWhenUsed/>
    <w:rsid w:val="00F33674"/>
    <w:pPr>
      <w:tabs>
        <w:tab w:val="left" w:pos="480"/>
        <w:tab w:val="right" w:leader="dot" w:pos="9016"/>
      </w:tabs>
      <w:spacing w:after="100"/>
      <w:jc w:val="left"/>
    </w:pPr>
  </w:style>
  <w:style w:type="paragraph" w:styleId="TOC2">
    <w:name w:val="toc 2"/>
    <w:basedOn w:val="Normal"/>
    <w:next w:val="Normal"/>
    <w:autoRedefine/>
    <w:uiPriority w:val="39"/>
    <w:unhideWhenUsed/>
    <w:rsid w:val="00F33674"/>
    <w:pPr>
      <w:tabs>
        <w:tab w:val="right" w:leader="dot" w:pos="9016"/>
      </w:tabs>
      <w:spacing w:after="100"/>
      <w:ind w:left="240"/>
      <w:jc w:val="left"/>
    </w:pPr>
  </w:style>
  <w:style w:type="paragraph" w:styleId="TOC3">
    <w:name w:val="toc 3"/>
    <w:basedOn w:val="Normal"/>
    <w:next w:val="Normal"/>
    <w:autoRedefine/>
    <w:uiPriority w:val="39"/>
    <w:unhideWhenUsed/>
    <w:rsid w:val="00F33674"/>
    <w:pPr>
      <w:tabs>
        <w:tab w:val="right" w:leader="dot" w:pos="9016"/>
      </w:tabs>
      <w:spacing w:after="100"/>
      <w:ind w:left="480"/>
      <w:jc w:val="left"/>
    </w:pPr>
  </w:style>
  <w:style w:type="character" w:customStyle="1" w:styleId="normaltextrun">
    <w:name w:val="normaltextrun"/>
    <w:basedOn w:val="DefaultParagraphFont"/>
    <w:rsid w:val="00F33674"/>
  </w:style>
  <w:style w:type="character" w:customStyle="1" w:styleId="spellingerror">
    <w:name w:val="spellingerror"/>
    <w:basedOn w:val="DefaultParagraphFont"/>
    <w:rsid w:val="00F33674"/>
  </w:style>
  <w:style w:type="character" w:customStyle="1" w:styleId="eop">
    <w:name w:val="eop"/>
    <w:basedOn w:val="DefaultParagraphFont"/>
    <w:rsid w:val="00F336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191105">
      <w:bodyDiv w:val="1"/>
      <w:marLeft w:val="0"/>
      <w:marRight w:val="0"/>
      <w:marTop w:val="0"/>
      <w:marBottom w:val="0"/>
      <w:divBdr>
        <w:top w:val="none" w:sz="0" w:space="0" w:color="auto"/>
        <w:left w:val="none" w:sz="0" w:space="0" w:color="auto"/>
        <w:bottom w:val="none" w:sz="0" w:space="0" w:color="auto"/>
        <w:right w:val="none" w:sz="0" w:space="0" w:color="auto"/>
      </w:divBdr>
    </w:div>
    <w:div w:id="321859282">
      <w:bodyDiv w:val="1"/>
      <w:marLeft w:val="0"/>
      <w:marRight w:val="0"/>
      <w:marTop w:val="0"/>
      <w:marBottom w:val="0"/>
      <w:divBdr>
        <w:top w:val="none" w:sz="0" w:space="0" w:color="auto"/>
        <w:left w:val="none" w:sz="0" w:space="0" w:color="auto"/>
        <w:bottom w:val="none" w:sz="0" w:space="0" w:color="auto"/>
        <w:right w:val="none" w:sz="0" w:space="0" w:color="auto"/>
      </w:divBdr>
    </w:div>
    <w:div w:id="337200799">
      <w:bodyDiv w:val="1"/>
      <w:marLeft w:val="0"/>
      <w:marRight w:val="0"/>
      <w:marTop w:val="0"/>
      <w:marBottom w:val="0"/>
      <w:divBdr>
        <w:top w:val="none" w:sz="0" w:space="0" w:color="auto"/>
        <w:left w:val="none" w:sz="0" w:space="0" w:color="auto"/>
        <w:bottom w:val="none" w:sz="0" w:space="0" w:color="auto"/>
        <w:right w:val="none" w:sz="0" w:space="0" w:color="auto"/>
      </w:divBdr>
    </w:div>
    <w:div w:id="556281493">
      <w:bodyDiv w:val="1"/>
      <w:marLeft w:val="0"/>
      <w:marRight w:val="0"/>
      <w:marTop w:val="0"/>
      <w:marBottom w:val="0"/>
      <w:divBdr>
        <w:top w:val="none" w:sz="0" w:space="0" w:color="auto"/>
        <w:left w:val="none" w:sz="0" w:space="0" w:color="auto"/>
        <w:bottom w:val="none" w:sz="0" w:space="0" w:color="auto"/>
        <w:right w:val="none" w:sz="0" w:space="0" w:color="auto"/>
      </w:divBdr>
    </w:div>
    <w:div w:id="733546521">
      <w:bodyDiv w:val="1"/>
      <w:marLeft w:val="0"/>
      <w:marRight w:val="0"/>
      <w:marTop w:val="0"/>
      <w:marBottom w:val="0"/>
      <w:divBdr>
        <w:top w:val="none" w:sz="0" w:space="0" w:color="auto"/>
        <w:left w:val="none" w:sz="0" w:space="0" w:color="auto"/>
        <w:bottom w:val="none" w:sz="0" w:space="0" w:color="auto"/>
        <w:right w:val="none" w:sz="0" w:space="0" w:color="auto"/>
      </w:divBdr>
    </w:div>
    <w:div w:id="870922817">
      <w:bodyDiv w:val="1"/>
      <w:marLeft w:val="0"/>
      <w:marRight w:val="0"/>
      <w:marTop w:val="0"/>
      <w:marBottom w:val="0"/>
      <w:divBdr>
        <w:top w:val="none" w:sz="0" w:space="0" w:color="auto"/>
        <w:left w:val="none" w:sz="0" w:space="0" w:color="auto"/>
        <w:bottom w:val="none" w:sz="0" w:space="0" w:color="auto"/>
        <w:right w:val="none" w:sz="0" w:space="0" w:color="auto"/>
      </w:divBdr>
    </w:div>
    <w:div w:id="893614848">
      <w:bodyDiv w:val="1"/>
      <w:marLeft w:val="0"/>
      <w:marRight w:val="0"/>
      <w:marTop w:val="0"/>
      <w:marBottom w:val="0"/>
      <w:divBdr>
        <w:top w:val="none" w:sz="0" w:space="0" w:color="auto"/>
        <w:left w:val="none" w:sz="0" w:space="0" w:color="auto"/>
        <w:bottom w:val="none" w:sz="0" w:space="0" w:color="auto"/>
        <w:right w:val="none" w:sz="0" w:space="0" w:color="auto"/>
      </w:divBdr>
    </w:div>
    <w:div w:id="1702319547">
      <w:bodyDiv w:val="1"/>
      <w:marLeft w:val="0"/>
      <w:marRight w:val="0"/>
      <w:marTop w:val="0"/>
      <w:marBottom w:val="0"/>
      <w:divBdr>
        <w:top w:val="none" w:sz="0" w:space="0" w:color="auto"/>
        <w:left w:val="none" w:sz="0" w:space="0" w:color="auto"/>
        <w:bottom w:val="none" w:sz="0" w:space="0" w:color="auto"/>
        <w:right w:val="none" w:sz="0" w:space="0" w:color="auto"/>
      </w:divBdr>
    </w:div>
    <w:div w:id="1816408772">
      <w:bodyDiv w:val="1"/>
      <w:marLeft w:val="0"/>
      <w:marRight w:val="0"/>
      <w:marTop w:val="0"/>
      <w:marBottom w:val="0"/>
      <w:divBdr>
        <w:top w:val="none" w:sz="0" w:space="0" w:color="auto"/>
        <w:left w:val="none" w:sz="0" w:space="0" w:color="auto"/>
        <w:bottom w:val="none" w:sz="0" w:space="0" w:color="auto"/>
        <w:right w:val="none" w:sz="0" w:space="0" w:color="auto"/>
      </w:divBdr>
    </w:div>
    <w:div w:id="1948078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tga.gov.au/opioid-reforms-information-sponsor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19" Type="http://schemas.microsoft.com/office/2016/09/relationships/commentsIds" Target="commentsIds.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www.pbs.gov.au/info/industry/listing/elements/pbac-meetings/psd/2019-07/oxycodone-capsule-containing-oxycodone-hydrochloride-5-mg%3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C34E12-CB1C-4CDD-BEFD-58B2AB57AB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112</Pages>
  <Words>37182</Words>
  <Characters>211940</Characters>
  <Application>Microsoft Office Word</Application>
  <DocSecurity>0</DocSecurity>
  <Lines>1766</Lines>
  <Paragraphs>497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2020-02-10T23:09:00Z</dcterms:created>
  <dcterms:modified xsi:type="dcterms:W3CDTF">2020-09-22T07:19:00Z</dcterms:modified>
</cp:coreProperties>
</file>