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41B" w:rsidRPr="001C25C2" w:rsidRDefault="0081741B"/>
    <w:p w:rsidR="00A42B8D" w:rsidRPr="00587BCE" w:rsidRDefault="005846E2" w:rsidP="00587BCE">
      <w:pPr>
        <w:pStyle w:val="Title"/>
        <w:spacing w:before="0" w:after="120"/>
        <w:ind w:left="720" w:hanging="720"/>
        <w:jc w:val="left"/>
        <w:rPr>
          <w:rFonts w:ascii="Calibri" w:hAnsi="Calibri"/>
          <w:bCs w:val="0"/>
          <w:kern w:val="0"/>
          <w:sz w:val="36"/>
          <w:szCs w:val="36"/>
        </w:rPr>
      </w:pPr>
      <w:r w:rsidRPr="001C25C2">
        <w:rPr>
          <w:rFonts w:ascii="Calibri" w:hAnsi="Calibri"/>
          <w:bCs w:val="0"/>
          <w:kern w:val="0"/>
          <w:sz w:val="36"/>
          <w:szCs w:val="36"/>
        </w:rPr>
        <w:t>6.</w:t>
      </w:r>
      <w:r w:rsidR="00D2547E" w:rsidRPr="001C25C2">
        <w:rPr>
          <w:rFonts w:ascii="Calibri" w:hAnsi="Calibri"/>
          <w:bCs w:val="0"/>
          <w:kern w:val="0"/>
          <w:sz w:val="36"/>
          <w:szCs w:val="36"/>
        </w:rPr>
        <w:t>08</w:t>
      </w:r>
      <w:r w:rsidR="00D2547E" w:rsidRPr="001C25C2">
        <w:rPr>
          <w:rFonts w:ascii="Calibri" w:hAnsi="Calibri"/>
          <w:bCs w:val="0"/>
          <w:kern w:val="0"/>
          <w:sz w:val="36"/>
          <w:szCs w:val="36"/>
        </w:rPr>
        <w:tab/>
        <w:t>TRIFLURIDINE with TIPIRACIL,</w:t>
      </w:r>
      <w:r w:rsidR="00D2547E" w:rsidRPr="001C25C2">
        <w:rPr>
          <w:rFonts w:ascii="Calibri" w:hAnsi="Calibri"/>
          <w:bCs w:val="0"/>
          <w:kern w:val="0"/>
          <w:sz w:val="36"/>
          <w:szCs w:val="36"/>
        </w:rPr>
        <w:br/>
      </w:r>
      <w:r w:rsidRPr="001C25C2">
        <w:rPr>
          <w:rFonts w:ascii="Calibri" w:hAnsi="Calibri"/>
          <w:bCs w:val="0"/>
          <w:kern w:val="0"/>
          <w:sz w:val="36"/>
          <w:szCs w:val="36"/>
        </w:rPr>
        <w:t xml:space="preserve">Tablet containing 15 mg </w:t>
      </w:r>
      <w:proofErr w:type="spellStart"/>
      <w:r w:rsidRPr="001C25C2">
        <w:rPr>
          <w:rFonts w:ascii="Calibri" w:hAnsi="Calibri"/>
          <w:bCs w:val="0"/>
          <w:kern w:val="0"/>
          <w:sz w:val="36"/>
          <w:szCs w:val="36"/>
        </w:rPr>
        <w:t>trifluridine</w:t>
      </w:r>
      <w:proofErr w:type="spellEnd"/>
      <w:r w:rsidRPr="001C25C2">
        <w:rPr>
          <w:rFonts w:ascii="Calibri" w:hAnsi="Calibri"/>
          <w:bCs w:val="0"/>
          <w:kern w:val="0"/>
          <w:sz w:val="36"/>
          <w:szCs w:val="36"/>
        </w:rPr>
        <w:t xml:space="preserve"> with 6.14 mg </w:t>
      </w:r>
      <w:proofErr w:type="spellStart"/>
      <w:r w:rsidRPr="001C25C2">
        <w:rPr>
          <w:rFonts w:ascii="Calibri" w:hAnsi="Calibri"/>
          <w:bCs w:val="0"/>
          <w:kern w:val="0"/>
          <w:sz w:val="36"/>
          <w:szCs w:val="36"/>
        </w:rPr>
        <w:t>tipiracil</w:t>
      </w:r>
      <w:proofErr w:type="spellEnd"/>
      <w:r w:rsidRPr="001C25C2">
        <w:rPr>
          <w:rFonts w:ascii="Calibri" w:hAnsi="Calibri"/>
          <w:bCs w:val="0"/>
          <w:kern w:val="0"/>
          <w:sz w:val="36"/>
          <w:szCs w:val="36"/>
        </w:rPr>
        <w:t xml:space="preserve"> (as hydrochloride),</w:t>
      </w:r>
      <w:r w:rsidRPr="001C25C2">
        <w:rPr>
          <w:rFonts w:ascii="Calibri" w:hAnsi="Calibri"/>
          <w:bCs w:val="0"/>
          <w:kern w:val="0"/>
          <w:sz w:val="36"/>
          <w:szCs w:val="36"/>
        </w:rPr>
        <w:br/>
        <w:t xml:space="preserve">Tablet containing 20 mg </w:t>
      </w:r>
      <w:proofErr w:type="spellStart"/>
      <w:r w:rsidRPr="001C25C2">
        <w:rPr>
          <w:rFonts w:ascii="Calibri" w:hAnsi="Calibri"/>
          <w:bCs w:val="0"/>
          <w:kern w:val="0"/>
          <w:sz w:val="36"/>
          <w:szCs w:val="36"/>
        </w:rPr>
        <w:t>trifluridine</w:t>
      </w:r>
      <w:proofErr w:type="spellEnd"/>
      <w:r w:rsidRPr="001C25C2">
        <w:rPr>
          <w:rFonts w:ascii="Calibri" w:hAnsi="Calibri"/>
          <w:bCs w:val="0"/>
          <w:kern w:val="0"/>
          <w:sz w:val="36"/>
          <w:szCs w:val="36"/>
        </w:rPr>
        <w:t xml:space="preserve"> with 8.19 mg </w:t>
      </w:r>
      <w:proofErr w:type="spellStart"/>
      <w:r w:rsidRPr="001C25C2">
        <w:rPr>
          <w:rFonts w:ascii="Calibri" w:hAnsi="Calibri"/>
          <w:bCs w:val="0"/>
          <w:kern w:val="0"/>
          <w:sz w:val="36"/>
          <w:szCs w:val="36"/>
        </w:rPr>
        <w:t>tipiracil</w:t>
      </w:r>
      <w:proofErr w:type="spellEnd"/>
      <w:r w:rsidR="00D2547E" w:rsidRPr="001C25C2">
        <w:rPr>
          <w:rFonts w:ascii="Calibri" w:hAnsi="Calibri"/>
          <w:bCs w:val="0"/>
          <w:kern w:val="0"/>
          <w:sz w:val="36"/>
          <w:szCs w:val="36"/>
        </w:rPr>
        <w:t xml:space="preserve"> (as hydrochloride),</w:t>
      </w:r>
      <w:r w:rsidR="00D2547E" w:rsidRPr="001C25C2">
        <w:rPr>
          <w:rFonts w:ascii="Calibri" w:hAnsi="Calibri"/>
          <w:bCs w:val="0"/>
          <w:kern w:val="0"/>
          <w:sz w:val="36"/>
          <w:szCs w:val="36"/>
        </w:rPr>
        <w:br/>
        <w:t>LONSURF®,</w:t>
      </w:r>
      <w:r w:rsidR="00D2547E" w:rsidRPr="001C25C2">
        <w:rPr>
          <w:rFonts w:ascii="Calibri" w:hAnsi="Calibri"/>
          <w:bCs w:val="0"/>
          <w:kern w:val="0"/>
          <w:sz w:val="36"/>
          <w:szCs w:val="36"/>
        </w:rPr>
        <w:br/>
      </w:r>
      <w:proofErr w:type="spellStart"/>
      <w:r w:rsidRPr="001C25C2">
        <w:rPr>
          <w:rFonts w:ascii="Calibri" w:hAnsi="Calibri"/>
          <w:bCs w:val="0"/>
          <w:kern w:val="0"/>
          <w:sz w:val="36"/>
          <w:szCs w:val="36"/>
        </w:rPr>
        <w:t>Servier</w:t>
      </w:r>
      <w:proofErr w:type="spellEnd"/>
      <w:r w:rsidRPr="001C25C2">
        <w:rPr>
          <w:rFonts w:ascii="Calibri" w:hAnsi="Calibri"/>
          <w:bCs w:val="0"/>
          <w:kern w:val="0"/>
          <w:sz w:val="36"/>
          <w:szCs w:val="36"/>
        </w:rPr>
        <w:t xml:space="preserve"> Laboratories (Australia) Pty Ltd.</w:t>
      </w:r>
    </w:p>
    <w:p w:rsidR="00A42B8D" w:rsidRPr="001C25C2" w:rsidRDefault="005846E2" w:rsidP="00587BCE">
      <w:pPr>
        <w:pStyle w:val="PBACHeading1"/>
        <w:numPr>
          <w:ilvl w:val="0"/>
          <w:numId w:val="2"/>
        </w:numPr>
        <w:spacing w:before="240" w:after="120"/>
        <w:outlineLvl w:val="0"/>
      </w:pPr>
      <w:bookmarkStart w:id="0" w:name="_Toc17194759"/>
      <w:bookmarkStart w:id="1" w:name="_Toc18935140"/>
      <w:r w:rsidRPr="001C25C2">
        <w:t>Purpose of Application</w:t>
      </w:r>
      <w:bookmarkEnd w:id="0"/>
      <w:bookmarkEnd w:id="1"/>
    </w:p>
    <w:p w:rsidR="00A42B8D" w:rsidRPr="001C25C2" w:rsidRDefault="005846E2" w:rsidP="003E4EF2">
      <w:pPr>
        <w:pStyle w:val="ListParagraph"/>
        <w:widowControl/>
        <w:numPr>
          <w:ilvl w:val="1"/>
          <w:numId w:val="2"/>
        </w:numPr>
      </w:pPr>
      <w:r w:rsidRPr="001C25C2">
        <w:t>The submission requested an extension to the current Authority Required (</w:t>
      </w:r>
      <w:r w:rsidR="007E0DF6" w:rsidRPr="001C25C2">
        <w:t>STREAMLINED</w:t>
      </w:r>
      <w:r w:rsidRPr="001C25C2">
        <w:t xml:space="preserve">) listing of </w:t>
      </w:r>
      <w:proofErr w:type="spellStart"/>
      <w:r w:rsidRPr="001C25C2">
        <w:t>trifluridine</w:t>
      </w:r>
      <w:proofErr w:type="spellEnd"/>
      <w:r w:rsidRPr="001C25C2">
        <w:t xml:space="preserve"> with </w:t>
      </w:r>
      <w:proofErr w:type="spellStart"/>
      <w:r w:rsidRPr="001C25C2">
        <w:t>tipiracil</w:t>
      </w:r>
      <w:proofErr w:type="spellEnd"/>
      <w:r w:rsidRPr="001C25C2">
        <w:t xml:space="preserve"> (hereafter referred to as </w:t>
      </w:r>
      <w:proofErr w:type="spellStart"/>
      <w:r w:rsidRPr="001C25C2">
        <w:t>trifluridine</w:t>
      </w:r>
      <w:proofErr w:type="spellEnd"/>
      <w:r w:rsidRPr="001C25C2">
        <w:t>/</w:t>
      </w:r>
      <w:proofErr w:type="spellStart"/>
      <w:r w:rsidRPr="001C25C2">
        <w:t>tipiracil</w:t>
      </w:r>
      <w:proofErr w:type="spellEnd"/>
      <w:r w:rsidRPr="001C25C2">
        <w:t xml:space="preserve">), in fixed dose combinations, for the treatment of patients with metastatic gastric adenocarcinoma, including adenocarcinoma of the gastroesophageal junction, who have been previously treated with, or are not candidates for treatment with, </w:t>
      </w:r>
      <w:proofErr w:type="spellStart"/>
      <w:r w:rsidRPr="001C25C2">
        <w:t>fluoropyrimidine</w:t>
      </w:r>
      <w:proofErr w:type="spellEnd"/>
      <w:r w:rsidRPr="001C25C2">
        <w:t xml:space="preserve">, platinum and either a </w:t>
      </w:r>
      <w:proofErr w:type="spellStart"/>
      <w:r w:rsidRPr="001C25C2">
        <w:t>taxane</w:t>
      </w:r>
      <w:proofErr w:type="spellEnd"/>
      <w:r w:rsidRPr="001C25C2">
        <w:t xml:space="preserve">- or </w:t>
      </w:r>
      <w:proofErr w:type="spellStart"/>
      <w:r w:rsidRPr="001C25C2">
        <w:t>irinotecan</w:t>
      </w:r>
      <w:proofErr w:type="spellEnd"/>
      <w:r w:rsidRPr="001C25C2">
        <w:t>-based chemotherapy and, if appropriate, HER2/</w:t>
      </w:r>
      <w:proofErr w:type="spellStart"/>
      <w:r w:rsidRPr="001C25C2">
        <w:t>neu</w:t>
      </w:r>
      <w:proofErr w:type="spellEnd"/>
      <w:r w:rsidRPr="001C25C2">
        <w:t xml:space="preserve">-targeted therapy (i.e., </w:t>
      </w:r>
      <w:proofErr w:type="spellStart"/>
      <w:r w:rsidRPr="001C25C2">
        <w:t>trastuzumab</w:t>
      </w:r>
      <w:proofErr w:type="spellEnd"/>
      <w:r w:rsidRPr="001C25C2">
        <w:t xml:space="preserve">). </w:t>
      </w:r>
      <w:r w:rsidRPr="001C25C2">
        <w:rPr>
          <w:rFonts w:cs="Calibri"/>
        </w:rPr>
        <w:t xml:space="preserve">This was the first application to the PBAC for </w:t>
      </w:r>
      <w:proofErr w:type="spellStart"/>
      <w:r w:rsidRPr="001C25C2">
        <w:rPr>
          <w:rFonts w:cs="Calibri"/>
        </w:rPr>
        <w:t>trifluridine</w:t>
      </w:r>
      <w:proofErr w:type="spellEnd"/>
      <w:r w:rsidRPr="001C25C2">
        <w:rPr>
          <w:rFonts w:cs="Calibri"/>
        </w:rPr>
        <w:t>/</w:t>
      </w:r>
      <w:proofErr w:type="spellStart"/>
      <w:r w:rsidRPr="001C25C2">
        <w:rPr>
          <w:rFonts w:cs="Calibri"/>
        </w:rPr>
        <w:t>tipiracil</w:t>
      </w:r>
      <w:proofErr w:type="spellEnd"/>
      <w:r w:rsidRPr="001C25C2">
        <w:rPr>
          <w:rFonts w:cs="Calibri"/>
        </w:rPr>
        <w:t xml:space="preserve"> for this indication.</w:t>
      </w:r>
      <w:r w:rsidRPr="001C25C2">
        <w:rPr>
          <w:rFonts w:cs="Calibri"/>
          <w:i/>
        </w:rPr>
        <w:t xml:space="preserve"> </w:t>
      </w:r>
    </w:p>
    <w:p w:rsidR="00A42B8D" w:rsidRPr="001C25C2" w:rsidRDefault="005846E2" w:rsidP="003E4EF2">
      <w:pPr>
        <w:pStyle w:val="ListParagraph"/>
        <w:widowControl/>
        <w:numPr>
          <w:ilvl w:val="1"/>
          <w:numId w:val="2"/>
        </w:numPr>
      </w:pPr>
      <w:r w:rsidRPr="001C25C2">
        <w:rPr>
          <w:rFonts w:cs="Calibri"/>
        </w:rPr>
        <w:t>The listing was requested on the basis of a cost-utility analysis compared with placebo plus best supportive care (BSC) alone.</w:t>
      </w:r>
    </w:p>
    <w:p w:rsidR="00A42B8D" w:rsidRPr="001C25C2" w:rsidRDefault="005846E2">
      <w:pPr>
        <w:keepNext/>
        <w:rPr>
          <w:rStyle w:val="CommentReference"/>
        </w:rPr>
      </w:pPr>
      <w:r w:rsidRPr="001C25C2">
        <w:rPr>
          <w:rStyle w:val="CommentReference"/>
        </w:rPr>
        <w:t>Table 1: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7361"/>
      </w:tblGrid>
      <w:tr w:rsidR="00A42B8D" w:rsidRPr="001C25C2" w:rsidTr="002E4146">
        <w:trPr>
          <w:tblHeader/>
        </w:trPr>
        <w:tc>
          <w:tcPr>
            <w:tcW w:w="1668" w:type="dxa"/>
            <w:tcBorders>
              <w:bottom w:val="single" w:sz="4" w:space="0" w:color="auto"/>
            </w:tcBorders>
            <w:vAlign w:val="center"/>
          </w:tcPr>
          <w:p w:rsidR="00A42B8D" w:rsidRPr="001C25C2" w:rsidRDefault="005846E2">
            <w:pPr>
              <w:pStyle w:val="Tabletext"/>
              <w:keepNext/>
              <w:keepLines/>
              <w:rPr>
                <w:b/>
              </w:rPr>
            </w:pPr>
            <w:r w:rsidRPr="001C25C2">
              <w:rPr>
                <w:b/>
              </w:rPr>
              <w:t>Component</w:t>
            </w:r>
          </w:p>
        </w:tc>
        <w:tc>
          <w:tcPr>
            <w:tcW w:w="7488" w:type="dxa"/>
            <w:tcBorders>
              <w:bottom w:val="single" w:sz="4" w:space="0" w:color="auto"/>
            </w:tcBorders>
            <w:vAlign w:val="center"/>
          </w:tcPr>
          <w:p w:rsidR="00A42B8D" w:rsidRPr="001C25C2" w:rsidRDefault="005846E2">
            <w:pPr>
              <w:pStyle w:val="Tabletext"/>
              <w:keepNext/>
              <w:keepLines/>
              <w:jc w:val="center"/>
              <w:rPr>
                <w:b/>
              </w:rPr>
            </w:pPr>
            <w:r w:rsidRPr="001C25C2">
              <w:rPr>
                <w:b/>
              </w:rPr>
              <w:t>Description</w:t>
            </w:r>
          </w:p>
        </w:tc>
      </w:tr>
      <w:tr w:rsidR="00A42B8D" w:rsidRPr="001C25C2" w:rsidTr="002E4146">
        <w:tc>
          <w:tcPr>
            <w:tcW w:w="1668" w:type="dxa"/>
            <w:vAlign w:val="center"/>
          </w:tcPr>
          <w:p w:rsidR="00A42B8D" w:rsidRPr="001C25C2" w:rsidRDefault="005846E2">
            <w:pPr>
              <w:pStyle w:val="Tabletext"/>
              <w:keepNext/>
              <w:keepLines/>
            </w:pPr>
            <w:r w:rsidRPr="001C25C2">
              <w:t>Population</w:t>
            </w:r>
          </w:p>
        </w:tc>
        <w:tc>
          <w:tcPr>
            <w:tcW w:w="7488" w:type="dxa"/>
            <w:vAlign w:val="center"/>
          </w:tcPr>
          <w:p w:rsidR="00A42B8D" w:rsidRPr="001C25C2" w:rsidRDefault="005846E2">
            <w:pPr>
              <w:pStyle w:val="Tabletext"/>
              <w:keepNext/>
              <w:keepLines/>
            </w:pPr>
            <w:r w:rsidRPr="001C25C2">
              <w:t xml:space="preserve">Patients with metastatic gastric adenocarcinoma, including adenocarcinoma of the gastroesophageal junction, who have been previously treated with, or are not considered candidates for, available therapies including </w:t>
            </w:r>
            <w:proofErr w:type="spellStart"/>
            <w:r w:rsidRPr="001C25C2">
              <w:t>fluoropyrimidine</w:t>
            </w:r>
            <w:proofErr w:type="spellEnd"/>
            <w:r w:rsidRPr="001C25C2">
              <w:t xml:space="preserve">, platinum and either a </w:t>
            </w:r>
            <w:proofErr w:type="spellStart"/>
            <w:r w:rsidRPr="001C25C2">
              <w:t>taxane</w:t>
            </w:r>
            <w:proofErr w:type="spellEnd"/>
            <w:r w:rsidRPr="001C25C2">
              <w:t xml:space="preserve">- or </w:t>
            </w:r>
            <w:proofErr w:type="spellStart"/>
            <w:r w:rsidRPr="001C25C2">
              <w:t>irinotecan</w:t>
            </w:r>
            <w:proofErr w:type="spellEnd"/>
            <w:r w:rsidRPr="001C25C2">
              <w:t>-based chemotherapy and, if appropriate, HER2/</w:t>
            </w:r>
            <w:proofErr w:type="spellStart"/>
            <w:r w:rsidRPr="001C25C2">
              <w:t>neu</w:t>
            </w:r>
            <w:proofErr w:type="spellEnd"/>
            <w:r w:rsidRPr="001C25C2">
              <w:t>-targeted therapy (</w:t>
            </w:r>
            <w:r w:rsidRPr="001C25C2">
              <w:rPr>
                <w:i/>
              </w:rPr>
              <w:t>i.e.</w:t>
            </w:r>
            <w:r w:rsidRPr="001C25C2">
              <w:t xml:space="preserve">, </w:t>
            </w:r>
            <w:proofErr w:type="spellStart"/>
            <w:r w:rsidRPr="001C25C2">
              <w:t>trastuzumab</w:t>
            </w:r>
            <w:proofErr w:type="spellEnd"/>
            <w:r w:rsidRPr="001C25C2">
              <w:t>)</w:t>
            </w:r>
          </w:p>
        </w:tc>
      </w:tr>
      <w:tr w:rsidR="00A42B8D" w:rsidRPr="001C25C2" w:rsidTr="002E4146">
        <w:tc>
          <w:tcPr>
            <w:tcW w:w="1668" w:type="dxa"/>
            <w:vAlign w:val="center"/>
          </w:tcPr>
          <w:p w:rsidR="00A42B8D" w:rsidRPr="001C25C2" w:rsidRDefault="005846E2">
            <w:pPr>
              <w:pStyle w:val="Tabletext"/>
              <w:keepNext/>
              <w:keepLines/>
            </w:pPr>
            <w:r w:rsidRPr="001C25C2">
              <w:t>Intervention</w:t>
            </w:r>
          </w:p>
        </w:tc>
        <w:tc>
          <w:tcPr>
            <w:tcW w:w="7488" w:type="dxa"/>
            <w:vAlign w:val="center"/>
          </w:tcPr>
          <w:p w:rsidR="00A42B8D" w:rsidRPr="001C25C2" w:rsidRDefault="005846E2">
            <w:pPr>
              <w:pStyle w:val="Tabletext"/>
              <w:keepNext/>
              <w:keepLines/>
            </w:pPr>
            <w:proofErr w:type="spellStart"/>
            <w:r w:rsidRPr="001C25C2">
              <w:rPr>
                <w:lang w:eastAsia="en-AU"/>
              </w:rPr>
              <w:t>Trifluridine</w:t>
            </w:r>
            <w:proofErr w:type="spellEnd"/>
            <w:r w:rsidRPr="001C25C2">
              <w:rPr>
                <w:lang w:eastAsia="en-AU"/>
              </w:rPr>
              <w:t xml:space="preserve"> 15 mg + </w:t>
            </w:r>
            <w:proofErr w:type="spellStart"/>
            <w:r w:rsidRPr="001C25C2">
              <w:rPr>
                <w:lang w:eastAsia="en-AU"/>
              </w:rPr>
              <w:t>tipiracil</w:t>
            </w:r>
            <w:proofErr w:type="spellEnd"/>
            <w:r w:rsidRPr="001C25C2">
              <w:rPr>
                <w:lang w:eastAsia="en-AU"/>
              </w:rPr>
              <w:t xml:space="preserve"> 6.14 mg &amp; </w:t>
            </w:r>
            <w:proofErr w:type="spellStart"/>
            <w:r w:rsidRPr="001C25C2">
              <w:rPr>
                <w:lang w:eastAsia="en-AU"/>
              </w:rPr>
              <w:t>trifluridine</w:t>
            </w:r>
            <w:proofErr w:type="spellEnd"/>
            <w:r w:rsidRPr="001C25C2">
              <w:rPr>
                <w:lang w:eastAsia="en-AU"/>
              </w:rPr>
              <w:t xml:space="preserve"> 20 mg + </w:t>
            </w:r>
            <w:proofErr w:type="spellStart"/>
            <w:r w:rsidRPr="001C25C2">
              <w:rPr>
                <w:lang w:eastAsia="en-AU"/>
              </w:rPr>
              <w:t>tipiracil</w:t>
            </w:r>
            <w:proofErr w:type="spellEnd"/>
            <w:r w:rsidRPr="001C25C2">
              <w:rPr>
                <w:lang w:eastAsia="en-AU"/>
              </w:rPr>
              <w:t xml:space="preserve"> 8.19 mg + BSC</w:t>
            </w:r>
          </w:p>
        </w:tc>
      </w:tr>
      <w:tr w:rsidR="00A42B8D" w:rsidRPr="001C25C2" w:rsidTr="002E4146">
        <w:tc>
          <w:tcPr>
            <w:tcW w:w="1668" w:type="dxa"/>
            <w:vAlign w:val="center"/>
          </w:tcPr>
          <w:p w:rsidR="00A42B8D" w:rsidRPr="001C25C2" w:rsidRDefault="005846E2">
            <w:pPr>
              <w:pStyle w:val="Tabletext"/>
              <w:keepNext/>
              <w:keepLines/>
            </w:pPr>
            <w:r w:rsidRPr="001C25C2">
              <w:t>Comparator</w:t>
            </w:r>
          </w:p>
        </w:tc>
        <w:tc>
          <w:tcPr>
            <w:tcW w:w="7488" w:type="dxa"/>
            <w:vAlign w:val="center"/>
          </w:tcPr>
          <w:p w:rsidR="00A42B8D" w:rsidRPr="001C25C2" w:rsidRDefault="005846E2">
            <w:pPr>
              <w:pStyle w:val="Tabletext"/>
              <w:keepNext/>
              <w:keepLines/>
            </w:pPr>
            <w:r w:rsidRPr="001C25C2">
              <w:t>Placebo (no anticancer therapy) + BSC</w:t>
            </w:r>
          </w:p>
        </w:tc>
      </w:tr>
      <w:tr w:rsidR="00A42B8D" w:rsidRPr="001C25C2" w:rsidTr="002E4146">
        <w:tc>
          <w:tcPr>
            <w:tcW w:w="1668" w:type="dxa"/>
            <w:tcBorders>
              <w:bottom w:val="single" w:sz="4" w:space="0" w:color="auto"/>
            </w:tcBorders>
            <w:vAlign w:val="center"/>
          </w:tcPr>
          <w:p w:rsidR="00A42B8D" w:rsidRPr="001C25C2" w:rsidRDefault="005846E2">
            <w:pPr>
              <w:pStyle w:val="Tabletext"/>
              <w:keepNext/>
              <w:keepLines/>
            </w:pPr>
            <w:r w:rsidRPr="001C25C2">
              <w:t>Outcomes</w:t>
            </w:r>
          </w:p>
        </w:tc>
        <w:tc>
          <w:tcPr>
            <w:tcW w:w="7488" w:type="dxa"/>
            <w:vAlign w:val="center"/>
          </w:tcPr>
          <w:p w:rsidR="00A42B8D" w:rsidRPr="001C25C2" w:rsidRDefault="005846E2">
            <w:pPr>
              <w:pStyle w:val="Tabletext"/>
              <w:keepNext/>
              <w:keepLines/>
            </w:pPr>
            <w:r w:rsidRPr="001C25C2">
              <w:t>Overall survival (OS), progression-free survival (PFS), time to deterioration of performance status, response rate, safety</w:t>
            </w:r>
          </w:p>
        </w:tc>
      </w:tr>
      <w:tr w:rsidR="00A42B8D" w:rsidRPr="001C25C2" w:rsidTr="002E4146">
        <w:tc>
          <w:tcPr>
            <w:tcW w:w="1668" w:type="dxa"/>
            <w:tcBorders>
              <w:bottom w:val="single" w:sz="4" w:space="0" w:color="auto"/>
            </w:tcBorders>
            <w:vAlign w:val="center"/>
          </w:tcPr>
          <w:p w:rsidR="00A42B8D" w:rsidRPr="001C25C2" w:rsidRDefault="005846E2">
            <w:pPr>
              <w:pStyle w:val="Tabletext"/>
              <w:keepNext/>
              <w:keepLines/>
            </w:pPr>
            <w:r w:rsidRPr="001C25C2">
              <w:t>Clinical claim</w:t>
            </w:r>
          </w:p>
        </w:tc>
        <w:tc>
          <w:tcPr>
            <w:tcW w:w="7488" w:type="dxa"/>
            <w:tcBorders>
              <w:bottom w:val="single" w:sz="4" w:space="0" w:color="auto"/>
            </w:tcBorders>
            <w:vAlign w:val="center"/>
          </w:tcPr>
          <w:p w:rsidR="00A42B8D" w:rsidRPr="001C25C2" w:rsidRDefault="005846E2">
            <w:pPr>
              <w:pStyle w:val="Tabletext"/>
              <w:keepNext/>
              <w:keepLines/>
            </w:pPr>
            <w:r w:rsidRPr="001C25C2">
              <w:t xml:space="preserve">In patients with metastatic gastric adenocarcinoma, including adenocarcinoma of the gastroesophageal junction who have been previously treated with, are intolerant of, or not candidates for standard available anticancer therapies, </w:t>
            </w:r>
            <w:proofErr w:type="spellStart"/>
            <w:r w:rsidRPr="001C25C2">
              <w:t>trifluridine</w:t>
            </w:r>
            <w:proofErr w:type="spellEnd"/>
            <w:r w:rsidRPr="001C25C2">
              <w:t>/</w:t>
            </w:r>
            <w:proofErr w:type="spellStart"/>
            <w:r w:rsidRPr="001C25C2">
              <w:t>tipiracil</w:t>
            </w:r>
            <w:proofErr w:type="spellEnd"/>
            <w:r w:rsidRPr="001C25C2">
              <w:t xml:space="preserve">, added to BSC, is associated with improvements in overall survival, progression-free survival, time to deterioration of ECOG-PS, and response rates compared to placebo added to BSC. More adverse events were reported in </w:t>
            </w:r>
            <w:proofErr w:type="spellStart"/>
            <w:r w:rsidRPr="001C25C2">
              <w:t>trifluridine</w:t>
            </w:r>
            <w:proofErr w:type="spellEnd"/>
            <w:r w:rsidRPr="001C25C2">
              <w:t>/</w:t>
            </w:r>
            <w:proofErr w:type="spellStart"/>
            <w:r w:rsidRPr="001C25C2">
              <w:t>tipiracil</w:t>
            </w:r>
            <w:proofErr w:type="spellEnd"/>
            <w:r w:rsidRPr="001C25C2">
              <w:t xml:space="preserve">-treated patients than in placebo-treated patients but the majority of reported adverse events were laboratory-based indicators of </w:t>
            </w:r>
            <w:proofErr w:type="spellStart"/>
            <w:r w:rsidRPr="001C25C2">
              <w:t>myelosuppression</w:t>
            </w:r>
            <w:proofErr w:type="spellEnd"/>
            <w:r w:rsidRPr="001C25C2">
              <w:t xml:space="preserve"> (</w:t>
            </w:r>
            <w:r w:rsidRPr="001C25C2">
              <w:rPr>
                <w:i/>
              </w:rPr>
              <w:t>i.e.</w:t>
            </w:r>
            <w:r w:rsidRPr="001C25C2">
              <w:t>, neutropenia and anaemia), which are generally able to be managed by reduction in dosage or by delaying the next dose.</w:t>
            </w:r>
          </w:p>
        </w:tc>
      </w:tr>
    </w:tbl>
    <w:p w:rsidR="00A42B8D" w:rsidRPr="001C25C2" w:rsidRDefault="005846E2">
      <w:pPr>
        <w:pStyle w:val="TableFooter"/>
        <w:keepLines/>
      </w:pPr>
      <w:r w:rsidRPr="001C25C2">
        <w:t>Source: Table 1.1.1, p1 of the submission</w:t>
      </w:r>
    </w:p>
    <w:p w:rsidR="00A42B8D" w:rsidRPr="00587BCE" w:rsidRDefault="005846E2" w:rsidP="00587BCE">
      <w:pPr>
        <w:pStyle w:val="TableFooter"/>
        <w:keepLines/>
        <w:rPr>
          <w:rStyle w:val="CommentReference"/>
          <w:b w:val="0"/>
          <w:sz w:val="18"/>
          <w:szCs w:val="22"/>
        </w:rPr>
      </w:pPr>
      <w:r w:rsidRPr="001C25C2">
        <w:lastRenderedPageBreak/>
        <w:t>BSC = best supportive care; ECOG-PS = European Cooperative Oncology Group Performance Status</w:t>
      </w:r>
    </w:p>
    <w:p w:rsidR="00A42B8D" w:rsidRPr="001C25C2" w:rsidRDefault="005846E2" w:rsidP="00587BCE">
      <w:pPr>
        <w:pStyle w:val="PBACHeading1"/>
        <w:numPr>
          <w:ilvl w:val="0"/>
          <w:numId w:val="2"/>
        </w:numPr>
        <w:spacing w:before="240" w:after="120"/>
        <w:outlineLvl w:val="0"/>
      </w:pPr>
      <w:bookmarkStart w:id="2" w:name="_Toc17194760"/>
      <w:bookmarkStart w:id="3" w:name="_Toc18935141"/>
      <w:r w:rsidRPr="001C25C2">
        <w:t>Requested listing</w:t>
      </w:r>
      <w:bookmarkEnd w:id="2"/>
      <w:bookmarkEnd w:id="3"/>
    </w:p>
    <w:p w:rsidR="00CC7B04" w:rsidRPr="001C25C2" w:rsidRDefault="00B45AB3" w:rsidP="00C73063">
      <w:pPr>
        <w:pStyle w:val="ListParagraph"/>
        <w:widowControl/>
        <w:numPr>
          <w:ilvl w:val="1"/>
          <w:numId w:val="2"/>
        </w:numPr>
        <w:rPr>
          <w:rFonts w:cs="Calibri"/>
        </w:rPr>
      </w:pPr>
      <w:r w:rsidRPr="001C25C2">
        <w:rPr>
          <w:rFonts w:cs="Calibri"/>
        </w:rPr>
        <w:t>Suggestions and additions proposed by the Secretariat are added in italics and suggested deletions are crossed out with strikethrough</w:t>
      </w:r>
      <w:r w:rsidR="00315233">
        <w:rPr>
          <w:rFonts w:cs="Calibri"/>
        </w:rPr>
        <w:t xml:space="preserve">. </w:t>
      </w:r>
    </w:p>
    <w:tbl>
      <w:tblPr>
        <w:tblW w:w="5000" w:type="pct"/>
        <w:tblLook w:val="0000" w:firstRow="0" w:lastRow="0" w:firstColumn="0" w:lastColumn="0" w:noHBand="0" w:noVBand="0"/>
      </w:tblPr>
      <w:tblGrid>
        <w:gridCol w:w="1874"/>
        <w:gridCol w:w="1545"/>
        <w:gridCol w:w="588"/>
        <w:gridCol w:w="816"/>
        <w:gridCol w:w="1386"/>
        <w:gridCol w:w="1680"/>
        <w:gridCol w:w="1128"/>
      </w:tblGrid>
      <w:tr w:rsidR="00B45AB3" w:rsidRPr="001C25C2" w:rsidTr="001B5746">
        <w:trPr>
          <w:cantSplit/>
          <w:trHeight w:val="465"/>
        </w:trPr>
        <w:tc>
          <w:tcPr>
            <w:tcW w:w="1908" w:type="pct"/>
            <w:gridSpan w:val="2"/>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t>Name, Restriction,</w:t>
            </w:r>
          </w:p>
          <w:p w:rsidR="00B45AB3" w:rsidRPr="001C25C2" w:rsidRDefault="00B45AB3" w:rsidP="001B5746">
            <w:pPr>
              <w:keepNext/>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t>Manner of administration and form</w:t>
            </w:r>
          </w:p>
        </w:tc>
        <w:tc>
          <w:tcPr>
            <w:tcW w:w="332"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before="40" w:after="40" w:line="264" w:lineRule="auto"/>
              <w:jc w:val="center"/>
              <w:rPr>
                <w:rFonts w:ascii="Arial Narrow" w:hAnsi="Arial Narrow"/>
                <w:b/>
                <w:snapToGrid/>
                <w:sz w:val="20"/>
                <w:szCs w:val="20"/>
                <w:lang w:bidi="en-US"/>
              </w:rPr>
            </w:pPr>
            <w:r w:rsidRPr="001C25C2">
              <w:rPr>
                <w:rFonts w:ascii="Arial Narrow" w:hAnsi="Arial Narrow"/>
                <w:b/>
                <w:snapToGrid/>
                <w:sz w:val="20"/>
                <w:szCs w:val="20"/>
                <w:lang w:bidi="en-US"/>
              </w:rPr>
              <w:t>Max.</w:t>
            </w:r>
          </w:p>
          <w:p w:rsidR="00B45AB3" w:rsidRPr="001C25C2" w:rsidRDefault="00B45AB3" w:rsidP="001B5746">
            <w:pPr>
              <w:keepNext/>
              <w:widowControl/>
              <w:spacing w:before="40" w:after="40" w:line="264" w:lineRule="auto"/>
              <w:jc w:val="center"/>
              <w:rPr>
                <w:rFonts w:ascii="Arial Narrow" w:hAnsi="Arial Narrow"/>
                <w:b/>
                <w:snapToGrid/>
                <w:sz w:val="20"/>
                <w:szCs w:val="20"/>
                <w:lang w:bidi="en-US"/>
              </w:rPr>
            </w:pPr>
            <w:proofErr w:type="spellStart"/>
            <w:r w:rsidRPr="001C25C2">
              <w:rPr>
                <w:rFonts w:ascii="Arial Narrow" w:hAnsi="Arial Narrow"/>
                <w:b/>
                <w:snapToGrid/>
                <w:sz w:val="20"/>
                <w:szCs w:val="20"/>
                <w:lang w:bidi="en-US"/>
              </w:rPr>
              <w:t>Qty</w:t>
            </w:r>
            <w:proofErr w:type="spellEnd"/>
          </w:p>
        </w:tc>
        <w:tc>
          <w:tcPr>
            <w:tcW w:w="458"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before="40" w:after="40" w:line="264" w:lineRule="auto"/>
              <w:jc w:val="center"/>
              <w:rPr>
                <w:rFonts w:ascii="Arial Narrow" w:hAnsi="Arial Narrow"/>
                <w:b/>
                <w:snapToGrid/>
                <w:sz w:val="20"/>
                <w:szCs w:val="20"/>
                <w:lang w:bidi="en-US"/>
              </w:rPr>
            </w:pPr>
            <w:r w:rsidRPr="001C25C2">
              <w:rPr>
                <w:rFonts w:ascii="Arial Narrow" w:hAnsi="Arial Narrow"/>
                <w:b/>
                <w:snapToGrid/>
                <w:sz w:val="20"/>
                <w:szCs w:val="20"/>
                <w:lang w:bidi="en-US"/>
              </w:rPr>
              <w:t>№.of</w:t>
            </w:r>
          </w:p>
          <w:p w:rsidR="00B45AB3" w:rsidRPr="001C25C2" w:rsidRDefault="00B45AB3" w:rsidP="001B5746">
            <w:pPr>
              <w:keepNext/>
              <w:widowControl/>
              <w:spacing w:before="40" w:after="40" w:line="264" w:lineRule="auto"/>
              <w:jc w:val="center"/>
              <w:rPr>
                <w:rFonts w:ascii="Arial Narrow" w:hAnsi="Arial Narrow"/>
                <w:b/>
                <w:snapToGrid/>
                <w:sz w:val="20"/>
                <w:szCs w:val="20"/>
                <w:lang w:bidi="en-US"/>
              </w:rPr>
            </w:pPr>
            <w:proofErr w:type="spellStart"/>
            <w:r w:rsidRPr="001C25C2">
              <w:rPr>
                <w:rFonts w:ascii="Arial Narrow" w:hAnsi="Arial Narrow"/>
                <w:b/>
                <w:snapToGrid/>
                <w:sz w:val="20"/>
                <w:szCs w:val="20"/>
                <w:lang w:bidi="en-US"/>
              </w:rPr>
              <w:t>Rpts</w:t>
            </w:r>
            <w:proofErr w:type="spellEnd"/>
          </w:p>
        </w:tc>
        <w:tc>
          <w:tcPr>
            <w:tcW w:w="774"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before="40" w:after="40" w:line="264" w:lineRule="auto"/>
              <w:jc w:val="center"/>
              <w:rPr>
                <w:rFonts w:ascii="Arial Narrow" w:hAnsi="Arial Narrow"/>
                <w:b/>
                <w:snapToGrid/>
                <w:sz w:val="20"/>
                <w:szCs w:val="20"/>
                <w:lang w:bidi="en-US"/>
              </w:rPr>
            </w:pPr>
            <w:r w:rsidRPr="001C25C2">
              <w:rPr>
                <w:rFonts w:ascii="Arial Narrow" w:hAnsi="Arial Narrow"/>
                <w:b/>
                <w:snapToGrid/>
                <w:sz w:val="20"/>
                <w:szCs w:val="20"/>
                <w:lang w:bidi="en-US"/>
              </w:rPr>
              <w:t xml:space="preserve">Dispensed Price for Max. </w:t>
            </w:r>
            <w:proofErr w:type="spellStart"/>
            <w:r w:rsidRPr="001C25C2">
              <w:rPr>
                <w:rFonts w:ascii="Arial Narrow" w:hAnsi="Arial Narrow"/>
                <w:b/>
                <w:snapToGrid/>
                <w:sz w:val="20"/>
                <w:szCs w:val="20"/>
                <w:lang w:bidi="en-US"/>
              </w:rPr>
              <w:t>Qty</w:t>
            </w:r>
            <w:proofErr w:type="spellEnd"/>
          </w:p>
        </w:tc>
        <w:tc>
          <w:tcPr>
            <w:tcW w:w="1529" w:type="pct"/>
            <w:gridSpan w:val="2"/>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before="40" w:after="40" w:line="264" w:lineRule="auto"/>
              <w:jc w:val="center"/>
              <w:rPr>
                <w:rFonts w:ascii="Arial Narrow" w:hAnsi="Arial Narrow"/>
                <w:b/>
                <w:snapToGrid/>
                <w:sz w:val="20"/>
                <w:szCs w:val="20"/>
                <w:lang w:bidi="en-US"/>
              </w:rPr>
            </w:pPr>
            <w:r w:rsidRPr="001C25C2">
              <w:rPr>
                <w:rFonts w:ascii="Arial Narrow" w:hAnsi="Arial Narrow"/>
                <w:b/>
                <w:snapToGrid/>
                <w:sz w:val="20"/>
                <w:szCs w:val="20"/>
                <w:lang w:bidi="en-US"/>
              </w:rPr>
              <w:t>Proprietary Name and Manufacturer</w:t>
            </w:r>
          </w:p>
        </w:tc>
      </w:tr>
      <w:tr w:rsidR="00B45AB3" w:rsidRPr="001C25C2" w:rsidTr="001B5746">
        <w:trPr>
          <w:cantSplit/>
          <w:trHeight w:val="567"/>
        </w:trPr>
        <w:tc>
          <w:tcPr>
            <w:tcW w:w="1908" w:type="pct"/>
            <w:gridSpan w:val="2"/>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line="264" w:lineRule="auto"/>
              <w:ind w:left="-108"/>
              <w:rPr>
                <w:rFonts w:ascii="Arial Narrow" w:hAnsi="Arial Narrow"/>
                <w:smallCaps/>
                <w:snapToGrid/>
                <w:sz w:val="20"/>
                <w:szCs w:val="20"/>
                <w:lang w:bidi="en-US"/>
              </w:rPr>
            </w:pPr>
            <w:r w:rsidRPr="001C25C2">
              <w:rPr>
                <w:rFonts w:ascii="Arial Narrow" w:hAnsi="Arial Narrow"/>
                <w:smallCaps/>
                <w:snapToGrid/>
                <w:sz w:val="20"/>
                <w:szCs w:val="20"/>
                <w:lang w:bidi="en-US"/>
              </w:rPr>
              <w:t>TRIFLURIDINE + TIPIRACIL</w:t>
            </w:r>
          </w:p>
          <w:p w:rsidR="00B45AB3" w:rsidRPr="001C25C2" w:rsidRDefault="00B45AB3" w:rsidP="001B5746">
            <w:pPr>
              <w:keepNext/>
              <w:widowControl/>
              <w:spacing w:line="264" w:lineRule="auto"/>
              <w:ind w:left="-108"/>
              <w:rPr>
                <w:rFonts w:ascii="Arial Narrow" w:hAnsi="Arial Narrow"/>
                <w:snapToGrid/>
                <w:sz w:val="20"/>
                <w:szCs w:val="20"/>
                <w:lang w:bidi="en-US"/>
              </w:rPr>
            </w:pPr>
            <w:proofErr w:type="spellStart"/>
            <w:r w:rsidRPr="001C25C2">
              <w:rPr>
                <w:rFonts w:ascii="Arial Narrow" w:hAnsi="Arial Narrow"/>
                <w:snapToGrid/>
                <w:sz w:val="20"/>
                <w:szCs w:val="20"/>
                <w:lang w:bidi="en-US"/>
              </w:rPr>
              <w:t>Trifluridine</w:t>
            </w:r>
            <w:proofErr w:type="spellEnd"/>
            <w:r w:rsidRPr="001C25C2">
              <w:rPr>
                <w:rFonts w:ascii="Arial Narrow" w:hAnsi="Arial Narrow"/>
                <w:snapToGrid/>
                <w:sz w:val="20"/>
                <w:szCs w:val="20"/>
                <w:lang w:bidi="en-US"/>
              </w:rPr>
              <w:t xml:space="preserve"> 15 mg + </w:t>
            </w:r>
            <w:proofErr w:type="spellStart"/>
            <w:r w:rsidRPr="001C25C2">
              <w:rPr>
                <w:rFonts w:ascii="Arial Narrow" w:hAnsi="Arial Narrow"/>
                <w:snapToGrid/>
                <w:sz w:val="20"/>
                <w:szCs w:val="20"/>
                <w:lang w:bidi="en-US"/>
              </w:rPr>
              <w:t>tipiracil</w:t>
            </w:r>
            <w:proofErr w:type="spellEnd"/>
            <w:r w:rsidRPr="001C25C2">
              <w:rPr>
                <w:rFonts w:ascii="Arial Narrow" w:hAnsi="Arial Narrow"/>
                <w:snapToGrid/>
                <w:sz w:val="20"/>
                <w:szCs w:val="20"/>
                <w:lang w:bidi="en-US"/>
              </w:rPr>
              <w:t xml:space="preserve"> 6.14 mg tablet, 20</w:t>
            </w:r>
          </w:p>
          <w:p w:rsidR="00B45AB3" w:rsidRPr="001C25C2" w:rsidRDefault="00B45AB3" w:rsidP="001B5746">
            <w:pPr>
              <w:keepNext/>
              <w:widowControl/>
              <w:spacing w:line="264" w:lineRule="auto"/>
              <w:ind w:left="-108"/>
              <w:rPr>
                <w:rFonts w:ascii="Arial Narrow" w:hAnsi="Arial Narrow"/>
                <w:snapToGrid/>
                <w:sz w:val="20"/>
                <w:szCs w:val="20"/>
                <w:lang w:bidi="en-US"/>
              </w:rPr>
            </w:pPr>
            <w:proofErr w:type="spellStart"/>
            <w:r w:rsidRPr="001C25C2">
              <w:rPr>
                <w:rFonts w:ascii="Arial Narrow" w:hAnsi="Arial Narrow"/>
                <w:snapToGrid/>
                <w:sz w:val="20"/>
                <w:szCs w:val="20"/>
                <w:lang w:bidi="en-US"/>
              </w:rPr>
              <w:t>Trifluridine</w:t>
            </w:r>
            <w:proofErr w:type="spellEnd"/>
            <w:r w:rsidRPr="001C25C2">
              <w:rPr>
                <w:rFonts w:ascii="Arial Narrow" w:hAnsi="Arial Narrow"/>
                <w:snapToGrid/>
                <w:sz w:val="20"/>
                <w:szCs w:val="20"/>
                <w:lang w:bidi="en-US"/>
              </w:rPr>
              <w:t xml:space="preserve"> 20 mg + </w:t>
            </w:r>
            <w:proofErr w:type="spellStart"/>
            <w:r w:rsidRPr="001C25C2">
              <w:rPr>
                <w:rFonts w:ascii="Arial Narrow" w:hAnsi="Arial Narrow"/>
                <w:snapToGrid/>
                <w:sz w:val="20"/>
                <w:szCs w:val="20"/>
                <w:lang w:bidi="en-US"/>
              </w:rPr>
              <w:t>tipiracil</w:t>
            </w:r>
            <w:proofErr w:type="spellEnd"/>
            <w:r w:rsidRPr="001C25C2">
              <w:rPr>
                <w:rFonts w:ascii="Arial Narrow" w:hAnsi="Arial Narrow"/>
                <w:snapToGrid/>
                <w:sz w:val="20"/>
                <w:szCs w:val="20"/>
                <w:lang w:bidi="en-US"/>
              </w:rPr>
              <w:t xml:space="preserve"> 8.19 mg tablet, 20</w:t>
            </w:r>
          </w:p>
          <w:p w:rsidR="00B45AB3" w:rsidRPr="001C25C2" w:rsidRDefault="00B45AB3" w:rsidP="001B5746">
            <w:pPr>
              <w:keepNext/>
              <w:widowControl/>
              <w:spacing w:line="264" w:lineRule="auto"/>
              <w:ind w:left="-108"/>
              <w:rPr>
                <w:rFonts w:ascii="Arial Narrow" w:hAnsi="Arial Narrow"/>
                <w:snapToGrid/>
                <w:sz w:val="20"/>
                <w:szCs w:val="20"/>
                <w:lang w:bidi="en-US"/>
              </w:rPr>
            </w:pPr>
          </w:p>
        </w:tc>
        <w:tc>
          <w:tcPr>
            <w:tcW w:w="332"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line="264" w:lineRule="auto"/>
              <w:jc w:val="center"/>
              <w:rPr>
                <w:rFonts w:ascii="Arial Narrow" w:hAnsi="Arial Narrow"/>
                <w:snapToGrid/>
                <w:sz w:val="20"/>
                <w:szCs w:val="20"/>
                <w:lang w:bidi="en-US"/>
              </w:rPr>
            </w:pPr>
          </w:p>
          <w:p w:rsidR="00B45AB3" w:rsidRPr="001C25C2" w:rsidRDefault="00B45AB3" w:rsidP="001B5746">
            <w:pPr>
              <w:keepNext/>
              <w:widowControl/>
              <w:spacing w:line="264" w:lineRule="auto"/>
              <w:jc w:val="center"/>
              <w:rPr>
                <w:rFonts w:ascii="Arial Narrow" w:hAnsi="Arial Narrow"/>
                <w:snapToGrid/>
                <w:sz w:val="20"/>
                <w:szCs w:val="20"/>
                <w:lang w:bidi="en-US"/>
              </w:rPr>
            </w:pPr>
            <w:r w:rsidRPr="001C25C2">
              <w:rPr>
                <w:rFonts w:ascii="Arial Narrow" w:hAnsi="Arial Narrow"/>
                <w:snapToGrid/>
                <w:sz w:val="20"/>
                <w:szCs w:val="20"/>
                <w:lang w:bidi="en-US"/>
              </w:rPr>
              <w:t>3</w:t>
            </w:r>
          </w:p>
          <w:p w:rsidR="00B45AB3" w:rsidRPr="001C25C2" w:rsidRDefault="00B45AB3" w:rsidP="001B5746">
            <w:pPr>
              <w:keepNext/>
              <w:widowControl/>
              <w:spacing w:line="264" w:lineRule="auto"/>
              <w:jc w:val="center"/>
              <w:rPr>
                <w:rFonts w:ascii="Arial Narrow" w:hAnsi="Arial Narrow"/>
                <w:snapToGrid/>
                <w:sz w:val="20"/>
                <w:szCs w:val="20"/>
                <w:lang w:bidi="en-US"/>
              </w:rPr>
            </w:pPr>
            <w:r w:rsidRPr="001C25C2">
              <w:rPr>
                <w:rFonts w:ascii="Arial Narrow" w:hAnsi="Arial Narrow"/>
                <w:snapToGrid/>
                <w:sz w:val="20"/>
                <w:szCs w:val="20"/>
                <w:lang w:bidi="en-US"/>
              </w:rPr>
              <w:t>4</w:t>
            </w:r>
          </w:p>
        </w:tc>
        <w:tc>
          <w:tcPr>
            <w:tcW w:w="458"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line="264" w:lineRule="auto"/>
              <w:jc w:val="center"/>
              <w:rPr>
                <w:rFonts w:ascii="Arial Narrow" w:hAnsi="Arial Narrow"/>
                <w:snapToGrid/>
                <w:sz w:val="20"/>
                <w:szCs w:val="20"/>
                <w:lang w:bidi="en-US"/>
              </w:rPr>
            </w:pPr>
          </w:p>
          <w:p w:rsidR="00B45AB3" w:rsidRPr="001C25C2" w:rsidRDefault="00B45AB3" w:rsidP="001B5746">
            <w:pPr>
              <w:keepNext/>
              <w:widowControl/>
              <w:spacing w:line="264" w:lineRule="auto"/>
              <w:jc w:val="center"/>
              <w:rPr>
                <w:rFonts w:ascii="Arial Narrow" w:hAnsi="Arial Narrow"/>
                <w:snapToGrid/>
                <w:sz w:val="20"/>
                <w:szCs w:val="20"/>
                <w:lang w:bidi="en-US"/>
              </w:rPr>
            </w:pPr>
            <w:r w:rsidRPr="001C25C2">
              <w:rPr>
                <w:rFonts w:ascii="Arial Narrow" w:hAnsi="Arial Narrow"/>
                <w:snapToGrid/>
                <w:sz w:val="20"/>
                <w:szCs w:val="20"/>
                <w:lang w:bidi="en-US"/>
              </w:rPr>
              <w:t>2</w:t>
            </w:r>
          </w:p>
          <w:p w:rsidR="00B45AB3" w:rsidRPr="001C25C2" w:rsidRDefault="00B45AB3" w:rsidP="001B5746">
            <w:pPr>
              <w:keepNext/>
              <w:widowControl/>
              <w:spacing w:line="264" w:lineRule="auto"/>
              <w:jc w:val="center"/>
              <w:rPr>
                <w:rFonts w:ascii="Arial Narrow" w:hAnsi="Arial Narrow"/>
                <w:snapToGrid/>
                <w:sz w:val="20"/>
                <w:szCs w:val="20"/>
                <w:lang w:bidi="en-US"/>
              </w:rPr>
            </w:pPr>
            <w:r w:rsidRPr="001C25C2">
              <w:rPr>
                <w:rFonts w:ascii="Arial Narrow" w:hAnsi="Arial Narrow"/>
                <w:snapToGrid/>
                <w:sz w:val="20"/>
                <w:szCs w:val="20"/>
                <w:lang w:bidi="en-US"/>
              </w:rPr>
              <w:t>2</w:t>
            </w:r>
          </w:p>
        </w:tc>
        <w:tc>
          <w:tcPr>
            <w:tcW w:w="774"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line="264" w:lineRule="auto"/>
              <w:jc w:val="center"/>
              <w:rPr>
                <w:rFonts w:ascii="Arial Narrow" w:hAnsi="Arial Narrow"/>
                <w:snapToGrid/>
                <w:sz w:val="20"/>
                <w:szCs w:val="20"/>
                <w:lang w:bidi="en-US"/>
              </w:rPr>
            </w:pPr>
          </w:p>
          <w:p w:rsidR="00B45AB3" w:rsidRPr="001C25C2" w:rsidRDefault="00B45AB3" w:rsidP="001B5746">
            <w:pPr>
              <w:keepNext/>
              <w:widowControl/>
              <w:spacing w:line="264" w:lineRule="auto"/>
              <w:ind w:left="-108"/>
              <w:jc w:val="center"/>
              <w:rPr>
                <w:rFonts w:ascii="Arial Narrow" w:hAnsi="Arial Narrow"/>
                <w:snapToGrid/>
                <w:sz w:val="20"/>
                <w:szCs w:val="20"/>
                <w:lang w:bidi="en-US"/>
              </w:rPr>
            </w:pPr>
            <w:r w:rsidRPr="001C25C2">
              <w:rPr>
                <w:rFonts w:ascii="Arial Narrow" w:hAnsi="Arial Narrow"/>
                <w:snapToGrid/>
                <w:sz w:val="20"/>
                <w:szCs w:val="20"/>
                <w:lang w:bidi="en-US"/>
              </w:rPr>
              <w:t>$2,272.44</w:t>
            </w:r>
          </w:p>
          <w:p w:rsidR="00B45AB3" w:rsidRPr="001C25C2" w:rsidRDefault="00B45AB3" w:rsidP="001B5746">
            <w:pPr>
              <w:keepNext/>
              <w:widowControl/>
              <w:spacing w:line="264" w:lineRule="auto"/>
              <w:ind w:left="-108"/>
              <w:jc w:val="center"/>
              <w:rPr>
                <w:rFonts w:ascii="Arial Narrow" w:hAnsi="Arial Narrow"/>
                <w:snapToGrid/>
                <w:sz w:val="20"/>
                <w:szCs w:val="20"/>
                <w:lang w:bidi="en-US"/>
              </w:rPr>
            </w:pPr>
            <w:r w:rsidRPr="001C25C2">
              <w:rPr>
                <w:rFonts w:ascii="Arial Narrow" w:hAnsi="Arial Narrow"/>
                <w:snapToGrid/>
                <w:sz w:val="20"/>
                <w:szCs w:val="20"/>
                <w:lang w:bidi="en-US"/>
              </w:rPr>
              <w:t>$3,922.49</w:t>
            </w:r>
          </w:p>
          <w:p w:rsidR="00B45AB3" w:rsidRPr="001C25C2" w:rsidRDefault="00B45AB3" w:rsidP="001B5746">
            <w:pPr>
              <w:keepNext/>
              <w:widowControl/>
              <w:spacing w:line="264" w:lineRule="auto"/>
              <w:ind w:left="-108"/>
              <w:jc w:val="center"/>
              <w:rPr>
                <w:rFonts w:ascii="Arial Narrow" w:hAnsi="Arial Narrow"/>
                <w:snapToGrid/>
                <w:sz w:val="20"/>
                <w:szCs w:val="20"/>
                <w:lang w:bidi="en-US"/>
              </w:rPr>
            </w:pPr>
          </w:p>
        </w:tc>
        <w:tc>
          <w:tcPr>
            <w:tcW w:w="937"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line="264" w:lineRule="auto"/>
              <w:jc w:val="center"/>
              <w:rPr>
                <w:rFonts w:ascii="Arial Narrow" w:hAnsi="Arial Narrow"/>
                <w:snapToGrid/>
                <w:sz w:val="20"/>
                <w:szCs w:val="20"/>
                <w:lang w:bidi="en-US"/>
              </w:rPr>
            </w:pPr>
          </w:p>
          <w:p w:rsidR="00B45AB3" w:rsidRPr="001C25C2" w:rsidRDefault="00B45AB3" w:rsidP="001B5746">
            <w:pPr>
              <w:keepNext/>
              <w:widowControl/>
              <w:spacing w:line="264" w:lineRule="auto"/>
              <w:jc w:val="center"/>
              <w:rPr>
                <w:rFonts w:ascii="Arial Narrow" w:hAnsi="Arial Narrow"/>
                <w:snapToGrid/>
                <w:sz w:val="20"/>
                <w:szCs w:val="20"/>
                <w:lang w:bidi="en-US"/>
              </w:rPr>
            </w:pPr>
            <w:r w:rsidRPr="001C25C2">
              <w:rPr>
                <w:rFonts w:ascii="Arial Narrow" w:hAnsi="Arial Narrow"/>
                <w:snapToGrid/>
                <w:sz w:val="20"/>
                <w:szCs w:val="20"/>
                <w:lang w:bidi="en-US"/>
              </w:rPr>
              <w:t>LONSURF 15/6.14</w:t>
            </w:r>
          </w:p>
          <w:p w:rsidR="00B45AB3" w:rsidRPr="001C25C2" w:rsidRDefault="00B45AB3" w:rsidP="001B5746">
            <w:pPr>
              <w:keepNext/>
              <w:widowControl/>
              <w:spacing w:line="264" w:lineRule="auto"/>
              <w:jc w:val="center"/>
              <w:rPr>
                <w:rFonts w:ascii="Arial Narrow" w:hAnsi="Arial Narrow"/>
                <w:snapToGrid/>
                <w:sz w:val="20"/>
                <w:szCs w:val="20"/>
                <w:lang w:bidi="en-US"/>
              </w:rPr>
            </w:pPr>
            <w:r w:rsidRPr="001C25C2">
              <w:rPr>
                <w:rFonts w:ascii="Arial Narrow" w:hAnsi="Arial Narrow"/>
                <w:snapToGrid/>
                <w:sz w:val="20"/>
                <w:szCs w:val="20"/>
                <w:lang w:bidi="en-US"/>
              </w:rPr>
              <w:t>LONSURF 20/8.19</w:t>
            </w:r>
          </w:p>
        </w:tc>
        <w:tc>
          <w:tcPr>
            <w:tcW w:w="593"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line="264" w:lineRule="auto"/>
              <w:jc w:val="center"/>
              <w:rPr>
                <w:rFonts w:ascii="Arial Narrow" w:hAnsi="Arial Narrow"/>
                <w:snapToGrid/>
                <w:sz w:val="20"/>
                <w:szCs w:val="20"/>
                <w:lang w:bidi="en-US"/>
              </w:rPr>
            </w:pPr>
          </w:p>
          <w:p w:rsidR="00B45AB3" w:rsidRPr="001C25C2" w:rsidRDefault="00B45AB3" w:rsidP="001B5746">
            <w:pPr>
              <w:keepNext/>
              <w:widowControl/>
              <w:spacing w:line="264" w:lineRule="auto"/>
              <w:jc w:val="center"/>
              <w:rPr>
                <w:rFonts w:ascii="Arial Narrow" w:hAnsi="Arial Narrow"/>
                <w:snapToGrid/>
                <w:sz w:val="20"/>
                <w:szCs w:val="20"/>
                <w:lang w:bidi="en-US"/>
              </w:rPr>
            </w:pPr>
            <w:proofErr w:type="spellStart"/>
            <w:r w:rsidRPr="001C25C2">
              <w:rPr>
                <w:rFonts w:ascii="Arial Narrow" w:hAnsi="Arial Narrow"/>
                <w:snapToGrid/>
                <w:sz w:val="20"/>
                <w:szCs w:val="20"/>
                <w:lang w:bidi="en-US"/>
              </w:rPr>
              <w:t>Servier</w:t>
            </w:r>
            <w:proofErr w:type="spellEnd"/>
            <w:r w:rsidRPr="001C25C2">
              <w:rPr>
                <w:rFonts w:ascii="Arial Narrow" w:hAnsi="Arial Narrow"/>
                <w:snapToGrid/>
                <w:sz w:val="20"/>
                <w:szCs w:val="20"/>
                <w:lang w:bidi="en-US"/>
              </w:rPr>
              <w:t xml:space="preserve"> Laboratories</w:t>
            </w:r>
          </w:p>
        </w:tc>
      </w:tr>
      <w:tr w:rsidR="00B45AB3" w:rsidRPr="001C25C2" w:rsidTr="001B5746">
        <w:trPr>
          <w:cantSplit/>
          <w:trHeight w:val="360"/>
        </w:trPr>
        <w:tc>
          <w:tcPr>
            <w:tcW w:w="1045"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Category / Program</w:t>
            </w:r>
          </w:p>
        </w:tc>
        <w:tc>
          <w:tcPr>
            <w:tcW w:w="3955"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GENERAL – General Schedule (Code GE)</w:t>
            </w:r>
          </w:p>
        </w:tc>
      </w:tr>
      <w:tr w:rsidR="00B45AB3" w:rsidRPr="001C25C2" w:rsidTr="001B5746">
        <w:trPr>
          <w:cantSplit/>
          <w:trHeight w:val="360"/>
        </w:trPr>
        <w:tc>
          <w:tcPr>
            <w:tcW w:w="1045"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t>Prescriber type:</w:t>
            </w:r>
          </w:p>
        </w:tc>
        <w:tc>
          <w:tcPr>
            <w:tcW w:w="3955"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fldChar w:fldCharType="begin">
                <w:ffData>
                  <w:name w:val="Check1"/>
                  <w:enabled/>
                  <w:calcOnExit w:val="0"/>
                  <w:checkBox>
                    <w:sizeAuto/>
                    <w:default w:val="0"/>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 xml:space="preserve">Dental  </w:t>
            </w:r>
            <w:r w:rsidRPr="001C25C2">
              <w:rPr>
                <w:rFonts w:ascii="Arial Narrow" w:hAnsi="Arial Narrow"/>
                <w:snapToGrid/>
                <w:sz w:val="20"/>
                <w:szCs w:val="20"/>
                <w:lang w:bidi="en-US"/>
              </w:rPr>
              <w:fldChar w:fldCharType="begin">
                <w:ffData>
                  <w:name w:val=""/>
                  <w:enabled/>
                  <w:calcOnExit w:val="0"/>
                  <w:checkBox>
                    <w:sizeAuto/>
                    <w:default w:val="1"/>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 xml:space="preserve">Medical Practitioners  </w:t>
            </w:r>
            <w:r w:rsidRPr="001C25C2">
              <w:rPr>
                <w:rFonts w:ascii="Arial Narrow" w:hAnsi="Arial Narrow"/>
                <w:snapToGrid/>
                <w:sz w:val="20"/>
                <w:szCs w:val="20"/>
                <w:lang w:bidi="en-US"/>
              </w:rPr>
              <w:fldChar w:fldCharType="begin">
                <w:ffData>
                  <w:name w:val="Check3"/>
                  <w:enabled/>
                  <w:calcOnExit w:val="0"/>
                  <w:checkBox>
                    <w:sizeAuto/>
                    <w:default w:val="0"/>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 xml:space="preserve">Nurse practitioners  </w:t>
            </w:r>
            <w:r w:rsidRPr="001C25C2">
              <w:rPr>
                <w:rFonts w:ascii="Arial Narrow" w:hAnsi="Arial Narrow"/>
                <w:snapToGrid/>
                <w:sz w:val="20"/>
                <w:szCs w:val="20"/>
                <w:lang w:bidi="en-US"/>
              </w:rPr>
              <w:fldChar w:fldCharType="begin">
                <w:ffData>
                  <w:name w:val=""/>
                  <w:enabled/>
                  <w:calcOnExit w:val="0"/>
                  <w:checkBox>
                    <w:sizeAuto/>
                    <w:default w:val="0"/>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 xml:space="preserve">Optometrists </w:t>
            </w:r>
            <w:r w:rsidRPr="001C25C2">
              <w:rPr>
                <w:rFonts w:ascii="Arial Narrow" w:hAnsi="Arial Narrow"/>
                <w:snapToGrid/>
                <w:sz w:val="20"/>
                <w:szCs w:val="20"/>
                <w:lang w:bidi="en-US"/>
              </w:rPr>
              <w:fldChar w:fldCharType="begin">
                <w:ffData>
                  <w:name w:val="Check5"/>
                  <w:enabled/>
                  <w:calcOnExit w:val="0"/>
                  <w:checkBox>
                    <w:sizeAuto/>
                    <w:default w:val="0"/>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Midwives</w:t>
            </w:r>
          </w:p>
        </w:tc>
      </w:tr>
      <w:tr w:rsidR="00B45AB3" w:rsidRPr="001C25C2" w:rsidTr="001B5746">
        <w:trPr>
          <w:cantSplit/>
          <w:trHeight w:val="360"/>
        </w:trPr>
        <w:tc>
          <w:tcPr>
            <w:tcW w:w="1045"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64" w:lineRule="auto"/>
              <w:rPr>
                <w:rFonts w:ascii="Arial Narrow" w:hAnsi="Arial Narrow"/>
                <w:b/>
                <w:i/>
                <w:snapToGrid/>
                <w:sz w:val="20"/>
                <w:szCs w:val="20"/>
                <w:lang w:bidi="en-US"/>
              </w:rPr>
            </w:pPr>
            <w:r w:rsidRPr="001C25C2">
              <w:rPr>
                <w:rFonts w:ascii="Arial Narrow" w:hAnsi="Arial Narrow"/>
                <w:b/>
                <w:i/>
                <w:snapToGrid/>
                <w:sz w:val="20"/>
                <w:szCs w:val="20"/>
                <w:lang w:bidi="en-US"/>
              </w:rPr>
              <w:t>Episodicity:</w:t>
            </w:r>
          </w:p>
        </w:tc>
        <w:tc>
          <w:tcPr>
            <w:tcW w:w="3955" w:type="pct"/>
            <w:gridSpan w:val="6"/>
            <w:tcBorders>
              <w:top w:val="single" w:sz="4" w:space="0" w:color="auto"/>
              <w:left w:val="single" w:sz="4" w:space="0" w:color="auto"/>
              <w:bottom w:val="single" w:sz="4" w:space="0" w:color="auto"/>
              <w:right w:val="single" w:sz="4" w:space="0" w:color="auto"/>
            </w:tcBorders>
          </w:tcPr>
          <w:p w:rsidR="00B45AB3" w:rsidRPr="001C25C2" w:rsidRDefault="00447E80" w:rsidP="001B5746">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t>-</w:t>
            </w:r>
          </w:p>
        </w:tc>
      </w:tr>
      <w:tr w:rsidR="00B45AB3" w:rsidRPr="001C25C2" w:rsidTr="001B5746">
        <w:trPr>
          <w:cantSplit/>
          <w:trHeight w:val="360"/>
        </w:trPr>
        <w:tc>
          <w:tcPr>
            <w:tcW w:w="1045"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64" w:lineRule="auto"/>
              <w:rPr>
                <w:rFonts w:ascii="Arial Narrow" w:hAnsi="Arial Narrow"/>
                <w:b/>
                <w:i/>
                <w:snapToGrid/>
                <w:sz w:val="20"/>
                <w:szCs w:val="20"/>
                <w:lang w:bidi="en-US"/>
              </w:rPr>
            </w:pPr>
            <w:r w:rsidRPr="001C25C2">
              <w:rPr>
                <w:rFonts w:ascii="Arial Narrow" w:hAnsi="Arial Narrow"/>
                <w:b/>
                <w:i/>
                <w:snapToGrid/>
                <w:sz w:val="20"/>
                <w:szCs w:val="20"/>
                <w:lang w:bidi="en-US"/>
              </w:rPr>
              <w:t>Severity:</w:t>
            </w:r>
          </w:p>
        </w:tc>
        <w:tc>
          <w:tcPr>
            <w:tcW w:w="3955"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64" w:lineRule="auto"/>
              <w:jc w:val="left"/>
              <w:rPr>
                <w:rFonts w:ascii="Arial Narrow" w:hAnsi="Arial Narrow"/>
                <w:snapToGrid/>
                <w:sz w:val="20"/>
                <w:szCs w:val="20"/>
                <w:lang w:bidi="en-US"/>
              </w:rPr>
            </w:pPr>
            <w:r w:rsidRPr="001C25C2">
              <w:rPr>
                <w:rFonts w:ascii="Arial Narrow" w:hAnsi="Arial Narrow"/>
                <w:i/>
                <w:snapToGrid/>
                <w:sz w:val="20"/>
                <w:szCs w:val="20"/>
                <w:lang w:bidi="en-US"/>
              </w:rPr>
              <w:t>Metastatic (Stage IV)</w:t>
            </w:r>
            <w:r w:rsidRPr="001C25C2">
              <w:rPr>
                <w:rFonts w:ascii="Arial Narrow" w:hAnsi="Arial Narrow"/>
                <w:snapToGrid/>
                <w:sz w:val="20"/>
                <w:szCs w:val="20"/>
                <w:lang w:bidi="en-US"/>
              </w:rPr>
              <w:t xml:space="preserve"> [contained within 17773]</w:t>
            </w:r>
          </w:p>
        </w:tc>
      </w:tr>
      <w:tr w:rsidR="00B45AB3" w:rsidRPr="001C25C2" w:rsidTr="001B5746">
        <w:trPr>
          <w:cantSplit/>
          <w:trHeight w:val="360"/>
        </w:trPr>
        <w:tc>
          <w:tcPr>
            <w:tcW w:w="1045"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t>Condition:</w:t>
            </w:r>
          </w:p>
        </w:tc>
        <w:tc>
          <w:tcPr>
            <w:tcW w:w="3955"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64" w:lineRule="auto"/>
              <w:jc w:val="left"/>
              <w:rPr>
                <w:rFonts w:ascii="Arial Narrow" w:hAnsi="Arial Narrow"/>
                <w:i/>
                <w:snapToGrid/>
                <w:sz w:val="20"/>
                <w:szCs w:val="20"/>
                <w:lang w:bidi="en-US"/>
              </w:rPr>
            </w:pPr>
            <w:r w:rsidRPr="001C25C2">
              <w:rPr>
                <w:rFonts w:ascii="Arial Narrow" w:hAnsi="Arial Narrow"/>
                <w:i/>
                <w:snapToGrid/>
                <w:sz w:val="20"/>
                <w:szCs w:val="20"/>
                <w:lang w:bidi="en-US"/>
              </w:rPr>
              <w:t>adenocarcinoma of the stomach or gastro-oesophageal junction</w:t>
            </w:r>
          </w:p>
        </w:tc>
      </w:tr>
      <w:tr w:rsidR="00B45AB3" w:rsidRPr="001C25C2" w:rsidTr="001B5746">
        <w:trPr>
          <w:cantSplit/>
          <w:trHeight w:val="360"/>
        </w:trPr>
        <w:tc>
          <w:tcPr>
            <w:tcW w:w="1045"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t>PBS Indication:</w:t>
            </w:r>
          </w:p>
        </w:tc>
        <w:tc>
          <w:tcPr>
            <w:tcW w:w="3955"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t xml:space="preserve">Metastatic </w:t>
            </w:r>
            <w:r w:rsidRPr="001C25C2">
              <w:rPr>
                <w:rFonts w:ascii="Arial Narrow" w:hAnsi="Arial Narrow"/>
                <w:i/>
                <w:snapToGrid/>
                <w:sz w:val="20"/>
                <w:szCs w:val="20"/>
                <w:lang w:bidi="en-US"/>
              </w:rPr>
              <w:t>(Stage IV)</w:t>
            </w:r>
            <w:r w:rsidRPr="001C25C2">
              <w:rPr>
                <w:rFonts w:ascii="Arial Narrow" w:hAnsi="Arial Narrow"/>
                <w:snapToGrid/>
                <w:sz w:val="20"/>
                <w:szCs w:val="20"/>
                <w:lang w:bidi="en-US"/>
              </w:rPr>
              <w:t xml:space="preserve"> adenocarcinoma of the stomach or gastro-oesophageal junction [new concept]</w:t>
            </w:r>
          </w:p>
        </w:tc>
      </w:tr>
      <w:tr w:rsidR="00B45AB3" w:rsidRPr="001C25C2" w:rsidTr="001B5746">
        <w:trPr>
          <w:cantSplit/>
          <w:trHeight w:val="360"/>
        </w:trPr>
        <w:tc>
          <w:tcPr>
            <w:tcW w:w="1045"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t>Treatment phase:</w:t>
            </w:r>
          </w:p>
        </w:tc>
        <w:tc>
          <w:tcPr>
            <w:tcW w:w="3955"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64" w:lineRule="auto"/>
              <w:jc w:val="left"/>
              <w:rPr>
                <w:rFonts w:ascii="Arial Narrow" w:hAnsi="Arial Narrow"/>
                <w:b/>
                <w:snapToGrid/>
                <w:sz w:val="20"/>
                <w:szCs w:val="20"/>
                <w:lang w:bidi="en-US"/>
              </w:rPr>
            </w:pPr>
            <w:r w:rsidRPr="001C25C2">
              <w:rPr>
                <w:rFonts w:ascii="Arial Narrow" w:hAnsi="Arial Narrow"/>
                <w:b/>
                <w:snapToGrid/>
                <w:sz w:val="20"/>
                <w:szCs w:val="20"/>
                <w:lang w:bidi="en-US"/>
              </w:rPr>
              <w:t xml:space="preserve">Initial treatment </w:t>
            </w:r>
          </w:p>
        </w:tc>
      </w:tr>
      <w:tr w:rsidR="00B45AB3" w:rsidRPr="001C25C2" w:rsidTr="001B5746">
        <w:trPr>
          <w:cantSplit/>
          <w:trHeight w:val="360"/>
        </w:trPr>
        <w:tc>
          <w:tcPr>
            <w:tcW w:w="1045"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t>Restriction Level / Method:</w:t>
            </w:r>
          </w:p>
          <w:p w:rsidR="00B45AB3" w:rsidRPr="001C25C2" w:rsidRDefault="00B45AB3" w:rsidP="001B5746">
            <w:pPr>
              <w:widowControl/>
              <w:spacing w:before="40" w:after="40" w:line="264" w:lineRule="auto"/>
              <w:jc w:val="left"/>
              <w:rPr>
                <w:rFonts w:ascii="Arial Narrow" w:hAnsi="Arial Narrow"/>
                <w:snapToGrid/>
                <w:sz w:val="20"/>
                <w:szCs w:val="20"/>
                <w:lang w:bidi="en-US"/>
              </w:rPr>
            </w:pPr>
          </w:p>
        </w:tc>
        <w:tc>
          <w:tcPr>
            <w:tcW w:w="3955"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fldChar w:fldCharType="begin">
                <w:ffData>
                  <w:name w:val="Check1"/>
                  <w:enabled/>
                  <w:calcOnExit w:val="0"/>
                  <w:checkBox>
                    <w:sizeAuto/>
                    <w:default w:val="0"/>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Restricted benefit</w:t>
            </w:r>
          </w:p>
          <w:p w:rsidR="00B45AB3" w:rsidRPr="001C25C2" w:rsidRDefault="00B45AB3" w:rsidP="001B5746">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fldChar w:fldCharType="begin">
                <w:ffData>
                  <w:name w:val=""/>
                  <w:enabled/>
                  <w:calcOnExit w:val="0"/>
                  <w:checkBox>
                    <w:sizeAuto/>
                    <w:default w:val="0"/>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Authority Required - In Writing</w:t>
            </w:r>
          </w:p>
          <w:p w:rsidR="00B45AB3" w:rsidRPr="001C25C2" w:rsidRDefault="00B45AB3" w:rsidP="001B5746">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fldChar w:fldCharType="begin">
                <w:ffData>
                  <w:name w:val="Check3"/>
                  <w:enabled/>
                  <w:calcOnExit w:val="0"/>
                  <w:checkBox>
                    <w:sizeAuto/>
                    <w:default w:val="0"/>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Authority Required - Telephone</w:t>
            </w:r>
          </w:p>
          <w:p w:rsidR="00B45AB3" w:rsidRPr="001C25C2" w:rsidRDefault="00B45AB3" w:rsidP="001B5746">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fldChar w:fldCharType="begin">
                <w:ffData>
                  <w:name w:val=""/>
                  <w:enabled/>
                  <w:calcOnExit w:val="0"/>
                  <w:checkBox>
                    <w:sizeAuto/>
                    <w:default w:val="0"/>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Authority Required – Emergency</w:t>
            </w:r>
          </w:p>
          <w:p w:rsidR="00B45AB3" w:rsidRPr="001C25C2" w:rsidRDefault="00B45AB3" w:rsidP="001B5746">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fldChar w:fldCharType="begin">
                <w:ffData>
                  <w:name w:val="Check5"/>
                  <w:enabled/>
                  <w:calcOnExit w:val="0"/>
                  <w:checkBox>
                    <w:sizeAuto/>
                    <w:default w:val="0"/>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Authority Required - Electronic</w:t>
            </w:r>
          </w:p>
          <w:p w:rsidR="00B45AB3" w:rsidRPr="001C25C2" w:rsidRDefault="00B45AB3" w:rsidP="001B5746">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fldChar w:fldCharType="begin">
                <w:ffData>
                  <w:name w:val="Check5"/>
                  <w:enabled/>
                  <w:calcOnExit w:val="0"/>
                  <w:checkBox>
                    <w:sizeAuto/>
                    <w:default w:val="1"/>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Streamlined</w:t>
            </w:r>
          </w:p>
        </w:tc>
      </w:tr>
      <w:tr w:rsidR="00B45AB3" w:rsidRPr="001C25C2" w:rsidTr="001B5746">
        <w:trPr>
          <w:cantSplit/>
          <w:trHeight w:val="360"/>
        </w:trPr>
        <w:tc>
          <w:tcPr>
            <w:tcW w:w="1045"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t>Clinical criteria:</w:t>
            </w:r>
          </w:p>
        </w:tc>
        <w:tc>
          <w:tcPr>
            <w:tcW w:w="3955"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pBdr>
                <w:bottom w:val="single" w:sz="4" w:space="1" w:color="auto"/>
              </w:pBdr>
              <w:spacing w:before="40" w:after="40" w:line="264" w:lineRule="auto"/>
              <w:contextualSpacing/>
              <w:jc w:val="left"/>
              <w:rPr>
                <w:rFonts w:ascii="Arial Narrow" w:hAnsi="Arial Narrow"/>
                <w:snapToGrid/>
                <w:sz w:val="20"/>
                <w:szCs w:val="20"/>
                <w:lang w:bidi="en-US"/>
              </w:rPr>
            </w:pPr>
            <w:r w:rsidRPr="001C25C2">
              <w:rPr>
                <w:rFonts w:ascii="Arial Narrow" w:hAnsi="Arial Narrow"/>
                <w:snapToGrid/>
                <w:sz w:val="20"/>
                <w:szCs w:val="20"/>
                <w:lang w:bidi="en-US"/>
              </w:rPr>
              <w:t>Patient must have a WHO performance status of 1 or less [10299; phase out 19462]</w:t>
            </w:r>
          </w:p>
          <w:p w:rsidR="00B45AB3" w:rsidRPr="001C25C2" w:rsidRDefault="00B45AB3" w:rsidP="001B5746">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t>AND</w:t>
            </w:r>
          </w:p>
          <w:p w:rsidR="00B45AB3" w:rsidRPr="001C25C2" w:rsidRDefault="00B45AB3" w:rsidP="001B5746">
            <w:pPr>
              <w:widowControl/>
              <w:spacing w:before="40" w:after="40" w:line="264" w:lineRule="auto"/>
              <w:contextualSpacing/>
              <w:jc w:val="left"/>
              <w:rPr>
                <w:rFonts w:ascii="Arial Narrow" w:hAnsi="Arial Narrow"/>
                <w:strike/>
                <w:snapToGrid/>
                <w:sz w:val="20"/>
                <w:szCs w:val="20"/>
                <w:lang w:bidi="en-US"/>
              </w:rPr>
            </w:pPr>
            <w:r w:rsidRPr="001C25C2">
              <w:rPr>
                <w:rFonts w:ascii="Arial Narrow" w:hAnsi="Arial Narrow"/>
                <w:strike/>
                <w:snapToGrid/>
                <w:sz w:val="20"/>
                <w:szCs w:val="20"/>
                <w:lang w:bidi="en-US"/>
              </w:rPr>
              <w:t xml:space="preserve">Patient must have previously received treatment with </w:t>
            </w:r>
            <w:proofErr w:type="spellStart"/>
            <w:r w:rsidRPr="001C25C2">
              <w:rPr>
                <w:rFonts w:ascii="Arial Narrow" w:hAnsi="Arial Narrow"/>
                <w:strike/>
                <w:snapToGrid/>
                <w:sz w:val="20"/>
                <w:szCs w:val="20"/>
                <w:lang w:bidi="en-US"/>
              </w:rPr>
              <w:t>fluoropyrimidine</w:t>
            </w:r>
            <w:proofErr w:type="spellEnd"/>
            <w:r w:rsidRPr="001C25C2">
              <w:rPr>
                <w:rFonts w:ascii="Arial Narrow" w:hAnsi="Arial Narrow"/>
                <w:strike/>
                <w:snapToGrid/>
                <w:sz w:val="20"/>
                <w:szCs w:val="20"/>
                <w:lang w:bidi="en-US"/>
              </w:rPr>
              <w:t xml:space="preserve">-, platinum- and either a </w:t>
            </w:r>
            <w:proofErr w:type="spellStart"/>
            <w:r w:rsidRPr="001C25C2">
              <w:rPr>
                <w:rFonts w:ascii="Arial Narrow" w:hAnsi="Arial Narrow"/>
                <w:strike/>
                <w:snapToGrid/>
                <w:sz w:val="20"/>
                <w:szCs w:val="20"/>
                <w:lang w:bidi="en-US"/>
              </w:rPr>
              <w:t>taxane</w:t>
            </w:r>
            <w:proofErr w:type="spellEnd"/>
            <w:r w:rsidRPr="001C25C2">
              <w:rPr>
                <w:rFonts w:ascii="Arial Narrow" w:hAnsi="Arial Narrow"/>
                <w:strike/>
                <w:snapToGrid/>
                <w:sz w:val="20"/>
                <w:szCs w:val="20"/>
                <w:lang w:bidi="en-US"/>
              </w:rPr>
              <w:t xml:space="preserve">- or </w:t>
            </w:r>
            <w:proofErr w:type="spellStart"/>
            <w:r w:rsidRPr="001C25C2">
              <w:rPr>
                <w:rFonts w:ascii="Arial Narrow" w:hAnsi="Arial Narrow"/>
                <w:strike/>
                <w:snapToGrid/>
                <w:sz w:val="20"/>
                <w:szCs w:val="20"/>
                <w:lang w:bidi="en-US"/>
              </w:rPr>
              <w:t>irinotecan</w:t>
            </w:r>
            <w:proofErr w:type="spellEnd"/>
            <w:r w:rsidRPr="001C25C2">
              <w:rPr>
                <w:rFonts w:ascii="Arial Narrow" w:hAnsi="Arial Narrow"/>
                <w:strike/>
                <w:snapToGrid/>
                <w:sz w:val="20"/>
                <w:szCs w:val="20"/>
                <w:lang w:bidi="en-US"/>
              </w:rPr>
              <w:t>-based chemotherapy and, if appropriate, HER2/</w:t>
            </w:r>
            <w:proofErr w:type="spellStart"/>
            <w:r w:rsidRPr="001C25C2">
              <w:rPr>
                <w:rFonts w:ascii="Arial Narrow" w:hAnsi="Arial Narrow"/>
                <w:strike/>
                <w:snapToGrid/>
                <w:sz w:val="20"/>
                <w:szCs w:val="20"/>
                <w:lang w:bidi="en-US"/>
              </w:rPr>
              <w:t>neu</w:t>
            </w:r>
            <w:proofErr w:type="spellEnd"/>
            <w:r w:rsidRPr="001C25C2">
              <w:rPr>
                <w:rFonts w:ascii="Arial Narrow" w:hAnsi="Arial Narrow"/>
                <w:strike/>
                <w:snapToGrid/>
                <w:sz w:val="20"/>
                <w:szCs w:val="20"/>
                <w:lang w:bidi="en-US"/>
              </w:rPr>
              <w:t xml:space="preserve">-targeted therapy (i.e., </w:t>
            </w:r>
            <w:proofErr w:type="spellStart"/>
            <w:r w:rsidRPr="001C25C2">
              <w:rPr>
                <w:rFonts w:ascii="Arial Narrow" w:hAnsi="Arial Narrow"/>
                <w:strike/>
                <w:snapToGrid/>
                <w:sz w:val="20"/>
                <w:szCs w:val="20"/>
                <w:lang w:bidi="en-US"/>
              </w:rPr>
              <w:t>trastuzumab</w:t>
            </w:r>
            <w:proofErr w:type="spellEnd"/>
            <w:r w:rsidRPr="001C25C2">
              <w:rPr>
                <w:rFonts w:ascii="Arial Narrow" w:hAnsi="Arial Narrow"/>
                <w:strike/>
                <w:snapToGrid/>
                <w:sz w:val="20"/>
                <w:szCs w:val="20"/>
                <w:lang w:bidi="en-US"/>
              </w:rPr>
              <w:t>), OR</w:t>
            </w:r>
          </w:p>
          <w:p w:rsidR="00B45AB3" w:rsidRPr="001C25C2" w:rsidRDefault="00B45AB3" w:rsidP="001B5746">
            <w:pPr>
              <w:widowControl/>
              <w:pBdr>
                <w:bottom w:val="single" w:sz="4" w:space="1" w:color="auto"/>
              </w:pBdr>
              <w:spacing w:before="40" w:after="40" w:line="264" w:lineRule="auto"/>
              <w:contextualSpacing/>
              <w:jc w:val="left"/>
              <w:rPr>
                <w:rFonts w:ascii="Arial Narrow" w:hAnsi="Arial Narrow"/>
                <w:snapToGrid/>
                <w:sz w:val="20"/>
                <w:szCs w:val="20"/>
                <w:lang w:bidi="en-US"/>
              </w:rPr>
            </w:pPr>
            <w:r w:rsidRPr="001C25C2">
              <w:rPr>
                <w:rFonts w:ascii="Arial Narrow" w:hAnsi="Arial Narrow"/>
                <w:strike/>
                <w:snapToGrid/>
                <w:sz w:val="20"/>
                <w:szCs w:val="20"/>
                <w:lang w:bidi="en-US"/>
              </w:rPr>
              <w:t xml:space="preserve">Patient must not be a candidate for treatment with </w:t>
            </w:r>
            <w:proofErr w:type="spellStart"/>
            <w:r w:rsidRPr="001C25C2">
              <w:rPr>
                <w:rFonts w:ascii="Arial Narrow" w:hAnsi="Arial Narrow"/>
                <w:strike/>
                <w:snapToGrid/>
                <w:sz w:val="20"/>
                <w:szCs w:val="20"/>
                <w:lang w:bidi="en-US"/>
              </w:rPr>
              <w:t>fluoropyrimidine</w:t>
            </w:r>
            <w:proofErr w:type="spellEnd"/>
            <w:r w:rsidRPr="001C25C2">
              <w:rPr>
                <w:rFonts w:ascii="Arial Narrow" w:hAnsi="Arial Narrow"/>
                <w:strike/>
                <w:snapToGrid/>
                <w:sz w:val="20"/>
                <w:szCs w:val="20"/>
                <w:lang w:bidi="en-US"/>
              </w:rPr>
              <w:t xml:space="preserve">-, platinum- and either a </w:t>
            </w:r>
            <w:proofErr w:type="spellStart"/>
            <w:r w:rsidRPr="001C25C2">
              <w:rPr>
                <w:rFonts w:ascii="Arial Narrow" w:hAnsi="Arial Narrow"/>
                <w:strike/>
                <w:snapToGrid/>
                <w:sz w:val="20"/>
                <w:szCs w:val="20"/>
                <w:lang w:bidi="en-US"/>
              </w:rPr>
              <w:t>taxane</w:t>
            </w:r>
            <w:proofErr w:type="spellEnd"/>
            <w:r w:rsidRPr="001C25C2">
              <w:rPr>
                <w:rFonts w:ascii="Arial Narrow" w:hAnsi="Arial Narrow"/>
                <w:strike/>
                <w:snapToGrid/>
                <w:sz w:val="20"/>
                <w:szCs w:val="20"/>
                <w:lang w:bidi="en-US"/>
              </w:rPr>
              <w:t xml:space="preserve">- or </w:t>
            </w:r>
            <w:proofErr w:type="spellStart"/>
            <w:r w:rsidRPr="001C25C2">
              <w:rPr>
                <w:rFonts w:ascii="Arial Narrow" w:hAnsi="Arial Narrow"/>
                <w:strike/>
                <w:snapToGrid/>
                <w:sz w:val="20"/>
                <w:szCs w:val="20"/>
                <w:lang w:bidi="en-US"/>
              </w:rPr>
              <w:t>irinotecan</w:t>
            </w:r>
            <w:proofErr w:type="spellEnd"/>
            <w:r w:rsidRPr="001C25C2">
              <w:rPr>
                <w:rFonts w:ascii="Arial Narrow" w:hAnsi="Arial Narrow"/>
                <w:strike/>
                <w:snapToGrid/>
                <w:sz w:val="20"/>
                <w:szCs w:val="20"/>
                <w:lang w:bidi="en-US"/>
              </w:rPr>
              <w:t>-based chemotherapy and, if appropriate, HER2/</w:t>
            </w:r>
            <w:proofErr w:type="spellStart"/>
            <w:r w:rsidRPr="001C25C2">
              <w:rPr>
                <w:rFonts w:ascii="Arial Narrow" w:hAnsi="Arial Narrow"/>
                <w:strike/>
                <w:snapToGrid/>
                <w:sz w:val="20"/>
                <w:szCs w:val="20"/>
                <w:lang w:bidi="en-US"/>
              </w:rPr>
              <w:t>neu</w:t>
            </w:r>
            <w:proofErr w:type="spellEnd"/>
            <w:r w:rsidRPr="001C25C2">
              <w:rPr>
                <w:rFonts w:ascii="Arial Narrow" w:hAnsi="Arial Narrow"/>
                <w:strike/>
                <w:snapToGrid/>
                <w:sz w:val="20"/>
                <w:szCs w:val="20"/>
                <w:lang w:bidi="en-US"/>
              </w:rPr>
              <w:t xml:space="preserve">-targeted therapy (i.e., </w:t>
            </w:r>
            <w:proofErr w:type="spellStart"/>
            <w:r w:rsidRPr="001C25C2">
              <w:rPr>
                <w:rFonts w:ascii="Arial Narrow" w:hAnsi="Arial Narrow"/>
                <w:strike/>
                <w:snapToGrid/>
                <w:sz w:val="20"/>
                <w:szCs w:val="20"/>
                <w:lang w:bidi="en-US"/>
              </w:rPr>
              <w:t>trastuzumab</w:t>
            </w:r>
            <w:proofErr w:type="spellEnd"/>
            <w:r w:rsidRPr="001C25C2">
              <w:rPr>
                <w:rFonts w:ascii="Arial Narrow" w:hAnsi="Arial Narrow"/>
                <w:strike/>
                <w:snapToGrid/>
                <w:sz w:val="20"/>
                <w:szCs w:val="20"/>
                <w:lang w:bidi="en-US"/>
              </w:rPr>
              <w:t>).</w:t>
            </w:r>
            <w:r w:rsidRPr="001C25C2">
              <w:rPr>
                <w:rFonts w:ascii="Arial Narrow" w:hAnsi="Arial Narrow"/>
                <w:snapToGrid/>
                <w:sz w:val="20"/>
                <w:szCs w:val="20"/>
                <w:lang w:bidi="en-US"/>
              </w:rPr>
              <w:t xml:space="preserve"> [new concept]</w:t>
            </w:r>
          </w:p>
          <w:p w:rsidR="00B45AB3" w:rsidRPr="001C25C2" w:rsidRDefault="00B45AB3" w:rsidP="001B5746">
            <w:pPr>
              <w:widowControl/>
              <w:spacing w:before="40" w:after="40" w:line="264" w:lineRule="auto"/>
              <w:contextualSpacing/>
              <w:jc w:val="left"/>
              <w:rPr>
                <w:rFonts w:ascii="Arial Narrow" w:hAnsi="Arial Narrow"/>
                <w:i/>
                <w:snapToGrid/>
                <w:sz w:val="20"/>
                <w:szCs w:val="20"/>
                <w:lang w:bidi="en-US"/>
              </w:rPr>
            </w:pPr>
            <w:r w:rsidRPr="001C25C2">
              <w:rPr>
                <w:rFonts w:ascii="Arial Narrow" w:hAnsi="Arial Narrow"/>
                <w:i/>
                <w:snapToGrid/>
                <w:sz w:val="20"/>
                <w:szCs w:val="20"/>
                <w:lang w:bidi="en-US"/>
              </w:rPr>
              <w:t>AND</w:t>
            </w:r>
          </w:p>
          <w:p w:rsidR="00447E80" w:rsidRPr="001C25C2" w:rsidRDefault="00447E80" w:rsidP="00447E80">
            <w:pPr>
              <w:widowControl/>
              <w:spacing w:before="40" w:after="40" w:line="264" w:lineRule="auto"/>
              <w:contextualSpacing/>
              <w:jc w:val="left"/>
              <w:rPr>
                <w:rFonts w:ascii="Arial Narrow" w:hAnsi="Arial Narrow"/>
                <w:i/>
                <w:snapToGrid/>
                <w:sz w:val="20"/>
                <w:szCs w:val="20"/>
                <w:lang w:bidi="en-US"/>
              </w:rPr>
            </w:pPr>
            <w:r w:rsidRPr="001C25C2">
              <w:rPr>
                <w:rFonts w:ascii="Arial Narrow" w:hAnsi="Arial Narrow"/>
                <w:i/>
                <w:snapToGrid/>
                <w:sz w:val="20"/>
                <w:szCs w:val="20"/>
                <w:lang w:bidi="en-US"/>
              </w:rPr>
              <w:t xml:space="preserve">Patient must have previously received at least two prior lines of chemotherapy that included a </w:t>
            </w:r>
            <w:proofErr w:type="spellStart"/>
            <w:r w:rsidRPr="001C25C2">
              <w:rPr>
                <w:rFonts w:ascii="Arial Narrow" w:hAnsi="Arial Narrow"/>
                <w:i/>
                <w:snapToGrid/>
                <w:sz w:val="20"/>
                <w:szCs w:val="20"/>
                <w:lang w:bidi="en-US"/>
              </w:rPr>
              <w:t>fluoropyrimidine</w:t>
            </w:r>
            <w:proofErr w:type="spellEnd"/>
            <w:r w:rsidRPr="001C25C2">
              <w:rPr>
                <w:rFonts w:ascii="Arial Narrow" w:hAnsi="Arial Narrow"/>
                <w:i/>
                <w:snapToGrid/>
                <w:sz w:val="20"/>
                <w:szCs w:val="20"/>
                <w:lang w:bidi="en-US"/>
              </w:rPr>
              <w:t xml:space="preserve">, a platinum, either a </w:t>
            </w:r>
            <w:proofErr w:type="spellStart"/>
            <w:r w:rsidRPr="001C25C2">
              <w:rPr>
                <w:rFonts w:ascii="Arial Narrow" w:hAnsi="Arial Narrow"/>
                <w:i/>
                <w:snapToGrid/>
                <w:sz w:val="20"/>
                <w:szCs w:val="20"/>
                <w:lang w:bidi="en-US"/>
              </w:rPr>
              <w:t>taxane</w:t>
            </w:r>
            <w:proofErr w:type="spellEnd"/>
            <w:r w:rsidRPr="001C25C2">
              <w:rPr>
                <w:rFonts w:ascii="Arial Narrow" w:hAnsi="Arial Narrow"/>
                <w:i/>
                <w:snapToGrid/>
                <w:sz w:val="20"/>
                <w:szCs w:val="20"/>
                <w:lang w:bidi="en-US"/>
              </w:rPr>
              <w:t xml:space="preserve"> or </w:t>
            </w:r>
            <w:proofErr w:type="spellStart"/>
            <w:r w:rsidRPr="001C25C2">
              <w:rPr>
                <w:rFonts w:ascii="Arial Narrow" w:hAnsi="Arial Narrow"/>
                <w:i/>
                <w:snapToGrid/>
                <w:sz w:val="20"/>
                <w:szCs w:val="20"/>
                <w:lang w:bidi="en-US"/>
              </w:rPr>
              <w:t>irinotecan</w:t>
            </w:r>
            <w:proofErr w:type="spellEnd"/>
            <w:r w:rsidR="00407768" w:rsidRPr="001C25C2">
              <w:rPr>
                <w:rFonts w:ascii="Arial Narrow" w:hAnsi="Arial Narrow"/>
                <w:i/>
                <w:snapToGrid/>
                <w:sz w:val="20"/>
                <w:szCs w:val="20"/>
                <w:lang w:bidi="en-US"/>
              </w:rPr>
              <w:t>.</w:t>
            </w:r>
          </w:p>
          <w:p w:rsidR="00447E80" w:rsidRPr="001C25C2" w:rsidRDefault="00447E80" w:rsidP="001B5746">
            <w:pPr>
              <w:widowControl/>
              <w:spacing w:before="40" w:after="40" w:line="264" w:lineRule="auto"/>
              <w:contextualSpacing/>
              <w:jc w:val="left"/>
              <w:rPr>
                <w:rFonts w:ascii="Arial Narrow" w:hAnsi="Arial Narrow"/>
                <w:snapToGrid/>
                <w:sz w:val="20"/>
                <w:szCs w:val="20"/>
                <w:lang w:bidi="en-US"/>
              </w:rPr>
            </w:pPr>
          </w:p>
          <w:p w:rsidR="00B45AB3" w:rsidRPr="001C25C2" w:rsidRDefault="00B45AB3" w:rsidP="001B5746">
            <w:pPr>
              <w:widowControl/>
              <w:spacing w:before="40" w:after="40" w:line="264" w:lineRule="auto"/>
              <w:contextualSpacing/>
              <w:jc w:val="left"/>
              <w:rPr>
                <w:rFonts w:ascii="Arial Narrow" w:hAnsi="Arial Narrow"/>
                <w:i/>
                <w:snapToGrid/>
                <w:sz w:val="20"/>
                <w:szCs w:val="20"/>
                <w:lang w:bidi="en-US"/>
              </w:rPr>
            </w:pPr>
            <w:r w:rsidRPr="001C25C2">
              <w:rPr>
                <w:rFonts w:ascii="Arial Narrow" w:hAnsi="Arial Narrow"/>
                <w:i/>
                <w:snapToGrid/>
                <w:sz w:val="20"/>
                <w:szCs w:val="20"/>
                <w:lang w:bidi="en-US"/>
              </w:rPr>
              <w:t>AND</w:t>
            </w:r>
          </w:p>
          <w:p w:rsidR="00B45AB3" w:rsidRPr="001C25C2" w:rsidRDefault="00B45AB3" w:rsidP="001B5746">
            <w:pPr>
              <w:widowControl/>
              <w:spacing w:before="40" w:after="40" w:line="264" w:lineRule="auto"/>
              <w:contextualSpacing/>
              <w:jc w:val="left"/>
              <w:rPr>
                <w:rFonts w:ascii="Arial Narrow" w:hAnsi="Arial Narrow"/>
                <w:snapToGrid/>
                <w:sz w:val="20"/>
                <w:szCs w:val="20"/>
                <w:lang w:bidi="en-US"/>
              </w:rPr>
            </w:pPr>
            <w:r w:rsidRPr="001C25C2">
              <w:rPr>
                <w:rFonts w:ascii="Arial Narrow" w:hAnsi="Arial Narrow"/>
                <w:i/>
                <w:snapToGrid/>
                <w:sz w:val="20"/>
                <w:szCs w:val="20"/>
                <w:lang w:bidi="en-US"/>
              </w:rPr>
              <w:t>The treatment must be the sole PBS-subsidised therapy for this condition</w:t>
            </w:r>
            <w:r w:rsidRPr="001C25C2">
              <w:rPr>
                <w:rFonts w:ascii="Arial Narrow" w:hAnsi="Arial Narrow"/>
                <w:snapToGrid/>
                <w:sz w:val="20"/>
                <w:szCs w:val="20"/>
                <w:lang w:bidi="en-US"/>
              </w:rPr>
              <w:t xml:space="preserve"> [7890]</w:t>
            </w:r>
          </w:p>
        </w:tc>
      </w:tr>
      <w:tr w:rsidR="00B45AB3" w:rsidRPr="001C25C2" w:rsidTr="001B5746">
        <w:trPr>
          <w:cantSplit/>
          <w:trHeight w:val="360"/>
        </w:trPr>
        <w:tc>
          <w:tcPr>
            <w:tcW w:w="1045"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64" w:lineRule="auto"/>
              <w:rPr>
                <w:rFonts w:ascii="Arial Narrow" w:hAnsi="Arial Narrow"/>
                <w:b/>
                <w:strike/>
                <w:snapToGrid/>
                <w:sz w:val="20"/>
                <w:szCs w:val="20"/>
                <w:lang w:bidi="en-US"/>
              </w:rPr>
            </w:pPr>
            <w:r w:rsidRPr="001C25C2">
              <w:rPr>
                <w:rFonts w:ascii="Arial Narrow" w:hAnsi="Arial Narrow"/>
                <w:b/>
                <w:strike/>
                <w:snapToGrid/>
                <w:sz w:val="20"/>
                <w:szCs w:val="20"/>
                <w:lang w:bidi="en-US"/>
              </w:rPr>
              <w:lastRenderedPageBreak/>
              <w:t>Administrative Advice</w:t>
            </w:r>
          </w:p>
          <w:p w:rsidR="00B45AB3" w:rsidRPr="001C25C2" w:rsidRDefault="00B45AB3" w:rsidP="001B5746">
            <w:pPr>
              <w:widowControl/>
              <w:spacing w:before="40" w:after="40" w:line="264" w:lineRule="auto"/>
              <w:rPr>
                <w:rFonts w:ascii="Arial Narrow" w:hAnsi="Arial Narrow"/>
                <w:b/>
                <w:i/>
                <w:snapToGrid/>
                <w:sz w:val="20"/>
                <w:szCs w:val="20"/>
                <w:lang w:bidi="en-US"/>
              </w:rPr>
            </w:pPr>
            <w:r w:rsidRPr="001C25C2">
              <w:rPr>
                <w:rFonts w:ascii="Arial Narrow" w:hAnsi="Arial Narrow"/>
                <w:b/>
                <w:i/>
                <w:snapToGrid/>
                <w:sz w:val="20"/>
                <w:szCs w:val="20"/>
                <w:lang w:bidi="en-US"/>
              </w:rPr>
              <w:t>Prescriber Instructions:</w:t>
            </w:r>
          </w:p>
        </w:tc>
        <w:tc>
          <w:tcPr>
            <w:tcW w:w="3955"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t>The patients WHO performance status and body weight must be documented in the patient's medical records at the time the treatment cycle is initiated. [10024]</w:t>
            </w:r>
          </w:p>
        </w:tc>
      </w:tr>
      <w:tr w:rsidR="00B45AB3" w:rsidRPr="001C25C2" w:rsidTr="001B5746">
        <w:trPr>
          <w:cantSplit/>
          <w:trHeight w:val="360"/>
        </w:trPr>
        <w:tc>
          <w:tcPr>
            <w:tcW w:w="1045"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64" w:lineRule="auto"/>
              <w:rPr>
                <w:rFonts w:ascii="Arial Narrow" w:hAnsi="Arial Narrow"/>
                <w:b/>
                <w:snapToGrid/>
                <w:sz w:val="20"/>
                <w:szCs w:val="20"/>
                <w:lang w:bidi="en-US"/>
              </w:rPr>
            </w:pPr>
            <w:r w:rsidRPr="001C25C2">
              <w:rPr>
                <w:rFonts w:ascii="Arial Narrow" w:hAnsi="Arial Narrow"/>
                <w:b/>
                <w:i/>
                <w:snapToGrid/>
                <w:sz w:val="20"/>
                <w:szCs w:val="20"/>
                <w:lang w:bidi="en-US"/>
              </w:rPr>
              <w:t xml:space="preserve">Administrative </w:t>
            </w:r>
            <w:r w:rsidRPr="001C25C2">
              <w:rPr>
                <w:rFonts w:ascii="Arial Narrow" w:hAnsi="Arial Narrow"/>
                <w:b/>
                <w:snapToGrid/>
                <w:sz w:val="20"/>
                <w:szCs w:val="20"/>
                <w:lang w:bidi="en-US"/>
              </w:rPr>
              <w:t>Advice</w:t>
            </w:r>
          </w:p>
        </w:tc>
        <w:tc>
          <w:tcPr>
            <w:tcW w:w="3955"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t>No increase in maximum quantity or number of units may be authorised. [7606]</w:t>
            </w:r>
          </w:p>
          <w:p w:rsidR="00B45AB3" w:rsidRPr="001C25C2" w:rsidRDefault="00B45AB3" w:rsidP="001B5746">
            <w:pPr>
              <w:widowControl/>
              <w:pBdr>
                <w:top w:val="single" w:sz="4" w:space="1" w:color="auto"/>
                <w:bottom w:val="single" w:sz="4" w:space="1" w:color="auto"/>
              </w:pBdr>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t>No increase in the maximum number of repeats may be authorised. [7607]</w:t>
            </w:r>
          </w:p>
          <w:p w:rsidR="00B45AB3" w:rsidRPr="001C25C2" w:rsidRDefault="00B45AB3" w:rsidP="001B5746">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t>Special Pricing Arrangements apply [7608]</w:t>
            </w:r>
          </w:p>
        </w:tc>
      </w:tr>
    </w:tbl>
    <w:p w:rsidR="00A42B8D" w:rsidRPr="001C25C2" w:rsidRDefault="00A42B8D"/>
    <w:tbl>
      <w:tblPr>
        <w:tblW w:w="5000" w:type="pct"/>
        <w:tblInd w:w="-5" w:type="dxa"/>
        <w:tblLook w:val="0000" w:firstRow="0" w:lastRow="0" w:firstColumn="0" w:lastColumn="0" w:noHBand="0" w:noVBand="0"/>
      </w:tblPr>
      <w:tblGrid>
        <w:gridCol w:w="1897"/>
        <w:gridCol w:w="1693"/>
        <w:gridCol w:w="698"/>
        <w:gridCol w:w="610"/>
        <w:gridCol w:w="1574"/>
        <w:gridCol w:w="1398"/>
        <w:gridCol w:w="1147"/>
      </w:tblGrid>
      <w:tr w:rsidR="00B45AB3" w:rsidRPr="001C25C2" w:rsidTr="001B5746">
        <w:trPr>
          <w:cantSplit/>
          <w:trHeight w:val="465"/>
        </w:trPr>
        <w:tc>
          <w:tcPr>
            <w:tcW w:w="1991" w:type="pct"/>
            <w:gridSpan w:val="2"/>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Name, Restriction,</w:t>
            </w:r>
          </w:p>
          <w:p w:rsidR="00B45AB3" w:rsidRPr="001C25C2" w:rsidRDefault="00B45AB3" w:rsidP="001B5746">
            <w:pPr>
              <w:keepNext/>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Manner of administration and form</w:t>
            </w:r>
          </w:p>
        </w:tc>
        <w:tc>
          <w:tcPr>
            <w:tcW w:w="387"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before="40" w:after="40" w:line="259" w:lineRule="auto"/>
              <w:jc w:val="center"/>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Max.</w:t>
            </w:r>
          </w:p>
          <w:p w:rsidR="00B45AB3" w:rsidRPr="001C25C2" w:rsidRDefault="00B45AB3" w:rsidP="001B5746">
            <w:pPr>
              <w:keepNext/>
              <w:widowControl/>
              <w:spacing w:before="40" w:after="40" w:line="259" w:lineRule="auto"/>
              <w:jc w:val="center"/>
              <w:rPr>
                <w:rFonts w:ascii="Arial Narrow" w:eastAsia="Calibri" w:hAnsi="Arial Narrow" w:cs="Times New Roman"/>
                <w:b/>
                <w:snapToGrid/>
                <w:sz w:val="20"/>
                <w:szCs w:val="20"/>
              </w:rPr>
            </w:pPr>
            <w:proofErr w:type="spellStart"/>
            <w:r w:rsidRPr="001C25C2">
              <w:rPr>
                <w:rFonts w:ascii="Arial Narrow" w:eastAsia="Calibri" w:hAnsi="Arial Narrow" w:cs="Times New Roman"/>
                <w:b/>
                <w:snapToGrid/>
                <w:sz w:val="20"/>
                <w:szCs w:val="20"/>
              </w:rPr>
              <w:t>Qty</w:t>
            </w:r>
            <w:proofErr w:type="spellEnd"/>
          </w:p>
        </w:tc>
        <w:tc>
          <w:tcPr>
            <w:tcW w:w="338"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before="40" w:after="40" w:line="259" w:lineRule="auto"/>
              <w:jc w:val="center"/>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№.of</w:t>
            </w:r>
          </w:p>
          <w:p w:rsidR="00B45AB3" w:rsidRPr="001C25C2" w:rsidRDefault="00B45AB3" w:rsidP="001B5746">
            <w:pPr>
              <w:keepNext/>
              <w:widowControl/>
              <w:spacing w:before="40" w:after="40" w:line="259" w:lineRule="auto"/>
              <w:jc w:val="center"/>
              <w:rPr>
                <w:rFonts w:ascii="Arial Narrow" w:eastAsia="Calibri" w:hAnsi="Arial Narrow" w:cs="Times New Roman"/>
                <w:b/>
                <w:snapToGrid/>
                <w:sz w:val="20"/>
                <w:szCs w:val="20"/>
              </w:rPr>
            </w:pPr>
            <w:proofErr w:type="spellStart"/>
            <w:r w:rsidRPr="001C25C2">
              <w:rPr>
                <w:rFonts w:ascii="Arial Narrow" w:eastAsia="Calibri" w:hAnsi="Arial Narrow" w:cs="Times New Roman"/>
                <w:b/>
                <w:snapToGrid/>
                <w:sz w:val="20"/>
                <w:szCs w:val="20"/>
              </w:rPr>
              <w:t>Rpts</w:t>
            </w:r>
            <w:proofErr w:type="spellEnd"/>
          </w:p>
        </w:tc>
        <w:tc>
          <w:tcPr>
            <w:tcW w:w="873"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before="40" w:after="40" w:line="259" w:lineRule="auto"/>
              <w:jc w:val="center"/>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 xml:space="preserve">Dispensed Price for Max. </w:t>
            </w:r>
            <w:proofErr w:type="spellStart"/>
            <w:r w:rsidRPr="001C25C2">
              <w:rPr>
                <w:rFonts w:ascii="Arial Narrow" w:eastAsia="Calibri" w:hAnsi="Arial Narrow" w:cs="Times New Roman"/>
                <w:b/>
                <w:snapToGrid/>
                <w:sz w:val="20"/>
                <w:szCs w:val="20"/>
              </w:rPr>
              <w:t>Qty</w:t>
            </w:r>
            <w:proofErr w:type="spellEnd"/>
          </w:p>
        </w:tc>
        <w:tc>
          <w:tcPr>
            <w:tcW w:w="1411" w:type="pct"/>
            <w:gridSpan w:val="2"/>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before="40" w:after="40" w:line="259" w:lineRule="auto"/>
              <w:jc w:val="center"/>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Proprietary Name and Manufacturer</w:t>
            </w:r>
          </w:p>
        </w:tc>
      </w:tr>
      <w:tr w:rsidR="00B45AB3" w:rsidRPr="001C25C2" w:rsidTr="001B5746">
        <w:trPr>
          <w:cantSplit/>
          <w:trHeight w:val="1033"/>
        </w:trPr>
        <w:tc>
          <w:tcPr>
            <w:tcW w:w="1991" w:type="pct"/>
            <w:gridSpan w:val="2"/>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line="259" w:lineRule="auto"/>
              <w:ind w:left="-108"/>
              <w:rPr>
                <w:rFonts w:ascii="Arial Narrow" w:eastAsia="Calibri" w:hAnsi="Arial Narrow" w:cs="Times New Roman"/>
                <w:smallCaps/>
                <w:snapToGrid/>
                <w:sz w:val="20"/>
                <w:szCs w:val="20"/>
              </w:rPr>
            </w:pPr>
            <w:r w:rsidRPr="001C25C2">
              <w:rPr>
                <w:rFonts w:ascii="Arial Narrow" w:eastAsia="Calibri" w:hAnsi="Arial Narrow" w:cs="Times New Roman"/>
                <w:smallCaps/>
                <w:snapToGrid/>
                <w:sz w:val="20"/>
                <w:szCs w:val="20"/>
              </w:rPr>
              <w:t>TRIFLURIDINE + TIPIRACIL</w:t>
            </w:r>
          </w:p>
          <w:p w:rsidR="00B45AB3" w:rsidRPr="001C25C2" w:rsidRDefault="00B45AB3" w:rsidP="001B5746">
            <w:pPr>
              <w:keepNext/>
              <w:widowControl/>
              <w:spacing w:line="259" w:lineRule="auto"/>
              <w:ind w:left="-108"/>
              <w:rPr>
                <w:rFonts w:ascii="Arial Narrow" w:eastAsia="Calibri" w:hAnsi="Arial Narrow" w:cs="Times New Roman"/>
                <w:snapToGrid/>
                <w:sz w:val="20"/>
                <w:szCs w:val="20"/>
              </w:rPr>
            </w:pPr>
            <w:proofErr w:type="spellStart"/>
            <w:r w:rsidRPr="001C25C2">
              <w:rPr>
                <w:rFonts w:ascii="Arial Narrow" w:eastAsia="Calibri" w:hAnsi="Arial Narrow" w:cs="Times New Roman"/>
                <w:snapToGrid/>
                <w:sz w:val="20"/>
                <w:szCs w:val="20"/>
              </w:rPr>
              <w:t>Trifluridine</w:t>
            </w:r>
            <w:proofErr w:type="spellEnd"/>
            <w:r w:rsidRPr="001C25C2">
              <w:rPr>
                <w:rFonts w:ascii="Arial Narrow" w:eastAsia="Calibri" w:hAnsi="Arial Narrow" w:cs="Times New Roman"/>
                <w:snapToGrid/>
                <w:sz w:val="20"/>
                <w:szCs w:val="20"/>
              </w:rPr>
              <w:t xml:space="preserve"> 15 mg + </w:t>
            </w:r>
            <w:proofErr w:type="spellStart"/>
            <w:r w:rsidRPr="001C25C2">
              <w:rPr>
                <w:rFonts w:ascii="Arial Narrow" w:eastAsia="Calibri" w:hAnsi="Arial Narrow" w:cs="Times New Roman"/>
                <w:snapToGrid/>
                <w:sz w:val="20"/>
                <w:szCs w:val="20"/>
              </w:rPr>
              <w:t>tipiracil</w:t>
            </w:r>
            <w:proofErr w:type="spellEnd"/>
            <w:r w:rsidRPr="001C25C2">
              <w:rPr>
                <w:rFonts w:ascii="Arial Narrow" w:eastAsia="Calibri" w:hAnsi="Arial Narrow" w:cs="Times New Roman"/>
                <w:snapToGrid/>
                <w:sz w:val="20"/>
                <w:szCs w:val="20"/>
              </w:rPr>
              <w:t xml:space="preserve"> 6.14 mg tablet, 20</w:t>
            </w:r>
          </w:p>
          <w:p w:rsidR="00B45AB3" w:rsidRPr="001C25C2" w:rsidRDefault="00B45AB3" w:rsidP="001B5746">
            <w:pPr>
              <w:keepNext/>
              <w:widowControl/>
              <w:spacing w:line="259" w:lineRule="auto"/>
              <w:ind w:left="-108"/>
              <w:rPr>
                <w:rFonts w:ascii="Arial Narrow" w:eastAsia="Calibri" w:hAnsi="Arial Narrow" w:cs="Times New Roman"/>
                <w:snapToGrid/>
                <w:sz w:val="20"/>
                <w:szCs w:val="20"/>
              </w:rPr>
            </w:pPr>
            <w:proofErr w:type="spellStart"/>
            <w:r w:rsidRPr="001C25C2">
              <w:rPr>
                <w:rFonts w:ascii="Arial Narrow" w:eastAsia="Calibri" w:hAnsi="Arial Narrow" w:cs="Times New Roman"/>
                <w:snapToGrid/>
                <w:sz w:val="20"/>
                <w:szCs w:val="20"/>
              </w:rPr>
              <w:t>Trifluridine</w:t>
            </w:r>
            <w:proofErr w:type="spellEnd"/>
            <w:r w:rsidRPr="001C25C2">
              <w:rPr>
                <w:rFonts w:ascii="Arial Narrow" w:eastAsia="Calibri" w:hAnsi="Arial Narrow" w:cs="Times New Roman"/>
                <w:snapToGrid/>
                <w:sz w:val="20"/>
                <w:szCs w:val="20"/>
              </w:rPr>
              <w:t xml:space="preserve"> 20 mg + </w:t>
            </w:r>
            <w:proofErr w:type="spellStart"/>
            <w:r w:rsidRPr="001C25C2">
              <w:rPr>
                <w:rFonts w:ascii="Arial Narrow" w:eastAsia="Calibri" w:hAnsi="Arial Narrow" w:cs="Times New Roman"/>
                <w:snapToGrid/>
                <w:sz w:val="20"/>
                <w:szCs w:val="20"/>
              </w:rPr>
              <w:t>tipiracil</w:t>
            </w:r>
            <w:proofErr w:type="spellEnd"/>
            <w:r w:rsidRPr="001C25C2">
              <w:rPr>
                <w:rFonts w:ascii="Arial Narrow" w:eastAsia="Calibri" w:hAnsi="Arial Narrow" w:cs="Times New Roman"/>
                <w:snapToGrid/>
                <w:sz w:val="20"/>
                <w:szCs w:val="20"/>
              </w:rPr>
              <w:t xml:space="preserve"> 8.19 mg tablet, 20</w:t>
            </w:r>
          </w:p>
        </w:tc>
        <w:tc>
          <w:tcPr>
            <w:tcW w:w="387"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line="259" w:lineRule="auto"/>
              <w:jc w:val="center"/>
              <w:rPr>
                <w:rFonts w:ascii="Arial Narrow" w:eastAsia="Calibri" w:hAnsi="Arial Narrow" w:cs="Times New Roman"/>
                <w:snapToGrid/>
                <w:sz w:val="20"/>
                <w:szCs w:val="20"/>
              </w:rPr>
            </w:pPr>
          </w:p>
          <w:p w:rsidR="00B45AB3" w:rsidRPr="001C25C2" w:rsidRDefault="00B45AB3" w:rsidP="001B5746">
            <w:pPr>
              <w:keepNext/>
              <w:widowControl/>
              <w:spacing w:line="259" w:lineRule="auto"/>
              <w:jc w:val="center"/>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3</w:t>
            </w:r>
          </w:p>
          <w:p w:rsidR="00B45AB3" w:rsidRPr="001C25C2" w:rsidRDefault="00B45AB3" w:rsidP="001B5746">
            <w:pPr>
              <w:keepNext/>
              <w:widowControl/>
              <w:spacing w:line="259" w:lineRule="auto"/>
              <w:jc w:val="center"/>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4</w:t>
            </w:r>
          </w:p>
        </w:tc>
        <w:tc>
          <w:tcPr>
            <w:tcW w:w="338"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line="259" w:lineRule="auto"/>
              <w:jc w:val="center"/>
              <w:rPr>
                <w:rFonts w:ascii="Arial Narrow" w:eastAsia="Calibri" w:hAnsi="Arial Narrow" w:cs="Times New Roman"/>
                <w:snapToGrid/>
                <w:sz w:val="20"/>
                <w:szCs w:val="20"/>
              </w:rPr>
            </w:pPr>
          </w:p>
          <w:p w:rsidR="00B45AB3" w:rsidRPr="001C25C2" w:rsidRDefault="00B45AB3" w:rsidP="001B5746">
            <w:pPr>
              <w:keepNext/>
              <w:widowControl/>
              <w:spacing w:line="259" w:lineRule="auto"/>
              <w:jc w:val="center"/>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2</w:t>
            </w:r>
          </w:p>
          <w:p w:rsidR="00B45AB3" w:rsidRPr="001C25C2" w:rsidRDefault="00B45AB3" w:rsidP="001B5746">
            <w:pPr>
              <w:keepNext/>
              <w:widowControl/>
              <w:spacing w:line="259" w:lineRule="auto"/>
              <w:jc w:val="center"/>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2</w:t>
            </w:r>
          </w:p>
        </w:tc>
        <w:tc>
          <w:tcPr>
            <w:tcW w:w="873"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line="259" w:lineRule="auto"/>
              <w:jc w:val="center"/>
              <w:rPr>
                <w:rFonts w:ascii="Arial Narrow" w:eastAsia="Calibri" w:hAnsi="Arial Narrow" w:cs="Times New Roman"/>
                <w:snapToGrid/>
                <w:sz w:val="20"/>
                <w:szCs w:val="20"/>
              </w:rPr>
            </w:pPr>
          </w:p>
          <w:p w:rsidR="00B45AB3" w:rsidRPr="001C25C2" w:rsidRDefault="00B45AB3" w:rsidP="001B5746">
            <w:pPr>
              <w:keepNext/>
              <w:widowControl/>
              <w:spacing w:line="259" w:lineRule="auto"/>
              <w:ind w:left="-108"/>
              <w:jc w:val="center"/>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$2,272.44</w:t>
            </w:r>
          </w:p>
          <w:p w:rsidR="00B45AB3" w:rsidRPr="001C25C2" w:rsidRDefault="00B45AB3" w:rsidP="001B5746">
            <w:pPr>
              <w:keepNext/>
              <w:widowControl/>
              <w:spacing w:line="259" w:lineRule="auto"/>
              <w:ind w:left="-108"/>
              <w:jc w:val="center"/>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$3,922.49</w:t>
            </w:r>
          </w:p>
          <w:p w:rsidR="00B45AB3" w:rsidRPr="001C25C2" w:rsidRDefault="00B45AB3" w:rsidP="001B5746">
            <w:pPr>
              <w:keepNext/>
              <w:widowControl/>
              <w:spacing w:line="259" w:lineRule="auto"/>
              <w:ind w:left="-108"/>
              <w:jc w:val="center"/>
              <w:rPr>
                <w:rFonts w:ascii="Arial Narrow" w:eastAsia="Calibri" w:hAnsi="Arial Narrow" w:cs="Times New Roman"/>
                <w:snapToGrid/>
                <w:sz w:val="20"/>
                <w:szCs w:val="20"/>
              </w:rPr>
            </w:pPr>
          </w:p>
        </w:tc>
        <w:tc>
          <w:tcPr>
            <w:tcW w:w="775"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line="259" w:lineRule="auto"/>
              <w:jc w:val="center"/>
              <w:rPr>
                <w:rFonts w:ascii="Arial Narrow" w:eastAsia="Calibri" w:hAnsi="Arial Narrow" w:cs="Times New Roman"/>
                <w:snapToGrid/>
                <w:sz w:val="20"/>
                <w:szCs w:val="20"/>
              </w:rPr>
            </w:pPr>
          </w:p>
          <w:p w:rsidR="00B45AB3" w:rsidRPr="001C25C2" w:rsidRDefault="00B45AB3" w:rsidP="001B5746">
            <w:pPr>
              <w:keepNext/>
              <w:widowControl/>
              <w:spacing w:line="259" w:lineRule="auto"/>
              <w:jc w:val="center"/>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LONSURF 15/6.14</w:t>
            </w:r>
          </w:p>
          <w:p w:rsidR="00B45AB3" w:rsidRPr="001C25C2" w:rsidRDefault="00B45AB3" w:rsidP="001B5746">
            <w:pPr>
              <w:keepNext/>
              <w:widowControl/>
              <w:spacing w:line="259" w:lineRule="auto"/>
              <w:jc w:val="center"/>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LONSURF 20/8.19</w:t>
            </w:r>
          </w:p>
        </w:tc>
        <w:tc>
          <w:tcPr>
            <w:tcW w:w="636"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keepNext/>
              <w:widowControl/>
              <w:spacing w:line="259" w:lineRule="auto"/>
              <w:jc w:val="center"/>
              <w:rPr>
                <w:rFonts w:ascii="Arial Narrow" w:eastAsia="Calibri" w:hAnsi="Arial Narrow" w:cs="Times New Roman"/>
                <w:snapToGrid/>
                <w:sz w:val="20"/>
                <w:szCs w:val="20"/>
              </w:rPr>
            </w:pPr>
          </w:p>
          <w:p w:rsidR="00B45AB3" w:rsidRPr="001C25C2" w:rsidRDefault="00B45AB3" w:rsidP="001B5746">
            <w:pPr>
              <w:keepNext/>
              <w:widowControl/>
              <w:spacing w:line="259" w:lineRule="auto"/>
              <w:jc w:val="center"/>
              <w:rPr>
                <w:rFonts w:ascii="Arial Narrow" w:eastAsia="Calibri" w:hAnsi="Arial Narrow" w:cs="Times New Roman"/>
                <w:snapToGrid/>
                <w:sz w:val="20"/>
                <w:szCs w:val="20"/>
              </w:rPr>
            </w:pPr>
            <w:proofErr w:type="spellStart"/>
            <w:r w:rsidRPr="001C25C2">
              <w:rPr>
                <w:rFonts w:ascii="Arial Narrow" w:eastAsia="Calibri" w:hAnsi="Arial Narrow" w:cs="Times New Roman"/>
                <w:snapToGrid/>
                <w:sz w:val="20"/>
                <w:szCs w:val="20"/>
              </w:rPr>
              <w:t>Servier</w:t>
            </w:r>
            <w:proofErr w:type="spellEnd"/>
            <w:r w:rsidRPr="001C25C2">
              <w:rPr>
                <w:rFonts w:ascii="Arial Narrow" w:eastAsia="Calibri" w:hAnsi="Arial Narrow" w:cs="Times New Roman"/>
                <w:snapToGrid/>
                <w:sz w:val="20"/>
                <w:szCs w:val="20"/>
              </w:rPr>
              <w:t xml:space="preserve"> Laboratories</w:t>
            </w:r>
          </w:p>
        </w:tc>
      </w:tr>
      <w:tr w:rsidR="00B45AB3" w:rsidRPr="001C25C2" w:rsidTr="001B5746">
        <w:trPr>
          <w:cantSplit/>
          <w:trHeight w:val="360"/>
        </w:trPr>
        <w:tc>
          <w:tcPr>
            <w:tcW w:w="1052"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Category / Program</w:t>
            </w:r>
          </w:p>
        </w:tc>
        <w:tc>
          <w:tcPr>
            <w:tcW w:w="3948"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GENERAL – General Schedule (Code GE)</w:t>
            </w:r>
          </w:p>
        </w:tc>
      </w:tr>
      <w:tr w:rsidR="00B45AB3" w:rsidRPr="001C25C2" w:rsidTr="001B5746">
        <w:trPr>
          <w:cantSplit/>
          <w:trHeight w:val="360"/>
        </w:trPr>
        <w:tc>
          <w:tcPr>
            <w:tcW w:w="1052"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Prescriber type:</w:t>
            </w:r>
          </w:p>
        </w:tc>
        <w:tc>
          <w:tcPr>
            <w:tcW w:w="3948"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fldChar w:fldCharType="begin">
                <w:ffData>
                  <w:name w:val="Check1"/>
                  <w:enabled/>
                  <w:calcOnExit w:val="0"/>
                  <w:checkBox>
                    <w:sizeAuto/>
                    <w:default w:val="0"/>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 xml:space="preserve">Dental  </w:t>
            </w:r>
            <w:r w:rsidRPr="001C25C2">
              <w:rPr>
                <w:rFonts w:ascii="Arial Narrow" w:eastAsia="Calibri" w:hAnsi="Arial Narrow" w:cs="Times New Roman"/>
                <w:snapToGrid/>
                <w:sz w:val="20"/>
                <w:szCs w:val="20"/>
              </w:rPr>
              <w:fldChar w:fldCharType="begin">
                <w:ffData>
                  <w:name w:val=""/>
                  <w:enabled/>
                  <w:calcOnExit w:val="0"/>
                  <w:checkBox>
                    <w:sizeAuto/>
                    <w:default w:val="1"/>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 xml:space="preserve">Medical Practitioners  </w:t>
            </w:r>
            <w:r w:rsidRPr="001C25C2">
              <w:rPr>
                <w:rFonts w:ascii="Arial Narrow" w:eastAsia="Calibri" w:hAnsi="Arial Narrow" w:cs="Times New Roman"/>
                <w:snapToGrid/>
                <w:sz w:val="20"/>
                <w:szCs w:val="20"/>
              </w:rPr>
              <w:fldChar w:fldCharType="begin">
                <w:ffData>
                  <w:name w:val="Check3"/>
                  <w:enabled/>
                  <w:calcOnExit w:val="0"/>
                  <w:checkBox>
                    <w:sizeAuto/>
                    <w:default w:val="0"/>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 xml:space="preserve">Nurse practitioners  </w:t>
            </w:r>
            <w:r w:rsidRPr="001C25C2">
              <w:rPr>
                <w:rFonts w:ascii="Arial Narrow" w:eastAsia="Calibri" w:hAnsi="Arial Narrow" w:cs="Times New Roman"/>
                <w:snapToGrid/>
                <w:sz w:val="20"/>
                <w:szCs w:val="20"/>
              </w:rPr>
              <w:fldChar w:fldCharType="begin">
                <w:ffData>
                  <w:name w:val=""/>
                  <w:enabled/>
                  <w:calcOnExit w:val="0"/>
                  <w:checkBox>
                    <w:sizeAuto/>
                    <w:default w:val="0"/>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 xml:space="preserve">Optometrists </w:t>
            </w:r>
            <w:r w:rsidRPr="001C25C2">
              <w:rPr>
                <w:rFonts w:ascii="Arial Narrow" w:eastAsia="Calibri" w:hAnsi="Arial Narrow" w:cs="Times New Roman"/>
                <w:snapToGrid/>
                <w:sz w:val="20"/>
                <w:szCs w:val="20"/>
              </w:rPr>
              <w:fldChar w:fldCharType="begin">
                <w:ffData>
                  <w:name w:val="Check5"/>
                  <w:enabled/>
                  <w:calcOnExit w:val="0"/>
                  <w:checkBox>
                    <w:sizeAuto/>
                    <w:default w:val="0"/>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Midwives</w:t>
            </w:r>
          </w:p>
        </w:tc>
      </w:tr>
      <w:tr w:rsidR="00B45AB3" w:rsidRPr="001C25C2" w:rsidTr="001B5746">
        <w:trPr>
          <w:cantSplit/>
          <w:trHeight w:val="360"/>
        </w:trPr>
        <w:tc>
          <w:tcPr>
            <w:tcW w:w="1052"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rPr>
                <w:rFonts w:ascii="Arial Narrow" w:eastAsia="Calibri" w:hAnsi="Arial Narrow" w:cs="Times New Roman"/>
                <w:b/>
                <w:i/>
                <w:snapToGrid/>
                <w:sz w:val="20"/>
                <w:szCs w:val="20"/>
              </w:rPr>
            </w:pPr>
            <w:r w:rsidRPr="001C25C2">
              <w:rPr>
                <w:rFonts w:ascii="Arial Narrow" w:eastAsia="Calibri" w:hAnsi="Arial Narrow" w:cs="Times New Roman"/>
                <w:b/>
                <w:i/>
                <w:snapToGrid/>
                <w:sz w:val="20"/>
                <w:szCs w:val="20"/>
              </w:rPr>
              <w:t>Episodicity:</w:t>
            </w:r>
          </w:p>
        </w:tc>
        <w:tc>
          <w:tcPr>
            <w:tcW w:w="3948"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p>
        </w:tc>
      </w:tr>
      <w:tr w:rsidR="00B45AB3" w:rsidRPr="001C25C2" w:rsidTr="001B5746">
        <w:trPr>
          <w:cantSplit/>
          <w:trHeight w:val="360"/>
        </w:trPr>
        <w:tc>
          <w:tcPr>
            <w:tcW w:w="1052"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Severity:</w:t>
            </w:r>
          </w:p>
        </w:tc>
        <w:tc>
          <w:tcPr>
            <w:tcW w:w="3948"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 xml:space="preserve">Metastatic </w:t>
            </w:r>
            <w:r w:rsidRPr="001C25C2">
              <w:rPr>
                <w:rFonts w:ascii="Arial Narrow" w:eastAsia="Calibri" w:hAnsi="Arial Narrow" w:cs="Times New Roman"/>
                <w:i/>
                <w:snapToGrid/>
                <w:sz w:val="20"/>
                <w:szCs w:val="20"/>
              </w:rPr>
              <w:t>(Stage IV)</w:t>
            </w:r>
            <w:r w:rsidRPr="001C25C2">
              <w:rPr>
                <w:rFonts w:ascii="Arial Narrow" w:eastAsia="Calibri" w:hAnsi="Arial Narrow" w:cs="Times New Roman"/>
                <w:snapToGrid/>
                <w:sz w:val="20"/>
                <w:szCs w:val="20"/>
              </w:rPr>
              <w:t xml:space="preserve"> [contained within 1773]</w:t>
            </w:r>
          </w:p>
        </w:tc>
      </w:tr>
      <w:tr w:rsidR="00B45AB3" w:rsidRPr="001C25C2" w:rsidTr="001B5746">
        <w:trPr>
          <w:cantSplit/>
          <w:trHeight w:val="360"/>
        </w:trPr>
        <w:tc>
          <w:tcPr>
            <w:tcW w:w="1052"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Condition:</w:t>
            </w:r>
          </w:p>
        </w:tc>
        <w:tc>
          <w:tcPr>
            <w:tcW w:w="3948"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Adenocarcinoma of the stomach or gastro-oesophageal junction</w:t>
            </w:r>
          </w:p>
        </w:tc>
      </w:tr>
      <w:tr w:rsidR="00B45AB3" w:rsidRPr="001C25C2" w:rsidTr="001B5746">
        <w:trPr>
          <w:cantSplit/>
          <w:trHeight w:val="360"/>
        </w:trPr>
        <w:tc>
          <w:tcPr>
            <w:tcW w:w="1052"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PBS Indication:</w:t>
            </w:r>
          </w:p>
        </w:tc>
        <w:tc>
          <w:tcPr>
            <w:tcW w:w="3948"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 xml:space="preserve">Metastatic </w:t>
            </w:r>
            <w:r w:rsidRPr="001C25C2">
              <w:rPr>
                <w:rFonts w:ascii="Arial Narrow" w:eastAsia="Calibri" w:hAnsi="Arial Narrow" w:cs="Times New Roman"/>
                <w:i/>
                <w:snapToGrid/>
                <w:sz w:val="20"/>
                <w:szCs w:val="20"/>
              </w:rPr>
              <w:t>(Stage IV)</w:t>
            </w:r>
            <w:r w:rsidRPr="001C25C2">
              <w:rPr>
                <w:rFonts w:ascii="Arial Narrow" w:eastAsia="Calibri" w:hAnsi="Arial Narrow" w:cs="Times New Roman"/>
                <w:snapToGrid/>
                <w:sz w:val="20"/>
                <w:szCs w:val="20"/>
              </w:rPr>
              <w:t xml:space="preserve"> adenocarcinoma of the stomach or gastro-oesophageal junction [new concept]</w:t>
            </w:r>
          </w:p>
        </w:tc>
      </w:tr>
      <w:tr w:rsidR="00B45AB3" w:rsidRPr="001C25C2" w:rsidTr="001B5746">
        <w:trPr>
          <w:cantSplit/>
          <w:trHeight w:val="360"/>
        </w:trPr>
        <w:tc>
          <w:tcPr>
            <w:tcW w:w="1052"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Treatment phase:</w:t>
            </w:r>
          </w:p>
        </w:tc>
        <w:tc>
          <w:tcPr>
            <w:tcW w:w="3948"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Continuing treatment</w:t>
            </w:r>
          </w:p>
        </w:tc>
      </w:tr>
      <w:tr w:rsidR="00B45AB3" w:rsidRPr="001C25C2" w:rsidTr="001B5746">
        <w:trPr>
          <w:cantSplit/>
          <w:trHeight w:val="360"/>
        </w:trPr>
        <w:tc>
          <w:tcPr>
            <w:tcW w:w="1052"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Restriction Level / Method:</w:t>
            </w:r>
          </w:p>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p>
        </w:tc>
        <w:tc>
          <w:tcPr>
            <w:tcW w:w="3948"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fldChar w:fldCharType="begin">
                <w:ffData>
                  <w:name w:val="Check1"/>
                  <w:enabled/>
                  <w:calcOnExit w:val="0"/>
                  <w:checkBox>
                    <w:sizeAuto/>
                    <w:default w:val="0"/>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Restricted benefit</w:t>
            </w:r>
          </w:p>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fldChar w:fldCharType="begin">
                <w:ffData>
                  <w:name w:val=""/>
                  <w:enabled/>
                  <w:calcOnExit w:val="0"/>
                  <w:checkBox>
                    <w:sizeAuto/>
                    <w:default w:val="0"/>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Authority Required - In Writing</w:t>
            </w:r>
          </w:p>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fldChar w:fldCharType="begin">
                <w:ffData>
                  <w:name w:val="Check3"/>
                  <w:enabled/>
                  <w:calcOnExit w:val="0"/>
                  <w:checkBox>
                    <w:sizeAuto/>
                    <w:default w:val="0"/>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Authority Required - Telephone</w:t>
            </w:r>
          </w:p>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fldChar w:fldCharType="begin">
                <w:ffData>
                  <w:name w:val=""/>
                  <w:enabled/>
                  <w:calcOnExit w:val="0"/>
                  <w:checkBox>
                    <w:sizeAuto/>
                    <w:default w:val="0"/>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Authority Required – Emergency</w:t>
            </w:r>
          </w:p>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fldChar w:fldCharType="begin">
                <w:ffData>
                  <w:name w:val="Check5"/>
                  <w:enabled/>
                  <w:calcOnExit w:val="0"/>
                  <w:checkBox>
                    <w:sizeAuto/>
                    <w:default w:val="0"/>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Authority Required - Electronic</w:t>
            </w:r>
          </w:p>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fldChar w:fldCharType="begin">
                <w:ffData>
                  <w:name w:val=""/>
                  <w:enabled/>
                  <w:calcOnExit w:val="0"/>
                  <w:checkBox>
                    <w:sizeAuto/>
                    <w:default w:val="1"/>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Streamlined</w:t>
            </w:r>
          </w:p>
        </w:tc>
      </w:tr>
      <w:tr w:rsidR="00B45AB3" w:rsidRPr="001C25C2" w:rsidTr="001B5746">
        <w:trPr>
          <w:cantSplit/>
          <w:trHeight w:val="360"/>
        </w:trPr>
        <w:tc>
          <w:tcPr>
            <w:tcW w:w="1052"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Clinical criteria:</w:t>
            </w:r>
          </w:p>
        </w:tc>
        <w:tc>
          <w:tcPr>
            <w:tcW w:w="3948"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pBdr>
                <w:bottom w:val="single" w:sz="4" w:space="1" w:color="auto"/>
              </w:pBdr>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Patient must have previously been treated with PBS-subsidised treatment with this drug for this condition [21475]</w:t>
            </w:r>
          </w:p>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AND</w:t>
            </w:r>
          </w:p>
          <w:p w:rsidR="00B45AB3" w:rsidRPr="001C25C2" w:rsidRDefault="00B45AB3" w:rsidP="001B5746">
            <w:pPr>
              <w:widowControl/>
              <w:pBdr>
                <w:bottom w:val="single" w:sz="4" w:space="1" w:color="auto"/>
              </w:pBdr>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Patient must not develop progressive disease whilst receiving PBS-subsidised treatment with this drug for this condition [21809]</w:t>
            </w:r>
          </w:p>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AND</w:t>
            </w:r>
          </w:p>
          <w:p w:rsidR="00B45AB3" w:rsidRPr="001C25C2" w:rsidRDefault="00B45AB3" w:rsidP="001B5746">
            <w:pPr>
              <w:widowControl/>
              <w:spacing w:before="40" w:afterLines="40" w:after="96"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The treatment must be the sole PBS-subsidised therapy for this condition [7890]</w:t>
            </w:r>
          </w:p>
        </w:tc>
      </w:tr>
      <w:tr w:rsidR="00B45AB3" w:rsidRPr="001C25C2" w:rsidTr="001B5746">
        <w:trPr>
          <w:cantSplit/>
          <w:trHeight w:val="360"/>
        </w:trPr>
        <w:tc>
          <w:tcPr>
            <w:tcW w:w="1052"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rPr>
                <w:rFonts w:ascii="Arial Narrow" w:eastAsia="Calibri" w:hAnsi="Arial Narrow" w:cs="Times New Roman"/>
                <w:b/>
                <w:strike/>
                <w:snapToGrid/>
                <w:sz w:val="20"/>
                <w:szCs w:val="20"/>
              </w:rPr>
            </w:pPr>
            <w:r w:rsidRPr="001C25C2">
              <w:rPr>
                <w:rFonts w:ascii="Arial Narrow" w:eastAsia="Calibri" w:hAnsi="Arial Narrow" w:cs="Times New Roman"/>
                <w:b/>
                <w:strike/>
                <w:snapToGrid/>
                <w:sz w:val="20"/>
                <w:szCs w:val="20"/>
              </w:rPr>
              <w:t>Prescriber Instructions</w:t>
            </w:r>
          </w:p>
        </w:tc>
        <w:tc>
          <w:tcPr>
            <w:tcW w:w="3948"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after="16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trike/>
                <w:snapToGrid/>
                <w:sz w:val="20"/>
                <w:szCs w:val="20"/>
              </w:rPr>
              <w:t>A patient who has progressive disease when treated with this drug is no longer eligible for PBS-subsidised treatment with this drug.</w:t>
            </w:r>
            <w:r w:rsidRPr="001C25C2">
              <w:rPr>
                <w:rFonts w:ascii="Arial Narrow" w:eastAsia="Calibri" w:hAnsi="Arial Narrow" w:cs="Times New Roman"/>
                <w:snapToGrid/>
                <w:sz w:val="20"/>
                <w:szCs w:val="20"/>
              </w:rPr>
              <w:t xml:space="preserve"> [11473; phase out 20849] </w:t>
            </w:r>
          </w:p>
        </w:tc>
      </w:tr>
      <w:tr w:rsidR="00B45AB3" w:rsidRPr="001C25C2" w:rsidTr="001B5746">
        <w:trPr>
          <w:cantSplit/>
          <w:trHeight w:val="360"/>
        </w:trPr>
        <w:tc>
          <w:tcPr>
            <w:tcW w:w="1052" w:type="pct"/>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i/>
                <w:snapToGrid/>
                <w:sz w:val="20"/>
                <w:szCs w:val="20"/>
              </w:rPr>
              <w:lastRenderedPageBreak/>
              <w:t xml:space="preserve">Administrative </w:t>
            </w:r>
            <w:r w:rsidRPr="001C25C2">
              <w:rPr>
                <w:rFonts w:ascii="Arial Narrow" w:eastAsia="Calibri" w:hAnsi="Arial Narrow" w:cs="Times New Roman"/>
                <w:b/>
                <w:snapToGrid/>
                <w:sz w:val="20"/>
                <w:szCs w:val="20"/>
              </w:rPr>
              <w:t>Notes</w:t>
            </w:r>
          </w:p>
        </w:tc>
        <w:tc>
          <w:tcPr>
            <w:tcW w:w="3948" w:type="pct"/>
            <w:gridSpan w:val="6"/>
            <w:tcBorders>
              <w:top w:val="single" w:sz="4" w:space="0" w:color="auto"/>
              <w:left w:val="single" w:sz="4" w:space="0" w:color="auto"/>
              <w:bottom w:val="single" w:sz="4" w:space="0" w:color="auto"/>
              <w:right w:val="single" w:sz="4" w:space="0" w:color="auto"/>
            </w:tcBorders>
          </w:tcPr>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No increase in maximum quantity or number of units may be authorised [7606]</w:t>
            </w:r>
          </w:p>
          <w:p w:rsidR="00B45AB3" w:rsidRPr="001C25C2" w:rsidRDefault="00B45AB3" w:rsidP="001B5746">
            <w:pPr>
              <w:widowControl/>
              <w:pBdr>
                <w:top w:val="single" w:sz="4" w:space="1" w:color="auto"/>
                <w:bottom w:val="single" w:sz="4" w:space="1" w:color="auto"/>
              </w:pBdr>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No increase in the maximum number of repeats may be authorised  [7607]</w:t>
            </w:r>
          </w:p>
          <w:p w:rsidR="00B45AB3" w:rsidRPr="001C25C2" w:rsidRDefault="00B45AB3" w:rsidP="001B5746">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Special Pricing Arrangements apply [7608]</w:t>
            </w:r>
          </w:p>
        </w:tc>
      </w:tr>
    </w:tbl>
    <w:p w:rsidR="00B45AB3" w:rsidRPr="001C25C2" w:rsidRDefault="00B45AB3"/>
    <w:p w:rsidR="00A42B8D" w:rsidRPr="001C25C2" w:rsidRDefault="005846E2" w:rsidP="003E4EF2">
      <w:pPr>
        <w:pStyle w:val="ListParagraph"/>
        <w:widowControl/>
        <w:numPr>
          <w:ilvl w:val="1"/>
          <w:numId w:val="2"/>
        </w:numPr>
      </w:pPr>
      <w:r w:rsidRPr="001C25C2">
        <w:t xml:space="preserve">The submission requested the same maximum quantity and the dispensed price for maximum quantity (DPMQ) for </w:t>
      </w:r>
      <w:proofErr w:type="spellStart"/>
      <w:r w:rsidRPr="001C25C2">
        <w:t>trifluridine</w:t>
      </w:r>
      <w:proofErr w:type="spellEnd"/>
      <w:r w:rsidRPr="001C25C2">
        <w:t>/</w:t>
      </w:r>
      <w:proofErr w:type="spellStart"/>
      <w:r w:rsidRPr="001C25C2">
        <w:t>tipiracil</w:t>
      </w:r>
      <w:proofErr w:type="spellEnd"/>
      <w:r w:rsidRPr="001C25C2">
        <w:t xml:space="preserve"> as per the current listing. </w:t>
      </w:r>
      <w:r w:rsidR="0041284F" w:rsidRPr="001C25C2">
        <w:t>The ESC noted that n</w:t>
      </w:r>
      <w:r w:rsidRPr="001C25C2">
        <w:t xml:space="preserve">o change in </w:t>
      </w:r>
      <w:r w:rsidR="002316F2" w:rsidRPr="001C25C2">
        <w:t xml:space="preserve">the current </w:t>
      </w:r>
      <w:r w:rsidRPr="001C25C2">
        <w:t xml:space="preserve">Special Pricing Arrangement (SPA) was proposed and the same effective price for </w:t>
      </w:r>
      <w:proofErr w:type="spellStart"/>
      <w:r w:rsidRPr="001C25C2">
        <w:t>trifluridine</w:t>
      </w:r>
      <w:proofErr w:type="spellEnd"/>
      <w:r w:rsidRPr="001C25C2">
        <w:t>/</w:t>
      </w:r>
      <w:proofErr w:type="spellStart"/>
      <w:r w:rsidRPr="001C25C2">
        <w:t>tipiracil</w:t>
      </w:r>
      <w:proofErr w:type="spellEnd"/>
      <w:r w:rsidRPr="001C25C2">
        <w:t xml:space="preserve"> for m</w:t>
      </w:r>
      <w:r w:rsidR="00F41BDF" w:rsidRPr="001C25C2">
        <w:t>etastatic colorectal cancer (</w:t>
      </w:r>
      <w:r w:rsidRPr="001C25C2">
        <w:t>CRC</w:t>
      </w:r>
      <w:r w:rsidR="00F41BDF" w:rsidRPr="001C25C2">
        <w:t>)</w:t>
      </w:r>
      <w:r w:rsidRPr="001C25C2">
        <w:t xml:space="preserve"> was offered for</w:t>
      </w:r>
      <w:r w:rsidR="004E0748" w:rsidRPr="001C25C2">
        <w:t xml:space="preserve"> metastatic gastric </w:t>
      </w:r>
      <w:r w:rsidR="00CD3271" w:rsidRPr="001C25C2">
        <w:t>or</w:t>
      </w:r>
      <w:r w:rsidR="004E0748" w:rsidRPr="001C25C2">
        <w:t xml:space="preserve"> gastroesophageal junction (</w:t>
      </w:r>
      <w:proofErr w:type="spellStart"/>
      <w:r w:rsidR="00CD3271" w:rsidRPr="001C25C2">
        <w:t>m</w:t>
      </w:r>
      <w:r w:rsidR="004E0748" w:rsidRPr="001C25C2">
        <w:t>G</w:t>
      </w:r>
      <w:proofErr w:type="spellEnd"/>
      <w:r w:rsidR="004E0748" w:rsidRPr="001C25C2">
        <w:t xml:space="preserve">/GEJ) </w:t>
      </w:r>
      <w:r w:rsidR="00CD3271" w:rsidRPr="001C25C2">
        <w:t>adenocarcinoma</w:t>
      </w:r>
      <w:r w:rsidR="00174584" w:rsidRPr="001C25C2">
        <w:t>)</w:t>
      </w:r>
      <w:r w:rsidRPr="001C25C2">
        <w:t>.</w:t>
      </w:r>
    </w:p>
    <w:p w:rsidR="00CC7B04" w:rsidRPr="001C25C2" w:rsidRDefault="005846E2" w:rsidP="00F339E0">
      <w:pPr>
        <w:pStyle w:val="ListParagraph"/>
        <w:widowControl/>
        <w:numPr>
          <w:ilvl w:val="1"/>
          <w:numId w:val="2"/>
        </w:numPr>
      </w:pPr>
      <w:r w:rsidRPr="001C25C2">
        <w:t xml:space="preserve">There is potential for </w:t>
      </w:r>
      <w:proofErr w:type="spellStart"/>
      <w:r w:rsidRPr="001C25C2">
        <w:t>trifluridine</w:t>
      </w:r>
      <w:proofErr w:type="spellEnd"/>
      <w:r w:rsidRPr="001C25C2">
        <w:t>/</w:t>
      </w:r>
      <w:proofErr w:type="spellStart"/>
      <w:r w:rsidRPr="001C25C2">
        <w:t>tipiracil</w:t>
      </w:r>
      <w:proofErr w:type="spellEnd"/>
      <w:r w:rsidRPr="001C25C2">
        <w:t xml:space="preserve"> to be used in second-line therapy, as mentioned in the Therapeutic Goods Administration (TGA) Clinical Evaluation Report (1</w:t>
      </w:r>
      <w:r w:rsidRPr="001C25C2">
        <w:rPr>
          <w:vertAlign w:val="superscript"/>
        </w:rPr>
        <w:t>st</w:t>
      </w:r>
      <w:r w:rsidRPr="001C25C2">
        <w:t xml:space="preserve"> round). However, overall the TGA considered the proposed indication represents a third</w:t>
      </w:r>
      <w:r w:rsidR="00924305" w:rsidRPr="001C25C2">
        <w:t>-line setting in most patients.</w:t>
      </w:r>
      <w:r w:rsidR="001140C7" w:rsidRPr="001C25C2">
        <w:t xml:space="preserve"> </w:t>
      </w:r>
    </w:p>
    <w:p w:rsidR="00EE118A" w:rsidRPr="001C25C2" w:rsidRDefault="00EE118A" w:rsidP="00EE118A">
      <w:pPr>
        <w:widowControl/>
        <w:tabs>
          <w:tab w:val="center" w:pos="4153"/>
          <w:tab w:val="right" w:pos="8306"/>
        </w:tabs>
        <w:autoSpaceDE w:val="0"/>
        <w:autoSpaceDN w:val="0"/>
        <w:adjustRightInd w:val="0"/>
        <w:ind w:left="709"/>
        <w:rPr>
          <w:rFonts w:cs="Calibri"/>
          <w:i/>
          <w:iCs/>
          <w:snapToGrid/>
          <w:szCs w:val="24"/>
          <w:lang w:eastAsia="en-AU"/>
        </w:rPr>
      </w:pPr>
      <w:r w:rsidRPr="001C25C2">
        <w:rPr>
          <w:rFonts w:cs="Calibri"/>
          <w:i/>
          <w:iCs/>
          <w:snapToGrid/>
          <w:szCs w:val="24"/>
          <w:lang w:eastAsia="en-AU"/>
        </w:rPr>
        <w:t>For more detail on PBAC’s view, see section 7 PBAC outcome</w:t>
      </w:r>
      <w:r w:rsidR="00B45AB3" w:rsidRPr="001C25C2">
        <w:rPr>
          <w:rFonts w:cs="Calibri"/>
          <w:i/>
          <w:iCs/>
          <w:snapToGrid/>
          <w:szCs w:val="24"/>
          <w:lang w:eastAsia="en-AU"/>
        </w:rPr>
        <w:t>.</w:t>
      </w:r>
    </w:p>
    <w:p w:rsidR="00EE118A" w:rsidRPr="001C25C2" w:rsidRDefault="00EE118A" w:rsidP="00EE118A">
      <w:pPr>
        <w:pStyle w:val="ListParagraph"/>
        <w:widowControl/>
      </w:pPr>
    </w:p>
    <w:p w:rsidR="00BD06D0" w:rsidRPr="001C25C2" w:rsidRDefault="00BD06D0">
      <w:pPr>
        <w:widowControl/>
        <w:jc w:val="left"/>
        <w:rPr>
          <w:b/>
          <w:sz w:val="32"/>
        </w:rPr>
      </w:pPr>
      <w:bookmarkStart w:id="4" w:name="_Toc17194761"/>
      <w:bookmarkStart w:id="5" w:name="_Toc18935142"/>
      <w:r w:rsidRPr="001C25C2">
        <w:br w:type="page"/>
      </w:r>
    </w:p>
    <w:p w:rsidR="00A42B8D" w:rsidRPr="001C25C2" w:rsidRDefault="005846E2" w:rsidP="00587BCE">
      <w:pPr>
        <w:pStyle w:val="PBACHeading1"/>
        <w:numPr>
          <w:ilvl w:val="0"/>
          <w:numId w:val="2"/>
        </w:numPr>
        <w:spacing w:before="240" w:after="120"/>
        <w:outlineLvl w:val="0"/>
      </w:pPr>
      <w:r w:rsidRPr="001C25C2">
        <w:lastRenderedPageBreak/>
        <w:t>Background</w:t>
      </w:r>
      <w:bookmarkEnd w:id="4"/>
      <w:bookmarkEnd w:id="5"/>
    </w:p>
    <w:p w:rsidR="00A42B8D" w:rsidRPr="001C25C2" w:rsidRDefault="005846E2" w:rsidP="002D0BC5">
      <w:pPr>
        <w:pStyle w:val="Heading2"/>
      </w:pPr>
      <w:r w:rsidRPr="001C25C2">
        <w:t>Registration status</w:t>
      </w:r>
    </w:p>
    <w:p w:rsidR="00A42B8D" w:rsidRPr="001C25C2" w:rsidRDefault="005846E2" w:rsidP="003E4EF2">
      <w:pPr>
        <w:pStyle w:val="ListParagraph"/>
        <w:widowControl/>
        <w:numPr>
          <w:ilvl w:val="1"/>
          <w:numId w:val="2"/>
        </w:numPr>
      </w:pPr>
      <w:r w:rsidRPr="001C25C2">
        <w:t>The submission was made under the T</w:t>
      </w:r>
      <w:r w:rsidR="004C6E1E" w:rsidRPr="001C25C2">
        <w:t xml:space="preserve">herapeutic </w:t>
      </w:r>
      <w:r w:rsidRPr="001C25C2">
        <w:t>G</w:t>
      </w:r>
      <w:r w:rsidR="004C6E1E" w:rsidRPr="001C25C2">
        <w:t xml:space="preserve">oods </w:t>
      </w:r>
      <w:r w:rsidRPr="001C25C2">
        <w:t>A</w:t>
      </w:r>
      <w:r w:rsidR="004C6E1E" w:rsidRPr="001C25C2">
        <w:t>dministration (TGA)</w:t>
      </w:r>
      <w:r w:rsidRPr="001C25C2">
        <w:t xml:space="preserve">/PBAC parallel process. </w:t>
      </w:r>
      <w:r w:rsidRPr="001C25C2">
        <w:rPr>
          <w:rFonts w:cs="Calibri"/>
        </w:rPr>
        <w:t xml:space="preserve">At the time of </w:t>
      </w:r>
      <w:r w:rsidR="00C73063" w:rsidRPr="001C25C2">
        <w:rPr>
          <w:rFonts w:cs="Calibri"/>
        </w:rPr>
        <w:t xml:space="preserve">PBAC </w:t>
      </w:r>
      <w:r w:rsidR="00AF74E7" w:rsidRPr="001C25C2">
        <w:rPr>
          <w:rFonts w:cs="Calibri"/>
        </w:rPr>
        <w:t>consideration</w:t>
      </w:r>
      <w:r w:rsidRPr="001C25C2">
        <w:rPr>
          <w:rFonts w:cs="Calibri"/>
        </w:rPr>
        <w:t xml:space="preserve">, the TGA </w:t>
      </w:r>
      <w:r w:rsidR="00C73063" w:rsidRPr="001C25C2">
        <w:rPr>
          <w:rFonts w:cs="Calibri"/>
        </w:rPr>
        <w:t>Delegate’s Overview</w:t>
      </w:r>
      <w:r w:rsidR="00924305" w:rsidRPr="001C25C2">
        <w:rPr>
          <w:rFonts w:cs="Calibri"/>
        </w:rPr>
        <w:t xml:space="preserve"> was available.</w:t>
      </w:r>
    </w:p>
    <w:p w:rsidR="00A42B8D" w:rsidRPr="001C25C2" w:rsidRDefault="00E46191" w:rsidP="003E4EF2">
      <w:pPr>
        <w:pStyle w:val="ListParagraph"/>
        <w:widowControl/>
        <w:numPr>
          <w:ilvl w:val="1"/>
          <w:numId w:val="2"/>
        </w:numPr>
      </w:pPr>
      <w:r w:rsidRPr="001C25C2">
        <w:t xml:space="preserve">The TGA Delegate has proposed the extension of the registration of </w:t>
      </w:r>
      <w:proofErr w:type="spellStart"/>
      <w:r w:rsidRPr="001C25C2">
        <w:t>trifluridine</w:t>
      </w:r>
      <w:proofErr w:type="spellEnd"/>
      <w:r w:rsidRPr="001C25C2">
        <w:t>/</w:t>
      </w:r>
      <w:proofErr w:type="spellStart"/>
      <w:r w:rsidRPr="001C25C2">
        <w:t>tipiracil</w:t>
      </w:r>
      <w:proofErr w:type="spellEnd"/>
      <w:r w:rsidRPr="001C25C2">
        <w:t xml:space="preserve"> to include the following indication: “</w:t>
      </w:r>
      <w:r w:rsidR="005846E2" w:rsidRPr="001C25C2">
        <w:t xml:space="preserve">treatment of adult patients with metastatic gastric </w:t>
      </w:r>
      <w:r w:rsidRPr="001C25C2">
        <w:t xml:space="preserve">or gastroesophageal junction adenocarcinoma previously treated with at least two prior lines of chemotherapy that included a </w:t>
      </w:r>
      <w:r w:rsidR="005846E2" w:rsidRPr="001C25C2">
        <w:t xml:space="preserve"> </w:t>
      </w:r>
      <w:proofErr w:type="spellStart"/>
      <w:r w:rsidR="005846E2" w:rsidRPr="001C25C2">
        <w:t>fluoropyrimidine</w:t>
      </w:r>
      <w:proofErr w:type="spellEnd"/>
      <w:r w:rsidR="005846E2" w:rsidRPr="001C25C2">
        <w:t xml:space="preserve">, </w:t>
      </w:r>
      <w:r w:rsidRPr="001C25C2">
        <w:t xml:space="preserve">a </w:t>
      </w:r>
      <w:r w:rsidR="005846E2" w:rsidRPr="001C25C2">
        <w:t xml:space="preserve">platinum, either a </w:t>
      </w:r>
      <w:proofErr w:type="spellStart"/>
      <w:r w:rsidR="005846E2" w:rsidRPr="001C25C2">
        <w:t>taxane</w:t>
      </w:r>
      <w:proofErr w:type="spellEnd"/>
      <w:r w:rsidR="005846E2" w:rsidRPr="001C25C2">
        <w:t xml:space="preserve">- or </w:t>
      </w:r>
      <w:proofErr w:type="spellStart"/>
      <w:r w:rsidR="005846E2" w:rsidRPr="001C25C2">
        <w:t>irinotecan</w:t>
      </w:r>
      <w:proofErr w:type="spellEnd"/>
      <w:r w:rsidRPr="001C25C2">
        <w:t>, and if appropriate, HER2/</w:t>
      </w:r>
      <w:proofErr w:type="spellStart"/>
      <w:r w:rsidRPr="001C25C2">
        <w:t>neu</w:t>
      </w:r>
      <w:proofErr w:type="spellEnd"/>
      <w:r w:rsidRPr="001C25C2">
        <w:t xml:space="preserve">-targeted therapy.” </w:t>
      </w:r>
    </w:p>
    <w:p w:rsidR="00A42B8D" w:rsidRPr="001C25C2" w:rsidRDefault="00E46191" w:rsidP="003E4EF2">
      <w:pPr>
        <w:pStyle w:val="ListParagraph"/>
        <w:widowControl/>
        <w:numPr>
          <w:ilvl w:val="1"/>
          <w:numId w:val="2"/>
        </w:numPr>
      </w:pPr>
      <w:r w:rsidRPr="001C25C2">
        <w:t xml:space="preserve">The TGA advised the sponsor that consideration by the Advisory Committee on Medicines is not required, and the registration of the </w:t>
      </w:r>
      <w:proofErr w:type="spellStart"/>
      <w:r w:rsidR="004C6E1E" w:rsidRPr="001C25C2">
        <w:t>mG</w:t>
      </w:r>
      <w:proofErr w:type="spellEnd"/>
      <w:r w:rsidR="00CD3271" w:rsidRPr="001C25C2">
        <w:t>/GEJ</w:t>
      </w:r>
      <w:r w:rsidRPr="001C25C2">
        <w:t xml:space="preserve"> </w:t>
      </w:r>
      <w:r w:rsidR="00CD3271" w:rsidRPr="001C25C2">
        <w:t xml:space="preserve">adenocarcinoma </w:t>
      </w:r>
      <w:r w:rsidRPr="001C25C2">
        <w:t xml:space="preserve">indication is expected by the end of November 2019. </w:t>
      </w:r>
    </w:p>
    <w:p w:rsidR="00EE118A" w:rsidRPr="001C25C2" w:rsidRDefault="00EE118A" w:rsidP="00EE118A">
      <w:pPr>
        <w:widowControl/>
        <w:tabs>
          <w:tab w:val="center" w:pos="4153"/>
          <w:tab w:val="right" w:pos="8306"/>
        </w:tabs>
        <w:autoSpaceDE w:val="0"/>
        <w:autoSpaceDN w:val="0"/>
        <w:adjustRightInd w:val="0"/>
        <w:ind w:left="709"/>
        <w:rPr>
          <w:rFonts w:asciiTheme="minorHAnsi" w:hAnsiTheme="minorHAnsi" w:cstheme="minorHAnsi"/>
          <w:i/>
          <w:iCs/>
          <w:snapToGrid/>
          <w:szCs w:val="24"/>
          <w:lang w:eastAsia="en-AU"/>
        </w:rPr>
      </w:pPr>
      <w:r w:rsidRPr="001C25C2">
        <w:rPr>
          <w:rFonts w:asciiTheme="minorHAnsi" w:hAnsiTheme="minorHAnsi" w:cstheme="minorHAnsi"/>
          <w:i/>
          <w:iCs/>
          <w:snapToGrid/>
          <w:szCs w:val="24"/>
          <w:lang w:eastAsia="en-AU"/>
        </w:rPr>
        <w:t>For more detail on PBAC’s view, see section 7 PBAC outcome.</w:t>
      </w:r>
    </w:p>
    <w:p w:rsidR="00A42B8D" w:rsidRPr="001C25C2" w:rsidRDefault="005846E2" w:rsidP="00587BCE">
      <w:pPr>
        <w:pStyle w:val="PBACHeading1"/>
        <w:numPr>
          <w:ilvl w:val="0"/>
          <w:numId w:val="2"/>
        </w:numPr>
        <w:spacing w:before="240" w:after="120"/>
        <w:outlineLvl w:val="0"/>
      </w:pPr>
      <w:bookmarkStart w:id="6" w:name="_Toc17194762"/>
      <w:bookmarkStart w:id="7" w:name="_Toc18935143"/>
      <w:r w:rsidRPr="001C25C2">
        <w:t>Population and disease</w:t>
      </w:r>
      <w:bookmarkEnd w:id="6"/>
      <w:bookmarkEnd w:id="7"/>
    </w:p>
    <w:p w:rsidR="00A42B8D" w:rsidRPr="001C25C2" w:rsidRDefault="005846E2" w:rsidP="003E4EF2">
      <w:pPr>
        <w:pStyle w:val="ListParagraph"/>
        <w:widowControl/>
        <w:numPr>
          <w:ilvl w:val="1"/>
          <w:numId w:val="2"/>
        </w:numPr>
      </w:pPr>
      <w:r w:rsidRPr="001C25C2">
        <w:t>Metastatic gastric cancer is a malignant tumour arising from cells in the stomach and is a highly aggressive</w:t>
      </w:r>
      <w:r w:rsidR="00924305" w:rsidRPr="001C25C2">
        <w:t xml:space="preserve"> and difficult to treat cancer.</w:t>
      </w:r>
    </w:p>
    <w:p w:rsidR="00A42B8D" w:rsidRPr="001C25C2" w:rsidRDefault="005846E2" w:rsidP="003E4EF2">
      <w:pPr>
        <w:pStyle w:val="ListParagraph"/>
        <w:widowControl/>
        <w:numPr>
          <w:ilvl w:val="1"/>
          <w:numId w:val="2"/>
        </w:numPr>
      </w:pPr>
      <w:r w:rsidRPr="001C25C2">
        <w:t xml:space="preserve">Most of the gastric cancers (&gt; 85%) are classified as adenocarcinomas and a sub-set of patients have tumours at the junction of the oesophagus and stomach defined as gastro-oesophageal junction adenocarcinoma. According to a sponsor-commissioned study, </w:t>
      </w:r>
      <w:r w:rsidRPr="001C25C2">
        <w:rPr>
          <w:lang w:eastAsia="en-AU"/>
        </w:rPr>
        <w:t xml:space="preserve">the probability of death within 12 months of diagnosis was </w:t>
      </w:r>
      <w:r w:rsidRPr="001C25C2">
        <w:t>39%, 69% and 91% for patients diagnosed with localised, regionalised and</w:t>
      </w:r>
      <w:r w:rsidR="00924305" w:rsidRPr="001C25C2">
        <w:t xml:space="preserve"> distant spread, respectively.</w:t>
      </w:r>
    </w:p>
    <w:p w:rsidR="00A42B8D" w:rsidRPr="001C25C2" w:rsidRDefault="005846E2" w:rsidP="003E4EF2">
      <w:pPr>
        <w:pStyle w:val="ListParagraph"/>
        <w:widowControl/>
        <w:numPr>
          <w:ilvl w:val="1"/>
          <w:numId w:val="2"/>
        </w:numPr>
      </w:pPr>
      <w:r w:rsidRPr="001C25C2">
        <w:t xml:space="preserve">The submission proposed </w:t>
      </w:r>
      <w:proofErr w:type="spellStart"/>
      <w:r w:rsidRPr="001C25C2">
        <w:t>trifluridine</w:t>
      </w:r>
      <w:proofErr w:type="spellEnd"/>
      <w:r w:rsidRPr="001C25C2">
        <w:t>/</w:t>
      </w:r>
      <w:proofErr w:type="spellStart"/>
      <w:r w:rsidRPr="001C25C2">
        <w:t>tipiracil</w:t>
      </w:r>
      <w:proofErr w:type="spellEnd"/>
      <w:r w:rsidRPr="001C25C2">
        <w:t xml:space="preserve"> as a new anticancer agent in the third-line (or subsequent) treatment setting. This was appropriate. The proposed PBS population and comparator were largely consistent with the population and line of treatment presented in the </w:t>
      </w:r>
      <w:r w:rsidR="00B3234A" w:rsidRPr="001C25C2">
        <w:t xml:space="preserve">clinical </w:t>
      </w:r>
      <w:r w:rsidRPr="001C25C2">
        <w:t xml:space="preserve">evidence in </w:t>
      </w:r>
      <w:r w:rsidR="00B3234A" w:rsidRPr="001C25C2">
        <w:t xml:space="preserve">the submission </w:t>
      </w:r>
      <w:r w:rsidRPr="001C25C2">
        <w:t>and the recommendation in the European Society Medical Oncology (ESMO) guideline</w:t>
      </w:r>
      <w:r w:rsidR="00B3234A" w:rsidRPr="001C25C2">
        <w:t>s</w:t>
      </w:r>
      <w:r w:rsidRPr="001C25C2">
        <w:t xml:space="preserve">. However, it differed slightly from the draft product information which </w:t>
      </w:r>
      <w:bookmarkStart w:id="8" w:name="_Hlk17987740"/>
      <w:r w:rsidRPr="001C25C2">
        <w:t>did not specify W</w:t>
      </w:r>
      <w:r w:rsidR="00972909" w:rsidRPr="001C25C2">
        <w:t xml:space="preserve">orld </w:t>
      </w:r>
      <w:r w:rsidRPr="001C25C2">
        <w:t>H</w:t>
      </w:r>
      <w:r w:rsidR="00972909" w:rsidRPr="001C25C2">
        <w:t xml:space="preserve">ealth </w:t>
      </w:r>
      <w:r w:rsidRPr="001C25C2">
        <w:t>O</w:t>
      </w:r>
      <w:r w:rsidR="00972909" w:rsidRPr="001C25C2">
        <w:t>rganisation (WHO)</w:t>
      </w:r>
      <w:r w:rsidRPr="001C25C2">
        <w:t xml:space="preserve"> performance status</w:t>
      </w:r>
      <w:r w:rsidR="00DC55C2" w:rsidRPr="001C25C2">
        <w:t>.</w:t>
      </w:r>
      <w:bookmarkEnd w:id="8"/>
      <w:r w:rsidR="000F73F3" w:rsidRPr="001C25C2">
        <w:t xml:space="preserve"> </w:t>
      </w:r>
    </w:p>
    <w:p w:rsidR="00A42B8D" w:rsidRPr="001C25C2" w:rsidRDefault="005846E2" w:rsidP="003E4EF2">
      <w:pPr>
        <w:pStyle w:val="ListParagraph"/>
        <w:widowControl/>
        <w:numPr>
          <w:ilvl w:val="1"/>
          <w:numId w:val="2"/>
        </w:numPr>
      </w:pPr>
      <w:r w:rsidRPr="001C25C2">
        <w:t>The clinical management algorithm was based on the ESMO Clinical Practice Guidelines for diagnosis, treatment and follow-up of gastric cancer. This is shown in Figure 1.</w:t>
      </w:r>
      <w:r w:rsidR="0075309D" w:rsidRPr="001C25C2">
        <w:t xml:space="preserve"> </w:t>
      </w:r>
      <w:r w:rsidR="00A65119" w:rsidRPr="001C25C2">
        <w:t xml:space="preserve">The </w:t>
      </w:r>
      <w:r w:rsidR="00D10917" w:rsidRPr="001C25C2">
        <w:t xml:space="preserve">ESC </w:t>
      </w:r>
      <w:r w:rsidR="00F5229D" w:rsidRPr="001C25C2">
        <w:t xml:space="preserve">considered that </w:t>
      </w:r>
      <w:r w:rsidR="00D10917" w:rsidRPr="001C25C2">
        <w:t xml:space="preserve">the </w:t>
      </w:r>
      <w:r w:rsidR="00F5229D" w:rsidRPr="001C25C2">
        <w:t xml:space="preserve">proposed </w:t>
      </w:r>
      <w:r w:rsidR="00D10917" w:rsidRPr="001C25C2">
        <w:t>clinical management algorithm</w:t>
      </w:r>
      <w:r w:rsidR="00D766BD" w:rsidRPr="001C25C2">
        <w:t xml:space="preserve"> is </w:t>
      </w:r>
      <w:r w:rsidR="00D10917" w:rsidRPr="001C25C2">
        <w:t>consistent with the N</w:t>
      </w:r>
      <w:r w:rsidR="00D766BD" w:rsidRPr="001C25C2">
        <w:t xml:space="preserve">ational </w:t>
      </w:r>
      <w:r w:rsidR="00D10917" w:rsidRPr="001C25C2">
        <w:t>C</w:t>
      </w:r>
      <w:r w:rsidR="00D766BD" w:rsidRPr="001C25C2">
        <w:t xml:space="preserve">omprehensive </w:t>
      </w:r>
      <w:r w:rsidR="00D10917" w:rsidRPr="001C25C2">
        <w:t>C</w:t>
      </w:r>
      <w:r w:rsidR="00D766BD" w:rsidRPr="001C25C2">
        <w:t xml:space="preserve">ancer </w:t>
      </w:r>
      <w:r w:rsidR="00D10917" w:rsidRPr="001C25C2">
        <w:t>N</w:t>
      </w:r>
      <w:r w:rsidR="00D766BD" w:rsidRPr="001C25C2">
        <w:t>etwork</w:t>
      </w:r>
      <w:r w:rsidR="00D10917" w:rsidRPr="001C25C2">
        <w:t xml:space="preserve"> guidelines and the proposed restriction</w:t>
      </w:r>
      <w:r w:rsidR="008B0BA8" w:rsidRPr="001C25C2">
        <w:t xml:space="preserve"> for initial and continuing therapy</w:t>
      </w:r>
      <w:r w:rsidR="00D10917" w:rsidRPr="001C25C2">
        <w:t>.</w:t>
      </w:r>
    </w:p>
    <w:p w:rsidR="00A42B8D" w:rsidRPr="001C25C2" w:rsidRDefault="005846E2">
      <w:pPr>
        <w:keepNext/>
        <w:rPr>
          <w:rFonts w:ascii="Arial Narrow" w:hAnsi="Arial Narrow"/>
          <w:b/>
          <w:sz w:val="20"/>
          <w:szCs w:val="16"/>
        </w:rPr>
      </w:pPr>
      <w:r w:rsidRPr="001C25C2">
        <w:rPr>
          <w:rStyle w:val="CommentReference"/>
        </w:rPr>
        <w:lastRenderedPageBreak/>
        <w:t xml:space="preserve">Figure 1: Proposed clinical position for </w:t>
      </w:r>
      <w:proofErr w:type="spellStart"/>
      <w:r w:rsidRPr="001C25C2">
        <w:rPr>
          <w:rStyle w:val="CommentReference"/>
        </w:rPr>
        <w:t>trifluridine</w:t>
      </w:r>
      <w:proofErr w:type="spellEnd"/>
      <w:r w:rsidRPr="001C25C2">
        <w:rPr>
          <w:rStyle w:val="CommentReference"/>
        </w:rPr>
        <w:t>/</w:t>
      </w:r>
      <w:proofErr w:type="spellStart"/>
      <w:r w:rsidRPr="001C25C2">
        <w:rPr>
          <w:rStyle w:val="CommentReference"/>
        </w:rPr>
        <w:t>tipiracil</w:t>
      </w:r>
      <w:proofErr w:type="spellEnd"/>
      <w:r w:rsidRPr="001C25C2">
        <w:rPr>
          <w:rStyle w:val="CommentReference"/>
        </w:rPr>
        <w:t xml:space="preserve"> in </w:t>
      </w:r>
      <w:proofErr w:type="spellStart"/>
      <w:r w:rsidRPr="001C25C2">
        <w:rPr>
          <w:rStyle w:val="CommentReference"/>
        </w:rPr>
        <w:t>mG</w:t>
      </w:r>
      <w:proofErr w:type="spellEnd"/>
      <w:r w:rsidR="00CD3271" w:rsidRPr="001C25C2">
        <w:rPr>
          <w:rStyle w:val="CommentReference"/>
        </w:rPr>
        <w:t>/GEJ adenocarcinoma</w:t>
      </w:r>
    </w:p>
    <w:p w:rsidR="00A42B8D" w:rsidRPr="001C25C2" w:rsidRDefault="005846E2">
      <w:pPr>
        <w:keepNext/>
        <w:rPr>
          <w:rStyle w:val="CommentReference"/>
        </w:rPr>
      </w:pPr>
      <w:r w:rsidRPr="001C25C2">
        <w:rPr>
          <w:rStyle w:val="CommentReference"/>
          <w:noProof/>
          <w:lang w:eastAsia="en-AU"/>
        </w:rPr>
        <w:drawing>
          <wp:inline distT="0" distB="0" distL="0" distR="0" wp14:anchorId="64E5C5DC" wp14:editId="5DE47D49">
            <wp:extent cx="5731510" cy="2778125"/>
            <wp:effectExtent l="0" t="0" r="2540" b="3175"/>
            <wp:docPr id="1" name="Picture 1" title="Figure 1: Proposed clinical position for trifluridine/tipiracil in mG/GEJ adenocarcin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778125"/>
                    </a:xfrm>
                    <a:prstGeom prst="rect">
                      <a:avLst/>
                    </a:prstGeom>
                  </pic:spPr>
                </pic:pic>
              </a:graphicData>
            </a:graphic>
          </wp:inline>
        </w:drawing>
      </w:r>
    </w:p>
    <w:p w:rsidR="00A42B8D" w:rsidRPr="001C25C2" w:rsidRDefault="005846E2">
      <w:pPr>
        <w:keepNext/>
        <w:rPr>
          <w:rStyle w:val="CommentReference"/>
          <w:b w:val="0"/>
          <w:sz w:val="18"/>
        </w:rPr>
      </w:pPr>
      <w:bookmarkStart w:id="9" w:name="_Toc17194763"/>
      <w:r w:rsidRPr="001C25C2">
        <w:rPr>
          <w:rStyle w:val="CommentReference"/>
          <w:b w:val="0"/>
          <w:sz w:val="18"/>
        </w:rPr>
        <w:t>Source: Figure 1-7, p16 of the submission</w:t>
      </w:r>
      <w:bookmarkEnd w:id="9"/>
    </w:p>
    <w:p w:rsidR="00A42B8D" w:rsidRPr="001C25C2" w:rsidRDefault="005846E2">
      <w:pPr>
        <w:keepNext/>
        <w:rPr>
          <w:rStyle w:val="CommentReference"/>
          <w:b w:val="0"/>
          <w:sz w:val="18"/>
        </w:rPr>
      </w:pPr>
      <w:proofErr w:type="spellStart"/>
      <w:proofErr w:type="gramStart"/>
      <w:r w:rsidRPr="001C25C2">
        <w:rPr>
          <w:rStyle w:val="CommentReference"/>
          <w:b w:val="0"/>
          <w:sz w:val="18"/>
        </w:rPr>
        <w:t>mG</w:t>
      </w:r>
      <w:proofErr w:type="spellEnd"/>
      <w:r w:rsidR="00CD3271" w:rsidRPr="001C25C2">
        <w:rPr>
          <w:rStyle w:val="CommentReference"/>
          <w:b w:val="0"/>
          <w:sz w:val="18"/>
        </w:rPr>
        <w:t>/GEJ</w:t>
      </w:r>
      <w:proofErr w:type="gramEnd"/>
      <w:r w:rsidRPr="001C25C2">
        <w:rPr>
          <w:rStyle w:val="CommentReference"/>
          <w:b w:val="0"/>
          <w:sz w:val="18"/>
        </w:rPr>
        <w:t xml:space="preserve"> = metastatic gastric </w:t>
      </w:r>
      <w:r w:rsidR="00CD3271" w:rsidRPr="001C25C2">
        <w:rPr>
          <w:rStyle w:val="CommentReference"/>
          <w:b w:val="0"/>
          <w:sz w:val="18"/>
        </w:rPr>
        <w:t xml:space="preserve">or gastroesophageal junction </w:t>
      </w:r>
      <w:r w:rsidRPr="001C25C2">
        <w:rPr>
          <w:rStyle w:val="CommentReference"/>
          <w:b w:val="0"/>
          <w:sz w:val="18"/>
        </w:rPr>
        <w:t>adenocarcinoma</w:t>
      </w:r>
    </w:p>
    <w:p w:rsidR="00EE118A" w:rsidRPr="001C25C2" w:rsidRDefault="00EE118A" w:rsidP="00EE118A">
      <w:pPr>
        <w:widowControl/>
        <w:tabs>
          <w:tab w:val="center" w:pos="4153"/>
          <w:tab w:val="right" w:pos="8306"/>
        </w:tabs>
        <w:autoSpaceDE w:val="0"/>
        <w:autoSpaceDN w:val="0"/>
        <w:adjustRightInd w:val="0"/>
        <w:ind w:left="709"/>
        <w:rPr>
          <w:rFonts w:ascii="Times New Roman" w:hAnsi="Times New Roman" w:cs="Times New Roman"/>
          <w:i/>
          <w:iCs/>
          <w:snapToGrid/>
          <w:szCs w:val="24"/>
          <w:lang w:eastAsia="en-AU"/>
        </w:rPr>
      </w:pPr>
      <w:bookmarkStart w:id="10" w:name="_Toc17194764"/>
      <w:bookmarkStart w:id="11" w:name="_Toc18935144"/>
    </w:p>
    <w:p w:rsidR="00EE118A" w:rsidRPr="001C25C2" w:rsidRDefault="00EE118A" w:rsidP="00EE118A">
      <w:pPr>
        <w:widowControl/>
        <w:tabs>
          <w:tab w:val="center" w:pos="4153"/>
          <w:tab w:val="right" w:pos="8306"/>
        </w:tabs>
        <w:autoSpaceDE w:val="0"/>
        <w:autoSpaceDN w:val="0"/>
        <w:adjustRightInd w:val="0"/>
        <w:ind w:left="709"/>
        <w:rPr>
          <w:rFonts w:cs="Calibri"/>
          <w:i/>
          <w:iCs/>
          <w:snapToGrid/>
          <w:szCs w:val="24"/>
          <w:lang w:eastAsia="en-AU"/>
        </w:rPr>
      </w:pPr>
      <w:r w:rsidRPr="001C25C2">
        <w:rPr>
          <w:rFonts w:cs="Calibri"/>
          <w:i/>
          <w:iCs/>
          <w:snapToGrid/>
          <w:szCs w:val="24"/>
          <w:lang w:eastAsia="en-AU"/>
        </w:rPr>
        <w:t>For more detail on PBAC’s view, see section 7 PBAC outcome.</w:t>
      </w:r>
    </w:p>
    <w:p w:rsidR="00A42B8D" w:rsidRPr="001C25C2" w:rsidRDefault="005846E2" w:rsidP="00587BCE">
      <w:pPr>
        <w:pStyle w:val="PBACHeading1"/>
        <w:numPr>
          <w:ilvl w:val="0"/>
          <w:numId w:val="2"/>
        </w:numPr>
        <w:spacing w:before="240" w:after="120"/>
        <w:outlineLvl w:val="0"/>
      </w:pPr>
      <w:r w:rsidRPr="001C25C2">
        <w:t>Comparator</w:t>
      </w:r>
      <w:bookmarkEnd w:id="10"/>
      <w:bookmarkEnd w:id="11"/>
    </w:p>
    <w:p w:rsidR="00A42B8D" w:rsidRPr="001C25C2" w:rsidRDefault="005846E2" w:rsidP="002D0BC5">
      <w:pPr>
        <w:pStyle w:val="ListParagraph"/>
        <w:widowControl/>
        <w:numPr>
          <w:ilvl w:val="1"/>
          <w:numId w:val="2"/>
        </w:numPr>
        <w:spacing w:after="0"/>
      </w:pPr>
      <w:r w:rsidRPr="001C25C2">
        <w:t xml:space="preserve">The submission nominated placebo in combination with BSC as the main comparator. The </w:t>
      </w:r>
      <w:r w:rsidR="001523B9" w:rsidRPr="001C25C2">
        <w:t xml:space="preserve">evaluation considered that the </w:t>
      </w:r>
      <w:r w:rsidRPr="001C25C2">
        <w:t xml:space="preserve">nominated main comparator may be appropriate given the proposed positioning of </w:t>
      </w:r>
      <w:proofErr w:type="spellStart"/>
      <w:r w:rsidRPr="001C25C2">
        <w:t>trifluridine</w:t>
      </w:r>
      <w:proofErr w:type="spellEnd"/>
      <w:r w:rsidRPr="001C25C2">
        <w:t>/</w:t>
      </w:r>
      <w:proofErr w:type="spellStart"/>
      <w:r w:rsidRPr="001C25C2">
        <w:t>tipiracil</w:t>
      </w:r>
      <w:proofErr w:type="spellEnd"/>
      <w:r w:rsidRPr="001C25C2">
        <w:t xml:space="preserve"> being a last-line chemotherapy. However, the ESMO clinical guideline suggests some standard treatment options (e.g. </w:t>
      </w:r>
      <w:proofErr w:type="spellStart"/>
      <w:r w:rsidRPr="001C25C2">
        <w:t>taxane</w:t>
      </w:r>
      <w:proofErr w:type="spellEnd"/>
      <w:r w:rsidRPr="001C25C2">
        <w:t xml:space="preserve"> or </w:t>
      </w:r>
      <w:proofErr w:type="spellStart"/>
      <w:r w:rsidRPr="001C25C2">
        <w:t>irinotecan</w:t>
      </w:r>
      <w:proofErr w:type="spellEnd"/>
      <w:r w:rsidRPr="001C25C2">
        <w:t xml:space="preserve"> or </w:t>
      </w:r>
      <w:proofErr w:type="spellStart"/>
      <w:r w:rsidRPr="001C25C2">
        <w:t>ramucirumab</w:t>
      </w:r>
      <w:proofErr w:type="spellEnd"/>
      <w:r w:rsidRPr="001C25C2">
        <w:t xml:space="preserve"> as single agent or in combination with paclitaxel) may be used sequentially in second and third line, but it acknowledged that there is no clear evidence for a benefit beyond second line treatment. Further, in a 2019 National Institute for Clinical Care and Excellence (NICE) scoping document on the same topic, chemotherapy (e.g. docetaxel or paclitaxel as monotherapy or combination therapy) was also nominated as a comparator (1).</w:t>
      </w:r>
      <w:r w:rsidR="0075309D" w:rsidRPr="001C25C2">
        <w:t xml:space="preserve"> </w:t>
      </w:r>
      <w:r w:rsidR="00F330B3" w:rsidRPr="001C25C2">
        <w:t>The ESC agreed</w:t>
      </w:r>
      <w:r w:rsidR="006F5542" w:rsidRPr="001C25C2">
        <w:t xml:space="preserve"> </w:t>
      </w:r>
      <w:r w:rsidR="00F330B3" w:rsidRPr="001C25C2">
        <w:t xml:space="preserve">that </w:t>
      </w:r>
      <w:r w:rsidR="007B315F" w:rsidRPr="001C25C2">
        <w:t>above mentioned</w:t>
      </w:r>
      <w:r w:rsidR="00F330B3" w:rsidRPr="001C25C2">
        <w:t xml:space="preserve"> treatment options </w:t>
      </w:r>
      <w:r w:rsidR="007B315F" w:rsidRPr="001C25C2">
        <w:t xml:space="preserve">(e.g. </w:t>
      </w:r>
      <w:proofErr w:type="spellStart"/>
      <w:r w:rsidR="007B315F" w:rsidRPr="001C25C2">
        <w:t>irinotecan</w:t>
      </w:r>
      <w:proofErr w:type="spellEnd"/>
      <w:r w:rsidR="007B315F" w:rsidRPr="001C25C2">
        <w:t xml:space="preserve">) </w:t>
      </w:r>
      <w:r w:rsidR="006A2D52" w:rsidRPr="001C25C2">
        <w:t xml:space="preserve">may also </w:t>
      </w:r>
      <w:r w:rsidR="00F330B3" w:rsidRPr="001C25C2">
        <w:t xml:space="preserve">be used in third line. </w:t>
      </w:r>
      <w:r w:rsidR="006A2D52" w:rsidRPr="001C25C2">
        <w:t>However, t</w:t>
      </w:r>
      <w:r w:rsidR="00F330B3" w:rsidRPr="001C25C2">
        <w:t xml:space="preserve">he ESC </w:t>
      </w:r>
      <w:r w:rsidR="0075309D" w:rsidRPr="001C25C2">
        <w:t>c</w:t>
      </w:r>
      <w:r w:rsidR="008078BB" w:rsidRPr="001C25C2">
        <w:t xml:space="preserve">onsidered </w:t>
      </w:r>
      <w:r w:rsidR="006A2D52" w:rsidRPr="001C25C2">
        <w:t xml:space="preserve">BSC was the appropriate </w:t>
      </w:r>
      <w:r w:rsidR="0075309D" w:rsidRPr="001C25C2">
        <w:t>main comparator.</w:t>
      </w:r>
    </w:p>
    <w:p w:rsidR="009B7A74" w:rsidRPr="001C25C2" w:rsidRDefault="009B7A74" w:rsidP="009B7A74">
      <w:pPr>
        <w:widowControl/>
        <w:tabs>
          <w:tab w:val="center" w:pos="4153"/>
          <w:tab w:val="right" w:pos="8306"/>
        </w:tabs>
        <w:autoSpaceDE w:val="0"/>
        <w:autoSpaceDN w:val="0"/>
        <w:adjustRightInd w:val="0"/>
        <w:ind w:left="709"/>
        <w:rPr>
          <w:rFonts w:ascii="Times New Roman" w:hAnsi="Times New Roman" w:cs="Times New Roman"/>
          <w:i/>
          <w:iCs/>
          <w:snapToGrid/>
          <w:szCs w:val="24"/>
          <w:lang w:eastAsia="en-AU"/>
        </w:rPr>
      </w:pPr>
      <w:bookmarkStart w:id="12" w:name="_Toc18935145"/>
    </w:p>
    <w:p w:rsidR="007F227C" w:rsidRPr="001C25C2" w:rsidRDefault="009B7A74" w:rsidP="009B7A74">
      <w:pPr>
        <w:widowControl/>
        <w:tabs>
          <w:tab w:val="center" w:pos="4153"/>
          <w:tab w:val="right" w:pos="8306"/>
        </w:tabs>
        <w:autoSpaceDE w:val="0"/>
        <w:autoSpaceDN w:val="0"/>
        <w:adjustRightInd w:val="0"/>
        <w:ind w:left="709"/>
        <w:rPr>
          <w:rFonts w:cs="Calibri"/>
          <w:i/>
          <w:iCs/>
          <w:snapToGrid/>
          <w:szCs w:val="24"/>
          <w:lang w:eastAsia="en-AU"/>
        </w:rPr>
      </w:pPr>
      <w:r w:rsidRPr="001C25C2">
        <w:rPr>
          <w:rFonts w:cs="Calibri"/>
          <w:i/>
          <w:iCs/>
          <w:snapToGrid/>
          <w:szCs w:val="24"/>
          <w:lang w:eastAsia="en-AU"/>
        </w:rPr>
        <w:t>For more detail on PBAC’s view, see section 7 PBAC outcome.</w:t>
      </w:r>
    </w:p>
    <w:p w:rsidR="009B7A74" w:rsidRPr="001C25C2" w:rsidRDefault="009B7A74" w:rsidP="009B7A74">
      <w:pPr>
        <w:widowControl/>
        <w:tabs>
          <w:tab w:val="center" w:pos="4153"/>
          <w:tab w:val="right" w:pos="8306"/>
        </w:tabs>
        <w:autoSpaceDE w:val="0"/>
        <w:autoSpaceDN w:val="0"/>
        <w:adjustRightInd w:val="0"/>
        <w:ind w:left="709"/>
        <w:rPr>
          <w:rFonts w:ascii="Times New Roman" w:hAnsi="Times New Roman" w:cs="Times New Roman"/>
          <w:i/>
          <w:iCs/>
          <w:snapToGrid/>
          <w:szCs w:val="24"/>
          <w:lang w:eastAsia="en-AU"/>
        </w:rPr>
      </w:pPr>
    </w:p>
    <w:p w:rsidR="00777188" w:rsidRPr="001C25C2" w:rsidRDefault="00777188">
      <w:pPr>
        <w:widowControl/>
        <w:jc w:val="left"/>
        <w:rPr>
          <w:b/>
          <w:sz w:val="32"/>
        </w:rPr>
      </w:pPr>
      <w:r w:rsidRPr="001C25C2">
        <w:br w:type="page"/>
      </w:r>
    </w:p>
    <w:p w:rsidR="00A42B8D" w:rsidRPr="001C25C2" w:rsidRDefault="005846E2" w:rsidP="00587BCE">
      <w:pPr>
        <w:pStyle w:val="PBACHeading1"/>
        <w:numPr>
          <w:ilvl w:val="0"/>
          <w:numId w:val="2"/>
        </w:numPr>
        <w:spacing w:before="240" w:after="120"/>
        <w:outlineLvl w:val="0"/>
      </w:pPr>
      <w:r w:rsidRPr="001C25C2">
        <w:lastRenderedPageBreak/>
        <w:t>Consideration of the evidence</w:t>
      </w:r>
      <w:bookmarkEnd w:id="12"/>
    </w:p>
    <w:p w:rsidR="00F27D2B" w:rsidRPr="001C25C2" w:rsidRDefault="00F27D2B" w:rsidP="003F3A61">
      <w:pPr>
        <w:pStyle w:val="Heading2"/>
      </w:pPr>
      <w:bookmarkStart w:id="13" w:name="_Toc18935146"/>
      <w:r w:rsidRPr="001C25C2">
        <w:t>Sponsor hearing</w:t>
      </w:r>
    </w:p>
    <w:p w:rsidR="00F27D2B" w:rsidRPr="001C25C2" w:rsidRDefault="00F27D2B" w:rsidP="00F27D2B">
      <w:pPr>
        <w:pStyle w:val="ListParagraph"/>
        <w:widowControl/>
        <w:numPr>
          <w:ilvl w:val="1"/>
          <w:numId w:val="2"/>
        </w:numPr>
      </w:pPr>
      <w:r w:rsidRPr="001C25C2">
        <w:t>There was no hearing for this item.</w:t>
      </w:r>
    </w:p>
    <w:p w:rsidR="00F27D2B" w:rsidRPr="001C25C2" w:rsidRDefault="00F27D2B">
      <w:pPr>
        <w:pStyle w:val="Heading2"/>
      </w:pPr>
      <w:r w:rsidRPr="001C25C2">
        <w:t>Consumer comments</w:t>
      </w:r>
    </w:p>
    <w:p w:rsidR="00197C79" w:rsidRPr="001C25C2" w:rsidRDefault="00197C79" w:rsidP="003F3A61">
      <w:pPr>
        <w:pStyle w:val="ListParagraph"/>
        <w:numPr>
          <w:ilvl w:val="1"/>
          <w:numId w:val="2"/>
        </w:numPr>
      </w:pPr>
      <w:r w:rsidRPr="001C25C2">
        <w:rPr>
          <w:rFonts w:asciiTheme="minorHAnsi" w:hAnsiTheme="minorHAnsi"/>
          <w:bCs/>
        </w:rPr>
        <w:t>The PBAC noted and welcomed the input from a health care professional (1) and an organisation (1) via the Consumer Comments facility on the PBS website</w:t>
      </w:r>
      <w:r w:rsidR="00315233">
        <w:rPr>
          <w:rFonts w:asciiTheme="minorHAnsi" w:hAnsiTheme="minorHAnsi"/>
          <w:bCs/>
        </w:rPr>
        <w:t xml:space="preserve">. </w:t>
      </w:r>
      <w:r w:rsidRPr="001C25C2">
        <w:rPr>
          <w:rFonts w:asciiTheme="minorHAnsi" w:hAnsiTheme="minorHAnsi"/>
          <w:bCs/>
        </w:rPr>
        <w:t xml:space="preserve">The comments from the health care professional noted </w:t>
      </w:r>
      <w:r w:rsidRPr="001C25C2">
        <w:t xml:space="preserve">the benefit of having an oral treatment option for patients with </w:t>
      </w:r>
      <w:proofErr w:type="spellStart"/>
      <w:r w:rsidRPr="001C25C2">
        <w:t>mG</w:t>
      </w:r>
      <w:proofErr w:type="spellEnd"/>
      <w:r w:rsidRPr="001C25C2">
        <w:t xml:space="preserve">/GEJ adenocarcinoma who have limited therapeutic options available to them. The health professional claimed that their experience with the drug in </w:t>
      </w:r>
      <w:r w:rsidR="00D9756E" w:rsidRPr="001C25C2">
        <w:t xml:space="preserve">CRC (for which </w:t>
      </w:r>
      <w:proofErr w:type="spellStart"/>
      <w:r w:rsidR="00D9756E" w:rsidRPr="001C25C2">
        <w:t>trifluridine</w:t>
      </w:r>
      <w:proofErr w:type="spellEnd"/>
      <w:r w:rsidR="00D9756E" w:rsidRPr="001C25C2">
        <w:t>/</w:t>
      </w:r>
      <w:proofErr w:type="spellStart"/>
      <w:r w:rsidR="00D9756E" w:rsidRPr="001C25C2">
        <w:t>tipiracil</w:t>
      </w:r>
      <w:proofErr w:type="spellEnd"/>
      <w:r w:rsidR="00D9756E" w:rsidRPr="001C25C2">
        <w:t xml:space="preserve"> is currently PBS listed)</w:t>
      </w:r>
      <w:r w:rsidRPr="001C25C2">
        <w:t xml:space="preserve"> is that it is well-tolerated and maintains the patient’s quality of life.</w:t>
      </w:r>
    </w:p>
    <w:p w:rsidR="005D4B1D" w:rsidRPr="001C25C2" w:rsidRDefault="005D4B1D" w:rsidP="003F3A61">
      <w:pPr>
        <w:pStyle w:val="ListParagraph"/>
        <w:numPr>
          <w:ilvl w:val="1"/>
          <w:numId w:val="2"/>
        </w:numPr>
      </w:pPr>
      <w:r w:rsidRPr="001C25C2">
        <w:t xml:space="preserve">The PBAC </w:t>
      </w:r>
      <w:r w:rsidR="00DE626D" w:rsidRPr="001C25C2">
        <w:t>noted that</w:t>
      </w:r>
      <w:r w:rsidRPr="001C25C2">
        <w:t xml:space="preserve"> the Medical Oncology Group of Australia (MOGA) </w:t>
      </w:r>
      <w:r w:rsidR="00DE626D" w:rsidRPr="001C25C2">
        <w:t xml:space="preserve">expressed its support for the </w:t>
      </w:r>
      <w:proofErr w:type="spellStart"/>
      <w:r w:rsidR="00DE626D" w:rsidRPr="001C25C2">
        <w:t>trifluridine</w:t>
      </w:r>
      <w:proofErr w:type="spellEnd"/>
      <w:r w:rsidR="00DE626D" w:rsidRPr="001C25C2">
        <w:t>/</w:t>
      </w:r>
      <w:proofErr w:type="spellStart"/>
      <w:r w:rsidR="00DE626D" w:rsidRPr="001C25C2">
        <w:t>tipiracil</w:t>
      </w:r>
      <w:proofErr w:type="spellEnd"/>
      <w:r w:rsidR="00DE626D" w:rsidRPr="001C25C2">
        <w:t xml:space="preserve"> </w:t>
      </w:r>
      <w:r w:rsidRPr="001C25C2">
        <w:t xml:space="preserve">submission. The PBAC noted that the MOGA presented a European Society for Medical Oncology Magnitude of Clinical Benefit Scale (ESMO-MCBS) for </w:t>
      </w:r>
      <w:proofErr w:type="spellStart"/>
      <w:r w:rsidRPr="001C25C2">
        <w:t>trifluridine</w:t>
      </w:r>
      <w:proofErr w:type="spellEnd"/>
      <w:r w:rsidRPr="001C25C2">
        <w:t>/</w:t>
      </w:r>
      <w:proofErr w:type="spellStart"/>
      <w:r w:rsidRPr="001C25C2">
        <w:t>tipiracil</w:t>
      </w:r>
      <w:proofErr w:type="spellEnd"/>
      <w:r w:rsidRPr="001C25C2">
        <w:t>, which was limited to 3 (out of a maximum of 5, where 5 and 4 represent the grades with substantial improvement)</w:t>
      </w:r>
      <w:r w:rsidRPr="001C25C2">
        <w:rPr>
          <w:vertAlign w:val="superscript"/>
        </w:rPr>
        <w:footnoteReference w:id="1"/>
      </w:r>
      <w:r w:rsidRPr="001C25C2">
        <w:t xml:space="preserve">, based on a comparison with </w:t>
      </w:r>
      <w:r w:rsidR="00C47702" w:rsidRPr="001C25C2">
        <w:t xml:space="preserve">placebo plus </w:t>
      </w:r>
      <w:r w:rsidR="00DE626D" w:rsidRPr="001C25C2">
        <w:t>BSC</w:t>
      </w:r>
      <w:r w:rsidRPr="001C25C2">
        <w:t>.</w:t>
      </w:r>
    </w:p>
    <w:p w:rsidR="00197121" w:rsidRPr="001C25C2" w:rsidRDefault="00197121" w:rsidP="008A54B0"/>
    <w:p w:rsidR="00A42B8D" w:rsidRPr="001C25C2" w:rsidRDefault="005846E2">
      <w:pPr>
        <w:pStyle w:val="Heading2"/>
      </w:pPr>
      <w:r w:rsidRPr="001C25C2">
        <w:t>Clinical trials</w:t>
      </w:r>
      <w:bookmarkEnd w:id="13"/>
    </w:p>
    <w:p w:rsidR="00A42B8D" w:rsidRPr="001C25C2" w:rsidRDefault="005846E2" w:rsidP="003E4EF2">
      <w:pPr>
        <w:pStyle w:val="ListParagraph"/>
        <w:widowControl/>
        <w:numPr>
          <w:ilvl w:val="1"/>
          <w:numId w:val="2"/>
        </w:numPr>
        <w:rPr>
          <w:rFonts w:cs="Calibri"/>
          <w:snapToGrid/>
          <w:szCs w:val="24"/>
          <w:lang w:eastAsia="en-AU"/>
        </w:rPr>
      </w:pPr>
      <w:r w:rsidRPr="001C25C2">
        <w:rPr>
          <w:rFonts w:cs="Calibri"/>
          <w:snapToGrid/>
          <w:szCs w:val="24"/>
          <w:lang w:eastAsia="en-AU"/>
        </w:rPr>
        <w:t xml:space="preserve">The submission was based on one head-to-head randomised trial (TAGS) comparing </w:t>
      </w:r>
      <w:proofErr w:type="spellStart"/>
      <w:r w:rsidRPr="001C25C2">
        <w:rPr>
          <w:rFonts w:cs="Calibri"/>
          <w:snapToGrid/>
          <w:szCs w:val="24"/>
          <w:lang w:eastAsia="en-AU"/>
        </w:rPr>
        <w:t>trifluridine</w:t>
      </w:r>
      <w:proofErr w:type="spellEnd"/>
      <w:r w:rsidRPr="001C25C2">
        <w:rPr>
          <w:rFonts w:cs="Calibri"/>
          <w:snapToGrid/>
          <w:szCs w:val="24"/>
          <w:lang w:eastAsia="en-AU"/>
        </w:rPr>
        <w:t>/</w:t>
      </w:r>
      <w:proofErr w:type="spellStart"/>
      <w:r w:rsidRPr="001C25C2">
        <w:rPr>
          <w:rFonts w:cs="Calibri"/>
          <w:snapToGrid/>
          <w:szCs w:val="24"/>
          <w:lang w:eastAsia="en-AU"/>
        </w:rPr>
        <w:t>tipiracil</w:t>
      </w:r>
      <w:proofErr w:type="spellEnd"/>
      <w:r w:rsidRPr="001C25C2">
        <w:rPr>
          <w:rFonts w:cs="Calibri"/>
          <w:snapToGrid/>
          <w:szCs w:val="24"/>
          <w:lang w:eastAsia="en-AU"/>
        </w:rPr>
        <w:t xml:space="preserve"> </w:t>
      </w:r>
      <w:r w:rsidR="00FB1F8B" w:rsidRPr="001C25C2">
        <w:rPr>
          <w:rFonts w:cs="Calibri"/>
          <w:snapToGrid/>
          <w:szCs w:val="24"/>
          <w:lang w:eastAsia="en-AU"/>
        </w:rPr>
        <w:t xml:space="preserve">plus BSC with </w:t>
      </w:r>
      <w:r w:rsidRPr="001C25C2">
        <w:rPr>
          <w:rFonts w:cs="Calibri"/>
          <w:snapToGrid/>
          <w:szCs w:val="24"/>
          <w:lang w:eastAsia="en-AU"/>
        </w:rPr>
        <w:t xml:space="preserve">placebo plus BSC in patients with metastatic gastric adenocarcinoma, including adenocarcinoma of the gastroesophageal junction, </w:t>
      </w:r>
      <w:r w:rsidRPr="001C25C2">
        <w:t>who had received at least two previous chemotherapy regimens and had experienced radiological disease progression</w:t>
      </w:r>
      <w:r w:rsidRPr="001C25C2">
        <w:rPr>
          <w:rFonts w:cs="Calibri"/>
          <w:snapToGrid/>
          <w:szCs w:val="24"/>
          <w:lang w:eastAsia="en-AU"/>
        </w:rPr>
        <w:t>.</w:t>
      </w:r>
    </w:p>
    <w:p w:rsidR="00A42B8D" w:rsidRPr="001C25C2" w:rsidRDefault="005846E2" w:rsidP="003E4EF2">
      <w:pPr>
        <w:pStyle w:val="ListParagraph"/>
        <w:widowControl/>
        <w:numPr>
          <w:ilvl w:val="1"/>
          <w:numId w:val="2"/>
        </w:numPr>
        <w:rPr>
          <w:rFonts w:asciiTheme="minorHAnsi" w:hAnsiTheme="minorHAnsi" w:cstheme="minorHAnsi"/>
        </w:rPr>
      </w:pPr>
      <w:r w:rsidRPr="001C25C2">
        <w:rPr>
          <w:rFonts w:asciiTheme="minorHAnsi" w:hAnsiTheme="minorHAnsi" w:cstheme="minorHAnsi"/>
          <w:snapToGrid/>
          <w:szCs w:val="24"/>
          <w:lang w:eastAsia="en-AU"/>
        </w:rPr>
        <w:t>Details of the trial presented in the submission ar</w:t>
      </w:r>
      <w:r w:rsidR="00924305" w:rsidRPr="001C25C2">
        <w:rPr>
          <w:rFonts w:asciiTheme="minorHAnsi" w:hAnsiTheme="minorHAnsi" w:cstheme="minorHAnsi"/>
          <w:snapToGrid/>
          <w:szCs w:val="24"/>
          <w:lang w:eastAsia="en-AU"/>
        </w:rPr>
        <w:t>e provided in the table below.</w:t>
      </w:r>
    </w:p>
    <w:p w:rsidR="00A42B8D" w:rsidRPr="001C25C2" w:rsidRDefault="005846E2" w:rsidP="005846E2">
      <w:pPr>
        <w:keepNext/>
        <w:keepLines/>
        <w:rPr>
          <w:rStyle w:val="CommentReference"/>
          <w:b w:val="0"/>
        </w:rPr>
      </w:pPr>
      <w:r w:rsidRPr="001C25C2">
        <w:rPr>
          <w:rStyle w:val="CommentReference"/>
        </w:rPr>
        <w:lastRenderedPageBreak/>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A42B8D" w:rsidRPr="001C25C2">
        <w:trPr>
          <w:tblHeader/>
        </w:trPr>
        <w:tc>
          <w:tcPr>
            <w:tcW w:w="796" w:type="pct"/>
            <w:vAlign w:val="center"/>
          </w:tcPr>
          <w:p w:rsidR="00A42B8D" w:rsidRPr="001C25C2" w:rsidRDefault="005846E2" w:rsidP="005846E2">
            <w:pPr>
              <w:pStyle w:val="Tabletext"/>
              <w:keepNext/>
              <w:rPr>
                <w:b/>
              </w:rPr>
            </w:pPr>
            <w:r w:rsidRPr="001C25C2">
              <w:rPr>
                <w:b/>
              </w:rPr>
              <w:t>Trial ID</w:t>
            </w:r>
          </w:p>
        </w:tc>
        <w:tc>
          <w:tcPr>
            <w:tcW w:w="3027" w:type="pct"/>
            <w:vAlign w:val="center"/>
          </w:tcPr>
          <w:p w:rsidR="00A42B8D" w:rsidRPr="001C25C2" w:rsidRDefault="005846E2" w:rsidP="005846E2">
            <w:pPr>
              <w:pStyle w:val="Tabletext"/>
              <w:keepNext/>
              <w:jc w:val="center"/>
              <w:rPr>
                <w:b/>
              </w:rPr>
            </w:pPr>
            <w:r w:rsidRPr="001C25C2">
              <w:rPr>
                <w:b/>
              </w:rPr>
              <w:t>Protocol title/ Publication title</w:t>
            </w:r>
          </w:p>
        </w:tc>
        <w:tc>
          <w:tcPr>
            <w:tcW w:w="1177" w:type="pct"/>
            <w:vAlign w:val="center"/>
          </w:tcPr>
          <w:p w:rsidR="00A42B8D" w:rsidRPr="001C25C2" w:rsidRDefault="005846E2" w:rsidP="005846E2">
            <w:pPr>
              <w:pStyle w:val="Tabletext"/>
              <w:keepNext/>
              <w:jc w:val="center"/>
              <w:rPr>
                <w:b/>
              </w:rPr>
            </w:pPr>
            <w:r w:rsidRPr="001C25C2">
              <w:rPr>
                <w:b/>
              </w:rPr>
              <w:t>Publication citation</w:t>
            </w:r>
          </w:p>
        </w:tc>
      </w:tr>
      <w:tr w:rsidR="00A42B8D" w:rsidRPr="001C25C2">
        <w:tc>
          <w:tcPr>
            <w:tcW w:w="796" w:type="pct"/>
            <w:vMerge w:val="restart"/>
            <w:vAlign w:val="center"/>
          </w:tcPr>
          <w:p w:rsidR="00A42B8D" w:rsidRPr="001C25C2" w:rsidRDefault="005846E2" w:rsidP="00905A4A">
            <w:pPr>
              <w:pStyle w:val="Tabletext"/>
              <w:keepNext/>
              <w:rPr>
                <w:rFonts w:ascii="Times" w:hAnsi="Times"/>
              </w:rPr>
            </w:pPr>
            <w:r w:rsidRPr="001C25C2">
              <w:t>TAGS</w:t>
            </w:r>
          </w:p>
        </w:tc>
        <w:tc>
          <w:tcPr>
            <w:tcW w:w="3027" w:type="pct"/>
            <w:tcBorders>
              <w:bottom w:val="nil"/>
            </w:tcBorders>
            <w:vAlign w:val="center"/>
          </w:tcPr>
          <w:p w:rsidR="00A42B8D" w:rsidRPr="001C25C2" w:rsidRDefault="005846E2" w:rsidP="005846E2">
            <w:pPr>
              <w:pStyle w:val="Tabletext"/>
              <w:keepNext/>
              <w:rPr>
                <w:szCs w:val="18"/>
              </w:rPr>
            </w:pPr>
            <w:r w:rsidRPr="001C25C2">
              <w:rPr>
                <w:lang w:eastAsia="en-AU"/>
              </w:rPr>
              <w:t>Randomized, double-blind, phase 3 study evaluating TAS-102 plus best supportive care (BSC) versus placebo plus BSC in patients with metastatic gastric cancer refractory to standard treatments.</w:t>
            </w:r>
          </w:p>
        </w:tc>
        <w:tc>
          <w:tcPr>
            <w:tcW w:w="1177" w:type="pct"/>
            <w:tcBorders>
              <w:bottom w:val="nil"/>
            </w:tcBorders>
            <w:vAlign w:val="center"/>
          </w:tcPr>
          <w:p w:rsidR="00A42B8D" w:rsidRPr="001C25C2" w:rsidRDefault="005846E2" w:rsidP="005846E2">
            <w:pPr>
              <w:pStyle w:val="Tabletext"/>
              <w:keepNext/>
              <w:rPr>
                <w:rFonts w:ascii="Times" w:hAnsi="Times"/>
              </w:rPr>
            </w:pPr>
            <w:r w:rsidRPr="001C25C2">
              <w:t>Clinical Study Report; 30 July 2018</w:t>
            </w:r>
          </w:p>
        </w:tc>
      </w:tr>
      <w:tr w:rsidR="00A42B8D" w:rsidRPr="001C25C2">
        <w:tc>
          <w:tcPr>
            <w:tcW w:w="796" w:type="pct"/>
            <w:vMerge/>
            <w:vAlign w:val="center"/>
          </w:tcPr>
          <w:p w:rsidR="00A42B8D" w:rsidRPr="001C25C2" w:rsidRDefault="00A42B8D" w:rsidP="005846E2">
            <w:pPr>
              <w:pStyle w:val="Tabletext"/>
              <w:keepNext/>
            </w:pPr>
          </w:p>
        </w:tc>
        <w:tc>
          <w:tcPr>
            <w:tcW w:w="3027" w:type="pct"/>
            <w:tcBorders>
              <w:top w:val="nil"/>
              <w:bottom w:val="nil"/>
            </w:tcBorders>
            <w:vAlign w:val="center"/>
          </w:tcPr>
          <w:p w:rsidR="00A42B8D" w:rsidRPr="001C25C2" w:rsidRDefault="005846E2" w:rsidP="005846E2">
            <w:pPr>
              <w:pStyle w:val="Tabletext"/>
              <w:keepNext/>
              <w:spacing w:before="120"/>
              <w:rPr>
                <w:szCs w:val="18"/>
                <w:lang w:eastAsia="en-AU"/>
              </w:rPr>
            </w:pPr>
            <w:proofErr w:type="spellStart"/>
            <w:r w:rsidRPr="001C25C2">
              <w:rPr>
                <w:lang w:eastAsia="en-AU"/>
              </w:rPr>
              <w:t>Shitara</w:t>
            </w:r>
            <w:proofErr w:type="spellEnd"/>
            <w:r w:rsidRPr="001C25C2">
              <w:rPr>
                <w:lang w:eastAsia="en-AU"/>
              </w:rPr>
              <w:t xml:space="preserve"> K, </w:t>
            </w:r>
            <w:proofErr w:type="spellStart"/>
            <w:r w:rsidRPr="001C25C2">
              <w:rPr>
                <w:lang w:eastAsia="en-AU"/>
              </w:rPr>
              <w:t>Doi</w:t>
            </w:r>
            <w:proofErr w:type="spellEnd"/>
            <w:r w:rsidRPr="001C25C2">
              <w:rPr>
                <w:lang w:eastAsia="en-AU"/>
              </w:rPr>
              <w:t xml:space="preserve"> T, et al. </w:t>
            </w:r>
            <w:proofErr w:type="spellStart"/>
            <w:r w:rsidRPr="001C25C2">
              <w:rPr>
                <w:lang w:eastAsia="en-AU"/>
              </w:rPr>
              <w:t>Trifluridine</w:t>
            </w:r>
            <w:proofErr w:type="spellEnd"/>
            <w:r w:rsidRPr="001C25C2">
              <w:rPr>
                <w:lang w:eastAsia="en-AU"/>
              </w:rPr>
              <w:t>/</w:t>
            </w:r>
            <w:proofErr w:type="spellStart"/>
            <w:r w:rsidRPr="001C25C2">
              <w:rPr>
                <w:lang w:eastAsia="en-AU"/>
              </w:rPr>
              <w:t>tipiracil</w:t>
            </w:r>
            <w:proofErr w:type="spellEnd"/>
            <w:r w:rsidRPr="001C25C2">
              <w:rPr>
                <w:lang w:eastAsia="en-AU"/>
              </w:rPr>
              <w:t xml:space="preserve"> versus placebo in patients with heavily </w:t>
            </w:r>
            <w:r w:rsidR="008D2A17" w:rsidRPr="001C25C2">
              <w:rPr>
                <w:lang w:eastAsia="en-AU"/>
              </w:rPr>
              <w:t>pre-treated</w:t>
            </w:r>
            <w:r w:rsidRPr="001C25C2">
              <w:rPr>
                <w:lang w:eastAsia="en-AU"/>
              </w:rPr>
              <w:t xml:space="preserve"> metastatic gastric cancer (TAGS): a randomised, double-blind, placebo-controlled, phase 3 trial.</w:t>
            </w:r>
          </w:p>
        </w:tc>
        <w:tc>
          <w:tcPr>
            <w:tcW w:w="1177" w:type="pct"/>
            <w:tcBorders>
              <w:top w:val="nil"/>
              <w:bottom w:val="nil"/>
            </w:tcBorders>
            <w:vAlign w:val="center"/>
          </w:tcPr>
          <w:p w:rsidR="00A42B8D" w:rsidRPr="001C25C2" w:rsidRDefault="005846E2" w:rsidP="005846E2">
            <w:pPr>
              <w:pStyle w:val="Tabletext"/>
              <w:keepNext/>
              <w:rPr>
                <w:szCs w:val="18"/>
                <w:lang w:eastAsia="en-AU"/>
              </w:rPr>
            </w:pPr>
            <w:r w:rsidRPr="001C25C2">
              <w:rPr>
                <w:szCs w:val="18"/>
                <w:lang w:eastAsia="en-AU"/>
              </w:rPr>
              <w:t>The Lancet Oncology 2018</w:t>
            </w:r>
            <w:proofErr w:type="gramStart"/>
            <w:r w:rsidRPr="001C25C2">
              <w:rPr>
                <w:szCs w:val="18"/>
                <w:lang w:eastAsia="en-AU"/>
              </w:rPr>
              <w:t>;19</w:t>
            </w:r>
            <w:proofErr w:type="gramEnd"/>
            <w:r w:rsidRPr="001C25C2">
              <w:rPr>
                <w:szCs w:val="18"/>
                <w:lang w:eastAsia="en-AU"/>
              </w:rPr>
              <w:t>(11):1437-1448.</w:t>
            </w:r>
          </w:p>
        </w:tc>
      </w:tr>
      <w:tr w:rsidR="00A42B8D" w:rsidRPr="001C25C2">
        <w:tc>
          <w:tcPr>
            <w:tcW w:w="796" w:type="pct"/>
            <w:vMerge/>
            <w:vAlign w:val="center"/>
          </w:tcPr>
          <w:p w:rsidR="00A42B8D" w:rsidRPr="001C25C2" w:rsidRDefault="00A42B8D" w:rsidP="005846E2">
            <w:pPr>
              <w:pStyle w:val="Tabletext"/>
              <w:keepNext/>
            </w:pPr>
          </w:p>
        </w:tc>
        <w:tc>
          <w:tcPr>
            <w:tcW w:w="3027" w:type="pct"/>
            <w:tcBorders>
              <w:top w:val="nil"/>
              <w:bottom w:val="nil"/>
            </w:tcBorders>
            <w:vAlign w:val="center"/>
          </w:tcPr>
          <w:p w:rsidR="00A42B8D" w:rsidRPr="001C25C2" w:rsidRDefault="005846E2" w:rsidP="005846E2">
            <w:pPr>
              <w:pStyle w:val="Tabletext"/>
              <w:keepNext/>
              <w:rPr>
                <w:szCs w:val="18"/>
                <w:lang w:eastAsia="en-AU"/>
              </w:rPr>
            </w:pPr>
            <w:proofErr w:type="spellStart"/>
            <w:r w:rsidRPr="001C25C2">
              <w:rPr>
                <w:lang w:eastAsia="en-AU"/>
              </w:rPr>
              <w:t>Ilson</w:t>
            </w:r>
            <w:proofErr w:type="spellEnd"/>
            <w:r w:rsidRPr="001C25C2">
              <w:rPr>
                <w:lang w:eastAsia="en-AU"/>
              </w:rPr>
              <w:t xml:space="preserve"> DH, </w:t>
            </w:r>
            <w:proofErr w:type="spellStart"/>
            <w:r w:rsidRPr="001C25C2">
              <w:rPr>
                <w:lang w:eastAsia="en-AU"/>
              </w:rPr>
              <w:t>Prokharau</w:t>
            </w:r>
            <w:proofErr w:type="spellEnd"/>
            <w:r w:rsidRPr="001C25C2">
              <w:rPr>
                <w:lang w:eastAsia="en-AU"/>
              </w:rPr>
              <w:t xml:space="preserve"> A, et al. Efficacy and safety of </w:t>
            </w:r>
            <w:proofErr w:type="spellStart"/>
            <w:r w:rsidRPr="001C25C2">
              <w:rPr>
                <w:lang w:eastAsia="en-AU"/>
              </w:rPr>
              <w:t>trifluridine</w:t>
            </w:r>
            <w:proofErr w:type="spellEnd"/>
            <w:r w:rsidRPr="001C25C2">
              <w:rPr>
                <w:lang w:eastAsia="en-AU"/>
              </w:rPr>
              <w:t>/</w:t>
            </w:r>
            <w:proofErr w:type="spellStart"/>
            <w:r w:rsidRPr="001C25C2">
              <w:rPr>
                <w:lang w:eastAsia="en-AU"/>
              </w:rPr>
              <w:t>tipiracil</w:t>
            </w:r>
            <w:proofErr w:type="spellEnd"/>
            <w:r w:rsidRPr="001C25C2">
              <w:rPr>
                <w:lang w:eastAsia="en-AU"/>
              </w:rPr>
              <w:t xml:space="preserve"> (FTD/TPI) in patients (pts) with metastatic gastric cancer (</w:t>
            </w:r>
            <w:proofErr w:type="spellStart"/>
            <w:r w:rsidRPr="001C25C2">
              <w:rPr>
                <w:lang w:eastAsia="en-AU"/>
              </w:rPr>
              <w:t>mGC</w:t>
            </w:r>
            <w:proofErr w:type="spellEnd"/>
            <w:r w:rsidRPr="001C25C2">
              <w:rPr>
                <w:lang w:eastAsia="en-AU"/>
              </w:rPr>
              <w:t>) with or without prior gastrectomy: Results from a phase III study (TAGS).</w:t>
            </w:r>
          </w:p>
        </w:tc>
        <w:tc>
          <w:tcPr>
            <w:tcW w:w="1177" w:type="pct"/>
            <w:tcBorders>
              <w:top w:val="nil"/>
              <w:bottom w:val="nil"/>
            </w:tcBorders>
            <w:vAlign w:val="center"/>
          </w:tcPr>
          <w:p w:rsidR="00A42B8D" w:rsidRPr="001C25C2" w:rsidRDefault="005846E2" w:rsidP="005846E2">
            <w:pPr>
              <w:pStyle w:val="TableText0"/>
              <w:spacing w:line="240" w:lineRule="auto"/>
              <w:rPr>
                <w:lang w:eastAsia="en-AU"/>
              </w:rPr>
            </w:pPr>
            <w:r w:rsidRPr="001C25C2">
              <w:rPr>
                <w:rFonts w:cs="Times New Roman"/>
                <w:sz w:val="20"/>
                <w:szCs w:val="18"/>
                <w:lang w:eastAsia="en-AU" w:bidi="ar-SA"/>
              </w:rPr>
              <w:t>Journal of Clinical Oncology</w:t>
            </w:r>
            <w:r w:rsidRPr="001C25C2">
              <w:rPr>
                <w:lang w:eastAsia="en-AU"/>
              </w:rPr>
              <w:t xml:space="preserve"> </w:t>
            </w:r>
            <w:r w:rsidRPr="001C25C2">
              <w:rPr>
                <w:rFonts w:cs="Times New Roman"/>
                <w:sz w:val="20"/>
                <w:lang w:bidi="ar-SA"/>
              </w:rPr>
              <w:t>2019</w:t>
            </w:r>
            <w:proofErr w:type="gramStart"/>
            <w:r w:rsidRPr="001C25C2">
              <w:rPr>
                <w:rFonts w:cs="Times New Roman"/>
                <w:sz w:val="20"/>
                <w:lang w:bidi="ar-SA"/>
              </w:rPr>
              <w:t>;37</w:t>
            </w:r>
            <w:proofErr w:type="gramEnd"/>
            <w:r w:rsidRPr="001C25C2">
              <w:rPr>
                <w:rFonts w:cs="Times New Roman"/>
                <w:sz w:val="20"/>
                <w:lang w:bidi="ar-SA"/>
              </w:rPr>
              <w:t>(Suppl.4):3-3 [Abstract: ASCO Gastrointestinal Cancers Symposium, Jan 2019].</w:t>
            </w:r>
          </w:p>
        </w:tc>
      </w:tr>
      <w:tr w:rsidR="00A42B8D" w:rsidRPr="001C25C2">
        <w:tc>
          <w:tcPr>
            <w:tcW w:w="796" w:type="pct"/>
            <w:vMerge/>
            <w:vAlign w:val="center"/>
          </w:tcPr>
          <w:p w:rsidR="00A42B8D" w:rsidRPr="001C25C2" w:rsidRDefault="00A42B8D" w:rsidP="005846E2">
            <w:pPr>
              <w:pStyle w:val="Tabletext"/>
              <w:keepNext/>
              <w:rPr>
                <w:rFonts w:ascii="Times" w:hAnsi="Times"/>
              </w:rPr>
            </w:pPr>
          </w:p>
        </w:tc>
        <w:tc>
          <w:tcPr>
            <w:tcW w:w="3027" w:type="pct"/>
            <w:tcBorders>
              <w:top w:val="nil"/>
              <w:bottom w:val="nil"/>
            </w:tcBorders>
            <w:vAlign w:val="center"/>
          </w:tcPr>
          <w:p w:rsidR="00A42B8D" w:rsidRPr="001C25C2" w:rsidRDefault="005846E2" w:rsidP="005846E2">
            <w:pPr>
              <w:pStyle w:val="Tabletext"/>
              <w:keepNext/>
              <w:rPr>
                <w:rFonts w:ascii="Times" w:hAnsi="Times"/>
              </w:rPr>
            </w:pPr>
            <w:proofErr w:type="spellStart"/>
            <w:r w:rsidRPr="001C25C2">
              <w:rPr>
                <w:lang w:eastAsia="en-AU"/>
              </w:rPr>
              <w:t>Shitara</w:t>
            </w:r>
            <w:proofErr w:type="spellEnd"/>
            <w:r w:rsidRPr="001C25C2">
              <w:rPr>
                <w:lang w:eastAsia="en-AU"/>
              </w:rPr>
              <w:t xml:space="preserve"> K, </w:t>
            </w:r>
            <w:proofErr w:type="spellStart"/>
            <w:r w:rsidRPr="001C25C2">
              <w:rPr>
                <w:lang w:eastAsia="en-AU"/>
              </w:rPr>
              <w:t>Doi</w:t>
            </w:r>
            <w:proofErr w:type="spellEnd"/>
            <w:r w:rsidRPr="001C25C2">
              <w:rPr>
                <w:lang w:eastAsia="en-AU"/>
              </w:rPr>
              <w:t xml:space="preserve"> T, et al. Correction: </w:t>
            </w:r>
            <w:proofErr w:type="spellStart"/>
            <w:r w:rsidRPr="001C25C2">
              <w:rPr>
                <w:lang w:eastAsia="en-AU"/>
              </w:rPr>
              <w:t>Trifluridine</w:t>
            </w:r>
            <w:proofErr w:type="spellEnd"/>
            <w:r w:rsidRPr="001C25C2">
              <w:rPr>
                <w:lang w:eastAsia="en-AU"/>
              </w:rPr>
              <w:t>/</w:t>
            </w:r>
            <w:proofErr w:type="spellStart"/>
            <w:r w:rsidRPr="001C25C2">
              <w:rPr>
                <w:lang w:eastAsia="en-AU"/>
              </w:rPr>
              <w:t>tipiracil</w:t>
            </w:r>
            <w:proofErr w:type="spellEnd"/>
            <w:r w:rsidRPr="001C25C2">
              <w:rPr>
                <w:lang w:eastAsia="en-AU"/>
              </w:rPr>
              <w:t xml:space="preserve"> versus placebo in patients with heavily pre</w:t>
            </w:r>
            <w:r w:rsidR="008D2A17" w:rsidRPr="001C25C2">
              <w:rPr>
                <w:lang w:eastAsia="en-AU"/>
              </w:rPr>
              <w:t>-</w:t>
            </w:r>
            <w:r w:rsidRPr="001C25C2">
              <w:rPr>
                <w:lang w:eastAsia="en-AU"/>
              </w:rPr>
              <w:t>treated metastatic gastric cancer (TAGS): a randomised, double-blind, placebo-controlled, phase 3 trial.</w:t>
            </w:r>
          </w:p>
        </w:tc>
        <w:tc>
          <w:tcPr>
            <w:tcW w:w="1177" w:type="pct"/>
            <w:tcBorders>
              <w:top w:val="nil"/>
              <w:bottom w:val="nil"/>
            </w:tcBorders>
            <w:vAlign w:val="center"/>
          </w:tcPr>
          <w:p w:rsidR="00A42B8D" w:rsidRPr="001C25C2" w:rsidRDefault="005846E2" w:rsidP="005846E2">
            <w:pPr>
              <w:pStyle w:val="Tabletext"/>
              <w:keepNext/>
            </w:pPr>
            <w:r w:rsidRPr="001C25C2">
              <w:rPr>
                <w:lang w:eastAsia="en-AU"/>
              </w:rPr>
              <w:t>The Lancet Oncology</w:t>
            </w:r>
            <w:r w:rsidRPr="001C25C2">
              <w:t xml:space="preserve"> </w:t>
            </w:r>
            <w:r w:rsidRPr="001C25C2">
              <w:rPr>
                <w:lang w:eastAsia="en-AU"/>
              </w:rPr>
              <w:t>2018</w:t>
            </w:r>
            <w:proofErr w:type="gramStart"/>
            <w:r w:rsidRPr="001C25C2">
              <w:rPr>
                <w:lang w:eastAsia="en-AU"/>
              </w:rPr>
              <w:t>;19</w:t>
            </w:r>
            <w:proofErr w:type="gramEnd"/>
            <w:r w:rsidRPr="001C25C2">
              <w:rPr>
                <w:lang w:eastAsia="en-AU"/>
              </w:rPr>
              <w:t>(12):e668.</w:t>
            </w:r>
          </w:p>
        </w:tc>
      </w:tr>
      <w:tr w:rsidR="00A42B8D" w:rsidRPr="001C25C2">
        <w:tc>
          <w:tcPr>
            <w:tcW w:w="796" w:type="pct"/>
            <w:vMerge/>
            <w:vAlign w:val="center"/>
          </w:tcPr>
          <w:p w:rsidR="00A42B8D" w:rsidRPr="001C25C2" w:rsidRDefault="00A42B8D" w:rsidP="005846E2">
            <w:pPr>
              <w:pStyle w:val="Tabletext"/>
              <w:keepNext/>
            </w:pPr>
          </w:p>
        </w:tc>
        <w:tc>
          <w:tcPr>
            <w:tcW w:w="3027" w:type="pct"/>
            <w:tcBorders>
              <w:top w:val="nil"/>
              <w:bottom w:val="nil"/>
            </w:tcBorders>
            <w:vAlign w:val="center"/>
          </w:tcPr>
          <w:p w:rsidR="00A42B8D" w:rsidRPr="001C25C2" w:rsidRDefault="005846E2" w:rsidP="005846E2">
            <w:pPr>
              <w:pStyle w:val="Tabletext"/>
              <w:keepNext/>
              <w:rPr>
                <w:szCs w:val="18"/>
              </w:rPr>
            </w:pPr>
            <w:proofErr w:type="spellStart"/>
            <w:r w:rsidRPr="001C25C2">
              <w:rPr>
                <w:lang w:eastAsia="en-AU"/>
              </w:rPr>
              <w:t>Shitara</w:t>
            </w:r>
            <w:proofErr w:type="spellEnd"/>
            <w:r w:rsidRPr="001C25C2">
              <w:rPr>
                <w:lang w:eastAsia="en-AU"/>
              </w:rPr>
              <w:t xml:space="preserve"> K, </w:t>
            </w:r>
            <w:proofErr w:type="spellStart"/>
            <w:r w:rsidRPr="001C25C2">
              <w:rPr>
                <w:lang w:eastAsia="en-AU"/>
              </w:rPr>
              <w:t>Tabernero</w:t>
            </w:r>
            <w:proofErr w:type="spellEnd"/>
            <w:r w:rsidRPr="001C25C2">
              <w:rPr>
                <w:lang w:eastAsia="en-AU"/>
              </w:rPr>
              <w:t xml:space="preserve"> J, et al. Overall survival results from a phase III trial of </w:t>
            </w:r>
            <w:proofErr w:type="spellStart"/>
            <w:r w:rsidRPr="001C25C2">
              <w:rPr>
                <w:lang w:eastAsia="en-AU"/>
              </w:rPr>
              <w:t>trifluridine</w:t>
            </w:r>
            <w:proofErr w:type="spellEnd"/>
            <w:r w:rsidRPr="001C25C2">
              <w:rPr>
                <w:lang w:eastAsia="en-AU"/>
              </w:rPr>
              <w:t>/</w:t>
            </w:r>
            <w:proofErr w:type="spellStart"/>
            <w:r w:rsidRPr="001C25C2">
              <w:rPr>
                <w:lang w:eastAsia="en-AU"/>
              </w:rPr>
              <w:t>tipiracil</w:t>
            </w:r>
            <w:proofErr w:type="spellEnd"/>
            <w:r w:rsidRPr="001C25C2">
              <w:rPr>
                <w:lang w:eastAsia="en-AU"/>
              </w:rPr>
              <w:t xml:space="preserve"> (FTD/TPI) vs. placebo in patients (Pts) with metastatic gastric cancer refractory to standard therapies (TAGS).</w:t>
            </w:r>
          </w:p>
        </w:tc>
        <w:tc>
          <w:tcPr>
            <w:tcW w:w="1177" w:type="pct"/>
            <w:tcBorders>
              <w:top w:val="nil"/>
              <w:bottom w:val="nil"/>
            </w:tcBorders>
            <w:vAlign w:val="center"/>
          </w:tcPr>
          <w:p w:rsidR="00A42B8D" w:rsidRPr="001C25C2" w:rsidRDefault="005846E2" w:rsidP="005846E2">
            <w:pPr>
              <w:pStyle w:val="Tabletext"/>
              <w:keepNext/>
              <w:rPr>
                <w:lang w:eastAsia="en-AU"/>
              </w:rPr>
            </w:pPr>
            <w:r w:rsidRPr="001C25C2">
              <w:rPr>
                <w:lang w:eastAsia="en-AU"/>
              </w:rPr>
              <w:t>Annals of Oncology 2018</w:t>
            </w:r>
            <w:proofErr w:type="gramStart"/>
            <w:r w:rsidRPr="001C25C2">
              <w:rPr>
                <w:lang w:eastAsia="en-AU"/>
              </w:rPr>
              <w:t>;29</w:t>
            </w:r>
            <w:proofErr w:type="gramEnd"/>
            <w:r w:rsidRPr="001C25C2">
              <w:rPr>
                <w:lang w:eastAsia="en-AU"/>
              </w:rPr>
              <w:t>(Suppl.9):ix55. [Abstract 175P: from ESMO Asia Congress, Nov 2018.]</w:t>
            </w:r>
          </w:p>
        </w:tc>
      </w:tr>
      <w:tr w:rsidR="00A42B8D" w:rsidRPr="001C25C2">
        <w:tc>
          <w:tcPr>
            <w:tcW w:w="796" w:type="pct"/>
            <w:vMerge/>
            <w:tcBorders>
              <w:bottom w:val="single" w:sz="4" w:space="0" w:color="auto"/>
            </w:tcBorders>
            <w:vAlign w:val="center"/>
          </w:tcPr>
          <w:p w:rsidR="00A42B8D" w:rsidRPr="001C25C2" w:rsidRDefault="00A42B8D" w:rsidP="005846E2">
            <w:pPr>
              <w:pStyle w:val="Tabletext"/>
              <w:keepNext/>
            </w:pPr>
          </w:p>
        </w:tc>
        <w:tc>
          <w:tcPr>
            <w:tcW w:w="3027" w:type="pct"/>
            <w:tcBorders>
              <w:top w:val="nil"/>
              <w:bottom w:val="single" w:sz="4" w:space="0" w:color="auto"/>
            </w:tcBorders>
            <w:vAlign w:val="center"/>
          </w:tcPr>
          <w:p w:rsidR="00A42B8D" w:rsidRPr="001C25C2" w:rsidRDefault="005846E2" w:rsidP="005846E2">
            <w:pPr>
              <w:pStyle w:val="Tabletext"/>
              <w:keepNext/>
              <w:rPr>
                <w:szCs w:val="18"/>
              </w:rPr>
            </w:pPr>
            <w:proofErr w:type="spellStart"/>
            <w:r w:rsidRPr="001C25C2">
              <w:rPr>
                <w:lang w:eastAsia="en-AU"/>
              </w:rPr>
              <w:t>Tabernero</w:t>
            </w:r>
            <w:proofErr w:type="spellEnd"/>
            <w:r w:rsidRPr="001C25C2">
              <w:rPr>
                <w:lang w:eastAsia="en-AU"/>
              </w:rPr>
              <w:t xml:space="preserve"> J, </w:t>
            </w:r>
            <w:proofErr w:type="spellStart"/>
            <w:r w:rsidRPr="001C25C2">
              <w:rPr>
                <w:lang w:eastAsia="en-AU"/>
              </w:rPr>
              <w:t>Shitara</w:t>
            </w:r>
            <w:proofErr w:type="spellEnd"/>
            <w:r w:rsidRPr="001C25C2">
              <w:rPr>
                <w:lang w:eastAsia="en-AU"/>
              </w:rPr>
              <w:t xml:space="preserve"> K, et al. Overall survival results from a phase III trial of </w:t>
            </w:r>
            <w:proofErr w:type="spellStart"/>
            <w:r w:rsidRPr="001C25C2">
              <w:rPr>
                <w:lang w:eastAsia="en-AU"/>
              </w:rPr>
              <w:t>trifluridine</w:t>
            </w:r>
            <w:proofErr w:type="spellEnd"/>
            <w:r w:rsidRPr="001C25C2">
              <w:rPr>
                <w:lang w:eastAsia="en-AU"/>
              </w:rPr>
              <w:t>/</w:t>
            </w:r>
            <w:proofErr w:type="spellStart"/>
            <w:r w:rsidRPr="001C25C2">
              <w:rPr>
                <w:lang w:eastAsia="en-AU"/>
              </w:rPr>
              <w:t>tipiracil</w:t>
            </w:r>
            <w:proofErr w:type="spellEnd"/>
            <w:r w:rsidRPr="001C25C2">
              <w:rPr>
                <w:lang w:eastAsia="en-AU"/>
              </w:rPr>
              <w:t xml:space="preserve"> versus placebo in patients with metastatic gastric cancer refractory to standard therapies (TAGS).</w:t>
            </w:r>
          </w:p>
        </w:tc>
        <w:tc>
          <w:tcPr>
            <w:tcW w:w="1177" w:type="pct"/>
            <w:tcBorders>
              <w:top w:val="nil"/>
              <w:bottom w:val="single" w:sz="4" w:space="0" w:color="auto"/>
            </w:tcBorders>
            <w:vAlign w:val="center"/>
          </w:tcPr>
          <w:p w:rsidR="00A42B8D" w:rsidRPr="001C25C2" w:rsidRDefault="00A42B8D" w:rsidP="005846E2">
            <w:pPr>
              <w:pStyle w:val="Tabletext"/>
              <w:keepNext/>
              <w:rPr>
                <w:lang w:eastAsia="en-AU"/>
              </w:rPr>
            </w:pPr>
          </w:p>
          <w:p w:rsidR="00A42B8D" w:rsidRPr="001C25C2" w:rsidRDefault="005846E2" w:rsidP="005846E2">
            <w:pPr>
              <w:pStyle w:val="Tabletext"/>
              <w:keepNext/>
              <w:rPr>
                <w:rFonts w:ascii="Times" w:hAnsi="Times"/>
              </w:rPr>
            </w:pPr>
            <w:r w:rsidRPr="001C25C2">
              <w:rPr>
                <w:lang w:eastAsia="en-AU"/>
              </w:rPr>
              <w:t>Annals of Oncology 2018:29(Suppl.5):v123. [Abstract</w:t>
            </w:r>
            <w:r w:rsidRPr="001C25C2">
              <w:t xml:space="preserve"> LBA-002 from ESMO 20th World Congress on Gastrointestinal Cancer, Jun 2018].</w:t>
            </w:r>
          </w:p>
        </w:tc>
      </w:tr>
    </w:tbl>
    <w:p w:rsidR="00A42B8D" w:rsidRPr="001C25C2" w:rsidRDefault="005846E2">
      <w:pPr>
        <w:pStyle w:val="Tabletext"/>
        <w:rPr>
          <w:sz w:val="18"/>
        </w:rPr>
      </w:pPr>
      <w:r w:rsidRPr="001C25C2">
        <w:rPr>
          <w:sz w:val="18"/>
        </w:rPr>
        <w:t>Source: Table 2.2.1, p27 of the submission</w:t>
      </w:r>
    </w:p>
    <w:p w:rsidR="00A42B8D" w:rsidRPr="001C25C2" w:rsidRDefault="00A42B8D" w:rsidP="005846E2">
      <w:pPr>
        <w:widowControl/>
      </w:pPr>
    </w:p>
    <w:p w:rsidR="00A42B8D" w:rsidRPr="001C25C2" w:rsidRDefault="005846E2" w:rsidP="003E4EF2">
      <w:pPr>
        <w:pStyle w:val="ListParagraph"/>
        <w:widowControl/>
        <w:numPr>
          <w:ilvl w:val="1"/>
          <w:numId w:val="2"/>
        </w:numPr>
      </w:pPr>
      <w:r w:rsidRPr="001C25C2">
        <w:t xml:space="preserve">The key trial eligibility criteria </w:t>
      </w:r>
      <w:r w:rsidRPr="001C25C2">
        <w:rPr>
          <w:rFonts w:cs="Calibri"/>
        </w:rPr>
        <w:t>was</w:t>
      </w:r>
      <w:r w:rsidRPr="001C25C2">
        <w:t xml:space="preserve"> patients with confirmed metastatic gastric adenocarcinoma and ECOG performance status of 0 or 1 at time of randomization, who received at least two prior regimens (at least one cycle per regimen), which must have included a </w:t>
      </w:r>
      <w:proofErr w:type="spellStart"/>
      <w:r w:rsidRPr="001C25C2">
        <w:t>fluoropyrimidine</w:t>
      </w:r>
      <w:proofErr w:type="spellEnd"/>
      <w:r w:rsidRPr="001C25C2">
        <w:t xml:space="preserve">, platinum, and either a </w:t>
      </w:r>
      <w:proofErr w:type="spellStart"/>
      <w:r w:rsidRPr="001C25C2">
        <w:t>taxane</w:t>
      </w:r>
      <w:proofErr w:type="spellEnd"/>
      <w:r w:rsidRPr="001C25C2">
        <w:t xml:space="preserve">- and/or </w:t>
      </w:r>
      <w:proofErr w:type="spellStart"/>
      <w:r w:rsidRPr="001C25C2">
        <w:t>irinotecan</w:t>
      </w:r>
      <w:proofErr w:type="spellEnd"/>
      <w:r w:rsidRPr="001C25C2">
        <w:t xml:space="preserve">-containing regimen; patients whose tumours were HER2+ must have received prior anti-HER2+ therapy if available and who were refractory to or unable to tolerate their most recent prior therapy. </w:t>
      </w:r>
      <w:r w:rsidR="008B0BA8" w:rsidRPr="001C25C2">
        <w:t>The ESC considered that the TAGS trial was relevant to the proposed PBS population</w:t>
      </w:r>
      <w:r w:rsidR="0095550D" w:rsidRPr="001C25C2">
        <w:t xml:space="preserve"> in clinical practice</w:t>
      </w:r>
      <w:r w:rsidR="008B0BA8" w:rsidRPr="001C25C2">
        <w:t>.</w:t>
      </w:r>
    </w:p>
    <w:p w:rsidR="00A42B8D" w:rsidRPr="001C25C2" w:rsidRDefault="005846E2" w:rsidP="003E4EF2">
      <w:pPr>
        <w:pStyle w:val="ListParagraph"/>
        <w:widowControl/>
        <w:numPr>
          <w:ilvl w:val="1"/>
          <w:numId w:val="2"/>
        </w:numPr>
        <w:rPr>
          <w:rFonts w:cs="Calibri"/>
        </w:rPr>
      </w:pPr>
      <w:r w:rsidRPr="001C25C2">
        <w:rPr>
          <w:rFonts w:cs="Calibri"/>
        </w:rPr>
        <w:t xml:space="preserve">The </w:t>
      </w:r>
      <w:r w:rsidR="00905A4A" w:rsidRPr="001C25C2">
        <w:rPr>
          <w:rFonts w:cs="Calibri"/>
        </w:rPr>
        <w:t xml:space="preserve">evaluation considered that the </w:t>
      </w:r>
      <w:r w:rsidRPr="001C25C2">
        <w:rPr>
          <w:rFonts w:cs="Calibri"/>
        </w:rPr>
        <w:t>trial participants were generally well balanced between treatment arms in terms of baseline demographics, disease severity and pre-study treatment.</w:t>
      </w:r>
    </w:p>
    <w:p w:rsidR="00A42B8D" w:rsidRPr="001C25C2" w:rsidRDefault="005846E2" w:rsidP="003E4EF2">
      <w:pPr>
        <w:pStyle w:val="ListParagraph"/>
        <w:widowControl/>
        <w:numPr>
          <w:ilvl w:val="1"/>
          <w:numId w:val="2"/>
        </w:numPr>
        <w:rPr>
          <w:rFonts w:asciiTheme="minorHAnsi" w:hAnsiTheme="minorHAnsi" w:cstheme="minorHAnsi"/>
        </w:rPr>
      </w:pPr>
      <w:r w:rsidRPr="001C25C2">
        <w:rPr>
          <w:rFonts w:asciiTheme="minorHAnsi" w:hAnsiTheme="minorHAnsi" w:cstheme="minorHAnsi"/>
        </w:rPr>
        <w:t xml:space="preserve">The key features of the direct randomised trial are summarised in </w:t>
      </w:r>
      <w:r w:rsidR="00905A4A" w:rsidRPr="001C25C2">
        <w:rPr>
          <w:rFonts w:asciiTheme="minorHAnsi" w:hAnsiTheme="minorHAnsi" w:cstheme="minorHAnsi"/>
        </w:rPr>
        <w:t>T</w:t>
      </w:r>
      <w:r w:rsidRPr="001C25C2">
        <w:rPr>
          <w:rFonts w:asciiTheme="minorHAnsi" w:hAnsiTheme="minorHAnsi" w:cstheme="minorHAnsi"/>
        </w:rPr>
        <w:t xml:space="preserve">able </w:t>
      </w:r>
      <w:r w:rsidR="00905A4A" w:rsidRPr="001C25C2">
        <w:rPr>
          <w:rFonts w:asciiTheme="minorHAnsi" w:hAnsiTheme="minorHAnsi" w:cstheme="minorHAnsi"/>
        </w:rPr>
        <w:t>3</w:t>
      </w:r>
      <w:r w:rsidRPr="001C25C2">
        <w:rPr>
          <w:rFonts w:asciiTheme="minorHAnsi" w:hAnsiTheme="minorHAnsi" w:cstheme="minorHAnsi"/>
        </w:rPr>
        <w:t xml:space="preserve">. </w:t>
      </w:r>
    </w:p>
    <w:p w:rsidR="00A42B8D" w:rsidRPr="001C25C2" w:rsidRDefault="005846E2">
      <w:pPr>
        <w:keepNext/>
        <w:rPr>
          <w:rStyle w:val="CommentReference"/>
        </w:rPr>
      </w:pPr>
      <w:r w:rsidRPr="001C25C2">
        <w:rPr>
          <w:rStyle w:val="CommentReference"/>
        </w:rPr>
        <w:lastRenderedPageBreak/>
        <w:t>Table 3: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6"/>
        <w:gridCol w:w="840"/>
        <w:gridCol w:w="1410"/>
        <w:gridCol w:w="1120"/>
        <w:gridCol w:w="1546"/>
        <w:gridCol w:w="1306"/>
        <w:gridCol w:w="1509"/>
      </w:tblGrid>
      <w:tr w:rsidR="00A42B8D" w:rsidRPr="001C25C2">
        <w:trPr>
          <w:tblHeader/>
        </w:trPr>
        <w:tc>
          <w:tcPr>
            <w:tcW w:w="713" w:type="pct"/>
            <w:shd w:val="clear" w:color="auto" w:fill="auto"/>
            <w:vAlign w:val="center"/>
          </w:tcPr>
          <w:p w:rsidR="00A42B8D" w:rsidRPr="001C25C2" w:rsidRDefault="005846E2">
            <w:pPr>
              <w:pStyle w:val="Tabletext"/>
              <w:keepNext/>
              <w:rPr>
                <w:b/>
              </w:rPr>
            </w:pPr>
            <w:bookmarkStart w:id="14" w:name="_GoBack" w:colFirst="0" w:colLast="7"/>
            <w:r w:rsidRPr="001C25C2">
              <w:rPr>
                <w:b/>
              </w:rPr>
              <w:t>Trial</w:t>
            </w:r>
          </w:p>
        </w:tc>
        <w:tc>
          <w:tcPr>
            <w:tcW w:w="466" w:type="pct"/>
            <w:shd w:val="clear" w:color="auto" w:fill="auto"/>
            <w:vAlign w:val="center"/>
          </w:tcPr>
          <w:p w:rsidR="00A42B8D" w:rsidRPr="001C25C2" w:rsidRDefault="005846E2">
            <w:pPr>
              <w:pStyle w:val="Tabletext"/>
              <w:keepNext/>
              <w:jc w:val="center"/>
              <w:rPr>
                <w:b/>
              </w:rPr>
            </w:pPr>
            <w:r w:rsidRPr="001C25C2">
              <w:rPr>
                <w:b/>
              </w:rPr>
              <w:t>N</w:t>
            </w:r>
          </w:p>
        </w:tc>
        <w:tc>
          <w:tcPr>
            <w:tcW w:w="782" w:type="pct"/>
            <w:shd w:val="clear" w:color="auto" w:fill="auto"/>
            <w:vAlign w:val="center"/>
          </w:tcPr>
          <w:p w:rsidR="00A42B8D" w:rsidRPr="001C25C2" w:rsidRDefault="005846E2">
            <w:pPr>
              <w:pStyle w:val="Tabletext"/>
              <w:keepNext/>
              <w:jc w:val="center"/>
              <w:rPr>
                <w:b/>
              </w:rPr>
            </w:pPr>
            <w:r w:rsidRPr="001C25C2">
              <w:rPr>
                <w:b/>
              </w:rPr>
              <w:t>Design/ duration</w:t>
            </w:r>
          </w:p>
        </w:tc>
        <w:tc>
          <w:tcPr>
            <w:tcW w:w="621" w:type="pct"/>
            <w:shd w:val="clear" w:color="auto" w:fill="auto"/>
            <w:vAlign w:val="center"/>
          </w:tcPr>
          <w:p w:rsidR="00A42B8D" w:rsidRPr="001C25C2" w:rsidRDefault="005846E2">
            <w:pPr>
              <w:pStyle w:val="Tabletext"/>
              <w:keepNext/>
              <w:jc w:val="center"/>
              <w:rPr>
                <w:b/>
              </w:rPr>
            </w:pPr>
            <w:r w:rsidRPr="001C25C2">
              <w:rPr>
                <w:b/>
              </w:rPr>
              <w:t>Risk of bias</w:t>
            </w:r>
          </w:p>
        </w:tc>
        <w:tc>
          <w:tcPr>
            <w:tcW w:w="857" w:type="pct"/>
            <w:shd w:val="clear" w:color="auto" w:fill="auto"/>
            <w:vAlign w:val="center"/>
          </w:tcPr>
          <w:p w:rsidR="00A42B8D" w:rsidRPr="001C25C2" w:rsidRDefault="005846E2">
            <w:pPr>
              <w:pStyle w:val="Tabletext"/>
              <w:keepNext/>
              <w:jc w:val="center"/>
              <w:rPr>
                <w:b/>
              </w:rPr>
            </w:pPr>
            <w:r w:rsidRPr="001C25C2">
              <w:rPr>
                <w:b/>
              </w:rPr>
              <w:t>Patient population</w:t>
            </w:r>
          </w:p>
        </w:tc>
        <w:tc>
          <w:tcPr>
            <w:tcW w:w="724" w:type="pct"/>
            <w:shd w:val="clear" w:color="auto" w:fill="auto"/>
            <w:vAlign w:val="center"/>
          </w:tcPr>
          <w:p w:rsidR="00A42B8D" w:rsidRPr="001C25C2" w:rsidRDefault="005846E2">
            <w:pPr>
              <w:pStyle w:val="Tabletext"/>
              <w:keepNext/>
              <w:jc w:val="center"/>
              <w:rPr>
                <w:b/>
              </w:rPr>
            </w:pPr>
            <w:r w:rsidRPr="001C25C2">
              <w:rPr>
                <w:b/>
              </w:rPr>
              <w:t>Outcome(s)</w:t>
            </w:r>
          </w:p>
        </w:tc>
        <w:tc>
          <w:tcPr>
            <w:tcW w:w="837" w:type="pct"/>
            <w:shd w:val="clear" w:color="auto" w:fill="auto"/>
            <w:vAlign w:val="center"/>
          </w:tcPr>
          <w:p w:rsidR="00A42B8D" w:rsidRPr="001C25C2" w:rsidRDefault="005846E2">
            <w:pPr>
              <w:pStyle w:val="Tabletext"/>
              <w:keepNext/>
              <w:jc w:val="center"/>
              <w:rPr>
                <w:b/>
              </w:rPr>
            </w:pPr>
            <w:r w:rsidRPr="001C25C2">
              <w:rPr>
                <w:b/>
              </w:rPr>
              <w:t>Use in modelled evaluation</w:t>
            </w:r>
          </w:p>
        </w:tc>
      </w:tr>
      <w:tr w:rsidR="00A42B8D" w:rsidRPr="001C25C2">
        <w:tc>
          <w:tcPr>
            <w:tcW w:w="5000" w:type="pct"/>
            <w:gridSpan w:val="7"/>
            <w:shd w:val="clear" w:color="auto" w:fill="auto"/>
            <w:vAlign w:val="center"/>
          </w:tcPr>
          <w:p w:rsidR="00A42B8D" w:rsidRPr="001C25C2" w:rsidRDefault="005846E2">
            <w:pPr>
              <w:pStyle w:val="Tabletext"/>
              <w:keepNext/>
              <w:rPr>
                <w:b/>
              </w:rPr>
            </w:pPr>
            <w:proofErr w:type="spellStart"/>
            <w:r w:rsidRPr="001C25C2">
              <w:rPr>
                <w:b/>
              </w:rPr>
              <w:t>Trifluridine</w:t>
            </w:r>
            <w:proofErr w:type="spellEnd"/>
            <w:r w:rsidRPr="001C25C2">
              <w:rPr>
                <w:b/>
              </w:rPr>
              <w:t>/</w:t>
            </w:r>
            <w:proofErr w:type="spellStart"/>
            <w:r w:rsidRPr="001C25C2">
              <w:rPr>
                <w:b/>
              </w:rPr>
              <w:t>tipiracil</w:t>
            </w:r>
            <w:proofErr w:type="spellEnd"/>
            <w:r w:rsidRPr="001C25C2">
              <w:rPr>
                <w:b/>
              </w:rPr>
              <w:t xml:space="preserve"> + BSC vs. Placebo + BSC</w:t>
            </w:r>
          </w:p>
        </w:tc>
      </w:tr>
      <w:tr w:rsidR="00A42B8D" w:rsidRPr="001C25C2">
        <w:tc>
          <w:tcPr>
            <w:tcW w:w="713" w:type="pct"/>
            <w:shd w:val="clear" w:color="auto" w:fill="auto"/>
            <w:vAlign w:val="center"/>
          </w:tcPr>
          <w:p w:rsidR="00A42B8D" w:rsidRPr="001C25C2" w:rsidRDefault="00905A4A">
            <w:pPr>
              <w:pStyle w:val="Tabletext"/>
              <w:keepNext/>
            </w:pPr>
            <w:r w:rsidRPr="001C25C2">
              <w:t>TAGS</w:t>
            </w:r>
          </w:p>
        </w:tc>
        <w:tc>
          <w:tcPr>
            <w:tcW w:w="466" w:type="pct"/>
            <w:shd w:val="clear" w:color="auto" w:fill="auto"/>
            <w:vAlign w:val="center"/>
          </w:tcPr>
          <w:p w:rsidR="00A42B8D" w:rsidRPr="001C25C2" w:rsidRDefault="005846E2">
            <w:pPr>
              <w:pStyle w:val="Tabletext"/>
              <w:keepNext/>
              <w:jc w:val="center"/>
            </w:pPr>
            <w:r w:rsidRPr="001C25C2">
              <w:t>507</w:t>
            </w:r>
          </w:p>
        </w:tc>
        <w:tc>
          <w:tcPr>
            <w:tcW w:w="782" w:type="pct"/>
            <w:shd w:val="clear" w:color="auto" w:fill="auto"/>
            <w:vAlign w:val="center"/>
          </w:tcPr>
          <w:p w:rsidR="00A42B8D" w:rsidRPr="001C25C2" w:rsidRDefault="005846E2">
            <w:pPr>
              <w:pStyle w:val="Tabletext"/>
              <w:keepNext/>
              <w:jc w:val="center"/>
            </w:pPr>
            <w:r w:rsidRPr="001C25C2">
              <w:t>R, MC, DB</w:t>
            </w:r>
          </w:p>
          <w:p w:rsidR="00A42B8D" w:rsidRPr="001C25C2" w:rsidRDefault="005846E2">
            <w:pPr>
              <w:pStyle w:val="Tabletext"/>
              <w:keepNext/>
              <w:jc w:val="center"/>
            </w:pPr>
            <w:r w:rsidRPr="001C25C2">
              <w:t xml:space="preserve">24 </w:t>
            </w:r>
            <w:proofErr w:type="spellStart"/>
            <w:r w:rsidRPr="001C25C2">
              <w:t>mths</w:t>
            </w:r>
            <w:proofErr w:type="spellEnd"/>
          </w:p>
        </w:tc>
        <w:tc>
          <w:tcPr>
            <w:tcW w:w="621" w:type="pct"/>
            <w:shd w:val="clear" w:color="auto" w:fill="auto"/>
            <w:vAlign w:val="center"/>
          </w:tcPr>
          <w:p w:rsidR="00A42B8D" w:rsidRPr="001C25C2" w:rsidRDefault="005846E2">
            <w:pPr>
              <w:pStyle w:val="Tabletext"/>
              <w:keepNext/>
              <w:jc w:val="center"/>
            </w:pPr>
            <w:r w:rsidRPr="001C25C2">
              <w:t>Low</w:t>
            </w:r>
          </w:p>
        </w:tc>
        <w:tc>
          <w:tcPr>
            <w:tcW w:w="857" w:type="pct"/>
            <w:shd w:val="clear" w:color="auto" w:fill="auto"/>
            <w:vAlign w:val="center"/>
          </w:tcPr>
          <w:p w:rsidR="00A42B8D" w:rsidRPr="001C25C2" w:rsidRDefault="005846E2">
            <w:pPr>
              <w:pStyle w:val="Tabletext"/>
              <w:keepNext/>
              <w:jc w:val="center"/>
            </w:pPr>
            <w:r w:rsidRPr="001C25C2">
              <w:t>Failed 2</w:t>
            </w:r>
            <w:r w:rsidRPr="001C25C2">
              <w:rPr>
                <w:vertAlign w:val="superscript"/>
              </w:rPr>
              <w:t>nd</w:t>
            </w:r>
            <w:r w:rsidRPr="001C25C2">
              <w:t>-line treatment</w:t>
            </w:r>
          </w:p>
        </w:tc>
        <w:tc>
          <w:tcPr>
            <w:tcW w:w="724" w:type="pct"/>
            <w:shd w:val="clear" w:color="auto" w:fill="auto"/>
            <w:vAlign w:val="center"/>
          </w:tcPr>
          <w:p w:rsidR="00A42B8D" w:rsidRPr="001C25C2" w:rsidRDefault="005846E2">
            <w:pPr>
              <w:pStyle w:val="Tabletext"/>
              <w:keepNext/>
              <w:jc w:val="center"/>
            </w:pPr>
            <w:r w:rsidRPr="001C25C2">
              <w:t xml:space="preserve">OS, PFS, </w:t>
            </w:r>
            <w:proofErr w:type="spellStart"/>
            <w:r w:rsidRPr="001C25C2">
              <w:t>HRQoL</w:t>
            </w:r>
            <w:proofErr w:type="spellEnd"/>
            <w:r w:rsidRPr="001C25C2">
              <w:t xml:space="preserve"> &amp; Safety</w:t>
            </w:r>
          </w:p>
        </w:tc>
        <w:tc>
          <w:tcPr>
            <w:tcW w:w="837" w:type="pct"/>
            <w:shd w:val="clear" w:color="auto" w:fill="auto"/>
            <w:vAlign w:val="center"/>
          </w:tcPr>
          <w:p w:rsidR="00A42B8D" w:rsidRPr="001C25C2" w:rsidRDefault="005846E2">
            <w:pPr>
              <w:pStyle w:val="Tabletext"/>
              <w:keepNext/>
              <w:jc w:val="center"/>
            </w:pPr>
            <w:r w:rsidRPr="001C25C2">
              <w:t xml:space="preserve">OS, PFS, </w:t>
            </w:r>
            <w:proofErr w:type="spellStart"/>
            <w:r w:rsidRPr="001C25C2">
              <w:t>HRQoL</w:t>
            </w:r>
            <w:proofErr w:type="spellEnd"/>
            <w:r w:rsidRPr="001C25C2">
              <w:t xml:space="preserve"> &amp; Safety</w:t>
            </w:r>
          </w:p>
        </w:tc>
      </w:tr>
    </w:tbl>
    <w:bookmarkEnd w:id="14"/>
    <w:p w:rsidR="00A42B8D" w:rsidRPr="001C25C2" w:rsidRDefault="005846E2">
      <w:pPr>
        <w:pStyle w:val="TableFooter"/>
        <w:keepNext/>
        <w:rPr>
          <w:sz w:val="20"/>
        </w:rPr>
      </w:pPr>
      <w:r w:rsidRPr="001C25C2">
        <w:t>Source: Compiled during the evaluation based on p32-38 of the submission</w:t>
      </w:r>
    </w:p>
    <w:p w:rsidR="00A42B8D" w:rsidRPr="001C25C2" w:rsidRDefault="005846E2">
      <w:pPr>
        <w:pStyle w:val="TableFooter"/>
      </w:pPr>
      <w:r w:rsidRPr="001C25C2">
        <w:t>BSC = best supportive care; DB=double blind; ECOG PS = Eastern Cooperative Oncology Group Performance Status; HRQOL = health-related quality of life; MC=multi-centre; ORR = objective response rate; OL=open label; OS=overall survival; PFS=progression-free survival; R=randomised.</w:t>
      </w:r>
    </w:p>
    <w:p w:rsidR="00A42B8D" w:rsidRPr="001C25C2" w:rsidRDefault="00A42B8D"/>
    <w:p w:rsidR="00A42B8D" w:rsidRPr="001C25C2" w:rsidRDefault="005846E2" w:rsidP="003E4EF2">
      <w:pPr>
        <w:pStyle w:val="ListParagraph"/>
        <w:widowControl/>
        <w:numPr>
          <w:ilvl w:val="1"/>
          <w:numId w:val="2"/>
        </w:numPr>
        <w:spacing w:after="0"/>
      </w:pPr>
      <w:r w:rsidRPr="001C25C2">
        <w:t xml:space="preserve">Overall, the </w:t>
      </w:r>
      <w:r w:rsidR="00905A4A" w:rsidRPr="001C25C2">
        <w:t xml:space="preserve">evaluation considered that the </w:t>
      </w:r>
      <w:r w:rsidRPr="001C25C2">
        <w:t xml:space="preserve">risk of bias in </w:t>
      </w:r>
      <w:r w:rsidR="00905A4A" w:rsidRPr="001C25C2">
        <w:t xml:space="preserve">the </w:t>
      </w:r>
      <w:r w:rsidRPr="001C25C2">
        <w:t xml:space="preserve">TAGS trial </w:t>
      </w:r>
      <w:r w:rsidR="00905A4A" w:rsidRPr="001C25C2">
        <w:t xml:space="preserve">was </w:t>
      </w:r>
      <w:r w:rsidRPr="001C25C2">
        <w:t xml:space="preserve">low. However, the median PFS estimates were potentially confounded by the timing of the first on-treatment tumour assessment, which took place approximately 8 weeks (1.9 months) after treatment initiation. </w:t>
      </w:r>
      <w:r w:rsidR="00B702C6" w:rsidRPr="001C25C2">
        <w:t>T</w:t>
      </w:r>
      <w:r w:rsidR="00387720" w:rsidRPr="001C25C2">
        <w:t xml:space="preserve">he ESC considered that the predictable and substantial toxicity of </w:t>
      </w:r>
      <w:proofErr w:type="spellStart"/>
      <w:r w:rsidR="00387720" w:rsidRPr="001C25C2">
        <w:t>trifluridine</w:t>
      </w:r>
      <w:proofErr w:type="spellEnd"/>
      <w:r w:rsidR="00387720" w:rsidRPr="001C25C2">
        <w:t>/</w:t>
      </w:r>
      <w:proofErr w:type="spellStart"/>
      <w:r w:rsidR="00387720" w:rsidRPr="001C25C2">
        <w:t>tipiracil</w:t>
      </w:r>
      <w:proofErr w:type="spellEnd"/>
      <w:r w:rsidR="00387720" w:rsidRPr="001C25C2">
        <w:t xml:space="preserve"> may have adversely affected masking by investigators and participants, with a risk of bias for PFS (which was investigator-assessed) and </w:t>
      </w:r>
      <w:proofErr w:type="spellStart"/>
      <w:r w:rsidR="00C04911" w:rsidRPr="001C25C2">
        <w:t>HRQoL</w:t>
      </w:r>
      <w:proofErr w:type="spellEnd"/>
      <w:r w:rsidR="00C04911" w:rsidRPr="001C25C2">
        <w:t xml:space="preserve"> </w:t>
      </w:r>
      <w:r w:rsidR="00387720" w:rsidRPr="001C25C2">
        <w:t xml:space="preserve">respectively, both in favour of </w:t>
      </w:r>
      <w:proofErr w:type="spellStart"/>
      <w:r w:rsidR="00387720" w:rsidRPr="001C25C2">
        <w:t>trifluridine</w:t>
      </w:r>
      <w:proofErr w:type="spellEnd"/>
      <w:r w:rsidR="00387720" w:rsidRPr="001C25C2">
        <w:t>/</w:t>
      </w:r>
      <w:proofErr w:type="spellStart"/>
      <w:r w:rsidR="00387720" w:rsidRPr="001C25C2">
        <w:t>tipiracil</w:t>
      </w:r>
      <w:proofErr w:type="spellEnd"/>
      <w:r w:rsidR="00387720" w:rsidRPr="001C25C2">
        <w:t>.</w:t>
      </w:r>
    </w:p>
    <w:p w:rsidR="001A339B" w:rsidRPr="001C25C2" w:rsidRDefault="001A339B" w:rsidP="0096586C">
      <w:pPr>
        <w:widowControl/>
        <w:spacing w:after="120"/>
      </w:pPr>
      <w:bookmarkStart w:id="15" w:name="_Toc18935147"/>
    </w:p>
    <w:p w:rsidR="00A42B8D" w:rsidRPr="001C25C2" w:rsidRDefault="005846E2">
      <w:pPr>
        <w:pStyle w:val="Heading2"/>
      </w:pPr>
      <w:r w:rsidRPr="001C25C2">
        <w:t>Comparative effectiveness</w:t>
      </w:r>
      <w:bookmarkEnd w:id="15"/>
    </w:p>
    <w:p w:rsidR="00A42B8D" w:rsidRPr="001C25C2" w:rsidRDefault="005846E2" w:rsidP="00121AB1">
      <w:pPr>
        <w:keepNext/>
        <w:widowControl/>
        <w:spacing w:after="160"/>
        <w:rPr>
          <w:u w:val="single"/>
        </w:rPr>
      </w:pPr>
      <w:r w:rsidRPr="001C25C2">
        <w:rPr>
          <w:u w:val="single"/>
        </w:rPr>
        <w:t>Primary outcome: OS</w:t>
      </w:r>
    </w:p>
    <w:p w:rsidR="00A42B8D" w:rsidRPr="001C25C2" w:rsidRDefault="005846E2" w:rsidP="003E4EF2">
      <w:pPr>
        <w:pStyle w:val="ListParagraph"/>
        <w:widowControl/>
        <w:numPr>
          <w:ilvl w:val="1"/>
          <w:numId w:val="2"/>
        </w:numPr>
        <w:rPr>
          <w:rFonts w:cs="Calibri"/>
          <w:snapToGrid/>
          <w:szCs w:val="24"/>
          <w:lang w:eastAsia="en-AU"/>
        </w:rPr>
      </w:pPr>
      <w:r w:rsidRPr="001C25C2">
        <w:rPr>
          <w:rFonts w:cs="Calibri"/>
          <w:snapToGrid/>
          <w:szCs w:val="24"/>
          <w:lang w:eastAsia="en-AU"/>
        </w:rPr>
        <w:t xml:space="preserve">Table 4 summarises the OS results from the TAGS trial for the ITT population. </w:t>
      </w:r>
    </w:p>
    <w:p w:rsidR="00A42B8D" w:rsidRPr="001C25C2" w:rsidRDefault="005846E2">
      <w:pPr>
        <w:pStyle w:val="BodyText"/>
        <w:rPr>
          <w:rStyle w:val="CommentReference"/>
        </w:rPr>
      </w:pPr>
      <w:r w:rsidRPr="001C25C2">
        <w:rPr>
          <w:rStyle w:val="CommentReference"/>
        </w:rPr>
        <w:t xml:space="preserve">Table 4: Results of </w:t>
      </w:r>
      <w:r w:rsidR="00B55C9E" w:rsidRPr="001C25C2">
        <w:rPr>
          <w:rStyle w:val="CommentReference"/>
        </w:rPr>
        <w:t>o</w:t>
      </w:r>
      <w:r w:rsidRPr="001C25C2">
        <w:rPr>
          <w:rStyle w:val="CommentReference"/>
        </w:rPr>
        <w:t xml:space="preserve">verall </w:t>
      </w:r>
      <w:r w:rsidR="00B55C9E" w:rsidRPr="001C25C2">
        <w:rPr>
          <w:rStyle w:val="CommentReference"/>
        </w:rPr>
        <w:t>s</w:t>
      </w:r>
      <w:r w:rsidRPr="001C25C2">
        <w:rPr>
          <w:rStyle w:val="CommentReference"/>
        </w:rPr>
        <w:t>urvival in TAGS trial (ITT population)</w:t>
      </w:r>
    </w:p>
    <w:tbl>
      <w:tblPr>
        <w:tblStyle w:val="TableGrid"/>
        <w:tblW w:w="0" w:type="auto"/>
        <w:tblLook w:val="04A0" w:firstRow="1" w:lastRow="0" w:firstColumn="1" w:lastColumn="0" w:noHBand="0" w:noVBand="1"/>
        <w:tblCaption w:val="Table 4: Results of overall survival in TAGS trial (ITT population)"/>
      </w:tblPr>
      <w:tblGrid>
        <w:gridCol w:w="3681"/>
        <w:gridCol w:w="1984"/>
        <w:gridCol w:w="1843"/>
        <w:gridCol w:w="1509"/>
      </w:tblGrid>
      <w:tr w:rsidR="00A42B8D" w:rsidRPr="001C25C2">
        <w:trPr>
          <w:tblHeader/>
        </w:trPr>
        <w:tc>
          <w:tcPr>
            <w:tcW w:w="3681" w:type="dxa"/>
          </w:tcPr>
          <w:p w:rsidR="00A42B8D" w:rsidRPr="001C25C2" w:rsidRDefault="005846E2">
            <w:pPr>
              <w:pStyle w:val="TableText0"/>
              <w:keepLines/>
              <w:rPr>
                <w:b/>
                <w:sz w:val="20"/>
                <w:szCs w:val="20"/>
              </w:rPr>
            </w:pPr>
            <w:r w:rsidRPr="001C25C2">
              <w:rPr>
                <w:b/>
                <w:sz w:val="20"/>
                <w:szCs w:val="20"/>
              </w:rPr>
              <w:t>Outcome</w:t>
            </w:r>
          </w:p>
        </w:tc>
        <w:tc>
          <w:tcPr>
            <w:tcW w:w="1984" w:type="dxa"/>
          </w:tcPr>
          <w:p w:rsidR="00A42B8D" w:rsidRPr="001C25C2" w:rsidRDefault="005846E2">
            <w:pPr>
              <w:pStyle w:val="TableText0"/>
              <w:keepLines/>
              <w:jc w:val="center"/>
              <w:rPr>
                <w:b/>
                <w:sz w:val="20"/>
                <w:szCs w:val="20"/>
              </w:rPr>
            </w:pPr>
            <w:proofErr w:type="spellStart"/>
            <w:r w:rsidRPr="001C25C2">
              <w:rPr>
                <w:b/>
                <w:sz w:val="20"/>
                <w:szCs w:val="20"/>
              </w:rPr>
              <w:t>Trifluridine</w:t>
            </w:r>
            <w:proofErr w:type="spellEnd"/>
            <w:r w:rsidRPr="001C25C2">
              <w:rPr>
                <w:b/>
                <w:sz w:val="20"/>
                <w:szCs w:val="20"/>
              </w:rPr>
              <w:t>/</w:t>
            </w:r>
            <w:proofErr w:type="spellStart"/>
            <w:r w:rsidRPr="001C25C2">
              <w:rPr>
                <w:b/>
                <w:sz w:val="20"/>
                <w:szCs w:val="20"/>
              </w:rPr>
              <w:t>tipiracil</w:t>
            </w:r>
            <w:proofErr w:type="spellEnd"/>
          </w:p>
          <w:p w:rsidR="00A42B8D" w:rsidRPr="001C25C2" w:rsidRDefault="005846E2">
            <w:pPr>
              <w:pStyle w:val="TableText0"/>
              <w:keepLines/>
              <w:jc w:val="center"/>
              <w:rPr>
                <w:b/>
                <w:sz w:val="20"/>
                <w:szCs w:val="20"/>
              </w:rPr>
            </w:pPr>
            <w:r w:rsidRPr="001C25C2">
              <w:rPr>
                <w:b/>
                <w:sz w:val="20"/>
                <w:szCs w:val="20"/>
              </w:rPr>
              <w:t>(N = 337)</w:t>
            </w:r>
          </w:p>
        </w:tc>
        <w:tc>
          <w:tcPr>
            <w:tcW w:w="1843" w:type="dxa"/>
          </w:tcPr>
          <w:p w:rsidR="00A42B8D" w:rsidRPr="001C25C2" w:rsidRDefault="005846E2">
            <w:pPr>
              <w:pStyle w:val="TableText0"/>
              <w:keepLines/>
              <w:jc w:val="center"/>
              <w:rPr>
                <w:b/>
                <w:sz w:val="20"/>
                <w:szCs w:val="20"/>
              </w:rPr>
            </w:pPr>
            <w:r w:rsidRPr="001C25C2">
              <w:rPr>
                <w:b/>
                <w:sz w:val="20"/>
                <w:szCs w:val="20"/>
              </w:rPr>
              <w:t>Placebo</w:t>
            </w:r>
          </w:p>
          <w:p w:rsidR="00A42B8D" w:rsidRPr="001C25C2" w:rsidRDefault="005846E2">
            <w:pPr>
              <w:pStyle w:val="TableText0"/>
              <w:keepLines/>
              <w:jc w:val="center"/>
              <w:rPr>
                <w:b/>
                <w:sz w:val="20"/>
                <w:szCs w:val="20"/>
              </w:rPr>
            </w:pPr>
            <w:r w:rsidRPr="001C25C2">
              <w:rPr>
                <w:b/>
                <w:sz w:val="20"/>
                <w:szCs w:val="20"/>
              </w:rPr>
              <w:t>(N = 170)</w:t>
            </w:r>
          </w:p>
        </w:tc>
        <w:tc>
          <w:tcPr>
            <w:tcW w:w="1509" w:type="dxa"/>
          </w:tcPr>
          <w:p w:rsidR="00A42B8D" w:rsidRPr="001C25C2" w:rsidRDefault="005846E2">
            <w:pPr>
              <w:pStyle w:val="TableText0"/>
              <w:keepLines/>
              <w:jc w:val="center"/>
              <w:rPr>
                <w:b/>
                <w:sz w:val="20"/>
                <w:szCs w:val="20"/>
              </w:rPr>
            </w:pPr>
            <w:r w:rsidRPr="001C25C2">
              <w:rPr>
                <w:b/>
                <w:sz w:val="20"/>
                <w:szCs w:val="20"/>
              </w:rPr>
              <w:t>Treatment difference</w:t>
            </w:r>
          </w:p>
        </w:tc>
      </w:tr>
      <w:tr w:rsidR="00A42B8D" w:rsidRPr="001C25C2">
        <w:tc>
          <w:tcPr>
            <w:tcW w:w="3681" w:type="dxa"/>
          </w:tcPr>
          <w:p w:rsidR="00A42B8D" w:rsidRPr="001C25C2" w:rsidRDefault="005846E2">
            <w:pPr>
              <w:pStyle w:val="TableText0"/>
              <w:keepLines/>
              <w:rPr>
                <w:sz w:val="20"/>
                <w:szCs w:val="20"/>
              </w:rPr>
            </w:pPr>
            <w:r w:rsidRPr="001C25C2">
              <w:rPr>
                <w:sz w:val="20"/>
                <w:szCs w:val="20"/>
              </w:rPr>
              <w:t>Number of deaths, n (%)</w:t>
            </w:r>
          </w:p>
        </w:tc>
        <w:tc>
          <w:tcPr>
            <w:tcW w:w="1984" w:type="dxa"/>
          </w:tcPr>
          <w:p w:rsidR="00A42B8D" w:rsidRPr="001C25C2" w:rsidRDefault="005846E2">
            <w:pPr>
              <w:pStyle w:val="TableText0"/>
              <w:keepLines/>
              <w:jc w:val="center"/>
              <w:rPr>
                <w:sz w:val="20"/>
                <w:szCs w:val="20"/>
              </w:rPr>
            </w:pPr>
            <w:r w:rsidRPr="001C25C2">
              <w:rPr>
                <w:sz w:val="20"/>
                <w:szCs w:val="20"/>
              </w:rPr>
              <w:t>244 (72.4)</w:t>
            </w:r>
          </w:p>
        </w:tc>
        <w:tc>
          <w:tcPr>
            <w:tcW w:w="1843" w:type="dxa"/>
          </w:tcPr>
          <w:p w:rsidR="00A42B8D" w:rsidRPr="001C25C2" w:rsidRDefault="005846E2">
            <w:pPr>
              <w:pStyle w:val="TableText0"/>
              <w:keepLines/>
              <w:jc w:val="center"/>
              <w:rPr>
                <w:sz w:val="20"/>
                <w:szCs w:val="20"/>
              </w:rPr>
            </w:pPr>
            <w:r w:rsidRPr="001C25C2">
              <w:rPr>
                <w:sz w:val="20"/>
                <w:szCs w:val="20"/>
              </w:rPr>
              <w:t>140 (82.4)</w:t>
            </w:r>
          </w:p>
        </w:tc>
        <w:tc>
          <w:tcPr>
            <w:tcW w:w="1509" w:type="dxa"/>
          </w:tcPr>
          <w:p w:rsidR="00A42B8D" w:rsidRPr="001C25C2" w:rsidRDefault="005846E2">
            <w:pPr>
              <w:pStyle w:val="TableText0"/>
              <w:keepLines/>
              <w:jc w:val="center"/>
              <w:rPr>
                <w:sz w:val="20"/>
                <w:szCs w:val="20"/>
              </w:rPr>
            </w:pPr>
            <w:r w:rsidRPr="001C25C2">
              <w:rPr>
                <w:sz w:val="20"/>
                <w:szCs w:val="20"/>
              </w:rPr>
              <w:t>-</w:t>
            </w:r>
          </w:p>
        </w:tc>
      </w:tr>
      <w:tr w:rsidR="00A42B8D" w:rsidRPr="001C25C2">
        <w:tc>
          <w:tcPr>
            <w:tcW w:w="3681" w:type="dxa"/>
          </w:tcPr>
          <w:p w:rsidR="00A42B8D" w:rsidRPr="001C25C2" w:rsidRDefault="005846E2">
            <w:pPr>
              <w:pStyle w:val="TableText0"/>
              <w:keepLines/>
              <w:rPr>
                <w:sz w:val="20"/>
                <w:szCs w:val="20"/>
              </w:rPr>
            </w:pPr>
            <w:r w:rsidRPr="001C25C2">
              <w:rPr>
                <w:sz w:val="20"/>
                <w:szCs w:val="20"/>
              </w:rPr>
              <w:t>Median overall survival, in months (95% CI)</w:t>
            </w:r>
          </w:p>
        </w:tc>
        <w:tc>
          <w:tcPr>
            <w:tcW w:w="1984" w:type="dxa"/>
          </w:tcPr>
          <w:p w:rsidR="00A42B8D" w:rsidRPr="001C25C2" w:rsidRDefault="005846E2">
            <w:pPr>
              <w:pStyle w:val="TableText0"/>
              <w:keepLines/>
              <w:jc w:val="center"/>
              <w:rPr>
                <w:sz w:val="20"/>
                <w:szCs w:val="20"/>
              </w:rPr>
            </w:pPr>
            <w:r w:rsidRPr="001C25C2">
              <w:rPr>
                <w:sz w:val="20"/>
                <w:szCs w:val="20"/>
              </w:rPr>
              <w:t>5.72 (4.8, 6.2)</w:t>
            </w:r>
          </w:p>
        </w:tc>
        <w:tc>
          <w:tcPr>
            <w:tcW w:w="1843" w:type="dxa"/>
          </w:tcPr>
          <w:p w:rsidR="00A42B8D" w:rsidRPr="001C25C2" w:rsidRDefault="005846E2">
            <w:pPr>
              <w:pStyle w:val="TableText0"/>
              <w:keepLines/>
              <w:jc w:val="center"/>
              <w:rPr>
                <w:sz w:val="20"/>
                <w:szCs w:val="20"/>
              </w:rPr>
            </w:pPr>
            <w:r w:rsidRPr="001C25C2">
              <w:rPr>
                <w:sz w:val="20"/>
                <w:szCs w:val="20"/>
              </w:rPr>
              <w:t>3.57 (3.1, 4.1)</w:t>
            </w:r>
          </w:p>
        </w:tc>
        <w:tc>
          <w:tcPr>
            <w:tcW w:w="1509" w:type="dxa"/>
          </w:tcPr>
          <w:p w:rsidR="00A42B8D" w:rsidRPr="001C25C2" w:rsidRDefault="005846E2">
            <w:pPr>
              <w:pStyle w:val="TableText0"/>
              <w:keepLines/>
              <w:jc w:val="center"/>
              <w:rPr>
                <w:sz w:val="20"/>
                <w:szCs w:val="20"/>
              </w:rPr>
            </w:pPr>
            <w:r w:rsidRPr="001C25C2">
              <w:rPr>
                <w:sz w:val="20"/>
                <w:szCs w:val="20"/>
              </w:rPr>
              <w:t>2.15</w:t>
            </w:r>
          </w:p>
        </w:tc>
      </w:tr>
      <w:tr w:rsidR="00A42B8D" w:rsidRPr="001C25C2">
        <w:tc>
          <w:tcPr>
            <w:tcW w:w="3681" w:type="dxa"/>
          </w:tcPr>
          <w:p w:rsidR="00A42B8D" w:rsidRPr="001C25C2" w:rsidRDefault="005846E2">
            <w:pPr>
              <w:pStyle w:val="TableText0"/>
              <w:keepLines/>
              <w:rPr>
                <w:sz w:val="20"/>
                <w:szCs w:val="20"/>
              </w:rPr>
            </w:pPr>
            <w:proofErr w:type="spellStart"/>
            <w:r w:rsidRPr="001C25C2">
              <w:rPr>
                <w:sz w:val="20"/>
                <w:szCs w:val="20"/>
              </w:rPr>
              <w:t>Mean</w:t>
            </w:r>
            <w:r w:rsidRPr="001C25C2">
              <w:rPr>
                <w:sz w:val="20"/>
                <w:szCs w:val="20"/>
                <w:vertAlign w:val="superscript"/>
              </w:rPr>
              <w:t>a</w:t>
            </w:r>
            <w:proofErr w:type="spellEnd"/>
            <w:r w:rsidRPr="001C25C2">
              <w:rPr>
                <w:sz w:val="20"/>
                <w:szCs w:val="20"/>
              </w:rPr>
              <w:t xml:space="preserve"> overall survival, in months (95% CI)</w:t>
            </w:r>
          </w:p>
        </w:tc>
        <w:tc>
          <w:tcPr>
            <w:tcW w:w="1984" w:type="dxa"/>
          </w:tcPr>
          <w:p w:rsidR="00A42B8D" w:rsidRPr="001C25C2" w:rsidRDefault="005846E2">
            <w:pPr>
              <w:pStyle w:val="TableText0"/>
              <w:keepLines/>
              <w:jc w:val="center"/>
              <w:rPr>
                <w:sz w:val="20"/>
                <w:szCs w:val="20"/>
              </w:rPr>
            </w:pPr>
            <w:r w:rsidRPr="001C25C2">
              <w:rPr>
                <w:sz w:val="20"/>
                <w:szCs w:val="20"/>
              </w:rPr>
              <w:t>8.21 (7.1, 9.6)</w:t>
            </w:r>
          </w:p>
        </w:tc>
        <w:tc>
          <w:tcPr>
            <w:tcW w:w="1843" w:type="dxa"/>
          </w:tcPr>
          <w:p w:rsidR="00A42B8D" w:rsidRPr="001C25C2" w:rsidRDefault="005846E2">
            <w:pPr>
              <w:pStyle w:val="TableText0"/>
              <w:keepLines/>
              <w:jc w:val="center"/>
              <w:rPr>
                <w:sz w:val="20"/>
                <w:szCs w:val="20"/>
              </w:rPr>
            </w:pPr>
            <w:r w:rsidRPr="001C25C2">
              <w:rPr>
                <w:sz w:val="20"/>
                <w:szCs w:val="20"/>
              </w:rPr>
              <w:t>5.82 (5.1, 7.0)</w:t>
            </w:r>
          </w:p>
        </w:tc>
        <w:tc>
          <w:tcPr>
            <w:tcW w:w="1509" w:type="dxa"/>
          </w:tcPr>
          <w:p w:rsidR="00A42B8D" w:rsidRPr="001C25C2" w:rsidRDefault="005846E2">
            <w:pPr>
              <w:pStyle w:val="TableText0"/>
              <w:keepLines/>
              <w:jc w:val="center"/>
              <w:rPr>
                <w:sz w:val="20"/>
                <w:szCs w:val="20"/>
              </w:rPr>
            </w:pPr>
            <w:r w:rsidRPr="001C25C2">
              <w:rPr>
                <w:sz w:val="20"/>
                <w:szCs w:val="20"/>
              </w:rPr>
              <w:t>2.39</w:t>
            </w:r>
          </w:p>
        </w:tc>
      </w:tr>
      <w:tr w:rsidR="00A42B8D" w:rsidRPr="001C25C2">
        <w:tc>
          <w:tcPr>
            <w:tcW w:w="3681" w:type="dxa"/>
          </w:tcPr>
          <w:p w:rsidR="00A42B8D" w:rsidRPr="001C25C2" w:rsidRDefault="005846E2">
            <w:pPr>
              <w:pStyle w:val="TableText0"/>
              <w:keepLines/>
              <w:rPr>
                <w:sz w:val="20"/>
                <w:szCs w:val="20"/>
              </w:rPr>
            </w:pPr>
            <w:r w:rsidRPr="001C25C2">
              <w:rPr>
                <w:sz w:val="20"/>
                <w:szCs w:val="20"/>
              </w:rPr>
              <w:t>Log-rank p-value (2-sided)</w:t>
            </w:r>
            <w:r w:rsidRPr="001C25C2">
              <w:rPr>
                <w:sz w:val="20"/>
                <w:szCs w:val="20"/>
                <w:vertAlign w:val="superscript"/>
              </w:rPr>
              <w:t>b</w:t>
            </w:r>
          </w:p>
        </w:tc>
        <w:tc>
          <w:tcPr>
            <w:tcW w:w="3827" w:type="dxa"/>
            <w:gridSpan w:val="2"/>
          </w:tcPr>
          <w:p w:rsidR="00A42B8D" w:rsidRPr="001C25C2" w:rsidRDefault="005846E2">
            <w:pPr>
              <w:pStyle w:val="TableText0"/>
              <w:keepLines/>
              <w:jc w:val="center"/>
              <w:rPr>
                <w:b/>
                <w:sz w:val="20"/>
                <w:szCs w:val="20"/>
              </w:rPr>
            </w:pPr>
            <w:r w:rsidRPr="001C25C2">
              <w:rPr>
                <w:b/>
                <w:sz w:val="20"/>
                <w:szCs w:val="20"/>
              </w:rPr>
              <w:t xml:space="preserve">0.0006 </w:t>
            </w:r>
          </w:p>
        </w:tc>
        <w:tc>
          <w:tcPr>
            <w:tcW w:w="1509" w:type="dxa"/>
          </w:tcPr>
          <w:p w:rsidR="00A42B8D" w:rsidRPr="001C25C2" w:rsidRDefault="005846E2">
            <w:pPr>
              <w:pStyle w:val="TableText0"/>
              <w:keepLines/>
              <w:jc w:val="center"/>
              <w:rPr>
                <w:sz w:val="20"/>
                <w:szCs w:val="20"/>
              </w:rPr>
            </w:pPr>
            <w:r w:rsidRPr="001C25C2">
              <w:rPr>
                <w:sz w:val="20"/>
                <w:szCs w:val="20"/>
              </w:rPr>
              <w:t>-</w:t>
            </w:r>
          </w:p>
        </w:tc>
      </w:tr>
      <w:tr w:rsidR="00A42B8D" w:rsidRPr="001C25C2">
        <w:tc>
          <w:tcPr>
            <w:tcW w:w="3681" w:type="dxa"/>
          </w:tcPr>
          <w:p w:rsidR="00A42B8D" w:rsidRPr="001C25C2" w:rsidRDefault="005846E2">
            <w:pPr>
              <w:pStyle w:val="TableText0"/>
              <w:keepLines/>
              <w:rPr>
                <w:sz w:val="20"/>
                <w:szCs w:val="20"/>
              </w:rPr>
            </w:pPr>
            <w:r w:rsidRPr="001C25C2">
              <w:rPr>
                <w:sz w:val="20"/>
                <w:szCs w:val="20"/>
              </w:rPr>
              <w:t>Hazard ratio (95% CI)</w:t>
            </w:r>
          </w:p>
        </w:tc>
        <w:tc>
          <w:tcPr>
            <w:tcW w:w="3827" w:type="dxa"/>
            <w:gridSpan w:val="2"/>
          </w:tcPr>
          <w:p w:rsidR="00A42B8D" w:rsidRPr="001C25C2" w:rsidRDefault="005846E2">
            <w:pPr>
              <w:pStyle w:val="TableText0"/>
              <w:keepLines/>
              <w:jc w:val="center"/>
              <w:rPr>
                <w:b/>
                <w:sz w:val="20"/>
                <w:szCs w:val="20"/>
              </w:rPr>
            </w:pPr>
            <w:r w:rsidRPr="001C25C2">
              <w:rPr>
                <w:b/>
                <w:sz w:val="20"/>
                <w:szCs w:val="20"/>
              </w:rPr>
              <w:t>0.69 (0.56, 0.85)</w:t>
            </w:r>
          </w:p>
        </w:tc>
        <w:tc>
          <w:tcPr>
            <w:tcW w:w="1509" w:type="dxa"/>
          </w:tcPr>
          <w:p w:rsidR="00A42B8D" w:rsidRPr="001C25C2" w:rsidRDefault="005846E2">
            <w:pPr>
              <w:pStyle w:val="TableText0"/>
              <w:keepLines/>
              <w:jc w:val="center"/>
              <w:rPr>
                <w:b/>
                <w:sz w:val="20"/>
                <w:szCs w:val="20"/>
              </w:rPr>
            </w:pPr>
            <w:r w:rsidRPr="001C25C2">
              <w:rPr>
                <w:b/>
                <w:sz w:val="20"/>
                <w:szCs w:val="20"/>
              </w:rPr>
              <w:t>-</w:t>
            </w:r>
          </w:p>
        </w:tc>
      </w:tr>
    </w:tbl>
    <w:p w:rsidR="00A42B8D" w:rsidRPr="001C25C2" w:rsidRDefault="005846E2">
      <w:pPr>
        <w:pStyle w:val="TableText0"/>
        <w:keepLines/>
        <w:rPr>
          <w:sz w:val="18"/>
          <w:szCs w:val="20"/>
        </w:rPr>
      </w:pPr>
      <w:r w:rsidRPr="001C25C2">
        <w:rPr>
          <w:sz w:val="18"/>
          <w:szCs w:val="20"/>
        </w:rPr>
        <w:t>Source: Table 2.5.1, p38 in the submission &amp; Table 21, p80 in the TGS CSR</w:t>
      </w:r>
    </w:p>
    <w:p w:rsidR="00A42B8D" w:rsidRPr="001C25C2" w:rsidRDefault="005846E2">
      <w:pPr>
        <w:pStyle w:val="TableText0"/>
        <w:keepLines/>
        <w:rPr>
          <w:sz w:val="18"/>
          <w:szCs w:val="20"/>
        </w:rPr>
      </w:pPr>
      <w:r w:rsidRPr="001C25C2">
        <w:rPr>
          <w:sz w:val="18"/>
          <w:szCs w:val="20"/>
        </w:rPr>
        <w:t xml:space="preserve">CI = confidence interval; </w:t>
      </w:r>
      <w:r w:rsidR="00406E06" w:rsidRPr="001C25C2">
        <w:rPr>
          <w:sz w:val="18"/>
          <w:szCs w:val="20"/>
        </w:rPr>
        <w:t xml:space="preserve">ITT = intention to treat; </w:t>
      </w:r>
      <w:r w:rsidRPr="001C25C2">
        <w:rPr>
          <w:b/>
          <w:sz w:val="18"/>
          <w:szCs w:val="20"/>
        </w:rPr>
        <w:t>Bold</w:t>
      </w:r>
      <w:r w:rsidRPr="001C25C2">
        <w:rPr>
          <w:sz w:val="18"/>
          <w:szCs w:val="20"/>
        </w:rPr>
        <w:t xml:space="preserve"> = statistically significant;</w:t>
      </w:r>
    </w:p>
    <w:p w:rsidR="00A42B8D" w:rsidRPr="001C25C2" w:rsidRDefault="005846E2">
      <w:pPr>
        <w:pStyle w:val="TableText0"/>
        <w:keepLines/>
        <w:rPr>
          <w:sz w:val="18"/>
          <w:szCs w:val="20"/>
        </w:rPr>
      </w:pPr>
      <w:proofErr w:type="gramStart"/>
      <w:r w:rsidRPr="001C25C2">
        <w:rPr>
          <w:sz w:val="18"/>
          <w:szCs w:val="20"/>
          <w:vertAlign w:val="superscript"/>
        </w:rPr>
        <w:t>a</w:t>
      </w:r>
      <w:proofErr w:type="gramEnd"/>
      <w:r w:rsidRPr="001C25C2">
        <w:rPr>
          <w:sz w:val="18"/>
          <w:szCs w:val="20"/>
        </w:rPr>
        <w:t xml:space="preserve"> Mean OS in each of the arms of the TAGS is derived by measuring the area under the Kaplan-Meier overall survival curves using patient-level data.</w:t>
      </w:r>
    </w:p>
    <w:p w:rsidR="00A42B8D" w:rsidRPr="001C25C2" w:rsidRDefault="005846E2">
      <w:pPr>
        <w:pStyle w:val="TableText0"/>
        <w:keepLines/>
        <w:rPr>
          <w:sz w:val="18"/>
          <w:szCs w:val="20"/>
        </w:rPr>
      </w:pPr>
      <w:proofErr w:type="gramStart"/>
      <w:r w:rsidRPr="001C25C2">
        <w:rPr>
          <w:sz w:val="18"/>
          <w:szCs w:val="20"/>
          <w:vertAlign w:val="superscript"/>
        </w:rPr>
        <w:t>b</w:t>
      </w:r>
      <w:proofErr w:type="gramEnd"/>
      <w:r w:rsidRPr="001C25C2">
        <w:rPr>
          <w:sz w:val="18"/>
          <w:szCs w:val="20"/>
        </w:rPr>
        <w:t xml:space="preserve"> Stratified log-rank test (stratification factors: region, ECOG status at baseline, prior treatment with </w:t>
      </w:r>
      <w:proofErr w:type="spellStart"/>
      <w:r w:rsidRPr="001C25C2">
        <w:rPr>
          <w:sz w:val="18"/>
          <w:szCs w:val="20"/>
        </w:rPr>
        <w:t>ramucirumab</w:t>
      </w:r>
      <w:proofErr w:type="spellEnd"/>
      <w:r w:rsidRPr="001C25C2">
        <w:rPr>
          <w:sz w:val="18"/>
          <w:szCs w:val="20"/>
        </w:rPr>
        <w:t>)</w:t>
      </w:r>
    </w:p>
    <w:p w:rsidR="00A42B8D" w:rsidRPr="001C25C2" w:rsidRDefault="00A42B8D">
      <w:pPr>
        <w:pStyle w:val="BodyText"/>
        <w:rPr>
          <w:rStyle w:val="CommentReference"/>
        </w:rPr>
      </w:pPr>
    </w:p>
    <w:p w:rsidR="00A42B8D" w:rsidRPr="001C25C2" w:rsidRDefault="005846E2" w:rsidP="003E4EF2">
      <w:pPr>
        <w:pStyle w:val="ListParagraph"/>
        <w:widowControl/>
        <w:numPr>
          <w:ilvl w:val="1"/>
          <w:numId w:val="2"/>
        </w:numPr>
        <w:rPr>
          <w:rStyle w:val="CommentReference"/>
          <w:rFonts w:ascii="Calibri" w:hAnsi="Calibri"/>
          <w:b w:val="0"/>
          <w:sz w:val="24"/>
          <w:szCs w:val="22"/>
        </w:rPr>
      </w:pPr>
      <w:r w:rsidRPr="001C25C2">
        <w:t xml:space="preserve">Median OS was 5.7 months (95% CI: 4.8, 6.2) for the </w:t>
      </w:r>
      <w:proofErr w:type="spellStart"/>
      <w:r w:rsidRPr="001C25C2">
        <w:t>trifluridine</w:t>
      </w:r>
      <w:proofErr w:type="spellEnd"/>
      <w:r w:rsidRPr="001C25C2">
        <w:t>/</w:t>
      </w:r>
      <w:proofErr w:type="spellStart"/>
      <w:r w:rsidRPr="001C25C2">
        <w:t>tipiracil</w:t>
      </w:r>
      <w:proofErr w:type="spellEnd"/>
      <w:r w:rsidRPr="001C25C2">
        <w:t xml:space="preserve"> group versus 3.6 months (95% CI: 3.1, 4.1) for the placebo group. The submission stated this demonstrated that the addition of </w:t>
      </w:r>
      <w:proofErr w:type="spellStart"/>
      <w:r w:rsidRPr="001C25C2">
        <w:t>trifluridine</w:t>
      </w:r>
      <w:proofErr w:type="spellEnd"/>
      <w:r w:rsidRPr="001C25C2">
        <w:t>/</w:t>
      </w:r>
      <w:proofErr w:type="spellStart"/>
      <w:r w:rsidRPr="001C25C2">
        <w:t>tipiracil</w:t>
      </w:r>
      <w:proofErr w:type="spellEnd"/>
      <w:r w:rsidRPr="001C25C2">
        <w:t xml:space="preserve"> to BSC resulted in a statistically significant improvement in OS compared to placebo plus BSC with an HR of 0.69 (95% CI: 0.56, 0.85), corresponding to a 31% reduction in the hazard of death. The Kaplan-Meier curves for OS showed that at approximately month 15 the curves converged. At this time point, the number of patients at risk was very small, complicating the interpretation of any OS difference after that point.</w:t>
      </w:r>
      <w:r w:rsidR="00387720" w:rsidRPr="001C25C2">
        <w:t xml:space="preserve"> The ESC noted that the magnitude of clinical benefit for </w:t>
      </w:r>
      <w:r w:rsidR="00C04911" w:rsidRPr="001C25C2">
        <w:t>OS</w:t>
      </w:r>
      <w:r w:rsidR="00387720" w:rsidRPr="001C25C2">
        <w:t xml:space="preserve"> according to the ESMO Magnitude of Clinical Benefit Scale </w:t>
      </w:r>
      <w:r w:rsidR="00387720" w:rsidRPr="001C25C2">
        <w:lastRenderedPageBreak/>
        <w:t>version 1.1 was only modest (</w:t>
      </w:r>
      <w:r w:rsidR="00AB4156" w:rsidRPr="001C25C2">
        <w:t xml:space="preserve">i.e. </w:t>
      </w:r>
      <w:r w:rsidR="00387720" w:rsidRPr="001C25C2">
        <w:t>grade 3 out of 5, where grade</w:t>
      </w:r>
      <w:r w:rsidR="001229E1" w:rsidRPr="001C25C2">
        <w:t>s</w:t>
      </w:r>
      <w:r w:rsidR="00387720" w:rsidRPr="001C25C2">
        <w:t xml:space="preserve"> 4 and 5 represent </w:t>
      </w:r>
      <w:r w:rsidR="001229E1" w:rsidRPr="001C25C2">
        <w:t xml:space="preserve">the </w:t>
      </w:r>
      <w:r w:rsidR="00387720" w:rsidRPr="001C25C2">
        <w:t>grades with substantial improvement)</w:t>
      </w:r>
      <w:r w:rsidR="001229E1" w:rsidRPr="001C25C2">
        <w:rPr>
          <w:rStyle w:val="FootnoteReference"/>
        </w:rPr>
        <w:footnoteReference w:id="2"/>
      </w:r>
      <w:r w:rsidR="00387720" w:rsidRPr="001C25C2">
        <w:t>.</w:t>
      </w:r>
    </w:p>
    <w:p w:rsidR="00A42B8D" w:rsidRPr="001C25C2" w:rsidRDefault="005846E2">
      <w:pPr>
        <w:keepNext/>
        <w:keepLines/>
        <w:rPr>
          <w:rStyle w:val="CommentReference"/>
        </w:rPr>
      </w:pPr>
      <w:r w:rsidRPr="001C25C2">
        <w:rPr>
          <w:rStyle w:val="CommentReference"/>
        </w:rPr>
        <w:t>Figure 2: Kaplan-Meier plot of overall survival in TAGS trial (ITT population)</w:t>
      </w:r>
    </w:p>
    <w:p w:rsidR="00A42B8D" w:rsidRPr="001C25C2" w:rsidRDefault="005846E2">
      <w:pPr>
        <w:keepNext/>
        <w:keepLines/>
        <w:rPr>
          <w:rStyle w:val="CommentReference"/>
        </w:rPr>
      </w:pPr>
      <w:r w:rsidRPr="001C25C2">
        <w:rPr>
          <w:rStyle w:val="CommentReference"/>
          <w:noProof/>
          <w:lang w:eastAsia="en-AU"/>
        </w:rPr>
        <w:drawing>
          <wp:inline distT="0" distB="0" distL="0" distR="0" wp14:anchorId="21A736BC" wp14:editId="26EB7C47">
            <wp:extent cx="5574182" cy="2658361"/>
            <wp:effectExtent l="0" t="0" r="7620" b="8890"/>
            <wp:docPr id="4" name="Picture 4" title="Figure 2: Kaplan-Meier plot of overall survival in TAGS trial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brightnessContrast contrast="-20000"/>
                              </a14:imgEffect>
                            </a14:imgLayer>
                          </a14:imgProps>
                        </a:ext>
                      </a:extLst>
                    </a:blip>
                    <a:stretch>
                      <a:fillRect/>
                    </a:stretch>
                  </pic:blipFill>
                  <pic:spPr>
                    <a:xfrm>
                      <a:off x="0" y="0"/>
                      <a:ext cx="5585292" cy="2663660"/>
                    </a:xfrm>
                    <a:prstGeom prst="rect">
                      <a:avLst/>
                    </a:prstGeom>
                  </pic:spPr>
                </pic:pic>
              </a:graphicData>
            </a:graphic>
          </wp:inline>
        </w:drawing>
      </w:r>
    </w:p>
    <w:p w:rsidR="00A42B8D" w:rsidRPr="001C25C2" w:rsidRDefault="005846E2">
      <w:pPr>
        <w:keepNext/>
        <w:keepLines/>
        <w:rPr>
          <w:rStyle w:val="CommentReference"/>
          <w:b w:val="0"/>
          <w:sz w:val="18"/>
        </w:rPr>
      </w:pPr>
      <w:r w:rsidRPr="001C25C2">
        <w:rPr>
          <w:rStyle w:val="CommentReference"/>
          <w:b w:val="0"/>
          <w:sz w:val="18"/>
        </w:rPr>
        <w:t>Source: Figure 2.2, p39 of the submission</w:t>
      </w:r>
    </w:p>
    <w:p w:rsidR="00A42B8D" w:rsidRPr="001C25C2" w:rsidRDefault="001168D7">
      <w:pPr>
        <w:keepNext/>
        <w:keepLines/>
        <w:rPr>
          <w:rStyle w:val="CommentReference"/>
          <w:b w:val="0"/>
          <w:sz w:val="18"/>
        </w:rPr>
      </w:pPr>
      <w:r w:rsidRPr="001C25C2">
        <w:rPr>
          <w:rStyle w:val="CommentReference"/>
          <w:b w:val="0"/>
          <w:sz w:val="18"/>
        </w:rPr>
        <w:t xml:space="preserve">ITT = intention to treat; </w:t>
      </w:r>
      <w:r w:rsidR="005846E2" w:rsidRPr="001C25C2">
        <w:rPr>
          <w:rStyle w:val="CommentReference"/>
          <w:b w:val="0"/>
          <w:sz w:val="18"/>
        </w:rPr>
        <w:t xml:space="preserve">TAS-102 = </w:t>
      </w:r>
      <w:proofErr w:type="spellStart"/>
      <w:r w:rsidR="005846E2" w:rsidRPr="001C25C2">
        <w:rPr>
          <w:rStyle w:val="CommentReference"/>
          <w:b w:val="0"/>
          <w:sz w:val="18"/>
        </w:rPr>
        <w:t>trifluridine</w:t>
      </w:r>
      <w:proofErr w:type="spellEnd"/>
      <w:r w:rsidR="005846E2" w:rsidRPr="001C25C2">
        <w:rPr>
          <w:rStyle w:val="CommentReference"/>
          <w:b w:val="0"/>
          <w:sz w:val="18"/>
        </w:rPr>
        <w:t>/</w:t>
      </w:r>
      <w:proofErr w:type="spellStart"/>
      <w:r w:rsidR="005846E2" w:rsidRPr="001C25C2">
        <w:rPr>
          <w:rStyle w:val="CommentReference"/>
          <w:b w:val="0"/>
          <w:sz w:val="18"/>
        </w:rPr>
        <w:t>tipiracil</w:t>
      </w:r>
      <w:proofErr w:type="spellEnd"/>
    </w:p>
    <w:p w:rsidR="00A42B8D" w:rsidRPr="001C25C2" w:rsidRDefault="00A42B8D">
      <w:pPr>
        <w:pStyle w:val="TableText0"/>
        <w:keepLines/>
        <w:rPr>
          <w:sz w:val="20"/>
          <w:szCs w:val="20"/>
        </w:rPr>
      </w:pPr>
    </w:p>
    <w:p w:rsidR="00A42B8D" w:rsidRPr="001C25C2" w:rsidRDefault="005846E2" w:rsidP="003E4EF2">
      <w:pPr>
        <w:pStyle w:val="ListParagraph"/>
        <w:widowControl/>
        <w:numPr>
          <w:ilvl w:val="1"/>
          <w:numId w:val="2"/>
        </w:numPr>
      </w:pPr>
      <w:r w:rsidRPr="001C25C2">
        <w:t xml:space="preserve">The submission also reported the mean OS from individual patient data of the TAGS trial. Mean OS in the </w:t>
      </w:r>
      <w:proofErr w:type="spellStart"/>
      <w:r w:rsidRPr="001C25C2">
        <w:t>trifluridine</w:t>
      </w:r>
      <w:proofErr w:type="spellEnd"/>
      <w:r w:rsidRPr="001C25C2">
        <w:t>/</w:t>
      </w:r>
      <w:proofErr w:type="spellStart"/>
      <w:r w:rsidRPr="001C25C2">
        <w:t>tipiracil</w:t>
      </w:r>
      <w:proofErr w:type="spellEnd"/>
      <w:r w:rsidRPr="001C25C2">
        <w:t xml:space="preserve"> arm was 8.2 months (95% CI: 7.1, 9.6) and 5.8 months (95% CI: 5.1, 7.0) in the placebo arm. </w:t>
      </w:r>
    </w:p>
    <w:p w:rsidR="00A42B8D" w:rsidRPr="001C25C2" w:rsidRDefault="005846E2" w:rsidP="00121AB1">
      <w:pPr>
        <w:keepNext/>
        <w:widowControl/>
        <w:spacing w:after="160"/>
        <w:rPr>
          <w:u w:val="single"/>
        </w:rPr>
      </w:pPr>
      <w:r w:rsidRPr="001C25C2">
        <w:rPr>
          <w:u w:val="single"/>
        </w:rPr>
        <w:t>Secondary outcome: PFS</w:t>
      </w:r>
    </w:p>
    <w:p w:rsidR="00A42B8D" w:rsidRPr="001C25C2" w:rsidRDefault="005846E2" w:rsidP="003E4EF2">
      <w:pPr>
        <w:pStyle w:val="ListParagraph"/>
        <w:widowControl/>
        <w:numPr>
          <w:ilvl w:val="1"/>
          <w:numId w:val="2"/>
        </w:numPr>
        <w:rPr>
          <w:rStyle w:val="CommentReference"/>
          <w:rFonts w:ascii="Calibri" w:hAnsi="Calibri"/>
          <w:b w:val="0"/>
          <w:sz w:val="24"/>
          <w:szCs w:val="22"/>
        </w:rPr>
      </w:pPr>
      <w:r w:rsidRPr="001C25C2">
        <w:t>Table 5 summarises the PFS results from the TAGS trial for the ITT population.</w:t>
      </w:r>
    </w:p>
    <w:p w:rsidR="00A42B8D" w:rsidRPr="001C25C2" w:rsidRDefault="005846E2" w:rsidP="001523B9">
      <w:pPr>
        <w:pStyle w:val="BodyText"/>
        <w:keepNext/>
        <w:rPr>
          <w:rStyle w:val="CommentReference"/>
        </w:rPr>
      </w:pPr>
      <w:r w:rsidRPr="001C25C2">
        <w:rPr>
          <w:rStyle w:val="CommentReference"/>
        </w:rPr>
        <w:t xml:space="preserve">Table 5: Results of </w:t>
      </w:r>
      <w:r w:rsidR="00B55C9E" w:rsidRPr="001C25C2">
        <w:rPr>
          <w:rStyle w:val="CommentReference"/>
        </w:rPr>
        <w:t>p</w:t>
      </w:r>
      <w:r w:rsidRPr="001C25C2">
        <w:rPr>
          <w:rStyle w:val="CommentReference"/>
        </w:rPr>
        <w:t xml:space="preserve">rogression-free </w:t>
      </w:r>
      <w:r w:rsidR="00B55C9E" w:rsidRPr="001C25C2">
        <w:rPr>
          <w:rStyle w:val="CommentReference"/>
        </w:rPr>
        <w:t>s</w:t>
      </w:r>
      <w:r w:rsidRPr="001C25C2">
        <w:rPr>
          <w:rStyle w:val="CommentReference"/>
        </w:rPr>
        <w:t>urvival in TAGS trial (ITT population)</w:t>
      </w:r>
    </w:p>
    <w:tbl>
      <w:tblPr>
        <w:tblStyle w:val="TableGrid"/>
        <w:tblW w:w="0" w:type="auto"/>
        <w:tblLook w:val="04A0" w:firstRow="1" w:lastRow="0" w:firstColumn="1" w:lastColumn="0" w:noHBand="0" w:noVBand="1"/>
        <w:tblCaption w:val="Table 5: Results of progression-free survival in TAGS trial (ITT population)"/>
      </w:tblPr>
      <w:tblGrid>
        <w:gridCol w:w="3681"/>
        <w:gridCol w:w="1984"/>
        <w:gridCol w:w="1843"/>
        <w:gridCol w:w="1509"/>
      </w:tblGrid>
      <w:tr w:rsidR="00A42B8D" w:rsidRPr="001C25C2">
        <w:trPr>
          <w:tblHeader/>
        </w:trPr>
        <w:tc>
          <w:tcPr>
            <w:tcW w:w="3681" w:type="dxa"/>
          </w:tcPr>
          <w:p w:rsidR="00A42B8D" w:rsidRPr="001C25C2" w:rsidRDefault="005846E2" w:rsidP="001523B9">
            <w:pPr>
              <w:pStyle w:val="TableText0"/>
              <w:keepLines/>
              <w:rPr>
                <w:b/>
                <w:sz w:val="20"/>
                <w:szCs w:val="20"/>
              </w:rPr>
            </w:pPr>
            <w:r w:rsidRPr="001C25C2">
              <w:rPr>
                <w:b/>
                <w:sz w:val="20"/>
                <w:szCs w:val="20"/>
              </w:rPr>
              <w:t>Outcome</w:t>
            </w:r>
          </w:p>
        </w:tc>
        <w:tc>
          <w:tcPr>
            <w:tcW w:w="1984" w:type="dxa"/>
          </w:tcPr>
          <w:p w:rsidR="00A42B8D" w:rsidRPr="001C25C2" w:rsidRDefault="005846E2" w:rsidP="001523B9">
            <w:pPr>
              <w:pStyle w:val="TableText0"/>
              <w:keepLines/>
              <w:jc w:val="center"/>
              <w:rPr>
                <w:b/>
                <w:sz w:val="20"/>
                <w:szCs w:val="20"/>
              </w:rPr>
            </w:pPr>
            <w:proofErr w:type="spellStart"/>
            <w:r w:rsidRPr="001C25C2">
              <w:rPr>
                <w:b/>
                <w:sz w:val="20"/>
                <w:szCs w:val="20"/>
              </w:rPr>
              <w:t>Trifluridine</w:t>
            </w:r>
            <w:proofErr w:type="spellEnd"/>
            <w:r w:rsidRPr="001C25C2">
              <w:rPr>
                <w:b/>
                <w:sz w:val="20"/>
                <w:szCs w:val="20"/>
              </w:rPr>
              <w:t>/</w:t>
            </w:r>
            <w:proofErr w:type="spellStart"/>
            <w:r w:rsidRPr="001C25C2">
              <w:rPr>
                <w:b/>
                <w:sz w:val="20"/>
                <w:szCs w:val="20"/>
              </w:rPr>
              <w:t>tipiracil</w:t>
            </w:r>
            <w:proofErr w:type="spellEnd"/>
          </w:p>
          <w:p w:rsidR="00A42B8D" w:rsidRPr="001C25C2" w:rsidRDefault="005846E2" w:rsidP="001523B9">
            <w:pPr>
              <w:pStyle w:val="TableText0"/>
              <w:keepLines/>
              <w:jc w:val="center"/>
              <w:rPr>
                <w:b/>
                <w:sz w:val="20"/>
                <w:szCs w:val="20"/>
              </w:rPr>
            </w:pPr>
            <w:r w:rsidRPr="001C25C2">
              <w:rPr>
                <w:b/>
                <w:sz w:val="20"/>
                <w:szCs w:val="20"/>
              </w:rPr>
              <w:t>(N = 337)</w:t>
            </w:r>
          </w:p>
        </w:tc>
        <w:tc>
          <w:tcPr>
            <w:tcW w:w="1843" w:type="dxa"/>
          </w:tcPr>
          <w:p w:rsidR="00A42B8D" w:rsidRPr="001C25C2" w:rsidRDefault="005846E2" w:rsidP="001523B9">
            <w:pPr>
              <w:pStyle w:val="TableText0"/>
              <w:keepLines/>
              <w:jc w:val="center"/>
              <w:rPr>
                <w:b/>
                <w:sz w:val="20"/>
                <w:szCs w:val="20"/>
              </w:rPr>
            </w:pPr>
            <w:r w:rsidRPr="001C25C2">
              <w:rPr>
                <w:b/>
                <w:sz w:val="20"/>
                <w:szCs w:val="20"/>
              </w:rPr>
              <w:t>Placebo</w:t>
            </w:r>
          </w:p>
          <w:p w:rsidR="00A42B8D" w:rsidRPr="001C25C2" w:rsidRDefault="005846E2" w:rsidP="001523B9">
            <w:pPr>
              <w:pStyle w:val="TableText0"/>
              <w:keepLines/>
              <w:jc w:val="center"/>
              <w:rPr>
                <w:b/>
                <w:sz w:val="20"/>
                <w:szCs w:val="20"/>
              </w:rPr>
            </w:pPr>
            <w:r w:rsidRPr="001C25C2">
              <w:rPr>
                <w:b/>
                <w:sz w:val="20"/>
                <w:szCs w:val="20"/>
              </w:rPr>
              <w:t>(N = 170)</w:t>
            </w:r>
          </w:p>
        </w:tc>
        <w:tc>
          <w:tcPr>
            <w:tcW w:w="1509" w:type="dxa"/>
          </w:tcPr>
          <w:p w:rsidR="00A42B8D" w:rsidRPr="001C25C2" w:rsidRDefault="005846E2" w:rsidP="001523B9">
            <w:pPr>
              <w:pStyle w:val="TableText0"/>
              <w:keepLines/>
              <w:jc w:val="center"/>
              <w:rPr>
                <w:b/>
                <w:sz w:val="20"/>
                <w:szCs w:val="20"/>
              </w:rPr>
            </w:pPr>
            <w:r w:rsidRPr="001C25C2">
              <w:rPr>
                <w:b/>
                <w:sz w:val="20"/>
                <w:szCs w:val="20"/>
              </w:rPr>
              <w:t>Treatment difference</w:t>
            </w:r>
          </w:p>
        </w:tc>
      </w:tr>
      <w:tr w:rsidR="00A42B8D" w:rsidRPr="001C25C2">
        <w:tc>
          <w:tcPr>
            <w:tcW w:w="3681" w:type="dxa"/>
          </w:tcPr>
          <w:p w:rsidR="00A42B8D" w:rsidRPr="001C25C2" w:rsidRDefault="005846E2" w:rsidP="002C4E55">
            <w:pPr>
              <w:pStyle w:val="TableText0"/>
              <w:keepLines/>
              <w:rPr>
                <w:sz w:val="20"/>
                <w:szCs w:val="20"/>
              </w:rPr>
            </w:pPr>
            <w:r w:rsidRPr="001C25C2">
              <w:rPr>
                <w:sz w:val="20"/>
                <w:szCs w:val="20"/>
              </w:rPr>
              <w:t xml:space="preserve">Number of </w:t>
            </w:r>
            <w:r w:rsidR="002C4E55" w:rsidRPr="001C25C2">
              <w:rPr>
                <w:sz w:val="20"/>
                <w:szCs w:val="20"/>
              </w:rPr>
              <w:t>PFS Events</w:t>
            </w:r>
            <w:r w:rsidRPr="001C25C2">
              <w:rPr>
                <w:sz w:val="20"/>
                <w:szCs w:val="20"/>
              </w:rPr>
              <w:t>, n (%)</w:t>
            </w:r>
          </w:p>
        </w:tc>
        <w:tc>
          <w:tcPr>
            <w:tcW w:w="1984" w:type="dxa"/>
          </w:tcPr>
          <w:p w:rsidR="00A42B8D" w:rsidRPr="001C25C2" w:rsidRDefault="005846E2" w:rsidP="001523B9">
            <w:pPr>
              <w:pStyle w:val="TableText0"/>
              <w:keepLines/>
              <w:jc w:val="center"/>
              <w:rPr>
                <w:sz w:val="20"/>
                <w:szCs w:val="20"/>
              </w:rPr>
            </w:pPr>
            <w:r w:rsidRPr="001C25C2">
              <w:rPr>
                <w:sz w:val="20"/>
                <w:szCs w:val="20"/>
              </w:rPr>
              <w:t>287 (85.2)</w:t>
            </w:r>
          </w:p>
        </w:tc>
        <w:tc>
          <w:tcPr>
            <w:tcW w:w="1843" w:type="dxa"/>
          </w:tcPr>
          <w:p w:rsidR="00A42B8D" w:rsidRPr="001C25C2" w:rsidRDefault="005846E2" w:rsidP="001523B9">
            <w:pPr>
              <w:pStyle w:val="TableText0"/>
              <w:keepLines/>
              <w:jc w:val="center"/>
              <w:rPr>
                <w:sz w:val="20"/>
                <w:szCs w:val="20"/>
              </w:rPr>
            </w:pPr>
            <w:r w:rsidRPr="001C25C2">
              <w:rPr>
                <w:sz w:val="20"/>
                <w:szCs w:val="20"/>
              </w:rPr>
              <w:t>156 (91.8)</w:t>
            </w:r>
          </w:p>
        </w:tc>
        <w:tc>
          <w:tcPr>
            <w:tcW w:w="1509" w:type="dxa"/>
          </w:tcPr>
          <w:p w:rsidR="00A42B8D" w:rsidRPr="001C25C2" w:rsidRDefault="005846E2" w:rsidP="001523B9">
            <w:pPr>
              <w:pStyle w:val="TableText0"/>
              <w:keepLines/>
              <w:jc w:val="center"/>
              <w:rPr>
                <w:sz w:val="20"/>
                <w:szCs w:val="20"/>
              </w:rPr>
            </w:pPr>
            <w:r w:rsidRPr="001C25C2">
              <w:rPr>
                <w:sz w:val="20"/>
                <w:szCs w:val="20"/>
              </w:rPr>
              <w:t>-</w:t>
            </w:r>
          </w:p>
        </w:tc>
      </w:tr>
      <w:tr w:rsidR="00A42B8D" w:rsidRPr="001C25C2">
        <w:tc>
          <w:tcPr>
            <w:tcW w:w="3681" w:type="dxa"/>
          </w:tcPr>
          <w:p w:rsidR="00A42B8D" w:rsidRPr="001C25C2" w:rsidRDefault="005846E2" w:rsidP="001523B9">
            <w:pPr>
              <w:pStyle w:val="TableText0"/>
              <w:keepLines/>
              <w:rPr>
                <w:sz w:val="20"/>
                <w:szCs w:val="20"/>
              </w:rPr>
            </w:pPr>
            <w:r w:rsidRPr="001C25C2">
              <w:rPr>
                <w:sz w:val="20"/>
                <w:szCs w:val="20"/>
              </w:rPr>
              <w:t>Median progression-free survival, in months (95% CI)</w:t>
            </w:r>
          </w:p>
        </w:tc>
        <w:tc>
          <w:tcPr>
            <w:tcW w:w="1984" w:type="dxa"/>
            <w:vAlign w:val="center"/>
          </w:tcPr>
          <w:p w:rsidR="00A42B8D" w:rsidRPr="001C25C2" w:rsidRDefault="005846E2" w:rsidP="001523B9">
            <w:pPr>
              <w:pStyle w:val="TableText0"/>
              <w:keepLines/>
              <w:jc w:val="center"/>
              <w:rPr>
                <w:sz w:val="20"/>
                <w:szCs w:val="20"/>
              </w:rPr>
            </w:pPr>
            <w:r w:rsidRPr="001C25C2">
              <w:rPr>
                <w:sz w:val="20"/>
                <w:szCs w:val="20"/>
              </w:rPr>
              <w:t>1.97 (1.9, 2.3)</w:t>
            </w:r>
          </w:p>
        </w:tc>
        <w:tc>
          <w:tcPr>
            <w:tcW w:w="1843" w:type="dxa"/>
            <w:vAlign w:val="center"/>
          </w:tcPr>
          <w:p w:rsidR="00A42B8D" w:rsidRPr="001C25C2" w:rsidRDefault="005846E2" w:rsidP="001523B9">
            <w:pPr>
              <w:pStyle w:val="TableText0"/>
              <w:keepLines/>
              <w:jc w:val="center"/>
              <w:rPr>
                <w:sz w:val="20"/>
                <w:szCs w:val="20"/>
              </w:rPr>
            </w:pPr>
            <w:r w:rsidRPr="001C25C2">
              <w:rPr>
                <w:sz w:val="20"/>
                <w:szCs w:val="20"/>
              </w:rPr>
              <w:t>1.81 (1.7, 1.9)</w:t>
            </w:r>
          </w:p>
        </w:tc>
        <w:tc>
          <w:tcPr>
            <w:tcW w:w="1509" w:type="dxa"/>
            <w:vAlign w:val="center"/>
          </w:tcPr>
          <w:p w:rsidR="00A42B8D" w:rsidRPr="001C25C2" w:rsidRDefault="005846E2" w:rsidP="001523B9">
            <w:pPr>
              <w:pStyle w:val="TableText0"/>
              <w:keepLines/>
              <w:jc w:val="center"/>
              <w:rPr>
                <w:sz w:val="20"/>
                <w:szCs w:val="20"/>
              </w:rPr>
            </w:pPr>
            <w:r w:rsidRPr="001C25C2">
              <w:rPr>
                <w:sz w:val="20"/>
                <w:szCs w:val="20"/>
              </w:rPr>
              <w:t>0.16</w:t>
            </w:r>
          </w:p>
        </w:tc>
      </w:tr>
      <w:tr w:rsidR="00A42B8D" w:rsidRPr="001C25C2">
        <w:tc>
          <w:tcPr>
            <w:tcW w:w="3681" w:type="dxa"/>
          </w:tcPr>
          <w:p w:rsidR="00A42B8D" w:rsidRPr="001C25C2" w:rsidRDefault="005846E2" w:rsidP="001523B9">
            <w:pPr>
              <w:pStyle w:val="TableText0"/>
              <w:keepLines/>
              <w:rPr>
                <w:sz w:val="20"/>
                <w:szCs w:val="20"/>
              </w:rPr>
            </w:pPr>
            <w:proofErr w:type="spellStart"/>
            <w:r w:rsidRPr="001C25C2">
              <w:rPr>
                <w:sz w:val="20"/>
                <w:szCs w:val="20"/>
              </w:rPr>
              <w:t>Mean</w:t>
            </w:r>
            <w:r w:rsidRPr="001C25C2">
              <w:rPr>
                <w:sz w:val="20"/>
                <w:szCs w:val="20"/>
                <w:vertAlign w:val="superscript"/>
              </w:rPr>
              <w:t>a</w:t>
            </w:r>
            <w:proofErr w:type="spellEnd"/>
            <w:r w:rsidRPr="001C25C2">
              <w:rPr>
                <w:sz w:val="20"/>
                <w:szCs w:val="20"/>
              </w:rPr>
              <w:t xml:space="preserve"> progression-free survival, in months (95% CI)</w:t>
            </w:r>
          </w:p>
        </w:tc>
        <w:tc>
          <w:tcPr>
            <w:tcW w:w="1984" w:type="dxa"/>
            <w:vAlign w:val="center"/>
          </w:tcPr>
          <w:p w:rsidR="00A42B8D" w:rsidRPr="001C25C2" w:rsidRDefault="005846E2" w:rsidP="001523B9">
            <w:pPr>
              <w:pStyle w:val="TableText0"/>
              <w:keepLines/>
              <w:jc w:val="center"/>
              <w:rPr>
                <w:sz w:val="20"/>
                <w:szCs w:val="20"/>
              </w:rPr>
            </w:pPr>
            <w:r w:rsidRPr="001C25C2">
              <w:rPr>
                <w:sz w:val="20"/>
                <w:szCs w:val="20"/>
              </w:rPr>
              <w:t>3.60 (3.2, 4.0)</w:t>
            </w:r>
          </w:p>
        </w:tc>
        <w:tc>
          <w:tcPr>
            <w:tcW w:w="1843" w:type="dxa"/>
            <w:vAlign w:val="center"/>
          </w:tcPr>
          <w:p w:rsidR="00A42B8D" w:rsidRPr="001C25C2" w:rsidRDefault="005846E2" w:rsidP="001523B9">
            <w:pPr>
              <w:pStyle w:val="TableText0"/>
              <w:keepLines/>
              <w:jc w:val="center"/>
              <w:rPr>
                <w:sz w:val="20"/>
                <w:szCs w:val="20"/>
              </w:rPr>
            </w:pPr>
            <w:r w:rsidRPr="001C25C2">
              <w:rPr>
                <w:sz w:val="20"/>
                <w:szCs w:val="20"/>
              </w:rPr>
              <w:t>2.41 (2.0, 3.2)</w:t>
            </w:r>
          </w:p>
        </w:tc>
        <w:tc>
          <w:tcPr>
            <w:tcW w:w="1509" w:type="dxa"/>
            <w:vAlign w:val="center"/>
          </w:tcPr>
          <w:p w:rsidR="00A42B8D" w:rsidRPr="001C25C2" w:rsidRDefault="005846E2" w:rsidP="001523B9">
            <w:pPr>
              <w:pStyle w:val="TableText0"/>
              <w:keepLines/>
              <w:jc w:val="center"/>
              <w:rPr>
                <w:sz w:val="20"/>
                <w:szCs w:val="20"/>
              </w:rPr>
            </w:pPr>
            <w:r w:rsidRPr="001C25C2">
              <w:rPr>
                <w:sz w:val="20"/>
                <w:szCs w:val="20"/>
              </w:rPr>
              <w:t>1.19</w:t>
            </w:r>
          </w:p>
        </w:tc>
      </w:tr>
      <w:tr w:rsidR="00A42B8D" w:rsidRPr="001C25C2">
        <w:tc>
          <w:tcPr>
            <w:tcW w:w="3681" w:type="dxa"/>
          </w:tcPr>
          <w:p w:rsidR="00A42B8D" w:rsidRPr="001C25C2" w:rsidRDefault="005846E2" w:rsidP="001523B9">
            <w:pPr>
              <w:pStyle w:val="TableText0"/>
              <w:keepLines/>
              <w:rPr>
                <w:sz w:val="20"/>
                <w:szCs w:val="20"/>
              </w:rPr>
            </w:pPr>
            <w:r w:rsidRPr="001C25C2">
              <w:rPr>
                <w:sz w:val="20"/>
                <w:szCs w:val="20"/>
              </w:rPr>
              <w:t>Log-rank p-value (2-sided)</w:t>
            </w:r>
            <w:r w:rsidRPr="001C25C2">
              <w:rPr>
                <w:sz w:val="20"/>
                <w:szCs w:val="20"/>
                <w:vertAlign w:val="superscript"/>
              </w:rPr>
              <w:t>b</w:t>
            </w:r>
          </w:p>
        </w:tc>
        <w:tc>
          <w:tcPr>
            <w:tcW w:w="3827" w:type="dxa"/>
            <w:gridSpan w:val="2"/>
          </w:tcPr>
          <w:p w:rsidR="00A42B8D" w:rsidRPr="001C25C2" w:rsidRDefault="005846E2" w:rsidP="001523B9">
            <w:pPr>
              <w:pStyle w:val="TableText0"/>
              <w:keepLines/>
              <w:jc w:val="center"/>
              <w:rPr>
                <w:b/>
                <w:sz w:val="20"/>
                <w:szCs w:val="20"/>
              </w:rPr>
            </w:pPr>
            <w:r w:rsidRPr="001C25C2">
              <w:rPr>
                <w:b/>
                <w:sz w:val="20"/>
                <w:szCs w:val="20"/>
              </w:rPr>
              <w:t>&lt;0.0001</w:t>
            </w:r>
          </w:p>
        </w:tc>
        <w:tc>
          <w:tcPr>
            <w:tcW w:w="1509" w:type="dxa"/>
          </w:tcPr>
          <w:p w:rsidR="00A42B8D" w:rsidRPr="001C25C2" w:rsidRDefault="005846E2" w:rsidP="001523B9">
            <w:pPr>
              <w:pStyle w:val="TableText0"/>
              <w:keepLines/>
              <w:jc w:val="center"/>
              <w:rPr>
                <w:sz w:val="20"/>
                <w:szCs w:val="20"/>
              </w:rPr>
            </w:pPr>
            <w:r w:rsidRPr="001C25C2">
              <w:rPr>
                <w:sz w:val="20"/>
                <w:szCs w:val="20"/>
              </w:rPr>
              <w:t>-</w:t>
            </w:r>
          </w:p>
        </w:tc>
      </w:tr>
      <w:tr w:rsidR="00A42B8D" w:rsidRPr="001C25C2">
        <w:tc>
          <w:tcPr>
            <w:tcW w:w="3681" w:type="dxa"/>
          </w:tcPr>
          <w:p w:rsidR="00A42B8D" w:rsidRPr="001C25C2" w:rsidRDefault="005846E2" w:rsidP="001523B9">
            <w:pPr>
              <w:pStyle w:val="TableText0"/>
              <w:keepLines/>
              <w:rPr>
                <w:sz w:val="20"/>
                <w:szCs w:val="20"/>
              </w:rPr>
            </w:pPr>
            <w:r w:rsidRPr="001C25C2">
              <w:rPr>
                <w:sz w:val="20"/>
                <w:szCs w:val="20"/>
              </w:rPr>
              <w:t>Hazard ratio (95% CI)</w:t>
            </w:r>
          </w:p>
        </w:tc>
        <w:tc>
          <w:tcPr>
            <w:tcW w:w="3827" w:type="dxa"/>
            <w:gridSpan w:val="2"/>
          </w:tcPr>
          <w:p w:rsidR="00A42B8D" w:rsidRPr="001C25C2" w:rsidRDefault="005846E2" w:rsidP="001523B9">
            <w:pPr>
              <w:pStyle w:val="TableText0"/>
              <w:keepLines/>
              <w:jc w:val="center"/>
              <w:rPr>
                <w:b/>
                <w:sz w:val="20"/>
                <w:szCs w:val="20"/>
              </w:rPr>
            </w:pPr>
            <w:r w:rsidRPr="001C25C2">
              <w:rPr>
                <w:b/>
                <w:sz w:val="20"/>
                <w:szCs w:val="20"/>
              </w:rPr>
              <w:t>0.57 (0.47, 0.70)</w:t>
            </w:r>
          </w:p>
        </w:tc>
        <w:tc>
          <w:tcPr>
            <w:tcW w:w="1509" w:type="dxa"/>
          </w:tcPr>
          <w:p w:rsidR="00A42B8D" w:rsidRPr="001C25C2" w:rsidRDefault="005846E2" w:rsidP="001523B9">
            <w:pPr>
              <w:pStyle w:val="TableText0"/>
              <w:keepLines/>
              <w:jc w:val="center"/>
              <w:rPr>
                <w:sz w:val="20"/>
                <w:szCs w:val="20"/>
              </w:rPr>
            </w:pPr>
            <w:r w:rsidRPr="001C25C2">
              <w:rPr>
                <w:sz w:val="20"/>
                <w:szCs w:val="20"/>
              </w:rPr>
              <w:t>-</w:t>
            </w:r>
          </w:p>
        </w:tc>
      </w:tr>
    </w:tbl>
    <w:p w:rsidR="00A42B8D" w:rsidRPr="001C25C2" w:rsidRDefault="005846E2" w:rsidP="001523B9">
      <w:pPr>
        <w:pStyle w:val="TableText0"/>
        <w:keepLines/>
        <w:rPr>
          <w:sz w:val="18"/>
          <w:szCs w:val="20"/>
        </w:rPr>
      </w:pPr>
      <w:r w:rsidRPr="001C25C2">
        <w:rPr>
          <w:sz w:val="18"/>
          <w:szCs w:val="20"/>
        </w:rPr>
        <w:t>Source: Table 2.5.2, p41 in the submission &amp; Table 25, p89 in the TGS CSR</w:t>
      </w:r>
    </w:p>
    <w:p w:rsidR="00A42B8D" w:rsidRPr="001C25C2" w:rsidRDefault="005846E2" w:rsidP="001523B9">
      <w:pPr>
        <w:pStyle w:val="TableText0"/>
        <w:keepNext w:val="0"/>
        <w:rPr>
          <w:sz w:val="18"/>
          <w:szCs w:val="20"/>
        </w:rPr>
      </w:pPr>
      <w:r w:rsidRPr="001C25C2">
        <w:rPr>
          <w:sz w:val="18"/>
          <w:szCs w:val="20"/>
        </w:rPr>
        <w:t>CI = confidence interval</w:t>
      </w:r>
      <w:r w:rsidR="001523B9" w:rsidRPr="001C25C2">
        <w:rPr>
          <w:sz w:val="18"/>
          <w:szCs w:val="20"/>
        </w:rPr>
        <w:t>;</w:t>
      </w:r>
      <w:r w:rsidRPr="001C25C2">
        <w:rPr>
          <w:sz w:val="18"/>
          <w:szCs w:val="20"/>
        </w:rPr>
        <w:t xml:space="preserve"> </w:t>
      </w:r>
      <w:r w:rsidR="001523B9" w:rsidRPr="001C25C2">
        <w:rPr>
          <w:rStyle w:val="CommentReference"/>
          <w:b w:val="0"/>
          <w:sz w:val="18"/>
        </w:rPr>
        <w:t xml:space="preserve">ITT = intention to treat; </w:t>
      </w:r>
      <w:r w:rsidRPr="001C25C2">
        <w:rPr>
          <w:sz w:val="18"/>
          <w:szCs w:val="20"/>
        </w:rPr>
        <w:t xml:space="preserve">PFS = progression-free survival; </w:t>
      </w:r>
      <w:r w:rsidRPr="001C25C2">
        <w:rPr>
          <w:b/>
          <w:sz w:val="18"/>
          <w:szCs w:val="20"/>
        </w:rPr>
        <w:t>Bold</w:t>
      </w:r>
      <w:r w:rsidRPr="001C25C2">
        <w:rPr>
          <w:sz w:val="18"/>
          <w:szCs w:val="20"/>
        </w:rPr>
        <w:t xml:space="preserve"> = statistically significant</w:t>
      </w:r>
    </w:p>
    <w:p w:rsidR="00A42B8D" w:rsidRPr="001C25C2" w:rsidRDefault="005846E2" w:rsidP="001523B9">
      <w:pPr>
        <w:pStyle w:val="TableText0"/>
        <w:keepNext w:val="0"/>
        <w:rPr>
          <w:sz w:val="18"/>
          <w:szCs w:val="20"/>
        </w:rPr>
      </w:pPr>
      <w:proofErr w:type="gramStart"/>
      <w:r w:rsidRPr="001C25C2">
        <w:rPr>
          <w:sz w:val="18"/>
          <w:szCs w:val="20"/>
          <w:vertAlign w:val="superscript"/>
        </w:rPr>
        <w:t>a</w:t>
      </w:r>
      <w:proofErr w:type="gramEnd"/>
      <w:r w:rsidRPr="001C25C2">
        <w:rPr>
          <w:sz w:val="18"/>
          <w:szCs w:val="20"/>
        </w:rPr>
        <w:t xml:space="preserve"> Mean PFS in each of the arms of the TAGS is derived by measuring the area under the Kaplan- Meier progression free survival curves using patient-level data.</w:t>
      </w:r>
    </w:p>
    <w:p w:rsidR="00A42B8D" w:rsidRPr="001C25C2" w:rsidRDefault="005846E2" w:rsidP="001523B9">
      <w:pPr>
        <w:pStyle w:val="TableText0"/>
        <w:keepNext w:val="0"/>
        <w:rPr>
          <w:rStyle w:val="CommentReference"/>
          <w:b w:val="0"/>
          <w:sz w:val="18"/>
          <w:szCs w:val="20"/>
        </w:rPr>
      </w:pPr>
      <w:proofErr w:type="gramStart"/>
      <w:r w:rsidRPr="001C25C2">
        <w:rPr>
          <w:sz w:val="18"/>
          <w:szCs w:val="20"/>
          <w:vertAlign w:val="superscript"/>
        </w:rPr>
        <w:t>b</w:t>
      </w:r>
      <w:proofErr w:type="gramEnd"/>
      <w:r w:rsidRPr="001C25C2">
        <w:rPr>
          <w:sz w:val="18"/>
          <w:szCs w:val="20"/>
        </w:rPr>
        <w:t xml:space="preserve"> Stratified log-rank test (stratification factors: region, ECOG status at baseline, prior treatment with </w:t>
      </w:r>
      <w:proofErr w:type="spellStart"/>
      <w:r w:rsidRPr="001C25C2">
        <w:rPr>
          <w:sz w:val="18"/>
          <w:szCs w:val="20"/>
        </w:rPr>
        <w:t>ramucirumab</w:t>
      </w:r>
      <w:proofErr w:type="spellEnd"/>
      <w:r w:rsidRPr="001C25C2">
        <w:rPr>
          <w:sz w:val="18"/>
          <w:szCs w:val="20"/>
        </w:rPr>
        <w:t>)</w:t>
      </w:r>
    </w:p>
    <w:p w:rsidR="00A42B8D" w:rsidRPr="001C25C2" w:rsidRDefault="00A42B8D" w:rsidP="001523B9">
      <w:pPr>
        <w:rPr>
          <w:rStyle w:val="CommentReference"/>
        </w:rPr>
      </w:pPr>
    </w:p>
    <w:p w:rsidR="00A42B8D" w:rsidRPr="001C25C2" w:rsidRDefault="005846E2" w:rsidP="001523B9">
      <w:pPr>
        <w:keepNext/>
        <w:keepLines/>
        <w:rPr>
          <w:rStyle w:val="CommentReference"/>
        </w:rPr>
      </w:pPr>
      <w:r w:rsidRPr="001C25C2">
        <w:rPr>
          <w:rStyle w:val="CommentReference"/>
        </w:rPr>
        <w:t>Figure 3: Kaplan-Meier plot of progression-free survival in TAGS trial (ITT population)</w:t>
      </w:r>
    </w:p>
    <w:p w:rsidR="00A42B8D" w:rsidRPr="001C25C2" w:rsidRDefault="005846E2" w:rsidP="001523B9">
      <w:pPr>
        <w:keepNext/>
        <w:keepLines/>
        <w:rPr>
          <w:rStyle w:val="CommentReference"/>
        </w:rPr>
      </w:pPr>
      <w:r w:rsidRPr="001C25C2">
        <w:rPr>
          <w:rStyle w:val="CommentReference"/>
          <w:noProof/>
          <w:lang w:eastAsia="en-AU"/>
        </w:rPr>
        <w:drawing>
          <wp:inline distT="0" distB="0" distL="0" distR="0" wp14:anchorId="330B6930" wp14:editId="57CF3585">
            <wp:extent cx="5732145" cy="2852771"/>
            <wp:effectExtent l="0" t="0" r="1905" b="5080"/>
            <wp:docPr id="7" name="Picture 7" title="Figure 3: Kaplan-Meier plot of progression-free survival in TAGS trial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brightnessContrast contrast="-20000"/>
                              </a14:imgEffect>
                            </a14:imgLayer>
                          </a14:imgProps>
                        </a:ext>
                      </a:extLst>
                    </a:blip>
                    <a:stretch>
                      <a:fillRect/>
                    </a:stretch>
                  </pic:blipFill>
                  <pic:spPr>
                    <a:xfrm>
                      <a:off x="0" y="0"/>
                      <a:ext cx="5732145" cy="2852771"/>
                    </a:xfrm>
                    <a:prstGeom prst="rect">
                      <a:avLst/>
                    </a:prstGeom>
                  </pic:spPr>
                </pic:pic>
              </a:graphicData>
            </a:graphic>
          </wp:inline>
        </w:drawing>
      </w:r>
    </w:p>
    <w:p w:rsidR="00A42B8D" w:rsidRPr="001C25C2" w:rsidRDefault="005846E2">
      <w:pPr>
        <w:keepNext/>
        <w:keepLines/>
        <w:rPr>
          <w:rStyle w:val="CommentReference"/>
          <w:b w:val="0"/>
          <w:sz w:val="18"/>
        </w:rPr>
      </w:pPr>
      <w:r w:rsidRPr="001C25C2">
        <w:rPr>
          <w:rStyle w:val="CommentReference"/>
          <w:b w:val="0"/>
          <w:sz w:val="18"/>
        </w:rPr>
        <w:t>Source: Figure 2.3, p41 in the submission</w:t>
      </w:r>
    </w:p>
    <w:p w:rsidR="00A42B8D" w:rsidRPr="001C25C2" w:rsidRDefault="001523B9">
      <w:pPr>
        <w:keepNext/>
        <w:keepLines/>
        <w:rPr>
          <w:rStyle w:val="CommentReference"/>
          <w:b w:val="0"/>
          <w:sz w:val="18"/>
        </w:rPr>
      </w:pPr>
      <w:r w:rsidRPr="001C25C2">
        <w:rPr>
          <w:rStyle w:val="CommentReference"/>
          <w:b w:val="0"/>
          <w:sz w:val="18"/>
        </w:rPr>
        <w:t xml:space="preserve">ITT = intention to treat; </w:t>
      </w:r>
      <w:r w:rsidR="005846E2" w:rsidRPr="001C25C2">
        <w:rPr>
          <w:rStyle w:val="CommentReference"/>
          <w:b w:val="0"/>
          <w:sz w:val="18"/>
        </w:rPr>
        <w:t xml:space="preserve">TAS-102 = </w:t>
      </w:r>
      <w:proofErr w:type="spellStart"/>
      <w:r w:rsidR="005846E2" w:rsidRPr="001C25C2">
        <w:rPr>
          <w:rStyle w:val="CommentReference"/>
          <w:b w:val="0"/>
          <w:sz w:val="18"/>
        </w:rPr>
        <w:t>trifluridine</w:t>
      </w:r>
      <w:proofErr w:type="spellEnd"/>
      <w:r w:rsidR="005846E2" w:rsidRPr="001C25C2">
        <w:rPr>
          <w:rStyle w:val="CommentReference"/>
          <w:b w:val="0"/>
          <w:sz w:val="18"/>
        </w:rPr>
        <w:t>/</w:t>
      </w:r>
      <w:proofErr w:type="spellStart"/>
      <w:r w:rsidR="005846E2" w:rsidRPr="001C25C2">
        <w:rPr>
          <w:rStyle w:val="CommentReference"/>
          <w:b w:val="0"/>
          <w:sz w:val="18"/>
        </w:rPr>
        <w:t>tipiracil</w:t>
      </w:r>
      <w:proofErr w:type="spellEnd"/>
    </w:p>
    <w:p w:rsidR="00A42B8D" w:rsidRPr="001C25C2" w:rsidRDefault="00A42B8D">
      <w:pPr>
        <w:keepNext/>
        <w:keepLines/>
        <w:rPr>
          <w:rStyle w:val="CommentReference"/>
          <w:b w:val="0"/>
        </w:rPr>
      </w:pPr>
    </w:p>
    <w:p w:rsidR="00A42B8D" w:rsidRPr="001C25C2" w:rsidRDefault="005846E2" w:rsidP="003E4EF2">
      <w:pPr>
        <w:pStyle w:val="ListParagraph"/>
        <w:widowControl/>
        <w:numPr>
          <w:ilvl w:val="1"/>
          <w:numId w:val="2"/>
        </w:numPr>
      </w:pPr>
      <w:r w:rsidRPr="001C25C2">
        <w:t xml:space="preserve">The median PFS was approximately 2.0 months for the </w:t>
      </w:r>
      <w:proofErr w:type="spellStart"/>
      <w:r w:rsidRPr="001C25C2">
        <w:t>trifluridine</w:t>
      </w:r>
      <w:proofErr w:type="spellEnd"/>
      <w:r w:rsidRPr="001C25C2">
        <w:t>/</w:t>
      </w:r>
      <w:proofErr w:type="spellStart"/>
      <w:r w:rsidRPr="001C25C2">
        <w:t>tipiracil</w:t>
      </w:r>
      <w:proofErr w:type="spellEnd"/>
      <w:r w:rsidRPr="001C25C2">
        <w:t xml:space="preserve"> group versus 1.8 months for the placebo group, resulting in a 43% reduction in the hazard of disease progression (HR 0.57, 95% CI: 0.47, 0.70). However, the difference in median PFS was approximately 5 days (1.97 months </w:t>
      </w:r>
      <w:r w:rsidRPr="001C25C2">
        <w:rPr>
          <w:iCs/>
        </w:rPr>
        <w:t>vs.</w:t>
      </w:r>
      <w:r w:rsidRPr="001C25C2">
        <w:t> 1</w:t>
      </w:r>
      <w:r w:rsidR="001523B9" w:rsidRPr="001C25C2">
        <w:t>.</w:t>
      </w:r>
      <w:r w:rsidRPr="001C25C2">
        <w:t xml:space="preserve">81 months). </w:t>
      </w:r>
      <w:r w:rsidR="001523B9" w:rsidRPr="001C25C2">
        <w:t xml:space="preserve">The evaluation considered that while </w:t>
      </w:r>
      <w:r w:rsidRPr="001C25C2">
        <w:t xml:space="preserve">this difference was statistically significant, it seemed of little clinical relevance. </w:t>
      </w:r>
      <w:r w:rsidR="00E65023" w:rsidRPr="001C25C2">
        <w:t>The ESC agreed</w:t>
      </w:r>
      <w:r w:rsidR="001523B9" w:rsidRPr="001C25C2">
        <w:t xml:space="preserve"> with the evaluation</w:t>
      </w:r>
      <w:r w:rsidR="00E65023" w:rsidRPr="001C25C2">
        <w:t xml:space="preserve"> that the difference in median PFS was not clinically relevant, and noted that the majority (&gt;50%) of participants in the </w:t>
      </w:r>
      <w:proofErr w:type="spellStart"/>
      <w:r w:rsidR="00E65023" w:rsidRPr="001C25C2">
        <w:t>trifluridine</w:t>
      </w:r>
      <w:proofErr w:type="spellEnd"/>
      <w:r w:rsidR="00E65023" w:rsidRPr="001C25C2">
        <w:t>/</w:t>
      </w:r>
      <w:proofErr w:type="spellStart"/>
      <w:r w:rsidR="00E65023" w:rsidRPr="001C25C2">
        <w:t>tipiracil</w:t>
      </w:r>
      <w:proofErr w:type="spellEnd"/>
      <w:r w:rsidR="00E65023" w:rsidRPr="001C25C2">
        <w:t xml:space="preserve"> arm had progres</w:t>
      </w:r>
      <w:r w:rsidR="004E628B" w:rsidRPr="001C25C2">
        <w:t>sed within the first two</w:t>
      </w:r>
      <w:r w:rsidR="00E65023" w:rsidRPr="001C25C2">
        <w:t xml:space="preserve"> months following randomisation. </w:t>
      </w:r>
      <w:r w:rsidRPr="001C25C2">
        <w:t>The submission argued that had the radiologic assessments been performed at 4 weekly increments (instead of 8 weekly), there would be a gr</w:t>
      </w:r>
      <w:r w:rsidR="00924305" w:rsidRPr="001C25C2">
        <w:t>eater difference in median PFS</w:t>
      </w:r>
      <w:r w:rsidR="006110AD" w:rsidRPr="001C25C2">
        <w:t>. H</w:t>
      </w:r>
      <w:r w:rsidR="00E65023" w:rsidRPr="001C25C2">
        <w:t>owever</w:t>
      </w:r>
      <w:r w:rsidR="00C04911" w:rsidRPr="001C25C2">
        <w:t>,</w:t>
      </w:r>
      <w:r w:rsidR="00E65023" w:rsidRPr="001C25C2">
        <w:t xml:space="preserve"> the ESC considered that the largest plausible</w:t>
      </w:r>
      <w:r w:rsidR="00E65023" w:rsidRPr="001C25C2">
        <w:rPr>
          <w:i/>
        </w:rPr>
        <w:t xml:space="preserve"> </w:t>
      </w:r>
      <w:r w:rsidR="00E65023" w:rsidRPr="001C25C2">
        <w:t xml:space="preserve">difference in </w:t>
      </w:r>
      <w:r w:rsidR="00C04911" w:rsidRPr="001C25C2">
        <w:t xml:space="preserve">the </w:t>
      </w:r>
      <w:r w:rsidR="00E65023" w:rsidRPr="001C25C2">
        <w:t>median PFS for this scenario would be &lt;1.5 months (</w:t>
      </w:r>
      <w:r w:rsidR="004E628B" w:rsidRPr="001C25C2">
        <w:t xml:space="preserve">i.e. </w:t>
      </w:r>
      <w:r w:rsidR="00E65023" w:rsidRPr="001C25C2">
        <w:t>correlating to a low grade on the ESMO Magnitude of Clinical Benefits Scale version 1.1) and would remain not clinically relevant.</w:t>
      </w:r>
    </w:p>
    <w:p w:rsidR="00A42B8D" w:rsidRPr="001C25C2" w:rsidRDefault="005846E2" w:rsidP="003E4EF2">
      <w:pPr>
        <w:pStyle w:val="ListParagraph"/>
        <w:widowControl/>
        <w:numPr>
          <w:ilvl w:val="1"/>
          <w:numId w:val="2"/>
        </w:numPr>
      </w:pPr>
      <w:r w:rsidRPr="001C25C2">
        <w:t xml:space="preserve">The mean PFS reported in the submission in the </w:t>
      </w:r>
      <w:proofErr w:type="spellStart"/>
      <w:r w:rsidRPr="001C25C2">
        <w:t>trifluridine</w:t>
      </w:r>
      <w:proofErr w:type="spellEnd"/>
      <w:r w:rsidRPr="001C25C2">
        <w:t>/</w:t>
      </w:r>
      <w:proofErr w:type="spellStart"/>
      <w:r w:rsidRPr="001C25C2">
        <w:t>tipiracil</w:t>
      </w:r>
      <w:proofErr w:type="spellEnd"/>
      <w:r w:rsidRPr="001C25C2">
        <w:t xml:space="preserve"> arm was 3.6</w:t>
      </w:r>
      <w:r w:rsidR="00B55C9E" w:rsidRPr="001C25C2">
        <w:t> </w:t>
      </w:r>
      <w:r w:rsidRPr="001C25C2">
        <w:t>months (95% CI: 3.2, 4.0) and 2.4 months (95% CI: 2.0, 3.2) in the placebo arm.</w:t>
      </w:r>
    </w:p>
    <w:p w:rsidR="00A42B8D" w:rsidRPr="001C25C2" w:rsidRDefault="005846E2" w:rsidP="003E4EF2">
      <w:pPr>
        <w:pStyle w:val="ListParagraph"/>
        <w:widowControl/>
        <w:numPr>
          <w:ilvl w:val="1"/>
          <w:numId w:val="2"/>
        </w:numPr>
      </w:pPr>
      <w:r w:rsidRPr="001C25C2">
        <w:t>The submission argued that mean survival was more appropriate outcome than improvement in median survival because the mean survival reflects the overall improvement in survival rather than the difference in survival at a single point (when 50% of patients have died</w:t>
      </w:r>
      <w:r w:rsidR="00B3234A" w:rsidRPr="001C25C2">
        <w:t xml:space="preserve"> or progressed</w:t>
      </w:r>
      <w:r w:rsidRPr="001C25C2">
        <w:t xml:space="preserve">). In the previous consideration of </w:t>
      </w:r>
      <w:proofErr w:type="spellStart"/>
      <w:r w:rsidRPr="001C25C2">
        <w:t>trifluridine</w:t>
      </w:r>
      <w:proofErr w:type="spellEnd"/>
      <w:r w:rsidRPr="001C25C2">
        <w:t>/</w:t>
      </w:r>
      <w:proofErr w:type="spellStart"/>
      <w:r w:rsidRPr="001C25C2">
        <w:t>tipiracil</w:t>
      </w:r>
      <w:proofErr w:type="spellEnd"/>
      <w:r w:rsidRPr="001C25C2">
        <w:t xml:space="preserve"> for </w:t>
      </w:r>
      <w:proofErr w:type="spellStart"/>
      <w:r w:rsidRPr="001C25C2">
        <w:t>mCRC</w:t>
      </w:r>
      <w:proofErr w:type="spellEnd"/>
      <w:r w:rsidRPr="001C25C2">
        <w:t xml:space="preserve">, the PBAC agreed “that the mean increase in OS is informative because at the end of the trial follow-up period most patients had died </w:t>
      </w:r>
      <w:r w:rsidRPr="001C25C2">
        <w:lastRenderedPageBreak/>
        <w:t xml:space="preserve">(87% of patients randomised to </w:t>
      </w:r>
      <w:proofErr w:type="spellStart"/>
      <w:r w:rsidRPr="001C25C2">
        <w:t>trifluridine</w:t>
      </w:r>
      <w:proofErr w:type="spellEnd"/>
      <w:r w:rsidRPr="001C25C2">
        <w:t>/</w:t>
      </w:r>
      <w:proofErr w:type="spellStart"/>
      <w:r w:rsidRPr="001C25C2">
        <w:t>tipiracil</w:t>
      </w:r>
      <w:proofErr w:type="spellEnd"/>
      <w:r w:rsidRPr="001C25C2">
        <w:t xml:space="preserve"> and 94% of patients randomised to placebo) and hence the survival data were near complete” (paragraph 7.5, </w:t>
      </w:r>
      <w:proofErr w:type="spellStart"/>
      <w:r w:rsidRPr="001C25C2">
        <w:t>trifluridine</w:t>
      </w:r>
      <w:proofErr w:type="spellEnd"/>
      <w:r w:rsidRPr="001C25C2">
        <w:t>/</w:t>
      </w:r>
      <w:proofErr w:type="spellStart"/>
      <w:r w:rsidRPr="001C25C2">
        <w:t>tipiracil</w:t>
      </w:r>
      <w:proofErr w:type="spellEnd"/>
      <w:r w:rsidRPr="001C25C2">
        <w:t xml:space="preserve"> </w:t>
      </w:r>
      <w:r w:rsidR="00D2749E">
        <w:t>Public Summary Document (</w:t>
      </w:r>
      <w:r w:rsidRPr="001C25C2">
        <w:t>PSD</w:t>
      </w:r>
      <w:r w:rsidR="00D2749E">
        <w:t>)</w:t>
      </w:r>
      <w:r w:rsidRPr="001C25C2">
        <w:t xml:space="preserve">, November 2016 PBAC meeting). As a result, the PBAC accepted the use of the mean OS and mean PFS in the economic evaluation for </w:t>
      </w:r>
      <w:proofErr w:type="spellStart"/>
      <w:r w:rsidRPr="001C25C2">
        <w:t>trifluridine</w:t>
      </w:r>
      <w:proofErr w:type="spellEnd"/>
      <w:r w:rsidRPr="001C25C2">
        <w:t>/</w:t>
      </w:r>
      <w:proofErr w:type="spellStart"/>
      <w:r w:rsidR="008D2A17" w:rsidRPr="001C25C2">
        <w:t>tipiracil</w:t>
      </w:r>
      <w:proofErr w:type="spellEnd"/>
      <w:r w:rsidR="00924305" w:rsidRPr="001C25C2">
        <w:t xml:space="preserve"> for </w:t>
      </w:r>
      <w:proofErr w:type="spellStart"/>
      <w:r w:rsidR="00924305" w:rsidRPr="001C25C2">
        <w:t>mCRC</w:t>
      </w:r>
      <w:proofErr w:type="spellEnd"/>
      <w:r w:rsidR="00924305" w:rsidRPr="001C25C2">
        <w:t>.</w:t>
      </w:r>
    </w:p>
    <w:p w:rsidR="00A42B8D" w:rsidRPr="001C25C2" w:rsidRDefault="005846E2" w:rsidP="00121AB1">
      <w:pPr>
        <w:keepNext/>
        <w:widowControl/>
        <w:spacing w:after="160"/>
        <w:rPr>
          <w:u w:val="single"/>
        </w:rPr>
      </w:pPr>
      <w:r w:rsidRPr="001C25C2">
        <w:rPr>
          <w:u w:val="single"/>
        </w:rPr>
        <w:t xml:space="preserve">Secondary outcome: </w:t>
      </w:r>
      <w:proofErr w:type="spellStart"/>
      <w:r w:rsidRPr="001C25C2">
        <w:rPr>
          <w:u w:val="single"/>
        </w:rPr>
        <w:t>HRQoL</w:t>
      </w:r>
      <w:proofErr w:type="spellEnd"/>
    </w:p>
    <w:p w:rsidR="00B23718" w:rsidRPr="001C25C2" w:rsidRDefault="005846E2" w:rsidP="003E4EF2">
      <w:pPr>
        <w:pStyle w:val="ListParagraph"/>
        <w:widowControl/>
        <w:numPr>
          <w:ilvl w:val="1"/>
          <w:numId w:val="2"/>
        </w:numPr>
      </w:pPr>
      <w:r w:rsidRPr="001C25C2">
        <w:t xml:space="preserve">The detailed </w:t>
      </w:r>
      <w:proofErr w:type="spellStart"/>
      <w:r w:rsidRPr="001C25C2">
        <w:t>HRQoL</w:t>
      </w:r>
      <w:proofErr w:type="spellEnd"/>
      <w:r w:rsidRPr="001C25C2">
        <w:t xml:space="preserve"> results were not reported in the submission. </w:t>
      </w:r>
      <w:proofErr w:type="spellStart"/>
      <w:r w:rsidRPr="001C25C2">
        <w:t>HRQoL</w:t>
      </w:r>
      <w:proofErr w:type="spellEnd"/>
      <w:r w:rsidRPr="001C25C2">
        <w:t xml:space="preserve"> was measured using European Organisation for Research and Treatment of Cancer Quality of Life Questionnaire-Core 30 (EORTC QLC-C30). </w:t>
      </w:r>
      <w:r w:rsidRPr="001C25C2">
        <w:rPr>
          <w:szCs w:val="24"/>
        </w:rPr>
        <w:t>It was balanced between the groups at baseline and remained stable in both treatment groups with no clinically relevant changes from baseline.</w:t>
      </w:r>
      <w:r w:rsidR="00E65023" w:rsidRPr="001C25C2">
        <w:rPr>
          <w:szCs w:val="24"/>
        </w:rPr>
        <w:t xml:space="preserve"> The ESC noted that there was no evidence that </w:t>
      </w:r>
      <w:proofErr w:type="spellStart"/>
      <w:r w:rsidR="00E65023" w:rsidRPr="001C25C2">
        <w:rPr>
          <w:szCs w:val="24"/>
        </w:rPr>
        <w:t>trifluridine</w:t>
      </w:r>
      <w:proofErr w:type="spellEnd"/>
      <w:r w:rsidR="00E65023" w:rsidRPr="001C25C2">
        <w:rPr>
          <w:szCs w:val="24"/>
        </w:rPr>
        <w:t>/</w:t>
      </w:r>
      <w:proofErr w:type="spellStart"/>
      <w:r w:rsidR="00E65023" w:rsidRPr="001C25C2">
        <w:rPr>
          <w:szCs w:val="24"/>
        </w:rPr>
        <w:t>tipiracil</w:t>
      </w:r>
      <w:proofErr w:type="spellEnd"/>
      <w:r w:rsidR="00E65023" w:rsidRPr="001C25C2">
        <w:rPr>
          <w:szCs w:val="24"/>
        </w:rPr>
        <w:t xml:space="preserve"> improved </w:t>
      </w:r>
      <w:proofErr w:type="spellStart"/>
      <w:r w:rsidR="00E65023" w:rsidRPr="001C25C2">
        <w:rPr>
          <w:szCs w:val="24"/>
        </w:rPr>
        <w:t>HRQoL</w:t>
      </w:r>
      <w:proofErr w:type="spellEnd"/>
      <w:r w:rsidR="008C0A83" w:rsidRPr="001C25C2">
        <w:rPr>
          <w:szCs w:val="24"/>
        </w:rPr>
        <w:t>, as assessed by the EORTC QL</w:t>
      </w:r>
      <w:r w:rsidR="008466FD" w:rsidRPr="001C25C2">
        <w:rPr>
          <w:szCs w:val="24"/>
        </w:rPr>
        <w:t xml:space="preserve">Q-C30. </w:t>
      </w:r>
    </w:p>
    <w:p w:rsidR="00A42B8D" w:rsidRPr="001C25C2" w:rsidRDefault="0011441A" w:rsidP="003E4EF2">
      <w:pPr>
        <w:pStyle w:val="ListParagraph"/>
        <w:widowControl/>
        <w:numPr>
          <w:ilvl w:val="1"/>
          <w:numId w:val="2"/>
        </w:numPr>
      </w:pPr>
      <w:r w:rsidRPr="001C25C2">
        <w:t xml:space="preserve">The Pre-Sub-Committee Response (PSCR) acknowledged that </w:t>
      </w:r>
      <w:proofErr w:type="spellStart"/>
      <w:r w:rsidRPr="001C25C2">
        <w:t>trifluridine</w:t>
      </w:r>
      <w:proofErr w:type="spellEnd"/>
      <w:r w:rsidRPr="001C25C2">
        <w:t>/</w:t>
      </w:r>
      <w:proofErr w:type="spellStart"/>
      <w:r w:rsidRPr="001C25C2">
        <w:t>tipiracil</w:t>
      </w:r>
      <w:proofErr w:type="spellEnd"/>
      <w:r w:rsidRPr="001C25C2">
        <w:t xml:space="preserve"> did not improve quality of life for patients with </w:t>
      </w:r>
      <w:proofErr w:type="spellStart"/>
      <w:r w:rsidRPr="001C25C2">
        <w:t>mG</w:t>
      </w:r>
      <w:proofErr w:type="spellEnd"/>
      <w:r w:rsidR="00CD3271" w:rsidRPr="001C25C2">
        <w:t>/GEJ adenocarcinoma</w:t>
      </w:r>
      <w:r w:rsidRPr="001C25C2">
        <w:t xml:space="preserve"> in equivalent health states. The objective of treatment with </w:t>
      </w:r>
      <w:proofErr w:type="spellStart"/>
      <w:r w:rsidRPr="001C25C2">
        <w:t>trifluridine</w:t>
      </w:r>
      <w:proofErr w:type="spellEnd"/>
      <w:r w:rsidRPr="001C25C2">
        <w:t>/</w:t>
      </w:r>
      <w:proofErr w:type="spellStart"/>
      <w:r w:rsidRPr="001C25C2">
        <w:t>tipiracil</w:t>
      </w:r>
      <w:proofErr w:type="spellEnd"/>
      <w:r w:rsidRPr="001C25C2">
        <w:t xml:space="preserve"> was to improve quality-adjusted survival (i.e. improve both mean PFS and mean OS without causing substantial reduction in </w:t>
      </w:r>
      <w:proofErr w:type="spellStart"/>
      <w:r w:rsidRPr="001C25C2">
        <w:t>QoL</w:t>
      </w:r>
      <w:proofErr w:type="spellEnd"/>
      <w:r w:rsidRPr="001C25C2">
        <w:t>).</w:t>
      </w:r>
      <w:r w:rsidR="00CD3271" w:rsidRPr="001C25C2">
        <w:t xml:space="preserve"> </w:t>
      </w:r>
      <w:r w:rsidR="00B23718" w:rsidRPr="001C25C2">
        <w:rPr>
          <w:szCs w:val="24"/>
        </w:rPr>
        <w:t>However</w:t>
      </w:r>
      <w:r w:rsidR="008466FD" w:rsidRPr="001C25C2">
        <w:rPr>
          <w:szCs w:val="24"/>
        </w:rPr>
        <w:t>, the ESC was</w:t>
      </w:r>
      <w:r w:rsidR="008C0A83" w:rsidRPr="001C25C2">
        <w:rPr>
          <w:szCs w:val="24"/>
        </w:rPr>
        <w:t xml:space="preserve"> concerned that the detrimental effect of toxicity of </w:t>
      </w:r>
      <w:proofErr w:type="spellStart"/>
      <w:r w:rsidR="008C0A83" w:rsidRPr="001C25C2">
        <w:rPr>
          <w:szCs w:val="24"/>
        </w:rPr>
        <w:t>trifluridine</w:t>
      </w:r>
      <w:proofErr w:type="spellEnd"/>
      <w:r w:rsidR="008C0A83" w:rsidRPr="001C25C2">
        <w:rPr>
          <w:szCs w:val="24"/>
        </w:rPr>
        <w:t>/</w:t>
      </w:r>
      <w:proofErr w:type="spellStart"/>
      <w:r w:rsidR="008C0A83" w:rsidRPr="001C25C2">
        <w:rPr>
          <w:szCs w:val="24"/>
        </w:rPr>
        <w:t>tipiracil</w:t>
      </w:r>
      <w:proofErr w:type="spellEnd"/>
      <w:r w:rsidR="008C0A83" w:rsidRPr="001C25C2">
        <w:rPr>
          <w:szCs w:val="24"/>
        </w:rPr>
        <w:t xml:space="preserve"> on </w:t>
      </w:r>
      <w:proofErr w:type="spellStart"/>
      <w:r w:rsidR="008C0A83" w:rsidRPr="001C25C2">
        <w:rPr>
          <w:szCs w:val="24"/>
        </w:rPr>
        <w:t>HRQoL</w:t>
      </w:r>
      <w:proofErr w:type="spellEnd"/>
      <w:r w:rsidR="008C0A83" w:rsidRPr="001C25C2">
        <w:rPr>
          <w:szCs w:val="24"/>
        </w:rPr>
        <w:t xml:space="preserve"> may have been underestimated, given that the EORTC QLQ-C30 was administered </w:t>
      </w:r>
      <w:r w:rsidR="0075296B" w:rsidRPr="001C25C2">
        <w:rPr>
          <w:szCs w:val="24"/>
        </w:rPr>
        <w:t>prior to dose administration on Day 1 in each of the 28 day</w:t>
      </w:r>
      <w:r w:rsidR="008C0A83" w:rsidRPr="001C25C2">
        <w:rPr>
          <w:szCs w:val="24"/>
        </w:rPr>
        <w:t xml:space="preserve"> cycle of study treatment</w:t>
      </w:r>
      <w:r w:rsidR="004E628B" w:rsidRPr="001C25C2">
        <w:rPr>
          <w:szCs w:val="24"/>
        </w:rPr>
        <w:t>,</w:t>
      </w:r>
      <w:r w:rsidR="00375908" w:rsidRPr="001C25C2">
        <w:rPr>
          <w:szCs w:val="24"/>
        </w:rPr>
        <w:t xml:space="preserve"> </w:t>
      </w:r>
      <w:r w:rsidR="005C1116" w:rsidRPr="001C25C2">
        <w:rPr>
          <w:szCs w:val="24"/>
        </w:rPr>
        <w:t xml:space="preserve">and </w:t>
      </w:r>
      <w:r w:rsidR="00653091" w:rsidRPr="001C25C2">
        <w:rPr>
          <w:szCs w:val="24"/>
        </w:rPr>
        <w:t xml:space="preserve">relates </w:t>
      </w:r>
      <w:r w:rsidR="005C1116" w:rsidRPr="001C25C2">
        <w:rPr>
          <w:szCs w:val="24"/>
        </w:rPr>
        <w:t xml:space="preserve">to </w:t>
      </w:r>
      <w:proofErr w:type="spellStart"/>
      <w:r w:rsidR="00375908" w:rsidRPr="001C25C2">
        <w:rPr>
          <w:szCs w:val="24"/>
        </w:rPr>
        <w:t>HR</w:t>
      </w:r>
      <w:r w:rsidR="005C1116" w:rsidRPr="001C25C2">
        <w:rPr>
          <w:szCs w:val="24"/>
        </w:rPr>
        <w:t>QoL</w:t>
      </w:r>
      <w:proofErr w:type="spellEnd"/>
      <w:r w:rsidR="005C1116" w:rsidRPr="001C25C2">
        <w:rPr>
          <w:szCs w:val="24"/>
        </w:rPr>
        <w:t xml:space="preserve"> over the previous week (i.e.</w:t>
      </w:r>
      <w:r w:rsidR="00375908" w:rsidRPr="001C25C2">
        <w:rPr>
          <w:szCs w:val="24"/>
        </w:rPr>
        <w:t xml:space="preserve"> Days 21-28 of the previous cycle when the drug is not administered, whereas </w:t>
      </w:r>
      <w:proofErr w:type="spellStart"/>
      <w:r w:rsidR="00375908" w:rsidRPr="001C25C2">
        <w:rPr>
          <w:szCs w:val="24"/>
        </w:rPr>
        <w:t>trifluridine</w:t>
      </w:r>
      <w:proofErr w:type="spellEnd"/>
      <w:r w:rsidR="00375908" w:rsidRPr="001C25C2">
        <w:rPr>
          <w:szCs w:val="24"/>
        </w:rPr>
        <w:t>/</w:t>
      </w:r>
      <w:proofErr w:type="spellStart"/>
      <w:r w:rsidR="00375908" w:rsidRPr="001C25C2">
        <w:rPr>
          <w:szCs w:val="24"/>
        </w:rPr>
        <w:t>tipiracil</w:t>
      </w:r>
      <w:proofErr w:type="spellEnd"/>
      <w:r w:rsidR="00375908" w:rsidRPr="001C25C2">
        <w:rPr>
          <w:szCs w:val="24"/>
        </w:rPr>
        <w:t xml:space="preserve"> is administered on Day</w:t>
      </w:r>
      <w:r w:rsidR="00653091" w:rsidRPr="001C25C2">
        <w:rPr>
          <w:szCs w:val="24"/>
        </w:rPr>
        <w:t>s</w:t>
      </w:r>
      <w:r w:rsidR="00375908" w:rsidRPr="001C25C2">
        <w:rPr>
          <w:szCs w:val="24"/>
        </w:rPr>
        <w:t xml:space="preserve"> 1-5 and 8-12 of each cycle</w:t>
      </w:r>
      <w:r w:rsidR="005C1116" w:rsidRPr="001C25C2">
        <w:rPr>
          <w:szCs w:val="24"/>
        </w:rPr>
        <w:t>)</w:t>
      </w:r>
      <w:r w:rsidR="00375908" w:rsidRPr="001C25C2">
        <w:rPr>
          <w:szCs w:val="24"/>
        </w:rPr>
        <w:t>.</w:t>
      </w:r>
    </w:p>
    <w:p w:rsidR="00A42B8D" w:rsidRPr="001C25C2" w:rsidRDefault="005846E2" w:rsidP="003E4EF2">
      <w:pPr>
        <w:pStyle w:val="ListParagraph"/>
        <w:widowControl/>
        <w:numPr>
          <w:ilvl w:val="1"/>
          <w:numId w:val="2"/>
        </w:numPr>
        <w:spacing w:after="120"/>
      </w:pPr>
      <w:r w:rsidRPr="001C25C2">
        <w:t>The C</w:t>
      </w:r>
      <w:r w:rsidR="00A36062" w:rsidRPr="001C25C2">
        <w:t xml:space="preserve">linical </w:t>
      </w:r>
      <w:r w:rsidRPr="001C25C2">
        <w:t>S</w:t>
      </w:r>
      <w:r w:rsidR="00A36062" w:rsidRPr="001C25C2">
        <w:t xml:space="preserve">tudy </w:t>
      </w:r>
      <w:r w:rsidRPr="001C25C2">
        <w:t>R</w:t>
      </w:r>
      <w:r w:rsidR="00A36062" w:rsidRPr="001C25C2">
        <w:t>eport (CSR) for the TAGS trial</w:t>
      </w:r>
      <w:r w:rsidRPr="001C25C2">
        <w:t xml:space="preserve"> reported an overall compliance rate of 84% for the QLQ-C30 questionnaire. However, the TGA Clinical Evaluation Report raised concerns over the meaningful</w:t>
      </w:r>
      <w:r w:rsidR="00263389" w:rsidRPr="001C25C2">
        <w:t>ness of the</w:t>
      </w:r>
      <w:r w:rsidRPr="001C25C2">
        <w:t xml:space="preserve"> assessment of the comparative quality of life and noted that “Compliance is difficult to assess for subsequent cycles as the CSR reports only the proportion that completed the questionnaire of the whole population rather than as a proportion of those that remained on treatment (who were eligible for the questionnaire)”. </w:t>
      </w:r>
      <w:r w:rsidRPr="001C25C2">
        <w:rPr>
          <w:szCs w:val="24"/>
        </w:rPr>
        <w:t xml:space="preserve">Approximately 16% non-response rate at each measurement point raised concerns on the validity of the quality of life data, as </w:t>
      </w:r>
      <w:r w:rsidRPr="001C25C2">
        <w:t xml:space="preserve">patients who responded to the </w:t>
      </w:r>
      <w:proofErr w:type="spellStart"/>
      <w:r w:rsidRPr="001C25C2">
        <w:t>HRQoL</w:t>
      </w:r>
      <w:proofErr w:type="spellEnd"/>
      <w:r w:rsidRPr="001C25C2">
        <w:t xml:space="preserve"> questionnaire may not be representative of all patients in the trial and may represent a he</w:t>
      </w:r>
      <w:r w:rsidR="00924305" w:rsidRPr="001C25C2">
        <w:t>althier cohort of the patients.</w:t>
      </w:r>
    </w:p>
    <w:p w:rsidR="00A42B8D" w:rsidRPr="001C25C2" w:rsidRDefault="009A4384" w:rsidP="00121AB1">
      <w:pPr>
        <w:keepNext/>
        <w:widowControl/>
        <w:spacing w:after="160"/>
        <w:rPr>
          <w:rStyle w:val="CommentReference"/>
          <w:rFonts w:ascii="Calibri" w:hAnsi="Calibri"/>
          <w:b w:val="0"/>
          <w:sz w:val="24"/>
          <w:szCs w:val="22"/>
          <w:u w:val="single"/>
        </w:rPr>
      </w:pPr>
      <w:r w:rsidRPr="001C25C2">
        <w:rPr>
          <w:u w:val="single"/>
        </w:rPr>
        <w:t>Secondary outcome: Response rate</w:t>
      </w:r>
    </w:p>
    <w:p w:rsidR="008466FD" w:rsidRPr="001C25C2" w:rsidRDefault="00DA0A0A" w:rsidP="00DA0A0A">
      <w:pPr>
        <w:pStyle w:val="ListParagraph"/>
        <w:widowControl/>
        <w:numPr>
          <w:ilvl w:val="1"/>
          <w:numId w:val="2"/>
        </w:numPr>
        <w:spacing w:after="120"/>
        <w:rPr>
          <w:b/>
          <w:sz w:val="28"/>
        </w:rPr>
      </w:pPr>
      <w:bookmarkStart w:id="16" w:name="_Toc18935148"/>
      <w:r w:rsidRPr="001C25C2">
        <w:t>The ESC no</w:t>
      </w:r>
      <w:r w:rsidR="00A44653" w:rsidRPr="001C25C2">
        <w:t xml:space="preserve">ted that the objective </w:t>
      </w:r>
      <w:r w:rsidR="00971992" w:rsidRPr="001C25C2">
        <w:t xml:space="preserve">tumour </w:t>
      </w:r>
      <w:r w:rsidR="00A44653" w:rsidRPr="001C25C2">
        <w:t xml:space="preserve">response rate was similar between patients receiving </w:t>
      </w:r>
      <w:proofErr w:type="spellStart"/>
      <w:r w:rsidR="00A44653" w:rsidRPr="001C25C2">
        <w:t>trifluridine</w:t>
      </w:r>
      <w:proofErr w:type="spellEnd"/>
      <w:r w:rsidR="00A44653" w:rsidRPr="001C25C2">
        <w:t>/</w:t>
      </w:r>
      <w:proofErr w:type="spellStart"/>
      <w:r w:rsidR="00A44653" w:rsidRPr="001C25C2">
        <w:t>tipiracil</w:t>
      </w:r>
      <w:proofErr w:type="spellEnd"/>
      <w:r w:rsidR="00A44653" w:rsidRPr="001C25C2">
        <w:t xml:space="preserve"> and those receiving placebo (4% vs. 2%), but the disease control rate (</w:t>
      </w:r>
      <w:r w:rsidR="00971992" w:rsidRPr="001C25C2">
        <w:t xml:space="preserve">i.e. </w:t>
      </w:r>
      <w:r w:rsidR="00A44653" w:rsidRPr="001C25C2">
        <w:t xml:space="preserve">proportion of patients with a best overall response of complete/partial response, or stabilised disease) was significantly higher in the </w:t>
      </w:r>
      <w:proofErr w:type="spellStart"/>
      <w:r w:rsidR="00A44653" w:rsidRPr="001C25C2">
        <w:t>trifluridin</w:t>
      </w:r>
      <w:r w:rsidR="00121AB1" w:rsidRPr="001C25C2">
        <w:t>e</w:t>
      </w:r>
      <w:proofErr w:type="spellEnd"/>
      <w:r w:rsidR="00121AB1" w:rsidRPr="001C25C2">
        <w:t>/</w:t>
      </w:r>
      <w:proofErr w:type="spellStart"/>
      <w:r w:rsidR="00121AB1" w:rsidRPr="001C25C2">
        <w:t>tipiracil</w:t>
      </w:r>
      <w:proofErr w:type="spellEnd"/>
      <w:r w:rsidR="00121AB1" w:rsidRPr="001C25C2">
        <w:t xml:space="preserve"> treatment group, compared with placebo (44% vs.14%).</w:t>
      </w:r>
    </w:p>
    <w:p w:rsidR="00A42B8D" w:rsidRPr="001C25C2" w:rsidRDefault="005846E2">
      <w:pPr>
        <w:pStyle w:val="Heading2"/>
      </w:pPr>
      <w:r w:rsidRPr="001C25C2">
        <w:lastRenderedPageBreak/>
        <w:t>Comparative harms</w:t>
      </w:r>
      <w:bookmarkEnd w:id="16"/>
    </w:p>
    <w:p w:rsidR="00A42B8D" w:rsidRPr="001C25C2" w:rsidRDefault="005846E2" w:rsidP="003E4EF2">
      <w:pPr>
        <w:pStyle w:val="ListParagraph"/>
        <w:widowControl/>
        <w:numPr>
          <w:ilvl w:val="1"/>
          <w:numId w:val="2"/>
        </w:numPr>
      </w:pPr>
      <w:r w:rsidRPr="001C25C2">
        <w:rPr>
          <w:rFonts w:cs="Calibri"/>
        </w:rPr>
        <w:t xml:space="preserve">A summary of the adverse events (AEs) reported in the TAGS trial are presented below. </w:t>
      </w:r>
      <w:r w:rsidR="00375908" w:rsidRPr="001C25C2">
        <w:rPr>
          <w:rFonts w:cs="Calibri"/>
        </w:rPr>
        <w:t xml:space="preserve">The ESC noted that </w:t>
      </w:r>
      <w:r w:rsidRPr="001C25C2">
        <w:rPr>
          <w:rFonts w:cs="Calibri"/>
        </w:rPr>
        <w:t xml:space="preserve"> the incidence of </w:t>
      </w:r>
      <w:r w:rsidR="00375908" w:rsidRPr="001C25C2">
        <w:rPr>
          <w:rFonts w:cs="Calibri"/>
        </w:rPr>
        <w:t>‘</w:t>
      </w:r>
      <w:r w:rsidRPr="001C25C2">
        <w:rPr>
          <w:rFonts w:cs="Calibri"/>
        </w:rPr>
        <w:t>any adverse event</w:t>
      </w:r>
      <w:r w:rsidR="00375908" w:rsidRPr="001C25C2">
        <w:rPr>
          <w:rFonts w:cs="Calibri"/>
        </w:rPr>
        <w:t xml:space="preserve">’ was almost universal in both </w:t>
      </w:r>
      <w:r w:rsidRPr="001C25C2">
        <w:rPr>
          <w:rFonts w:cs="Calibri"/>
        </w:rPr>
        <w:t xml:space="preserve"> treatment groups, </w:t>
      </w:r>
      <w:r w:rsidR="00375908" w:rsidRPr="001C25C2">
        <w:rPr>
          <w:rFonts w:cs="Calibri"/>
        </w:rPr>
        <w:t xml:space="preserve">but that </w:t>
      </w:r>
      <w:r w:rsidRPr="001C25C2">
        <w:rPr>
          <w:rFonts w:cs="Calibri"/>
        </w:rPr>
        <w:t xml:space="preserve">grade 3 or worse </w:t>
      </w:r>
      <w:r w:rsidR="001B1F38" w:rsidRPr="001C25C2">
        <w:rPr>
          <w:rFonts w:cs="Calibri"/>
        </w:rPr>
        <w:t xml:space="preserve">AEs </w:t>
      </w:r>
      <w:r w:rsidRPr="001C25C2">
        <w:rPr>
          <w:rFonts w:cs="Calibri"/>
        </w:rPr>
        <w:t xml:space="preserve">and treatment-emergent </w:t>
      </w:r>
      <w:r w:rsidR="001B1F38" w:rsidRPr="001C25C2">
        <w:rPr>
          <w:rFonts w:cs="Calibri"/>
        </w:rPr>
        <w:t xml:space="preserve">AEs </w:t>
      </w:r>
      <w:r w:rsidRPr="001C25C2">
        <w:rPr>
          <w:rFonts w:cs="Calibri"/>
        </w:rPr>
        <w:t xml:space="preserve">(TEAEs) leading to dose modifications were </w:t>
      </w:r>
      <w:r w:rsidR="00375908" w:rsidRPr="001C25C2">
        <w:rPr>
          <w:rFonts w:cs="Calibri"/>
        </w:rPr>
        <w:t>substantially more</w:t>
      </w:r>
      <w:r w:rsidRPr="001C25C2">
        <w:rPr>
          <w:rFonts w:cs="Calibri"/>
        </w:rPr>
        <w:t xml:space="preserve"> frequent with </w:t>
      </w:r>
      <w:proofErr w:type="spellStart"/>
      <w:r w:rsidRPr="001C25C2">
        <w:rPr>
          <w:rFonts w:cs="Calibri"/>
        </w:rPr>
        <w:t>trifluridine</w:t>
      </w:r>
      <w:proofErr w:type="spellEnd"/>
      <w:r w:rsidRPr="001C25C2">
        <w:rPr>
          <w:rFonts w:cs="Calibri"/>
        </w:rPr>
        <w:t>/</w:t>
      </w:r>
      <w:proofErr w:type="spellStart"/>
      <w:r w:rsidRPr="001C25C2">
        <w:rPr>
          <w:rFonts w:cs="Calibri"/>
        </w:rPr>
        <w:t>tipiracil</w:t>
      </w:r>
      <w:proofErr w:type="spellEnd"/>
      <w:r w:rsidRPr="001C25C2">
        <w:rPr>
          <w:rFonts w:cs="Calibri"/>
        </w:rPr>
        <w:t xml:space="preserve"> than placebo (BSC). Table 6 summarises the key AEs reported in the TAGS trial.</w:t>
      </w:r>
    </w:p>
    <w:p w:rsidR="00A42B8D" w:rsidRPr="001C25C2" w:rsidRDefault="005846E2">
      <w:pPr>
        <w:keepNext/>
        <w:keepLines/>
        <w:rPr>
          <w:rStyle w:val="CommentReference"/>
        </w:rPr>
      </w:pPr>
      <w:r w:rsidRPr="001C25C2">
        <w:rPr>
          <w:rStyle w:val="CommentReference"/>
        </w:rPr>
        <w:t>Table 6:  Summary of key adverse events in the TAGS trial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250"/>
        <w:gridCol w:w="2223"/>
        <w:gridCol w:w="2216"/>
      </w:tblGrid>
      <w:tr w:rsidR="00A42B8D" w:rsidRPr="001C25C2">
        <w:trPr>
          <w:tblHeader/>
        </w:trPr>
        <w:tc>
          <w:tcPr>
            <w:tcW w:w="2328" w:type="dxa"/>
            <w:vAlign w:val="center"/>
          </w:tcPr>
          <w:p w:rsidR="00A42B8D" w:rsidRPr="001C25C2" w:rsidRDefault="005846E2">
            <w:pPr>
              <w:pStyle w:val="Tabletext"/>
              <w:rPr>
                <w:b/>
              </w:rPr>
            </w:pPr>
            <w:r w:rsidRPr="001C25C2">
              <w:rPr>
                <w:b/>
              </w:rPr>
              <w:t xml:space="preserve">TAGS trial </w:t>
            </w:r>
          </w:p>
        </w:tc>
        <w:tc>
          <w:tcPr>
            <w:tcW w:w="2250" w:type="dxa"/>
            <w:vAlign w:val="center"/>
          </w:tcPr>
          <w:p w:rsidR="00A42B8D" w:rsidRPr="001C25C2" w:rsidRDefault="005846E2">
            <w:pPr>
              <w:pStyle w:val="Tabletext"/>
              <w:jc w:val="center"/>
              <w:rPr>
                <w:b/>
                <w:bCs/>
              </w:rPr>
            </w:pPr>
            <w:proofErr w:type="spellStart"/>
            <w:r w:rsidRPr="001C25C2">
              <w:rPr>
                <w:b/>
                <w:bCs/>
              </w:rPr>
              <w:t>Trifluridine</w:t>
            </w:r>
            <w:proofErr w:type="spellEnd"/>
            <w:r w:rsidRPr="001C25C2">
              <w:rPr>
                <w:b/>
                <w:bCs/>
              </w:rPr>
              <w:t>/</w:t>
            </w:r>
            <w:proofErr w:type="spellStart"/>
            <w:r w:rsidRPr="001C25C2">
              <w:rPr>
                <w:b/>
                <w:bCs/>
              </w:rPr>
              <w:t>tipiracil</w:t>
            </w:r>
            <w:proofErr w:type="spellEnd"/>
          </w:p>
          <w:p w:rsidR="00A42B8D" w:rsidRPr="001C25C2" w:rsidRDefault="005846E2">
            <w:pPr>
              <w:pStyle w:val="Tabletext"/>
              <w:jc w:val="center"/>
              <w:rPr>
                <w:b/>
              </w:rPr>
            </w:pPr>
            <w:r w:rsidRPr="001C25C2">
              <w:rPr>
                <w:b/>
                <w:bCs/>
              </w:rPr>
              <w:t>(n = 335)</w:t>
            </w:r>
          </w:p>
        </w:tc>
        <w:tc>
          <w:tcPr>
            <w:tcW w:w="2223" w:type="dxa"/>
            <w:vAlign w:val="center"/>
          </w:tcPr>
          <w:p w:rsidR="00A42B8D" w:rsidRPr="001C25C2" w:rsidRDefault="005846E2">
            <w:pPr>
              <w:pStyle w:val="Tabletext"/>
              <w:jc w:val="center"/>
              <w:rPr>
                <w:b/>
                <w:bCs/>
              </w:rPr>
            </w:pPr>
            <w:r w:rsidRPr="001C25C2">
              <w:rPr>
                <w:b/>
                <w:bCs/>
              </w:rPr>
              <w:t>Placebo</w:t>
            </w:r>
          </w:p>
          <w:p w:rsidR="00A42B8D" w:rsidRPr="001C25C2" w:rsidRDefault="005846E2">
            <w:pPr>
              <w:pStyle w:val="Tabletext"/>
              <w:jc w:val="center"/>
              <w:rPr>
                <w:b/>
              </w:rPr>
            </w:pPr>
            <w:r w:rsidRPr="001C25C2">
              <w:rPr>
                <w:b/>
                <w:bCs/>
              </w:rPr>
              <w:t>(n = 168)</w:t>
            </w:r>
          </w:p>
        </w:tc>
        <w:tc>
          <w:tcPr>
            <w:tcW w:w="2216" w:type="dxa"/>
            <w:vAlign w:val="center"/>
          </w:tcPr>
          <w:p w:rsidR="00A42B8D" w:rsidRPr="001C25C2" w:rsidRDefault="005846E2">
            <w:pPr>
              <w:pStyle w:val="Tabletext"/>
              <w:jc w:val="center"/>
              <w:rPr>
                <w:b/>
              </w:rPr>
            </w:pPr>
            <w:r w:rsidRPr="001C25C2">
              <w:rPr>
                <w:b/>
              </w:rPr>
              <w:t>RD (95% CI)</w:t>
            </w:r>
          </w:p>
        </w:tc>
      </w:tr>
      <w:tr w:rsidR="00A42B8D" w:rsidRPr="001C25C2">
        <w:tc>
          <w:tcPr>
            <w:tcW w:w="2328" w:type="dxa"/>
            <w:vAlign w:val="center"/>
          </w:tcPr>
          <w:p w:rsidR="00A42B8D" w:rsidRPr="001C25C2" w:rsidRDefault="005846E2">
            <w:pPr>
              <w:pStyle w:val="Tabletext"/>
            </w:pPr>
            <w:r w:rsidRPr="001C25C2">
              <w:t>Any AE, n (%)</w:t>
            </w:r>
          </w:p>
        </w:tc>
        <w:tc>
          <w:tcPr>
            <w:tcW w:w="2250" w:type="dxa"/>
            <w:vAlign w:val="center"/>
          </w:tcPr>
          <w:p w:rsidR="00A42B8D" w:rsidRPr="001C25C2" w:rsidRDefault="005846E2">
            <w:pPr>
              <w:pStyle w:val="Tabletext"/>
              <w:jc w:val="center"/>
            </w:pPr>
            <w:r w:rsidRPr="001C25C2">
              <w:t>326 (97)</w:t>
            </w:r>
          </w:p>
        </w:tc>
        <w:tc>
          <w:tcPr>
            <w:tcW w:w="2223" w:type="dxa"/>
            <w:vAlign w:val="center"/>
          </w:tcPr>
          <w:p w:rsidR="00A42B8D" w:rsidRPr="001C25C2" w:rsidRDefault="005846E2">
            <w:pPr>
              <w:pStyle w:val="Tabletext"/>
              <w:jc w:val="center"/>
            </w:pPr>
            <w:r w:rsidRPr="001C25C2">
              <w:t>157 (93)</w:t>
            </w:r>
          </w:p>
        </w:tc>
        <w:tc>
          <w:tcPr>
            <w:tcW w:w="2216" w:type="dxa"/>
            <w:vAlign w:val="center"/>
          </w:tcPr>
          <w:p w:rsidR="00A42B8D" w:rsidRPr="001C25C2" w:rsidRDefault="005846E2">
            <w:pPr>
              <w:pStyle w:val="Tabletext"/>
              <w:jc w:val="center"/>
            </w:pPr>
            <w:r w:rsidRPr="001C25C2">
              <w:t xml:space="preserve">0.04 </w:t>
            </w:r>
          </w:p>
          <w:p w:rsidR="00A42B8D" w:rsidRPr="001C25C2" w:rsidRDefault="005846E2">
            <w:pPr>
              <w:pStyle w:val="Tabletext"/>
              <w:jc w:val="center"/>
            </w:pPr>
            <w:r w:rsidRPr="001C25C2">
              <w:t>(0, 0.08)</w:t>
            </w:r>
          </w:p>
        </w:tc>
      </w:tr>
      <w:tr w:rsidR="00A42B8D" w:rsidRPr="001C25C2">
        <w:tc>
          <w:tcPr>
            <w:tcW w:w="2328" w:type="dxa"/>
            <w:vAlign w:val="center"/>
          </w:tcPr>
          <w:p w:rsidR="00A42B8D" w:rsidRPr="001C25C2" w:rsidRDefault="005846E2">
            <w:pPr>
              <w:pStyle w:val="Tabletext"/>
            </w:pPr>
            <w:r w:rsidRPr="001C25C2">
              <w:t xml:space="preserve">AE of Grade </w:t>
            </w:r>
            <w:r w:rsidRPr="001C25C2">
              <w:rPr>
                <w:u w:val="single"/>
              </w:rPr>
              <w:t>&gt;</w:t>
            </w:r>
            <w:r w:rsidRPr="001C25C2">
              <w:t xml:space="preserve"> 3, n (%)</w:t>
            </w:r>
          </w:p>
        </w:tc>
        <w:tc>
          <w:tcPr>
            <w:tcW w:w="2250" w:type="dxa"/>
            <w:vAlign w:val="center"/>
          </w:tcPr>
          <w:p w:rsidR="00A42B8D" w:rsidRPr="001C25C2" w:rsidRDefault="005846E2">
            <w:pPr>
              <w:pStyle w:val="Tabletext"/>
              <w:jc w:val="center"/>
            </w:pPr>
            <w:r w:rsidRPr="001C25C2">
              <w:t>267 (80)</w:t>
            </w:r>
          </w:p>
        </w:tc>
        <w:tc>
          <w:tcPr>
            <w:tcW w:w="2223" w:type="dxa"/>
            <w:vAlign w:val="center"/>
          </w:tcPr>
          <w:p w:rsidR="00A42B8D" w:rsidRPr="001C25C2" w:rsidRDefault="005846E2">
            <w:pPr>
              <w:pStyle w:val="Tabletext"/>
              <w:jc w:val="center"/>
            </w:pPr>
            <w:r w:rsidRPr="001C25C2">
              <w:t>97 (58)</w:t>
            </w:r>
          </w:p>
        </w:tc>
        <w:tc>
          <w:tcPr>
            <w:tcW w:w="2216" w:type="dxa"/>
            <w:vAlign w:val="center"/>
          </w:tcPr>
          <w:p w:rsidR="00A42B8D" w:rsidRPr="001C25C2" w:rsidRDefault="005846E2">
            <w:pPr>
              <w:pStyle w:val="Tabletext"/>
              <w:jc w:val="center"/>
              <w:rPr>
                <w:b/>
              </w:rPr>
            </w:pPr>
            <w:r w:rsidRPr="001C25C2">
              <w:rPr>
                <w:b/>
              </w:rPr>
              <w:t>0.22</w:t>
            </w:r>
          </w:p>
          <w:p w:rsidR="00A42B8D" w:rsidRPr="001C25C2" w:rsidRDefault="005846E2">
            <w:pPr>
              <w:pStyle w:val="Tabletext"/>
              <w:jc w:val="center"/>
            </w:pPr>
            <w:r w:rsidRPr="001C25C2">
              <w:rPr>
                <w:b/>
              </w:rPr>
              <w:t>(0.13,0.31)</w:t>
            </w:r>
          </w:p>
        </w:tc>
      </w:tr>
      <w:tr w:rsidR="00A42B8D" w:rsidRPr="001C25C2">
        <w:tc>
          <w:tcPr>
            <w:tcW w:w="2328" w:type="dxa"/>
            <w:vAlign w:val="center"/>
          </w:tcPr>
          <w:p w:rsidR="00A42B8D" w:rsidRPr="001C25C2" w:rsidRDefault="005846E2">
            <w:pPr>
              <w:pStyle w:val="Tabletext"/>
            </w:pPr>
            <w:r w:rsidRPr="001C25C2">
              <w:t>TEAEs leading to discontinuation, n (%)</w:t>
            </w:r>
          </w:p>
        </w:tc>
        <w:tc>
          <w:tcPr>
            <w:tcW w:w="2250" w:type="dxa"/>
            <w:vAlign w:val="center"/>
          </w:tcPr>
          <w:p w:rsidR="00A42B8D" w:rsidRPr="001C25C2" w:rsidRDefault="005846E2">
            <w:pPr>
              <w:pStyle w:val="Tabletext"/>
              <w:jc w:val="center"/>
            </w:pPr>
            <w:r w:rsidRPr="001C25C2">
              <w:t>43 (13)</w:t>
            </w:r>
          </w:p>
        </w:tc>
        <w:tc>
          <w:tcPr>
            <w:tcW w:w="2223" w:type="dxa"/>
            <w:vAlign w:val="center"/>
          </w:tcPr>
          <w:p w:rsidR="00A42B8D" w:rsidRPr="001C25C2" w:rsidRDefault="005846E2">
            <w:pPr>
              <w:pStyle w:val="Tabletext"/>
              <w:jc w:val="center"/>
            </w:pPr>
            <w:r w:rsidRPr="001C25C2">
              <w:t>28 (17)</w:t>
            </w:r>
          </w:p>
        </w:tc>
        <w:tc>
          <w:tcPr>
            <w:tcW w:w="2216" w:type="dxa"/>
            <w:vAlign w:val="center"/>
          </w:tcPr>
          <w:p w:rsidR="00A42B8D" w:rsidRPr="001C25C2" w:rsidRDefault="005846E2">
            <w:pPr>
              <w:pStyle w:val="Tabletext"/>
              <w:jc w:val="center"/>
            </w:pPr>
            <w:r w:rsidRPr="001C25C2">
              <w:t>-0.04</w:t>
            </w:r>
          </w:p>
          <w:p w:rsidR="00A42B8D" w:rsidRPr="001C25C2" w:rsidRDefault="005846E2">
            <w:pPr>
              <w:pStyle w:val="Tabletext"/>
              <w:jc w:val="center"/>
            </w:pPr>
            <w:r w:rsidRPr="001C25C2">
              <w:t>(-0.11, 0.03)</w:t>
            </w:r>
          </w:p>
        </w:tc>
      </w:tr>
      <w:tr w:rsidR="00A42B8D" w:rsidRPr="001C25C2">
        <w:tc>
          <w:tcPr>
            <w:tcW w:w="2328" w:type="dxa"/>
            <w:vAlign w:val="center"/>
          </w:tcPr>
          <w:p w:rsidR="00A42B8D" w:rsidRPr="001C25C2" w:rsidRDefault="005846E2">
            <w:pPr>
              <w:pStyle w:val="Tabletext"/>
            </w:pPr>
            <w:r w:rsidRPr="001C25C2">
              <w:t>TEAEs leading to dose modification, n (%)</w:t>
            </w:r>
          </w:p>
        </w:tc>
        <w:tc>
          <w:tcPr>
            <w:tcW w:w="2250" w:type="dxa"/>
            <w:vAlign w:val="center"/>
          </w:tcPr>
          <w:p w:rsidR="00A42B8D" w:rsidRPr="001C25C2" w:rsidRDefault="005846E2">
            <w:pPr>
              <w:pStyle w:val="Tabletext"/>
              <w:jc w:val="center"/>
            </w:pPr>
            <w:r w:rsidRPr="001C25C2">
              <w:t>195 (58)</w:t>
            </w:r>
          </w:p>
        </w:tc>
        <w:tc>
          <w:tcPr>
            <w:tcW w:w="2223" w:type="dxa"/>
            <w:vAlign w:val="center"/>
          </w:tcPr>
          <w:p w:rsidR="00A42B8D" w:rsidRPr="001C25C2" w:rsidRDefault="005846E2">
            <w:pPr>
              <w:pStyle w:val="Tabletext"/>
              <w:jc w:val="center"/>
            </w:pPr>
            <w:r w:rsidRPr="001C25C2">
              <w:t>37 (22)</w:t>
            </w:r>
          </w:p>
        </w:tc>
        <w:tc>
          <w:tcPr>
            <w:tcW w:w="2216" w:type="dxa"/>
            <w:vAlign w:val="center"/>
          </w:tcPr>
          <w:p w:rsidR="00A42B8D" w:rsidRPr="001C25C2" w:rsidRDefault="005846E2">
            <w:pPr>
              <w:pStyle w:val="Tabletext"/>
              <w:jc w:val="center"/>
              <w:rPr>
                <w:b/>
              </w:rPr>
            </w:pPr>
            <w:r w:rsidRPr="001C25C2">
              <w:rPr>
                <w:b/>
              </w:rPr>
              <w:t xml:space="preserve">0.36 </w:t>
            </w:r>
          </w:p>
          <w:p w:rsidR="00A42B8D" w:rsidRPr="001C25C2" w:rsidRDefault="005846E2">
            <w:pPr>
              <w:pStyle w:val="Tabletext"/>
              <w:jc w:val="center"/>
            </w:pPr>
            <w:r w:rsidRPr="001C25C2">
              <w:rPr>
                <w:b/>
              </w:rPr>
              <w:t>(0.28, 0.44)</w:t>
            </w:r>
          </w:p>
        </w:tc>
      </w:tr>
      <w:tr w:rsidR="00A42B8D" w:rsidRPr="001C25C2">
        <w:tc>
          <w:tcPr>
            <w:tcW w:w="2328" w:type="dxa"/>
            <w:vAlign w:val="center"/>
          </w:tcPr>
          <w:p w:rsidR="00A42B8D" w:rsidRPr="001C25C2" w:rsidRDefault="005846E2">
            <w:pPr>
              <w:pStyle w:val="Tabletext"/>
            </w:pPr>
            <w:r w:rsidRPr="001C25C2">
              <w:t>AE-related deaths, n (%)</w:t>
            </w:r>
          </w:p>
        </w:tc>
        <w:tc>
          <w:tcPr>
            <w:tcW w:w="2250" w:type="dxa"/>
            <w:vAlign w:val="center"/>
          </w:tcPr>
          <w:p w:rsidR="00A42B8D" w:rsidRPr="001C25C2" w:rsidRDefault="005846E2">
            <w:pPr>
              <w:pStyle w:val="Tabletext"/>
              <w:jc w:val="center"/>
            </w:pPr>
            <w:r w:rsidRPr="001C25C2">
              <w:t>45 (13)</w:t>
            </w:r>
          </w:p>
        </w:tc>
        <w:tc>
          <w:tcPr>
            <w:tcW w:w="2223" w:type="dxa"/>
            <w:vAlign w:val="center"/>
          </w:tcPr>
          <w:p w:rsidR="00A42B8D" w:rsidRPr="001C25C2" w:rsidRDefault="005846E2">
            <w:pPr>
              <w:pStyle w:val="Tabletext"/>
              <w:jc w:val="center"/>
            </w:pPr>
            <w:r w:rsidRPr="001C25C2">
              <w:t>19 (11)</w:t>
            </w:r>
          </w:p>
        </w:tc>
        <w:tc>
          <w:tcPr>
            <w:tcW w:w="2216" w:type="dxa"/>
            <w:vAlign w:val="center"/>
          </w:tcPr>
          <w:p w:rsidR="00A42B8D" w:rsidRPr="001C25C2" w:rsidRDefault="005846E2">
            <w:pPr>
              <w:pStyle w:val="Tabletext"/>
              <w:jc w:val="center"/>
            </w:pPr>
            <w:r w:rsidRPr="001C25C2">
              <w:t xml:space="preserve">-0.03 </w:t>
            </w:r>
          </w:p>
          <w:p w:rsidR="00A42B8D" w:rsidRPr="001C25C2" w:rsidRDefault="005846E2">
            <w:pPr>
              <w:pStyle w:val="Tabletext"/>
              <w:jc w:val="center"/>
            </w:pPr>
            <w:r w:rsidRPr="001C25C2">
              <w:t>(-0.07, 0.02)</w:t>
            </w:r>
          </w:p>
        </w:tc>
      </w:tr>
    </w:tbl>
    <w:p w:rsidR="00A42B8D" w:rsidRPr="001C25C2" w:rsidRDefault="005846E2">
      <w:pPr>
        <w:pStyle w:val="TableFooter"/>
        <w:rPr>
          <w:rFonts w:eastAsia="Calibri"/>
        </w:rPr>
      </w:pPr>
      <w:r w:rsidRPr="001C25C2">
        <w:rPr>
          <w:rFonts w:eastAsia="Calibri"/>
        </w:rPr>
        <w:t>Source: Table 2.5.6, p45 in the submission and Table 14.3.1.1 in the TAGS CSR Section 14 tables</w:t>
      </w:r>
    </w:p>
    <w:p w:rsidR="00A42B8D" w:rsidRPr="001C25C2" w:rsidRDefault="005846E2">
      <w:pPr>
        <w:pStyle w:val="TableFooter"/>
        <w:rPr>
          <w:rFonts w:eastAsia="Calibri"/>
        </w:rPr>
      </w:pPr>
      <w:r w:rsidRPr="001C25C2">
        <w:rPr>
          <w:rFonts w:eastAsia="Calibri"/>
        </w:rPr>
        <w:t xml:space="preserve">AE = adverse event; CI = confidence interval; n = number of participants reporting data; RD = risk difference; TEAEs = treatment-emergent adverse events; </w:t>
      </w:r>
      <w:r w:rsidRPr="001C25C2">
        <w:rPr>
          <w:rFonts w:eastAsia="Calibri"/>
          <w:b/>
        </w:rPr>
        <w:t>Bold</w:t>
      </w:r>
      <w:r w:rsidRPr="001C25C2">
        <w:rPr>
          <w:rFonts w:eastAsia="Calibri"/>
        </w:rPr>
        <w:t xml:space="preserve"> = statistically significant</w:t>
      </w:r>
    </w:p>
    <w:p w:rsidR="00A42B8D" w:rsidRPr="001C25C2" w:rsidRDefault="00A42B8D">
      <w:pPr>
        <w:widowControl/>
      </w:pPr>
    </w:p>
    <w:p w:rsidR="006110AD" w:rsidRPr="001C25C2" w:rsidRDefault="005846E2" w:rsidP="00D86B6B">
      <w:pPr>
        <w:pStyle w:val="ListParagraph"/>
        <w:widowControl/>
        <w:numPr>
          <w:ilvl w:val="1"/>
          <w:numId w:val="2"/>
        </w:numPr>
      </w:pPr>
      <w:r w:rsidRPr="001C25C2">
        <w:t xml:space="preserve">There were noteworthy differences in the adverse-event profile between the treatments. </w:t>
      </w:r>
      <w:proofErr w:type="spellStart"/>
      <w:r w:rsidRPr="001C25C2">
        <w:t>Myelosuppression</w:t>
      </w:r>
      <w:proofErr w:type="spellEnd"/>
      <w:r w:rsidRPr="001C25C2">
        <w:t xml:space="preserve"> was the main toxicity experienced by the patients receiving </w:t>
      </w:r>
      <w:proofErr w:type="spellStart"/>
      <w:r w:rsidRPr="001C25C2">
        <w:t>trifluridine</w:t>
      </w:r>
      <w:proofErr w:type="spellEnd"/>
      <w:r w:rsidRPr="001C25C2">
        <w:t>/</w:t>
      </w:r>
      <w:proofErr w:type="spellStart"/>
      <w:r w:rsidRPr="001C25C2">
        <w:t>tipiracil</w:t>
      </w:r>
      <w:proofErr w:type="spellEnd"/>
      <w:r w:rsidRPr="001C25C2">
        <w:t xml:space="preserve"> in the TAGS trial, with the most frequently reported grade 3 or worse </w:t>
      </w:r>
      <w:r w:rsidR="001B1F38" w:rsidRPr="001C25C2">
        <w:t>AEs</w:t>
      </w:r>
      <w:r w:rsidRPr="001C25C2">
        <w:t xml:space="preserve"> being neutropenia (34% versus 0% in placebo group), anaemia (19% versus 8% in placebo group), and leukopenia (</w:t>
      </w:r>
      <w:r w:rsidR="00924305" w:rsidRPr="001C25C2">
        <w:t>9% versus 0% in placebo group).</w:t>
      </w:r>
      <w:r w:rsidR="00D86B6B" w:rsidRPr="001C25C2">
        <w:t xml:space="preserve"> </w:t>
      </w:r>
    </w:p>
    <w:p w:rsidR="006110AD" w:rsidRPr="001C25C2" w:rsidRDefault="00554302" w:rsidP="006110AD">
      <w:pPr>
        <w:pStyle w:val="ListParagraph"/>
        <w:widowControl/>
        <w:numPr>
          <w:ilvl w:val="1"/>
          <w:numId w:val="2"/>
        </w:numPr>
      </w:pPr>
      <w:r w:rsidRPr="001C25C2">
        <w:t xml:space="preserve">In the </w:t>
      </w:r>
      <w:r w:rsidR="004D2454" w:rsidRPr="001C25C2">
        <w:t>PSCR</w:t>
      </w:r>
      <w:r w:rsidR="00A308E4" w:rsidRPr="001C25C2">
        <w:t xml:space="preserve">, the sponsor argued that the majority of reported Grade </w:t>
      </w:r>
      <w:r w:rsidR="00A308E4" w:rsidRPr="001C25C2">
        <w:rPr>
          <w:rFonts w:cs="Calibri"/>
        </w:rPr>
        <w:t>≥</w:t>
      </w:r>
      <w:r w:rsidR="00A308E4" w:rsidRPr="001C25C2">
        <w:t xml:space="preserve"> 3 </w:t>
      </w:r>
      <w:r w:rsidR="001B1F38" w:rsidRPr="001C25C2">
        <w:t xml:space="preserve">AEs </w:t>
      </w:r>
      <w:r w:rsidR="00A308E4" w:rsidRPr="001C25C2">
        <w:t xml:space="preserve">were laboratory-based indicators of </w:t>
      </w:r>
      <w:proofErr w:type="spellStart"/>
      <w:r w:rsidR="00A308E4" w:rsidRPr="001C25C2">
        <w:t>myelosuppression</w:t>
      </w:r>
      <w:proofErr w:type="spellEnd"/>
      <w:r w:rsidR="00A308E4" w:rsidRPr="001C25C2">
        <w:t xml:space="preserve"> (i.e. neutropenia and anaemia) rather than clinically evident events which are generally able to be managed by reduction in dosage or by delaying the next dose. The incremental proportion of</w:t>
      </w:r>
      <w:r w:rsidR="00A308E4" w:rsidRPr="001C25C2">
        <w:rPr>
          <w:i/>
        </w:rPr>
        <w:t xml:space="preserve"> </w:t>
      </w:r>
      <w:proofErr w:type="spellStart"/>
      <w:r w:rsidR="00A308E4" w:rsidRPr="001C25C2">
        <w:t>trifluridine</w:t>
      </w:r>
      <w:proofErr w:type="spellEnd"/>
      <w:r w:rsidR="00A308E4" w:rsidRPr="001C25C2">
        <w:t>/</w:t>
      </w:r>
      <w:proofErr w:type="spellStart"/>
      <w:r w:rsidR="00A308E4" w:rsidRPr="001C25C2">
        <w:t>tipiracil</w:t>
      </w:r>
      <w:proofErr w:type="spellEnd"/>
      <w:r w:rsidR="00A308E4" w:rsidRPr="001C25C2">
        <w:t xml:space="preserve"> patients experiencing serious neutropenia and serious anaemia was 1.2% and 1.5%, respectively. </w:t>
      </w:r>
    </w:p>
    <w:p w:rsidR="001C0755" w:rsidRPr="001C25C2" w:rsidRDefault="001C0755" w:rsidP="006110AD">
      <w:pPr>
        <w:pStyle w:val="ListParagraph"/>
        <w:widowControl/>
        <w:numPr>
          <w:ilvl w:val="1"/>
          <w:numId w:val="2"/>
        </w:numPr>
      </w:pPr>
      <w:r w:rsidRPr="001C25C2">
        <w:t xml:space="preserve">However, the ESC considered that </w:t>
      </w:r>
      <w:proofErr w:type="spellStart"/>
      <w:r w:rsidRPr="001C25C2">
        <w:t>myelosuppressive</w:t>
      </w:r>
      <w:proofErr w:type="spellEnd"/>
      <w:r w:rsidRPr="001C25C2">
        <w:t xml:space="preserve"> events may have been clinically significant, noting that supportive products for anaemia (</w:t>
      </w:r>
      <w:r w:rsidR="004E628B" w:rsidRPr="001C25C2">
        <w:t>e.g.</w:t>
      </w:r>
      <w:r w:rsidR="00416BDD" w:rsidRPr="001C25C2">
        <w:t xml:space="preserve"> </w:t>
      </w:r>
      <w:r w:rsidRPr="001C25C2">
        <w:t xml:space="preserve">blood products and /or erythropoietin) were used by 18% of patients receiving </w:t>
      </w:r>
      <w:proofErr w:type="spellStart"/>
      <w:r w:rsidRPr="001C25C2">
        <w:t>trifluridine</w:t>
      </w:r>
      <w:proofErr w:type="spellEnd"/>
      <w:r w:rsidRPr="001C25C2">
        <w:t>/</w:t>
      </w:r>
      <w:proofErr w:type="spellStart"/>
      <w:r w:rsidRPr="001C25C2">
        <w:t>tipiracil</w:t>
      </w:r>
      <w:proofErr w:type="spellEnd"/>
      <w:r w:rsidR="004E628B" w:rsidRPr="001C25C2">
        <w:t>,</w:t>
      </w:r>
      <w:r w:rsidRPr="001C25C2">
        <w:t xml:space="preserve"> but only 5% of patients receiving placebo (Clinical Study Report, table 14.1.9.1). The ESC were </w:t>
      </w:r>
      <w:r w:rsidR="001B1F38" w:rsidRPr="001C25C2">
        <w:t xml:space="preserve">also </w:t>
      </w:r>
      <w:r w:rsidRPr="001C25C2">
        <w:t xml:space="preserve">concerned that </w:t>
      </w:r>
      <w:r w:rsidR="001B1F38" w:rsidRPr="001C25C2">
        <w:t xml:space="preserve">AEs </w:t>
      </w:r>
      <w:r w:rsidRPr="001C25C2">
        <w:t xml:space="preserve">may be more commonly experienced in the PBS population compared </w:t>
      </w:r>
      <w:r w:rsidR="00267C89" w:rsidRPr="001C25C2">
        <w:t>with</w:t>
      </w:r>
      <w:r w:rsidRPr="001C25C2">
        <w:t xml:space="preserve"> the trial population, because </w:t>
      </w:r>
      <w:r w:rsidR="00267C89" w:rsidRPr="001C25C2">
        <w:t xml:space="preserve">the TAGS trial excluded </w:t>
      </w:r>
      <w:r w:rsidRPr="001C25C2">
        <w:t xml:space="preserve">patients with cardiovascular disease and poorly controlled diabetes, as noted in the TGA Clinical </w:t>
      </w:r>
      <w:r w:rsidRPr="001C25C2">
        <w:lastRenderedPageBreak/>
        <w:t>Evaluation Report</w:t>
      </w:r>
      <w:r w:rsidR="00267C89" w:rsidRPr="001C25C2">
        <w:t xml:space="preserve"> (1</w:t>
      </w:r>
      <w:r w:rsidR="00267C89" w:rsidRPr="001C25C2">
        <w:rPr>
          <w:vertAlign w:val="superscript"/>
        </w:rPr>
        <w:t>st</w:t>
      </w:r>
      <w:r w:rsidR="00267C89" w:rsidRPr="001C25C2">
        <w:t xml:space="preserve"> round)</w:t>
      </w:r>
      <w:r w:rsidRPr="001C25C2">
        <w:t xml:space="preserve"> (p51).</w:t>
      </w:r>
      <w:r w:rsidR="00FF102A" w:rsidRPr="001C25C2">
        <w:t xml:space="preserve"> </w:t>
      </w:r>
      <w:r w:rsidR="00A65119" w:rsidRPr="001C25C2">
        <w:t>The pre-PBAC response argued that the exclusion of patients with significant comorbidities is standard in most clinical trials.</w:t>
      </w:r>
    </w:p>
    <w:p w:rsidR="00A42B8D" w:rsidRPr="001C25C2" w:rsidRDefault="005846E2">
      <w:pPr>
        <w:pStyle w:val="Heading2"/>
      </w:pPr>
      <w:bookmarkStart w:id="17" w:name="_Toc18935149"/>
      <w:r w:rsidRPr="001C25C2">
        <w:t>Benefits/harms</w:t>
      </w:r>
      <w:bookmarkEnd w:id="17"/>
    </w:p>
    <w:p w:rsidR="00E27D82" w:rsidRPr="001C25C2" w:rsidRDefault="005846E2" w:rsidP="00E27D82">
      <w:pPr>
        <w:pStyle w:val="ListParagraph"/>
        <w:widowControl/>
        <w:numPr>
          <w:ilvl w:val="1"/>
          <w:numId w:val="2"/>
        </w:numPr>
        <w:rPr>
          <w:rStyle w:val="CommentReference"/>
        </w:rPr>
      </w:pPr>
      <w:r w:rsidRPr="001C25C2">
        <w:t xml:space="preserve">A summary of the comparative benefits and harms for </w:t>
      </w:r>
      <w:proofErr w:type="spellStart"/>
      <w:r w:rsidRPr="001C25C2">
        <w:t>trifluridine</w:t>
      </w:r>
      <w:proofErr w:type="spellEnd"/>
      <w:r w:rsidRPr="001C25C2">
        <w:t>/</w:t>
      </w:r>
      <w:proofErr w:type="spellStart"/>
      <w:r w:rsidRPr="001C25C2">
        <w:t>tipiracil</w:t>
      </w:r>
      <w:proofErr w:type="spellEnd"/>
      <w:r w:rsidR="00994705" w:rsidRPr="001C25C2">
        <w:t xml:space="preserve"> plus BSC</w:t>
      </w:r>
      <w:r w:rsidRPr="001C25C2">
        <w:t xml:space="preserve"> versus placebo </w:t>
      </w:r>
      <w:r w:rsidR="00994705" w:rsidRPr="001C25C2">
        <w:t xml:space="preserve">plus BSC </w:t>
      </w:r>
      <w:r w:rsidRPr="001C25C2">
        <w:t>i</w:t>
      </w:r>
      <w:r w:rsidR="00924305" w:rsidRPr="001C25C2">
        <w:t xml:space="preserve">s presented in </w:t>
      </w:r>
      <w:r w:rsidR="00121AB1" w:rsidRPr="001C25C2">
        <w:t>T</w:t>
      </w:r>
      <w:r w:rsidR="00924305" w:rsidRPr="001C25C2">
        <w:t xml:space="preserve">able </w:t>
      </w:r>
      <w:r w:rsidR="00121AB1" w:rsidRPr="001C25C2">
        <w:t>7</w:t>
      </w:r>
      <w:r w:rsidR="00924305" w:rsidRPr="001C25C2">
        <w:t>.</w:t>
      </w:r>
      <w:r w:rsidR="00D24467" w:rsidRPr="001C25C2">
        <w:t xml:space="preserve"> </w:t>
      </w:r>
    </w:p>
    <w:p w:rsidR="00A42B8D" w:rsidRPr="001C25C2" w:rsidRDefault="005846E2" w:rsidP="00E76F38">
      <w:pPr>
        <w:pStyle w:val="TableText0"/>
        <w:keepLines/>
        <w:rPr>
          <w:rStyle w:val="CommentReference"/>
          <w:szCs w:val="20"/>
        </w:rPr>
      </w:pPr>
      <w:r w:rsidRPr="001C25C2">
        <w:rPr>
          <w:rStyle w:val="CommentReference"/>
        </w:rPr>
        <w:t xml:space="preserve">Table 7: Summary of comparative benefits and harms for </w:t>
      </w:r>
      <w:proofErr w:type="spellStart"/>
      <w:r w:rsidRPr="001C25C2">
        <w:rPr>
          <w:b/>
          <w:sz w:val="20"/>
          <w:szCs w:val="20"/>
        </w:rPr>
        <w:t>trifluridine</w:t>
      </w:r>
      <w:proofErr w:type="spellEnd"/>
      <w:r w:rsidRPr="001C25C2">
        <w:rPr>
          <w:b/>
          <w:sz w:val="20"/>
          <w:szCs w:val="20"/>
        </w:rPr>
        <w:t>/</w:t>
      </w:r>
      <w:proofErr w:type="spellStart"/>
      <w:r w:rsidRPr="001C25C2">
        <w:rPr>
          <w:b/>
          <w:sz w:val="20"/>
          <w:szCs w:val="20"/>
        </w:rPr>
        <w:t>tipiracil</w:t>
      </w:r>
      <w:proofErr w:type="spellEnd"/>
      <w:r w:rsidRPr="001C25C2">
        <w:rPr>
          <w:b/>
          <w:sz w:val="20"/>
          <w:szCs w:val="20"/>
        </w:rPr>
        <w:t xml:space="preserve"> </w:t>
      </w:r>
      <w:r w:rsidRPr="001C25C2">
        <w:rPr>
          <w:rStyle w:val="CommentReference"/>
        </w:rPr>
        <w:t>and placebo</w:t>
      </w:r>
    </w:p>
    <w:tbl>
      <w:tblPr>
        <w:tblW w:w="5000" w:type="pct"/>
        <w:tblLayout w:type="fixed"/>
        <w:tblCellMar>
          <w:left w:w="28" w:type="dxa"/>
          <w:right w:w="28" w:type="dxa"/>
        </w:tblCellMar>
        <w:tblLook w:val="04A0" w:firstRow="1" w:lastRow="0" w:firstColumn="1" w:lastColumn="0" w:noHBand="0" w:noVBand="1"/>
      </w:tblPr>
      <w:tblGrid>
        <w:gridCol w:w="1838"/>
        <w:gridCol w:w="1560"/>
        <w:gridCol w:w="1702"/>
        <w:gridCol w:w="1702"/>
        <w:gridCol w:w="994"/>
        <w:gridCol w:w="1221"/>
      </w:tblGrid>
      <w:tr w:rsidR="00A42B8D" w:rsidRPr="001C25C2">
        <w:tc>
          <w:tcPr>
            <w:tcW w:w="5000" w:type="pct"/>
            <w:gridSpan w:val="6"/>
            <w:tcBorders>
              <w:top w:val="single" w:sz="4" w:space="0" w:color="auto"/>
              <w:left w:val="single" w:sz="4" w:space="0" w:color="auto"/>
              <w:bottom w:val="double" w:sz="4" w:space="0" w:color="auto"/>
              <w:right w:val="single" w:sz="4" w:space="0" w:color="auto"/>
            </w:tcBorders>
            <w:shd w:val="clear" w:color="auto" w:fill="auto"/>
            <w:vAlign w:val="center"/>
          </w:tcPr>
          <w:p w:rsidR="00A42B8D" w:rsidRPr="001C25C2" w:rsidRDefault="005846E2" w:rsidP="00E76F38">
            <w:pPr>
              <w:keepNext/>
              <w:rPr>
                <w:rFonts w:ascii="Arial Narrow" w:hAnsi="Arial Narrow"/>
                <w:b/>
                <w:color w:val="000000"/>
                <w:sz w:val="20"/>
                <w:szCs w:val="18"/>
              </w:rPr>
            </w:pPr>
            <w:r w:rsidRPr="001C25C2">
              <w:rPr>
                <w:rFonts w:ascii="Arial Narrow" w:hAnsi="Arial Narrow"/>
                <w:b/>
                <w:color w:val="000000"/>
                <w:sz w:val="20"/>
                <w:szCs w:val="18"/>
              </w:rPr>
              <w:t>Benefits: ITT population</w:t>
            </w:r>
          </w:p>
        </w:tc>
      </w:tr>
      <w:tr w:rsidR="00A42B8D" w:rsidRPr="001C25C2" w:rsidTr="00416BD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A42B8D" w:rsidRPr="001C25C2" w:rsidRDefault="00A42B8D" w:rsidP="00E76F38">
            <w:pPr>
              <w:keepNext/>
              <w:jc w:val="center"/>
              <w:rPr>
                <w:rFonts w:ascii="Arial Narrow" w:hAnsi="Arial Narrow"/>
                <w:color w:val="000000"/>
                <w:sz w:val="20"/>
                <w:szCs w:val="18"/>
              </w:rPr>
            </w:pPr>
          </w:p>
        </w:tc>
        <w:tc>
          <w:tcPr>
            <w:tcW w:w="865"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pStyle w:val="TableText0"/>
              <w:keepLines/>
              <w:jc w:val="center"/>
              <w:rPr>
                <w:b/>
                <w:sz w:val="20"/>
                <w:szCs w:val="20"/>
              </w:rPr>
            </w:pPr>
            <w:proofErr w:type="spellStart"/>
            <w:r w:rsidRPr="001C25C2">
              <w:rPr>
                <w:b/>
                <w:sz w:val="20"/>
                <w:szCs w:val="20"/>
              </w:rPr>
              <w:t>Trifluridine</w:t>
            </w:r>
            <w:proofErr w:type="spellEnd"/>
            <w:r w:rsidRPr="001C25C2">
              <w:rPr>
                <w:b/>
                <w:sz w:val="20"/>
                <w:szCs w:val="20"/>
              </w:rPr>
              <w:t>/</w:t>
            </w:r>
            <w:proofErr w:type="spellStart"/>
            <w:r w:rsidRPr="001C25C2">
              <w:rPr>
                <w:b/>
                <w:sz w:val="20"/>
                <w:szCs w:val="20"/>
              </w:rPr>
              <w:t>tipiracil</w:t>
            </w:r>
            <w:proofErr w:type="spellEnd"/>
          </w:p>
        </w:tc>
        <w:tc>
          <w:tcPr>
            <w:tcW w:w="944"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b/>
                <w:color w:val="000000"/>
                <w:sz w:val="20"/>
                <w:szCs w:val="18"/>
              </w:rPr>
            </w:pPr>
            <w:r w:rsidRPr="001C25C2">
              <w:rPr>
                <w:rFonts w:ascii="Arial Narrow" w:hAnsi="Arial Narrow"/>
                <w:b/>
                <w:color w:val="000000"/>
                <w:sz w:val="20"/>
                <w:szCs w:val="18"/>
              </w:rPr>
              <w:t>Placebo</w:t>
            </w:r>
          </w:p>
        </w:tc>
        <w:tc>
          <w:tcPr>
            <w:tcW w:w="944"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b/>
                <w:color w:val="000000"/>
                <w:sz w:val="20"/>
                <w:szCs w:val="18"/>
              </w:rPr>
            </w:pPr>
            <w:r w:rsidRPr="001C25C2">
              <w:rPr>
                <w:rFonts w:ascii="Arial Narrow" w:hAnsi="Arial Narrow"/>
                <w:b/>
                <w:color w:val="000000"/>
                <w:sz w:val="20"/>
                <w:szCs w:val="18"/>
              </w:rPr>
              <w:t>Absolute difference</w:t>
            </w:r>
          </w:p>
        </w:tc>
        <w:tc>
          <w:tcPr>
            <w:tcW w:w="1228" w:type="pct"/>
            <w:gridSpan w:val="2"/>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b/>
                <w:color w:val="000000"/>
                <w:sz w:val="20"/>
                <w:szCs w:val="18"/>
              </w:rPr>
            </w:pPr>
            <w:r w:rsidRPr="001C25C2">
              <w:rPr>
                <w:rFonts w:ascii="Arial Narrow" w:hAnsi="Arial Narrow"/>
                <w:b/>
                <w:color w:val="000000"/>
                <w:sz w:val="20"/>
                <w:szCs w:val="18"/>
              </w:rPr>
              <w:t>HR (95% CI)</w:t>
            </w:r>
            <w:r w:rsidRPr="001C25C2">
              <w:rPr>
                <w:rFonts w:ascii="Arial Narrow" w:hAnsi="Arial Narrow"/>
                <w:b/>
                <w:color w:val="000000"/>
                <w:sz w:val="20"/>
                <w:szCs w:val="18"/>
                <w:vertAlign w:val="superscript"/>
              </w:rPr>
              <w:t xml:space="preserve"> b</w:t>
            </w:r>
          </w:p>
        </w:tc>
      </w:tr>
      <w:tr w:rsidR="00416BDD" w:rsidRPr="001C25C2" w:rsidTr="00416BD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416BDD" w:rsidRPr="001C25C2" w:rsidRDefault="00416BDD" w:rsidP="00E76F38">
            <w:pPr>
              <w:keepNext/>
              <w:jc w:val="left"/>
              <w:rPr>
                <w:rFonts w:ascii="Arial Narrow" w:hAnsi="Arial Narrow"/>
                <w:color w:val="000000"/>
                <w:sz w:val="20"/>
                <w:szCs w:val="18"/>
              </w:rPr>
            </w:pPr>
            <w:r w:rsidRPr="001C25C2">
              <w:rPr>
                <w:rFonts w:ascii="Arial Narrow" w:hAnsi="Arial Narrow"/>
                <w:color w:val="000000"/>
                <w:sz w:val="20"/>
                <w:szCs w:val="18"/>
              </w:rPr>
              <w:t>Dead n/N (%)</w:t>
            </w:r>
          </w:p>
        </w:tc>
        <w:tc>
          <w:tcPr>
            <w:tcW w:w="865" w:type="pct"/>
            <w:tcBorders>
              <w:top w:val="single" w:sz="4" w:space="0" w:color="auto"/>
              <w:left w:val="single" w:sz="4" w:space="0" w:color="auto"/>
              <w:bottom w:val="single" w:sz="4" w:space="0" w:color="auto"/>
              <w:right w:val="single" w:sz="4" w:space="0" w:color="auto"/>
            </w:tcBorders>
          </w:tcPr>
          <w:p w:rsidR="00416BDD" w:rsidRPr="001C25C2" w:rsidRDefault="00416BDD" w:rsidP="00E76F38">
            <w:pPr>
              <w:keepNext/>
              <w:jc w:val="center"/>
              <w:rPr>
                <w:rFonts w:ascii="Arial Narrow" w:hAnsi="Arial Narrow"/>
                <w:sz w:val="20"/>
              </w:rPr>
            </w:pPr>
            <w:r w:rsidRPr="001C25C2">
              <w:rPr>
                <w:rFonts w:ascii="Arial Narrow" w:hAnsi="Arial Narrow"/>
                <w:sz w:val="20"/>
                <w:szCs w:val="20"/>
              </w:rPr>
              <w:t>244/337 (72.4)</w:t>
            </w:r>
          </w:p>
        </w:tc>
        <w:tc>
          <w:tcPr>
            <w:tcW w:w="944" w:type="pct"/>
            <w:tcBorders>
              <w:top w:val="single" w:sz="4" w:space="0" w:color="auto"/>
              <w:left w:val="single" w:sz="4" w:space="0" w:color="auto"/>
              <w:bottom w:val="single" w:sz="4" w:space="0" w:color="auto"/>
              <w:right w:val="single" w:sz="4" w:space="0" w:color="auto"/>
            </w:tcBorders>
          </w:tcPr>
          <w:p w:rsidR="00416BDD" w:rsidRPr="001C25C2" w:rsidRDefault="00416BDD" w:rsidP="00E76F38">
            <w:pPr>
              <w:keepNext/>
              <w:jc w:val="center"/>
              <w:rPr>
                <w:rFonts w:ascii="Arial Narrow" w:hAnsi="Arial Narrow"/>
                <w:sz w:val="20"/>
              </w:rPr>
            </w:pPr>
            <w:r w:rsidRPr="001C25C2">
              <w:rPr>
                <w:rFonts w:ascii="Arial Narrow" w:hAnsi="Arial Narrow"/>
                <w:sz w:val="20"/>
                <w:szCs w:val="20"/>
              </w:rPr>
              <w:t>140/170 (82.4)</w:t>
            </w:r>
          </w:p>
        </w:tc>
        <w:tc>
          <w:tcPr>
            <w:tcW w:w="944" w:type="pct"/>
            <w:tcBorders>
              <w:top w:val="single" w:sz="4" w:space="0" w:color="auto"/>
              <w:left w:val="single" w:sz="4" w:space="0" w:color="auto"/>
              <w:bottom w:val="single" w:sz="4" w:space="0" w:color="auto"/>
              <w:right w:val="single" w:sz="4" w:space="0" w:color="auto"/>
            </w:tcBorders>
          </w:tcPr>
          <w:p w:rsidR="00416BDD" w:rsidRPr="001C25C2" w:rsidRDefault="00416BDD" w:rsidP="00E76F38">
            <w:pPr>
              <w:keepNext/>
              <w:jc w:val="center"/>
              <w:rPr>
                <w:rFonts w:ascii="Arial Narrow" w:hAnsi="Arial Narrow"/>
                <w:color w:val="000000"/>
                <w:sz w:val="20"/>
                <w:szCs w:val="18"/>
              </w:rPr>
            </w:pPr>
            <w:r w:rsidRPr="001C25C2">
              <w:rPr>
                <w:rFonts w:ascii="Arial Narrow" w:hAnsi="Arial Narrow"/>
                <w:color w:val="000000"/>
                <w:sz w:val="20"/>
                <w:szCs w:val="18"/>
              </w:rPr>
              <w:t>-10%</w:t>
            </w:r>
          </w:p>
        </w:tc>
        <w:tc>
          <w:tcPr>
            <w:tcW w:w="1228" w:type="pct"/>
            <w:gridSpan w:val="2"/>
            <w:tcBorders>
              <w:top w:val="single" w:sz="4" w:space="0" w:color="auto"/>
              <w:left w:val="single" w:sz="4" w:space="0" w:color="auto"/>
              <w:bottom w:val="single" w:sz="4" w:space="0" w:color="auto"/>
              <w:right w:val="single" w:sz="4" w:space="0" w:color="auto"/>
            </w:tcBorders>
            <w:vAlign w:val="center"/>
          </w:tcPr>
          <w:p w:rsidR="00416BDD" w:rsidRPr="001C25C2" w:rsidRDefault="00416BDD" w:rsidP="00E76F38">
            <w:pPr>
              <w:keepNext/>
              <w:jc w:val="center"/>
              <w:rPr>
                <w:rFonts w:ascii="Arial Narrow" w:hAnsi="Arial Narrow"/>
                <w:color w:val="000000"/>
                <w:sz w:val="20"/>
                <w:szCs w:val="18"/>
              </w:rPr>
            </w:pPr>
            <w:r w:rsidRPr="001C25C2">
              <w:rPr>
                <w:rFonts w:ascii="Arial Narrow" w:hAnsi="Arial Narrow"/>
                <w:color w:val="000000"/>
                <w:sz w:val="20"/>
                <w:szCs w:val="18"/>
              </w:rPr>
              <w:t>0.69 (0.56, 0.85)</w:t>
            </w:r>
          </w:p>
        </w:tc>
      </w:tr>
      <w:tr w:rsidR="00416BDD" w:rsidRPr="001C25C2" w:rsidTr="00416BDD">
        <w:tc>
          <w:tcPr>
            <w:tcW w:w="1019" w:type="pct"/>
            <w:tcBorders>
              <w:top w:val="single" w:sz="4" w:space="0" w:color="auto"/>
              <w:left w:val="single" w:sz="4" w:space="0" w:color="auto"/>
              <w:bottom w:val="double" w:sz="4" w:space="0" w:color="auto"/>
              <w:right w:val="single" w:sz="4" w:space="0" w:color="auto"/>
            </w:tcBorders>
            <w:shd w:val="clear" w:color="auto" w:fill="auto"/>
            <w:vAlign w:val="center"/>
          </w:tcPr>
          <w:p w:rsidR="00416BDD" w:rsidRPr="001C25C2" w:rsidRDefault="00416BDD" w:rsidP="00E76F38">
            <w:pPr>
              <w:keepNext/>
              <w:jc w:val="left"/>
              <w:rPr>
                <w:rFonts w:ascii="Arial Narrow" w:hAnsi="Arial Narrow"/>
                <w:color w:val="000000"/>
                <w:sz w:val="20"/>
                <w:szCs w:val="18"/>
              </w:rPr>
            </w:pPr>
            <w:r w:rsidRPr="001C25C2">
              <w:rPr>
                <w:rFonts w:ascii="Arial Narrow" w:hAnsi="Arial Narrow"/>
                <w:color w:val="000000"/>
                <w:sz w:val="20"/>
                <w:szCs w:val="18"/>
              </w:rPr>
              <w:t>OS median (months)</w:t>
            </w:r>
            <w:r w:rsidRPr="001C25C2">
              <w:rPr>
                <w:rFonts w:ascii="Arial Narrow" w:hAnsi="Arial Narrow"/>
                <w:color w:val="000000"/>
                <w:sz w:val="20"/>
                <w:szCs w:val="18"/>
                <w:vertAlign w:val="superscript"/>
              </w:rPr>
              <w:t>a</w:t>
            </w:r>
          </w:p>
        </w:tc>
        <w:tc>
          <w:tcPr>
            <w:tcW w:w="865" w:type="pct"/>
            <w:tcBorders>
              <w:top w:val="single" w:sz="4" w:space="0" w:color="auto"/>
              <w:left w:val="single" w:sz="4" w:space="0" w:color="auto"/>
              <w:bottom w:val="double" w:sz="4" w:space="0" w:color="auto"/>
              <w:right w:val="single" w:sz="4" w:space="0" w:color="auto"/>
            </w:tcBorders>
          </w:tcPr>
          <w:p w:rsidR="00416BDD" w:rsidRPr="001C25C2" w:rsidRDefault="00416BDD" w:rsidP="00E76F38">
            <w:pPr>
              <w:keepNext/>
              <w:jc w:val="center"/>
              <w:rPr>
                <w:rFonts w:ascii="Arial Narrow" w:hAnsi="Arial Narrow"/>
                <w:sz w:val="20"/>
              </w:rPr>
            </w:pPr>
            <w:r w:rsidRPr="001C25C2">
              <w:rPr>
                <w:rFonts w:ascii="Arial Narrow" w:hAnsi="Arial Narrow"/>
                <w:sz w:val="20"/>
                <w:szCs w:val="20"/>
              </w:rPr>
              <w:t>5.72 (4.8, 6.2)</w:t>
            </w:r>
          </w:p>
        </w:tc>
        <w:tc>
          <w:tcPr>
            <w:tcW w:w="944" w:type="pct"/>
            <w:tcBorders>
              <w:top w:val="single" w:sz="4" w:space="0" w:color="auto"/>
              <w:left w:val="single" w:sz="4" w:space="0" w:color="auto"/>
              <w:bottom w:val="double" w:sz="4" w:space="0" w:color="auto"/>
              <w:right w:val="single" w:sz="4" w:space="0" w:color="auto"/>
            </w:tcBorders>
          </w:tcPr>
          <w:p w:rsidR="00416BDD" w:rsidRPr="001C25C2" w:rsidRDefault="00416BDD" w:rsidP="00E76F38">
            <w:pPr>
              <w:keepNext/>
              <w:jc w:val="center"/>
              <w:rPr>
                <w:rFonts w:ascii="Arial Narrow" w:hAnsi="Arial Narrow"/>
                <w:sz w:val="20"/>
              </w:rPr>
            </w:pPr>
            <w:r w:rsidRPr="001C25C2">
              <w:rPr>
                <w:rFonts w:ascii="Arial Narrow" w:hAnsi="Arial Narrow"/>
                <w:sz w:val="20"/>
                <w:szCs w:val="20"/>
              </w:rPr>
              <w:t>3.57 (3.1, 4.1)</w:t>
            </w:r>
          </w:p>
        </w:tc>
        <w:tc>
          <w:tcPr>
            <w:tcW w:w="944" w:type="pct"/>
            <w:tcBorders>
              <w:top w:val="single" w:sz="4" w:space="0" w:color="auto"/>
              <w:left w:val="single" w:sz="4" w:space="0" w:color="auto"/>
              <w:bottom w:val="double" w:sz="4" w:space="0" w:color="auto"/>
              <w:right w:val="single" w:sz="4" w:space="0" w:color="auto"/>
            </w:tcBorders>
          </w:tcPr>
          <w:p w:rsidR="00416BDD" w:rsidRPr="001C25C2" w:rsidRDefault="00416BDD" w:rsidP="00E76F38">
            <w:pPr>
              <w:keepNext/>
              <w:jc w:val="center"/>
              <w:rPr>
                <w:rFonts w:ascii="Arial Narrow" w:hAnsi="Arial Narrow"/>
                <w:color w:val="000000"/>
                <w:sz w:val="20"/>
                <w:szCs w:val="18"/>
              </w:rPr>
            </w:pPr>
            <w:r w:rsidRPr="001C25C2">
              <w:rPr>
                <w:rFonts w:ascii="Arial Narrow" w:hAnsi="Arial Narrow"/>
                <w:color w:val="000000"/>
                <w:sz w:val="20"/>
                <w:szCs w:val="18"/>
              </w:rPr>
              <w:t>2.15</w:t>
            </w:r>
          </w:p>
        </w:tc>
        <w:tc>
          <w:tcPr>
            <w:tcW w:w="1228" w:type="pct"/>
            <w:gridSpan w:val="2"/>
            <w:tcBorders>
              <w:top w:val="single" w:sz="4" w:space="0" w:color="auto"/>
              <w:left w:val="single" w:sz="4" w:space="0" w:color="auto"/>
              <w:right w:val="single" w:sz="4" w:space="0" w:color="auto"/>
            </w:tcBorders>
            <w:vAlign w:val="center"/>
          </w:tcPr>
          <w:p w:rsidR="00416BDD" w:rsidRPr="001C25C2" w:rsidRDefault="00416BDD" w:rsidP="00E76F38">
            <w:pPr>
              <w:keepNext/>
              <w:jc w:val="center"/>
              <w:rPr>
                <w:rFonts w:ascii="Arial Narrow" w:hAnsi="Arial Narrow"/>
                <w:color w:val="000000"/>
                <w:sz w:val="20"/>
                <w:szCs w:val="18"/>
              </w:rPr>
            </w:pPr>
            <w:r w:rsidRPr="001C25C2">
              <w:rPr>
                <w:rFonts w:ascii="Arial Narrow" w:hAnsi="Arial Narrow"/>
                <w:color w:val="000000"/>
                <w:sz w:val="20"/>
                <w:szCs w:val="18"/>
              </w:rPr>
              <w:t>-</w:t>
            </w:r>
          </w:p>
        </w:tc>
      </w:tr>
      <w:tr w:rsidR="001A549C" w:rsidRPr="001C25C2" w:rsidTr="00416BDD">
        <w:tc>
          <w:tcPr>
            <w:tcW w:w="1019" w:type="pct"/>
            <w:tcBorders>
              <w:top w:val="double" w:sz="4" w:space="0" w:color="auto"/>
              <w:left w:val="single" w:sz="4" w:space="0" w:color="auto"/>
              <w:bottom w:val="single" w:sz="4" w:space="0" w:color="auto"/>
              <w:right w:val="single" w:sz="4" w:space="0" w:color="auto"/>
            </w:tcBorders>
            <w:shd w:val="clear" w:color="auto" w:fill="auto"/>
            <w:vAlign w:val="center"/>
          </w:tcPr>
          <w:p w:rsidR="001A549C" w:rsidRPr="001C25C2" w:rsidRDefault="001A549C" w:rsidP="00E76F38">
            <w:pPr>
              <w:pStyle w:val="TableText0"/>
              <w:spacing w:line="247" w:lineRule="auto"/>
              <w:rPr>
                <w:rFonts w:cs="Times New Roman"/>
                <w:color w:val="000000"/>
                <w:sz w:val="20"/>
              </w:rPr>
            </w:pPr>
            <w:r w:rsidRPr="001C25C2">
              <w:rPr>
                <w:rFonts w:cs="Times New Roman"/>
                <w:color w:val="000000"/>
                <w:sz w:val="20"/>
              </w:rPr>
              <w:t xml:space="preserve">KM </w:t>
            </w:r>
            <w:proofErr w:type="spellStart"/>
            <w:r w:rsidRPr="001C25C2">
              <w:rPr>
                <w:rFonts w:cs="Times New Roman"/>
                <w:color w:val="000000"/>
                <w:sz w:val="20"/>
              </w:rPr>
              <w:t>estimates</w:t>
            </w:r>
            <w:r w:rsidRPr="001C25C2">
              <w:rPr>
                <w:rFonts w:cs="Times New Roman"/>
                <w:color w:val="000000"/>
                <w:sz w:val="20"/>
                <w:vertAlign w:val="superscript"/>
              </w:rPr>
              <w:t>c</w:t>
            </w:r>
            <w:proofErr w:type="spellEnd"/>
            <w:r w:rsidRPr="001C25C2">
              <w:rPr>
                <w:rFonts w:cs="Times New Roman"/>
                <w:color w:val="000000"/>
                <w:sz w:val="20"/>
              </w:rPr>
              <w:t xml:space="preserve"> of percentage of patients surviving at:</w:t>
            </w:r>
          </w:p>
          <w:p w:rsidR="001A549C" w:rsidRPr="001C25C2" w:rsidRDefault="001A549C" w:rsidP="00E76F38">
            <w:pPr>
              <w:pStyle w:val="TableText0"/>
              <w:spacing w:line="247" w:lineRule="auto"/>
              <w:ind w:left="368"/>
              <w:rPr>
                <w:rFonts w:cs="Times New Roman"/>
                <w:color w:val="000000"/>
                <w:sz w:val="20"/>
              </w:rPr>
            </w:pPr>
            <w:r w:rsidRPr="001C25C2">
              <w:rPr>
                <w:rFonts w:cs="Times New Roman"/>
                <w:color w:val="000000"/>
                <w:sz w:val="20"/>
              </w:rPr>
              <w:t>3 months</w:t>
            </w:r>
          </w:p>
          <w:p w:rsidR="001A549C" w:rsidRPr="001C25C2" w:rsidRDefault="001A549C" w:rsidP="00E76F38">
            <w:pPr>
              <w:pStyle w:val="TableText0"/>
              <w:spacing w:line="247" w:lineRule="auto"/>
              <w:ind w:left="368"/>
              <w:rPr>
                <w:rFonts w:cs="Times New Roman"/>
                <w:color w:val="000000"/>
                <w:sz w:val="20"/>
              </w:rPr>
            </w:pPr>
            <w:r w:rsidRPr="001C25C2">
              <w:rPr>
                <w:rFonts w:cs="Times New Roman"/>
                <w:color w:val="000000"/>
                <w:sz w:val="20"/>
              </w:rPr>
              <w:t>6 months</w:t>
            </w:r>
          </w:p>
          <w:p w:rsidR="001A549C" w:rsidRPr="001C25C2" w:rsidRDefault="001A549C" w:rsidP="00E76F38">
            <w:pPr>
              <w:pStyle w:val="TableText0"/>
              <w:spacing w:line="247" w:lineRule="auto"/>
              <w:ind w:left="368"/>
              <w:rPr>
                <w:rFonts w:cs="Times New Roman"/>
                <w:color w:val="000000"/>
                <w:sz w:val="20"/>
              </w:rPr>
            </w:pPr>
            <w:r w:rsidRPr="001C25C2">
              <w:rPr>
                <w:rFonts w:cs="Times New Roman"/>
                <w:color w:val="000000"/>
                <w:sz w:val="20"/>
              </w:rPr>
              <w:t>9 months</w:t>
            </w:r>
          </w:p>
          <w:p w:rsidR="001A549C" w:rsidRPr="001C25C2" w:rsidRDefault="001A549C" w:rsidP="00E76F38">
            <w:pPr>
              <w:pStyle w:val="TableText0"/>
              <w:spacing w:line="247" w:lineRule="auto"/>
              <w:ind w:left="368"/>
              <w:rPr>
                <w:rFonts w:cs="Times New Roman"/>
                <w:color w:val="000000"/>
                <w:sz w:val="20"/>
              </w:rPr>
            </w:pPr>
            <w:r w:rsidRPr="001C25C2">
              <w:rPr>
                <w:color w:val="000000"/>
                <w:sz w:val="20"/>
              </w:rPr>
              <w:t>12 months</w:t>
            </w:r>
          </w:p>
        </w:tc>
        <w:tc>
          <w:tcPr>
            <w:tcW w:w="865" w:type="pct"/>
            <w:tcBorders>
              <w:top w:val="double" w:sz="4" w:space="0" w:color="auto"/>
              <w:left w:val="single" w:sz="4" w:space="0" w:color="auto"/>
              <w:bottom w:val="single" w:sz="4" w:space="0" w:color="auto"/>
              <w:right w:val="single" w:sz="4" w:space="0" w:color="auto"/>
            </w:tcBorders>
            <w:vAlign w:val="center"/>
          </w:tcPr>
          <w:p w:rsidR="001A549C" w:rsidRPr="001C25C2" w:rsidRDefault="001A549C" w:rsidP="00E76F38">
            <w:pPr>
              <w:pStyle w:val="TableText0"/>
              <w:spacing w:line="247" w:lineRule="auto"/>
              <w:jc w:val="center"/>
              <w:rPr>
                <w:sz w:val="20"/>
              </w:rPr>
            </w:pPr>
          </w:p>
          <w:p w:rsidR="001A549C" w:rsidRPr="001C25C2" w:rsidRDefault="001A549C" w:rsidP="00E76F38">
            <w:pPr>
              <w:pStyle w:val="TableText0"/>
              <w:spacing w:line="247" w:lineRule="auto"/>
              <w:jc w:val="center"/>
              <w:rPr>
                <w:sz w:val="20"/>
              </w:rPr>
            </w:pPr>
          </w:p>
          <w:p w:rsidR="001A549C" w:rsidRPr="001C25C2" w:rsidRDefault="001A549C" w:rsidP="00E76F38">
            <w:pPr>
              <w:pStyle w:val="TableText0"/>
              <w:spacing w:line="247" w:lineRule="auto"/>
              <w:jc w:val="center"/>
              <w:rPr>
                <w:sz w:val="20"/>
              </w:rPr>
            </w:pPr>
          </w:p>
          <w:p w:rsidR="001A549C" w:rsidRPr="001C25C2" w:rsidRDefault="001A549C" w:rsidP="00E76F38">
            <w:pPr>
              <w:pStyle w:val="TableText0"/>
              <w:spacing w:line="247" w:lineRule="auto"/>
              <w:jc w:val="center"/>
              <w:rPr>
                <w:sz w:val="20"/>
              </w:rPr>
            </w:pPr>
            <w:r w:rsidRPr="001C25C2">
              <w:rPr>
                <w:sz w:val="20"/>
              </w:rPr>
              <w:t>72.4 (67.3, 76.9)</w:t>
            </w:r>
          </w:p>
          <w:p w:rsidR="001A549C" w:rsidRPr="001C25C2" w:rsidRDefault="001A549C" w:rsidP="00E76F38">
            <w:pPr>
              <w:pStyle w:val="TableText0"/>
              <w:spacing w:line="247" w:lineRule="auto"/>
              <w:jc w:val="center"/>
              <w:rPr>
                <w:sz w:val="20"/>
              </w:rPr>
            </w:pPr>
            <w:r w:rsidRPr="001C25C2">
              <w:rPr>
                <w:sz w:val="20"/>
              </w:rPr>
              <w:t>46.7 (41.1, 52.2)</w:t>
            </w:r>
          </w:p>
          <w:p w:rsidR="001A549C" w:rsidRPr="001C25C2" w:rsidRDefault="001A549C" w:rsidP="00E76F38">
            <w:pPr>
              <w:pStyle w:val="TableText0"/>
              <w:spacing w:line="247" w:lineRule="auto"/>
              <w:jc w:val="center"/>
              <w:rPr>
                <w:sz w:val="20"/>
              </w:rPr>
            </w:pPr>
            <w:r w:rsidRPr="001C25C2">
              <w:rPr>
                <w:sz w:val="20"/>
              </w:rPr>
              <w:t>30.3 (24.9, 35.8)</w:t>
            </w:r>
          </w:p>
          <w:p w:rsidR="001A549C" w:rsidRPr="001C25C2" w:rsidRDefault="001A549C" w:rsidP="00E76F38">
            <w:pPr>
              <w:keepNext/>
              <w:jc w:val="center"/>
              <w:rPr>
                <w:rFonts w:ascii="Arial Narrow" w:hAnsi="Arial Narrow"/>
                <w:sz w:val="20"/>
                <w:szCs w:val="20"/>
              </w:rPr>
            </w:pPr>
            <w:r w:rsidRPr="001C25C2">
              <w:rPr>
                <w:rFonts w:ascii="Arial Narrow" w:hAnsi="Arial Narrow"/>
                <w:sz w:val="20"/>
              </w:rPr>
              <w:t>21.2 (16.1, 26.7)</w:t>
            </w:r>
          </w:p>
        </w:tc>
        <w:tc>
          <w:tcPr>
            <w:tcW w:w="944" w:type="pct"/>
            <w:tcBorders>
              <w:top w:val="double" w:sz="4" w:space="0" w:color="auto"/>
              <w:left w:val="single" w:sz="4" w:space="0" w:color="auto"/>
              <w:bottom w:val="single" w:sz="4" w:space="0" w:color="auto"/>
              <w:right w:val="single" w:sz="4" w:space="0" w:color="auto"/>
            </w:tcBorders>
            <w:vAlign w:val="center"/>
          </w:tcPr>
          <w:p w:rsidR="001A549C" w:rsidRPr="001C25C2" w:rsidRDefault="001A549C" w:rsidP="00E76F38">
            <w:pPr>
              <w:keepNext/>
              <w:jc w:val="center"/>
              <w:rPr>
                <w:rFonts w:ascii="Arial Narrow" w:hAnsi="Arial Narrow"/>
                <w:sz w:val="20"/>
                <w:szCs w:val="20"/>
              </w:rPr>
            </w:pPr>
          </w:p>
          <w:p w:rsidR="001A549C" w:rsidRPr="001C25C2" w:rsidRDefault="001A549C" w:rsidP="00E76F38">
            <w:pPr>
              <w:keepNext/>
              <w:jc w:val="center"/>
              <w:rPr>
                <w:rFonts w:ascii="Arial Narrow" w:hAnsi="Arial Narrow"/>
                <w:sz w:val="20"/>
                <w:szCs w:val="20"/>
              </w:rPr>
            </w:pPr>
          </w:p>
          <w:p w:rsidR="001A549C" w:rsidRPr="001C25C2" w:rsidRDefault="001A549C" w:rsidP="00E76F38">
            <w:pPr>
              <w:keepNext/>
              <w:jc w:val="center"/>
              <w:rPr>
                <w:rFonts w:ascii="Arial Narrow" w:hAnsi="Arial Narrow"/>
                <w:sz w:val="20"/>
                <w:szCs w:val="20"/>
              </w:rPr>
            </w:pPr>
          </w:p>
          <w:p w:rsidR="001A549C" w:rsidRPr="001C25C2" w:rsidRDefault="001A549C" w:rsidP="00E76F38">
            <w:pPr>
              <w:keepNext/>
              <w:jc w:val="center"/>
              <w:rPr>
                <w:rFonts w:ascii="Arial Narrow" w:hAnsi="Arial Narrow"/>
                <w:sz w:val="20"/>
                <w:szCs w:val="20"/>
              </w:rPr>
            </w:pPr>
            <w:r w:rsidRPr="001C25C2">
              <w:rPr>
                <w:rFonts w:ascii="Arial Narrow" w:hAnsi="Arial Narrow"/>
                <w:sz w:val="20"/>
                <w:szCs w:val="20"/>
              </w:rPr>
              <w:t>60.3 (52.4, 67.2)</w:t>
            </w:r>
          </w:p>
          <w:p w:rsidR="001A549C" w:rsidRPr="001C25C2" w:rsidRDefault="001A549C" w:rsidP="00E76F38">
            <w:pPr>
              <w:keepNext/>
              <w:jc w:val="center"/>
              <w:rPr>
                <w:rFonts w:ascii="Arial Narrow" w:hAnsi="Arial Narrow"/>
                <w:sz w:val="20"/>
                <w:szCs w:val="20"/>
              </w:rPr>
            </w:pPr>
            <w:r w:rsidRPr="001C25C2">
              <w:rPr>
                <w:rFonts w:ascii="Arial Narrow" w:hAnsi="Arial Narrow"/>
                <w:sz w:val="20"/>
                <w:szCs w:val="20"/>
              </w:rPr>
              <w:t>33.1 (25.9, 40.3)</w:t>
            </w:r>
          </w:p>
          <w:p w:rsidR="001A549C" w:rsidRPr="001C25C2" w:rsidRDefault="001A549C" w:rsidP="00E76F38">
            <w:pPr>
              <w:keepNext/>
              <w:jc w:val="center"/>
              <w:rPr>
                <w:rFonts w:ascii="Arial Narrow" w:hAnsi="Arial Narrow"/>
                <w:sz w:val="20"/>
                <w:szCs w:val="20"/>
              </w:rPr>
            </w:pPr>
            <w:r w:rsidRPr="001C25C2">
              <w:rPr>
                <w:rFonts w:ascii="Arial Narrow" w:hAnsi="Arial Narrow"/>
                <w:sz w:val="20"/>
                <w:szCs w:val="20"/>
              </w:rPr>
              <w:t>23.3 (16.8, 30.3)</w:t>
            </w:r>
          </w:p>
          <w:p w:rsidR="001A549C" w:rsidRPr="001C25C2" w:rsidRDefault="001A549C" w:rsidP="00E76F38">
            <w:pPr>
              <w:keepNext/>
              <w:jc w:val="center"/>
              <w:rPr>
                <w:rFonts w:ascii="Arial Narrow" w:hAnsi="Arial Narrow"/>
                <w:sz w:val="20"/>
                <w:szCs w:val="20"/>
              </w:rPr>
            </w:pPr>
            <w:r w:rsidRPr="001C25C2">
              <w:rPr>
                <w:rFonts w:ascii="Arial Narrow" w:hAnsi="Arial Narrow"/>
                <w:sz w:val="20"/>
                <w:szCs w:val="20"/>
              </w:rPr>
              <w:t>13.0 (7.7, 19.8)</w:t>
            </w:r>
          </w:p>
        </w:tc>
        <w:tc>
          <w:tcPr>
            <w:tcW w:w="944" w:type="pct"/>
            <w:tcBorders>
              <w:top w:val="double" w:sz="4" w:space="0" w:color="auto"/>
              <w:left w:val="single" w:sz="4" w:space="0" w:color="auto"/>
              <w:bottom w:val="single" w:sz="4" w:space="0" w:color="auto"/>
              <w:right w:val="single" w:sz="4" w:space="0" w:color="auto"/>
            </w:tcBorders>
            <w:vAlign w:val="center"/>
          </w:tcPr>
          <w:p w:rsidR="001A549C" w:rsidRPr="001C25C2" w:rsidRDefault="001A549C" w:rsidP="00E76F38">
            <w:pPr>
              <w:keepNext/>
              <w:jc w:val="center"/>
              <w:rPr>
                <w:rFonts w:ascii="Arial Narrow" w:hAnsi="Arial Narrow"/>
                <w:color w:val="000000"/>
                <w:sz w:val="20"/>
                <w:szCs w:val="18"/>
              </w:rPr>
            </w:pPr>
          </w:p>
          <w:p w:rsidR="001A549C" w:rsidRPr="001C25C2" w:rsidRDefault="001A549C" w:rsidP="00E76F38">
            <w:pPr>
              <w:keepNext/>
              <w:jc w:val="center"/>
              <w:rPr>
                <w:rFonts w:ascii="Arial Narrow" w:hAnsi="Arial Narrow"/>
                <w:color w:val="000000"/>
                <w:sz w:val="20"/>
                <w:szCs w:val="18"/>
              </w:rPr>
            </w:pPr>
          </w:p>
          <w:p w:rsidR="001A549C" w:rsidRPr="001C25C2" w:rsidRDefault="001A549C" w:rsidP="00E76F38">
            <w:pPr>
              <w:keepNext/>
              <w:jc w:val="center"/>
              <w:rPr>
                <w:rFonts w:ascii="Arial Narrow" w:hAnsi="Arial Narrow"/>
                <w:color w:val="000000"/>
                <w:sz w:val="20"/>
                <w:szCs w:val="18"/>
              </w:rPr>
            </w:pPr>
          </w:p>
          <w:p w:rsidR="001A549C" w:rsidRPr="001C25C2" w:rsidRDefault="001A549C" w:rsidP="00E76F38">
            <w:pPr>
              <w:keepNext/>
              <w:jc w:val="center"/>
              <w:rPr>
                <w:rFonts w:ascii="Arial Narrow" w:hAnsi="Arial Narrow"/>
                <w:color w:val="000000"/>
                <w:sz w:val="20"/>
                <w:szCs w:val="18"/>
              </w:rPr>
            </w:pPr>
            <w:r w:rsidRPr="001C25C2">
              <w:rPr>
                <w:rFonts w:ascii="Arial Narrow" w:hAnsi="Arial Narrow"/>
                <w:color w:val="000000"/>
                <w:sz w:val="20"/>
                <w:szCs w:val="18"/>
              </w:rPr>
              <w:t>12.1%</w:t>
            </w:r>
          </w:p>
          <w:p w:rsidR="001A549C" w:rsidRPr="001C25C2" w:rsidRDefault="001A549C" w:rsidP="00E76F38">
            <w:pPr>
              <w:keepNext/>
              <w:jc w:val="center"/>
              <w:rPr>
                <w:rFonts w:ascii="Arial Narrow" w:hAnsi="Arial Narrow"/>
                <w:color w:val="000000"/>
                <w:sz w:val="20"/>
                <w:szCs w:val="18"/>
              </w:rPr>
            </w:pPr>
            <w:r w:rsidRPr="001C25C2">
              <w:rPr>
                <w:rFonts w:ascii="Arial Narrow" w:hAnsi="Arial Narrow"/>
                <w:color w:val="000000"/>
                <w:sz w:val="20"/>
                <w:szCs w:val="18"/>
              </w:rPr>
              <w:t>13.6%</w:t>
            </w:r>
          </w:p>
          <w:p w:rsidR="001A549C" w:rsidRPr="001C25C2" w:rsidRDefault="001A549C" w:rsidP="00E76F38">
            <w:pPr>
              <w:keepNext/>
              <w:jc w:val="center"/>
              <w:rPr>
                <w:rFonts w:ascii="Arial Narrow" w:hAnsi="Arial Narrow"/>
                <w:color w:val="000000"/>
                <w:sz w:val="20"/>
                <w:szCs w:val="18"/>
              </w:rPr>
            </w:pPr>
            <w:r w:rsidRPr="001C25C2">
              <w:rPr>
                <w:rFonts w:ascii="Arial Narrow" w:hAnsi="Arial Narrow"/>
                <w:color w:val="000000"/>
                <w:sz w:val="20"/>
                <w:szCs w:val="18"/>
              </w:rPr>
              <w:t>7.0%</w:t>
            </w:r>
          </w:p>
          <w:p w:rsidR="001A549C" w:rsidRPr="001C25C2" w:rsidRDefault="001A549C" w:rsidP="00E76F38">
            <w:pPr>
              <w:keepNext/>
              <w:jc w:val="center"/>
              <w:rPr>
                <w:rFonts w:ascii="Arial Narrow" w:hAnsi="Arial Narrow"/>
                <w:color w:val="000000"/>
                <w:sz w:val="20"/>
                <w:szCs w:val="18"/>
              </w:rPr>
            </w:pPr>
            <w:r w:rsidRPr="001C25C2">
              <w:rPr>
                <w:rFonts w:ascii="Arial Narrow" w:hAnsi="Arial Narrow"/>
                <w:color w:val="000000"/>
                <w:sz w:val="20"/>
                <w:szCs w:val="18"/>
              </w:rPr>
              <w:t>8.2%</w:t>
            </w:r>
          </w:p>
        </w:tc>
        <w:tc>
          <w:tcPr>
            <w:tcW w:w="1228" w:type="pct"/>
            <w:gridSpan w:val="2"/>
            <w:tcBorders>
              <w:top w:val="double" w:sz="4" w:space="0" w:color="auto"/>
              <w:left w:val="single" w:sz="4" w:space="0" w:color="auto"/>
              <w:bottom w:val="single" w:sz="4" w:space="0" w:color="auto"/>
              <w:right w:val="single" w:sz="4" w:space="0" w:color="auto"/>
            </w:tcBorders>
            <w:vAlign w:val="center"/>
          </w:tcPr>
          <w:p w:rsidR="001A549C" w:rsidRPr="001C25C2" w:rsidRDefault="001A549C" w:rsidP="00E76F38">
            <w:pPr>
              <w:keepNext/>
              <w:jc w:val="center"/>
              <w:rPr>
                <w:rFonts w:ascii="Arial Narrow" w:hAnsi="Arial Narrow"/>
                <w:color w:val="000000"/>
                <w:sz w:val="20"/>
                <w:szCs w:val="18"/>
              </w:rPr>
            </w:pPr>
          </w:p>
        </w:tc>
      </w:tr>
      <w:tr w:rsidR="00416BDD" w:rsidRPr="001C25C2" w:rsidTr="00416BDD">
        <w:tc>
          <w:tcPr>
            <w:tcW w:w="1019" w:type="pct"/>
            <w:tcBorders>
              <w:top w:val="double" w:sz="4" w:space="0" w:color="auto"/>
              <w:left w:val="single" w:sz="4" w:space="0" w:color="auto"/>
              <w:bottom w:val="single" w:sz="4" w:space="0" w:color="auto"/>
              <w:right w:val="single" w:sz="4" w:space="0" w:color="auto"/>
            </w:tcBorders>
            <w:shd w:val="clear" w:color="auto" w:fill="auto"/>
            <w:vAlign w:val="center"/>
          </w:tcPr>
          <w:p w:rsidR="00416BDD" w:rsidRPr="001C25C2" w:rsidRDefault="00416BDD" w:rsidP="00E76F38">
            <w:pPr>
              <w:keepNext/>
              <w:jc w:val="left"/>
              <w:rPr>
                <w:rFonts w:ascii="Arial Narrow" w:hAnsi="Arial Narrow"/>
                <w:color w:val="000000"/>
                <w:sz w:val="20"/>
                <w:szCs w:val="18"/>
              </w:rPr>
            </w:pPr>
            <w:r w:rsidRPr="001C25C2">
              <w:rPr>
                <w:rFonts w:ascii="Arial Narrow" w:hAnsi="Arial Narrow"/>
                <w:color w:val="000000"/>
                <w:sz w:val="20"/>
                <w:szCs w:val="18"/>
              </w:rPr>
              <w:t>Progressed n/N (%)</w:t>
            </w:r>
          </w:p>
        </w:tc>
        <w:tc>
          <w:tcPr>
            <w:tcW w:w="865" w:type="pct"/>
            <w:tcBorders>
              <w:top w:val="double" w:sz="4" w:space="0" w:color="auto"/>
              <w:left w:val="single" w:sz="4" w:space="0" w:color="auto"/>
              <w:bottom w:val="single" w:sz="4" w:space="0" w:color="auto"/>
              <w:right w:val="single" w:sz="4" w:space="0" w:color="auto"/>
            </w:tcBorders>
            <w:vAlign w:val="center"/>
          </w:tcPr>
          <w:p w:rsidR="00416BDD" w:rsidRPr="001C25C2" w:rsidRDefault="00416BDD" w:rsidP="00E76F38">
            <w:pPr>
              <w:keepNext/>
              <w:jc w:val="center"/>
              <w:rPr>
                <w:rFonts w:ascii="Arial Narrow" w:hAnsi="Arial Narrow"/>
                <w:sz w:val="20"/>
              </w:rPr>
            </w:pPr>
            <w:r w:rsidRPr="001C25C2">
              <w:rPr>
                <w:rFonts w:ascii="Arial Narrow" w:hAnsi="Arial Narrow"/>
                <w:sz w:val="20"/>
                <w:szCs w:val="20"/>
              </w:rPr>
              <w:t>287 (85.2)</w:t>
            </w:r>
          </w:p>
        </w:tc>
        <w:tc>
          <w:tcPr>
            <w:tcW w:w="944" w:type="pct"/>
            <w:tcBorders>
              <w:top w:val="double" w:sz="4" w:space="0" w:color="auto"/>
              <w:left w:val="single" w:sz="4" w:space="0" w:color="auto"/>
              <w:bottom w:val="single" w:sz="4" w:space="0" w:color="auto"/>
              <w:right w:val="single" w:sz="4" w:space="0" w:color="auto"/>
            </w:tcBorders>
            <w:vAlign w:val="center"/>
          </w:tcPr>
          <w:p w:rsidR="00416BDD" w:rsidRPr="001C25C2" w:rsidRDefault="00416BDD" w:rsidP="00E76F38">
            <w:pPr>
              <w:keepNext/>
              <w:jc w:val="center"/>
              <w:rPr>
                <w:rFonts w:ascii="Arial Narrow" w:hAnsi="Arial Narrow"/>
                <w:sz w:val="20"/>
              </w:rPr>
            </w:pPr>
            <w:r w:rsidRPr="001C25C2">
              <w:rPr>
                <w:rFonts w:ascii="Arial Narrow" w:hAnsi="Arial Narrow"/>
                <w:sz w:val="20"/>
                <w:szCs w:val="20"/>
              </w:rPr>
              <w:t>156 (91.8)</w:t>
            </w:r>
          </w:p>
        </w:tc>
        <w:tc>
          <w:tcPr>
            <w:tcW w:w="944" w:type="pct"/>
            <w:tcBorders>
              <w:top w:val="double" w:sz="4" w:space="0" w:color="auto"/>
              <w:left w:val="single" w:sz="4" w:space="0" w:color="auto"/>
              <w:bottom w:val="single" w:sz="4" w:space="0" w:color="auto"/>
              <w:right w:val="single" w:sz="4" w:space="0" w:color="auto"/>
            </w:tcBorders>
            <w:vAlign w:val="center"/>
          </w:tcPr>
          <w:p w:rsidR="00416BDD" w:rsidRPr="001C25C2" w:rsidRDefault="00416BDD" w:rsidP="00E76F38">
            <w:pPr>
              <w:keepNext/>
              <w:jc w:val="center"/>
              <w:rPr>
                <w:rFonts w:ascii="Arial Narrow" w:hAnsi="Arial Narrow"/>
                <w:color w:val="000000"/>
                <w:sz w:val="20"/>
                <w:szCs w:val="18"/>
              </w:rPr>
            </w:pPr>
            <w:r w:rsidRPr="001C25C2">
              <w:rPr>
                <w:rFonts w:ascii="Arial Narrow" w:hAnsi="Arial Narrow"/>
                <w:color w:val="000000"/>
                <w:sz w:val="20"/>
                <w:szCs w:val="18"/>
              </w:rPr>
              <w:t>-6.6%</w:t>
            </w:r>
          </w:p>
        </w:tc>
        <w:tc>
          <w:tcPr>
            <w:tcW w:w="1228" w:type="pct"/>
            <w:gridSpan w:val="2"/>
            <w:tcBorders>
              <w:top w:val="double" w:sz="4" w:space="0" w:color="auto"/>
              <w:left w:val="single" w:sz="4" w:space="0" w:color="auto"/>
              <w:bottom w:val="single" w:sz="4" w:space="0" w:color="auto"/>
              <w:right w:val="single" w:sz="4" w:space="0" w:color="auto"/>
            </w:tcBorders>
            <w:vAlign w:val="center"/>
          </w:tcPr>
          <w:p w:rsidR="00416BDD" w:rsidRPr="001C25C2" w:rsidRDefault="00416BDD" w:rsidP="00E76F38">
            <w:pPr>
              <w:keepNext/>
              <w:jc w:val="center"/>
              <w:rPr>
                <w:rFonts w:ascii="Arial Narrow" w:hAnsi="Arial Narrow"/>
                <w:color w:val="000000"/>
                <w:sz w:val="20"/>
                <w:szCs w:val="18"/>
              </w:rPr>
            </w:pPr>
            <w:r w:rsidRPr="001C25C2">
              <w:rPr>
                <w:rFonts w:ascii="Arial Narrow" w:hAnsi="Arial Narrow"/>
                <w:color w:val="000000"/>
                <w:sz w:val="20"/>
                <w:szCs w:val="18"/>
              </w:rPr>
              <w:t>0.57 (0.47, 0.70)</w:t>
            </w:r>
          </w:p>
        </w:tc>
      </w:tr>
      <w:tr w:rsidR="00416BDD" w:rsidRPr="001C25C2" w:rsidTr="00416BD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416BDD" w:rsidRPr="001C25C2" w:rsidRDefault="00416BDD" w:rsidP="00E76F38">
            <w:pPr>
              <w:keepNext/>
              <w:jc w:val="left"/>
              <w:rPr>
                <w:rFonts w:ascii="Arial Narrow" w:hAnsi="Arial Narrow"/>
                <w:color w:val="000000"/>
                <w:sz w:val="20"/>
                <w:szCs w:val="18"/>
              </w:rPr>
            </w:pPr>
            <w:r w:rsidRPr="001C25C2">
              <w:rPr>
                <w:rFonts w:ascii="Arial Narrow" w:hAnsi="Arial Narrow"/>
                <w:color w:val="000000"/>
                <w:sz w:val="20"/>
                <w:szCs w:val="18"/>
              </w:rPr>
              <w:t>PFS median (months)</w:t>
            </w:r>
          </w:p>
        </w:tc>
        <w:tc>
          <w:tcPr>
            <w:tcW w:w="865" w:type="pct"/>
            <w:tcBorders>
              <w:top w:val="single" w:sz="4" w:space="0" w:color="auto"/>
              <w:left w:val="single" w:sz="4" w:space="0" w:color="auto"/>
              <w:bottom w:val="single" w:sz="4" w:space="0" w:color="auto"/>
              <w:right w:val="single" w:sz="4" w:space="0" w:color="auto"/>
            </w:tcBorders>
            <w:vAlign w:val="center"/>
          </w:tcPr>
          <w:p w:rsidR="00416BDD" w:rsidRPr="001C25C2" w:rsidRDefault="00416BDD" w:rsidP="00E76F38">
            <w:pPr>
              <w:keepNext/>
              <w:jc w:val="center"/>
              <w:rPr>
                <w:rFonts w:ascii="Arial Narrow" w:hAnsi="Arial Narrow"/>
                <w:sz w:val="20"/>
                <w:szCs w:val="20"/>
              </w:rPr>
            </w:pPr>
            <w:r w:rsidRPr="001C25C2">
              <w:rPr>
                <w:rFonts w:ascii="Arial Narrow" w:hAnsi="Arial Narrow"/>
                <w:sz w:val="20"/>
                <w:szCs w:val="20"/>
              </w:rPr>
              <w:t>1.97 (1.9, 2.3)</w:t>
            </w:r>
          </w:p>
        </w:tc>
        <w:tc>
          <w:tcPr>
            <w:tcW w:w="944" w:type="pct"/>
            <w:tcBorders>
              <w:top w:val="single" w:sz="4" w:space="0" w:color="auto"/>
              <w:left w:val="single" w:sz="4" w:space="0" w:color="auto"/>
              <w:bottom w:val="single" w:sz="4" w:space="0" w:color="auto"/>
              <w:right w:val="single" w:sz="4" w:space="0" w:color="auto"/>
            </w:tcBorders>
            <w:vAlign w:val="center"/>
          </w:tcPr>
          <w:p w:rsidR="00416BDD" w:rsidRPr="001C25C2" w:rsidRDefault="00416BDD" w:rsidP="00E76F38">
            <w:pPr>
              <w:keepNext/>
              <w:jc w:val="center"/>
              <w:rPr>
                <w:rFonts w:ascii="Arial Narrow" w:hAnsi="Arial Narrow"/>
                <w:sz w:val="20"/>
                <w:szCs w:val="20"/>
              </w:rPr>
            </w:pPr>
            <w:r w:rsidRPr="001C25C2">
              <w:rPr>
                <w:rFonts w:ascii="Arial Narrow" w:hAnsi="Arial Narrow"/>
                <w:sz w:val="20"/>
                <w:szCs w:val="20"/>
              </w:rPr>
              <w:t>1.81 (1.7, 1.9)</w:t>
            </w:r>
          </w:p>
        </w:tc>
        <w:tc>
          <w:tcPr>
            <w:tcW w:w="944" w:type="pct"/>
            <w:tcBorders>
              <w:top w:val="single" w:sz="4" w:space="0" w:color="auto"/>
              <w:left w:val="single" w:sz="4" w:space="0" w:color="auto"/>
              <w:bottom w:val="single" w:sz="4" w:space="0" w:color="auto"/>
              <w:right w:val="single" w:sz="4" w:space="0" w:color="auto"/>
            </w:tcBorders>
          </w:tcPr>
          <w:p w:rsidR="00416BDD" w:rsidRPr="001C25C2" w:rsidRDefault="00416BDD" w:rsidP="00E76F38">
            <w:pPr>
              <w:keepNext/>
              <w:jc w:val="center"/>
              <w:rPr>
                <w:rFonts w:ascii="Arial Narrow" w:hAnsi="Arial Narrow"/>
                <w:color w:val="000000"/>
                <w:sz w:val="20"/>
                <w:szCs w:val="18"/>
              </w:rPr>
            </w:pPr>
            <w:r w:rsidRPr="001C25C2">
              <w:rPr>
                <w:rFonts w:ascii="Arial Narrow" w:hAnsi="Arial Narrow"/>
                <w:color w:val="000000"/>
                <w:sz w:val="20"/>
                <w:szCs w:val="18"/>
              </w:rPr>
              <w:t>0.16</w:t>
            </w:r>
          </w:p>
        </w:tc>
        <w:tc>
          <w:tcPr>
            <w:tcW w:w="1228" w:type="pct"/>
            <w:gridSpan w:val="2"/>
            <w:tcBorders>
              <w:top w:val="single" w:sz="4" w:space="0" w:color="auto"/>
              <w:left w:val="single" w:sz="4" w:space="0" w:color="auto"/>
              <w:bottom w:val="single" w:sz="4" w:space="0" w:color="auto"/>
              <w:right w:val="single" w:sz="4" w:space="0" w:color="auto"/>
            </w:tcBorders>
            <w:vAlign w:val="center"/>
          </w:tcPr>
          <w:p w:rsidR="00416BDD" w:rsidRPr="001C25C2" w:rsidRDefault="00416BDD" w:rsidP="00E76F38">
            <w:pPr>
              <w:keepNext/>
              <w:jc w:val="center"/>
              <w:rPr>
                <w:rFonts w:ascii="Arial Narrow" w:hAnsi="Arial Narrow"/>
                <w:color w:val="000000"/>
                <w:sz w:val="20"/>
                <w:szCs w:val="18"/>
              </w:rPr>
            </w:pPr>
            <w:r w:rsidRPr="001C25C2">
              <w:rPr>
                <w:rFonts w:ascii="Arial Narrow" w:hAnsi="Arial Narrow"/>
                <w:color w:val="000000"/>
                <w:sz w:val="20"/>
                <w:szCs w:val="18"/>
              </w:rPr>
              <w:t>-</w:t>
            </w:r>
          </w:p>
        </w:tc>
      </w:tr>
      <w:tr w:rsidR="001A549C" w:rsidRPr="001C25C2" w:rsidTr="00416BDD">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1A549C" w:rsidRPr="001C25C2" w:rsidRDefault="001A549C" w:rsidP="00E76F38">
            <w:pPr>
              <w:keepNext/>
              <w:widowControl/>
              <w:spacing w:line="247" w:lineRule="auto"/>
              <w:jc w:val="left"/>
              <w:rPr>
                <w:rFonts w:ascii="Arial Narrow" w:hAnsi="Arial Narrow" w:cs="Times New Roman"/>
                <w:snapToGrid/>
                <w:color w:val="000000"/>
                <w:sz w:val="20"/>
                <w:lang w:bidi="en-US"/>
              </w:rPr>
            </w:pPr>
            <w:r w:rsidRPr="001C25C2">
              <w:rPr>
                <w:rFonts w:ascii="Arial Narrow" w:hAnsi="Arial Narrow" w:cs="Times New Roman"/>
                <w:snapToGrid/>
                <w:color w:val="000000"/>
                <w:sz w:val="20"/>
                <w:lang w:bidi="en-US"/>
              </w:rPr>
              <w:t xml:space="preserve">KM </w:t>
            </w:r>
            <w:proofErr w:type="spellStart"/>
            <w:r w:rsidRPr="001C25C2">
              <w:rPr>
                <w:rFonts w:ascii="Arial Narrow" w:hAnsi="Arial Narrow" w:cs="Times New Roman"/>
                <w:snapToGrid/>
                <w:color w:val="000000"/>
                <w:sz w:val="20"/>
                <w:lang w:bidi="en-US"/>
              </w:rPr>
              <w:t>estimates</w:t>
            </w:r>
            <w:r w:rsidRPr="001C25C2">
              <w:rPr>
                <w:rFonts w:ascii="Arial Narrow" w:hAnsi="Arial Narrow" w:cs="Times New Roman"/>
                <w:snapToGrid/>
                <w:color w:val="000000"/>
                <w:sz w:val="20"/>
                <w:vertAlign w:val="superscript"/>
                <w:lang w:bidi="en-US"/>
              </w:rPr>
              <w:t>c</w:t>
            </w:r>
            <w:proofErr w:type="spellEnd"/>
            <w:r w:rsidRPr="001C25C2">
              <w:rPr>
                <w:rFonts w:ascii="Arial Narrow" w:hAnsi="Arial Narrow" w:cs="Times New Roman"/>
                <w:snapToGrid/>
                <w:color w:val="000000"/>
                <w:sz w:val="20"/>
                <w:lang w:bidi="en-US"/>
              </w:rPr>
              <w:t xml:space="preserve"> of percentage of patients free of progression at:</w:t>
            </w:r>
          </w:p>
          <w:p w:rsidR="001A549C" w:rsidRPr="001C25C2" w:rsidRDefault="001A549C" w:rsidP="00E76F38">
            <w:pPr>
              <w:keepNext/>
              <w:widowControl/>
              <w:spacing w:line="247" w:lineRule="auto"/>
              <w:ind w:left="368"/>
              <w:jc w:val="left"/>
              <w:rPr>
                <w:rFonts w:ascii="Arial Narrow" w:hAnsi="Arial Narrow" w:cs="Times New Roman"/>
                <w:snapToGrid/>
                <w:color w:val="000000"/>
                <w:sz w:val="20"/>
                <w:lang w:bidi="en-US"/>
              </w:rPr>
            </w:pPr>
            <w:r w:rsidRPr="001C25C2">
              <w:rPr>
                <w:rFonts w:ascii="Arial Narrow" w:hAnsi="Arial Narrow" w:cs="Times New Roman"/>
                <w:snapToGrid/>
                <w:color w:val="000000"/>
                <w:sz w:val="20"/>
                <w:lang w:bidi="en-US"/>
              </w:rPr>
              <w:t>2 months</w:t>
            </w:r>
          </w:p>
          <w:p w:rsidR="001A549C" w:rsidRPr="001C25C2" w:rsidRDefault="001A549C" w:rsidP="00E76F38">
            <w:pPr>
              <w:keepNext/>
              <w:widowControl/>
              <w:spacing w:line="247" w:lineRule="auto"/>
              <w:ind w:left="368"/>
              <w:jc w:val="left"/>
              <w:rPr>
                <w:rFonts w:ascii="Arial Narrow" w:hAnsi="Arial Narrow" w:cs="Times New Roman"/>
                <w:snapToGrid/>
                <w:color w:val="000000"/>
                <w:sz w:val="20"/>
                <w:lang w:bidi="en-US"/>
              </w:rPr>
            </w:pPr>
            <w:r w:rsidRPr="001C25C2">
              <w:rPr>
                <w:rFonts w:ascii="Arial Narrow" w:hAnsi="Arial Narrow" w:cs="Times New Roman"/>
                <w:snapToGrid/>
                <w:color w:val="000000"/>
                <w:sz w:val="20"/>
                <w:lang w:bidi="en-US"/>
              </w:rPr>
              <w:t>4 months</w:t>
            </w:r>
          </w:p>
          <w:p w:rsidR="001A549C" w:rsidRPr="001C25C2" w:rsidRDefault="001A549C" w:rsidP="00E76F38">
            <w:pPr>
              <w:keepNext/>
              <w:widowControl/>
              <w:spacing w:line="247" w:lineRule="auto"/>
              <w:ind w:left="368"/>
              <w:jc w:val="left"/>
              <w:rPr>
                <w:rFonts w:ascii="Arial Narrow" w:hAnsi="Arial Narrow" w:cs="Times New Roman"/>
                <w:snapToGrid/>
                <w:color w:val="000000"/>
                <w:sz w:val="20"/>
                <w:lang w:bidi="en-US"/>
              </w:rPr>
            </w:pPr>
            <w:r w:rsidRPr="001C25C2">
              <w:rPr>
                <w:rFonts w:ascii="Arial Narrow" w:hAnsi="Arial Narrow" w:cs="Times New Roman"/>
                <w:snapToGrid/>
                <w:color w:val="000000"/>
                <w:sz w:val="20"/>
                <w:lang w:bidi="en-US"/>
              </w:rPr>
              <w:t>6 months</w:t>
            </w:r>
          </w:p>
          <w:p w:rsidR="001A549C" w:rsidRPr="001C25C2" w:rsidRDefault="001A549C" w:rsidP="00E76F38">
            <w:pPr>
              <w:keepNext/>
              <w:widowControl/>
              <w:spacing w:line="247" w:lineRule="auto"/>
              <w:ind w:left="368"/>
              <w:jc w:val="left"/>
              <w:rPr>
                <w:rFonts w:ascii="Arial Narrow" w:hAnsi="Arial Narrow" w:cs="Times New Roman"/>
                <w:snapToGrid/>
                <w:color w:val="000000"/>
                <w:sz w:val="20"/>
                <w:lang w:bidi="en-US"/>
              </w:rPr>
            </w:pPr>
            <w:r w:rsidRPr="001C25C2">
              <w:rPr>
                <w:rFonts w:ascii="Arial Narrow" w:hAnsi="Arial Narrow" w:cs="Times New Roman"/>
                <w:snapToGrid/>
                <w:color w:val="000000"/>
                <w:sz w:val="20"/>
                <w:lang w:bidi="en-US"/>
              </w:rPr>
              <w:t>8 months</w:t>
            </w:r>
          </w:p>
        </w:tc>
        <w:tc>
          <w:tcPr>
            <w:tcW w:w="865" w:type="pct"/>
            <w:tcBorders>
              <w:top w:val="single" w:sz="4" w:space="0" w:color="auto"/>
              <w:left w:val="single" w:sz="4" w:space="0" w:color="auto"/>
              <w:bottom w:val="single" w:sz="4" w:space="0" w:color="auto"/>
              <w:right w:val="single" w:sz="4" w:space="0" w:color="auto"/>
            </w:tcBorders>
            <w:vAlign w:val="center"/>
          </w:tcPr>
          <w:p w:rsidR="001A549C" w:rsidRPr="001C25C2" w:rsidRDefault="001A549C" w:rsidP="00E76F38">
            <w:pPr>
              <w:keepNext/>
              <w:jc w:val="center"/>
              <w:rPr>
                <w:rFonts w:ascii="Arial Narrow" w:hAnsi="Arial Narrow"/>
                <w:sz w:val="20"/>
                <w:szCs w:val="20"/>
              </w:rPr>
            </w:pPr>
          </w:p>
          <w:p w:rsidR="001A549C" w:rsidRPr="001C25C2" w:rsidRDefault="001A549C" w:rsidP="00E76F38">
            <w:pPr>
              <w:keepNext/>
              <w:jc w:val="center"/>
              <w:rPr>
                <w:rFonts w:ascii="Arial Narrow" w:hAnsi="Arial Narrow"/>
                <w:sz w:val="20"/>
                <w:szCs w:val="20"/>
              </w:rPr>
            </w:pPr>
          </w:p>
          <w:p w:rsidR="001A549C" w:rsidRPr="001C25C2" w:rsidRDefault="001A549C" w:rsidP="00E76F38">
            <w:pPr>
              <w:keepNext/>
              <w:jc w:val="center"/>
              <w:rPr>
                <w:rFonts w:ascii="Arial Narrow" w:hAnsi="Arial Narrow"/>
                <w:sz w:val="20"/>
                <w:szCs w:val="20"/>
              </w:rPr>
            </w:pPr>
          </w:p>
          <w:p w:rsidR="001A549C" w:rsidRPr="001C25C2" w:rsidRDefault="001A549C" w:rsidP="00E76F38">
            <w:pPr>
              <w:keepNext/>
              <w:jc w:val="center"/>
              <w:rPr>
                <w:rFonts w:ascii="Arial Narrow" w:hAnsi="Arial Narrow"/>
                <w:sz w:val="20"/>
                <w:szCs w:val="20"/>
              </w:rPr>
            </w:pPr>
            <w:r w:rsidRPr="001C25C2">
              <w:rPr>
                <w:rFonts w:ascii="Arial Narrow" w:hAnsi="Arial Narrow"/>
                <w:sz w:val="20"/>
                <w:szCs w:val="20"/>
              </w:rPr>
              <w:t>49.7 (44.1, 55.1)</w:t>
            </w:r>
          </w:p>
          <w:p w:rsidR="001A549C" w:rsidRPr="001C25C2" w:rsidRDefault="001A549C" w:rsidP="00E76F38">
            <w:pPr>
              <w:keepNext/>
              <w:jc w:val="center"/>
              <w:rPr>
                <w:rFonts w:ascii="Arial Narrow" w:hAnsi="Arial Narrow"/>
                <w:sz w:val="20"/>
                <w:szCs w:val="20"/>
              </w:rPr>
            </w:pPr>
            <w:r w:rsidRPr="001C25C2">
              <w:rPr>
                <w:rFonts w:ascii="Arial Narrow" w:hAnsi="Arial Narrow"/>
                <w:sz w:val="20"/>
                <w:szCs w:val="20"/>
              </w:rPr>
              <w:t>26.8 (21.9, 31.9)</w:t>
            </w:r>
          </w:p>
          <w:p w:rsidR="001A549C" w:rsidRPr="001C25C2" w:rsidRDefault="001A549C" w:rsidP="00E76F38">
            <w:pPr>
              <w:keepNext/>
              <w:jc w:val="center"/>
              <w:rPr>
                <w:rFonts w:ascii="Arial Narrow" w:hAnsi="Arial Narrow"/>
                <w:sz w:val="20"/>
                <w:szCs w:val="20"/>
              </w:rPr>
            </w:pPr>
            <w:r w:rsidRPr="001C25C2">
              <w:rPr>
                <w:rFonts w:ascii="Arial Narrow" w:hAnsi="Arial Narrow"/>
                <w:sz w:val="20"/>
                <w:szCs w:val="20"/>
              </w:rPr>
              <w:t>14.6 (10.7, 19.0)</w:t>
            </w:r>
          </w:p>
          <w:p w:rsidR="001A549C" w:rsidRPr="001C25C2" w:rsidRDefault="001A549C" w:rsidP="00E76F38">
            <w:pPr>
              <w:keepNext/>
              <w:jc w:val="center"/>
              <w:rPr>
                <w:rFonts w:ascii="Arial Narrow" w:hAnsi="Arial Narrow"/>
                <w:sz w:val="20"/>
                <w:szCs w:val="20"/>
              </w:rPr>
            </w:pPr>
            <w:r w:rsidRPr="001C25C2">
              <w:rPr>
                <w:rFonts w:ascii="Arial Narrow" w:hAnsi="Arial Narrow"/>
                <w:sz w:val="20"/>
                <w:szCs w:val="20"/>
              </w:rPr>
              <w:t>9.4 (6.2, 13.3)</w:t>
            </w:r>
          </w:p>
        </w:tc>
        <w:tc>
          <w:tcPr>
            <w:tcW w:w="944" w:type="pct"/>
            <w:tcBorders>
              <w:top w:val="single" w:sz="4" w:space="0" w:color="auto"/>
              <w:left w:val="single" w:sz="4" w:space="0" w:color="auto"/>
              <w:bottom w:val="single" w:sz="4" w:space="0" w:color="auto"/>
              <w:right w:val="single" w:sz="4" w:space="0" w:color="auto"/>
            </w:tcBorders>
            <w:vAlign w:val="center"/>
          </w:tcPr>
          <w:p w:rsidR="001A549C" w:rsidRPr="001C25C2" w:rsidRDefault="001A549C" w:rsidP="00E76F38">
            <w:pPr>
              <w:keepNext/>
              <w:jc w:val="center"/>
              <w:rPr>
                <w:rFonts w:ascii="Arial Narrow" w:hAnsi="Arial Narrow"/>
                <w:sz w:val="20"/>
                <w:szCs w:val="20"/>
              </w:rPr>
            </w:pPr>
          </w:p>
          <w:p w:rsidR="001A549C" w:rsidRPr="001C25C2" w:rsidRDefault="001A549C" w:rsidP="00E76F38">
            <w:pPr>
              <w:keepNext/>
              <w:jc w:val="center"/>
              <w:rPr>
                <w:rFonts w:ascii="Arial Narrow" w:hAnsi="Arial Narrow"/>
                <w:sz w:val="20"/>
                <w:szCs w:val="20"/>
              </w:rPr>
            </w:pPr>
          </w:p>
          <w:p w:rsidR="001A549C" w:rsidRPr="001C25C2" w:rsidRDefault="001A549C" w:rsidP="00E76F38">
            <w:pPr>
              <w:keepNext/>
              <w:jc w:val="center"/>
              <w:rPr>
                <w:rFonts w:ascii="Arial Narrow" w:hAnsi="Arial Narrow"/>
                <w:sz w:val="20"/>
                <w:szCs w:val="20"/>
              </w:rPr>
            </w:pPr>
          </w:p>
          <w:p w:rsidR="001A549C" w:rsidRPr="001C25C2" w:rsidRDefault="001A549C" w:rsidP="00E76F38">
            <w:pPr>
              <w:keepNext/>
              <w:jc w:val="center"/>
              <w:rPr>
                <w:rFonts w:ascii="Arial Narrow" w:hAnsi="Arial Narrow"/>
                <w:sz w:val="20"/>
                <w:szCs w:val="20"/>
              </w:rPr>
            </w:pPr>
            <w:r w:rsidRPr="001C25C2">
              <w:rPr>
                <w:rFonts w:ascii="Arial Narrow" w:hAnsi="Arial Narrow"/>
                <w:sz w:val="20"/>
                <w:szCs w:val="20"/>
              </w:rPr>
              <w:t>25.3 (18.9, 32.1)</w:t>
            </w:r>
          </w:p>
          <w:p w:rsidR="001A549C" w:rsidRPr="001C25C2" w:rsidRDefault="001A549C" w:rsidP="00E76F38">
            <w:pPr>
              <w:keepNext/>
              <w:jc w:val="center"/>
              <w:rPr>
                <w:rFonts w:ascii="Arial Narrow" w:hAnsi="Arial Narrow"/>
                <w:sz w:val="20"/>
                <w:szCs w:val="20"/>
              </w:rPr>
            </w:pPr>
            <w:r w:rsidRPr="001C25C2">
              <w:rPr>
                <w:rFonts w:ascii="Arial Narrow" w:hAnsi="Arial Narrow"/>
                <w:sz w:val="20"/>
                <w:szCs w:val="20"/>
              </w:rPr>
              <w:t>7.7 (4.2, 12.5)</w:t>
            </w:r>
          </w:p>
          <w:p w:rsidR="001A549C" w:rsidRPr="001C25C2" w:rsidRDefault="001A549C" w:rsidP="00E76F38">
            <w:pPr>
              <w:keepNext/>
              <w:jc w:val="center"/>
              <w:rPr>
                <w:rFonts w:ascii="Arial Narrow" w:hAnsi="Arial Narrow"/>
                <w:sz w:val="20"/>
                <w:szCs w:val="20"/>
              </w:rPr>
            </w:pPr>
            <w:r w:rsidRPr="001C25C2">
              <w:rPr>
                <w:rFonts w:ascii="Arial Narrow" w:hAnsi="Arial Narrow"/>
                <w:sz w:val="20"/>
                <w:szCs w:val="20"/>
              </w:rPr>
              <w:t>6.4 (3.2, 10.9)</w:t>
            </w:r>
          </w:p>
          <w:p w:rsidR="001A549C" w:rsidRPr="001C25C2" w:rsidRDefault="001A549C" w:rsidP="00E76F38">
            <w:pPr>
              <w:keepNext/>
              <w:jc w:val="center"/>
              <w:rPr>
                <w:rFonts w:ascii="Arial Narrow" w:hAnsi="Arial Narrow"/>
                <w:sz w:val="20"/>
                <w:szCs w:val="20"/>
              </w:rPr>
            </w:pPr>
            <w:r w:rsidRPr="001C25C2">
              <w:rPr>
                <w:rFonts w:ascii="Arial Narrow" w:hAnsi="Arial Narrow"/>
                <w:sz w:val="20"/>
                <w:szCs w:val="20"/>
              </w:rPr>
              <w:t>2.8 (0.8, 6.8)</w:t>
            </w:r>
          </w:p>
        </w:tc>
        <w:tc>
          <w:tcPr>
            <w:tcW w:w="944" w:type="pct"/>
            <w:tcBorders>
              <w:top w:val="single" w:sz="4" w:space="0" w:color="auto"/>
              <w:left w:val="single" w:sz="4" w:space="0" w:color="auto"/>
              <w:bottom w:val="single" w:sz="4" w:space="0" w:color="auto"/>
              <w:right w:val="single" w:sz="4" w:space="0" w:color="auto"/>
            </w:tcBorders>
          </w:tcPr>
          <w:p w:rsidR="001A549C" w:rsidRPr="001C25C2" w:rsidRDefault="001A549C" w:rsidP="00E76F38">
            <w:pPr>
              <w:keepNext/>
              <w:jc w:val="center"/>
              <w:rPr>
                <w:rFonts w:ascii="Arial Narrow" w:hAnsi="Arial Narrow"/>
                <w:color w:val="000000"/>
                <w:sz w:val="20"/>
                <w:szCs w:val="18"/>
              </w:rPr>
            </w:pPr>
          </w:p>
          <w:p w:rsidR="001A549C" w:rsidRPr="001C25C2" w:rsidRDefault="001A549C" w:rsidP="00E76F38">
            <w:pPr>
              <w:keepNext/>
              <w:jc w:val="center"/>
              <w:rPr>
                <w:rFonts w:ascii="Arial Narrow" w:hAnsi="Arial Narrow"/>
                <w:color w:val="000000"/>
                <w:sz w:val="20"/>
                <w:szCs w:val="18"/>
              </w:rPr>
            </w:pPr>
          </w:p>
          <w:p w:rsidR="001A549C" w:rsidRPr="001C25C2" w:rsidRDefault="001A549C" w:rsidP="00E76F38">
            <w:pPr>
              <w:keepNext/>
              <w:jc w:val="center"/>
              <w:rPr>
                <w:rFonts w:ascii="Arial Narrow" w:hAnsi="Arial Narrow"/>
                <w:color w:val="000000"/>
                <w:sz w:val="20"/>
                <w:szCs w:val="18"/>
              </w:rPr>
            </w:pPr>
          </w:p>
          <w:p w:rsidR="001A549C" w:rsidRPr="001C25C2" w:rsidRDefault="001A549C" w:rsidP="00E76F38">
            <w:pPr>
              <w:keepNext/>
              <w:jc w:val="center"/>
              <w:rPr>
                <w:rFonts w:ascii="Arial Narrow" w:hAnsi="Arial Narrow"/>
                <w:color w:val="000000"/>
                <w:sz w:val="20"/>
                <w:szCs w:val="18"/>
              </w:rPr>
            </w:pPr>
            <w:r w:rsidRPr="001C25C2">
              <w:rPr>
                <w:rFonts w:ascii="Arial Narrow" w:hAnsi="Arial Narrow"/>
                <w:color w:val="000000"/>
                <w:sz w:val="20"/>
                <w:szCs w:val="18"/>
              </w:rPr>
              <w:t>24.4%</w:t>
            </w:r>
          </w:p>
          <w:p w:rsidR="001A549C" w:rsidRPr="001C25C2" w:rsidRDefault="001A549C" w:rsidP="00E76F38">
            <w:pPr>
              <w:keepNext/>
              <w:jc w:val="center"/>
              <w:rPr>
                <w:rFonts w:ascii="Arial Narrow" w:hAnsi="Arial Narrow"/>
                <w:color w:val="000000"/>
                <w:sz w:val="20"/>
                <w:szCs w:val="18"/>
              </w:rPr>
            </w:pPr>
            <w:r w:rsidRPr="001C25C2">
              <w:rPr>
                <w:rFonts w:ascii="Arial Narrow" w:hAnsi="Arial Narrow"/>
                <w:color w:val="000000"/>
                <w:sz w:val="20"/>
                <w:szCs w:val="18"/>
              </w:rPr>
              <w:t>19.1%</w:t>
            </w:r>
          </w:p>
          <w:p w:rsidR="001A549C" w:rsidRPr="001C25C2" w:rsidRDefault="001A549C" w:rsidP="00E76F38">
            <w:pPr>
              <w:keepNext/>
              <w:jc w:val="center"/>
              <w:rPr>
                <w:rFonts w:ascii="Arial Narrow" w:hAnsi="Arial Narrow"/>
                <w:color w:val="000000"/>
                <w:sz w:val="20"/>
                <w:szCs w:val="18"/>
              </w:rPr>
            </w:pPr>
            <w:r w:rsidRPr="001C25C2">
              <w:rPr>
                <w:rFonts w:ascii="Arial Narrow" w:hAnsi="Arial Narrow"/>
                <w:color w:val="000000"/>
                <w:sz w:val="20"/>
                <w:szCs w:val="18"/>
              </w:rPr>
              <w:t>8.2%</w:t>
            </w:r>
          </w:p>
          <w:p w:rsidR="001A549C" w:rsidRPr="001C25C2" w:rsidRDefault="001A549C" w:rsidP="00E76F38">
            <w:pPr>
              <w:keepNext/>
              <w:jc w:val="center"/>
              <w:rPr>
                <w:rFonts w:ascii="Arial Narrow" w:hAnsi="Arial Narrow"/>
                <w:color w:val="000000"/>
                <w:sz w:val="20"/>
                <w:szCs w:val="18"/>
              </w:rPr>
            </w:pPr>
            <w:r w:rsidRPr="001C25C2">
              <w:rPr>
                <w:rFonts w:ascii="Arial Narrow" w:hAnsi="Arial Narrow"/>
                <w:color w:val="000000"/>
                <w:sz w:val="20"/>
                <w:szCs w:val="18"/>
              </w:rPr>
              <w:t>6.6%</w:t>
            </w:r>
          </w:p>
        </w:tc>
        <w:tc>
          <w:tcPr>
            <w:tcW w:w="1228" w:type="pct"/>
            <w:gridSpan w:val="2"/>
            <w:tcBorders>
              <w:top w:val="single" w:sz="4" w:space="0" w:color="auto"/>
              <w:left w:val="single" w:sz="4" w:space="0" w:color="auto"/>
              <w:bottom w:val="single" w:sz="4" w:space="0" w:color="auto"/>
              <w:right w:val="single" w:sz="4" w:space="0" w:color="auto"/>
            </w:tcBorders>
            <w:vAlign w:val="center"/>
          </w:tcPr>
          <w:p w:rsidR="001A549C" w:rsidRPr="001C25C2" w:rsidRDefault="001A549C" w:rsidP="00E76F38">
            <w:pPr>
              <w:keepNext/>
              <w:jc w:val="center"/>
              <w:rPr>
                <w:rFonts w:ascii="Arial Narrow" w:hAnsi="Arial Narrow"/>
                <w:color w:val="000000"/>
                <w:sz w:val="20"/>
                <w:szCs w:val="18"/>
              </w:rPr>
            </w:pPr>
          </w:p>
        </w:tc>
      </w:tr>
      <w:tr w:rsidR="00A42B8D" w:rsidRPr="001C25C2">
        <w:tc>
          <w:tcPr>
            <w:tcW w:w="5000" w:type="pct"/>
            <w:gridSpan w:val="6"/>
            <w:tcBorders>
              <w:top w:val="double" w:sz="4" w:space="0" w:color="auto"/>
              <w:left w:val="single" w:sz="4" w:space="0" w:color="auto"/>
              <w:bottom w:val="single" w:sz="4" w:space="0" w:color="auto"/>
              <w:right w:val="single" w:sz="4" w:space="0" w:color="auto"/>
            </w:tcBorders>
            <w:shd w:val="clear" w:color="auto" w:fill="auto"/>
            <w:vAlign w:val="center"/>
          </w:tcPr>
          <w:p w:rsidR="00A42B8D" w:rsidRPr="001C25C2" w:rsidRDefault="005846E2" w:rsidP="00E76F38">
            <w:pPr>
              <w:keepNext/>
              <w:rPr>
                <w:rFonts w:ascii="Arial Narrow" w:hAnsi="Arial Narrow"/>
                <w:b/>
                <w:color w:val="000000"/>
                <w:sz w:val="20"/>
                <w:szCs w:val="18"/>
              </w:rPr>
            </w:pPr>
            <w:r w:rsidRPr="001C25C2">
              <w:rPr>
                <w:rFonts w:ascii="Arial Narrow" w:hAnsi="Arial Narrow"/>
                <w:b/>
                <w:color w:val="000000"/>
                <w:sz w:val="20"/>
                <w:szCs w:val="18"/>
              </w:rPr>
              <w:t>Harms: Safety population</w:t>
            </w:r>
          </w:p>
        </w:tc>
      </w:tr>
      <w:tr w:rsidR="00A42B8D" w:rsidRPr="001C25C2">
        <w:trPr>
          <w:trHeight w:val="70"/>
        </w:trPr>
        <w:tc>
          <w:tcPr>
            <w:tcW w:w="10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42B8D" w:rsidRPr="001C25C2" w:rsidRDefault="00A42B8D" w:rsidP="00E76F38">
            <w:pPr>
              <w:keepNext/>
              <w:rPr>
                <w:rFonts w:ascii="Arial Narrow" w:hAnsi="Arial Narrow"/>
                <w:b/>
                <w:color w:val="000000"/>
                <w:sz w:val="20"/>
                <w:szCs w:val="18"/>
              </w:rPr>
            </w:pPr>
          </w:p>
        </w:tc>
        <w:tc>
          <w:tcPr>
            <w:tcW w:w="865" w:type="pct"/>
            <w:vMerge w:val="restar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pStyle w:val="TableText0"/>
              <w:keepLines/>
              <w:jc w:val="center"/>
              <w:rPr>
                <w:b/>
                <w:sz w:val="20"/>
                <w:szCs w:val="20"/>
              </w:rPr>
            </w:pPr>
            <w:proofErr w:type="spellStart"/>
            <w:r w:rsidRPr="001C25C2">
              <w:rPr>
                <w:b/>
                <w:sz w:val="20"/>
                <w:szCs w:val="20"/>
              </w:rPr>
              <w:t>Trifluridine</w:t>
            </w:r>
            <w:proofErr w:type="spellEnd"/>
            <w:r w:rsidRPr="001C25C2">
              <w:rPr>
                <w:b/>
                <w:sz w:val="20"/>
                <w:szCs w:val="20"/>
              </w:rPr>
              <w:t>/</w:t>
            </w:r>
            <w:proofErr w:type="spellStart"/>
            <w:r w:rsidRPr="001C25C2">
              <w:rPr>
                <w:b/>
                <w:sz w:val="20"/>
                <w:szCs w:val="20"/>
              </w:rPr>
              <w:t>tipiracil</w:t>
            </w:r>
            <w:proofErr w:type="spellEnd"/>
          </w:p>
          <w:p w:rsidR="00A42B8D" w:rsidRPr="001C25C2" w:rsidRDefault="005846E2" w:rsidP="00E76F38">
            <w:pPr>
              <w:keepNext/>
              <w:jc w:val="center"/>
              <w:rPr>
                <w:rFonts w:ascii="Arial Narrow" w:hAnsi="Arial Narrow"/>
                <w:b/>
                <w:color w:val="000000"/>
                <w:sz w:val="20"/>
                <w:szCs w:val="18"/>
              </w:rPr>
            </w:pPr>
            <w:r w:rsidRPr="001C25C2">
              <w:rPr>
                <w:rFonts w:ascii="Arial Narrow" w:hAnsi="Arial Narrow"/>
                <w:b/>
                <w:color w:val="000000"/>
                <w:sz w:val="20"/>
                <w:szCs w:val="18"/>
              </w:rPr>
              <w:t>n/N</w:t>
            </w:r>
          </w:p>
        </w:tc>
        <w:tc>
          <w:tcPr>
            <w:tcW w:w="944" w:type="pct"/>
            <w:vMerge w:val="restart"/>
            <w:tcBorders>
              <w:top w:val="single" w:sz="4" w:space="0" w:color="auto"/>
              <w:left w:val="single" w:sz="4" w:space="0" w:color="auto"/>
              <w:right w:val="single" w:sz="4" w:space="0" w:color="auto"/>
            </w:tcBorders>
            <w:vAlign w:val="center"/>
          </w:tcPr>
          <w:p w:rsidR="00A42B8D" w:rsidRPr="001C25C2" w:rsidRDefault="005846E2" w:rsidP="00E76F38">
            <w:pPr>
              <w:keepNext/>
              <w:jc w:val="center"/>
              <w:rPr>
                <w:rFonts w:ascii="Arial Narrow" w:hAnsi="Arial Narrow"/>
                <w:b/>
                <w:color w:val="000000"/>
                <w:sz w:val="20"/>
                <w:szCs w:val="18"/>
              </w:rPr>
            </w:pPr>
            <w:r w:rsidRPr="001C25C2">
              <w:rPr>
                <w:rFonts w:ascii="Arial Narrow" w:hAnsi="Arial Narrow"/>
                <w:b/>
                <w:color w:val="000000"/>
                <w:sz w:val="20"/>
                <w:szCs w:val="18"/>
              </w:rPr>
              <w:t>Placebo</w:t>
            </w:r>
          </w:p>
          <w:p w:rsidR="00A42B8D" w:rsidRPr="001C25C2" w:rsidRDefault="005846E2" w:rsidP="00E76F38">
            <w:pPr>
              <w:keepNext/>
              <w:jc w:val="center"/>
              <w:rPr>
                <w:rFonts w:ascii="Arial Narrow" w:hAnsi="Arial Narrow"/>
                <w:b/>
                <w:color w:val="000000"/>
                <w:sz w:val="20"/>
                <w:szCs w:val="18"/>
              </w:rPr>
            </w:pPr>
            <w:r w:rsidRPr="001C25C2">
              <w:rPr>
                <w:rFonts w:ascii="Arial Narrow" w:hAnsi="Arial Narrow"/>
                <w:b/>
                <w:color w:val="000000"/>
                <w:sz w:val="20"/>
                <w:szCs w:val="18"/>
              </w:rPr>
              <w:t>n/N</w:t>
            </w:r>
          </w:p>
        </w:tc>
        <w:tc>
          <w:tcPr>
            <w:tcW w:w="1495" w:type="pct"/>
            <w:gridSpan w:val="2"/>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b/>
                <w:color w:val="000000"/>
                <w:sz w:val="20"/>
                <w:szCs w:val="18"/>
              </w:rPr>
            </w:pPr>
            <w:r w:rsidRPr="001C25C2">
              <w:rPr>
                <w:rFonts w:ascii="Arial Narrow" w:hAnsi="Arial Narrow"/>
                <w:b/>
                <w:color w:val="000000"/>
                <w:sz w:val="20"/>
                <w:szCs w:val="18"/>
              </w:rPr>
              <w:t xml:space="preserve">Event rate/100 </w:t>
            </w:r>
            <w:proofErr w:type="spellStart"/>
            <w:r w:rsidRPr="001C25C2">
              <w:rPr>
                <w:rFonts w:ascii="Arial Narrow" w:hAnsi="Arial Narrow"/>
                <w:b/>
                <w:color w:val="000000"/>
                <w:sz w:val="20"/>
                <w:szCs w:val="18"/>
              </w:rPr>
              <w:t>patients</w:t>
            </w:r>
            <w:r w:rsidRPr="001C25C2">
              <w:rPr>
                <w:rFonts w:ascii="Arial Narrow" w:hAnsi="Arial Narrow"/>
                <w:b/>
                <w:color w:val="000000"/>
                <w:sz w:val="20"/>
                <w:szCs w:val="18"/>
                <w:vertAlign w:val="superscript"/>
              </w:rPr>
              <w:t>a</w:t>
            </w:r>
            <w:proofErr w:type="spellEnd"/>
          </w:p>
        </w:tc>
        <w:tc>
          <w:tcPr>
            <w:tcW w:w="677" w:type="pct"/>
            <w:vMerge w:val="restar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b/>
                <w:color w:val="000000"/>
                <w:sz w:val="20"/>
                <w:szCs w:val="18"/>
              </w:rPr>
            </w:pPr>
            <w:r w:rsidRPr="001C25C2">
              <w:rPr>
                <w:rFonts w:ascii="Arial Narrow" w:hAnsi="Arial Narrow"/>
                <w:b/>
                <w:color w:val="000000"/>
                <w:sz w:val="20"/>
                <w:szCs w:val="18"/>
              </w:rPr>
              <w:t>RD</w:t>
            </w:r>
          </w:p>
          <w:p w:rsidR="00A42B8D" w:rsidRPr="001C25C2" w:rsidRDefault="005846E2" w:rsidP="00E76F38">
            <w:pPr>
              <w:keepNext/>
              <w:jc w:val="center"/>
              <w:rPr>
                <w:rFonts w:ascii="Arial Narrow" w:hAnsi="Arial Narrow"/>
                <w:b/>
                <w:color w:val="000000"/>
                <w:sz w:val="20"/>
                <w:szCs w:val="18"/>
              </w:rPr>
            </w:pPr>
            <w:r w:rsidRPr="001C25C2">
              <w:rPr>
                <w:rFonts w:ascii="Arial Narrow" w:hAnsi="Arial Narrow"/>
                <w:b/>
                <w:color w:val="000000"/>
                <w:sz w:val="20"/>
                <w:szCs w:val="18"/>
              </w:rPr>
              <w:t>(95% CI)</w:t>
            </w:r>
          </w:p>
        </w:tc>
      </w:tr>
      <w:tr w:rsidR="00A42B8D" w:rsidRPr="001C25C2">
        <w:trPr>
          <w:trHeight w:val="390"/>
        </w:trPr>
        <w:tc>
          <w:tcPr>
            <w:tcW w:w="1019" w:type="pct"/>
            <w:vMerge/>
            <w:tcBorders>
              <w:top w:val="single" w:sz="4" w:space="0" w:color="auto"/>
              <w:left w:val="single" w:sz="4" w:space="0" w:color="auto"/>
              <w:bottom w:val="single" w:sz="4" w:space="0" w:color="auto"/>
              <w:right w:val="single" w:sz="4" w:space="0" w:color="auto"/>
            </w:tcBorders>
            <w:shd w:val="clear" w:color="auto" w:fill="auto"/>
            <w:vAlign w:val="center"/>
          </w:tcPr>
          <w:p w:rsidR="00A42B8D" w:rsidRPr="001C25C2" w:rsidRDefault="00A42B8D" w:rsidP="00E76F38">
            <w:pPr>
              <w:keepNext/>
              <w:rPr>
                <w:rFonts w:ascii="Arial Narrow" w:hAnsi="Arial Narrow"/>
                <w:b/>
                <w:color w:val="000000"/>
                <w:sz w:val="20"/>
                <w:szCs w:val="18"/>
              </w:rPr>
            </w:pPr>
          </w:p>
        </w:tc>
        <w:tc>
          <w:tcPr>
            <w:tcW w:w="865" w:type="pct"/>
            <w:vMerge/>
            <w:tcBorders>
              <w:top w:val="single" w:sz="4" w:space="0" w:color="auto"/>
              <w:left w:val="single" w:sz="4" w:space="0" w:color="auto"/>
              <w:bottom w:val="single" w:sz="4" w:space="0" w:color="auto"/>
              <w:right w:val="single" w:sz="4" w:space="0" w:color="auto"/>
            </w:tcBorders>
            <w:vAlign w:val="center"/>
          </w:tcPr>
          <w:p w:rsidR="00A42B8D" w:rsidRPr="001C25C2" w:rsidRDefault="00A42B8D" w:rsidP="00E76F38">
            <w:pPr>
              <w:keepNext/>
              <w:jc w:val="center"/>
              <w:rPr>
                <w:rFonts w:ascii="Arial Narrow" w:hAnsi="Arial Narrow"/>
                <w:b/>
                <w:color w:val="000000"/>
                <w:sz w:val="20"/>
                <w:szCs w:val="18"/>
              </w:rPr>
            </w:pPr>
          </w:p>
        </w:tc>
        <w:tc>
          <w:tcPr>
            <w:tcW w:w="944" w:type="pct"/>
            <w:vMerge/>
            <w:tcBorders>
              <w:left w:val="single" w:sz="4" w:space="0" w:color="auto"/>
              <w:bottom w:val="single" w:sz="4" w:space="0" w:color="auto"/>
              <w:right w:val="single" w:sz="4" w:space="0" w:color="auto"/>
            </w:tcBorders>
            <w:vAlign w:val="center"/>
          </w:tcPr>
          <w:p w:rsidR="00A42B8D" w:rsidRPr="001C25C2" w:rsidRDefault="00A42B8D" w:rsidP="00E76F38">
            <w:pPr>
              <w:keepNext/>
              <w:jc w:val="center"/>
              <w:rPr>
                <w:rFonts w:ascii="Arial Narrow" w:hAnsi="Arial Narrow"/>
                <w:b/>
                <w:color w:val="000000"/>
                <w:sz w:val="20"/>
                <w:szCs w:val="18"/>
              </w:rPr>
            </w:pPr>
          </w:p>
        </w:tc>
        <w:tc>
          <w:tcPr>
            <w:tcW w:w="944"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pStyle w:val="TableText0"/>
              <w:keepLines/>
              <w:jc w:val="center"/>
              <w:rPr>
                <w:b/>
                <w:sz w:val="20"/>
                <w:szCs w:val="20"/>
              </w:rPr>
            </w:pPr>
            <w:proofErr w:type="spellStart"/>
            <w:r w:rsidRPr="001C25C2">
              <w:rPr>
                <w:b/>
                <w:sz w:val="20"/>
                <w:szCs w:val="20"/>
              </w:rPr>
              <w:t>Trifluridine</w:t>
            </w:r>
            <w:proofErr w:type="spellEnd"/>
            <w:r w:rsidRPr="001C25C2">
              <w:rPr>
                <w:b/>
                <w:sz w:val="20"/>
                <w:szCs w:val="20"/>
              </w:rPr>
              <w:t>/</w:t>
            </w:r>
            <w:proofErr w:type="spellStart"/>
            <w:r w:rsidRPr="001C25C2">
              <w:rPr>
                <w:b/>
                <w:sz w:val="20"/>
                <w:szCs w:val="20"/>
              </w:rPr>
              <w:t>tipiracil</w:t>
            </w:r>
            <w:proofErr w:type="spellEnd"/>
          </w:p>
        </w:tc>
        <w:tc>
          <w:tcPr>
            <w:tcW w:w="551"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b/>
                <w:color w:val="000000"/>
                <w:sz w:val="20"/>
                <w:szCs w:val="18"/>
              </w:rPr>
            </w:pPr>
            <w:r w:rsidRPr="001C25C2">
              <w:rPr>
                <w:rFonts w:ascii="Arial Narrow" w:hAnsi="Arial Narrow"/>
                <w:b/>
                <w:color w:val="000000"/>
                <w:sz w:val="20"/>
                <w:szCs w:val="18"/>
              </w:rPr>
              <w:t>placebo</w:t>
            </w:r>
          </w:p>
        </w:tc>
        <w:tc>
          <w:tcPr>
            <w:tcW w:w="677" w:type="pct"/>
            <w:vMerge/>
            <w:tcBorders>
              <w:top w:val="single" w:sz="4" w:space="0" w:color="auto"/>
              <w:left w:val="single" w:sz="4" w:space="0" w:color="auto"/>
              <w:bottom w:val="single" w:sz="4" w:space="0" w:color="auto"/>
              <w:right w:val="single" w:sz="4" w:space="0" w:color="auto"/>
            </w:tcBorders>
            <w:vAlign w:val="center"/>
          </w:tcPr>
          <w:p w:rsidR="00A42B8D" w:rsidRPr="001C25C2" w:rsidRDefault="00A42B8D" w:rsidP="00E76F38">
            <w:pPr>
              <w:keepNext/>
              <w:jc w:val="center"/>
              <w:rPr>
                <w:rFonts w:ascii="Arial Narrow" w:hAnsi="Arial Narrow"/>
                <w:b/>
                <w:color w:val="000000"/>
                <w:sz w:val="20"/>
                <w:szCs w:val="18"/>
              </w:rPr>
            </w:pPr>
          </w:p>
        </w:tc>
      </w:tr>
      <w:tr w:rsidR="00A42B8D" w:rsidRPr="001C25C2">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A42B8D" w:rsidRPr="001C25C2" w:rsidRDefault="005846E2" w:rsidP="00E76F38">
            <w:pPr>
              <w:keepNext/>
              <w:jc w:val="left"/>
              <w:rPr>
                <w:rFonts w:ascii="Arial Narrow" w:hAnsi="Arial Narrow"/>
                <w:color w:val="000000"/>
                <w:sz w:val="20"/>
                <w:szCs w:val="18"/>
              </w:rPr>
            </w:pPr>
            <w:r w:rsidRPr="001C25C2">
              <w:rPr>
                <w:rFonts w:ascii="Arial Narrow" w:hAnsi="Arial Narrow"/>
                <w:sz w:val="20"/>
                <w:szCs w:val="20"/>
              </w:rPr>
              <w:t>Patients with any Grade ≥ 3 AEs</w:t>
            </w:r>
          </w:p>
        </w:tc>
        <w:tc>
          <w:tcPr>
            <w:tcW w:w="865"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color w:val="000000"/>
                <w:sz w:val="20"/>
                <w:szCs w:val="18"/>
              </w:rPr>
            </w:pPr>
            <w:r w:rsidRPr="001C25C2">
              <w:rPr>
                <w:rFonts w:ascii="Arial Narrow" w:hAnsi="Arial Narrow"/>
                <w:color w:val="000000"/>
                <w:sz w:val="20"/>
                <w:szCs w:val="18"/>
              </w:rPr>
              <w:t>267/335</w:t>
            </w:r>
          </w:p>
        </w:tc>
        <w:tc>
          <w:tcPr>
            <w:tcW w:w="944"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color w:val="000000"/>
                <w:sz w:val="20"/>
                <w:szCs w:val="18"/>
              </w:rPr>
            </w:pPr>
            <w:r w:rsidRPr="001C25C2">
              <w:rPr>
                <w:rFonts w:ascii="Arial Narrow" w:hAnsi="Arial Narrow"/>
                <w:color w:val="000000"/>
                <w:sz w:val="20"/>
                <w:szCs w:val="18"/>
              </w:rPr>
              <w:t>97/168</w:t>
            </w:r>
          </w:p>
        </w:tc>
        <w:tc>
          <w:tcPr>
            <w:tcW w:w="944"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color w:val="000000"/>
                <w:sz w:val="20"/>
                <w:szCs w:val="18"/>
              </w:rPr>
            </w:pPr>
            <w:r w:rsidRPr="001C25C2">
              <w:rPr>
                <w:rFonts w:ascii="Arial Narrow" w:hAnsi="Arial Narrow"/>
                <w:color w:val="000000"/>
                <w:sz w:val="20"/>
                <w:szCs w:val="18"/>
              </w:rPr>
              <w:t>80</w:t>
            </w:r>
          </w:p>
        </w:tc>
        <w:tc>
          <w:tcPr>
            <w:tcW w:w="551"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color w:val="000000"/>
                <w:sz w:val="20"/>
                <w:szCs w:val="18"/>
              </w:rPr>
            </w:pPr>
            <w:r w:rsidRPr="001C25C2">
              <w:rPr>
                <w:rFonts w:ascii="Arial Narrow" w:hAnsi="Arial Narrow"/>
                <w:color w:val="000000"/>
                <w:sz w:val="20"/>
                <w:szCs w:val="18"/>
              </w:rPr>
              <w:t>58</w:t>
            </w:r>
          </w:p>
        </w:tc>
        <w:tc>
          <w:tcPr>
            <w:tcW w:w="677"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color w:val="000000"/>
                <w:sz w:val="20"/>
                <w:szCs w:val="18"/>
              </w:rPr>
            </w:pPr>
            <w:r w:rsidRPr="001C25C2">
              <w:rPr>
                <w:rFonts w:ascii="Arial Narrow" w:hAnsi="Arial Narrow"/>
                <w:color w:val="000000"/>
                <w:sz w:val="20"/>
                <w:szCs w:val="18"/>
              </w:rPr>
              <w:t>0.22</w:t>
            </w:r>
          </w:p>
          <w:p w:rsidR="00A42B8D" w:rsidRPr="001C25C2" w:rsidRDefault="005846E2" w:rsidP="00E76F38">
            <w:pPr>
              <w:keepNext/>
              <w:jc w:val="center"/>
              <w:rPr>
                <w:rFonts w:ascii="Arial Narrow" w:hAnsi="Arial Narrow"/>
                <w:color w:val="000000"/>
                <w:sz w:val="20"/>
                <w:szCs w:val="18"/>
              </w:rPr>
            </w:pPr>
            <w:r w:rsidRPr="001C25C2">
              <w:rPr>
                <w:rFonts w:ascii="Arial Narrow" w:hAnsi="Arial Narrow"/>
                <w:color w:val="000000"/>
                <w:sz w:val="20"/>
                <w:szCs w:val="18"/>
              </w:rPr>
              <w:t>(0.13, 0.31)</w:t>
            </w:r>
          </w:p>
        </w:tc>
      </w:tr>
      <w:tr w:rsidR="00A42B8D" w:rsidRPr="001C25C2">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A42B8D" w:rsidRPr="001C25C2" w:rsidRDefault="005846E2" w:rsidP="00E76F38">
            <w:pPr>
              <w:keepNext/>
              <w:jc w:val="left"/>
              <w:rPr>
                <w:rFonts w:ascii="Arial Narrow" w:hAnsi="Arial Narrow"/>
                <w:color w:val="000000"/>
                <w:sz w:val="20"/>
                <w:szCs w:val="18"/>
              </w:rPr>
            </w:pPr>
            <w:r w:rsidRPr="001C25C2">
              <w:rPr>
                <w:rFonts w:ascii="Arial Narrow" w:hAnsi="Arial Narrow"/>
                <w:sz w:val="20"/>
                <w:szCs w:val="20"/>
              </w:rPr>
              <w:t xml:space="preserve">Grade ≥ 3 </w:t>
            </w:r>
            <w:r w:rsidRPr="001C25C2">
              <w:rPr>
                <w:rFonts w:ascii="Arial Narrow" w:hAnsi="Arial Narrow"/>
                <w:color w:val="000000"/>
                <w:sz w:val="20"/>
                <w:szCs w:val="18"/>
              </w:rPr>
              <w:t>Neutropenia</w:t>
            </w:r>
          </w:p>
        </w:tc>
        <w:tc>
          <w:tcPr>
            <w:tcW w:w="865"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color w:val="000000"/>
                <w:sz w:val="20"/>
                <w:szCs w:val="18"/>
              </w:rPr>
            </w:pPr>
            <w:r w:rsidRPr="001C25C2">
              <w:rPr>
                <w:rFonts w:ascii="Arial Narrow" w:hAnsi="Arial Narrow"/>
                <w:color w:val="000000"/>
                <w:sz w:val="20"/>
                <w:szCs w:val="18"/>
              </w:rPr>
              <w:t>114/335</w:t>
            </w:r>
          </w:p>
        </w:tc>
        <w:tc>
          <w:tcPr>
            <w:tcW w:w="944"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i/>
                <w:color w:val="000000"/>
                <w:sz w:val="20"/>
                <w:szCs w:val="18"/>
                <w:highlight w:val="yellow"/>
              </w:rPr>
            </w:pPr>
            <w:r w:rsidRPr="001C25C2">
              <w:rPr>
                <w:rFonts w:ascii="Arial Narrow" w:hAnsi="Arial Narrow"/>
                <w:color w:val="000000"/>
                <w:sz w:val="20"/>
                <w:szCs w:val="18"/>
              </w:rPr>
              <w:t>0/168</w:t>
            </w:r>
          </w:p>
        </w:tc>
        <w:tc>
          <w:tcPr>
            <w:tcW w:w="944"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color w:val="000000"/>
                <w:sz w:val="20"/>
                <w:szCs w:val="18"/>
              </w:rPr>
            </w:pPr>
            <w:r w:rsidRPr="001C25C2">
              <w:rPr>
                <w:rFonts w:ascii="Arial Narrow" w:hAnsi="Arial Narrow"/>
                <w:color w:val="000000"/>
                <w:sz w:val="20"/>
                <w:szCs w:val="18"/>
              </w:rPr>
              <w:t>34</w:t>
            </w:r>
          </w:p>
        </w:tc>
        <w:tc>
          <w:tcPr>
            <w:tcW w:w="551"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color w:val="000000"/>
                <w:sz w:val="20"/>
                <w:szCs w:val="18"/>
              </w:rPr>
            </w:pPr>
            <w:r w:rsidRPr="001C25C2">
              <w:rPr>
                <w:rFonts w:ascii="Arial Narrow" w:hAnsi="Arial Narrow"/>
                <w:color w:val="000000"/>
                <w:sz w:val="20"/>
                <w:szCs w:val="18"/>
              </w:rPr>
              <w:t>0</w:t>
            </w:r>
          </w:p>
        </w:tc>
        <w:tc>
          <w:tcPr>
            <w:tcW w:w="677"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color w:val="000000"/>
                <w:sz w:val="20"/>
                <w:szCs w:val="18"/>
              </w:rPr>
            </w:pPr>
            <w:r w:rsidRPr="001C25C2">
              <w:rPr>
                <w:rFonts w:ascii="Arial Narrow" w:hAnsi="Arial Narrow"/>
                <w:color w:val="000000"/>
                <w:sz w:val="20"/>
                <w:szCs w:val="18"/>
              </w:rPr>
              <w:t>0.34</w:t>
            </w:r>
          </w:p>
          <w:p w:rsidR="00A42B8D" w:rsidRPr="001C25C2" w:rsidRDefault="005846E2" w:rsidP="00E76F38">
            <w:pPr>
              <w:keepNext/>
              <w:jc w:val="center"/>
              <w:rPr>
                <w:rFonts w:ascii="Arial Narrow" w:hAnsi="Arial Narrow"/>
                <w:color w:val="000000"/>
                <w:sz w:val="20"/>
                <w:szCs w:val="18"/>
              </w:rPr>
            </w:pPr>
            <w:r w:rsidRPr="001C25C2">
              <w:rPr>
                <w:rFonts w:ascii="Arial Narrow" w:hAnsi="Arial Narrow"/>
                <w:color w:val="000000"/>
                <w:sz w:val="20"/>
                <w:szCs w:val="18"/>
              </w:rPr>
              <w:t>(0.29, 0.39)</w:t>
            </w:r>
          </w:p>
        </w:tc>
      </w:tr>
      <w:tr w:rsidR="00A42B8D" w:rsidRPr="001C25C2">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rsidR="00A42B8D" w:rsidRPr="001C25C2" w:rsidRDefault="005846E2" w:rsidP="00E76F38">
            <w:pPr>
              <w:keepNext/>
              <w:jc w:val="left"/>
              <w:rPr>
                <w:rFonts w:ascii="Arial Narrow" w:hAnsi="Arial Narrow"/>
                <w:color w:val="000000"/>
                <w:sz w:val="20"/>
                <w:szCs w:val="18"/>
              </w:rPr>
            </w:pPr>
            <w:r w:rsidRPr="001C25C2">
              <w:rPr>
                <w:rFonts w:ascii="Arial Narrow" w:hAnsi="Arial Narrow"/>
                <w:sz w:val="20"/>
                <w:szCs w:val="20"/>
              </w:rPr>
              <w:t xml:space="preserve">Grade ≥ 3 </w:t>
            </w:r>
            <w:r w:rsidRPr="001C25C2">
              <w:rPr>
                <w:rFonts w:ascii="Arial Narrow" w:hAnsi="Arial Narrow"/>
                <w:color w:val="000000"/>
                <w:sz w:val="20"/>
                <w:szCs w:val="18"/>
              </w:rPr>
              <w:t xml:space="preserve">Anaemia </w:t>
            </w:r>
          </w:p>
        </w:tc>
        <w:tc>
          <w:tcPr>
            <w:tcW w:w="865"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color w:val="000000"/>
                <w:sz w:val="20"/>
                <w:szCs w:val="18"/>
              </w:rPr>
            </w:pPr>
            <w:r w:rsidRPr="001C25C2">
              <w:rPr>
                <w:rFonts w:ascii="Arial Narrow" w:hAnsi="Arial Narrow"/>
                <w:color w:val="000000"/>
                <w:sz w:val="20"/>
              </w:rPr>
              <w:t>64/335</w:t>
            </w:r>
          </w:p>
        </w:tc>
        <w:tc>
          <w:tcPr>
            <w:tcW w:w="944"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i/>
                <w:color w:val="000000"/>
                <w:sz w:val="20"/>
                <w:szCs w:val="18"/>
                <w:highlight w:val="yellow"/>
              </w:rPr>
            </w:pPr>
            <w:r w:rsidRPr="001C25C2">
              <w:rPr>
                <w:rFonts w:ascii="Arial Narrow" w:hAnsi="Arial Narrow"/>
                <w:color w:val="000000"/>
                <w:sz w:val="20"/>
              </w:rPr>
              <w:t>13/168</w:t>
            </w:r>
          </w:p>
        </w:tc>
        <w:tc>
          <w:tcPr>
            <w:tcW w:w="944"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color w:val="000000"/>
                <w:sz w:val="20"/>
                <w:szCs w:val="18"/>
              </w:rPr>
            </w:pPr>
            <w:r w:rsidRPr="001C25C2">
              <w:rPr>
                <w:rFonts w:ascii="Arial Narrow" w:hAnsi="Arial Narrow"/>
                <w:color w:val="000000"/>
                <w:sz w:val="20"/>
              </w:rPr>
              <w:t>19</w:t>
            </w:r>
          </w:p>
        </w:tc>
        <w:tc>
          <w:tcPr>
            <w:tcW w:w="551"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color w:val="000000"/>
                <w:sz w:val="20"/>
                <w:szCs w:val="18"/>
              </w:rPr>
            </w:pPr>
            <w:r w:rsidRPr="001C25C2">
              <w:rPr>
                <w:rFonts w:ascii="Arial Narrow" w:hAnsi="Arial Narrow"/>
                <w:color w:val="000000"/>
                <w:sz w:val="20"/>
              </w:rPr>
              <w:t>08</w:t>
            </w:r>
          </w:p>
        </w:tc>
        <w:tc>
          <w:tcPr>
            <w:tcW w:w="677" w:type="pct"/>
            <w:tcBorders>
              <w:top w:val="single" w:sz="4" w:space="0" w:color="auto"/>
              <w:left w:val="single" w:sz="4" w:space="0" w:color="auto"/>
              <w:bottom w:val="single" w:sz="4" w:space="0" w:color="auto"/>
              <w:right w:val="single" w:sz="4" w:space="0" w:color="auto"/>
            </w:tcBorders>
            <w:vAlign w:val="center"/>
          </w:tcPr>
          <w:p w:rsidR="00A42B8D" w:rsidRPr="001C25C2" w:rsidRDefault="005846E2" w:rsidP="00E76F38">
            <w:pPr>
              <w:keepNext/>
              <w:jc w:val="center"/>
              <w:rPr>
                <w:rFonts w:ascii="Arial Narrow" w:hAnsi="Arial Narrow"/>
                <w:color w:val="000000"/>
                <w:sz w:val="20"/>
                <w:szCs w:val="18"/>
              </w:rPr>
            </w:pPr>
            <w:r w:rsidRPr="001C25C2">
              <w:rPr>
                <w:rFonts w:ascii="Arial Narrow" w:hAnsi="Arial Narrow"/>
                <w:color w:val="000000"/>
                <w:sz w:val="20"/>
                <w:szCs w:val="18"/>
              </w:rPr>
              <w:t>0.11</w:t>
            </w:r>
          </w:p>
          <w:p w:rsidR="00A42B8D" w:rsidRPr="001C25C2" w:rsidRDefault="005846E2" w:rsidP="00E76F38">
            <w:pPr>
              <w:keepNext/>
              <w:jc w:val="center"/>
              <w:rPr>
                <w:rFonts w:ascii="Arial Narrow" w:hAnsi="Arial Narrow"/>
                <w:color w:val="000000"/>
                <w:sz w:val="20"/>
                <w:szCs w:val="18"/>
              </w:rPr>
            </w:pPr>
            <w:r w:rsidRPr="001C25C2">
              <w:rPr>
                <w:rFonts w:ascii="Arial Narrow" w:hAnsi="Arial Narrow"/>
                <w:color w:val="000000"/>
                <w:sz w:val="20"/>
                <w:szCs w:val="18"/>
              </w:rPr>
              <w:t>(0.06, 0.17)</w:t>
            </w:r>
          </w:p>
        </w:tc>
      </w:tr>
    </w:tbl>
    <w:p w:rsidR="00A42B8D" w:rsidRPr="001C25C2" w:rsidRDefault="005846E2">
      <w:pPr>
        <w:pStyle w:val="TableFooter"/>
        <w:rPr>
          <w:sz w:val="20"/>
        </w:rPr>
      </w:pPr>
      <w:r w:rsidRPr="001C25C2">
        <w:t>Source: Table 2.5.1, p38, Table 2.5.6, p45 in the submission</w:t>
      </w:r>
    </w:p>
    <w:p w:rsidR="00A42B8D" w:rsidRPr="001C25C2" w:rsidRDefault="005846E2">
      <w:pPr>
        <w:pStyle w:val="TableFooter"/>
      </w:pPr>
      <w:r w:rsidRPr="001C25C2">
        <w:t>CI = confidence interval; HR = hazard ratio; ITT = intention to treat; OS = overall survival; PFS = progression-free survival; RD = risk difference; RR = risk ratio</w:t>
      </w:r>
    </w:p>
    <w:p w:rsidR="00A42B8D" w:rsidRPr="001C25C2" w:rsidRDefault="005846E2">
      <w:pPr>
        <w:pStyle w:val="TableFooter"/>
      </w:pPr>
      <w:proofErr w:type="gramStart"/>
      <w:r w:rsidRPr="001C25C2">
        <w:rPr>
          <w:vertAlign w:val="superscript"/>
        </w:rPr>
        <w:t>a</w:t>
      </w:r>
      <w:proofErr w:type="gramEnd"/>
      <w:r w:rsidRPr="001C25C2">
        <w:rPr>
          <w:vertAlign w:val="superscript"/>
        </w:rPr>
        <w:t xml:space="preserve"> </w:t>
      </w:r>
      <w:r w:rsidRPr="001C25C2">
        <w:t xml:space="preserve">Median duration of follow-up: </w:t>
      </w:r>
      <w:proofErr w:type="spellStart"/>
      <w:r w:rsidRPr="001C25C2">
        <w:t>trifluridine</w:t>
      </w:r>
      <w:proofErr w:type="spellEnd"/>
      <w:r w:rsidRPr="001C25C2">
        <w:t>/</w:t>
      </w:r>
      <w:proofErr w:type="spellStart"/>
      <w:r w:rsidRPr="001C25C2">
        <w:t>tipiracil</w:t>
      </w:r>
      <w:proofErr w:type="spellEnd"/>
      <w:r w:rsidRPr="001C25C2">
        <w:t xml:space="preserve"> 10.6 months; placebo 10.7 months</w:t>
      </w:r>
    </w:p>
    <w:p w:rsidR="00A42B8D" w:rsidRPr="001C25C2" w:rsidRDefault="005846E2">
      <w:pPr>
        <w:pStyle w:val="TableFooter"/>
      </w:pPr>
      <w:proofErr w:type="gramStart"/>
      <w:r w:rsidRPr="001C25C2">
        <w:rPr>
          <w:vertAlign w:val="superscript"/>
        </w:rPr>
        <w:t>b</w:t>
      </w:r>
      <w:proofErr w:type="gramEnd"/>
      <w:r w:rsidR="002E4146" w:rsidRPr="001C25C2">
        <w:t xml:space="preserve"> S</w:t>
      </w:r>
      <w:r w:rsidRPr="001C25C2">
        <w:t xml:space="preserve">tratification factors: region, ECOG status at baseline, prior treatment with </w:t>
      </w:r>
      <w:proofErr w:type="spellStart"/>
      <w:r w:rsidRPr="001C25C2">
        <w:t>ramucirumab</w:t>
      </w:r>
      <w:proofErr w:type="spellEnd"/>
    </w:p>
    <w:p w:rsidR="00E27D82" w:rsidRPr="001C25C2" w:rsidRDefault="00E27D82">
      <w:pPr>
        <w:pStyle w:val="TableFooter"/>
      </w:pPr>
      <w:proofErr w:type="gramStart"/>
      <w:r w:rsidRPr="001C25C2">
        <w:rPr>
          <w:vertAlign w:val="superscript"/>
        </w:rPr>
        <w:t>c</w:t>
      </w:r>
      <w:proofErr w:type="gramEnd"/>
      <w:r w:rsidRPr="001C25C2">
        <w:t xml:space="preserve"> Calculated using log-log transformation methodology of </w:t>
      </w:r>
      <w:proofErr w:type="spellStart"/>
      <w:r w:rsidRPr="001C25C2">
        <w:t>Kalbfleisch</w:t>
      </w:r>
      <w:proofErr w:type="spellEnd"/>
      <w:r w:rsidRPr="001C25C2">
        <w:t xml:space="preserve"> and Prentice</w:t>
      </w:r>
    </w:p>
    <w:p w:rsidR="00A42B8D" w:rsidRPr="001C25C2" w:rsidRDefault="00A42B8D">
      <w:pPr>
        <w:widowControl/>
        <w:jc w:val="left"/>
        <w:rPr>
          <w:rStyle w:val="CommentReference"/>
        </w:rPr>
      </w:pPr>
    </w:p>
    <w:p w:rsidR="00A42B8D" w:rsidRPr="001C25C2" w:rsidRDefault="005846E2" w:rsidP="003E4EF2">
      <w:pPr>
        <w:pStyle w:val="ListParagraph"/>
        <w:widowControl/>
        <w:numPr>
          <w:ilvl w:val="1"/>
          <w:numId w:val="2"/>
        </w:numPr>
        <w:spacing w:after="0"/>
      </w:pPr>
      <w:r w:rsidRPr="001C25C2">
        <w:t xml:space="preserve">There was some observed benefit at the expense of an increased risk of toxicity. On the basis of the head to head trial presented in the submission, for patients with metastatic gastric cancer who had progressed after at least two-lines of chemotherapy, the comparison of </w:t>
      </w:r>
      <w:proofErr w:type="spellStart"/>
      <w:r w:rsidRPr="001C25C2">
        <w:t>trifluridine</w:t>
      </w:r>
      <w:proofErr w:type="spellEnd"/>
      <w:r w:rsidRPr="001C25C2">
        <w:t>/</w:t>
      </w:r>
      <w:proofErr w:type="spellStart"/>
      <w:r w:rsidRPr="001C25C2">
        <w:t>tipiracil</w:t>
      </w:r>
      <w:proofErr w:type="spellEnd"/>
      <w:r w:rsidRPr="001C25C2">
        <w:t xml:space="preserve"> to placebo resulted in:</w:t>
      </w:r>
    </w:p>
    <w:p w:rsidR="00A42B8D" w:rsidRPr="001C25C2" w:rsidRDefault="005846E2" w:rsidP="003E4EF2">
      <w:pPr>
        <w:pStyle w:val="ListParagraph"/>
        <w:widowControl/>
        <w:numPr>
          <w:ilvl w:val="0"/>
          <w:numId w:val="1"/>
        </w:numPr>
        <w:ind w:left="1080"/>
        <w:rPr>
          <w:rStyle w:val="CommentReference"/>
          <w:rFonts w:ascii="Calibri" w:hAnsi="Calibri" w:cs="Calibri"/>
          <w:b w:val="0"/>
          <w:snapToGrid/>
          <w:sz w:val="24"/>
          <w:szCs w:val="24"/>
          <w:lang w:eastAsia="en-AU"/>
        </w:rPr>
      </w:pPr>
      <w:r w:rsidRPr="001C25C2">
        <w:rPr>
          <w:rFonts w:cs="Calibri"/>
          <w:snapToGrid/>
          <w:szCs w:val="24"/>
          <w:lang w:eastAsia="en-AU"/>
        </w:rPr>
        <w:lastRenderedPageBreak/>
        <w:t xml:space="preserve">Approximately 2.2 months benefit in </w:t>
      </w:r>
      <w:r w:rsidR="0071261D" w:rsidRPr="001C25C2">
        <w:rPr>
          <w:rFonts w:cs="Calibri"/>
          <w:snapToGrid/>
          <w:szCs w:val="24"/>
          <w:lang w:eastAsia="en-AU"/>
        </w:rPr>
        <w:t xml:space="preserve">median </w:t>
      </w:r>
      <w:r w:rsidRPr="001C25C2">
        <w:rPr>
          <w:rFonts w:cs="Calibri"/>
          <w:snapToGrid/>
          <w:szCs w:val="24"/>
          <w:lang w:eastAsia="en-AU"/>
        </w:rPr>
        <w:t xml:space="preserve">overall survival </w:t>
      </w:r>
      <w:r w:rsidR="00D86B6B" w:rsidRPr="001C25C2">
        <w:rPr>
          <w:rFonts w:cs="Calibri"/>
          <w:snapToGrid/>
          <w:szCs w:val="24"/>
          <w:lang w:eastAsia="en-AU"/>
        </w:rPr>
        <w:t xml:space="preserve"> with an additional 8 in 100 patients surviving at 12 months</w:t>
      </w:r>
      <w:r w:rsidRPr="001C25C2">
        <w:rPr>
          <w:rFonts w:cs="Calibri"/>
          <w:snapToGrid/>
          <w:szCs w:val="24"/>
          <w:lang w:eastAsia="en-AU"/>
        </w:rPr>
        <w:t>; and</w:t>
      </w:r>
    </w:p>
    <w:p w:rsidR="00A42B8D" w:rsidRPr="001C25C2" w:rsidRDefault="005846E2" w:rsidP="003E4EF2">
      <w:pPr>
        <w:pStyle w:val="ListParagraph"/>
        <w:widowControl/>
        <w:numPr>
          <w:ilvl w:val="0"/>
          <w:numId w:val="1"/>
        </w:numPr>
        <w:ind w:left="1080"/>
        <w:rPr>
          <w:rFonts w:cs="Calibri"/>
          <w:snapToGrid/>
          <w:szCs w:val="24"/>
          <w:lang w:eastAsia="en-AU"/>
        </w:rPr>
      </w:pPr>
      <w:r w:rsidRPr="001C25C2">
        <w:rPr>
          <w:rStyle w:val="BodyTextChar"/>
        </w:rPr>
        <w:t>A</w:t>
      </w:r>
      <w:r w:rsidRPr="001C25C2">
        <w:rPr>
          <w:rFonts w:cs="Calibri"/>
          <w:snapToGrid/>
          <w:szCs w:val="24"/>
          <w:lang w:eastAsia="en-AU"/>
        </w:rPr>
        <w:t xml:space="preserve">pproximately 0.2 months benefit in </w:t>
      </w:r>
      <w:r w:rsidR="0071261D" w:rsidRPr="001C25C2">
        <w:rPr>
          <w:rFonts w:cs="Calibri"/>
          <w:snapToGrid/>
          <w:szCs w:val="24"/>
          <w:lang w:eastAsia="en-AU"/>
        </w:rPr>
        <w:t xml:space="preserve">median </w:t>
      </w:r>
      <w:r w:rsidRPr="001C25C2">
        <w:rPr>
          <w:rFonts w:cs="Calibri"/>
          <w:snapToGrid/>
          <w:szCs w:val="24"/>
          <w:lang w:eastAsia="en-AU"/>
        </w:rPr>
        <w:t>progression free survival</w:t>
      </w:r>
      <w:r w:rsidR="00526A6F" w:rsidRPr="001C25C2">
        <w:rPr>
          <w:rFonts w:cs="Calibri"/>
          <w:snapToGrid/>
          <w:szCs w:val="24"/>
          <w:lang w:eastAsia="en-AU"/>
        </w:rPr>
        <w:t xml:space="preserve"> with an additional 8 in 100 patients without progression at 6 months</w:t>
      </w:r>
      <w:r w:rsidRPr="001C25C2">
        <w:rPr>
          <w:rFonts w:cs="Calibri"/>
          <w:snapToGrid/>
          <w:szCs w:val="24"/>
          <w:lang w:eastAsia="en-AU"/>
        </w:rPr>
        <w:t>.</w:t>
      </w:r>
    </w:p>
    <w:p w:rsidR="00A42B8D" w:rsidRPr="001C25C2" w:rsidRDefault="005846E2" w:rsidP="00E76F38">
      <w:pPr>
        <w:pStyle w:val="ListParagraph"/>
        <w:keepNext/>
        <w:widowControl/>
        <w:numPr>
          <w:ilvl w:val="1"/>
          <w:numId w:val="2"/>
        </w:numPr>
        <w:spacing w:after="0"/>
        <w:rPr>
          <w:rFonts w:cs="Calibri"/>
          <w:snapToGrid/>
          <w:szCs w:val="24"/>
          <w:lang w:eastAsia="en-AU"/>
        </w:rPr>
      </w:pPr>
      <w:r w:rsidRPr="001C25C2">
        <w:rPr>
          <w:rFonts w:cs="Calibri"/>
          <w:snapToGrid/>
          <w:szCs w:val="24"/>
          <w:lang w:eastAsia="en-AU"/>
        </w:rPr>
        <w:t xml:space="preserve">For every 100 patients who had </w:t>
      </w:r>
      <w:proofErr w:type="spellStart"/>
      <w:r w:rsidRPr="001C25C2">
        <w:t>trifluridine</w:t>
      </w:r>
      <w:proofErr w:type="spellEnd"/>
      <w:r w:rsidRPr="001C25C2">
        <w:t>/</w:t>
      </w:r>
      <w:proofErr w:type="spellStart"/>
      <w:r w:rsidRPr="001C25C2">
        <w:t>tipiracil</w:t>
      </w:r>
      <w:proofErr w:type="spellEnd"/>
      <w:r w:rsidRPr="001C25C2">
        <w:t xml:space="preserve"> </w:t>
      </w:r>
      <w:r w:rsidRPr="001C25C2">
        <w:rPr>
          <w:rFonts w:cs="Calibri"/>
          <w:snapToGrid/>
          <w:szCs w:val="24"/>
          <w:lang w:eastAsia="en-AU"/>
        </w:rPr>
        <w:t>therapy compared with placebo and over the median duration of follow-up of 11 months:</w:t>
      </w:r>
    </w:p>
    <w:p w:rsidR="00A42B8D" w:rsidRPr="001C25C2" w:rsidRDefault="005846E2" w:rsidP="003E4EF2">
      <w:pPr>
        <w:pStyle w:val="ListParagraph"/>
        <w:widowControl/>
        <w:numPr>
          <w:ilvl w:val="0"/>
          <w:numId w:val="1"/>
        </w:numPr>
        <w:ind w:left="1080"/>
        <w:rPr>
          <w:rFonts w:cs="Calibri"/>
          <w:snapToGrid/>
          <w:szCs w:val="24"/>
          <w:lang w:eastAsia="en-AU"/>
        </w:rPr>
      </w:pPr>
      <w:r w:rsidRPr="001C25C2">
        <w:rPr>
          <w:rFonts w:cs="Calibri"/>
          <w:snapToGrid/>
          <w:szCs w:val="24"/>
          <w:lang w:eastAsia="en-AU"/>
        </w:rPr>
        <w:t>22 additional patients experienced a grade ≥ 3 AE;</w:t>
      </w:r>
    </w:p>
    <w:p w:rsidR="00A42B8D" w:rsidRPr="001C25C2" w:rsidRDefault="005846E2" w:rsidP="003E4EF2">
      <w:pPr>
        <w:pStyle w:val="ListParagraph"/>
        <w:widowControl/>
        <w:numPr>
          <w:ilvl w:val="0"/>
          <w:numId w:val="1"/>
        </w:numPr>
        <w:ind w:left="1080"/>
        <w:rPr>
          <w:rFonts w:cs="Calibri"/>
          <w:snapToGrid/>
          <w:szCs w:val="24"/>
          <w:lang w:eastAsia="en-AU"/>
        </w:rPr>
      </w:pPr>
      <w:r w:rsidRPr="001C25C2">
        <w:rPr>
          <w:rFonts w:cs="Calibri"/>
          <w:snapToGrid/>
          <w:szCs w:val="24"/>
          <w:lang w:eastAsia="en-AU"/>
        </w:rPr>
        <w:t>34 additional patients experienced grade ≥ 3 neutropenia; and</w:t>
      </w:r>
    </w:p>
    <w:p w:rsidR="00A42B8D" w:rsidRPr="001C25C2" w:rsidRDefault="005846E2" w:rsidP="003E4EF2">
      <w:pPr>
        <w:pStyle w:val="ListParagraph"/>
        <w:widowControl/>
        <w:numPr>
          <w:ilvl w:val="0"/>
          <w:numId w:val="1"/>
        </w:numPr>
        <w:ind w:left="1080"/>
      </w:pPr>
      <w:r w:rsidRPr="001C25C2">
        <w:rPr>
          <w:rFonts w:cs="Calibri"/>
          <w:snapToGrid/>
          <w:szCs w:val="24"/>
          <w:lang w:eastAsia="en-AU"/>
        </w:rPr>
        <w:t>11 additional patients</w:t>
      </w:r>
      <w:r w:rsidR="00924305" w:rsidRPr="001C25C2">
        <w:rPr>
          <w:rFonts w:cs="Calibri"/>
          <w:snapToGrid/>
          <w:szCs w:val="24"/>
          <w:lang w:eastAsia="en-AU"/>
        </w:rPr>
        <w:t xml:space="preserve"> experienced grade ≥ 3 anaemia.</w:t>
      </w:r>
    </w:p>
    <w:p w:rsidR="00A42B8D" w:rsidRPr="001C25C2" w:rsidRDefault="005846E2" w:rsidP="001B1F38">
      <w:pPr>
        <w:pStyle w:val="Heading2"/>
      </w:pPr>
      <w:bookmarkStart w:id="18" w:name="_Toc18935150"/>
      <w:r w:rsidRPr="001C25C2">
        <w:t>Clinical claim</w:t>
      </w:r>
      <w:bookmarkEnd w:id="18"/>
    </w:p>
    <w:p w:rsidR="00A42B8D" w:rsidRPr="001C25C2" w:rsidRDefault="005846E2" w:rsidP="00D31485">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 xml:space="preserve">The submission claimed </w:t>
      </w:r>
      <w:proofErr w:type="spellStart"/>
      <w:r w:rsidRPr="001C25C2">
        <w:rPr>
          <w:rFonts w:cs="Calibri"/>
          <w:snapToGrid/>
          <w:szCs w:val="24"/>
          <w:lang w:eastAsia="en-AU"/>
        </w:rPr>
        <w:t>trifluridine</w:t>
      </w:r>
      <w:proofErr w:type="spellEnd"/>
      <w:r w:rsidRPr="001C25C2">
        <w:rPr>
          <w:rFonts w:cs="Calibri"/>
          <w:snapToGrid/>
          <w:szCs w:val="24"/>
          <w:lang w:eastAsia="en-AU"/>
        </w:rPr>
        <w:t>/</w:t>
      </w:r>
      <w:proofErr w:type="spellStart"/>
      <w:r w:rsidRPr="001C25C2">
        <w:rPr>
          <w:rFonts w:cs="Calibri"/>
          <w:snapToGrid/>
          <w:szCs w:val="24"/>
          <w:lang w:eastAsia="en-AU"/>
        </w:rPr>
        <w:t>tipiracil</w:t>
      </w:r>
      <w:proofErr w:type="spellEnd"/>
      <w:r w:rsidRPr="001C25C2">
        <w:rPr>
          <w:rFonts w:cs="Calibri"/>
          <w:snapToGrid/>
          <w:szCs w:val="24"/>
          <w:lang w:eastAsia="en-AU"/>
        </w:rPr>
        <w:t xml:space="preserve"> </w:t>
      </w:r>
      <w:r w:rsidR="00287E08" w:rsidRPr="001C25C2">
        <w:rPr>
          <w:rFonts w:cs="Calibri"/>
          <w:snapToGrid/>
          <w:szCs w:val="24"/>
          <w:lang w:eastAsia="en-AU"/>
        </w:rPr>
        <w:t xml:space="preserve">plus BSC </w:t>
      </w:r>
      <w:r w:rsidRPr="001C25C2">
        <w:rPr>
          <w:rFonts w:cs="Calibri"/>
          <w:snapToGrid/>
          <w:szCs w:val="24"/>
          <w:lang w:eastAsia="en-AU"/>
        </w:rPr>
        <w:t xml:space="preserve">as superior in terms of effectiveness and inferior in terms of safety compared </w:t>
      </w:r>
      <w:r w:rsidR="002F41DA" w:rsidRPr="001C25C2">
        <w:rPr>
          <w:rFonts w:cs="Calibri"/>
          <w:snapToGrid/>
          <w:szCs w:val="24"/>
          <w:lang w:eastAsia="en-AU"/>
        </w:rPr>
        <w:t xml:space="preserve">with </w:t>
      </w:r>
      <w:r w:rsidR="00287E08" w:rsidRPr="001C25C2">
        <w:rPr>
          <w:rFonts w:cs="Calibri"/>
          <w:snapToGrid/>
          <w:szCs w:val="24"/>
          <w:lang w:eastAsia="en-AU"/>
        </w:rPr>
        <w:t xml:space="preserve">BSC </w:t>
      </w:r>
      <w:r w:rsidRPr="001C25C2">
        <w:rPr>
          <w:rFonts w:cs="Calibri"/>
          <w:snapToGrid/>
          <w:szCs w:val="24"/>
          <w:lang w:eastAsia="en-AU"/>
        </w:rPr>
        <w:t xml:space="preserve">in patients with </w:t>
      </w:r>
      <w:proofErr w:type="spellStart"/>
      <w:r w:rsidRPr="001C25C2">
        <w:rPr>
          <w:rFonts w:cs="Calibri"/>
          <w:snapToGrid/>
          <w:szCs w:val="24"/>
          <w:lang w:eastAsia="en-AU"/>
        </w:rPr>
        <w:t>mG</w:t>
      </w:r>
      <w:proofErr w:type="spellEnd"/>
      <w:r w:rsidR="00CD3271" w:rsidRPr="001C25C2">
        <w:rPr>
          <w:rFonts w:cs="Calibri"/>
          <w:snapToGrid/>
          <w:szCs w:val="24"/>
          <w:lang w:eastAsia="en-AU"/>
        </w:rPr>
        <w:t>/GEJ</w:t>
      </w:r>
      <w:r w:rsidRPr="001C25C2">
        <w:rPr>
          <w:rFonts w:cs="Calibri"/>
          <w:snapToGrid/>
          <w:szCs w:val="24"/>
          <w:lang w:eastAsia="en-AU"/>
        </w:rPr>
        <w:t xml:space="preserve"> </w:t>
      </w:r>
      <w:r w:rsidR="00CD3271" w:rsidRPr="001C25C2">
        <w:rPr>
          <w:rFonts w:cs="Calibri"/>
          <w:snapToGrid/>
          <w:szCs w:val="24"/>
          <w:lang w:eastAsia="en-AU"/>
        </w:rPr>
        <w:t xml:space="preserve">adenocarcinoma </w:t>
      </w:r>
      <w:r w:rsidRPr="001C25C2">
        <w:rPr>
          <w:rFonts w:cs="Calibri"/>
          <w:snapToGrid/>
          <w:szCs w:val="24"/>
          <w:lang w:eastAsia="en-AU"/>
        </w:rPr>
        <w:t xml:space="preserve">who have failed, are intolerant of or not candidates for, standard available anticancer therapies. </w:t>
      </w:r>
    </w:p>
    <w:p w:rsidR="00867AD0" w:rsidRPr="001C25C2" w:rsidRDefault="005846E2" w:rsidP="00D31485">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The claim of superior effectiveness was based on the</w:t>
      </w:r>
      <w:r w:rsidR="002F41DA" w:rsidRPr="001C25C2">
        <w:rPr>
          <w:rFonts w:cs="Calibri"/>
          <w:snapToGrid/>
          <w:szCs w:val="24"/>
          <w:lang w:eastAsia="en-AU"/>
        </w:rPr>
        <w:t xml:space="preserve"> clinical </w:t>
      </w:r>
      <w:r w:rsidRPr="001C25C2">
        <w:rPr>
          <w:rFonts w:cs="Calibri"/>
          <w:snapToGrid/>
          <w:szCs w:val="24"/>
          <w:lang w:eastAsia="en-AU"/>
        </w:rPr>
        <w:t xml:space="preserve">evidence </w:t>
      </w:r>
      <w:r w:rsidR="002F41DA" w:rsidRPr="001C25C2">
        <w:rPr>
          <w:rFonts w:cs="Calibri"/>
          <w:snapToGrid/>
          <w:szCs w:val="24"/>
          <w:lang w:eastAsia="en-AU"/>
        </w:rPr>
        <w:t xml:space="preserve">from the TAGS trial </w:t>
      </w:r>
      <w:r w:rsidRPr="001C25C2">
        <w:rPr>
          <w:rFonts w:cs="Calibri"/>
          <w:snapToGrid/>
          <w:szCs w:val="24"/>
          <w:lang w:eastAsia="en-AU"/>
        </w:rPr>
        <w:t xml:space="preserve">showing 2.1 months gain in median OS (mean 2.4 months) for </w:t>
      </w:r>
      <w:proofErr w:type="spellStart"/>
      <w:r w:rsidRPr="001C25C2">
        <w:rPr>
          <w:rFonts w:cs="Calibri"/>
          <w:snapToGrid/>
          <w:szCs w:val="24"/>
          <w:lang w:eastAsia="en-AU"/>
        </w:rPr>
        <w:t>trifluridine</w:t>
      </w:r>
      <w:proofErr w:type="spellEnd"/>
      <w:r w:rsidRPr="001C25C2">
        <w:rPr>
          <w:rFonts w:cs="Calibri"/>
          <w:snapToGrid/>
          <w:szCs w:val="24"/>
          <w:lang w:eastAsia="en-AU"/>
        </w:rPr>
        <w:t>/</w:t>
      </w:r>
      <w:proofErr w:type="spellStart"/>
      <w:r w:rsidRPr="001C25C2">
        <w:rPr>
          <w:rFonts w:cs="Calibri"/>
          <w:snapToGrid/>
          <w:szCs w:val="24"/>
          <w:lang w:eastAsia="en-AU"/>
        </w:rPr>
        <w:t>tipiracil</w:t>
      </w:r>
      <w:proofErr w:type="spellEnd"/>
      <w:r w:rsidRPr="001C25C2">
        <w:rPr>
          <w:rFonts w:cs="Calibri"/>
          <w:snapToGrid/>
          <w:szCs w:val="24"/>
          <w:lang w:eastAsia="en-AU"/>
        </w:rPr>
        <w:t xml:space="preserve"> compared </w:t>
      </w:r>
      <w:r w:rsidR="002F41DA" w:rsidRPr="001C25C2">
        <w:rPr>
          <w:rFonts w:cs="Calibri"/>
          <w:snapToGrid/>
          <w:szCs w:val="24"/>
          <w:lang w:eastAsia="en-AU"/>
        </w:rPr>
        <w:t xml:space="preserve">with </w:t>
      </w:r>
      <w:r w:rsidRPr="001C25C2">
        <w:rPr>
          <w:rFonts w:cs="Calibri"/>
          <w:snapToGrid/>
          <w:szCs w:val="24"/>
          <w:lang w:eastAsia="en-AU"/>
        </w:rPr>
        <w:t xml:space="preserve">placebo which corresponded to a HR of 0.69 (95% CI: 0.56, 0.85) of death. Noting the potential confounding by the timing of the first on-treatment tumour assessment (approximately 8 weeks after treatment initiation), a median PFS gain of 0.16 </w:t>
      </w:r>
      <w:r w:rsidR="00AF1751" w:rsidRPr="001C25C2">
        <w:rPr>
          <w:rFonts w:cs="Calibri"/>
          <w:snapToGrid/>
          <w:szCs w:val="24"/>
          <w:lang w:eastAsia="en-AU"/>
        </w:rPr>
        <w:t xml:space="preserve">of a </w:t>
      </w:r>
      <w:r w:rsidRPr="001C25C2">
        <w:rPr>
          <w:rFonts w:cs="Calibri"/>
          <w:snapToGrid/>
          <w:szCs w:val="24"/>
          <w:lang w:eastAsia="en-AU"/>
        </w:rPr>
        <w:t xml:space="preserve">month (mean 1.2 months) was reported with a corresponding HR of 0.57 (95% CI: 0.47, 0.70). Although statistically significant, the clinical meaningfulness of the OS and PFS gains to patients with </w:t>
      </w:r>
      <w:proofErr w:type="spellStart"/>
      <w:r w:rsidRPr="001C25C2">
        <w:rPr>
          <w:rFonts w:cs="Calibri"/>
          <w:snapToGrid/>
          <w:szCs w:val="24"/>
          <w:lang w:eastAsia="en-AU"/>
        </w:rPr>
        <w:t>mG</w:t>
      </w:r>
      <w:proofErr w:type="spellEnd"/>
      <w:r w:rsidR="00CD3271" w:rsidRPr="001C25C2">
        <w:rPr>
          <w:rFonts w:cs="Calibri"/>
          <w:snapToGrid/>
          <w:szCs w:val="24"/>
          <w:lang w:eastAsia="en-AU"/>
        </w:rPr>
        <w:t>/GEJ adenocarcinoma</w:t>
      </w:r>
      <w:r w:rsidRPr="001C25C2">
        <w:rPr>
          <w:rFonts w:cs="Calibri"/>
          <w:snapToGrid/>
          <w:szCs w:val="24"/>
          <w:lang w:eastAsia="en-AU"/>
        </w:rPr>
        <w:t xml:space="preserve">, who were refractory to standard available anticancer therapies, was uncertain. </w:t>
      </w:r>
      <w:r w:rsidR="00DE3309" w:rsidRPr="001C25C2">
        <w:rPr>
          <w:rFonts w:cs="Calibri"/>
          <w:snapToGrid/>
          <w:szCs w:val="24"/>
          <w:lang w:eastAsia="en-AU"/>
        </w:rPr>
        <w:t xml:space="preserve">The PSCR, argued that when recommending the PBS listing of </w:t>
      </w:r>
      <w:proofErr w:type="spellStart"/>
      <w:r w:rsidR="00DE3309" w:rsidRPr="001C25C2">
        <w:rPr>
          <w:rFonts w:cs="Calibri"/>
          <w:snapToGrid/>
          <w:szCs w:val="24"/>
          <w:lang w:eastAsia="en-AU"/>
        </w:rPr>
        <w:t>ramucirumab</w:t>
      </w:r>
      <w:proofErr w:type="spellEnd"/>
      <w:r w:rsidR="00DE3309" w:rsidRPr="001C25C2">
        <w:rPr>
          <w:rFonts w:cs="Calibri"/>
          <w:snapToGrid/>
          <w:szCs w:val="24"/>
          <w:lang w:eastAsia="en-AU"/>
        </w:rPr>
        <w:t xml:space="preserve"> in March 2018</w:t>
      </w:r>
      <w:r w:rsidR="005D76C9" w:rsidRPr="001C25C2">
        <w:rPr>
          <w:rFonts w:cs="Calibri"/>
          <w:snapToGrid/>
          <w:szCs w:val="24"/>
          <w:lang w:eastAsia="en-AU"/>
        </w:rPr>
        <w:t xml:space="preserve"> (March 2018 PSD),</w:t>
      </w:r>
      <w:r w:rsidR="00DE3309" w:rsidRPr="001C25C2">
        <w:rPr>
          <w:rFonts w:cs="Calibri"/>
          <w:snapToGrid/>
          <w:szCs w:val="24"/>
          <w:lang w:eastAsia="en-AU"/>
        </w:rPr>
        <w:t xml:space="preserve"> the PBAC considered that a gain in median OS of 2.3 months, as observed in </w:t>
      </w:r>
      <w:proofErr w:type="spellStart"/>
      <w:r w:rsidR="00DE3309" w:rsidRPr="001C25C2">
        <w:rPr>
          <w:rFonts w:cs="Calibri"/>
          <w:snapToGrid/>
          <w:szCs w:val="24"/>
          <w:lang w:eastAsia="en-AU"/>
        </w:rPr>
        <w:t>ramucirumab</w:t>
      </w:r>
      <w:proofErr w:type="spellEnd"/>
      <w:r w:rsidR="00DE3309" w:rsidRPr="001C25C2">
        <w:rPr>
          <w:rFonts w:cs="Calibri"/>
          <w:snapToGrid/>
          <w:szCs w:val="24"/>
          <w:lang w:eastAsia="en-AU"/>
        </w:rPr>
        <w:t>-treated patients, was modest</w:t>
      </w:r>
      <w:r w:rsidR="007B315F" w:rsidRPr="001C25C2">
        <w:rPr>
          <w:rFonts w:cs="Calibri"/>
          <w:snapToGrid/>
          <w:szCs w:val="24"/>
          <w:lang w:eastAsia="en-AU"/>
        </w:rPr>
        <w:t>,</w:t>
      </w:r>
      <w:r w:rsidR="00DE3309" w:rsidRPr="001C25C2">
        <w:rPr>
          <w:rFonts w:cs="Calibri"/>
          <w:snapToGrid/>
          <w:szCs w:val="24"/>
          <w:lang w:eastAsia="en-AU"/>
        </w:rPr>
        <w:t xml:space="preserve"> but sufficient to support a claim of superior efficacy. </w:t>
      </w:r>
      <w:r w:rsidR="00117D55" w:rsidRPr="001C25C2">
        <w:rPr>
          <w:rFonts w:cs="Calibri"/>
          <w:snapToGrid/>
          <w:szCs w:val="24"/>
          <w:lang w:eastAsia="en-AU"/>
        </w:rPr>
        <w:t>In addition</w:t>
      </w:r>
      <w:r w:rsidR="00DE3309" w:rsidRPr="001C25C2">
        <w:rPr>
          <w:rFonts w:cs="Calibri"/>
          <w:snapToGrid/>
          <w:szCs w:val="24"/>
          <w:lang w:eastAsia="en-AU"/>
        </w:rPr>
        <w:t>,</w:t>
      </w:r>
      <w:r w:rsidR="00117D55" w:rsidRPr="001C25C2">
        <w:rPr>
          <w:rFonts w:cs="Calibri"/>
          <w:snapToGrid/>
          <w:szCs w:val="24"/>
          <w:lang w:eastAsia="en-AU"/>
        </w:rPr>
        <w:t xml:space="preserve"> the PSCR referred to the </w:t>
      </w:r>
      <w:r w:rsidR="00867AD0" w:rsidRPr="001C25C2">
        <w:rPr>
          <w:rFonts w:cs="Calibri"/>
          <w:snapToGrid/>
          <w:szCs w:val="24"/>
          <w:lang w:eastAsia="en-AU"/>
        </w:rPr>
        <w:t xml:space="preserve">sponsor’s </w:t>
      </w:r>
      <w:r w:rsidR="00117D55" w:rsidRPr="001C25C2">
        <w:rPr>
          <w:rFonts w:cs="Calibri"/>
          <w:snapToGrid/>
          <w:szCs w:val="24"/>
          <w:lang w:eastAsia="en-AU"/>
        </w:rPr>
        <w:t xml:space="preserve">submission requesting </w:t>
      </w:r>
      <w:r w:rsidR="005D76C9" w:rsidRPr="001C25C2">
        <w:rPr>
          <w:rFonts w:cs="Calibri"/>
          <w:snapToGrid/>
          <w:szCs w:val="24"/>
          <w:lang w:eastAsia="en-AU"/>
        </w:rPr>
        <w:t xml:space="preserve">PBS </w:t>
      </w:r>
      <w:r w:rsidR="00117D55" w:rsidRPr="001C25C2">
        <w:rPr>
          <w:rFonts w:cs="Calibri"/>
          <w:snapToGrid/>
          <w:szCs w:val="24"/>
          <w:lang w:eastAsia="en-AU"/>
        </w:rPr>
        <w:t xml:space="preserve">listing of </w:t>
      </w:r>
      <w:proofErr w:type="spellStart"/>
      <w:r w:rsidR="00117D55" w:rsidRPr="001C25C2">
        <w:rPr>
          <w:rFonts w:cs="Calibri"/>
          <w:snapToGrid/>
          <w:szCs w:val="24"/>
          <w:lang w:eastAsia="en-AU"/>
        </w:rPr>
        <w:t>trifluridine</w:t>
      </w:r>
      <w:proofErr w:type="spellEnd"/>
      <w:r w:rsidR="00117D55" w:rsidRPr="001C25C2">
        <w:rPr>
          <w:rFonts w:cs="Calibri"/>
          <w:snapToGrid/>
          <w:szCs w:val="24"/>
          <w:lang w:eastAsia="en-AU"/>
        </w:rPr>
        <w:t>/</w:t>
      </w:r>
      <w:proofErr w:type="spellStart"/>
      <w:r w:rsidR="00117D55" w:rsidRPr="001C25C2">
        <w:rPr>
          <w:rFonts w:cs="Calibri"/>
          <w:snapToGrid/>
          <w:szCs w:val="24"/>
          <w:lang w:eastAsia="en-AU"/>
        </w:rPr>
        <w:t>tipiracil</w:t>
      </w:r>
      <w:proofErr w:type="spellEnd"/>
      <w:r w:rsidR="00117D55" w:rsidRPr="001C25C2">
        <w:rPr>
          <w:rFonts w:cs="Calibri"/>
          <w:snapToGrid/>
          <w:szCs w:val="24"/>
          <w:lang w:eastAsia="en-AU"/>
        </w:rPr>
        <w:t xml:space="preserve"> for </w:t>
      </w:r>
      <w:proofErr w:type="spellStart"/>
      <w:r w:rsidR="00117D55" w:rsidRPr="001C25C2">
        <w:rPr>
          <w:rFonts w:cs="Calibri"/>
          <w:snapToGrid/>
          <w:szCs w:val="24"/>
          <w:lang w:eastAsia="en-AU"/>
        </w:rPr>
        <w:t>mCRC</w:t>
      </w:r>
      <w:proofErr w:type="spellEnd"/>
      <w:r w:rsidR="00117D55" w:rsidRPr="001C25C2">
        <w:rPr>
          <w:rFonts w:cs="Calibri"/>
          <w:snapToGrid/>
          <w:szCs w:val="24"/>
          <w:lang w:eastAsia="en-AU"/>
        </w:rPr>
        <w:t xml:space="preserve"> in July 2018 (paragraph 5.3</w:t>
      </w:r>
      <w:r w:rsidR="00867AD0" w:rsidRPr="001C25C2">
        <w:rPr>
          <w:rFonts w:cs="Calibri"/>
          <w:snapToGrid/>
          <w:szCs w:val="24"/>
          <w:lang w:eastAsia="en-AU"/>
        </w:rPr>
        <w:t>, July 2018 PSD</w:t>
      </w:r>
      <w:r w:rsidR="00117D55" w:rsidRPr="001C25C2">
        <w:rPr>
          <w:rFonts w:cs="Calibri"/>
          <w:snapToGrid/>
          <w:szCs w:val="24"/>
          <w:lang w:eastAsia="en-AU"/>
        </w:rPr>
        <w:t xml:space="preserve">), where the PBAC considered that in the context of limited treatment options, the </w:t>
      </w:r>
      <w:r w:rsidR="00AA7F3C" w:rsidRPr="001C25C2">
        <w:rPr>
          <w:rFonts w:cs="Calibri"/>
          <w:snapToGrid/>
          <w:szCs w:val="24"/>
          <w:lang w:eastAsia="en-AU"/>
        </w:rPr>
        <w:t xml:space="preserve">modest treatment benefit of </w:t>
      </w:r>
      <w:proofErr w:type="spellStart"/>
      <w:r w:rsidR="00AA7F3C" w:rsidRPr="001C25C2">
        <w:rPr>
          <w:rFonts w:cs="Calibri"/>
          <w:snapToGrid/>
          <w:szCs w:val="24"/>
          <w:lang w:eastAsia="en-AU"/>
        </w:rPr>
        <w:t>trifluridine</w:t>
      </w:r>
      <w:proofErr w:type="spellEnd"/>
      <w:r w:rsidR="00AA7F3C" w:rsidRPr="001C25C2">
        <w:rPr>
          <w:rFonts w:cs="Calibri"/>
          <w:snapToGrid/>
          <w:szCs w:val="24"/>
          <w:lang w:eastAsia="en-AU"/>
        </w:rPr>
        <w:t>/</w:t>
      </w:r>
      <w:proofErr w:type="spellStart"/>
      <w:r w:rsidR="00AA7F3C" w:rsidRPr="001C25C2">
        <w:rPr>
          <w:rFonts w:cs="Calibri"/>
          <w:snapToGrid/>
          <w:szCs w:val="24"/>
          <w:lang w:eastAsia="en-AU"/>
        </w:rPr>
        <w:t>tipiracil</w:t>
      </w:r>
      <w:proofErr w:type="spellEnd"/>
      <w:r w:rsidR="00AA7F3C" w:rsidRPr="001C25C2">
        <w:rPr>
          <w:rFonts w:cs="Calibri"/>
          <w:snapToGrid/>
          <w:szCs w:val="24"/>
          <w:lang w:eastAsia="en-AU"/>
        </w:rPr>
        <w:t xml:space="preserve"> (i.e. the </w:t>
      </w:r>
      <w:r w:rsidR="00117D55" w:rsidRPr="001C25C2">
        <w:rPr>
          <w:rFonts w:cs="Calibri"/>
          <w:snapToGrid/>
          <w:szCs w:val="24"/>
          <w:lang w:eastAsia="en-AU"/>
        </w:rPr>
        <w:t>median gain in overall OS of 2.0 months (HR 0.69; CI: 0.59, 0.81) in the RECOURSE trial</w:t>
      </w:r>
      <w:r w:rsidR="00AA7F3C" w:rsidRPr="001C25C2">
        <w:rPr>
          <w:rFonts w:cs="Calibri"/>
          <w:snapToGrid/>
          <w:szCs w:val="24"/>
          <w:lang w:eastAsia="en-AU"/>
        </w:rPr>
        <w:t>)</w:t>
      </w:r>
      <w:r w:rsidR="00117D55" w:rsidRPr="001C25C2">
        <w:rPr>
          <w:rFonts w:cs="Calibri"/>
          <w:snapToGrid/>
          <w:szCs w:val="24"/>
          <w:lang w:eastAsia="en-AU"/>
        </w:rPr>
        <w:t xml:space="preserve"> may be meaningful for some patients. </w:t>
      </w:r>
    </w:p>
    <w:p w:rsidR="00A42B8D" w:rsidRPr="001C25C2" w:rsidRDefault="003453B1" w:rsidP="00D31485">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The ESC considered that the improvemen</w:t>
      </w:r>
      <w:r w:rsidR="0075309D" w:rsidRPr="001C25C2">
        <w:rPr>
          <w:rFonts w:cs="Calibri"/>
          <w:snapToGrid/>
          <w:szCs w:val="24"/>
          <w:lang w:eastAsia="en-AU"/>
        </w:rPr>
        <w:t xml:space="preserve">t in overall survival was modest, and there was no clinically meaningful improvement in PFS. </w:t>
      </w:r>
      <w:r w:rsidR="00B702C6" w:rsidRPr="001C25C2">
        <w:rPr>
          <w:rFonts w:cs="Calibri"/>
          <w:snapToGrid/>
          <w:szCs w:val="24"/>
          <w:lang w:eastAsia="en-AU"/>
        </w:rPr>
        <w:t xml:space="preserve">Further, there was no evidence to suggest an improvement in </w:t>
      </w:r>
      <w:proofErr w:type="spellStart"/>
      <w:r w:rsidR="00B702C6" w:rsidRPr="001C25C2">
        <w:rPr>
          <w:rFonts w:cs="Calibri"/>
          <w:snapToGrid/>
          <w:szCs w:val="24"/>
          <w:lang w:eastAsia="en-AU"/>
        </w:rPr>
        <w:t>HRQoL</w:t>
      </w:r>
      <w:proofErr w:type="spellEnd"/>
      <w:r w:rsidR="0011441A" w:rsidRPr="001C25C2">
        <w:rPr>
          <w:rFonts w:cs="Calibri"/>
          <w:snapToGrid/>
          <w:szCs w:val="24"/>
          <w:lang w:eastAsia="en-AU"/>
        </w:rPr>
        <w:t xml:space="preserve"> and the ESC was concerned that the detrimental </w:t>
      </w:r>
      <w:r w:rsidR="0011441A" w:rsidRPr="001C25C2">
        <w:rPr>
          <w:rFonts w:cs="Calibri"/>
          <w:snapToGrid/>
          <w:szCs w:val="24"/>
          <w:lang w:eastAsia="en-AU"/>
        </w:rPr>
        <w:lastRenderedPageBreak/>
        <w:t xml:space="preserve">effect of toxicity of </w:t>
      </w:r>
      <w:proofErr w:type="spellStart"/>
      <w:r w:rsidR="0011441A" w:rsidRPr="001C25C2">
        <w:rPr>
          <w:rFonts w:cs="Calibri"/>
          <w:snapToGrid/>
          <w:szCs w:val="24"/>
          <w:lang w:eastAsia="en-AU"/>
        </w:rPr>
        <w:t>trifluridine</w:t>
      </w:r>
      <w:proofErr w:type="spellEnd"/>
      <w:r w:rsidR="0011441A" w:rsidRPr="001C25C2">
        <w:rPr>
          <w:rFonts w:cs="Calibri"/>
          <w:snapToGrid/>
          <w:szCs w:val="24"/>
          <w:lang w:eastAsia="en-AU"/>
        </w:rPr>
        <w:t>/</w:t>
      </w:r>
      <w:proofErr w:type="spellStart"/>
      <w:r w:rsidR="0011441A" w:rsidRPr="001C25C2">
        <w:rPr>
          <w:rFonts w:cs="Calibri"/>
          <w:snapToGrid/>
          <w:szCs w:val="24"/>
          <w:lang w:eastAsia="en-AU"/>
        </w:rPr>
        <w:t>tipiracil</w:t>
      </w:r>
      <w:proofErr w:type="spellEnd"/>
      <w:r w:rsidR="0011441A" w:rsidRPr="001C25C2">
        <w:rPr>
          <w:rFonts w:cs="Calibri"/>
          <w:snapToGrid/>
          <w:szCs w:val="24"/>
          <w:lang w:eastAsia="en-AU"/>
        </w:rPr>
        <w:t xml:space="preserve"> on </w:t>
      </w:r>
      <w:proofErr w:type="spellStart"/>
      <w:r w:rsidR="0011441A" w:rsidRPr="001C25C2">
        <w:rPr>
          <w:rFonts w:cs="Calibri"/>
          <w:snapToGrid/>
          <w:szCs w:val="24"/>
          <w:lang w:eastAsia="en-AU"/>
        </w:rPr>
        <w:t>HRQoL</w:t>
      </w:r>
      <w:proofErr w:type="spellEnd"/>
      <w:r w:rsidR="0011441A" w:rsidRPr="001C25C2">
        <w:rPr>
          <w:rFonts w:cs="Calibri"/>
          <w:snapToGrid/>
          <w:szCs w:val="24"/>
          <w:lang w:eastAsia="en-AU"/>
        </w:rPr>
        <w:t xml:space="preserve"> may have been underestimated as assessed by the EORTC QLQ-C30 in the TAGS trial (</w:t>
      </w:r>
      <w:r w:rsidR="0011441A" w:rsidRPr="001C25C2">
        <w:rPr>
          <w:rFonts w:cs="Calibri"/>
          <w:snapToGrid/>
          <w:szCs w:val="24"/>
          <w:shd w:val="clear" w:color="auto" w:fill="FFFFFF" w:themeFill="background1"/>
          <w:lang w:eastAsia="en-AU"/>
        </w:rPr>
        <w:t>see paragraph 6.</w:t>
      </w:r>
      <w:r w:rsidR="0096586C" w:rsidRPr="001C25C2">
        <w:rPr>
          <w:rFonts w:cs="Calibri"/>
          <w:snapToGrid/>
          <w:szCs w:val="24"/>
          <w:shd w:val="clear" w:color="auto" w:fill="FFFFFF" w:themeFill="background1"/>
          <w:lang w:eastAsia="en-AU"/>
        </w:rPr>
        <w:t>17</w:t>
      </w:r>
      <w:r w:rsidR="0011441A" w:rsidRPr="001C25C2">
        <w:rPr>
          <w:rFonts w:cs="Calibri"/>
          <w:snapToGrid/>
          <w:szCs w:val="24"/>
          <w:lang w:eastAsia="en-AU"/>
        </w:rPr>
        <w:t>).</w:t>
      </w:r>
      <w:r w:rsidR="008F5D77" w:rsidRPr="001C25C2">
        <w:rPr>
          <w:rFonts w:cs="Calibri"/>
          <w:snapToGrid/>
          <w:szCs w:val="24"/>
          <w:lang w:eastAsia="en-AU"/>
        </w:rPr>
        <w:t xml:space="preserve"> </w:t>
      </w:r>
    </w:p>
    <w:p w:rsidR="00A42B8D" w:rsidRPr="001C25C2" w:rsidRDefault="005846E2" w:rsidP="00D31485">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The</w:t>
      </w:r>
      <w:r w:rsidR="00287E08" w:rsidRPr="001C25C2">
        <w:rPr>
          <w:rFonts w:cs="Calibri"/>
          <w:snapToGrid/>
          <w:szCs w:val="24"/>
          <w:lang w:eastAsia="en-AU"/>
        </w:rPr>
        <w:t xml:space="preserve"> ESC considered that the</w:t>
      </w:r>
      <w:r w:rsidRPr="001C25C2">
        <w:rPr>
          <w:rFonts w:cs="Calibri"/>
          <w:snapToGrid/>
          <w:szCs w:val="24"/>
          <w:lang w:eastAsia="en-AU"/>
        </w:rPr>
        <w:t xml:space="preserve"> claim of inferior safety was adequately supported by the evidence presented in </w:t>
      </w:r>
      <w:r w:rsidR="00287E08" w:rsidRPr="001C25C2">
        <w:rPr>
          <w:rFonts w:cs="Calibri"/>
          <w:snapToGrid/>
          <w:szCs w:val="24"/>
          <w:lang w:eastAsia="en-AU"/>
        </w:rPr>
        <w:t>the submission</w:t>
      </w:r>
      <w:r w:rsidRPr="001C25C2">
        <w:rPr>
          <w:rFonts w:cs="Calibri"/>
          <w:snapToGrid/>
          <w:szCs w:val="24"/>
          <w:lang w:eastAsia="en-AU"/>
        </w:rPr>
        <w:t>. There was an increased risk of AEs of Grade ≥ 3 and TEAEs leading to dose modificat</w:t>
      </w:r>
      <w:r w:rsidR="00924305" w:rsidRPr="001C25C2">
        <w:rPr>
          <w:rFonts w:cs="Calibri"/>
          <w:snapToGrid/>
          <w:szCs w:val="24"/>
          <w:lang w:eastAsia="en-AU"/>
        </w:rPr>
        <w:t xml:space="preserve">ion for </w:t>
      </w:r>
      <w:proofErr w:type="spellStart"/>
      <w:r w:rsidR="00924305" w:rsidRPr="001C25C2">
        <w:rPr>
          <w:rFonts w:cs="Calibri"/>
          <w:snapToGrid/>
          <w:szCs w:val="24"/>
          <w:lang w:eastAsia="en-AU"/>
        </w:rPr>
        <w:t>trifluridine</w:t>
      </w:r>
      <w:proofErr w:type="spellEnd"/>
      <w:r w:rsidR="00924305" w:rsidRPr="001C25C2">
        <w:rPr>
          <w:rFonts w:cs="Calibri"/>
          <w:snapToGrid/>
          <w:szCs w:val="24"/>
          <w:lang w:eastAsia="en-AU"/>
        </w:rPr>
        <w:t>/</w:t>
      </w:r>
      <w:proofErr w:type="spellStart"/>
      <w:r w:rsidR="00924305" w:rsidRPr="001C25C2">
        <w:rPr>
          <w:rFonts w:cs="Calibri"/>
          <w:snapToGrid/>
          <w:szCs w:val="24"/>
          <w:lang w:eastAsia="en-AU"/>
        </w:rPr>
        <w:t>tipiracil</w:t>
      </w:r>
      <w:proofErr w:type="spellEnd"/>
      <w:r w:rsidR="00924305" w:rsidRPr="001C25C2">
        <w:rPr>
          <w:rFonts w:cs="Calibri"/>
          <w:snapToGrid/>
          <w:szCs w:val="24"/>
          <w:lang w:eastAsia="en-AU"/>
        </w:rPr>
        <w:t>.</w:t>
      </w:r>
      <w:r w:rsidR="001B1F38" w:rsidRPr="001C25C2">
        <w:rPr>
          <w:rFonts w:cs="Calibri"/>
          <w:snapToGrid/>
          <w:szCs w:val="24"/>
          <w:lang w:eastAsia="en-AU"/>
        </w:rPr>
        <w:t xml:space="preserve"> The submission claimed that the AEs associated with treatment with </w:t>
      </w:r>
      <w:proofErr w:type="spellStart"/>
      <w:r w:rsidR="001B1F38" w:rsidRPr="001C25C2">
        <w:rPr>
          <w:rFonts w:cs="Calibri"/>
          <w:snapToGrid/>
          <w:szCs w:val="24"/>
          <w:lang w:eastAsia="en-AU"/>
        </w:rPr>
        <w:t>trifluridine</w:t>
      </w:r>
      <w:proofErr w:type="spellEnd"/>
      <w:r w:rsidR="001B1F38" w:rsidRPr="001C25C2">
        <w:rPr>
          <w:rFonts w:cs="Calibri"/>
          <w:snapToGrid/>
          <w:szCs w:val="24"/>
          <w:lang w:eastAsia="en-AU"/>
        </w:rPr>
        <w:t>/</w:t>
      </w:r>
      <w:proofErr w:type="spellStart"/>
      <w:r w:rsidR="001B1F38" w:rsidRPr="001C25C2">
        <w:rPr>
          <w:rFonts w:cs="Calibri"/>
          <w:snapToGrid/>
          <w:szCs w:val="24"/>
          <w:lang w:eastAsia="en-AU"/>
        </w:rPr>
        <w:t>tipiracil</w:t>
      </w:r>
      <w:proofErr w:type="spellEnd"/>
      <w:r w:rsidR="001B1F38" w:rsidRPr="001C25C2">
        <w:rPr>
          <w:rFonts w:cs="Calibri"/>
          <w:snapToGrid/>
          <w:szCs w:val="24"/>
          <w:lang w:eastAsia="en-AU"/>
        </w:rPr>
        <w:t xml:space="preserve"> were mainly attributable to </w:t>
      </w:r>
      <w:proofErr w:type="spellStart"/>
      <w:r w:rsidR="001B1F38" w:rsidRPr="001C25C2">
        <w:rPr>
          <w:rFonts w:cs="Calibri"/>
          <w:snapToGrid/>
          <w:szCs w:val="24"/>
          <w:lang w:eastAsia="en-AU"/>
        </w:rPr>
        <w:t>myelosuppression</w:t>
      </w:r>
      <w:proofErr w:type="spellEnd"/>
      <w:r w:rsidR="001B1F38" w:rsidRPr="001C25C2">
        <w:rPr>
          <w:rFonts w:cs="Calibri"/>
          <w:snapToGrid/>
          <w:szCs w:val="24"/>
          <w:lang w:eastAsia="en-AU"/>
        </w:rPr>
        <w:t xml:space="preserve"> which was manageable by dose modification or dose delay. However, the ESC considered that </w:t>
      </w:r>
      <w:proofErr w:type="spellStart"/>
      <w:r w:rsidR="001B1F38" w:rsidRPr="001C25C2">
        <w:rPr>
          <w:rFonts w:cs="Calibri"/>
          <w:snapToGrid/>
          <w:szCs w:val="24"/>
          <w:lang w:eastAsia="en-AU"/>
        </w:rPr>
        <w:t>myelosuppressive</w:t>
      </w:r>
      <w:proofErr w:type="spellEnd"/>
      <w:r w:rsidR="001B1F38" w:rsidRPr="001C25C2">
        <w:rPr>
          <w:rFonts w:cs="Calibri"/>
          <w:snapToGrid/>
          <w:szCs w:val="24"/>
          <w:lang w:eastAsia="en-AU"/>
        </w:rPr>
        <w:t xml:space="preserve"> events may have been clinically significant noting an increased use in supportive products for anaemia by patients receiving </w:t>
      </w:r>
      <w:proofErr w:type="spellStart"/>
      <w:r w:rsidR="001B1F38" w:rsidRPr="001C25C2">
        <w:rPr>
          <w:rFonts w:cs="Calibri"/>
          <w:snapToGrid/>
          <w:szCs w:val="24"/>
          <w:lang w:eastAsia="en-AU"/>
        </w:rPr>
        <w:t>trifluridine</w:t>
      </w:r>
      <w:proofErr w:type="spellEnd"/>
      <w:r w:rsidR="001B1F38" w:rsidRPr="001C25C2">
        <w:rPr>
          <w:rFonts w:cs="Calibri"/>
          <w:snapToGrid/>
          <w:szCs w:val="24"/>
          <w:lang w:eastAsia="en-AU"/>
        </w:rPr>
        <w:t>/</w:t>
      </w:r>
      <w:proofErr w:type="spellStart"/>
      <w:r w:rsidR="001B1F38" w:rsidRPr="001C25C2">
        <w:rPr>
          <w:rFonts w:cs="Calibri"/>
          <w:snapToGrid/>
          <w:szCs w:val="24"/>
          <w:lang w:eastAsia="en-AU"/>
        </w:rPr>
        <w:t>tipiracil</w:t>
      </w:r>
      <w:proofErr w:type="spellEnd"/>
      <w:r w:rsidR="001B1F38" w:rsidRPr="001C25C2">
        <w:rPr>
          <w:rFonts w:cs="Calibri"/>
          <w:snapToGrid/>
          <w:szCs w:val="24"/>
          <w:lang w:eastAsia="en-AU"/>
        </w:rPr>
        <w:t xml:space="preserve"> (see paragraph 6.</w:t>
      </w:r>
      <w:r w:rsidR="00F35B88" w:rsidRPr="001C25C2">
        <w:rPr>
          <w:rFonts w:cs="Calibri"/>
          <w:snapToGrid/>
          <w:szCs w:val="24"/>
          <w:lang w:eastAsia="en-AU"/>
        </w:rPr>
        <w:t>24</w:t>
      </w:r>
      <w:r w:rsidR="001B1F38" w:rsidRPr="001C25C2">
        <w:rPr>
          <w:rFonts w:cs="Calibri"/>
          <w:snapToGrid/>
          <w:szCs w:val="24"/>
          <w:lang w:eastAsia="en-AU"/>
        </w:rPr>
        <w:t>).</w:t>
      </w:r>
      <w:r w:rsidR="003C5B69" w:rsidRPr="001C25C2">
        <w:rPr>
          <w:rFonts w:cs="Calibri"/>
          <w:snapToGrid/>
          <w:szCs w:val="24"/>
          <w:lang w:eastAsia="en-AU"/>
        </w:rPr>
        <w:t xml:space="preserve"> </w:t>
      </w:r>
      <w:r w:rsidR="00AA7F3C" w:rsidRPr="001C25C2">
        <w:rPr>
          <w:rFonts w:cs="Calibri"/>
          <w:snapToGrid/>
          <w:szCs w:val="24"/>
          <w:lang w:eastAsia="en-AU"/>
        </w:rPr>
        <w:t>T</w:t>
      </w:r>
      <w:r w:rsidR="0051780F" w:rsidRPr="001C25C2">
        <w:rPr>
          <w:rFonts w:cs="Calibri"/>
          <w:snapToGrid/>
          <w:szCs w:val="24"/>
          <w:lang w:eastAsia="en-AU"/>
        </w:rPr>
        <w:t>he ESC was</w:t>
      </w:r>
      <w:r w:rsidR="0075309D" w:rsidRPr="001C25C2">
        <w:rPr>
          <w:rFonts w:cs="Calibri"/>
          <w:snapToGrid/>
          <w:szCs w:val="24"/>
          <w:lang w:eastAsia="en-AU"/>
        </w:rPr>
        <w:t xml:space="preserve"> </w:t>
      </w:r>
      <w:r w:rsidR="005D054F" w:rsidRPr="001C25C2">
        <w:rPr>
          <w:rFonts w:cs="Calibri"/>
          <w:snapToGrid/>
          <w:szCs w:val="24"/>
          <w:lang w:eastAsia="en-AU"/>
        </w:rPr>
        <w:t xml:space="preserve">also </w:t>
      </w:r>
      <w:r w:rsidR="0075309D" w:rsidRPr="001C25C2">
        <w:rPr>
          <w:rFonts w:cs="Calibri"/>
          <w:snapToGrid/>
          <w:szCs w:val="24"/>
          <w:lang w:eastAsia="en-AU"/>
        </w:rPr>
        <w:t xml:space="preserve">concerned that the risk of </w:t>
      </w:r>
      <w:r w:rsidR="00546323" w:rsidRPr="001C25C2">
        <w:rPr>
          <w:rFonts w:cs="Calibri"/>
          <w:snapToGrid/>
          <w:szCs w:val="24"/>
          <w:lang w:eastAsia="en-AU"/>
        </w:rPr>
        <w:t>TAEs</w:t>
      </w:r>
      <w:r w:rsidR="001B1F38" w:rsidRPr="001C25C2">
        <w:rPr>
          <w:rFonts w:cs="Calibri"/>
          <w:snapToGrid/>
          <w:szCs w:val="24"/>
          <w:lang w:eastAsia="en-AU"/>
        </w:rPr>
        <w:t xml:space="preserve"> </w:t>
      </w:r>
      <w:r w:rsidR="0075309D" w:rsidRPr="001C25C2">
        <w:rPr>
          <w:rFonts w:cs="Calibri"/>
          <w:snapToGrid/>
          <w:szCs w:val="24"/>
          <w:lang w:eastAsia="en-AU"/>
        </w:rPr>
        <w:t>would be higher in the PBS population</w:t>
      </w:r>
      <w:r w:rsidR="00287E08" w:rsidRPr="001C25C2">
        <w:rPr>
          <w:rFonts w:cs="Calibri"/>
          <w:snapToGrid/>
          <w:szCs w:val="24"/>
          <w:lang w:eastAsia="en-AU"/>
        </w:rPr>
        <w:t xml:space="preserve"> compared with the trial population which excluded patients with</w:t>
      </w:r>
      <w:r w:rsidR="0075309D" w:rsidRPr="001C25C2">
        <w:rPr>
          <w:rFonts w:cs="Calibri"/>
          <w:snapToGrid/>
          <w:szCs w:val="24"/>
          <w:lang w:eastAsia="en-AU"/>
        </w:rPr>
        <w:t xml:space="preserve"> comorbidities such as cardiovascular disease and poorly controlled diabetes.</w:t>
      </w:r>
      <w:r w:rsidR="00A804B6" w:rsidRPr="001C25C2">
        <w:rPr>
          <w:rFonts w:cs="Calibri"/>
          <w:snapToGrid/>
          <w:szCs w:val="24"/>
          <w:lang w:eastAsia="en-AU"/>
        </w:rPr>
        <w:t xml:space="preserve"> The pre-PBAC response argued that </w:t>
      </w:r>
      <w:r w:rsidR="00F41BDF" w:rsidRPr="001C25C2">
        <w:rPr>
          <w:rFonts w:cs="Calibri"/>
          <w:snapToGrid/>
          <w:szCs w:val="24"/>
          <w:lang w:eastAsia="en-AU"/>
        </w:rPr>
        <w:t>the exclusion of patients with significant comorbidities is standard in most clinical trials.</w:t>
      </w:r>
    </w:p>
    <w:p w:rsidR="00B46A35" w:rsidRPr="001C25C2" w:rsidRDefault="006D3B9B" w:rsidP="00D31485">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Overall</w:t>
      </w:r>
      <w:r w:rsidR="005846E2" w:rsidRPr="001C25C2">
        <w:rPr>
          <w:rFonts w:cs="Calibri"/>
          <w:snapToGrid/>
          <w:szCs w:val="24"/>
          <w:lang w:eastAsia="en-AU"/>
        </w:rPr>
        <w:t xml:space="preserve">, the </w:t>
      </w:r>
      <w:r w:rsidR="0075309D" w:rsidRPr="001C25C2">
        <w:rPr>
          <w:rFonts w:cs="Calibri"/>
          <w:snapToGrid/>
          <w:szCs w:val="24"/>
          <w:lang w:eastAsia="en-AU"/>
        </w:rPr>
        <w:t xml:space="preserve">ESC </w:t>
      </w:r>
      <w:r w:rsidR="00121AB1" w:rsidRPr="001C25C2">
        <w:rPr>
          <w:rFonts w:cs="Calibri"/>
          <w:snapToGrid/>
          <w:szCs w:val="24"/>
          <w:lang w:eastAsia="en-AU"/>
        </w:rPr>
        <w:t xml:space="preserve">considered </w:t>
      </w:r>
      <w:r w:rsidR="0075309D" w:rsidRPr="001C25C2">
        <w:rPr>
          <w:rFonts w:cs="Calibri"/>
          <w:snapToGrid/>
          <w:szCs w:val="24"/>
          <w:lang w:eastAsia="en-AU"/>
        </w:rPr>
        <w:t xml:space="preserve">that the </w:t>
      </w:r>
      <w:r w:rsidR="005846E2" w:rsidRPr="001C25C2">
        <w:rPr>
          <w:rFonts w:cs="Calibri"/>
          <w:snapToGrid/>
          <w:szCs w:val="24"/>
          <w:lang w:eastAsia="en-AU"/>
        </w:rPr>
        <w:t xml:space="preserve">main concern was whether the </w:t>
      </w:r>
      <w:r w:rsidR="00287E08" w:rsidRPr="001C25C2">
        <w:rPr>
          <w:rFonts w:cs="Calibri"/>
          <w:snapToGrid/>
          <w:szCs w:val="24"/>
          <w:lang w:eastAsia="en-AU"/>
        </w:rPr>
        <w:t xml:space="preserve">modest </w:t>
      </w:r>
      <w:r w:rsidR="005846E2" w:rsidRPr="001C25C2">
        <w:rPr>
          <w:rFonts w:cs="Calibri"/>
          <w:snapToGrid/>
          <w:szCs w:val="24"/>
          <w:lang w:eastAsia="en-AU"/>
        </w:rPr>
        <w:t xml:space="preserve">observed benefit </w:t>
      </w:r>
      <w:r w:rsidR="00287E08" w:rsidRPr="001C25C2">
        <w:rPr>
          <w:rFonts w:cs="Calibri"/>
          <w:snapToGrid/>
          <w:szCs w:val="24"/>
          <w:lang w:eastAsia="en-AU"/>
        </w:rPr>
        <w:t xml:space="preserve">associated with treatment with </w:t>
      </w:r>
      <w:proofErr w:type="spellStart"/>
      <w:r w:rsidR="005846E2" w:rsidRPr="001C25C2">
        <w:rPr>
          <w:rFonts w:cs="Calibri"/>
          <w:snapToGrid/>
          <w:szCs w:val="24"/>
          <w:lang w:eastAsia="en-AU"/>
        </w:rPr>
        <w:t>trifluridine</w:t>
      </w:r>
      <w:proofErr w:type="spellEnd"/>
      <w:r w:rsidR="005846E2" w:rsidRPr="001C25C2">
        <w:rPr>
          <w:rFonts w:cs="Calibri"/>
          <w:snapToGrid/>
          <w:szCs w:val="24"/>
          <w:lang w:eastAsia="en-AU"/>
        </w:rPr>
        <w:t>/</w:t>
      </w:r>
      <w:proofErr w:type="spellStart"/>
      <w:r w:rsidR="005846E2" w:rsidRPr="001C25C2">
        <w:rPr>
          <w:rFonts w:cs="Calibri"/>
          <w:snapToGrid/>
          <w:szCs w:val="24"/>
          <w:lang w:eastAsia="en-AU"/>
        </w:rPr>
        <w:t>tipiracil</w:t>
      </w:r>
      <w:proofErr w:type="spellEnd"/>
      <w:r w:rsidR="005846E2" w:rsidRPr="001C25C2">
        <w:rPr>
          <w:rFonts w:cs="Calibri"/>
          <w:snapToGrid/>
          <w:szCs w:val="24"/>
          <w:lang w:eastAsia="en-AU"/>
        </w:rPr>
        <w:t xml:space="preserve"> </w:t>
      </w:r>
      <w:r w:rsidR="00287E08" w:rsidRPr="001C25C2">
        <w:rPr>
          <w:rFonts w:cs="Calibri"/>
          <w:snapToGrid/>
          <w:szCs w:val="24"/>
          <w:lang w:eastAsia="en-AU"/>
        </w:rPr>
        <w:t xml:space="preserve">plus BSC, compared with placebo plus BSC, </w:t>
      </w:r>
      <w:r w:rsidR="005846E2" w:rsidRPr="001C25C2">
        <w:rPr>
          <w:rFonts w:cs="Calibri"/>
          <w:snapToGrid/>
          <w:szCs w:val="24"/>
          <w:lang w:eastAsia="en-AU"/>
        </w:rPr>
        <w:t xml:space="preserve">would be realised in clinical practice and was clinically meaningful to patients in the context of the </w:t>
      </w:r>
      <w:r w:rsidR="00680540" w:rsidRPr="001C25C2">
        <w:rPr>
          <w:rFonts w:cs="Calibri"/>
          <w:snapToGrid/>
          <w:szCs w:val="24"/>
          <w:lang w:eastAsia="en-AU"/>
        </w:rPr>
        <w:t xml:space="preserve">substantial </w:t>
      </w:r>
      <w:r w:rsidR="005846E2" w:rsidRPr="001C25C2">
        <w:rPr>
          <w:rFonts w:cs="Calibri"/>
          <w:snapToGrid/>
          <w:szCs w:val="24"/>
          <w:lang w:eastAsia="en-AU"/>
        </w:rPr>
        <w:t>increase</w:t>
      </w:r>
      <w:r w:rsidR="00680540" w:rsidRPr="001C25C2">
        <w:rPr>
          <w:rFonts w:cs="Calibri"/>
          <w:snapToGrid/>
          <w:szCs w:val="24"/>
          <w:lang w:eastAsia="en-AU"/>
        </w:rPr>
        <w:t xml:space="preserve"> in</w:t>
      </w:r>
      <w:r w:rsidR="005846E2" w:rsidRPr="001C25C2">
        <w:rPr>
          <w:rFonts w:cs="Calibri"/>
          <w:snapToGrid/>
          <w:szCs w:val="24"/>
          <w:lang w:eastAsia="en-AU"/>
        </w:rPr>
        <w:t xml:space="preserve"> toxicity.</w:t>
      </w:r>
      <w:r w:rsidR="00B46A35" w:rsidRPr="001C25C2">
        <w:rPr>
          <w:rFonts w:cs="Calibri"/>
          <w:snapToGrid/>
          <w:szCs w:val="24"/>
          <w:lang w:eastAsia="en-AU"/>
        </w:rPr>
        <w:t xml:space="preserve"> </w:t>
      </w:r>
      <w:r w:rsidR="00F41BDF" w:rsidRPr="001C25C2">
        <w:rPr>
          <w:rFonts w:cs="Calibri"/>
          <w:snapToGrid/>
          <w:szCs w:val="24"/>
          <w:lang w:eastAsia="en-AU"/>
        </w:rPr>
        <w:t>The pre-PBAC response</w:t>
      </w:r>
      <w:r w:rsidR="00DC0899" w:rsidRPr="001C25C2">
        <w:rPr>
          <w:rFonts w:cs="Calibri"/>
          <w:snapToGrid/>
          <w:szCs w:val="24"/>
          <w:lang w:eastAsia="en-AU"/>
        </w:rPr>
        <w:t xml:space="preserve"> stated that the decision about whether the expected OS gains are meaningful enough to outweigh the risks of AEs should fundamentally lie with individual patients, their families and their clinicians as the meaningfulness of the potential OS gain will depend on the individual patient’s circumstances.</w:t>
      </w:r>
      <w:r w:rsidR="00B46A35" w:rsidRPr="001C25C2">
        <w:rPr>
          <w:rFonts w:cs="Calibri"/>
          <w:snapToGrid/>
          <w:szCs w:val="24"/>
          <w:lang w:eastAsia="en-AU"/>
        </w:rPr>
        <w:t xml:space="preserve"> </w:t>
      </w:r>
    </w:p>
    <w:p w:rsidR="00D31485" w:rsidRPr="001C25C2" w:rsidRDefault="00D31485" w:rsidP="00D31485">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 xml:space="preserve">The PBAC considered that the claim of superior comparative effectiveness was reasonable </w:t>
      </w:r>
      <w:r w:rsidR="00E41187" w:rsidRPr="001C25C2">
        <w:rPr>
          <w:rFonts w:cs="Calibri"/>
          <w:snapToGrid/>
          <w:szCs w:val="24"/>
          <w:lang w:eastAsia="en-AU"/>
        </w:rPr>
        <w:t>and adequately supported by the data</w:t>
      </w:r>
      <w:r w:rsidR="006D3B9B" w:rsidRPr="001C25C2">
        <w:rPr>
          <w:rFonts w:cs="Calibri"/>
          <w:snapToGrid/>
          <w:szCs w:val="24"/>
          <w:lang w:eastAsia="en-AU"/>
        </w:rPr>
        <w:t xml:space="preserve"> but noted that the magnitude of benefit was modest</w:t>
      </w:r>
      <w:r w:rsidRPr="001C25C2">
        <w:rPr>
          <w:rFonts w:cs="Calibri"/>
          <w:snapToGrid/>
          <w:szCs w:val="24"/>
          <w:lang w:eastAsia="en-AU"/>
        </w:rPr>
        <w:t>.</w:t>
      </w:r>
    </w:p>
    <w:p w:rsidR="00D31485" w:rsidRPr="001C25C2" w:rsidRDefault="00D31485" w:rsidP="00D31485">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The PBAC considered that the claim of inferior comparative safety was reasonable.</w:t>
      </w:r>
    </w:p>
    <w:p w:rsidR="00A42B8D" w:rsidRPr="001C25C2" w:rsidRDefault="005846E2">
      <w:pPr>
        <w:pStyle w:val="Heading2"/>
      </w:pPr>
      <w:bookmarkStart w:id="19" w:name="_Toc18935151"/>
      <w:r w:rsidRPr="001C25C2">
        <w:t>Economic analysis</w:t>
      </w:r>
      <w:bookmarkEnd w:id="19"/>
      <w:r w:rsidRPr="001C25C2">
        <w:t xml:space="preserve"> </w:t>
      </w:r>
    </w:p>
    <w:p w:rsidR="00A42B8D" w:rsidRPr="001C25C2" w:rsidRDefault="005846E2"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The submission presented a trial-based cost-utility analysis based on the TAGS trial. The use of a within trial analysis was appropriate given the extent of follow-up in the TAGS trial was such that most patients had died at the end of follow-up.</w:t>
      </w:r>
    </w:p>
    <w:p w:rsidR="00A42B8D" w:rsidRPr="001C25C2" w:rsidRDefault="005846E2"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 xml:space="preserve">The key components and assumptions of the cost-utility analysis are presented in Table </w:t>
      </w:r>
      <w:r w:rsidR="00077911" w:rsidRPr="001C25C2">
        <w:rPr>
          <w:rFonts w:cs="Calibri"/>
          <w:snapToGrid/>
          <w:szCs w:val="24"/>
          <w:lang w:eastAsia="en-AU"/>
        </w:rPr>
        <w:t>8</w:t>
      </w:r>
      <w:r w:rsidRPr="001C25C2">
        <w:rPr>
          <w:rFonts w:cs="Calibri"/>
          <w:snapToGrid/>
          <w:szCs w:val="24"/>
          <w:lang w:eastAsia="en-AU"/>
        </w:rPr>
        <w:t>.</w:t>
      </w:r>
    </w:p>
    <w:p w:rsidR="00A42B8D" w:rsidRPr="001C25C2" w:rsidRDefault="005846E2">
      <w:pPr>
        <w:rPr>
          <w:rStyle w:val="CommentReference"/>
        </w:rPr>
      </w:pPr>
      <w:r w:rsidRPr="001C25C2">
        <w:rPr>
          <w:rStyle w:val="CommentReference"/>
        </w:rPr>
        <w:t>Table 8: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87"/>
        <w:gridCol w:w="7230"/>
      </w:tblGrid>
      <w:tr w:rsidR="00A42B8D" w:rsidRPr="001C25C2" w:rsidTr="002E4146">
        <w:trPr>
          <w:tblHeader/>
        </w:trPr>
        <w:tc>
          <w:tcPr>
            <w:tcW w:w="991" w:type="pct"/>
            <w:vAlign w:val="center"/>
          </w:tcPr>
          <w:p w:rsidR="00A42B8D" w:rsidRPr="001C25C2" w:rsidRDefault="005846E2">
            <w:pPr>
              <w:pStyle w:val="Tabletext"/>
              <w:rPr>
                <w:b/>
              </w:rPr>
            </w:pPr>
            <w:r w:rsidRPr="001C25C2">
              <w:rPr>
                <w:b/>
              </w:rPr>
              <w:t>Component</w:t>
            </w:r>
          </w:p>
        </w:tc>
        <w:tc>
          <w:tcPr>
            <w:tcW w:w="4009" w:type="pct"/>
          </w:tcPr>
          <w:p w:rsidR="00A42B8D" w:rsidRPr="001C25C2" w:rsidRDefault="005846E2">
            <w:pPr>
              <w:pStyle w:val="Tabletext"/>
              <w:rPr>
                <w:b/>
              </w:rPr>
            </w:pPr>
            <w:r w:rsidRPr="001C25C2">
              <w:rPr>
                <w:b/>
              </w:rPr>
              <w:t>Summary</w:t>
            </w:r>
          </w:p>
        </w:tc>
      </w:tr>
      <w:tr w:rsidR="00A42B8D" w:rsidRPr="001C25C2" w:rsidTr="002E4146">
        <w:tc>
          <w:tcPr>
            <w:tcW w:w="991" w:type="pct"/>
            <w:vAlign w:val="center"/>
          </w:tcPr>
          <w:p w:rsidR="00A42B8D" w:rsidRPr="001C25C2" w:rsidRDefault="005846E2">
            <w:pPr>
              <w:pStyle w:val="Tabletext"/>
            </w:pPr>
            <w:r w:rsidRPr="001C25C2">
              <w:t>Outcomes</w:t>
            </w:r>
          </w:p>
        </w:tc>
        <w:tc>
          <w:tcPr>
            <w:tcW w:w="4009" w:type="pct"/>
            <w:vAlign w:val="center"/>
          </w:tcPr>
          <w:p w:rsidR="00A42B8D" w:rsidRPr="001C25C2" w:rsidRDefault="005846E2">
            <w:pPr>
              <w:pStyle w:val="Tabletext"/>
            </w:pPr>
            <w:r w:rsidRPr="001C25C2">
              <w:t>Quality-adjusted life years and life years</w:t>
            </w:r>
          </w:p>
        </w:tc>
      </w:tr>
      <w:tr w:rsidR="00A42B8D" w:rsidRPr="001C25C2" w:rsidTr="002E4146">
        <w:tc>
          <w:tcPr>
            <w:tcW w:w="991" w:type="pct"/>
            <w:vAlign w:val="center"/>
          </w:tcPr>
          <w:p w:rsidR="00A42B8D" w:rsidRPr="001C25C2" w:rsidRDefault="005846E2">
            <w:pPr>
              <w:pStyle w:val="Tabletext"/>
            </w:pPr>
            <w:r w:rsidRPr="001C25C2">
              <w:t>Time horizon</w:t>
            </w:r>
          </w:p>
        </w:tc>
        <w:tc>
          <w:tcPr>
            <w:tcW w:w="4009" w:type="pct"/>
            <w:vAlign w:val="center"/>
          </w:tcPr>
          <w:p w:rsidR="00A42B8D" w:rsidRPr="001C25C2" w:rsidRDefault="005846E2">
            <w:pPr>
              <w:pStyle w:val="Tabletext"/>
            </w:pPr>
            <w:r w:rsidRPr="001C25C2">
              <w:rPr>
                <w:szCs w:val="24"/>
              </w:rPr>
              <w:t>Lifetime, to the extent this was assessed directly in the TAGS trial</w:t>
            </w:r>
          </w:p>
        </w:tc>
      </w:tr>
      <w:tr w:rsidR="00A42B8D" w:rsidRPr="001C25C2" w:rsidTr="002E4146">
        <w:tc>
          <w:tcPr>
            <w:tcW w:w="991" w:type="pct"/>
            <w:vAlign w:val="center"/>
          </w:tcPr>
          <w:p w:rsidR="00A42B8D" w:rsidRPr="001C25C2" w:rsidRDefault="005846E2">
            <w:pPr>
              <w:pStyle w:val="Tabletext"/>
            </w:pPr>
            <w:r w:rsidRPr="001C25C2">
              <w:t>Methods used to generate results</w:t>
            </w:r>
          </w:p>
        </w:tc>
        <w:tc>
          <w:tcPr>
            <w:tcW w:w="4009" w:type="pct"/>
            <w:vAlign w:val="center"/>
          </w:tcPr>
          <w:p w:rsidR="00A42B8D" w:rsidRPr="001C25C2" w:rsidRDefault="005846E2">
            <w:pPr>
              <w:pStyle w:val="Tabletext"/>
            </w:pPr>
            <w:r w:rsidRPr="001C25C2">
              <w:t>Partitioned survival model</w:t>
            </w:r>
          </w:p>
        </w:tc>
      </w:tr>
      <w:tr w:rsidR="00A42B8D" w:rsidRPr="001C25C2" w:rsidTr="002E4146">
        <w:tc>
          <w:tcPr>
            <w:tcW w:w="991" w:type="pct"/>
            <w:vAlign w:val="center"/>
          </w:tcPr>
          <w:p w:rsidR="00A42B8D" w:rsidRPr="001C25C2" w:rsidRDefault="005846E2">
            <w:pPr>
              <w:pStyle w:val="Tabletext"/>
            </w:pPr>
            <w:r w:rsidRPr="001C25C2">
              <w:t>Health states</w:t>
            </w:r>
          </w:p>
        </w:tc>
        <w:tc>
          <w:tcPr>
            <w:tcW w:w="4009" w:type="pct"/>
            <w:vAlign w:val="center"/>
          </w:tcPr>
          <w:p w:rsidR="00A42B8D" w:rsidRPr="001C25C2" w:rsidRDefault="005846E2">
            <w:pPr>
              <w:pStyle w:val="Tabletext"/>
            </w:pPr>
            <w:r w:rsidRPr="001C25C2">
              <w:rPr>
                <w:szCs w:val="24"/>
              </w:rPr>
              <w:t>Progression-free, progressing disease, dead</w:t>
            </w:r>
          </w:p>
        </w:tc>
      </w:tr>
      <w:tr w:rsidR="00A43C16" w:rsidRPr="001C25C2" w:rsidTr="002E4146">
        <w:tc>
          <w:tcPr>
            <w:tcW w:w="991" w:type="pct"/>
            <w:vAlign w:val="center"/>
          </w:tcPr>
          <w:p w:rsidR="00A43C16" w:rsidRPr="001C25C2" w:rsidRDefault="00A43C16">
            <w:pPr>
              <w:pStyle w:val="Tabletext"/>
            </w:pPr>
            <w:r w:rsidRPr="001C25C2">
              <w:t>Utilities</w:t>
            </w:r>
          </w:p>
        </w:tc>
        <w:tc>
          <w:tcPr>
            <w:tcW w:w="4009" w:type="pct"/>
            <w:vAlign w:val="center"/>
          </w:tcPr>
          <w:p w:rsidR="00A43C16" w:rsidRPr="001C25C2" w:rsidRDefault="00A43C16">
            <w:pPr>
              <w:pStyle w:val="Tabletext"/>
              <w:rPr>
                <w:szCs w:val="24"/>
              </w:rPr>
            </w:pPr>
            <w:r w:rsidRPr="001C25C2">
              <w:rPr>
                <w:szCs w:val="24"/>
              </w:rPr>
              <w:t xml:space="preserve">EORTC QLQ-C30 </w:t>
            </w:r>
            <w:r w:rsidR="001F3CB1" w:rsidRPr="001C25C2">
              <w:rPr>
                <w:szCs w:val="24"/>
              </w:rPr>
              <w:t xml:space="preserve">from the TAGS trial </w:t>
            </w:r>
            <w:r w:rsidRPr="001C25C2">
              <w:rPr>
                <w:szCs w:val="24"/>
              </w:rPr>
              <w:t>mapped to utility with Australian weights (QLU-C10D)</w:t>
            </w:r>
            <w:r w:rsidR="003871C8" w:rsidRPr="001C25C2">
              <w:rPr>
                <w:szCs w:val="24"/>
              </w:rPr>
              <w:t>.</w:t>
            </w:r>
          </w:p>
          <w:p w:rsidR="00A43C16" w:rsidRPr="001C25C2" w:rsidRDefault="00A43C16">
            <w:pPr>
              <w:pStyle w:val="Tabletext"/>
              <w:rPr>
                <w:szCs w:val="24"/>
              </w:rPr>
            </w:pPr>
            <w:r w:rsidRPr="001C25C2">
              <w:rPr>
                <w:szCs w:val="24"/>
              </w:rPr>
              <w:lastRenderedPageBreak/>
              <w:t>Progression-free = 0.695, Progressing disease = 0.603</w:t>
            </w:r>
          </w:p>
        </w:tc>
      </w:tr>
      <w:tr w:rsidR="00A42B8D" w:rsidRPr="001C25C2" w:rsidTr="002E4146">
        <w:tc>
          <w:tcPr>
            <w:tcW w:w="991" w:type="pct"/>
            <w:vAlign w:val="center"/>
          </w:tcPr>
          <w:p w:rsidR="00A42B8D" w:rsidRPr="001C25C2" w:rsidRDefault="005846E2">
            <w:pPr>
              <w:pStyle w:val="Tabletext"/>
            </w:pPr>
            <w:r w:rsidRPr="001C25C2">
              <w:lastRenderedPageBreak/>
              <w:t>Cycle length</w:t>
            </w:r>
          </w:p>
        </w:tc>
        <w:tc>
          <w:tcPr>
            <w:tcW w:w="4009" w:type="pct"/>
            <w:vAlign w:val="center"/>
          </w:tcPr>
          <w:p w:rsidR="00A42B8D" w:rsidRPr="001C25C2" w:rsidRDefault="005846E2">
            <w:pPr>
              <w:pStyle w:val="Tabletext"/>
            </w:pPr>
            <w:r w:rsidRPr="001C25C2">
              <w:t>1 month</w:t>
            </w:r>
          </w:p>
        </w:tc>
      </w:tr>
      <w:tr w:rsidR="00A42B8D" w:rsidRPr="001C25C2" w:rsidTr="002E4146">
        <w:tc>
          <w:tcPr>
            <w:tcW w:w="991" w:type="pct"/>
            <w:vAlign w:val="center"/>
          </w:tcPr>
          <w:p w:rsidR="00A42B8D" w:rsidRPr="001C25C2" w:rsidRDefault="005846E2">
            <w:pPr>
              <w:pStyle w:val="Tabletext"/>
            </w:pPr>
            <w:r w:rsidRPr="001C25C2">
              <w:t>Transition probabilities</w:t>
            </w:r>
          </w:p>
        </w:tc>
        <w:tc>
          <w:tcPr>
            <w:tcW w:w="4009" w:type="pct"/>
            <w:vAlign w:val="center"/>
          </w:tcPr>
          <w:p w:rsidR="00A42B8D" w:rsidRPr="001C25C2" w:rsidRDefault="005846E2">
            <w:pPr>
              <w:pStyle w:val="Tabletext"/>
            </w:pPr>
            <w:r w:rsidRPr="001C25C2">
              <w:rPr>
                <w:szCs w:val="24"/>
              </w:rPr>
              <w:t>Patient-level data from the TAGS trial</w:t>
            </w:r>
          </w:p>
        </w:tc>
      </w:tr>
    </w:tbl>
    <w:p w:rsidR="00A42B8D" w:rsidRPr="001C25C2" w:rsidRDefault="005846E2">
      <w:pPr>
        <w:pStyle w:val="TableFooter"/>
      </w:pPr>
      <w:r w:rsidRPr="001C25C2">
        <w:t>Source: Table 3.1.1, p51 of the submission.</w:t>
      </w:r>
    </w:p>
    <w:p w:rsidR="00A42B8D" w:rsidRPr="001C25C2" w:rsidRDefault="00A42B8D"/>
    <w:p w:rsidR="00A42B8D" w:rsidRPr="001C25C2" w:rsidRDefault="003A1489"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 xml:space="preserve">The </w:t>
      </w:r>
      <w:r w:rsidR="00121AB1" w:rsidRPr="001C25C2">
        <w:rPr>
          <w:rFonts w:cs="Calibri"/>
          <w:snapToGrid/>
          <w:szCs w:val="24"/>
          <w:lang w:eastAsia="en-AU"/>
        </w:rPr>
        <w:t>submission derived the</w:t>
      </w:r>
      <w:r w:rsidR="00846270" w:rsidRPr="001C25C2">
        <w:rPr>
          <w:rFonts w:cs="Calibri"/>
          <w:snapToGrid/>
          <w:szCs w:val="24"/>
          <w:lang w:eastAsia="en-AU"/>
        </w:rPr>
        <w:t xml:space="preserve"> u</w:t>
      </w:r>
      <w:r w:rsidR="005846E2" w:rsidRPr="001C25C2">
        <w:rPr>
          <w:rFonts w:cs="Calibri"/>
          <w:snapToGrid/>
          <w:szCs w:val="24"/>
          <w:lang w:eastAsia="en-AU"/>
        </w:rPr>
        <w:t xml:space="preserve">tility values for the health states from EORTC QLQ-C30 from </w:t>
      </w:r>
      <w:r w:rsidR="004B45B7" w:rsidRPr="001C25C2">
        <w:rPr>
          <w:rFonts w:cs="Calibri"/>
          <w:snapToGrid/>
          <w:szCs w:val="24"/>
          <w:lang w:eastAsia="en-AU"/>
        </w:rPr>
        <w:t xml:space="preserve">the </w:t>
      </w:r>
      <w:r w:rsidR="005846E2" w:rsidRPr="001C25C2">
        <w:rPr>
          <w:rFonts w:cs="Calibri"/>
          <w:snapToGrid/>
          <w:szCs w:val="24"/>
          <w:lang w:eastAsia="en-AU"/>
        </w:rPr>
        <w:t>TAGS trial using a preference-based multi-attribute utility instrument, the EORTC QLU-C10D, applying Australian value set</w:t>
      </w:r>
      <w:r w:rsidR="0042412E" w:rsidRPr="001C25C2">
        <w:rPr>
          <w:rFonts w:cs="Calibri"/>
          <w:snapToGrid/>
          <w:szCs w:val="24"/>
          <w:lang w:eastAsia="en-AU"/>
        </w:rPr>
        <w:t>s</w:t>
      </w:r>
      <w:r w:rsidR="005846E2" w:rsidRPr="001C25C2">
        <w:rPr>
          <w:rFonts w:cs="Calibri"/>
          <w:snapToGrid/>
          <w:szCs w:val="24"/>
          <w:lang w:eastAsia="en-AU"/>
        </w:rPr>
        <w:t>.</w:t>
      </w:r>
      <w:r w:rsidR="00C217B2" w:rsidRPr="001C25C2">
        <w:rPr>
          <w:rFonts w:cs="Calibri"/>
          <w:snapToGrid/>
          <w:szCs w:val="24"/>
          <w:lang w:eastAsia="en-AU"/>
        </w:rPr>
        <w:t xml:space="preserve"> </w:t>
      </w:r>
      <w:r w:rsidR="005846E2" w:rsidRPr="001C25C2">
        <w:rPr>
          <w:rFonts w:cs="Calibri"/>
          <w:snapToGrid/>
          <w:szCs w:val="24"/>
          <w:lang w:eastAsia="en-AU"/>
        </w:rPr>
        <w:t xml:space="preserve">In the base case, the submission assumed that utility weights varied broadly by health state, but not specifically by treatment arm, thus the mean utilities averaged across all patients for the same health state (e.g. progression-free and progressing disease) were applied in the model. </w:t>
      </w:r>
      <w:r w:rsidR="00522183" w:rsidRPr="001C25C2">
        <w:rPr>
          <w:rFonts w:cs="Calibri"/>
          <w:snapToGrid/>
          <w:szCs w:val="24"/>
          <w:lang w:eastAsia="en-AU"/>
        </w:rPr>
        <w:t>The ESC considered that t</w:t>
      </w:r>
      <w:r w:rsidR="005846E2" w:rsidRPr="001C25C2">
        <w:rPr>
          <w:rFonts w:cs="Calibri"/>
          <w:snapToGrid/>
          <w:szCs w:val="24"/>
          <w:lang w:eastAsia="en-AU"/>
        </w:rPr>
        <w:t xml:space="preserve">his </w:t>
      </w:r>
      <w:r w:rsidR="00522183" w:rsidRPr="001C25C2">
        <w:rPr>
          <w:rFonts w:cs="Calibri"/>
          <w:snapToGrid/>
          <w:szCs w:val="24"/>
          <w:lang w:eastAsia="en-AU"/>
        </w:rPr>
        <w:t xml:space="preserve">was </w:t>
      </w:r>
      <w:r w:rsidR="005846E2" w:rsidRPr="001C25C2">
        <w:rPr>
          <w:rFonts w:cs="Calibri"/>
          <w:snapToGrid/>
          <w:szCs w:val="24"/>
          <w:lang w:eastAsia="en-AU"/>
        </w:rPr>
        <w:t xml:space="preserve">not appropriate given quality of life, from which utilities were derived, may be directly affected by the substantially different safety profiles of the treatments compared. </w:t>
      </w:r>
      <w:r w:rsidR="00FF05DF" w:rsidRPr="001C25C2">
        <w:rPr>
          <w:rFonts w:cs="Calibri"/>
          <w:snapToGrid/>
          <w:szCs w:val="24"/>
          <w:lang w:eastAsia="en-AU"/>
        </w:rPr>
        <w:t>The ESC noted that t</w:t>
      </w:r>
      <w:r w:rsidR="005846E2" w:rsidRPr="001C25C2">
        <w:rPr>
          <w:rFonts w:cs="Calibri"/>
          <w:snapToGrid/>
          <w:szCs w:val="24"/>
          <w:lang w:eastAsia="en-AU"/>
        </w:rPr>
        <w:t xml:space="preserve">his was also not consistent with the PBAC </w:t>
      </w:r>
      <w:r w:rsidR="00340CE5" w:rsidRPr="001C25C2">
        <w:rPr>
          <w:rFonts w:cs="Calibri"/>
          <w:snapToGrid/>
          <w:szCs w:val="24"/>
          <w:lang w:eastAsia="en-AU"/>
        </w:rPr>
        <w:t>G</w:t>
      </w:r>
      <w:r w:rsidR="005846E2" w:rsidRPr="001C25C2">
        <w:rPr>
          <w:rFonts w:cs="Calibri"/>
          <w:snapToGrid/>
          <w:szCs w:val="24"/>
          <w:lang w:eastAsia="en-AU"/>
        </w:rPr>
        <w:t>uideline</w:t>
      </w:r>
      <w:r w:rsidR="00340CE5" w:rsidRPr="001C25C2">
        <w:rPr>
          <w:rFonts w:cs="Calibri"/>
          <w:snapToGrid/>
          <w:szCs w:val="24"/>
          <w:lang w:eastAsia="en-AU"/>
        </w:rPr>
        <w:t>s</w:t>
      </w:r>
      <w:r w:rsidR="00846270" w:rsidRPr="001C25C2">
        <w:rPr>
          <w:rFonts w:cs="Calibri"/>
          <w:snapToGrid/>
          <w:szCs w:val="24"/>
          <w:lang w:eastAsia="en-AU"/>
        </w:rPr>
        <w:t xml:space="preserve"> </w:t>
      </w:r>
      <w:r w:rsidR="00340CE5" w:rsidRPr="001C25C2">
        <w:rPr>
          <w:rFonts w:cs="Calibri"/>
          <w:snapToGrid/>
          <w:szCs w:val="24"/>
          <w:lang w:eastAsia="en-AU"/>
        </w:rPr>
        <w:t>(Version 5.0</w:t>
      </w:r>
      <w:r w:rsidR="00121AB1" w:rsidRPr="001C25C2">
        <w:rPr>
          <w:rFonts w:cs="Calibri"/>
          <w:snapToGrid/>
          <w:szCs w:val="24"/>
          <w:lang w:eastAsia="en-AU"/>
        </w:rPr>
        <w:t>, section 3A.5.1</w:t>
      </w:r>
      <w:r w:rsidR="00340CE5" w:rsidRPr="001C25C2">
        <w:rPr>
          <w:rFonts w:cs="Calibri"/>
          <w:snapToGrid/>
          <w:szCs w:val="24"/>
          <w:lang w:eastAsia="en-AU"/>
        </w:rPr>
        <w:t>)</w:t>
      </w:r>
      <w:r w:rsidR="005846E2" w:rsidRPr="001C25C2">
        <w:rPr>
          <w:rFonts w:cs="Calibri"/>
          <w:snapToGrid/>
          <w:szCs w:val="24"/>
          <w:lang w:eastAsia="en-AU"/>
        </w:rPr>
        <w:t xml:space="preserve"> which indicates that pooling results across treatment arms may not be appropriate in circumstances where treatment (rather than disease or condition) directly affects quality of life. Further, the simple averaged utility values for the same health-state was not considered a robust approach to capture longitudinal nature of data.</w:t>
      </w:r>
      <w:r w:rsidR="0013489E" w:rsidRPr="001C25C2">
        <w:rPr>
          <w:rFonts w:cs="Calibri"/>
          <w:snapToGrid/>
          <w:szCs w:val="24"/>
          <w:lang w:eastAsia="en-AU"/>
        </w:rPr>
        <w:t xml:space="preserve"> The PSCR </w:t>
      </w:r>
      <w:r w:rsidR="005E73F6" w:rsidRPr="001C25C2">
        <w:rPr>
          <w:rFonts w:cs="Calibri"/>
          <w:snapToGrid/>
          <w:szCs w:val="24"/>
          <w:lang w:eastAsia="en-AU"/>
        </w:rPr>
        <w:t>stated</w:t>
      </w:r>
      <w:r w:rsidR="0013489E" w:rsidRPr="001C25C2">
        <w:rPr>
          <w:rFonts w:cs="Calibri"/>
          <w:snapToGrid/>
          <w:szCs w:val="24"/>
          <w:lang w:eastAsia="en-AU"/>
        </w:rPr>
        <w:t xml:space="preserve"> that the base-case economic analysis applied the same utility</w:t>
      </w:r>
      <w:r w:rsidR="00080CAD" w:rsidRPr="001C25C2">
        <w:rPr>
          <w:rFonts w:cs="Calibri"/>
          <w:snapToGrid/>
          <w:szCs w:val="24"/>
          <w:lang w:eastAsia="en-AU"/>
        </w:rPr>
        <w:t xml:space="preserve"> weights for patients in equivalent health states on the grounds that</w:t>
      </w:r>
      <w:r w:rsidR="0013489E" w:rsidRPr="001C25C2">
        <w:rPr>
          <w:rFonts w:cs="Calibri"/>
          <w:snapToGrid/>
          <w:szCs w:val="24"/>
          <w:lang w:eastAsia="en-AU"/>
        </w:rPr>
        <w:t xml:space="preserve"> </w:t>
      </w:r>
      <w:r w:rsidR="00080CAD" w:rsidRPr="001C25C2">
        <w:rPr>
          <w:rFonts w:cs="Calibri"/>
          <w:snapToGrid/>
          <w:szCs w:val="24"/>
          <w:lang w:eastAsia="en-AU"/>
        </w:rPr>
        <w:t xml:space="preserve">the differences in mean utilities in the </w:t>
      </w:r>
      <w:proofErr w:type="spellStart"/>
      <w:r w:rsidR="00080CAD" w:rsidRPr="001C25C2">
        <w:rPr>
          <w:rFonts w:cs="Calibri"/>
          <w:snapToGrid/>
          <w:szCs w:val="24"/>
          <w:lang w:eastAsia="en-AU"/>
        </w:rPr>
        <w:t>trifluridine</w:t>
      </w:r>
      <w:proofErr w:type="spellEnd"/>
      <w:r w:rsidR="00080CAD" w:rsidRPr="001C25C2">
        <w:rPr>
          <w:rFonts w:cs="Calibri"/>
          <w:snapToGrid/>
          <w:szCs w:val="24"/>
          <w:lang w:eastAsia="en-AU"/>
        </w:rPr>
        <w:t>/</w:t>
      </w:r>
      <w:proofErr w:type="spellStart"/>
      <w:r w:rsidR="00080CAD" w:rsidRPr="001C25C2">
        <w:rPr>
          <w:rFonts w:cs="Calibri"/>
          <w:snapToGrid/>
          <w:szCs w:val="24"/>
          <w:lang w:eastAsia="en-AU"/>
        </w:rPr>
        <w:t>tipiracil</w:t>
      </w:r>
      <w:proofErr w:type="spellEnd"/>
      <w:r w:rsidR="00080CAD" w:rsidRPr="001C25C2">
        <w:rPr>
          <w:rFonts w:cs="Calibri"/>
          <w:snapToGrid/>
          <w:szCs w:val="24"/>
          <w:lang w:eastAsia="en-AU"/>
        </w:rPr>
        <w:t xml:space="preserve"> and placebo-treated groups were small. The mean utility weight at baseline (i.e., prior to initiation of treatment) for patients in the </w:t>
      </w:r>
      <w:proofErr w:type="spellStart"/>
      <w:r w:rsidR="00080CAD" w:rsidRPr="001C25C2">
        <w:rPr>
          <w:rFonts w:cs="Calibri"/>
          <w:snapToGrid/>
          <w:szCs w:val="24"/>
          <w:lang w:eastAsia="en-AU"/>
        </w:rPr>
        <w:t>trifluridine</w:t>
      </w:r>
      <w:proofErr w:type="spellEnd"/>
      <w:r w:rsidR="00080CAD" w:rsidRPr="001C25C2">
        <w:rPr>
          <w:rFonts w:cs="Calibri"/>
          <w:snapToGrid/>
          <w:szCs w:val="24"/>
          <w:lang w:eastAsia="en-AU"/>
        </w:rPr>
        <w:t>/</w:t>
      </w:r>
      <w:proofErr w:type="spellStart"/>
      <w:r w:rsidR="00080CAD" w:rsidRPr="001C25C2">
        <w:rPr>
          <w:rFonts w:cs="Calibri"/>
          <w:snapToGrid/>
          <w:szCs w:val="24"/>
          <w:lang w:eastAsia="en-AU"/>
        </w:rPr>
        <w:t>tipiracil</w:t>
      </w:r>
      <w:proofErr w:type="spellEnd"/>
      <w:r w:rsidR="00080CAD" w:rsidRPr="001C25C2">
        <w:rPr>
          <w:rFonts w:cs="Calibri"/>
          <w:snapToGrid/>
          <w:szCs w:val="24"/>
          <w:lang w:eastAsia="en-AU"/>
        </w:rPr>
        <w:t xml:space="preserve"> group was 0.011 lower than that in the placebo group. The utility weight for patients in the progression-free health state during treatment with </w:t>
      </w:r>
      <w:proofErr w:type="spellStart"/>
      <w:r w:rsidR="00080CAD" w:rsidRPr="001C25C2">
        <w:rPr>
          <w:rFonts w:cs="Calibri"/>
          <w:snapToGrid/>
          <w:szCs w:val="24"/>
          <w:lang w:eastAsia="en-AU"/>
        </w:rPr>
        <w:t>trifluridine</w:t>
      </w:r>
      <w:proofErr w:type="spellEnd"/>
      <w:r w:rsidR="00080CAD" w:rsidRPr="001C25C2">
        <w:rPr>
          <w:rFonts w:cs="Calibri"/>
          <w:snapToGrid/>
          <w:szCs w:val="24"/>
          <w:lang w:eastAsia="en-AU"/>
        </w:rPr>
        <w:t>/</w:t>
      </w:r>
      <w:proofErr w:type="spellStart"/>
      <w:r w:rsidR="00080CAD" w:rsidRPr="001C25C2">
        <w:rPr>
          <w:rFonts w:cs="Calibri"/>
          <w:snapToGrid/>
          <w:szCs w:val="24"/>
          <w:lang w:eastAsia="en-AU"/>
        </w:rPr>
        <w:t>tipiracil</w:t>
      </w:r>
      <w:proofErr w:type="spellEnd"/>
      <w:r w:rsidR="00080CAD" w:rsidRPr="001C25C2">
        <w:rPr>
          <w:rFonts w:cs="Calibri"/>
          <w:snapToGrid/>
          <w:szCs w:val="24"/>
          <w:lang w:eastAsia="en-AU"/>
        </w:rPr>
        <w:t xml:space="preserve"> was 0.022 lower than those for patients in the placebo-treated group. When adjusted for the difference in utility at baseline, the difference was reduced to 0.011.</w:t>
      </w:r>
      <w:r w:rsidR="006C61EF" w:rsidRPr="001C25C2">
        <w:rPr>
          <w:rFonts w:cs="Calibri"/>
          <w:snapToGrid/>
          <w:szCs w:val="24"/>
          <w:lang w:eastAsia="en-AU"/>
        </w:rPr>
        <w:t xml:space="preserve"> The ESC acknowledged that the </w:t>
      </w:r>
      <w:r w:rsidR="004C6E1E" w:rsidRPr="001C25C2">
        <w:rPr>
          <w:rFonts w:cs="Calibri"/>
          <w:snapToGrid/>
          <w:szCs w:val="24"/>
          <w:lang w:eastAsia="en-AU"/>
        </w:rPr>
        <w:t>incremental cost-effectiveness ratio (</w:t>
      </w:r>
      <w:r w:rsidR="006C61EF" w:rsidRPr="001C25C2">
        <w:rPr>
          <w:rFonts w:cs="Calibri"/>
          <w:snapToGrid/>
          <w:szCs w:val="24"/>
          <w:lang w:eastAsia="en-AU"/>
        </w:rPr>
        <w:t>ICER</w:t>
      </w:r>
      <w:r w:rsidR="004C6E1E" w:rsidRPr="001C25C2">
        <w:rPr>
          <w:rFonts w:cs="Calibri"/>
          <w:snapToGrid/>
          <w:szCs w:val="24"/>
          <w:lang w:eastAsia="en-AU"/>
        </w:rPr>
        <w:t>)</w:t>
      </w:r>
      <w:r w:rsidR="006C61EF" w:rsidRPr="001C25C2">
        <w:rPr>
          <w:rFonts w:cs="Calibri"/>
          <w:snapToGrid/>
          <w:szCs w:val="24"/>
          <w:lang w:eastAsia="en-AU"/>
        </w:rPr>
        <w:t xml:space="preserve"> was not sensitive to this inappropriate assumption.</w:t>
      </w:r>
      <w:r w:rsidR="001A6C7A" w:rsidRPr="001C25C2">
        <w:rPr>
          <w:rFonts w:cs="Calibri"/>
          <w:snapToGrid/>
          <w:szCs w:val="24"/>
          <w:lang w:eastAsia="en-AU"/>
        </w:rPr>
        <w:t xml:space="preserve"> Applying differential utilities by health state and by treatment increased the ICER per QALY gained by less than $</w:t>
      </w:r>
      <w:r w:rsidR="00FA71ED">
        <w:rPr>
          <w:rFonts w:cs="Calibri"/>
          <w:snapToGrid/>
          <w:szCs w:val="24"/>
          <w:lang w:eastAsia="en-AU"/>
        </w:rPr>
        <w:t>15,000</w:t>
      </w:r>
      <w:r w:rsidR="001A6C7A" w:rsidRPr="001C25C2">
        <w:rPr>
          <w:rFonts w:cs="Calibri"/>
          <w:snapToGrid/>
          <w:szCs w:val="24"/>
          <w:lang w:eastAsia="en-AU"/>
        </w:rPr>
        <w:t>.</w:t>
      </w:r>
    </w:p>
    <w:p w:rsidR="00A42B8D" w:rsidRPr="001C25C2" w:rsidRDefault="00DF4D67"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The ESC considered</w:t>
      </w:r>
      <w:r w:rsidR="00080CAD" w:rsidRPr="001C25C2">
        <w:rPr>
          <w:rFonts w:cs="Calibri"/>
          <w:snapToGrid/>
          <w:szCs w:val="24"/>
          <w:lang w:eastAsia="en-AU"/>
        </w:rPr>
        <w:t xml:space="preserve"> that t</w:t>
      </w:r>
      <w:r w:rsidR="005846E2" w:rsidRPr="001C25C2">
        <w:rPr>
          <w:rFonts w:cs="Calibri"/>
          <w:snapToGrid/>
          <w:szCs w:val="24"/>
          <w:lang w:eastAsia="en-AU"/>
        </w:rPr>
        <w:t xml:space="preserve">he progressing disease health state utility may </w:t>
      </w:r>
      <w:r w:rsidR="00307B6D" w:rsidRPr="001C25C2">
        <w:rPr>
          <w:rFonts w:cs="Calibri"/>
          <w:snapToGrid/>
          <w:szCs w:val="24"/>
          <w:lang w:eastAsia="en-AU"/>
        </w:rPr>
        <w:t xml:space="preserve">have </w:t>
      </w:r>
      <w:r w:rsidR="006F49DA" w:rsidRPr="001C25C2">
        <w:rPr>
          <w:rFonts w:cs="Calibri"/>
          <w:snapToGrid/>
          <w:szCs w:val="24"/>
          <w:lang w:eastAsia="en-AU"/>
        </w:rPr>
        <w:t xml:space="preserve">been </w:t>
      </w:r>
      <w:r w:rsidR="00307B6D" w:rsidRPr="001C25C2">
        <w:rPr>
          <w:rFonts w:cs="Calibri"/>
          <w:snapToGrid/>
          <w:szCs w:val="24"/>
          <w:lang w:eastAsia="en-AU"/>
        </w:rPr>
        <w:t>overestimated</w:t>
      </w:r>
      <w:r w:rsidR="005846E2" w:rsidRPr="001C25C2">
        <w:rPr>
          <w:rFonts w:cs="Calibri"/>
          <w:snapToGrid/>
          <w:szCs w:val="24"/>
          <w:lang w:eastAsia="en-AU"/>
        </w:rPr>
        <w:t xml:space="preserve">, as it was obtained at a single time point immediately after disease progression and utility was likely to continue to decrease over time. Further, given the concerns over the compliance for the quality-of-life questionnaire, EORTC QLQ-C30 (see </w:t>
      </w:r>
      <w:r w:rsidR="00307B6D" w:rsidRPr="001C25C2">
        <w:rPr>
          <w:rFonts w:cs="Calibri"/>
          <w:snapToGrid/>
          <w:szCs w:val="24"/>
          <w:lang w:eastAsia="en-AU"/>
        </w:rPr>
        <w:t xml:space="preserve">paragraph </w:t>
      </w:r>
      <w:r w:rsidR="005846E2" w:rsidRPr="001C25C2">
        <w:rPr>
          <w:rFonts w:cs="Calibri"/>
          <w:snapToGrid/>
          <w:szCs w:val="24"/>
          <w:lang w:eastAsia="en-AU"/>
        </w:rPr>
        <w:t>6.</w:t>
      </w:r>
      <w:r w:rsidR="0096586C" w:rsidRPr="001C25C2">
        <w:rPr>
          <w:rFonts w:cs="Calibri"/>
          <w:snapToGrid/>
          <w:szCs w:val="24"/>
          <w:lang w:eastAsia="en-AU"/>
        </w:rPr>
        <w:t>19</w:t>
      </w:r>
      <w:r w:rsidR="005846E2" w:rsidRPr="001C25C2">
        <w:rPr>
          <w:rFonts w:cs="Calibri"/>
          <w:snapToGrid/>
          <w:szCs w:val="24"/>
          <w:lang w:eastAsia="en-AU"/>
        </w:rPr>
        <w:t>), the validity of the utilities derived from the EORTC QLQ-C30 were questionable.</w:t>
      </w:r>
      <w:r w:rsidRPr="001C25C2">
        <w:rPr>
          <w:rFonts w:cs="Calibri"/>
          <w:snapToGrid/>
          <w:szCs w:val="24"/>
          <w:lang w:eastAsia="en-AU"/>
        </w:rPr>
        <w:t xml:space="preserve"> The PSCR argued that the assessment of utilities was not conducted immediately after progression as the precise time point of progression is largely unknown because tumour measurements (by CT scan) were only conducted </w:t>
      </w:r>
      <w:r w:rsidRPr="001C25C2">
        <w:rPr>
          <w:rFonts w:cs="Calibri"/>
          <w:snapToGrid/>
          <w:szCs w:val="24"/>
          <w:lang w:eastAsia="en-AU"/>
        </w:rPr>
        <w:lastRenderedPageBreak/>
        <w:t>every 8 weeks during study treatment so significant time could have elapsed between actual progression of disease and assessment of quality of life.</w:t>
      </w:r>
    </w:p>
    <w:p w:rsidR="00A42B8D" w:rsidRPr="001C25C2" w:rsidRDefault="00D8086C"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The ESC considered</w:t>
      </w:r>
      <w:r w:rsidR="00FF05DF" w:rsidRPr="001C25C2">
        <w:rPr>
          <w:rFonts w:cs="Calibri"/>
          <w:snapToGrid/>
          <w:szCs w:val="24"/>
          <w:lang w:eastAsia="en-AU"/>
        </w:rPr>
        <w:t xml:space="preserve"> that t</w:t>
      </w:r>
      <w:r w:rsidR="005846E2" w:rsidRPr="001C25C2">
        <w:rPr>
          <w:rFonts w:cs="Calibri"/>
          <w:snapToGrid/>
          <w:szCs w:val="24"/>
          <w:lang w:eastAsia="en-AU"/>
        </w:rPr>
        <w:t xml:space="preserve">he utility value in the pre-progression health state in the </w:t>
      </w:r>
      <w:proofErr w:type="spellStart"/>
      <w:r w:rsidR="005846E2" w:rsidRPr="001C25C2">
        <w:rPr>
          <w:rFonts w:cs="Calibri"/>
          <w:snapToGrid/>
          <w:szCs w:val="24"/>
          <w:lang w:eastAsia="en-AU"/>
        </w:rPr>
        <w:t>trifluridine</w:t>
      </w:r>
      <w:proofErr w:type="spellEnd"/>
      <w:r w:rsidR="005846E2" w:rsidRPr="001C25C2">
        <w:rPr>
          <w:rFonts w:cs="Calibri"/>
          <w:snapToGrid/>
          <w:szCs w:val="24"/>
          <w:lang w:eastAsia="en-AU"/>
        </w:rPr>
        <w:t>/</w:t>
      </w:r>
      <w:proofErr w:type="spellStart"/>
      <w:r w:rsidR="005846E2" w:rsidRPr="001C25C2">
        <w:rPr>
          <w:rFonts w:cs="Calibri"/>
          <w:snapToGrid/>
          <w:szCs w:val="24"/>
          <w:lang w:eastAsia="en-AU"/>
        </w:rPr>
        <w:t>tipiracil</w:t>
      </w:r>
      <w:proofErr w:type="spellEnd"/>
      <w:r w:rsidR="005846E2" w:rsidRPr="001C25C2">
        <w:rPr>
          <w:rFonts w:cs="Calibri"/>
          <w:snapToGrid/>
          <w:szCs w:val="24"/>
          <w:lang w:eastAsia="en-AU"/>
        </w:rPr>
        <w:t xml:space="preserve"> arm may be overestimated as disutility associated with AEs was not considered. During a sensitivity analysis attempting to incorporate disutility, the submission estimated pre-progression utility for the </w:t>
      </w:r>
      <w:proofErr w:type="spellStart"/>
      <w:r w:rsidR="005846E2" w:rsidRPr="001C25C2">
        <w:rPr>
          <w:rFonts w:cs="Calibri"/>
          <w:snapToGrid/>
          <w:szCs w:val="24"/>
          <w:lang w:eastAsia="en-AU"/>
        </w:rPr>
        <w:t>trifluridine</w:t>
      </w:r>
      <w:proofErr w:type="spellEnd"/>
      <w:r w:rsidR="005846E2" w:rsidRPr="001C25C2">
        <w:rPr>
          <w:rFonts w:cs="Calibri"/>
          <w:snapToGrid/>
          <w:szCs w:val="24"/>
          <w:lang w:eastAsia="en-AU"/>
        </w:rPr>
        <w:t>/</w:t>
      </w:r>
      <w:proofErr w:type="spellStart"/>
      <w:r w:rsidR="005846E2" w:rsidRPr="001C25C2">
        <w:rPr>
          <w:rFonts w:cs="Calibri"/>
          <w:snapToGrid/>
          <w:szCs w:val="24"/>
          <w:lang w:eastAsia="en-AU"/>
        </w:rPr>
        <w:t>tipiracil</w:t>
      </w:r>
      <w:proofErr w:type="spellEnd"/>
      <w:r w:rsidR="005846E2" w:rsidRPr="001C25C2">
        <w:rPr>
          <w:rFonts w:cs="Calibri"/>
          <w:snapToGrid/>
          <w:szCs w:val="24"/>
          <w:lang w:eastAsia="en-AU"/>
        </w:rPr>
        <w:t xml:space="preserve"> arm by adjusting for baseline placebo values. This led to only minimal utility adjustment and may not be an appropriate measure of disutility due to </w:t>
      </w:r>
      <w:r w:rsidR="001B1F38" w:rsidRPr="001C25C2">
        <w:rPr>
          <w:rFonts w:cs="Calibri"/>
          <w:snapToGrid/>
          <w:szCs w:val="24"/>
          <w:lang w:eastAsia="en-AU"/>
        </w:rPr>
        <w:t>AEs</w:t>
      </w:r>
      <w:r w:rsidR="005846E2" w:rsidRPr="001C25C2">
        <w:rPr>
          <w:rFonts w:cs="Calibri"/>
          <w:snapToGrid/>
          <w:szCs w:val="24"/>
          <w:lang w:eastAsia="en-AU"/>
        </w:rPr>
        <w:t xml:space="preserve">. Further, the EORTC QLQ-C30 may not accurately reflect patient experience of the significantly increased risk of Grade ≥3 TEAEs associated with </w:t>
      </w:r>
      <w:proofErr w:type="spellStart"/>
      <w:r w:rsidR="005846E2" w:rsidRPr="001C25C2">
        <w:rPr>
          <w:rFonts w:cs="Calibri"/>
          <w:snapToGrid/>
          <w:szCs w:val="24"/>
          <w:lang w:eastAsia="en-AU"/>
        </w:rPr>
        <w:t>trifluridine</w:t>
      </w:r>
      <w:proofErr w:type="spellEnd"/>
      <w:r w:rsidR="005846E2" w:rsidRPr="001C25C2">
        <w:rPr>
          <w:rFonts w:cs="Calibri"/>
          <w:snapToGrid/>
          <w:szCs w:val="24"/>
          <w:lang w:eastAsia="en-AU"/>
        </w:rPr>
        <w:t>/</w:t>
      </w:r>
      <w:proofErr w:type="spellStart"/>
      <w:r w:rsidR="005846E2" w:rsidRPr="001C25C2">
        <w:rPr>
          <w:rFonts w:cs="Calibri"/>
          <w:snapToGrid/>
          <w:szCs w:val="24"/>
          <w:lang w:eastAsia="en-AU"/>
        </w:rPr>
        <w:t>tipiracil</w:t>
      </w:r>
      <w:proofErr w:type="spellEnd"/>
      <w:r w:rsidR="005846E2" w:rsidRPr="001C25C2">
        <w:rPr>
          <w:rFonts w:cs="Calibri"/>
          <w:snapToGrid/>
          <w:szCs w:val="24"/>
          <w:lang w:eastAsia="en-AU"/>
        </w:rPr>
        <w:t xml:space="preserve"> due to the time point of data collection. Therefore, concern remained on whether the economic model has adequately captured the disutility expected to be associated with the safety differences. </w:t>
      </w:r>
      <w:r w:rsidR="00FB7802" w:rsidRPr="001C25C2">
        <w:rPr>
          <w:rFonts w:cs="Calibri"/>
          <w:snapToGrid/>
          <w:szCs w:val="24"/>
          <w:lang w:eastAsia="en-AU"/>
        </w:rPr>
        <w:t xml:space="preserve">The PSCR argued that the majority of reported Grade ≥ 3 </w:t>
      </w:r>
      <w:r w:rsidR="001B1F38" w:rsidRPr="001C25C2">
        <w:rPr>
          <w:rFonts w:cs="Calibri"/>
          <w:snapToGrid/>
          <w:szCs w:val="24"/>
          <w:lang w:eastAsia="en-AU"/>
        </w:rPr>
        <w:t xml:space="preserve">AEs </w:t>
      </w:r>
      <w:r w:rsidR="00FB7802" w:rsidRPr="001C25C2">
        <w:rPr>
          <w:rFonts w:cs="Calibri"/>
          <w:snapToGrid/>
          <w:szCs w:val="24"/>
          <w:lang w:eastAsia="en-AU"/>
        </w:rPr>
        <w:t xml:space="preserve">were laboratory-based indicators of </w:t>
      </w:r>
      <w:proofErr w:type="spellStart"/>
      <w:r w:rsidR="00FB7802" w:rsidRPr="001C25C2">
        <w:rPr>
          <w:rFonts w:cs="Calibri"/>
          <w:snapToGrid/>
          <w:szCs w:val="24"/>
          <w:lang w:eastAsia="en-AU"/>
        </w:rPr>
        <w:t>myelosuppression</w:t>
      </w:r>
      <w:proofErr w:type="spellEnd"/>
      <w:r w:rsidR="00FB7802" w:rsidRPr="001C25C2">
        <w:rPr>
          <w:rFonts w:cs="Calibri"/>
          <w:snapToGrid/>
          <w:szCs w:val="24"/>
          <w:lang w:eastAsia="en-AU"/>
        </w:rPr>
        <w:t xml:space="preserve"> (i.e., neutropenia and anaemia) rather than clinically evident events which are generally able to be managed by reduction in dosage or by delaying the next dose.</w:t>
      </w:r>
      <w:r w:rsidR="00EC1610" w:rsidRPr="001C25C2">
        <w:rPr>
          <w:rFonts w:cs="Calibri"/>
          <w:snapToGrid/>
          <w:szCs w:val="24"/>
          <w:lang w:eastAsia="en-AU"/>
        </w:rPr>
        <w:t xml:space="preserve"> </w:t>
      </w:r>
      <w:r w:rsidR="00121AB1" w:rsidRPr="001C25C2">
        <w:rPr>
          <w:rFonts w:cs="Calibri"/>
          <w:snapToGrid/>
          <w:szCs w:val="24"/>
          <w:lang w:eastAsia="en-AU"/>
        </w:rPr>
        <w:t xml:space="preserve">However, </w:t>
      </w:r>
      <w:r w:rsidR="004B45B7" w:rsidRPr="001C25C2">
        <w:rPr>
          <w:rFonts w:cs="Calibri"/>
          <w:snapToGrid/>
          <w:szCs w:val="24"/>
          <w:lang w:eastAsia="en-AU"/>
        </w:rPr>
        <w:t>t</w:t>
      </w:r>
      <w:r w:rsidR="00EC1610" w:rsidRPr="001C25C2">
        <w:rPr>
          <w:rFonts w:cs="Calibri"/>
          <w:snapToGrid/>
          <w:szCs w:val="24"/>
          <w:lang w:eastAsia="en-AU"/>
        </w:rPr>
        <w:t xml:space="preserve">he </w:t>
      </w:r>
      <w:r w:rsidR="003765BC" w:rsidRPr="001C25C2">
        <w:rPr>
          <w:rFonts w:cs="Calibri"/>
          <w:snapToGrid/>
          <w:szCs w:val="24"/>
          <w:lang w:eastAsia="en-AU"/>
        </w:rPr>
        <w:t xml:space="preserve">ESC </w:t>
      </w:r>
      <w:r w:rsidR="00121AB1" w:rsidRPr="001C25C2">
        <w:rPr>
          <w:rFonts w:cs="Calibri"/>
          <w:snapToGrid/>
          <w:szCs w:val="24"/>
          <w:lang w:eastAsia="en-AU"/>
        </w:rPr>
        <w:t xml:space="preserve">considered that </w:t>
      </w:r>
      <w:proofErr w:type="spellStart"/>
      <w:r w:rsidR="00121AB1" w:rsidRPr="001C25C2">
        <w:rPr>
          <w:rFonts w:cs="Calibri"/>
          <w:snapToGrid/>
          <w:szCs w:val="24"/>
          <w:lang w:eastAsia="en-AU"/>
        </w:rPr>
        <w:t>myelosuppressive</w:t>
      </w:r>
      <w:proofErr w:type="spellEnd"/>
      <w:r w:rsidR="00121AB1" w:rsidRPr="001C25C2">
        <w:rPr>
          <w:rFonts w:cs="Calibri"/>
          <w:snapToGrid/>
          <w:szCs w:val="24"/>
          <w:lang w:eastAsia="en-AU"/>
        </w:rPr>
        <w:t xml:space="preserve"> events may have been </w:t>
      </w:r>
      <w:r w:rsidR="006321E0" w:rsidRPr="001C25C2">
        <w:rPr>
          <w:rFonts w:cs="Calibri"/>
          <w:snapToGrid/>
          <w:szCs w:val="24"/>
          <w:lang w:eastAsia="en-AU"/>
        </w:rPr>
        <w:t>clinically</w:t>
      </w:r>
      <w:r w:rsidR="00121AB1" w:rsidRPr="001C25C2">
        <w:rPr>
          <w:rFonts w:cs="Calibri"/>
          <w:snapToGrid/>
          <w:szCs w:val="24"/>
          <w:lang w:eastAsia="en-AU"/>
        </w:rPr>
        <w:t xml:space="preserve"> significant</w:t>
      </w:r>
      <w:r w:rsidR="006321E0">
        <w:rPr>
          <w:rFonts w:cs="Calibri"/>
          <w:snapToGrid/>
          <w:szCs w:val="24"/>
          <w:lang w:eastAsia="en-AU"/>
        </w:rPr>
        <w:t>,</w:t>
      </w:r>
      <w:r w:rsidR="00121AB1" w:rsidRPr="001C25C2">
        <w:rPr>
          <w:rFonts w:cs="Calibri"/>
          <w:snapToGrid/>
          <w:szCs w:val="24"/>
          <w:lang w:eastAsia="en-AU"/>
        </w:rPr>
        <w:t xml:space="preserve"> and </w:t>
      </w:r>
      <w:r w:rsidR="003765BC" w:rsidRPr="001C25C2">
        <w:rPr>
          <w:rFonts w:cs="Calibri"/>
          <w:snapToGrid/>
          <w:szCs w:val="24"/>
          <w:lang w:eastAsia="en-AU"/>
        </w:rPr>
        <w:t xml:space="preserve">was concerned that the </w:t>
      </w:r>
      <w:r w:rsidR="00EC1610" w:rsidRPr="001C25C2">
        <w:rPr>
          <w:rFonts w:cs="Calibri"/>
          <w:snapToGrid/>
          <w:szCs w:val="24"/>
          <w:lang w:eastAsia="en-AU"/>
        </w:rPr>
        <w:t>incidence of adverse events may be higher in the PBS population compared to the trial population</w:t>
      </w:r>
      <w:r w:rsidR="003765BC" w:rsidRPr="001C25C2">
        <w:rPr>
          <w:rFonts w:cs="Calibri"/>
          <w:snapToGrid/>
          <w:szCs w:val="24"/>
          <w:lang w:eastAsia="en-AU"/>
        </w:rPr>
        <w:t xml:space="preserve"> (see paragraph 6.</w:t>
      </w:r>
      <w:r w:rsidR="008A4F78" w:rsidRPr="001C25C2">
        <w:rPr>
          <w:rFonts w:cs="Calibri"/>
          <w:snapToGrid/>
          <w:szCs w:val="24"/>
          <w:lang w:eastAsia="en-AU"/>
        </w:rPr>
        <w:t>31</w:t>
      </w:r>
      <w:r w:rsidR="003765BC" w:rsidRPr="001C25C2">
        <w:rPr>
          <w:rFonts w:cs="Calibri"/>
          <w:snapToGrid/>
          <w:szCs w:val="24"/>
          <w:lang w:eastAsia="en-AU"/>
        </w:rPr>
        <w:t>).</w:t>
      </w:r>
    </w:p>
    <w:p w:rsidR="00A42B8D" w:rsidRPr="001C25C2" w:rsidRDefault="005846E2"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 xml:space="preserve">The submission appropriately calculated the unit cost for a </w:t>
      </w:r>
      <w:proofErr w:type="spellStart"/>
      <w:r w:rsidRPr="001C25C2">
        <w:rPr>
          <w:rFonts w:cs="Calibri"/>
          <w:snapToGrid/>
          <w:szCs w:val="24"/>
          <w:lang w:eastAsia="en-AU"/>
        </w:rPr>
        <w:t>trifluridine</w:t>
      </w:r>
      <w:proofErr w:type="spellEnd"/>
      <w:r w:rsidRPr="001C25C2">
        <w:rPr>
          <w:rFonts w:cs="Calibri"/>
          <w:snapToGrid/>
          <w:szCs w:val="24"/>
          <w:lang w:eastAsia="en-AU"/>
        </w:rPr>
        <w:t>/</w:t>
      </w:r>
      <w:proofErr w:type="spellStart"/>
      <w:r w:rsidRPr="001C25C2">
        <w:rPr>
          <w:rFonts w:cs="Calibri"/>
          <w:snapToGrid/>
          <w:szCs w:val="24"/>
          <w:lang w:eastAsia="en-AU"/>
        </w:rPr>
        <w:t>tipiracil</w:t>
      </w:r>
      <w:proofErr w:type="spellEnd"/>
      <w:r w:rsidRPr="001C25C2">
        <w:rPr>
          <w:rFonts w:cs="Calibri"/>
          <w:snapToGrid/>
          <w:szCs w:val="24"/>
          <w:lang w:eastAsia="en-AU"/>
        </w:rPr>
        <w:t xml:space="preserve"> course of treatment using the mean dispensed amount directly from the TAGS trial. This ensured incorporation of the drug wastage in the treatment cost. However, it was unknown whether the proposed resources applied for the treatment of AEs, or their rates of usage (e.g. a single episode of hospitalisation or a single dose of </w:t>
      </w:r>
      <w:proofErr w:type="spellStart"/>
      <w:r w:rsidRPr="001C25C2">
        <w:rPr>
          <w:rFonts w:cs="Calibri"/>
          <w:snapToGrid/>
          <w:szCs w:val="24"/>
          <w:lang w:eastAsia="en-AU"/>
        </w:rPr>
        <w:t>pegfilgrastim</w:t>
      </w:r>
      <w:proofErr w:type="spellEnd"/>
      <w:r w:rsidRPr="001C25C2">
        <w:rPr>
          <w:rFonts w:cs="Calibri"/>
          <w:snapToGrid/>
          <w:szCs w:val="24"/>
          <w:lang w:eastAsia="en-AU"/>
        </w:rPr>
        <w:t xml:space="preserve"> for the treatment of febrile neutropenia) would reflect Australian clinical practice. The submission </w:t>
      </w:r>
      <w:r w:rsidR="009D3F34" w:rsidRPr="001C25C2">
        <w:rPr>
          <w:rFonts w:cs="Calibri"/>
          <w:snapToGrid/>
          <w:szCs w:val="24"/>
          <w:lang w:eastAsia="en-AU"/>
        </w:rPr>
        <w:t xml:space="preserve">may </w:t>
      </w:r>
      <w:r w:rsidRPr="001C25C2">
        <w:rPr>
          <w:rFonts w:cs="Calibri"/>
          <w:snapToGrid/>
          <w:szCs w:val="24"/>
          <w:lang w:eastAsia="en-AU"/>
        </w:rPr>
        <w:t xml:space="preserve">have </w:t>
      </w:r>
      <w:r w:rsidR="009D3F34" w:rsidRPr="001C25C2">
        <w:rPr>
          <w:rFonts w:cs="Calibri"/>
          <w:snapToGrid/>
          <w:szCs w:val="24"/>
          <w:lang w:eastAsia="en-AU"/>
        </w:rPr>
        <w:t xml:space="preserve">also </w:t>
      </w:r>
      <w:r w:rsidRPr="001C25C2">
        <w:rPr>
          <w:rFonts w:cs="Calibri"/>
          <w:snapToGrid/>
          <w:szCs w:val="24"/>
          <w:lang w:eastAsia="en-AU"/>
        </w:rPr>
        <w:t xml:space="preserve">underestimated the costs of hospitalisation due to increased grade 3 or worse </w:t>
      </w:r>
      <w:r w:rsidR="001B1F38" w:rsidRPr="001C25C2">
        <w:rPr>
          <w:rFonts w:cs="Calibri"/>
          <w:snapToGrid/>
          <w:szCs w:val="24"/>
          <w:lang w:eastAsia="en-AU"/>
        </w:rPr>
        <w:t xml:space="preserve">AEs </w:t>
      </w:r>
      <w:r w:rsidRPr="001C25C2">
        <w:rPr>
          <w:rFonts w:cs="Calibri"/>
          <w:snapToGrid/>
          <w:szCs w:val="24"/>
          <w:lang w:eastAsia="en-AU"/>
        </w:rPr>
        <w:t xml:space="preserve">with </w:t>
      </w:r>
      <w:proofErr w:type="spellStart"/>
      <w:r w:rsidRPr="001C25C2">
        <w:rPr>
          <w:rFonts w:cs="Calibri"/>
          <w:snapToGrid/>
          <w:szCs w:val="24"/>
          <w:lang w:eastAsia="en-AU"/>
        </w:rPr>
        <w:t>trifluridine</w:t>
      </w:r>
      <w:proofErr w:type="spellEnd"/>
      <w:r w:rsidRPr="001C25C2">
        <w:rPr>
          <w:rFonts w:cs="Calibri"/>
          <w:snapToGrid/>
          <w:szCs w:val="24"/>
          <w:lang w:eastAsia="en-AU"/>
        </w:rPr>
        <w:t>/</w:t>
      </w:r>
      <w:proofErr w:type="spellStart"/>
      <w:r w:rsidRPr="001C25C2">
        <w:rPr>
          <w:rFonts w:cs="Calibri"/>
          <w:snapToGrid/>
          <w:szCs w:val="24"/>
          <w:lang w:eastAsia="en-AU"/>
        </w:rPr>
        <w:t>tipiracil</w:t>
      </w:r>
      <w:proofErr w:type="spellEnd"/>
      <w:r w:rsidRPr="001C25C2">
        <w:rPr>
          <w:rFonts w:cs="Calibri"/>
          <w:snapToGrid/>
          <w:szCs w:val="24"/>
          <w:lang w:eastAsia="en-AU"/>
        </w:rPr>
        <w:t xml:space="preserve"> compared </w:t>
      </w:r>
      <w:r w:rsidR="004B45B7" w:rsidRPr="001C25C2">
        <w:rPr>
          <w:rFonts w:cs="Calibri"/>
          <w:snapToGrid/>
          <w:szCs w:val="24"/>
          <w:lang w:eastAsia="en-AU"/>
        </w:rPr>
        <w:t xml:space="preserve">with </w:t>
      </w:r>
      <w:r w:rsidRPr="001C25C2">
        <w:rPr>
          <w:rFonts w:cs="Calibri"/>
          <w:snapToGrid/>
          <w:szCs w:val="24"/>
          <w:lang w:eastAsia="en-AU"/>
        </w:rPr>
        <w:t xml:space="preserve">placebo and costs of disease monitoring in the economic model. However, </w:t>
      </w:r>
      <w:r w:rsidR="00CD7A38" w:rsidRPr="001C25C2">
        <w:rPr>
          <w:rFonts w:cs="Calibri"/>
          <w:snapToGrid/>
          <w:szCs w:val="24"/>
          <w:lang w:eastAsia="en-AU"/>
        </w:rPr>
        <w:t xml:space="preserve">the ESC noted that </w:t>
      </w:r>
      <w:r w:rsidRPr="001C25C2">
        <w:rPr>
          <w:rFonts w:cs="Calibri"/>
          <w:snapToGrid/>
          <w:szCs w:val="24"/>
          <w:lang w:eastAsia="en-AU"/>
        </w:rPr>
        <w:t xml:space="preserve">these </w:t>
      </w:r>
      <w:r w:rsidR="00341727" w:rsidRPr="001C25C2">
        <w:rPr>
          <w:rFonts w:cs="Calibri"/>
          <w:snapToGrid/>
          <w:szCs w:val="24"/>
          <w:lang w:eastAsia="en-AU"/>
        </w:rPr>
        <w:t xml:space="preserve">issues </w:t>
      </w:r>
      <w:r w:rsidRPr="001C25C2">
        <w:rPr>
          <w:rFonts w:cs="Calibri"/>
          <w:snapToGrid/>
          <w:szCs w:val="24"/>
          <w:lang w:eastAsia="en-AU"/>
        </w:rPr>
        <w:t>appeared to have only moderate impact on ICER.</w:t>
      </w:r>
    </w:p>
    <w:p w:rsidR="00A42B8D" w:rsidRPr="001C25C2" w:rsidRDefault="005846E2"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The key drivers of the model are summarised in the table below.</w:t>
      </w:r>
    </w:p>
    <w:p w:rsidR="00A42B8D" w:rsidRPr="001C25C2" w:rsidRDefault="005846E2">
      <w:pPr>
        <w:rPr>
          <w:rStyle w:val="CommentReference"/>
        </w:rPr>
      </w:pPr>
      <w:r w:rsidRPr="001C25C2">
        <w:rPr>
          <w:rStyle w:val="CommentReference"/>
        </w:rPr>
        <w:t>Table 9: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3"/>
        <w:gridCol w:w="4379"/>
        <w:gridCol w:w="2925"/>
      </w:tblGrid>
      <w:tr w:rsidR="00A42B8D" w:rsidRPr="001C25C2">
        <w:trPr>
          <w:tblHeader/>
        </w:trPr>
        <w:tc>
          <w:tcPr>
            <w:tcW w:w="950" w:type="pct"/>
            <w:shd w:val="clear" w:color="auto" w:fill="auto"/>
            <w:vAlign w:val="center"/>
          </w:tcPr>
          <w:p w:rsidR="00A42B8D" w:rsidRPr="001C25C2" w:rsidRDefault="005846E2">
            <w:pPr>
              <w:pStyle w:val="Tabletext"/>
              <w:rPr>
                <w:b/>
              </w:rPr>
            </w:pPr>
            <w:r w:rsidRPr="001C25C2">
              <w:rPr>
                <w:b/>
              </w:rPr>
              <w:t>Description</w:t>
            </w:r>
          </w:p>
        </w:tc>
        <w:tc>
          <w:tcPr>
            <w:tcW w:w="2428" w:type="pct"/>
            <w:shd w:val="clear" w:color="auto" w:fill="auto"/>
            <w:vAlign w:val="center"/>
          </w:tcPr>
          <w:p w:rsidR="00A42B8D" w:rsidRPr="001C25C2" w:rsidRDefault="005846E2">
            <w:pPr>
              <w:pStyle w:val="Tabletext"/>
              <w:jc w:val="center"/>
              <w:rPr>
                <w:b/>
              </w:rPr>
            </w:pPr>
            <w:r w:rsidRPr="001C25C2">
              <w:rPr>
                <w:b/>
              </w:rPr>
              <w:t>Method/Value</w:t>
            </w:r>
          </w:p>
        </w:tc>
        <w:tc>
          <w:tcPr>
            <w:tcW w:w="1622" w:type="pct"/>
            <w:shd w:val="clear" w:color="auto" w:fill="auto"/>
            <w:vAlign w:val="center"/>
          </w:tcPr>
          <w:p w:rsidR="00A42B8D" w:rsidRPr="001C25C2" w:rsidRDefault="005846E2">
            <w:pPr>
              <w:pStyle w:val="Tabletext"/>
              <w:jc w:val="center"/>
              <w:rPr>
                <w:b/>
              </w:rPr>
            </w:pPr>
            <w:r w:rsidRPr="001C25C2">
              <w:rPr>
                <w:b/>
              </w:rPr>
              <w:t>Impact</w:t>
            </w:r>
          </w:p>
        </w:tc>
      </w:tr>
      <w:tr w:rsidR="00A42B8D" w:rsidRPr="001C25C2">
        <w:tc>
          <w:tcPr>
            <w:tcW w:w="950" w:type="pct"/>
            <w:shd w:val="clear" w:color="auto" w:fill="auto"/>
            <w:vAlign w:val="center"/>
          </w:tcPr>
          <w:p w:rsidR="00A42B8D" w:rsidRPr="001C25C2" w:rsidRDefault="005846E2">
            <w:pPr>
              <w:pStyle w:val="Tabletext"/>
            </w:pPr>
            <w:r w:rsidRPr="001C25C2">
              <w:t>Overall survival</w:t>
            </w:r>
          </w:p>
        </w:tc>
        <w:tc>
          <w:tcPr>
            <w:tcW w:w="2428" w:type="pct"/>
            <w:shd w:val="clear" w:color="auto" w:fill="auto"/>
            <w:vAlign w:val="center"/>
          </w:tcPr>
          <w:p w:rsidR="00A42B8D" w:rsidRPr="001C25C2" w:rsidRDefault="005846E2">
            <w:pPr>
              <w:pStyle w:val="Tabletext"/>
            </w:pPr>
            <w:r w:rsidRPr="001C25C2">
              <w:t>Mean overall survival from TAGS trial</w:t>
            </w:r>
          </w:p>
        </w:tc>
        <w:tc>
          <w:tcPr>
            <w:tcW w:w="1622" w:type="pct"/>
            <w:shd w:val="clear" w:color="auto" w:fill="auto"/>
            <w:vAlign w:val="center"/>
          </w:tcPr>
          <w:p w:rsidR="00A42B8D" w:rsidRPr="001C25C2" w:rsidRDefault="005846E2">
            <w:pPr>
              <w:pStyle w:val="Tabletext"/>
            </w:pPr>
            <w:r w:rsidRPr="001C25C2">
              <w:t xml:space="preserve">High, favours </w:t>
            </w:r>
            <w:proofErr w:type="spellStart"/>
            <w:r w:rsidRPr="001C25C2">
              <w:t>trifluridine</w:t>
            </w:r>
            <w:proofErr w:type="spellEnd"/>
            <w:r w:rsidRPr="001C25C2">
              <w:t>/</w:t>
            </w:r>
            <w:proofErr w:type="spellStart"/>
            <w:r w:rsidRPr="001C25C2">
              <w:t>tipiracil</w:t>
            </w:r>
            <w:proofErr w:type="spellEnd"/>
          </w:p>
        </w:tc>
      </w:tr>
      <w:tr w:rsidR="00A42B8D" w:rsidRPr="001C25C2">
        <w:tc>
          <w:tcPr>
            <w:tcW w:w="950" w:type="pct"/>
            <w:shd w:val="clear" w:color="auto" w:fill="auto"/>
            <w:vAlign w:val="center"/>
          </w:tcPr>
          <w:p w:rsidR="00A42B8D" w:rsidRPr="001C25C2" w:rsidRDefault="005846E2">
            <w:pPr>
              <w:pStyle w:val="Tabletext"/>
            </w:pPr>
            <w:r w:rsidRPr="001C25C2">
              <w:t>Progressing disease</w:t>
            </w:r>
            <w:r w:rsidRPr="001C25C2">
              <w:rPr>
                <w:i/>
              </w:rPr>
              <w:t xml:space="preserve"> </w:t>
            </w:r>
            <w:r w:rsidRPr="001C25C2">
              <w:t>utility values</w:t>
            </w:r>
          </w:p>
        </w:tc>
        <w:tc>
          <w:tcPr>
            <w:tcW w:w="2428" w:type="pct"/>
            <w:shd w:val="clear" w:color="auto" w:fill="auto"/>
            <w:vAlign w:val="center"/>
          </w:tcPr>
          <w:p w:rsidR="00A42B8D" w:rsidRPr="001C25C2" w:rsidRDefault="005846E2">
            <w:pPr>
              <w:pStyle w:val="Tabletext"/>
            </w:pPr>
            <w:r w:rsidRPr="001C25C2">
              <w:t xml:space="preserve">Assumed same utility value for both </w:t>
            </w:r>
            <w:proofErr w:type="spellStart"/>
            <w:r w:rsidRPr="001C25C2">
              <w:t>trifluridine</w:t>
            </w:r>
            <w:proofErr w:type="spellEnd"/>
            <w:r w:rsidRPr="001C25C2">
              <w:t>/</w:t>
            </w:r>
            <w:proofErr w:type="spellStart"/>
            <w:r w:rsidRPr="001C25C2">
              <w:t>tipiracil</w:t>
            </w:r>
            <w:proofErr w:type="spellEnd"/>
            <w:r w:rsidRPr="001C25C2">
              <w:t xml:space="preserve"> and placebo</w:t>
            </w:r>
          </w:p>
        </w:tc>
        <w:tc>
          <w:tcPr>
            <w:tcW w:w="1622" w:type="pct"/>
            <w:shd w:val="clear" w:color="auto" w:fill="auto"/>
            <w:vAlign w:val="center"/>
          </w:tcPr>
          <w:p w:rsidR="00A42B8D" w:rsidRPr="001C25C2" w:rsidRDefault="005846E2">
            <w:pPr>
              <w:pStyle w:val="Tabletext"/>
            </w:pPr>
            <w:r w:rsidRPr="001C25C2">
              <w:t xml:space="preserve">Low, favours </w:t>
            </w:r>
            <w:proofErr w:type="spellStart"/>
            <w:r w:rsidRPr="001C25C2">
              <w:t>trifluridine</w:t>
            </w:r>
            <w:proofErr w:type="spellEnd"/>
            <w:r w:rsidRPr="001C25C2">
              <w:t>/</w:t>
            </w:r>
            <w:proofErr w:type="spellStart"/>
            <w:r w:rsidRPr="001C25C2">
              <w:t>tipiracil</w:t>
            </w:r>
            <w:proofErr w:type="spellEnd"/>
          </w:p>
        </w:tc>
      </w:tr>
      <w:tr w:rsidR="00A42B8D" w:rsidRPr="001C25C2">
        <w:tc>
          <w:tcPr>
            <w:tcW w:w="950" w:type="pct"/>
            <w:shd w:val="clear" w:color="auto" w:fill="auto"/>
            <w:vAlign w:val="center"/>
          </w:tcPr>
          <w:p w:rsidR="00A42B8D" w:rsidRPr="001C25C2" w:rsidRDefault="005846E2">
            <w:pPr>
              <w:pStyle w:val="Tabletext"/>
            </w:pPr>
            <w:r w:rsidRPr="001C25C2">
              <w:t>Drug acquisition cost</w:t>
            </w:r>
          </w:p>
        </w:tc>
        <w:tc>
          <w:tcPr>
            <w:tcW w:w="2428" w:type="pct"/>
            <w:shd w:val="clear" w:color="auto" w:fill="auto"/>
            <w:vAlign w:val="center"/>
          </w:tcPr>
          <w:p w:rsidR="00A42B8D" w:rsidRPr="001C25C2" w:rsidRDefault="005846E2">
            <w:pPr>
              <w:pStyle w:val="Tabletext"/>
            </w:pPr>
            <w:r w:rsidRPr="001C25C2">
              <w:t>The cost of treatment is based on mean time to treatment discontinuation rather than mean treatment cycles in TAGS trial</w:t>
            </w:r>
          </w:p>
        </w:tc>
        <w:tc>
          <w:tcPr>
            <w:tcW w:w="1622" w:type="pct"/>
            <w:shd w:val="clear" w:color="auto" w:fill="auto"/>
            <w:vAlign w:val="center"/>
          </w:tcPr>
          <w:p w:rsidR="00A42B8D" w:rsidRPr="001C25C2" w:rsidRDefault="005846E2">
            <w:pPr>
              <w:pStyle w:val="Tabletext"/>
            </w:pPr>
            <w:r w:rsidRPr="001C25C2">
              <w:t xml:space="preserve">Moderate, favours </w:t>
            </w:r>
            <w:proofErr w:type="spellStart"/>
            <w:r w:rsidRPr="001C25C2">
              <w:t>trifluridine</w:t>
            </w:r>
            <w:proofErr w:type="spellEnd"/>
            <w:r w:rsidRPr="001C25C2">
              <w:t>/</w:t>
            </w:r>
            <w:proofErr w:type="spellStart"/>
            <w:r w:rsidRPr="001C25C2">
              <w:t>tipiracil</w:t>
            </w:r>
            <w:proofErr w:type="spellEnd"/>
          </w:p>
        </w:tc>
      </w:tr>
    </w:tbl>
    <w:p w:rsidR="00A42B8D" w:rsidRPr="001C25C2" w:rsidRDefault="005846E2">
      <w:pPr>
        <w:pStyle w:val="TableFooter"/>
      </w:pPr>
      <w:r w:rsidRPr="001C25C2">
        <w:t>Source: Compiled during evaluation</w:t>
      </w:r>
    </w:p>
    <w:p w:rsidR="00A42B8D" w:rsidRPr="001C25C2" w:rsidRDefault="00A42B8D">
      <w:pPr>
        <w:widowControl/>
      </w:pPr>
    </w:p>
    <w:p w:rsidR="00A42B8D" w:rsidRPr="001C25C2" w:rsidRDefault="005846E2"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lastRenderedPageBreak/>
        <w:t xml:space="preserve">The results of the economic evaluation are summarised in the table below. </w:t>
      </w:r>
    </w:p>
    <w:p w:rsidR="00A42B8D" w:rsidRPr="001C25C2" w:rsidRDefault="005846E2">
      <w:pPr>
        <w:keepNext/>
        <w:rPr>
          <w:rStyle w:val="CommentReference"/>
        </w:rPr>
      </w:pPr>
      <w:r w:rsidRPr="001C25C2">
        <w:rPr>
          <w:rStyle w:val="CommentReference"/>
        </w:rPr>
        <w:t>Table 10: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05"/>
        <w:gridCol w:w="2267"/>
        <w:gridCol w:w="2269"/>
        <w:gridCol w:w="2076"/>
      </w:tblGrid>
      <w:tr w:rsidR="00A42B8D" w:rsidRPr="001C25C2">
        <w:trPr>
          <w:tblHeader/>
        </w:trPr>
        <w:tc>
          <w:tcPr>
            <w:tcW w:w="1334" w:type="pct"/>
            <w:vAlign w:val="center"/>
          </w:tcPr>
          <w:p w:rsidR="00A42B8D" w:rsidRPr="001C25C2" w:rsidRDefault="005846E2">
            <w:pPr>
              <w:pStyle w:val="Tabletext"/>
              <w:keepNext/>
              <w:keepLines/>
              <w:rPr>
                <w:b/>
              </w:rPr>
            </w:pPr>
            <w:r w:rsidRPr="001C25C2">
              <w:rPr>
                <w:b/>
              </w:rPr>
              <w:t>Component</w:t>
            </w:r>
          </w:p>
        </w:tc>
        <w:tc>
          <w:tcPr>
            <w:tcW w:w="1257" w:type="pct"/>
            <w:vAlign w:val="center"/>
          </w:tcPr>
          <w:p w:rsidR="00A42B8D" w:rsidRPr="001C25C2" w:rsidRDefault="005846E2">
            <w:pPr>
              <w:pStyle w:val="Tabletext"/>
              <w:keepNext/>
              <w:keepLines/>
              <w:jc w:val="center"/>
              <w:rPr>
                <w:b/>
              </w:rPr>
            </w:pPr>
            <w:proofErr w:type="spellStart"/>
            <w:r w:rsidRPr="001C25C2">
              <w:rPr>
                <w:b/>
              </w:rPr>
              <w:t>Trifluridine</w:t>
            </w:r>
            <w:proofErr w:type="spellEnd"/>
            <w:r w:rsidRPr="001C25C2">
              <w:rPr>
                <w:b/>
              </w:rPr>
              <w:t>/</w:t>
            </w:r>
            <w:proofErr w:type="spellStart"/>
            <w:r w:rsidRPr="001C25C2">
              <w:rPr>
                <w:b/>
              </w:rPr>
              <w:t>tipiracil</w:t>
            </w:r>
            <w:proofErr w:type="spellEnd"/>
          </w:p>
        </w:tc>
        <w:tc>
          <w:tcPr>
            <w:tcW w:w="1258" w:type="pct"/>
            <w:vAlign w:val="center"/>
          </w:tcPr>
          <w:p w:rsidR="00A42B8D" w:rsidRPr="001C25C2" w:rsidRDefault="005846E2">
            <w:pPr>
              <w:pStyle w:val="Tabletext"/>
              <w:keepNext/>
              <w:keepLines/>
              <w:jc w:val="center"/>
              <w:rPr>
                <w:b/>
              </w:rPr>
            </w:pPr>
            <w:r w:rsidRPr="001C25C2">
              <w:rPr>
                <w:b/>
              </w:rPr>
              <w:t>Placebo</w:t>
            </w:r>
          </w:p>
        </w:tc>
        <w:tc>
          <w:tcPr>
            <w:tcW w:w="1151" w:type="pct"/>
            <w:vAlign w:val="center"/>
          </w:tcPr>
          <w:p w:rsidR="00A42B8D" w:rsidRPr="001C25C2" w:rsidRDefault="005846E2">
            <w:pPr>
              <w:pStyle w:val="Tabletext"/>
              <w:keepNext/>
              <w:keepLines/>
              <w:jc w:val="center"/>
              <w:rPr>
                <w:b/>
              </w:rPr>
            </w:pPr>
            <w:r w:rsidRPr="001C25C2">
              <w:rPr>
                <w:b/>
              </w:rPr>
              <w:t>Increment</w:t>
            </w:r>
          </w:p>
        </w:tc>
      </w:tr>
      <w:tr w:rsidR="00A42B8D" w:rsidRPr="001C25C2">
        <w:trPr>
          <w:trHeight w:val="70"/>
        </w:trPr>
        <w:tc>
          <w:tcPr>
            <w:tcW w:w="1334" w:type="pct"/>
            <w:vAlign w:val="center"/>
          </w:tcPr>
          <w:p w:rsidR="00A42B8D" w:rsidRPr="001C25C2" w:rsidRDefault="005846E2">
            <w:pPr>
              <w:pStyle w:val="Tabletext"/>
              <w:keepNext/>
              <w:keepLines/>
              <w:rPr>
                <w:rFonts w:ascii="Times" w:hAnsi="Times"/>
              </w:rPr>
            </w:pPr>
            <w:r w:rsidRPr="001C25C2">
              <w:t>Costs</w:t>
            </w:r>
          </w:p>
        </w:tc>
        <w:tc>
          <w:tcPr>
            <w:tcW w:w="1257" w:type="pct"/>
            <w:vAlign w:val="center"/>
          </w:tcPr>
          <w:p w:rsidR="00A42B8D" w:rsidRPr="001C25C2" w:rsidRDefault="005846E2">
            <w:pPr>
              <w:pStyle w:val="Tabletext"/>
              <w:keepNext/>
              <w:keepLines/>
              <w:jc w:val="center"/>
            </w:pPr>
            <w:r w:rsidRPr="001C25C2">
              <w:t>$</w:t>
            </w:r>
            <w:r w:rsidR="00992751">
              <w:rPr>
                <w:noProof/>
                <w:color w:val="000000"/>
                <w:highlight w:val="black"/>
              </w:rPr>
              <w:t>'''''''''''''</w:t>
            </w:r>
          </w:p>
        </w:tc>
        <w:tc>
          <w:tcPr>
            <w:tcW w:w="1258" w:type="pct"/>
          </w:tcPr>
          <w:p w:rsidR="00A42B8D" w:rsidRPr="001C25C2" w:rsidRDefault="005846E2">
            <w:pPr>
              <w:pStyle w:val="Tabletext"/>
              <w:keepNext/>
              <w:keepLines/>
              <w:jc w:val="center"/>
            </w:pPr>
            <w:r w:rsidRPr="001C25C2">
              <w:t>$</w:t>
            </w:r>
            <w:r w:rsidR="00992751">
              <w:rPr>
                <w:noProof/>
                <w:color w:val="000000"/>
                <w:highlight w:val="black"/>
              </w:rPr>
              <w:t>''''''''''</w:t>
            </w:r>
          </w:p>
        </w:tc>
        <w:tc>
          <w:tcPr>
            <w:tcW w:w="1151" w:type="pct"/>
          </w:tcPr>
          <w:p w:rsidR="00A42B8D" w:rsidRPr="001C25C2" w:rsidRDefault="005846E2">
            <w:pPr>
              <w:pStyle w:val="Tabletext"/>
              <w:keepNext/>
              <w:keepLines/>
              <w:jc w:val="center"/>
            </w:pPr>
            <w:r w:rsidRPr="001C25C2">
              <w:t>$</w:t>
            </w:r>
            <w:r w:rsidR="00992751">
              <w:rPr>
                <w:noProof/>
                <w:color w:val="000000"/>
                <w:highlight w:val="black"/>
              </w:rPr>
              <w:t>''''''''''''''</w:t>
            </w:r>
          </w:p>
        </w:tc>
      </w:tr>
      <w:tr w:rsidR="00A42B8D" w:rsidRPr="001C25C2">
        <w:tc>
          <w:tcPr>
            <w:tcW w:w="1334" w:type="pct"/>
            <w:vAlign w:val="center"/>
          </w:tcPr>
          <w:p w:rsidR="00A42B8D" w:rsidRPr="001C25C2" w:rsidRDefault="005846E2">
            <w:pPr>
              <w:pStyle w:val="Tabletext"/>
              <w:keepNext/>
              <w:keepLines/>
              <w:rPr>
                <w:rFonts w:ascii="Times" w:hAnsi="Times"/>
              </w:rPr>
            </w:pPr>
            <w:r w:rsidRPr="001C25C2">
              <w:t>QALYs</w:t>
            </w:r>
          </w:p>
        </w:tc>
        <w:tc>
          <w:tcPr>
            <w:tcW w:w="1257" w:type="pct"/>
            <w:vAlign w:val="center"/>
          </w:tcPr>
          <w:p w:rsidR="00A42B8D" w:rsidRPr="001C25C2" w:rsidRDefault="005846E2">
            <w:pPr>
              <w:pStyle w:val="Tabletext"/>
              <w:keepNext/>
              <w:keepLines/>
              <w:jc w:val="center"/>
            </w:pPr>
            <w:r w:rsidRPr="001C25C2">
              <w:t>0.440</w:t>
            </w:r>
          </w:p>
        </w:tc>
        <w:tc>
          <w:tcPr>
            <w:tcW w:w="1258" w:type="pct"/>
            <w:vAlign w:val="center"/>
          </w:tcPr>
          <w:p w:rsidR="00A42B8D" w:rsidRPr="001C25C2" w:rsidRDefault="005846E2">
            <w:pPr>
              <w:pStyle w:val="Tabletext"/>
              <w:keepNext/>
              <w:keepLines/>
              <w:jc w:val="center"/>
            </w:pPr>
            <w:r w:rsidRPr="001C25C2">
              <w:t>0.311</w:t>
            </w:r>
          </w:p>
        </w:tc>
        <w:tc>
          <w:tcPr>
            <w:tcW w:w="1151" w:type="pct"/>
            <w:vAlign w:val="center"/>
          </w:tcPr>
          <w:p w:rsidR="00A42B8D" w:rsidRPr="001C25C2" w:rsidRDefault="005846E2">
            <w:pPr>
              <w:pStyle w:val="Tabletext"/>
              <w:keepNext/>
              <w:keepLines/>
              <w:jc w:val="center"/>
            </w:pPr>
            <w:r w:rsidRPr="001C25C2">
              <w:t>0.129</w:t>
            </w:r>
          </w:p>
        </w:tc>
      </w:tr>
      <w:tr w:rsidR="00A42B8D" w:rsidRPr="001C25C2">
        <w:tc>
          <w:tcPr>
            <w:tcW w:w="1334" w:type="pct"/>
            <w:vAlign w:val="center"/>
          </w:tcPr>
          <w:p w:rsidR="00A42B8D" w:rsidRPr="001C25C2" w:rsidRDefault="005846E2">
            <w:pPr>
              <w:pStyle w:val="Tabletext"/>
              <w:keepNext/>
              <w:keepLines/>
            </w:pPr>
            <w:r w:rsidRPr="001C25C2">
              <w:t>LYs</w:t>
            </w:r>
          </w:p>
        </w:tc>
        <w:tc>
          <w:tcPr>
            <w:tcW w:w="1257" w:type="pct"/>
            <w:vAlign w:val="center"/>
          </w:tcPr>
          <w:p w:rsidR="00A42B8D" w:rsidRPr="001C25C2" w:rsidRDefault="005846E2">
            <w:pPr>
              <w:pStyle w:val="Tabletext"/>
              <w:keepNext/>
              <w:keepLines/>
              <w:jc w:val="center"/>
            </w:pPr>
            <w:r w:rsidRPr="001C25C2">
              <w:t>0.684</w:t>
            </w:r>
          </w:p>
        </w:tc>
        <w:tc>
          <w:tcPr>
            <w:tcW w:w="1258" w:type="pct"/>
            <w:vAlign w:val="center"/>
          </w:tcPr>
          <w:p w:rsidR="00A42B8D" w:rsidRPr="001C25C2" w:rsidRDefault="005846E2">
            <w:pPr>
              <w:pStyle w:val="Tabletext"/>
              <w:keepNext/>
              <w:keepLines/>
              <w:jc w:val="center"/>
            </w:pPr>
            <w:r w:rsidRPr="001C25C2">
              <w:t>0.201</w:t>
            </w:r>
          </w:p>
        </w:tc>
        <w:tc>
          <w:tcPr>
            <w:tcW w:w="1151" w:type="pct"/>
            <w:vAlign w:val="center"/>
          </w:tcPr>
          <w:p w:rsidR="00A42B8D" w:rsidRPr="001C25C2" w:rsidRDefault="005846E2">
            <w:pPr>
              <w:pStyle w:val="Tabletext"/>
              <w:keepNext/>
              <w:keepLines/>
              <w:jc w:val="center"/>
            </w:pPr>
            <w:r w:rsidRPr="001C25C2">
              <w:t>0.199</w:t>
            </w:r>
          </w:p>
        </w:tc>
      </w:tr>
      <w:tr w:rsidR="00A42B8D" w:rsidRPr="001C25C2">
        <w:tc>
          <w:tcPr>
            <w:tcW w:w="3849" w:type="pct"/>
            <w:gridSpan w:val="3"/>
            <w:vAlign w:val="center"/>
          </w:tcPr>
          <w:p w:rsidR="00A42B8D" w:rsidRPr="001C25C2" w:rsidRDefault="005846E2">
            <w:pPr>
              <w:pStyle w:val="Tabletext"/>
              <w:keepNext/>
              <w:keepLines/>
              <w:rPr>
                <w:rFonts w:ascii="Times" w:hAnsi="Times"/>
                <w:b/>
                <w:snapToGrid w:val="0"/>
              </w:rPr>
            </w:pPr>
            <w:r w:rsidRPr="001C25C2">
              <w:rPr>
                <w:b/>
              </w:rPr>
              <w:t>Incremental cost/extra QALY gained</w:t>
            </w:r>
          </w:p>
        </w:tc>
        <w:tc>
          <w:tcPr>
            <w:tcW w:w="1151" w:type="pct"/>
            <w:vAlign w:val="center"/>
          </w:tcPr>
          <w:p w:rsidR="00A42B8D" w:rsidRPr="001C25C2" w:rsidRDefault="005846E2">
            <w:pPr>
              <w:pStyle w:val="Tabletext"/>
              <w:keepNext/>
              <w:keepLines/>
              <w:jc w:val="center"/>
              <w:rPr>
                <w:rFonts w:ascii="Times" w:hAnsi="Times"/>
                <w:b/>
              </w:rPr>
            </w:pPr>
            <w:r w:rsidRPr="001C25C2">
              <w:rPr>
                <w:b/>
              </w:rPr>
              <w:t>$</w:t>
            </w:r>
            <w:r w:rsidR="00992751">
              <w:rPr>
                <w:b/>
                <w:noProof/>
                <w:color w:val="000000"/>
                <w:highlight w:val="black"/>
              </w:rPr>
              <w:t>''''''''''''</w:t>
            </w:r>
          </w:p>
        </w:tc>
      </w:tr>
      <w:tr w:rsidR="00A42B8D" w:rsidRPr="001C25C2">
        <w:tc>
          <w:tcPr>
            <w:tcW w:w="3849" w:type="pct"/>
            <w:gridSpan w:val="3"/>
            <w:vAlign w:val="center"/>
          </w:tcPr>
          <w:p w:rsidR="00A42B8D" w:rsidRPr="001C25C2" w:rsidRDefault="005846E2">
            <w:pPr>
              <w:pStyle w:val="Tabletext"/>
              <w:keepNext/>
              <w:keepLines/>
              <w:rPr>
                <w:b/>
              </w:rPr>
            </w:pPr>
            <w:r w:rsidRPr="001C25C2">
              <w:rPr>
                <w:b/>
              </w:rPr>
              <w:t>Incremental cost/extra LY gained</w:t>
            </w:r>
          </w:p>
        </w:tc>
        <w:tc>
          <w:tcPr>
            <w:tcW w:w="1151" w:type="pct"/>
            <w:vAlign w:val="center"/>
          </w:tcPr>
          <w:p w:rsidR="00A42B8D" w:rsidRPr="001C25C2" w:rsidRDefault="005846E2">
            <w:pPr>
              <w:pStyle w:val="Tabletext"/>
              <w:keepNext/>
              <w:keepLines/>
              <w:jc w:val="center"/>
              <w:rPr>
                <w:b/>
              </w:rPr>
            </w:pPr>
            <w:r w:rsidRPr="001C25C2">
              <w:rPr>
                <w:b/>
              </w:rPr>
              <w:t>$</w:t>
            </w:r>
            <w:r w:rsidR="00992751">
              <w:rPr>
                <w:b/>
                <w:noProof/>
                <w:color w:val="000000"/>
                <w:highlight w:val="black"/>
              </w:rPr>
              <w:t>''''''''''''''</w:t>
            </w:r>
          </w:p>
        </w:tc>
      </w:tr>
    </w:tbl>
    <w:p w:rsidR="00A42B8D" w:rsidRPr="001C25C2" w:rsidRDefault="005846E2">
      <w:pPr>
        <w:pStyle w:val="TableFooter"/>
      </w:pPr>
      <w:r w:rsidRPr="001C25C2">
        <w:t>Source: Compiled during evaluation</w:t>
      </w:r>
    </w:p>
    <w:p w:rsidR="00A42B8D" w:rsidRPr="001C25C2" w:rsidRDefault="005846E2">
      <w:pPr>
        <w:pStyle w:val="TableFooter"/>
      </w:pPr>
      <w:r w:rsidRPr="001C25C2">
        <w:t>LY = life years; QALY = quality adjusted life year</w:t>
      </w:r>
    </w:p>
    <w:p w:rsidR="00A42B8D" w:rsidRPr="001C25C2" w:rsidRDefault="00A42B8D">
      <w:pPr>
        <w:widowControl/>
      </w:pPr>
    </w:p>
    <w:p w:rsidR="00A42B8D" w:rsidRPr="001C25C2" w:rsidRDefault="005846E2"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The results of key sensitivity analyses are summarised in the table below.</w:t>
      </w:r>
    </w:p>
    <w:p w:rsidR="00A42B8D" w:rsidRPr="001C25C2" w:rsidRDefault="005846E2" w:rsidP="00032155">
      <w:pPr>
        <w:keepNext/>
        <w:keepLines/>
        <w:rPr>
          <w:rStyle w:val="CommentReference"/>
        </w:rPr>
      </w:pPr>
      <w:r w:rsidRPr="001C25C2">
        <w:rPr>
          <w:rStyle w:val="CommentReference"/>
        </w:rPr>
        <w:t>Table 11:  Results of key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4"/>
        <w:gridCol w:w="1137"/>
        <w:gridCol w:w="1137"/>
        <w:gridCol w:w="979"/>
      </w:tblGrid>
      <w:tr w:rsidR="00A42B8D" w:rsidRPr="001C25C2" w:rsidTr="00032155">
        <w:trPr>
          <w:tblHeader/>
        </w:trPr>
        <w:tc>
          <w:tcPr>
            <w:tcW w:w="5813" w:type="dxa"/>
          </w:tcPr>
          <w:p w:rsidR="00A42B8D" w:rsidRPr="001C25C2" w:rsidRDefault="005846E2" w:rsidP="00032155">
            <w:pPr>
              <w:pStyle w:val="Tabletext"/>
              <w:keepNext/>
              <w:keepLines/>
              <w:tabs>
                <w:tab w:val="left" w:pos="142"/>
              </w:tabs>
              <w:rPr>
                <w:b/>
              </w:rPr>
            </w:pPr>
            <w:r w:rsidRPr="001C25C2">
              <w:rPr>
                <w:b/>
              </w:rPr>
              <w:t>Analyses</w:t>
            </w:r>
          </w:p>
        </w:tc>
        <w:tc>
          <w:tcPr>
            <w:tcW w:w="1137" w:type="dxa"/>
          </w:tcPr>
          <w:p w:rsidR="00A42B8D" w:rsidRPr="001C25C2" w:rsidRDefault="005846E2" w:rsidP="00032155">
            <w:pPr>
              <w:pStyle w:val="Tabletext"/>
              <w:keepNext/>
              <w:keepLines/>
              <w:jc w:val="center"/>
              <w:rPr>
                <w:b/>
              </w:rPr>
            </w:pPr>
            <w:r w:rsidRPr="001C25C2">
              <w:rPr>
                <w:b/>
              </w:rPr>
              <w:t>Incremental cost</w:t>
            </w:r>
          </w:p>
        </w:tc>
        <w:tc>
          <w:tcPr>
            <w:tcW w:w="1137" w:type="dxa"/>
          </w:tcPr>
          <w:p w:rsidR="00A42B8D" w:rsidRPr="001C25C2" w:rsidRDefault="005846E2" w:rsidP="00032155">
            <w:pPr>
              <w:pStyle w:val="Tabletext"/>
              <w:keepNext/>
              <w:keepLines/>
              <w:jc w:val="center"/>
              <w:rPr>
                <w:b/>
              </w:rPr>
            </w:pPr>
            <w:r w:rsidRPr="001C25C2">
              <w:rPr>
                <w:b/>
              </w:rPr>
              <w:t>Incremental QALY</w:t>
            </w:r>
          </w:p>
        </w:tc>
        <w:tc>
          <w:tcPr>
            <w:tcW w:w="980" w:type="dxa"/>
          </w:tcPr>
          <w:p w:rsidR="00A42B8D" w:rsidRPr="001C25C2" w:rsidRDefault="005846E2" w:rsidP="00032155">
            <w:pPr>
              <w:pStyle w:val="Tabletext"/>
              <w:keepNext/>
              <w:keepLines/>
              <w:jc w:val="center"/>
              <w:rPr>
                <w:b/>
              </w:rPr>
            </w:pPr>
            <w:r w:rsidRPr="001C25C2">
              <w:rPr>
                <w:b/>
              </w:rPr>
              <w:t>ICER</w:t>
            </w:r>
          </w:p>
        </w:tc>
      </w:tr>
      <w:tr w:rsidR="00A42B8D" w:rsidRPr="001C25C2" w:rsidTr="00032155">
        <w:tc>
          <w:tcPr>
            <w:tcW w:w="5813" w:type="dxa"/>
          </w:tcPr>
          <w:p w:rsidR="00A42B8D" w:rsidRPr="001C25C2" w:rsidRDefault="005846E2" w:rsidP="00032155">
            <w:pPr>
              <w:pStyle w:val="Tabletext"/>
              <w:keepNext/>
              <w:keepLines/>
              <w:tabs>
                <w:tab w:val="left" w:pos="142"/>
              </w:tabs>
              <w:rPr>
                <w:b/>
              </w:rPr>
            </w:pPr>
            <w:r w:rsidRPr="001C25C2">
              <w:rPr>
                <w:b/>
              </w:rPr>
              <w:t>Base case</w:t>
            </w:r>
          </w:p>
        </w:tc>
        <w:tc>
          <w:tcPr>
            <w:tcW w:w="1137" w:type="dxa"/>
            <w:vAlign w:val="center"/>
          </w:tcPr>
          <w:p w:rsidR="00A42B8D" w:rsidRPr="001C25C2" w:rsidRDefault="005846E2" w:rsidP="00032155">
            <w:pPr>
              <w:pStyle w:val="Tabletext"/>
              <w:keepNext/>
              <w:keepLines/>
              <w:jc w:val="center"/>
              <w:rPr>
                <w:b/>
              </w:rPr>
            </w:pPr>
            <w:r w:rsidRPr="001C25C2">
              <w:rPr>
                <w:b/>
              </w:rPr>
              <w:t>$</w:t>
            </w:r>
            <w:r w:rsidR="00992751">
              <w:rPr>
                <w:b/>
                <w:noProof/>
                <w:color w:val="000000"/>
                <w:highlight w:val="black"/>
              </w:rPr>
              <w:t>''''''''''</w:t>
            </w:r>
          </w:p>
        </w:tc>
        <w:tc>
          <w:tcPr>
            <w:tcW w:w="1137" w:type="dxa"/>
            <w:vAlign w:val="center"/>
          </w:tcPr>
          <w:p w:rsidR="00A42B8D" w:rsidRPr="001C25C2" w:rsidRDefault="005846E2" w:rsidP="00032155">
            <w:pPr>
              <w:pStyle w:val="Tabletext"/>
              <w:keepNext/>
              <w:keepLines/>
              <w:jc w:val="center"/>
              <w:rPr>
                <w:b/>
              </w:rPr>
            </w:pPr>
            <w:r w:rsidRPr="001C25C2">
              <w:rPr>
                <w:b/>
              </w:rPr>
              <w:t>0.129</w:t>
            </w:r>
          </w:p>
        </w:tc>
        <w:tc>
          <w:tcPr>
            <w:tcW w:w="980" w:type="dxa"/>
            <w:vAlign w:val="center"/>
          </w:tcPr>
          <w:p w:rsidR="00A42B8D" w:rsidRPr="001C25C2" w:rsidRDefault="005846E2" w:rsidP="00032155">
            <w:pPr>
              <w:pStyle w:val="Tabletext"/>
              <w:keepNext/>
              <w:keepLines/>
              <w:jc w:val="center"/>
              <w:rPr>
                <w:b/>
              </w:rPr>
            </w:pPr>
            <w:r w:rsidRPr="001C25C2">
              <w:rPr>
                <w:b/>
                <w:lang w:eastAsia="en-AU"/>
              </w:rPr>
              <w:t>$</w:t>
            </w:r>
            <w:r w:rsidR="00992751">
              <w:rPr>
                <w:b/>
                <w:noProof/>
                <w:color w:val="000000"/>
                <w:highlight w:val="black"/>
                <w:lang w:eastAsia="en-AU"/>
              </w:rPr>
              <w:t>'''''''''''''</w:t>
            </w:r>
          </w:p>
        </w:tc>
      </w:tr>
      <w:tr w:rsidR="00A42B8D" w:rsidRPr="001C25C2" w:rsidTr="00032155">
        <w:tc>
          <w:tcPr>
            <w:tcW w:w="5813" w:type="dxa"/>
          </w:tcPr>
          <w:p w:rsidR="00A42B8D" w:rsidRPr="001C25C2" w:rsidRDefault="005846E2" w:rsidP="00032155">
            <w:pPr>
              <w:pStyle w:val="Tabletext"/>
              <w:keepNext/>
              <w:keepLines/>
              <w:tabs>
                <w:tab w:val="left" w:pos="142"/>
              </w:tabs>
              <w:rPr>
                <w:rFonts w:cs="Arial Narrow"/>
                <w:i/>
                <w:lang w:bidi="en-US"/>
              </w:rPr>
            </w:pPr>
            <w:r w:rsidRPr="001C25C2">
              <w:t>Apply 95% lower confidence bound around mean progression-free and overall survival estimates in each arm of the TAG</w:t>
            </w:r>
            <w:r w:rsidR="004B45B7" w:rsidRPr="001C25C2">
              <w:t>S</w:t>
            </w:r>
            <w:r w:rsidRPr="001C25C2">
              <w:t xml:space="preserve"> trial</w:t>
            </w:r>
          </w:p>
        </w:tc>
        <w:tc>
          <w:tcPr>
            <w:tcW w:w="1137" w:type="dxa"/>
            <w:vAlign w:val="center"/>
          </w:tcPr>
          <w:p w:rsidR="00A42B8D" w:rsidRPr="001C25C2" w:rsidRDefault="005846E2" w:rsidP="00032155">
            <w:pPr>
              <w:pStyle w:val="Tabletext"/>
              <w:keepNext/>
              <w:keepLines/>
              <w:jc w:val="center"/>
            </w:pPr>
            <w:r w:rsidRPr="001C25C2">
              <w:t>$</w:t>
            </w:r>
            <w:r w:rsidR="00992751">
              <w:rPr>
                <w:noProof/>
                <w:color w:val="000000"/>
                <w:highlight w:val="black"/>
              </w:rPr>
              <w:t>''''''''''''''</w:t>
            </w:r>
          </w:p>
        </w:tc>
        <w:tc>
          <w:tcPr>
            <w:tcW w:w="1137" w:type="dxa"/>
            <w:vAlign w:val="center"/>
          </w:tcPr>
          <w:p w:rsidR="00A42B8D" w:rsidRPr="001C25C2" w:rsidRDefault="005846E2" w:rsidP="00032155">
            <w:pPr>
              <w:pStyle w:val="Tabletext"/>
              <w:keepNext/>
              <w:keepLines/>
              <w:jc w:val="center"/>
            </w:pPr>
            <w:r w:rsidRPr="001C25C2">
              <w:rPr>
                <w:lang w:eastAsia="en-AU"/>
              </w:rPr>
              <w:t>0.108</w:t>
            </w:r>
          </w:p>
        </w:tc>
        <w:tc>
          <w:tcPr>
            <w:tcW w:w="980" w:type="dxa"/>
            <w:vAlign w:val="center"/>
          </w:tcPr>
          <w:p w:rsidR="00A42B8D" w:rsidRPr="001C25C2" w:rsidRDefault="005846E2" w:rsidP="00032155">
            <w:pPr>
              <w:pStyle w:val="Tabletext"/>
              <w:keepNext/>
              <w:keepLines/>
              <w:jc w:val="center"/>
            </w:pPr>
            <w:r w:rsidRPr="001C25C2">
              <w:rPr>
                <w:lang w:eastAsia="en-AU"/>
              </w:rPr>
              <w:t>$</w:t>
            </w:r>
            <w:r w:rsidR="00992751">
              <w:rPr>
                <w:noProof/>
                <w:color w:val="000000"/>
                <w:highlight w:val="black"/>
                <w:lang w:eastAsia="en-AU"/>
              </w:rPr>
              <w:t>'''''''''''''''</w:t>
            </w:r>
          </w:p>
        </w:tc>
      </w:tr>
      <w:tr w:rsidR="00A42B8D" w:rsidRPr="001C25C2" w:rsidTr="00032155">
        <w:tc>
          <w:tcPr>
            <w:tcW w:w="5813" w:type="dxa"/>
          </w:tcPr>
          <w:p w:rsidR="00A42B8D" w:rsidRPr="001C25C2" w:rsidRDefault="007C49A3" w:rsidP="00032155">
            <w:pPr>
              <w:pStyle w:val="Tabletext"/>
              <w:keepNext/>
              <w:keepLines/>
              <w:tabs>
                <w:tab w:val="left" w:pos="142"/>
              </w:tabs>
              <w:rPr>
                <w:i/>
              </w:rPr>
            </w:pPr>
            <w:bookmarkStart w:id="20" w:name="_Hlk20559506"/>
            <w:r w:rsidRPr="001C25C2">
              <w:rPr>
                <w:rFonts w:cs="Arial Narrow"/>
                <w:lang w:bidi="en-US"/>
              </w:rPr>
              <w:t>Apply lower 95% confidence limits</w:t>
            </w:r>
            <w:r w:rsidRPr="001C25C2">
              <w:rPr>
                <w:rFonts w:cs="Arial Narrow"/>
                <w:i/>
                <w:lang w:bidi="en-US"/>
              </w:rPr>
              <w:t xml:space="preserve"> </w:t>
            </w:r>
            <w:r w:rsidRPr="001C25C2">
              <w:rPr>
                <w:rFonts w:cs="Arial Narrow"/>
                <w:lang w:bidi="en-US"/>
              </w:rPr>
              <w:t>around</w:t>
            </w:r>
            <w:r w:rsidRPr="001C25C2">
              <w:rPr>
                <w:rFonts w:cs="Arial Narrow"/>
                <w:i/>
                <w:lang w:bidi="en-US"/>
              </w:rPr>
              <w:t xml:space="preserve"> </w:t>
            </w:r>
            <w:r w:rsidRPr="001C25C2">
              <w:rPr>
                <w:rFonts w:cs="Arial Narrow"/>
                <w:lang w:bidi="en-US"/>
              </w:rPr>
              <w:t xml:space="preserve">mean OS and PFS for </w:t>
            </w:r>
            <w:proofErr w:type="spellStart"/>
            <w:r w:rsidRPr="001C25C2">
              <w:rPr>
                <w:rFonts w:cs="Arial Narrow"/>
                <w:lang w:bidi="en-US"/>
              </w:rPr>
              <w:t>trifluridine</w:t>
            </w:r>
            <w:proofErr w:type="spellEnd"/>
            <w:r w:rsidRPr="001C25C2">
              <w:rPr>
                <w:rFonts w:cs="Arial Narrow"/>
                <w:lang w:bidi="en-US"/>
              </w:rPr>
              <w:t>/</w:t>
            </w:r>
            <w:proofErr w:type="spellStart"/>
            <w:r w:rsidRPr="001C25C2">
              <w:rPr>
                <w:rFonts w:cs="Arial Narrow"/>
                <w:lang w:bidi="en-US"/>
              </w:rPr>
              <w:t>tipiracil</w:t>
            </w:r>
            <w:proofErr w:type="spellEnd"/>
            <w:r w:rsidRPr="001C25C2">
              <w:rPr>
                <w:rFonts w:cs="Arial Narrow"/>
                <w:lang w:bidi="en-US"/>
              </w:rPr>
              <w:t xml:space="preserve"> from </w:t>
            </w:r>
            <w:r w:rsidR="004B45B7" w:rsidRPr="001C25C2">
              <w:rPr>
                <w:rFonts w:cs="Arial Narrow"/>
                <w:lang w:bidi="en-US"/>
              </w:rPr>
              <w:t xml:space="preserve">the </w:t>
            </w:r>
            <w:r w:rsidRPr="001C25C2">
              <w:rPr>
                <w:rFonts w:cs="Arial Narrow"/>
                <w:lang w:bidi="en-US"/>
              </w:rPr>
              <w:t>TAGS</w:t>
            </w:r>
            <w:bookmarkEnd w:id="20"/>
            <w:r w:rsidR="004B45B7" w:rsidRPr="001C25C2">
              <w:rPr>
                <w:rFonts w:cs="Arial Narrow"/>
                <w:lang w:bidi="en-US"/>
              </w:rPr>
              <w:t xml:space="preserve"> trial</w:t>
            </w:r>
          </w:p>
        </w:tc>
        <w:tc>
          <w:tcPr>
            <w:tcW w:w="1137" w:type="dxa"/>
          </w:tcPr>
          <w:p w:rsidR="00A42B8D" w:rsidRPr="001C25C2" w:rsidRDefault="005846E2" w:rsidP="00032155">
            <w:pPr>
              <w:pStyle w:val="Tabletext"/>
              <w:keepNext/>
              <w:keepLines/>
              <w:jc w:val="center"/>
            </w:pPr>
            <w:r w:rsidRPr="001C25C2">
              <w:t>$</w:t>
            </w:r>
            <w:r w:rsidR="00992751">
              <w:rPr>
                <w:noProof/>
                <w:color w:val="000000"/>
                <w:highlight w:val="black"/>
              </w:rPr>
              <w:t>'''''''''''''</w:t>
            </w:r>
          </w:p>
        </w:tc>
        <w:tc>
          <w:tcPr>
            <w:tcW w:w="1137" w:type="dxa"/>
          </w:tcPr>
          <w:p w:rsidR="00A42B8D" w:rsidRPr="001C25C2" w:rsidRDefault="005846E2" w:rsidP="00032155">
            <w:pPr>
              <w:pStyle w:val="Tabletext"/>
              <w:keepNext/>
              <w:keepLines/>
              <w:jc w:val="center"/>
              <w:rPr>
                <w:lang w:eastAsia="en-AU"/>
              </w:rPr>
            </w:pPr>
            <w:r w:rsidRPr="001C25C2">
              <w:t>0.069</w:t>
            </w:r>
          </w:p>
        </w:tc>
        <w:tc>
          <w:tcPr>
            <w:tcW w:w="980" w:type="dxa"/>
          </w:tcPr>
          <w:p w:rsidR="00A42B8D" w:rsidRPr="001C25C2" w:rsidRDefault="005846E2" w:rsidP="00032155">
            <w:pPr>
              <w:pStyle w:val="Tabletext"/>
              <w:keepNext/>
              <w:keepLines/>
              <w:jc w:val="center"/>
              <w:rPr>
                <w:lang w:eastAsia="en-AU"/>
              </w:rPr>
            </w:pPr>
            <w:r w:rsidRPr="001C25C2">
              <w:t>$</w:t>
            </w:r>
            <w:r w:rsidR="00992751">
              <w:rPr>
                <w:noProof/>
                <w:color w:val="000000"/>
                <w:highlight w:val="black"/>
              </w:rPr>
              <w:t>'''''''''''''''</w:t>
            </w:r>
          </w:p>
        </w:tc>
      </w:tr>
      <w:tr w:rsidR="00A42B8D" w:rsidRPr="001C25C2" w:rsidTr="00032155">
        <w:tc>
          <w:tcPr>
            <w:tcW w:w="5813" w:type="dxa"/>
          </w:tcPr>
          <w:p w:rsidR="00A42B8D" w:rsidRPr="001C25C2" w:rsidRDefault="005846E2" w:rsidP="00032155">
            <w:pPr>
              <w:pStyle w:val="Tabletext"/>
              <w:keepNext/>
              <w:keepLines/>
              <w:tabs>
                <w:tab w:val="left" w:pos="142"/>
              </w:tabs>
            </w:pPr>
            <w:r w:rsidRPr="001C25C2">
              <w:t xml:space="preserve">Apply drug costs for treatment until </w:t>
            </w:r>
            <w:proofErr w:type="spellStart"/>
            <w:r w:rsidRPr="001C25C2">
              <w:t>progression</w:t>
            </w:r>
            <w:r w:rsidRPr="001C25C2">
              <w:rPr>
                <w:vertAlign w:val="superscript"/>
              </w:rPr>
              <w:t>a</w:t>
            </w:r>
            <w:proofErr w:type="spellEnd"/>
            <w:r w:rsidRPr="001C25C2">
              <w:rPr>
                <w:vertAlign w:val="superscript"/>
              </w:rPr>
              <w:t xml:space="preserve"> </w:t>
            </w:r>
          </w:p>
        </w:tc>
        <w:tc>
          <w:tcPr>
            <w:tcW w:w="1137" w:type="dxa"/>
          </w:tcPr>
          <w:p w:rsidR="00A42B8D" w:rsidRPr="001C25C2" w:rsidRDefault="005846E2" w:rsidP="00032155">
            <w:pPr>
              <w:pStyle w:val="Tabletext"/>
              <w:keepNext/>
              <w:keepLines/>
              <w:jc w:val="center"/>
            </w:pPr>
            <w:r w:rsidRPr="001C25C2">
              <w:t>$</w:t>
            </w:r>
            <w:r w:rsidR="00992751">
              <w:rPr>
                <w:noProof/>
                <w:color w:val="000000"/>
                <w:highlight w:val="black"/>
              </w:rPr>
              <w:t>'''''''''''''</w:t>
            </w:r>
          </w:p>
        </w:tc>
        <w:tc>
          <w:tcPr>
            <w:tcW w:w="1137" w:type="dxa"/>
          </w:tcPr>
          <w:p w:rsidR="00A42B8D" w:rsidRPr="001C25C2" w:rsidRDefault="005846E2" w:rsidP="00032155">
            <w:pPr>
              <w:pStyle w:val="Tabletext"/>
              <w:keepNext/>
              <w:keepLines/>
              <w:jc w:val="center"/>
              <w:rPr>
                <w:lang w:eastAsia="en-AU"/>
              </w:rPr>
            </w:pPr>
            <w:r w:rsidRPr="001C25C2">
              <w:t>0.129</w:t>
            </w:r>
          </w:p>
        </w:tc>
        <w:tc>
          <w:tcPr>
            <w:tcW w:w="980" w:type="dxa"/>
          </w:tcPr>
          <w:p w:rsidR="00A42B8D" w:rsidRPr="001C25C2" w:rsidRDefault="005846E2" w:rsidP="00032155">
            <w:pPr>
              <w:pStyle w:val="Tabletext"/>
              <w:keepNext/>
              <w:keepLines/>
              <w:jc w:val="center"/>
              <w:rPr>
                <w:lang w:eastAsia="en-AU"/>
              </w:rPr>
            </w:pPr>
            <w:r w:rsidRPr="001C25C2">
              <w:t>$</w:t>
            </w:r>
            <w:r w:rsidR="00992751">
              <w:rPr>
                <w:noProof/>
                <w:color w:val="000000"/>
                <w:highlight w:val="black"/>
              </w:rPr>
              <w:t>'''''''''''''''</w:t>
            </w:r>
          </w:p>
        </w:tc>
      </w:tr>
      <w:tr w:rsidR="00A42B8D" w:rsidRPr="001C25C2" w:rsidTr="00032155">
        <w:tc>
          <w:tcPr>
            <w:tcW w:w="5813" w:type="dxa"/>
          </w:tcPr>
          <w:p w:rsidR="00A42B8D" w:rsidRPr="001C25C2" w:rsidRDefault="005846E2" w:rsidP="00032155">
            <w:pPr>
              <w:pStyle w:val="Tabletext"/>
              <w:keepNext/>
              <w:keepLines/>
            </w:pPr>
            <w:r w:rsidRPr="001C25C2">
              <w:t>Use mean treatment cycles (3.3) to calculate drug cost</w:t>
            </w:r>
          </w:p>
        </w:tc>
        <w:tc>
          <w:tcPr>
            <w:tcW w:w="1137" w:type="dxa"/>
          </w:tcPr>
          <w:p w:rsidR="00A42B8D" w:rsidRPr="001C25C2" w:rsidRDefault="005846E2" w:rsidP="00032155">
            <w:pPr>
              <w:pStyle w:val="Tabletext"/>
              <w:keepNext/>
              <w:keepLines/>
              <w:jc w:val="center"/>
            </w:pPr>
            <w:r w:rsidRPr="001C25C2">
              <w:t>$</w:t>
            </w:r>
            <w:r w:rsidR="00992751">
              <w:rPr>
                <w:noProof/>
                <w:color w:val="000000"/>
                <w:highlight w:val="black"/>
              </w:rPr>
              <w:t>''''''''''''''</w:t>
            </w:r>
          </w:p>
        </w:tc>
        <w:tc>
          <w:tcPr>
            <w:tcW w:w="1137" w:type="dxa"/>
          </w:tcPr>
          <w:p w:rsidR="00A42B8D" w:rsidRPr="001C25C2" w:rsidRDefault="005846E2" w:rsidP="00032155">
            <w:pPr>
              <w:pStyle w:val="Tabletext"/>
              <w:keepNext/>
              <w:keepLines/>
              <w:jc w:val="center"/>
            </w:pPr>
            <w:r w:rsidRPr="001C25C2">
              <w:t>0.129</w:t>
            </w:r>
          </w:p>
        </w:tc>
        <w:tc>
          <w:tcPr>
            <w:tcW w:w="980" w:type="dxa"/>
          </w:tcPr>
          <w:p w:rsidR="00A42B8D" w:rsidRPr="001C25C2" w:rsidRDefault="005846E2" w:rsidP="00032155">
            <w:pPr>
              <w:pStyle w:val="Tabletext"/>
              <w:keepNext/>
              <w:keepLines/>
              <w:jc w:val="center"/>
            </w:pPr>
            <w:r w:rsidRPr="001C25C2">
              <w:t>$</w:t>
            </w:r>
            <w:r w:rsidR="00992751">
              <w:rPr>
                <w:noProof/>
                <w:color w:val="000000"/>
                <w:highlight w:val="black"/>
              </w:rPr>
              <w:t>''''''''''''''''''</w:t>
            </w:r>
          </w:p>
        </w:tc>
      </w:tr>
      <w:tr w:rsidR="00A42B8D" w:rsidRPr="001C25C2" w:rsidTr="00032155">
        <w:tc>
          <w:tcPr>
            <w:tcW w:w="5813" w:type="dxa"/>
          </w:tcPr>
          <w:p w:rsidR="00A42B8D" w:rsidRPr="001C25C2" w:rsidRDefault="005846E2" w:rsidP="00032155">
            <w:pPr>
              <w:pStyle w:val="Tabletext"/>
              <w:keepNext/>
              <w:keepLines/>
            </w:pPr>
            <w:r w:rsidRPr="001C25C2">
              <w:t xml:space="preserve">Incorporating management cost of Grade </w:t>
            </w:r>
            <w:r w:rsidRPr="001C25C2">
              <w:rPr>
                <w:u w:val="single"/>
              </w:rPr>
              <w:t>≥</w:t>
            </w:r>
            <w:r w:rsidRPr="001C25C2">
              <w:t xml:space="preserve"> 3 neutropenia and </w:t>
            </w:r>
            <w:proofErr w:type="spellStart"/>
            <w:r w:rsidRPr="001C25C2">
              <w:t>anaemia</w:t>
            </w:r>
            <w:r w:rsidRPr="001C25C2">
              <w:rPr>
                <w:vertAlign w:val="superscript"/>
              </w:rPr>
              <w:t>b</w:t>
            </w:r>
            <w:proofErr w:type="spellEnd"/>
            <w:r w:rsidRPr="001C25C2">
              <w:rPr>
                <w:vertAlign w:val="superscript"/>
              </w:rPr>
              <w:t xml:space="preserve"> </w:t>
            </w:r>
          </w:p>
        </w:tc>
        <w:tc>
          <w:tcPr>
            <w:tcW w:w="1137" w:type="dxa"/>
          </w:tcPr>
          <w:p w:rsidR="00A42B8D" w:rsidRPr="001C25C2" w:rsidRDefault="005846E2" w:rsidP="00032155">
            <w:pPr>
              <w:pStyle w:val="Tabletext"/>
              <w:keepNext/>
              <w:keepLines/>
              <w:jc w:val="center"/>
            </w:pPr>
            <w:r w:rsidRPr="001C25C2">
              <w:t>$</w:t>
            </w:r>
            <w:r w:rsidR="00992751">
              <w:rPr>
                <w:noProof/>
                <w:color w:val="000000"/>
                <w:highlight w:val="black"/>
              </w:rPr>
              <w:t>'''''''''''''</w:t>
            </w:r>
          </w:p>
        </w:tc>
        <w:tc>
          <w:tcPr>
            <w:tcW w:w="1137" w:type="dxa"/>
          </w:tcPr>
          <w:p w:rsidR="00A42B8D" w:rsidRPr="001C25C2" w:rsidRDefault="005846E2" w:rsidP="00032155">
            <w:pPr>
              <w:pStyle w:val="Tabletext"/>
              <w:keepNext/>
              <w:keepLines/>
              <w:jc w:val="center"/>
            </w:pPr>
            <w:r w:rsidRPr="001C25C2">
              <w:t>0.129</w:t>
            </w:r>
          </w:p>
        </w:tc>
        <w:tc>
          <w:tcPr>
            <w:tcW w:w="980" w:type="dxa"/>
          </w:tcPr>
          <w:p w:rsidR="00A42B8D" w:rsidRPr="001C25C2" w:rsidRDefault="005846E2" w:rsidP="00032155">
            <w:pPr>
              <w:pStyle w:val="Tabletext"/>
              <w:keepNext/>
              <w:keepLines/>
              <w:jc w:val="center"/>
            </w:pPr>
            <w:r w:rsidRPr="001C25C2">
              <w:t>$</w:t>
            </w:r>
            <w:r w:rsidR="00992751">
              <w:rPr>
                <w:noProof/>
                <w:color w:val="000000"/>
                <w:highlight w:val="black"/>
              </w:rPr>
              <w:t>'''''''''''''''</w:t>
            </w:r>
          </w:p>
        </w:tc>
      </w:tr>
    </w:tbl>
    <w:p w:rsidR="00A42B8D" w:rsidRPr="001C25C2" w:rsidRDefault="005846E2" w:rsidP="00032155">
      <w:pPr>
        <w:pStyle w:val="TableFooter"/>
        <w:keepNext/>
        <w:keepLines/>
      </w:pPr>
      <w:r w:rsidRPr="001C25C2">
        <w:t>Source: Table 3.9.2, p63 of the submission.</w:t>
      </w:r>
    </w:p>
    <w:p w:rsidR="00A42B8D" w:rsidRPr="001C25C2" w:rsidRDefault="005846E2" w:rsidP="00032155">
      <w:pPr>
        <w:pStyle w:val="TableFooter"/>
        <w:keepNext/>
        <w:keepLines/>
      </w:pPr>
      <w:r w:rsidRPr="001C25C2">
        <w:t>EORTC QLQ-C30 = European Organisation for Research and Treatment of Cancer Quality of Life Questionnaire-Core 30; ICER = incremental cost-effectiveness ratio; QALY = quality-adjusted life years; QLU-C10D = Quality of Life Utility Measure-Core 10 dimensions; OS = overall survival; PFS = progression free survival</w:t>
      </w:r>
    </w:p>
    <w:p w:rsidR="00A42B8D" w:rsidRPr="001C25C2" w:rsidRDefault="005846E2" w:rsidP="00032155">
      <w:pPr>
        <w:pStyle w:val="TableFooter"/>
        <w:keepNext/>
        <w:keepLines/>
      </w:pPr>
      <w:proofErr w:type="gramStart"/>
      <w:r w:rsidRPr="001C25C2">
        <w:t>a</w:t>
      </w:r>
      <w:proofErr w:type="gramEnd"/>
      <w:r w:rsidRPr="001C25C2">
        <w:t xml:space="preserve"> Mean PFS used instead of time on treatment</w:t>
      </w:r>
    </w:p>
    <w:p w:rsidR="00A42B8D" w:rsidRPr="001C25C2" w:rsidRDefault="005846E2" w:rsidP="00032155">
      <w:pPr>
        <w:pStyle w:val="TableFooter"/>
        <w:keepNext/>
        <w:keepLines/>
      </w:pPr>
      <w:proofErr w:type="gramStart"/>
      <w:r w:rsidRPr="001C25C2">
        <w:t>b</w:t>
      </w:r>
      <w:proofErr w:type="gramEnd"/>
      <w:r w:rsidRPr="001C25C2">
        <w:t xml:space="preserve"> Based on incremental 34% and 11% incidence of neutropenia and anaemia from table 2.5.6, p45 in the submission, and $1,740 (DRG Q60B NHCDC) and $376 (DRG Q61C NHCDC) per hospitalisation for neutropenia and anaemia respectively</w:t>
      </w:r>
      <w:r w:rsidR="00315233">
        <w:t xml:space="preserve">. </w:t>
      </w:r>
    </w:p>
    <w:p w:rsidR="00A42B8D" w:rsidRPr="001C25C2" w:rsidRDefault="00A42B8D">
      <w:pPr>
        <w:pStyle w:val="TableFooter"/>
      </w:pPr>
    </w:p>
    <w:p w:rsidR="00027AF0" w:rsidRPr="001C25C2" w:rsidRDefault="005846E2"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 xml:space="preserve">Based on the sensitivity analyses, the results of the base-case analysis appeared to be sensitive to the survival benefits that would be gained from </w:t>
      </w:r>
      <w:proofErr w:type="spellStart"/>
      <w:r w:rsidRPr="001C25C2">
        <w:rPr>
          <w:rFonts w:cs="Calibri"/>
          <w:snapToGrid/>
          <w:szCs w:val="24"/>
          <w:lang w:eastAsia="en-AU"/>
        </w:rPr>
        <w:t>trifluridine</w:t>
      </w:r>
      <w:proofErr w:type="spellEnd"/>
      <w:r w:rsidRPr="001C25C2">
        <w:rPr>
          <w:rFonts w:cs="Calibri"/>
          <w:snapToGrid/>
          <w:szCs w:val="24"/>
          <w:lang w:eastAsia="en-AU"/>
        </w:rPr>
        <w:t>/</w:t>
      </w:r>
      <w:proofErr w:type="spellStart"/>
      <w:r w:rsidRPr="001C25C2">
        <w:rPr>
          <w:rFonts w:cs="Calibri"/>
          <w:snapToGrid/>
          <w:szCs w:val="24"/>
          <w:lang w:eastAsia="en-AU"/>
        </w:rPr>
        <w:t>tipiracil</w:t>
      </w:r>
      <w:proofErr w:type="spellEnd"/>
      <w:r w:rsidRPr="001C25C2">
        <w:rPr>
          <w:rFonts w:cs="Calibri"/>
          <w:snapToGrid/>
          <w:szCs w:val="24"/>
          <w:lang w:eastAsia="en-AU"/>
        </w:rPr>
        <w:t xml:space="preserve"> but otherwise remained generally robust. </w:t>
      </w:r>
      <w:r w:rsidR="00027AF0" w:rsidRPr="001C25C2">
        <w:rPr>
          <w:rFonts w:cs="Calibri"/>
          <w:snapToGrid/>
          <w:szCs w:val="24"/>
          <w:lang w:eastAsia="en-AU"/>
        </w:rPr>
        <w:t xml:space="preserve">The ESC noted that when applying lower 95% confidence limits of mean OS and PFS for </w:t>
      </w:r>
      <w:proofErr w:type="spellStart"/>
      <w:r w:rsidR="00027AF0" w:rsidRPr="001C25C2">
        <w:rPr>
          <w:rFonts w:cs="Calibri"/>
          <w:snapToGrid/>
          <w:szCs w:val="24"/>
          <w:lang w:eastAsia="en-AU"/>
        </w:rPr>
        <w:t>trifluridine</w:t>
      </w:r>
      <w:proofErr w:type="spellEnd"/>
      <w:r w:rsidR="00027AF0" w:rsidRPr="001C25C2">
        <w:rPr>
          <w:rFonts w:cs="Calibri"/>
          <w:snapToGrid/>
          <w:szCs w:val="24"/>
          <w:lang w:eastAsia="en-AU"/>
        </w:rPr>
        <w:t>/</w:t>
      </w:r>
      <w:proofErr w:type="spellStart"/>
      <w:r w:rsidR="00027AF0" w:rsidRPr="001C25C2">
        <w:rPr>
          <w:rFonts w:cs="Calibri"/>
          <w:snapToGrid/>
          <w:szCs w:val="24"/>
          <w:lang w:eastAsia="en-AU"/>
        </w:rPr>
        <w:t>tipiracil</w:t>
      </w:r>
      <w:proofErr w:type="spellEnd"/>
      <w:r w:rsidR="00027AF0" w:rsidRPr="001C25C2">
        <w:rPr>
          <w:rFonts w:cs="Calibri"/>
          <w:snapToGrid/>
          <w:szCs w:val="24"/>
          <w:lang w:eastAsia="en-AU"/>
        </w:rPr>
        <w:t xml:space="preserve"> from TAGS, the ICER increased from $</w:t>
      </w:r>
      <w:r w:rsidR="00597D74">
        <w:rPr>
          <w:rFonts w:cs="Calibri"/>
          <w:snapToGrid/>
          <w:szCs w:val="24"/>
          <w:lang w:eastAsia="en-AU"/>
        </w:rPr>
        <w:t>15,000 - $45,000</w:t>
      </w:r>
      <w:r w:rsidR="00027AF0" w:rsidRPr="001C25C2">
        <w:rPr>
          <w:rFonts w:cs="Calibri"/>
          <w:snapToGrid/>
          <w:szCs w:val="24"/>
          <w:lang w:eastAsia="en-AU"/>
        </w:rPr>
        <w:t xml:space="preserve"> per QALY gained in the base case to $</w:t>
      </w:r>
      <w:r w:rsidR="00597D74">
        <w:rPr>
          <w:rFonts w:cs="Calibri"/>
          <w:snapToGrid/>
          <w:szCs w:val="24"/>
          <w:lang w:eastAsia="en-AU"/>
        </w:rPr>
        <w:t>75,000 - $105,000</w:t>
      </w:r>
      <w:r w:rsidR="00027AF0" w:rsidRPr="001C25C2">
        <w:rPr>
          <w:rFonts w:cs="Calibri"/>
          <w:snapToGrid/>
          <w:szCs w:val="24"/>
          <w:lang w:eastAsia="en-AU"/>
        </w:rPr>
        <w:t xml:space="preserve"> per QALY gained. </w:t>
      </w:r>
      <w:r w:rsidR="00084B58" w:rsidRPr="001C25C2">
        <w:rPr>
          <w:rFonts w:cs="Calibri"/>
          <w:snapToGrid/>
          <w:szCs w:val="24"/>
          <w:lang w:eastAsia="en-AU"/>
        </w:rPr>
        <w:t xml:space="preserve">The pre-PBAC response argued it was inappropriate to only present outcomes for sensitivity analyses that focus on the worst possible scenario for </w:t>
      </w:r>
      <w:proofErr w:type="spellStart"/>
      <w:r w:rsidR="00084B58" w:rsidRPr="001C25C2">
        <w:rPr>
          <w:rFonts w:cs="Calibri"/>
          <w:snapToGrid/>
          <w:szCs w:val="24"/>
          <w:lang w:eastAsia="en-AU"/>
        </w:rPr>
        <w:t>trifluridine</w:t>
      </w:r>
      <w:proofErr w:type="spellEnd"/>
      <w:r w:rsidR="00084B58" w:rsidRPr="001C25C2">
        <w:rPr>
          <w:rFonts w:cs="Calibri"/>
          <w:snapToGrid/>
          <w:szCs w:val="24"/>
          <w:lang w:eastAsia="en-AU"/>
        </w:rPr>
        <w:t>/</w:t>
      </w:r>
      <w:proofErr w:type="spellStart"/>
      <w:r w:rsidR="00084B58" w:rsidRPr="001C25C2">
        <w:rPr>
          <w:rFonts w:cs="Calibri"/>
          <w:snapToGrid/>
          <w:szCs w:val="24"/>
          <w:lang w:eastAsia="en-AU"/>
        </w:rPr>
        <w:t>tipiracil</w:t>
      </w:r>
      <w:proofErr w:type="spellEnd"/>
      <w:r w:rsidR="00084B58" w:rsidRPr="001C25C2">
        <w:rPr>
          <w:rFonts w:cs="Calibri"/>
          <w:snapToGrid/>
          <w:szCs w:val="24"/>
          <w:lang w:eastAsia="en-AU"/>
        </w:rPr>
        <w:t xml:space="preserve">. </w:t>
      </w:r>
    </w:p>
    <w:p w:rsidR="00A42B8D" w:rsidRPr="001C25C2" w:rsidRDefault="003765BC"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The PSCR acknowledge</w:t>
      </w:r>
      <w:r w:rsidR="004B45B7" w:rsidRPr="001C25C2">
        <w:rPr>
          <w:rFonts w:cs="Calibri"/>
          <w:snapToGrid/>
          <w:szCs w:val="24"/>
          <w:lang w:eastAsia="en-AU"/>
        </w:rPr>
        <w:t>d</w:t>
      </w:r>
      <w:r w:rsidRPr="001C25C2">
        <w:rPr>
          <w:rFonts w:cs="Calibri"/>
          <w:snapToGrid/>
          <w:szCs w:val="24"/>
          <w:lang w:eastAsia="en-AU"/>
        </w:rPr>
        <w:t xml:space="preserve"> that the results of the economic analysis are sensitive to estimates of survival gains</w:t>
      </w:r>
      <w:r w:rsidR="0044762C" w:rsidRPr="001C25C2">
        <w:rPr>
          <w:rFonts w:cs="Calibri"/>
          <w:snapToGrid/>
          <w:szCs w:val="24"/>
          <w:lang w:eastAsia="en-AU"/>
        </w:rPr>
        <w:t xml:space="preserve"> h</w:t>
      </w:r>
      <w:r w:rsidRPr="001C25C2">
        <w:rPr>
          <w:rFonts w:cs="Calibri"/>
          <w:snapToGrid/>
          <w:szCs w:val="24"/>
          <w:lang w:eastAsia="en-AU"/>
        </w:rPr>
        <w:t xml:space="preserve">owever, survival gains in </w:t>
      </w:r>
      <w:proofErr w:type="spellStart"/>
      <w:r w:rsidRPr="001C25C2">
        <w:rPr>
          <w:rFonts w:cs="Calibri"/>
          <w:snapToGrid/>
          <w:szCs w:val="24"/>
          <w:lang w:eastAsia="en-AU"/>
        </w:rPr>
        <w:t>trifluridine</w:t>
      </w:r>
      <w:proofErr w:type="spellEnd"/>
      <w:r w:rsidRPr="001C25C2">
        <w:rPr>
          <w:rFonts w:cs="Calibri"/>
          <w:snapToGrid/>
          <w:szCs w:val="24"/>
          <w:lang w:eastAsia="en-AU"/>
        </w:rPr>
        <w:t>/</w:t>
      </w:r>
      <w:proofErr w:type="spellStart"/>
      <w:r w:rsidRPr="001C25C2">
        <w:rPr>
          <w:rFonts w:cs="Calibri"/>
          <w:snapToGrid/>
          <w:szCs w:val="24"/>
          <w:lang w:eastAsia="en-AU"/>
        </w:rPr>
        <w:t>tipiracil</w:t>
      </w:r>
      <w:proofErr w:type="spellEnd"/>
      <w:r w:rsidRPr="001C25C2">
        <w:rPr>
          <w:rFonts w:cs="Calibri"/>
          <w:snapToGrid/>
          <w:szCs w:val="24"/>
          <w:lang w:eastAsia="en-AU"/>
        </w:rPr>
        <w:t>-treated patients could be considered relatively certain given that the vast majority of patients were followed through to death in the TAGS trial.</w:t>
      </w:r>
      <w:r w:rsidR="00F205F5" w:rsidRPr="001C25C2">
        <w:rPr>
          <w:rFonts w:cs="Calibri"/>
          <w:snapToGrid/>
          <w:szCs w:val="24"/>
          <w:lang w:eastAsia="en-AU"/>
        </w:rPr>
        <w:t xml:space="preserve"> The ESC </w:t>
      </w:r>
      <w:r w:rsidR="0044762C" w:rsidRPr="001C25C2">
        <w:rPr>
          <w:rFonts w:cs="Calibri"/>
          <w:snapToGrid/>
          <w:szCs w:val="24"/>
          <w:lang w:eastAsia="en-AU"/>
        </w:rPr>
        <w:t xml:space="preserve">considered that it was uncertain whether the modest observed benefit associated with treatment with </w:t>
      </w:r>
      <w:proofErr w:type="spellStart"/>
      <w:r w:rsidR="0044762C" w:rsidRPr="001C25C2">
        <w:rPr>
          <w:rFonts w:cs="Calibri"/>
          <w:snapToGrid/>
          <w:szCs w:val="24"/>
          <w:lang w:eastAsia="en-AU"/>
        </w:rPr>
        <w:t>trifluridine</w:t>
      </w:r>
      <w:proofErr w:type="spellEnd"/>
      <w:r w:rsidR="0044762C" w:rsidRPr="001C25C2">
        <w:rPr>
          <w:rFonts w:cs="Calibri"/>
          <w:snapToGrid/>
          <w:szCs w:val="24"/>
          <w:lang w:eastAsia="en-AU"/>
        </w:rPr>
        <w:t>/</w:t>
      </w:r>
      <w:proofErr w:type="spellStart"/>
      <w:r w:rsidR="0044762C" w:rsidRPr="001C25C2">
        <w:rPr>
          <w:rFonts w:cs="Calibri"/>
          <w:snapToGrid/>
          <w:szCs w:val="24"/>
          <w:lang w:eastAsia="en-AU"/>
        </w:rPr>
        <w:t>tipiracil</w:t>
      </w:r>
      <w:proofErr w:type="spellEnd"/>
      <w:r w:rsidR="0044762C" w:rsidRPr="001C25C2">
        <w:rPr>
          <w:rFonts w:cs="Calibri"/>
          <w:snapToGrid/>
          <w:szCs w:val="24"/>
          <w:lang w:eastAsia="en-AU"/>
        </w:rPr>
        <w:t xml:space="preserve"> plus BSC, compared with placebo plus BSC would be realised in clinical practice and was clinically meaningful to patients in the context of the substantial increase in toxicity, which may not have been captured within the </w:t>
      </w:r>
      <w:r w:rsidR="0044762C" w:rsidRPr="001C25C2">
        <w:rPr>
          <w:rFonts w:cs="Calibri"/>
          <w:snapToGrid/>
          <w:szCs w:val="24"/>
          <w:lang w:eastAsia="en-AU"/>
        </w:rPr>
        <w:lastRenderedPageBreak/>
        <w:t>economic analysis by the utilities derived from the quality-of-life questionnaire, EORTC QLQ-C30.</w:t>
      </w:r>
    </w:p>
    <w:p w:rsidR="00A42B8D" w:rsidRPr="001C25C2" w:rsidRDefault="005846E2">
      <w:pPr>
        <w:pStyle w:val="Heading2"/>
      </w:pPr>
      <w:bookmarkStart w:id="21" w:name="_Toc18935152"/>
      <w:r w:rsidRPr="001C25C2">
        <w:t>Drug cost/patient: $</w:t>
      </w:r>
      <w:r w:rsidR="00992751">
        <w:rPr>
          <w:noProof/>
          <w:color w:val="000000"/>
          <w:highlight w:val="black"/>
        </w:rPr>
        <w:t>''''''''''</w:t>
      </w:r>
      <w:r w:rsidRPr="001C25C2">
        <w:t xml:space="preserve"> per course</w:t>
      </w:r>
      <w:bookmarkEnd w:id="21"/>
    </w:p>
    <w:p w:rsidR="00A42B8D" w:rsidRPr="001C25C2" w:rsidRDefault="005846E2"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 xml:space="preserve">Based on the effective </w:t>
      </w:r>
      <w:r w:rsidR="007314AA" w:rsidRPr="001C25C2">
        <w:rPr>
          <w:rFonts w:cs="Calibri"/>
          <w:snapToGrid/>
          <w:szCs w:val="24"/>
          <w:lang w:eastAsia="en-AU"/>
        </w:rPr>
        <w:t>DPMQ</w:t>
      </w:r>
      <w:r w:rsidRPr="001C25C2">
        <w:rPr>
          <w:rFonts w:cs="Calibri"/>
          <w:snapToGrid/>
          <w:szCs w:val="24"/>
          <w:lang w:eastAsia="en-AU"/>
        </w:rPr>
        <w:t xml:space="preserve">, the submission estimated the cost per course of treatment with </w:t>
      </w:r>
      <w:proofErr w:type="spellStart"/>
      <w:r w:rsidRPr="001C25C2">
        <w:rPr>
          <w:rFonts w:cs="Calibri"/>
          <w:snapToGrid/>
          <w:szCs w:val="24"/>
          <w:lang w:eastAsia="en-AU"/>
        </w:rPr>
        <w:t>trifluridine</w:t>
      </w:r>
      <w:proofErr w:type="spellEnd"/>
      <w:r w:rsidRPr="001C25C2">
        <w:rPr>
          <w:rFonts w:cs="Calibri"/>
          <w:snapToGrid/>
          <w:szCs w:val="24"/>
          <w:lang w:eastAsia="en-AU"/>
        </w:rPr>
        <w:t>/</w:t>
      </w:r>
      <w:proofErr w:type="spellStart"/>
      <w:r w:rsidRPr="001C25C2">
        <w:rPr>
          <w:rFonts w:cs="Calibri"/>
          <w:snapToGrid/>
          <w:szCs w:val="24"/>
          <w:lang w:eastAsia="en-AU"/>
        </w:rPr>
        <w:t>tipiracil</w:t>
      </w:r>
      <w:proofErr w:type="spellEnd"/>
      <w:r w:rsidRPr="001C25C2">
        <w:rPr>
          <w:rFonts w:cs="Calibri"/>
          <w:snapToGrid/>
          <w:szCs w:val="24"/>
          <w:lang w:eastAsia="en-AU"/>
        </w:rPr>
        <w:t xml:space="preserve"> to be $</w:t>
      </w:r>
      <w:r w:rsidR="00992751">
        <w:rPr>
          <w:rFonts w:cs="Calibri"/>
          <w:noProof/>
          <w:snapToGrid/>
          <w:color w:val="000000"/>
          <w:szCs w:val="24"/>
          <w:highlight w:val="black"/>
          <w:lang w:eastAsia="en-AU"/>
        </w:rPr>
        <w:t>''''''''''</w:t>
      </w:r>
      <w:r w:rsidRPr="001C25C2">
        <w:rPr>
          <w:rFonts w:cs="Calibri"/>
          <w:snapToGrid/>
          <w:szCs w:val="24"/>
          <w:lang w:eastAsia="en-AU"/>
        </w:rPr>
        <w:t xml:space="preserve">. As shown in the table below, the </w:t>
      </w:r>
      <w:r w:rsidR="00012B13" w:rsidRPr="001C25C2">
        <w:rPr>
          <w:rFonts w:cs="Calibri"/>
          <w:snapToGrid/>
          <w:szCs w:val="24"/>
          <w:lang w:eastAsia="en-AU"/>
        </w:rPr>
        <w:t xml:space="preserve">submission’s </w:t>
      </w:r>
      <w:r w:rsidRPr="001C25C2">
        <w:rPr>
          <w:rFonts w:cs="Calibri"/>
          <w:snapToGrid/>
          <w:szCs w:val="24"/>
          <w:lang w:eastAsia="en-AU"/>
        </w:rPr>
        <w:t xml:space="preserve">approach to </w:t>
      </w:r>
      <w:r w:rsidR="00914A0A" w:rsidRPr="001C25C2">
        <w:rPr>
          <w:rFonts w:cs="Calibri"/>
          <w:snapToGrid/>
          <w:szCs w:val="24"/>
          <w:lang w:eastAsia="en-AU"/>
        </w:rPr>
        <w:t>calculating</w:t>
      </w:r>
      <w:r w:rsidRPr="001C25C2">
        <w:rPr>
          <w:rFonts w:cs="Calibri"/>
          <w:snapToGrid/>
          <w:szCs w:val="24"/>
          <w:lang w:eastAsia="en-AU"/>
        </w:rPr>
        <w:t xml:space="preserve"> drug cost was different in </w:t>
      </w:r>
      <w:r w:rsidR="00012B13" w:rsidRPr="001C25C2">
        <w:rPr>
          <w:rFonts w:cs="Calibri"/>
          <w:snapToGrid/>
          <w:szCs w:val="24"/>
          <w:lang w:eastAsia="en-AU"/>
        </w:rPr>
        <w:t>the economic model compared with the financial estimates</w:t>
      </w:r>
      <w:r w:rsidRPr="001C25C2">
        <w:rPr>
          <w:rFonts w:cs="Calibri"/>
          <w:snapToGrid/>
          <w:szCs w:val="24"/>
          <w:lang w:eastAsia="en-AU"/>
        </w:rPr>
        <w:t xml:space="preserve">. In </w:t>
      </w:r>
      <w:r w:rsidR="00012B13" w:rsidRPr="001C25C2">
        <w:rPr>
          <w:rFonts w:cs="Calibri"/>
          <w:snapToGrid/>
          <w:szCs w:val="24"/>
          <w:lang w:eastAsia="en-AU"/>
        </w:rPr>
        <w:t>the economic model,</w:t>
      </w:r>
      <w:r w:rsidRPr="001C25C2">
        <w:rPr>
          <w:rFonts w:cs="Calibri"/>
          <w:snapToGrid/>
          <w:szCs w:val="24"/>
          <w:lang w:eastAsia="en-AU"/>
        </w:rPr>
        <w:t xml:space="preserve"> treatment duration was applied</w:t>
      </w:r>
      <w:r w:rsidR="00012B13" w:rsidRPr="001C25C2">
        <w:rPr>
          <w:rFonts w:cs="Calibri"/>
          <w:snapToGrid/>
          <w:szCs w:val="24"/>
          <w:lang w:eastAsia="en-AU"/>
        </w:rPr>
        <w:t xml:space="preserve"> while in the financial </w:t>
      </w:r>
      <w:r w:rsidR="00914A0A" w:rsidRPr="001C25C2">
        <w:rPr>
          <w:rFonts w:cs="Calibri"/>
          <w:snapToGrid/>
          <w:szCs w:val="24"/>
          <w:lang w:eastAsia="en-AU"/>
        </w:rPr>
        <w:t>estimates</w:t>
      </w:r>
      <w:r w:rsidR="00012B13" w:rsidRPr="001C25C2">
        <w:rPr>
          <w:rFonts w:cs="Calibri"/>
          <w:snapToGrid/>
          <w:szCs w:val="24"/>
          <w:lang w:eastAsia="en-AU"/>
        </w:rPr>
        <w:t>,</w:t>
      </w:r>
      <w:r w:rsidRPr="001C25C2">
        <w:rPr>
          <w:rFonts w:cs="Calibri"/>
          <w:snapToGrid/>
          <w:szCs w:val="24"/>
          <w:lang w:eastAsia="en-AU"/>
        </w:rPr>
        <w:t xml:space="preserve"> the mean treatment cycles (3.0) from</w:t>
      </w:r>
      <w:r w:rsidR="000F5982" w:rsidRPr="001C25C2">
        <w:rPr>
          <w:rFonts w:cs="Calibri"/>
          <w:snapToGrid/>
          <w:szCs w:val="24"/>
          <w:lang w:eastAsia="en-AU"/>
        </w:rPr>
        <w:t xml:space="preserve"> </w:t>
      </w:r>
      <w:r w:rsidR="004B45B7" w:rsidRPr="001C25C2">
        <w:rPr>
          <w:rFonts w:cs="Calibri"/>
          <w:snapToGrid/>
          <w:szCs w:val="24"/>
          <w:lang w:eastAsia="en-AU"/>
        </w:rPr>
        <w:t xml:space="preserve">the </w:t>
      </w:r>
      <w:r w:rsidRPr="001C25C2">
        <w:rPr>
          <w:rFonts w:cs="Calibri"/>
          <w:snapToGrid/>
          <w:szCs w:val="24"/>
          <w:lang w:eastAsia="en-AU"/>
        </w:rPr>
        <w:t>TAGS trial was applied and the drug cost per patient per course would be $</w:t>
      </w:r>
      <w:r w:rsidR="00992751">
        <w:rPr>
          <w:rFonts w:cs="Calibri"/>
          <w:noProof/>
          <w:snapToGrid/>
          <w:color w:val="000000"/>
          <w:szCs w:val="24"/>
          <w:highlight w:val="black"/>
          <w:lang w:eastAsia="en-AU"/>
        </w:rPr>
        <w:t>'''''''''</w:t>
      </w:r>
      <w:r w:rsidRPr="001C25C2">
        <w:rPr>
          <w:rFonts w:cs="Calibri"/>
          <w:snapToGrid/>
          <w:szCs w:val="24"/>
          <w:lang w:eastAsia="en-AU"/>
        </w:rPr>
        <w:t xml:space="preserve">. </w:t>
      </w:r>
      <w:r w:rsidR="00B20999" w:rsidRPr="001C25C2">
        <w:rPr>
          <w:rFonts w:cs="Calibri"/>
          <w:snapToGrid/>
          <w:szCs w:val="24"/>
          <w:lang w:eastAsia="en-AU"/>
        </w:rPr>
        <w:t>The ESC considered that these d</w:t>
      </w:r>
      <w:r w:rsidR="000F5982" w:rsidRPr="001C25C2">
        <w:rPr>
          <w:rFonts w:cs="Calibri"/>
          <w:snapToGrid/>
          <w:szCs w:val="24"/>
          <w:lang w:eastAsia="en-AU"/>
        </w:rPr>
        <w:t>ifferences were not meaningful.</w:t>
      </w:r>
    </w:p>
    <w:p w:rsidR="00A42B8D" w:rsidRPr="001C25C2" w:rsidRDefault="005846E2">
      <w:pPr>
        <w:keepNext/>
        <w:rPr>
          <w:rStyle w:val="CommentReference"/>
        </w:rPr>
      </w:pPr>
      <w:r w:rsidRPr="001C25C2">
        <w:rPr>
          <w:rStyle w:val="CommentReference"/>
        </w:rPr>
        <w:t xml:space="preserve">Table 12: Drug cost per patient for </w:t>
      </w:r>
      <w:proofErr w:type="spellStart"/>
      <w:r w:rsidRPr="001C25C2">
        <w:rPr>
          <w:rStyle w:val="CommentReference"/>
        </w:rPr>
        <w:t>trifluridine</w:t>
      </w:r>
      <w:proofErr w:type="spellEnd"/>
      <w:r w:rsidRPr="001C25C2">
        <w:rPr>
          <w:rStyle w:val="CommentReference"/>
        </w:rPr>
        <w:t>/</w:t>
      </w:r>
      <w:proofErr w:type="spellStart"/>
      <w:r w:rsidRPr="001C25C2">
        <w:rPr>
          <w:rStyle w:val="CommentReference"/>
        </w:rPr>
        <w:t>tipiracil</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14"/>
        <w:gridCol w:w="2501"/>
        <w:gridCol w:w="2501"/>
        <w:gridCol w:w="2501"/>
      </w:tblGrid>
      <w:tr w:rsidR="00A42B8D" w:rsidRPr="001C25C2" w:rsidTr="00032155">
        <w:tc>
          <w:tcPr>
            <w:tcW w:w="839" w:type="pct"/>
            <w:shd w:val="clear" w:color="auto" w:fill="auto"/>
            <w:vAlign w:val="center"/>
          </w:tcPr>
          <w:p w:rsidR="00A42B8D" w:rsidRPr="001C25C2" w:rsidRDefault="00A42B8D">
            <w:pPr>
              <w:keepNext/>
              <w:widowControl/>
              <w:jc w:val="left"/>
              <w:rPr>
                <w:rFonts w:ascii="Arial Narrow" w:hAnsi="Arial Narrow"/>
                <w:b/>
                <w:sz w:val="20"/>
              </w:rPr>
            </w:pPr>
          </w:p>
        </w:tc>
        <w:tc>
          <w:tcPr>
            <w:tcW w:w="4161" w:type="pct"/>
            <w:gridSpan w:val="3"/>
            <w:shd w:val="clear" w:color="auto" w:fill="auto"/>
            <w:vAlign w:val="center"/>
          </w:tcPr>
          <w:p w:rsidR="00A42B8D" w:rsidRPr="001C25C2" w:rsidRDefault="005846E2">
            <w:pPr>
              <w:keepNext/>
              <w:widowControl/>
              <w:jc w:val="center"/>
              <w:rPr>
                <w:rFonts w:ascii="Arial Narrow" w:hAnsi="Arial Narrow"/>
                <w:sz w:val="20"/>
              </w:rPr>
            </w:pPr>
            <w:proofErr w:type="spellStart"/>
            <w:r w:rsidRPr="001C25C2">
              <w:rPr>
                <w:rStyle w:val="CommentReference"/>
                <w:szCs w:val="18"/>
              </w:rPr>
              <w:t>Trifluridine</w:t>
            </w:r>
            <w:proofErr w:type="spellEnd"/>
            <w:r w:rsidRPr="001C25C2">
              <w:rPr>
                <w:rStyle w:val="CommentReference"/>
                <w:szCs w:val="18"/>
              </w:rPr>
              <w:t>/</w:t>
            </w:r>
            <w:proofErr w:type="spellStart"/>
            <w:r w:rsidRPr="001C25C2">
              <w:rPr>
                <w:rStyle w:val="CommentReference"/>
                <w:szCs w:val="18"/>
              </w:rPr>
              <w:t>tipiracil</w:t>
            </w:r>
            <w:proofErr w:type="spellEnd"/>
          </w:p>
        </w:tc>
      </w:tr>
      <w:tr w:rsidR="00A42B8D" w:rsidRPr="001C25C2" w:rsidTr="00032155">
        <w:tc>
          <w:tcPr>
            <w:tcW w:w="839" w:type="pct"/>
            <w:shd w:val="clear" w:color="auto" w:fill="auto"/>
            <w:vAlign w:val="center"/>
          </w:tcPr>
          <w:p w:rsidR="00A42B8D" w:rsidRPr="001C25C2" w:rsidRDefault="00A42B8D">
            <w:pPr>
              <w:keepNext/>
              <w:widowControl/>
              <w:jc w:val="left"/>
              <w:rPr>
                <w:rFonts w:ascii="Arial Narrow" w:hAnsi="Arial Narrow"/>
                <w:b/>
                <w:sz w:val="20"/>
              </w:rPr>
            </w:pPr>
          </w:p>
        </w:tc>
        <w:tc>
          <w:tcPr>
            <w:tcW w:w="1387" w:type="pct"/>
            <w:shd w:val="clear" w:color="auto" w:fill="auto"/>
            <w:vAlign w:val="center"/>
          </w:tcPr>
          <w:p w:rsidR="00A42B8D" w:rsidRPr="001C25C2" w:rsidRDefault="005846E2">
            <w:pPr>
              <w:keepNext/>
              <w:widowControl/>
              <w:jc w:val="center"/>
              <w:rPr>
                <w:rFonts w:ascii="Arial Narrow" w:hAnsi="Arial Narrow"/>
                <w:b/>
                <w:sz w:val="20"/>
              </w:rPr>
            </w:pPr>
            <w:r w:rsidRPr="001C25C2">
              <w:rPr>
                <w:rFonts w:ascii="Arial Narrow" w:hAnsi="Arial Narrow"/>
                <w:b/>
                <w:sz w:val="20"/>
              </w:rPr>
              <w:t>Trial dose and duration</w:t>
            </w:r>
          </w:p>
        </w:tc>
        <w:tc>
          <w:tcPr>
            <w:tcW w:w="1387" w:type="pct"/>
            <w:shd w:val="clear" w:color="auto" w:fill="auto"/>
            <w:vAlign w:val="center"/>
          </w:tcPr>
          <w:p w:rsidR="00A42B8D" w:rsidRPr="001C25C2" w:rsidRDefault="00012B13">
            <w:pPr>
              <w:keepNext/>
              <w:widowControl/>
              <w:jc w:val="center"/>
              <w:rPr>
                <w:rFonts w:ascii="Arial Narrow" w:hAnsi="Arial Narrow"/>
                <w:b/>
                <w:sz w:val="20"/>
              </w:rPr>
            </w:pPr>
            <w:r w:rsidRPr="001C25C2">
              <w:rPr>
                <w:rFonts w:ascii="Arial Narrow" w:hAnsi="Arial Narrow"/>
                <w:b/>
                <w:sz w:val="20"/>
              </w:rPr>
              <w:t>Economic m</w:t>
            </w:r>
            <w:r w:rsidR="005846E2" w:rsidRPr="001C25C2">
              <w:rPr>
                <w:rFonts w:ascii="Arial Narrow" w:hAnsi="Arial Narrow"/>
                <w:b/>
                <w:sz w:val="20"/>
              </w:rPr>
              <w:t>odel</w:t>
            </w:r>
          </w:p>
        </w:tc>
        <w:tc>
          <w:tcPr>
            <w:tcW w:w="1387" w:type="pct"/>
            <w:shd w:val="clear" w:color="auto" w:fill="auto"/>
            <w:vAlign w:val="center"/>
          </w:tcPr>
          <w:p w:rsidR="00A42B8D" w:rsidRPr="001C25C2" w:rsidRDefault="005846E2">
            <w:pPr>
              <w:keepNext/>
              <w:widowControl/>
              <w:jc w:val="center"/>
              <w:rPr>
                <w:rFonts w:ascii="Arial Narrow" w:hAnsi="Arial Narrow"/>
                <w:b/>
                <w:sz w:val="20"/>
              </w:rPr>
            </w:pPr>
            <w:r w:rsidRPr="001C25C2">
              <w:rPr>
                <w:rFonts w:ascii="Arial Narrow" w:hAnsi="Arial Narrow"/>
                <w:b/>
                <w:sz w:val="20"/>
              </w:rPr>
              <w:t>Financial estimates</w:t>
            </w:r>
          </w:p>
        </w:tc>
      </w:tr>
      <w:tr w:rsidR="00A42B8D" w:rsidRPr="001C25C2" w:rsidTr="00032155">
        <w:tc>
          <w:tcPr>
            <w:tcW w:w="839" w:type="pct"/>
            <w:shd w:val="clear" w:color="auto" w:fill="auto"/>
            <w:vAlign w:val="center"/>
          </w:tcPr>
          <w:p w:rsidR="00A42B8D" w:rsidRPr="001C25C2" w:rsidRDefault="005846E2">
            <w:pPr>
              <w:keepNext/>
              <w:widowControl/>
              <w:jc w:val="left"/>
              <w:rPr>
                <w:rFonts w:ascii="Arial Narrow" w:hAnsi="Arial Narrow"/>
                <w:sz w:val="20"/>
              </w:rPr>
            </w:pPr>
            <w:r w:rsidRPr="001C25C2">
              <w:rPr>
                <w:rFonts w:ascii="Arial Narrow" w:hAnsi="Arial Narrow"/>
                <w:sz w:val="20"/>
              </w:rPr>
              <w:t>Mean total treatment cycles</w:t>
            </w:r>
          </w:p>
        </w:tc>
        <w:tc>
          <w:tcPr>
            <w:tcW w:w="1387" w:type="pct"/>
            <w:shd w:val="clear" w:color="auto" w:fill="auto"/>
          </w:tcPr>
          <w:p w:rsidR="00A42B8D" w:rsidRPr="001C25C2" w:rsidRDefault="005846E2">
            <w:pPr>
              <w:keepNext/>
              <w:widowControl/>
              <w:jc w:val="center"/>
              <w:rPr>
                <w:rFonts w:ascii="Arial Narrow" w:hAnsi="Arial Narrow"/>
                <w:sz w:val="20"/>
                <w:vertAlign w:val="superscript"/>
              </w:rPr>
            </w:pPr>
            <w:r w:rsidRPr="001C25C2">
              <w:rPr>
                <w:rFonts w:ascii="Arial Narrow" w:hAnsi="Arial Narrow"/>
                <w:sz w:val="20"/>
              </w:rPr>
              <w:t>3.3</w:t>
            </w:r>
          </w:p>
        </w:tc>
        <w:tc>
          <w:tcPr>
            <w:tcW w:w="1387" w:type="pct"/>
            <w:shd w:val="clear" w:color="auto" w:fill="auto"/>
          </w:tcPr>
          <w:p w:rsidR="00A42B8D" w:rsidRPr="001C25C2" w:rsidRDefault="005846E2">
            <w:pPr>
              <w:keepNext/>
              <w:widowControl/>
              <w:jc w:val="center"/>
              <w:rPr>
                <w:rFonts w:ascii="Arial Narrow" w:hAnsi="Arial Narrow"/>
                <w:sz w:val="20"/>
              </w:rPr>
            </w:pPr>
            <w:r w:rsidRPr="001C25C2">
              <w:rPr>
                <w:rFonts w:ascii="Arial Narrow" w:hAnsi="Arial Narrow"/>
                <w:sz w:val="20"/>
              </w:rPr>
              <w:t>-</w:t>
            </w:r>
          </w:p>
        </w:tc>
        <w:tc>
          <w:tcPr>
            <w:tcW w:w="1387" w:type="pct"/>
            <w:shd w:val="clear" w:color="auto" w:fill="auto"/>
          </w:tcPr>
          <w:p w:rsidR="00A42B8D" w:rsidRPr="001C25C2" w:rsidRDefault="005846E2">
            <w:pPr>
              <w:keepNext/>
              <w:widowControl/>
              <w:jc w:val="center"/>
              <w:rPr>
                <w:rFonts w:ascii="Arial Narrow" w:hAnsi="Arial Narrow"/>
                <w:b/>
                <w:sz w:val="20"/>
              </w:rPr>
            </w:pPr>
            <w:r w:rsidRPr="001C25C2">
              <w:rPr>
                <w:rFonts w:ascii="Arial Narrow" w:hAnsi="Arial Narrow"/>
                <w:sz w:val="20"/>
              </w:rPr>
              <w:t>3.0</w:t>
            </w:r>
          </w:p>
        </w:tc>
      </w:tr>
      <w:tr w:rsidR="00A42B8D" w:rsidRPr="001C25C2" w:rsidTr="00032155">
        <w:tc>
          <w:tcPr>
            <w:tcW w:w="839" w:type="pct"/>
            <w:shd w:val="clear" w:color="auto" w:fill="auto"/>
            <w:vAlign w:val="center"/>
          </w:tcPr>
          <w:p w:rsidR="00A42B8D" w:rsidRPr="001C25C2" w:rsidRDefault="005846E2">
            <w:pPr>
              <w:keepNext/>
              <w:widowControl/>
              <w:jc w:val="left"/>
              <w:rPr>
                <w:rFonts w:ascii="Arial Narrow" w:hAnsi="Arial Narrow"/>
                <w:sz w:val="20"/>
              </w:rPr>
            </w:pPr>
            <w:r w:rsidRPr="001C25C2">
              <w:rPr>
                <w:rFonts w:ascii="Arial Narrow" w:hAnsi="Arial Narrow"/>
                <w:sz w:val="20"/>
              </w:rPr>
              <w:t>Mean time to discontinuation</w:t>
            </w:r>
          </w:p>
        </w:tc>
        <w:tc>
          <w:tcPr>
            <w:tcW w:w="1387" w:type="pct"/>
            <w:shd w:val="clear" w:color="auto" w:fill="auto"/>
          </w:tcPr>
          <w:p w:rsidR="00A42B8D" w:rsidRPr="001C25C2" w:rsidRDefault="005846E2">
            <w:pPr>
              <w:keepNext/>
              <w:widowControl/>
              <w:jc w:val="center"/>
              <w:rPr>
                <w:rFonts w:ascii="Arial Narrow" w:hAnsi="Arial Narrow"/>
                <w:sz w:val="20"/>
                <w:vertAlign w:val="superscript"/>
              </w:rPr>
            </w:pPr>
            <w:r w:rsidRPr="001C25C2">
              <w:rPr>
                <w:rFonts w:ascii="Arial Narrow" w:hAnsi="Arial Narrow"/>
                <w:sz w:val="20"/>
              </w:rPr>
              <w:t>2.98 months</w:t>
            </w:r>
          </w:p>
        </w:tc>
        <w:tc>
          <w:tcPr>
            <w:tcW w:w="1387" w:type="pct"/>
            <w:shd w:val="clear" w:color="auto" w:fill="auto"/>
          </w:tcPr>
          <w:p w:rsidR="00A42B8D" w:rsidRPr="001C25C2" w:rsidRDefault="005846E2">
            <w:pPr>
              <w:keepNext/>
              <w:widowControl/>
              <w:jc w:val="center"/>
              <w:rPr>
                <w:rFonts w:ascii="Arial Narrow" w:hAnsi="Arial Narrow"/>
                <w:sz w:val="20"/>
                <w:vertAlign w:val="superscript"/>
              </w:rPr>
            </w:pPr>
            <w:r w:rsidRPr="001C25C2">
              <w:rPr>
                <w:rFonts w:ascii="Arial Narrow" w:hAnsi="Arial Narrow"/>
                <w:sz w:val="20"/>
              </w:rPr>
              <w:t>2.98 months</w:t>
            </w:r>
          </w:p>
        </w:tc>
        <w:tc>
          <w:tcPr>
            <w:tcW w:w="1387" w:type="pct"/>
            <w:shd w:val="clear" w:color="auto" w:fill="auto"/>
          </w:tcPr>
          <w:p w:rsidR="00A42B8D" w:rsidRPr="001C25C2" w:rsidRDefault="005846E2">
            <w:pPr>
              <w:keepNext/>
              <w:widowControl/>
              <w:jc w:val="center"/>
              <w:rPr>
                <w:rFonts w:ascii="Arial Narrow" w:hAnsi="Arial Narrow"/>
                <w:sz w:val="20"/>
              </w:rPr>
            </w:pPr>
            <w:r w:rsidRPr="001C25C2">
              <w:rPr>
                <w:rFonts w:ascii="Arial Narrow" w:hAnsi="Arial Narrow"/>
                <w:sz w:val="20"/>
              </w:rPr>
              <w:t>-</w:t>
            </w:r>
          </w:p>
        </w:tc>
      </w:tr>
      <w:tr w:rsidR="00A42B8D" w:rsidRPr="001C25C2" w:rsidTr="00032155">
        <w:tc>
          <w:tcPr>
            <w:tcW w:w="839" w:type="pct"/>
            <w:shd w:val="clear" w:color="auto" w:fill="auto"/>
            <w:vAlign w:val="center"/>
          </w:tcPr>
          <w:p w:rsidR="00A42B8D" w:rsidRPr="001C25C2" w:rsidRDefault="005846E2">
            <w:pPr>
              <w:keepNext/>
              <w:widowControl/>
              <w:jc w:val="left"/>
              <w:rPr>
                <w:rFonts w:ascii="Arial Narrow" w:hAnsi="Arial Narrow"/>
                <w:sz w:val="20"/>
              </w:rPr>
            </w:pPr>
            <w:r w:rsidRPr="001C25C2">
              <w:rPr>
                <w:rFonts w:ascii="Arial Narrow" w:hAnsi="Arial Narrow"/>
                <w:sz w:val="20"/>
              </w:rPr>
              <w:t>Cost/patient/cycle</w:t>
            </w:r>
          </w:p>
        </w:tc>
        <w:tc>
          <w:tcPr>
            <w:tcW w:w="1387" w:type="pct"/>
            <w:shd w:val="clear" w:color="auto" w:fill="auto"/>
          </w:tcPr>
          <w:p w:rsidR="00A42B8D" w:rsidRPr="001C25C2" w:rsidRDefault="005846E2">
            <w:pPr>
              <w:keepNext/>
              <w:widowControl/>
              <w:jc w:val="center"/>
              <w:rPr>
                <w:rFonts w:ascii="Arial Narrow" w:hAnsi="Arial Narrow"/>
                <w:sz w:val="20"/>
              </w:rPr>
            </w:pPr>
            <w:r w:rsidRPr="001C25C2">
              <w:rPr>
                <w:rFonts w:ascii="Arial Narrow" w:hAnsi="Arial Narrow"/>
                <w:sz w:val="20"/>
              </w:rPr>
              <w:t>$</w:t>
            </w:r>
            <w:r w:rsidR="00992751">
              <w:rPr>
                <w:rFonts w:ascii="Arial Narrow" w:hAnsi="Arial Narrow"/>
                <w:noProof/>
                <w:color w:val="000000"/>
                <w:sz w:val="20"/>
                <w:highlight w:val="black"/>
              </w:rPr>
              <w:t>'''''''''''''''</w:t>
            </w:r>
          </w:p>
        </w:tc>
        <w:tc>
          <w:tcPr>
            <w:tcW w:w="1387" w:type="pct"/>
            <w:shd w:val="clear" w:color="auto" w:fill="auto"/>
          </w:tcPr>
          <w:p w:rsidR="00A42B8D" w:rsidRPr="001C25C2" w:rsidRDefault="005846E2">
            <w:pPr>
              <w:keepNext/>
              <w:widowControl/>
              <w:jc w:val="center"/>
              <w:rPr>
                <w:rFonts w:ascii="Arial Narrow" w:hAnsi="Arial Narrow"/>
                <w:sz w:val="20"/>
              </w:rPr>
            </w:pPr>
            <w:r w:rsidRPr="001C25C2">
              <w:rPr>
                <w:rFonts w:ascii="Arial Narrow" w:hAnsi="Arial Narrow"/>
                <w:sz w:val="20"/>
              </w:rPr>
              <w:t>$</w:t>
            </w:r>
            <w:r w:rsidR="00992751">
              <w:rPr>
                <w:rFonts w:ascii="Arial Narrow" w:hAnsi="Arial Narrow"/>
                <w:noProof/>
                <w:color w:val="000000"/>
                <w:sz w:val="20"/>
                <w:highlight w:val="black"/>
              </w:rPr>
              <w:t>'''''''''''''</w:t>
            </w:r>
          </w:p>
        </w:tc>
        <w:tc>
          <w:tcPr>
            <w:tcW w:w="1387" w:type="pct"/>
            <w:shd w:val="clear" w:color="auto" w:fill="auto"/>
          </w:tcPr>
          <w:p w:rsidR="00A42B8D" w:rsidRPr="001C25C2" w:rsidRDefault="005846E2">
            <w:pPr>
              <w:keepNext/>
              <w:widowControl/>
              <w:jc w:val="center"/>
              <w:rPr>
                <w:rFonts w:ascii="Arial Narrow" w:hAnsi="Arial Narrow"/>
                <w:sz w:val="20"/>
              </w:rPr>
            </w:pPr>
            <w:r w:rsidRPr="001C25C2">
              <w:rPr>
                <w:rFonts w:ascii="Arial Narrow" w:hAnsi="Arial Narrow"/>
                <w:sz w:val="20"/>
              </w:rPr>
              <w:t>$</w:t>
            </w:r>
            <w:r w:rsidR="00992751">
              <w:rPr>
                <w:rFonts w:ascii="Arial Narrow" w:hAnsi="Arial Narrow"/>
                <w:noProof/>
                <w:color w:val="000000"/>
                <w:sz w:val="20"/>
                <w:highlight w:val="black"/>
              </w:rPr>
              <w:t>''''''''''''</w:t>
            </w:r>
          </w:p>
        </w:tc>
      </w:tr>
      <w:tr w:rsidR="00A42B8D" w:rsidRPr="001C25C2" w:rsidTr="00032155">
        <w:tc>
          <w:tcPr>
            <w:tcW w:w="839" w:type="pct"/>
            <w:shd w:val="clear" w:color="auto" w:fill="auto"/>
            <w:vAlign w:val="center"/>
          </w:tcPr>
          <w:p w:rsidR="00A42B8D" w:rsidRPr="001C25C2" w:rsidRDefault="005846E2">
            <w:pPr>
              <w:keepNext/>
              <w:widowControl/>
              <w:jc w:val="left"/>
              <w:rPr>
                <w:rFonts w:ascii="Arial Narrow" w:hAnsi="Arial Narrow"/>
                <w:sz w:val="20"/>
                <w:vertAlign w:val="superscript"/>
              </w:rPr>
            </w:pPr>
            <w:r w:rsidRPr="001C25C2">
              <w:rPr>
                <w:rFonts w:ascii="Arial Narrow" w:hAnsi="Arial Narrow"/>
                <w:sz w:val="20"/>
              </w:rPr>
              <w:t>Cost/patient/course</w:t>
            </w:r>
          </w:p>
        </w:tc>
        <w:tc>
          <w:tcPr>
            <w:tcW w:w="1387" w:type="pct"/>
            <w:shd w:val="clear" w:color="auto" w:fill="auto"/>
          </w:tcPr>
          <w:p w:rsidR="00A42B8D" w:rsidRPr="001C25C2" w:rsidRDefault="005846E2">
            <w:pPr>
              <w:keepNext/>
              <w:widowControl/>
              <w:jc w:val="center"/>
              <w:rPr>
                <w:rFonts w:ascii="Arial Narrow" w:hAnsi="Arial Narrow"/>
                <w:sz w:val="20"/>
                <w:vertAlign w:val="superscript"/>
              </w:rPr>
            </w:pPr>
            <w:r w:rsidRPr="001C25C2">
              <w:rPr>
                <w:rFonts w:ascii="Arial Narrow" w:hAnsi="Arial Narrow"/>
                <w:sz w:val="20"/>
              </w:rPr>
              <w:t>$</w:t>
            </w:r>
            <w:r w:rsidR="00992751">
              <w:rPr>
                <w:rFonts w:ascii="Arial Narrow" w:hAnsi="Arial Narrow"/>
                <w:noProof/>
                <w:color w:val="000000"/>
                <w:sz w:val="20"/>
                <w:highlight w:val="black"/>
              </w:rPr>
              <w:t>''''''''''''''</w:t>
            </w:r>
            <w:r w:rsidRPr="001C25C2">
              <w:rPr>
                <w:rFonts w:ascii="Arial Narrow" w:hAnsi="Arial Narrow"/>
                <w:sz w:val="20"/>
                <w:vertAlign w:val="superscript"/>
              </w:rPr>
              <w:t>a</w:t>
            </w:r>
          </w:p>
        </w:tc>
        <w:tc>
          <w:tcPr>
            <w:tcW w:w="1387" w:type="pct"/>
            <w:shd w:val="clear" w:color="auto" w:fill="auto"/>
          </w:tcPr>
          <w:p w:rsidR="00A42B8D" w:rsidRPr="001C25C2" w:rsidRDefault="005846E2">
            <w:pPr>
              <w:keepNext/>
              <w:widowControl/>
              <w:jc w:val="center"/>
              <w:rPr>
                <w:rFonts w:ascii="Arial Narrow" w:hAnsi="Arial Narrow"/>
                <w:sz w:val="20"/>
                <w:vertAlign w:val="superscript"/>
              </w:rPr>
            </w:pPr>
            <w:r w:rsidRPr="001C25C2">
              <w:rPr>
                <w:rFonts w:ascii="Arial Narrow" w:hAnsi="Arial Narrow"/>
                <w:sz w:val="20"/>
              </w:rPr>
              <w:t>$</w:t>
            </w:r>
            <w:r w:rsidR="00992751">
              <w:rPr>
                <w:rFonts w:ascii="Arial Narrow" w:hAnsi="Arial Narrow"/>
                <w:noProof/>
                <w:color w:val="000000"/>
                <w:sz w:val="20"/>
                <w:highlight w:val="black"/>
              </w:rPr>
              <w:t>'''''''''''''''</w:t>
            </w:r>
            <w:r w:rsidRPr="001C25C2">
              <w:rPr>
                <w:rFonts w:ascii="Arial Narrow" w:hAnsi="Arial Narrow"/>
                <w:sz w:val="20"/>
                <w:vertAlign w:val="superscript"/>
              </w:rPr>
              <w:t>a</w:t>
            </w:r>
          </w:p>
        </w:tc>
        <w:tc>
          <w:tcPr>
            <w:tcW w:w="1387" w:type="pct"/>
            <w:shd w:val="clear" w:color="auto" w:fill="auto"/>
          </w:tcPr>
          <w:p w:rsidR="00A42B8D" w:rsidRPr="001C25C2" w:rsidRDefault="005846E2">
            <w:pPr>
              <w:keepNext/>
              <w:widowControl/>
              <w:jc w:val="center"/>
              <w:rPr>
                <w:rFonts w:ascii="Arial Narrow" w:hAnsi="Arial Narrow"/>
                <w:sz w:val="20"/>
                <w:vertAlign w:val="superscript"/>
              </w:rPr>
            </w:pPr>
            <w:r w:rsidRPr="001C25C2">
              <w:rPr>
                <w:rFonts w:ascii="Arial Narrow" w:hAnsi="Arial Narrow"/>
                <w:sz w:val="20"/>
              </w:rPr>
              <w:t>$</w:t>
            </w:r>
            <w:r w:rsidR="00992751">
              <w:rPr>
                <w:rFonts w:ascii="Arial Narrow" w:hAnsi="Arial Narrow"/>
                <w:noProof/>
                <w:color w:val="000000"/>
                <w:sz w:val="20"/>
                <w:highlight w:val="black"/>
              </w:rPr>
              <w:t>''''''''''''</w:t>
            </w:r>
            <w:r w:rsidRPr="001C25C2">
              <w:rPr>
                <w:rFonts w:ascii="Arial Narrow" w:hAnsi="Arial Narrow"/>
                <w:sz w:val="20"/>
                <w:vertAlign w:val="superscript"/>
              </w:rPr>
              <w:t>b</w:t>
            </w:r>
          </w:p>
        </w:tc>
      </w:tr>
    </w:tbl>
    <w:p w:rsidR="00A42B8D" w:rsidRPr="001C25C2" w:rsidRDefault="005846E2">
      <w:pPr>
        <w:rPr>
          <w:rStyle w:val="CommentReference"/>
          <w:b w:val="0"/>
          <w:sz w:val="18"/>
        </w:rPr>
      </w:pPr>
      <w:r w:rsidRPr="001C25C2">
        <w:rPr>
          <w:rStyle w:val="CommentReference"/>
          <w:b w:val="0"/>
          <w:sz w:val="18"/>
        </w:rPr>
        <w:t>Source: Compiled during evaluation</w:t>
      </w:r>
    </w:p>
    <w:p w:rsidR="00A42B8D" w:rsidRPr="001C25C2" w:rsidRDefault="005846E2">
      <w:pPr>
        <w:rPr>
          <w:rStyle w:val="CommentReference"/>
          <w:b w:val="0"/>
          <w:sz w:val="18"/>
        </w:rPr>
      </w:pPr>
      <w:proofErr w:type="gramStart"/>
      <w:r w:rsidRPr="001C25C2">
        <w:rPr>
          <w:rStyle w:val="CommentReference"/>
          <w:b w:val="0"/>
          <w:sz w:val="18"/>
          <w:vertAlign w:val="superscript"/>
        </w:rPr>
        <w:t>a</w:t>
      </w:r>
      <w:proofErr w:type="gramEnd"/>
      <w:r w:rsidRPr="001C25C2">
        <w:rPr>
          <w:rStyle w:val="CommentReference"/>
          <w:b w:val="0"/>
          <w:sz w:val="18"/>
        </w:rPr>
        <w:t xml:space="preserve"> cost of course of treatment per patient calculated based on mean time to treatment discontinuation</w:t>
      </w:r>
    </w:p>
    <w:p w:rsidR="00A42B8D" w:rsidRPr="001C25C2" w:rsidRDefault="005846E2">
      <w:pPr>
        <w:rPr>
          <w:rStyle w:val="CommentReference"/>
          <w:b w:val="0"/>
          <w:sz w:val="18"/>
        </w:rPr>
      </w:pPr>
      <w:proofErr w:type="gramStart"/>
      <w:r w:rsidRPr="001C25C2">
        <w:rPr>
          <w:rStyle w:val="CommentReference"/>
          <w:b w:val="0"/>
          <w:sz w:val="18"/>
          <w:vertAlign w:val="superscript"/>
        </w:rPr>
        <w:t>b</w:t>
      </w:r>
      <w:proofErr w:type="gramEnd"/>
      <w:r w:rsidRPr="001C25C2">
        <w:rPr>
          <w:rStyle w:val="CommentReference"/>
          <w:b w:val="0"/>
          <w:sz w:val="18"/>
        </w:rPr>
        <w:t xml:space="preserve"> cost of course of treatment per patient calculated based on mean treatment cycles.</w:t>
      </w:r>
    </w:p>
    <w:p w:rsidR="00A42B8D" w:rsidRPr="001C25C2" w:rsidRDefault="00A42B8D">
      <w:pPr>
        <w:pStyle w:val="PBACHeading1"/>
        <w:ind w:left="720" w:hanging="720"/>
      </w:pPr>
    </w:p>
    <w:p w:rsidR="00A42B8D" w:rsidRPr="001C25C2" w:rsidRDefault="005846E2" w:rsidP="00D731F5">
      <w:pPr>
        <w:pStyle w:val="Heading2"/>
      </w:pPr>
      <w:bookmarkStart w:id="22" w:name="_Toc18935153"/>
      <w:r w:rsidRPr="001C25C2">
        <w:t>Estimated PBS usage &amp; financial implications</w:t>
      </w:r>
      <w:bookmarkEnd w:id="22"/>
    </w:p>
    <w:p w:rsidR="00A42B8D" w:rsidRPr="001C25C2" w:rsidRDefault="005846E2"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 xml:space="preserve">This submission </w:t>
      </w:r>
      <w:r w:rsidR="00541131" w:rsidRPr="001C25C2">
        <w:rPr>
          <w:rFonts w:cs="Calibri"/>
          <w:snapToGrid/>
          <w:szCs w:val="24"/>
          <w:lang w:eastAsia="en-AU"/>
        </w:rPr>
        <w:t xml:space="preserve">was </w:t>
      </w:r>
      <w:r w:rsidRPr="001C25C2">
        <w:rPr>
          <w:rFonts w:cs="Calibri"/>
          <w:snapToGrid/>
          <w:szCs w:val="24"/>
          <w:lang w:eastAsia="en-AU"/>
        </w:rPr>
        <w:t xml:space="preserve">not considered by DUSC. The submission used an epidemiological approach to estimate the use and financial impact of listing </w:t>
      </w:r>
      <w:proofErr w:type="spellStart"/>
      <w:r w:rsidRPr="001C25C2">
        <w:rPr>
          <w:rFonts w:cs="Calibri"/>
          <w:snapToGrid/>
          <w:szCs w:val="24"/>
          <w:lang w:eastAsia="en-AU"/>
        </w:rPr>
        <w:t>trifluridine</w:t>
      </w:r>
      <w:proofErr w:type="spellEnd"/>
      <w:r w:rsidRPr="001C25C2">
        <w:rPr>
          <w:rFonts w:cs="Calibri"/>
          <w:snapToGrid/>
          <w:szCs w:val="24"/>
          <w:lang w:eastAsia="en-AU"/>
        </w:rPr>
        <w:t>/</w:t>
      </w:r>
      <w:proofErr w:type="spellStart"/>
      <w:r w:rsidRPr="001C25C2">
        <w:rPr>
          <w:rFonts w:cs="Calibri"/>
          <w:snapToGrid/>
          <w:szCs w:val="24"/>
          <w:lang w:eastAsia="en-AU"/>
        </w:rPr>
        <w:t>tipiracil</w:t>
      </w:r>
      <w:proofErr w:type="spellEnd"/>
      <w:r w:rsidRPr="001C25C2">
        <w:rPr>
          <w:rFonts w:cs="Calibri"/>
          <w:snapToGrid/>
          <w:szCs w:val="24"/>
          <w:lang w:eastAsia="en-AU"/>
        </w:rPr>
        <w:t xml:space="preserve"> on the PBS. </w:t>
      </w:r>
    </w:p>
    <w:p w:rsidR="00A42B8D" w:rsidRPr="001C25C2" w:rsidRDefault="005846E2"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 xml:space="preserve">The submission estimated eligible patients using the Australian Bureau of Statistics projections, Australian Institute of Health and Welfare Stomach cancer 2018, sponsor-commissioned studies based on New South Wales Registry data from 2010-2015 and a survey of oncologists. </w:t>
      </w:r>
      <w:r w:rsidR="00B576D0" w:rsidRPr="001C25C2">
        <w:rPr>
          <w:rFonts w:cs="Calibri"/>
          <w:snapToGrid/>
          <w:szCs w:val="24"/>
          <w:lang w:eastAsia="en-AU"/>
        </w:rPr>
        <w:t>The ESC agreed with the evaluation that t</w:t>
      </w:r>
      <w:r w:rsidRPr="001C25C2">
        <w:rPr>
          <w:rFonts w:cs="Calibri"/>
          <w:snapToGrid/>
          <w:szCs w:val="24"/>
          <w:lang w:eastAsia="en-AU"/>
        </w:rPr>
        <w:t xml:space="preserve">he validity of the estimates derived from the sponsor-commissioned studies was </w:t>
      </w:r>
      <w:r w:rsidR="00B576D0" w:rsidRPr="001C25C2">
        <w:rPr>
          <w:rFonts w:cs="Calibri"/>
          <w:snapToGrid/>
          <w:szCs w:val="24"/>
          <w:lang w:eastAsia="en-AU"/>
        </w:rPr>
        <w:t xml:space="preserve">poor </w:t>
      </w:r>
      <w:r w:rsidRPr="001C25C2">
        <w:rPr>
          <w:rFonts w:cs="Calibri"/>
          <w:snapToGrid/>
          <w:szCs w:val="24"/>
          <w:lang w:eastAsia="en-AU"/>
        </w:rPr>
        <w:t xml:space="preserve">given the </w:t>
      </w:r>
      <w:r w:rsidRPr="001C25C2">
        <w:rPr>
          <w:rFonts w:cs="Calibri"/>
          <w:snapToGrid/>
          <w:szCs w:val="24"/>
          <w:lang w:eastAsia="en-AU"/>
        </w:rPr>
        <w:lastRenderedPageBreak/>
        <w:t xml:space="preserve">uncertain representativeness of the study populations (both the patients in the New South Wales Registry and clinicians in the survey) to the target populations. </w:t>
      </w:r>
    </w:p>
    <w:p w:rsidR="00A42B8D" w:rsidRPr="001C25C2" w:rsidRDefault="005846E2"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 xml:space="preserve">Table 13 provides the </w:t>
      </w:r>
      <w:r w:rsidR="007520B1" w:rsidRPr="001C25C2">
        <w:rPr>
          <w:rFonts w:cs="Calibri"/>
          <w:snapToGrid/>
          <w:szCs w:val="24"/>
          <w:lang w:eastAsia="en-AU"/>
        </w:rPr>
        <w:t xml:space="preserve">submission’s </w:t>
      </w:r>
      <w:r w:rsidRPr="001C25C2">
        <w:rPr>
          <w:rFonts w:cs="Calibri"/>
          <w:snapToGrid/>
          <w:szCs w:val="24"/>
          <w:lang w:eastAsia="en-AU"/>
        </w:rPr>
        <w:t>estimate</w:t>
      </w:r>
      <w:r w:rsidR="007520B1" w:rsidRPr="001C25C2">
        <w:rPr>
          <w:rFonts w:cs="Calibri"/>
          <w:snapToGrid/>
          <w:szCs w:val="24"/>
          <w:lang w:eastAsia="en-AU"/>
        </w:rPr>
        <w:t>s of</w:t>
      </w:r>
      <w:r w:rsidRPr="001C25C2">
        <w:rPr>
          <w:rFonts w:cs="Calibri"/>
          <w:snapToGrid/>
          <w:szCs w:val="24"/>
          <w:lang w:eastAsia="en-AU"/>
        </w:rPr>
        <w:t xml:space="preserve"> use and financial implications of PBS listing </w:t>
      </w:r>
      <w:proofErr w:type="spellStart"/>
      <w:r w:rsidRPr="001C25C2">
        <w:rPr>
          <w:rFonts w:cs="Calibri"/>
          <w:snapToGrid/>
          <w:szCs w:val="24"/>
          <w:lang w:eastAsia="en-AU"/>
        </w:rPr>
        <w:t>trifluridine</w:t>
      </w:r>
      <w:proofErr w:type="spellEnd"/>
      <w:r w:rsidRPr="001C25C2">
        <w:rPr>
          <w:rFonts w:cs="Calibri"/>
          <w:snapToGrid/>
          <w:szCs w:val="24"/>
          <w:lang w:eastAsia="en-AU"/>
        </w:rPr>
        <w:t>/</w:t>
      </w:r>
      <w:proofErr w:type="spellStart"/>
      <w:r w:rsidRPr="001C25C2">
        <w:rPr>
          <w:rFonts w:cs="Calibri"/>
          <w:snapToGrid/>
          <w:szCs w:val="24"/>
          <w:lang w:eastAsia="en-AU"/>
        </w:rPr>
        <w:t>tipiracil</w:t>
      </w:r>
      <w:proofErr w:type="spellEnd"/>
      <w:r w:rsidRPr="001C25C2">
        <w:rPr>
          <w:rFonts w:cs="Calibri"/>
          <w:snapToGrid/>
          <w:szCs w:val="24"/>
          <w:lang w:eastAsia="en-AU"/>
        </w:rPr>
        <w:t>.</w:t>
      </w:r>
    </w:p>
    <w:p w:rsidR="00A42B8D" w:rsidRPr="001C25C2" w:rsidRDefault="005846E2">
      <w:pPr>
        <w:keepNext/>
        <w:keepLines/>
      </w:pPr>
      <w:r w:rsidRPr="001C25C2">
        <w:rPr>
          <w:rStyle w:val="CommentReference"/>
        </w:rPr>
        <w:t>Table 13: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7"/>
        <w:gridCol w:w="1167"/>
        <w:gridCol w:w="1167"/>
        <w:gridCol w:w="1167"/>
        <w:gridCol w:w="1167"/>
        <w:gridCol w:w="1167"/>
        <w:gridCol w:w="1165"/>
      </w:tblGrid>
      <w:tr w:rsidR="00A42B8D" w:rsidRPr="001C25C2" w:rsidTr="002E4146">
        <w:trPr>
          <w:tblHeader/>
        </w:trPr>
        <w:tc>
          <w:tcPr>
            <w:tcW w:w="1119" w:type="pct"/>
            <w:shd w:val="clear" w:color="auto" w:fill="auto"/>
            <w:vAlign w:val="center"/>
          </w:tcPr>
          <w:p w:rsidR="00A42B8D" w:rsidRPr="001C25C2" w:rsidRDefault="00A42B8D">
            <w:pPr>
              <w:pStyle w:val="Tabletext"/>
              <w:keepNext/>
              <w:keepLines/>
            </w:pPr>
          </w:p>
        </w:tc>
        <w:tc>
          <w:tcPr>
            <w:tcW w:w="647" w:type="pct"/>
            <w:shd w:val="clear" w:color="auto" w:fill="auto"/>
            <w:vAlign w:val="center"/>
          </w:tcPr>
          <w:p w:rsidR="00A42B8D" w:rsidRPr="001C25C2" w:rsidRDefault="005846E2">
            <w:pPr>
              <w:pStyle w:val="Tabletext"/>
              <w:keepNext/>
              <w:keepLines/>
              <w:jc w:val="center"/>
              <w:rPr>
                <w:b/>
              </w:rPr>
            </w:pPr>
            <w:r w:rsidRPr="001C25C2">
              <w:rPr>
                <w:b/>
              </w:rPr>
              <w:t>Year 1</w:t>
            </w:r>
          </w:p>
        </w:tc>
        <w:tc>
          <w:tcPr>
            <w:tcW w:w="647" w:type="pct"/>
            <w:shd w:val="clear" w:color="auto" w:fill="auto"/>
            <w:vAlign w:val="center"/>
          </w:tcPr>
          <w:p w:rsidR="00A42B8D" w:rsidRPr="001C25C2" w:rsidRDefault="005846E2">
            <w:pPr>
              <w:pStyle w:val="Tabletext"/>
              <w:keepNext/>
              <w:keepLines/>
              <w:jc w:val="center"/>
              <w:rPr>
                <w:b/>
              </w:rPr>
            </w:pPr>
            <w:r w:rsidRPr="001C25C2">
              <w:rPr>
                <w:b/>
              </w:rPr>
              <w:t>Year 2</w:t>
            </w:r>
          </w:p>
        </w:tc>
        <w:tc>
          <w:tcPr>
            <w:tcW w:w="647" w:type="pct"/>
            <w:shd w:val="clear" w:color="auto" w:fill="auto"/>
            <w:vAlign w:val="center"/>
          </w:tcPr>
          <w:p w:rsidR="00A42B8D" w:rsidRPr="001C25C2" w:rsidRDefault="005846E2">
            <w:pPr>
              <w:pStyle w:val="Tabletext"/>
              <w:keepNext/>
              <w:keepLines/>
              <w:jc w:val="center"/>
              <w:rPr>
                <w:b/>
              </w:rPr>
            </w:pPr>
            <w:r w:rsidRPr="001C25C2">
              <w:rPr>
                <w:b/>
              </w:rPr>
              <w:t>Year 3</w:t>
            </w:r>
          </w:p>
        </w:tc>
        <w:tc>
          <w:tcPr>
            <w:tcW w:w="647" w:type="pct"/>
            <w:shd w:val="clear" w:color="auto" w:fill="auto"/>
            <w:vAlign w:val="center"/>
          </w:tcPr>
          <w:p w:rsidR="00A42B8D" w:rsidRPr="001C25C2" w:rsidRDefault="005846E2">
            <w:pPr>
              <w:pStyle w:val="Tabletext"/>
              <w:keepNext/>
              <w:keepLines/>
              <w:jc w:val="center"/>
              <w:rPr>
                <w:b/>
              </w:rPr>
            </w:pPr>
            <w:r w:rsidRPr="001C25C2">
              <w:rPr>
                <w:b/>
              </w:rPr>
              <w:t>Year 4</w:t>
            </w:r>
          </w:p>
        </w:tc>
        <w:tc>
          <w:tcPr>
            <w:tcW w:w="647" w:type="pct"/>
            <w:shd w:val="clear" w:color="auto" w:fill="auto"/>
            <w:vAlign w:val="center"/>
          </w:tcPr>
          <w:p w:rsidR="00A42B8D" w:rsidRPr="001C25C2" w:rsidRDefault="005846E2">
            <w:pPr>
              <w:pStyle w:val="Tabletext"/>
              <w:keepNext/>
              <w:keepLines/>
              <w:jc w:val="center"/>
              <w:rPr>
                <w:b/>
              </w:rPr>
            </w:pPr>
            <w:r w:rsidRPr="001C25C2">
              <w:rPr>
                <w:b/>
              </w:rPr>
              <w:t>Year 5</w:t>
            </w:r>
          </w:p>
        </w:tc>
        <w:tc>
          <w:tcPr>
            <w:tcW w:w="646" w:type="pct"/>
          </w:tcPr>
          <w:p w:rsidR="00A42B8D" w:rsidRPr="001C25C2" w:rsidRDefault="005846E2">
            <w:pPr>
              <w:pStyle w:val="Tabletext"/>
              <w:keepNext/>
              <w:keepLines/>
              <w:jc w:val="center"/>
              <w:rPr>
                <w:b/>
              </w:rPr>
            </w:pPr>
            <w:r w:rsidRPr="001C25C2">
              <w:rPr>
                <w:b/>
              </w:rPr>
              <w:t>Year 6</w:t>
            </w:r>
          </w:p>
        </w:tc>
      </w:tr>
      <w:tr w:rsidR="00A42B8D" w:rsidRPr="001C25C2" w:rsidTr="002E4146">
        <w:tc>
          <w:tcPr>
            <w:tcW w:w="5000" w:type="pct"/>
            <w:gridSpan w:val="7"/>
            <w:shd w:val="clear" w:color="auto" w:fill="auto"/>
            <w:vAlign w:val="center"/>
          </w:tcPr>
          <w:p w:rsidR="00A42B8D" w:rsidRPr="001C25C2" w:rsidRDefault="005846E2">
            <w:pPr>
              <w:pStyle w:val="Tabletext"/>
              <w:keepNext/>
              <w:keepLines/>
              <w:rPr>
                <w:b/>
                <w:bCs/>
                <w:color w:val="000000"/>
              </w:rPr>
            </w:pPr>
            <w:r w:rsidRPr="001C25C2">
              <w:rPr>
                <w:b/>
                <w:bCs/>
                <w:color w:val="000000"/>
              </w:rPr>
              <w:t>Estimated extent of use</w:t>
            </w:r>
          </w:p>
        </w:tc>
      </w:tr>
      <w:tr w:rsidR="00A42B8D" w:rsidRPr="001C25C2" w:rsidTr="002E4146">
        <w:tc>
          <w:tcPr>
            <w:tcW w:w="1119" w:type="pct"/>
            <w:shd w:val="clear" w:color="auto" w:fill="auto"/>
            <w:vAlign w:val="center"/>
          </w:tcPr>
          <w:p w:rsidR="00A42B8D" w:rsidRPr="001C25C2" w:rsidRDefault="005846E2">
            <w:pPr>
              <w:pStyle w:val="Tabletext"/>
              <w:keepNext/>
              <w:keepLines/>
              <w:rPr>
                <w:rFonts w:ascii="Times" w:hAnsi="Times"/>
              </w:rPr>
            </w:pPr>
            <w:r w:rsidRPr="001C25C2">
              <w:t>Number of patients treated</w:t>
            </w:r>
          </w:p>
        </w:tc>
        <w:tc>
          <w:tcPr>
            <w:tcW w:w="647" w:type="pct"/>
            <w:shd w:val="clear" w:color="auto" w:fill="auto"/>
            <w:vAlign w:val="center"/>
          </w:tcPr>
          <w:p w:rsidR="00A42B8D" w:rsidRPr="00992751" w:rsidRDefault="00992751">
            <w:pPr>
              <w:pStyle w:val="Tabletext"/>
              <w:keepNext/>
              <w:keepLines/>
              <w:jc w:val="center"/>
              <w:rPr>
                <w:bCs/>
                <w:color w:val="000000"/>
                <w:highlight w:val="black"/>
              </w:rPr>
            </w:pPr>
            <w:r>
              <w:rPr>
                <w:noProof/>
                <w:color w:val="000000"/>
                <w:szCs w:val="20"/>
                <w:highlight w:val="black"/>
              </w:rPr>
              <w:t>''''''''''</w:t>
            </w:r>
          </w:p>
        </w:tc>
        <w:tc>
          <w:tcPr>
            <w:tcW w:w="647" w:type="pct"/>
            <w:shd w:val="clear" w:color="auto" w:fill="auto"/>
            <w:vAlign w:val="center"/>
          </w:tcPr>
          <w:p w:rsidR="00A42B8D" w:rsidRPr="00992751" w:rsidRDefault="00992751">
            <w:pPr>
              <w:pStyle w:val="Tabletext"/>
              <w:keepNext/>
              <w:keepLines/>
              <w:jc w:val="center"/>
              <w:rPr>
                <w:bCs/>
                <w:color w:val="000000"/>
                <w:highlight w:val="black"/>
              </w:rPr>
            </w:pPr>
            <w:r>
              <w:rPr>
                <w:noProof/>
                <w:color w:val="000000"/>
                <w:szCs w:val="20"/>
                <w:highlight w:val="black"/>
              </w:rPr>
              <w:t>'''''''''</w:t>
            </w:r>
          </w:p>
        </w:tc>
        <w:tc>
          <w:tcPr>
            <w:tcW w:w="647" w:type="pct"/>
            <w:shd w:val="clear" w:color="auto" w:fill="auto"/>
            <w:vAlign w:val="center"/>
          </w:tcPr>
          <w:p w:rsidR="00A42B8D" w:rsidRPr="00992751" w:rsidRDefault="00992751">
            <w:pPr>
              <w:pStyle w:val="Tabletext"/>
              <w:keepNext/>
              <w:keepLines/>
              <w:jc w:val="center"/>
              <w:rPr>
                <w:bCs/>
                <w:color w:val="000000"/>
                <w:highlight w:val="black"/>
              </w:rPr>
            </w:pPr>
            <w:r>
              <w:rPr>
                <w:noProof/>
                <w:color w:val="000000"/>
                <w:szCs w:val="20"/>
                <w:highlight w:val="black"/>
              </w:rPr>
              <w:t>'''''''''</w:t>
            </w:r>
          </w:p>
        </w:tc>
        <w:tc>
          <w:tcPr>
            <w:tcW w:w="647" w:type="pct"/>
            <w:shd w:val="clear" w:color="auto" w:fill="auto"/>
            <w:vAlign w:val="center"/>
          </w:tcPr>
          <w:p w:rsidR="00A42B8D" w:rsidRPr="00992751" w:rsidRDefault="00992751">
            <w:pPr>
              <w:pStyle w:val="Tabletext"/>
              <w:keepNext/>
              <w:keepLines/>
              <w:jc w:val="center"/>
              <w:rPr>
                <w:bCs/>
                <w:color w:val="000000"/>
                <w:highlight w:val="black"/>
              </w:rPr>
            </w:pPr>
            <w:r>
              <w:rPr>
                <w:noProof/>
                <w:color w:val="000000"/>
                <w:szCs w:val="20"/>
                <w:highlight w:val="black"/>
              </w:rPr>
              <w:t>'''''''''</w:t>
            </w:r>
          </w:p>
        </w:tc>
        <w:tc>
          <w:tcPr>
            <w:tcW w:w="647" w:type="pct"/>
            <w:shd w:val="clear" w:color="auto" w:fill="auto"/>
            <w:vAlign w:val="center"/>
          </w:tcPr>
          <w:p w:rsidR="00A42B8D" w:rsidRPr="00992751" w:rsidRDefault="00992751">
            <w:pPr>
              <w:pStyle w:val="Tabletext"/>
              <w:keepNext/>
              <w:keepLines/>
              <w:jc w:val="center"/>
              <w:rPr>
                <w:bCs/>
                <w:color w:val="000000"/>
                <w:highlight w:val="black"/>
              </w:rPr>
            </w:pPr>
            <w:r>
              <w:rPr>
                <w:noProof/>
                <w:color w:val="000000"/>
                <w:szCs w:val="20"/>
                <w:highlight w:val="black"/>
              </w:rPr>
              <w:t>''''''''''</w:t>
            </w:r>
          </w:p>
        </w:tc>
        <w:tc>
          <w:tcPr>
            <w:tcW w:w="646" w:type="pct"/>
            <w:vAlign w:val="center"/>
          </w:tcPr>
          <w:p w:rsidR="00A42B8D" w:rsidRPr="00992751" w:rsidRDefault="00992751">
            <w:pPr>
              <w:pStyle w:val="Tabletext"/>
              <w:keepNext/>
              <w:keepLines/>
              <w:jc w:val="center"/>
              <w:rPr>
                <w:bCs/>
                <w:color w:val="000000"/>
                <w:highlight w:val="black"/>
              </w:rPr>
            </w:pPr>
            <w:r>
              <w:rPr>
                <w:noProof/>
                <w:color w:val="000000"/>
                <w:szCs w:val="20"/>
                <w:highlight w:val="black"/>
              </w:rPr>
              <w:t>'''''''''</w:t>
            </w:r>
          </w:p>
        </w:tc>
      </w:tr>
      <w:tr w:rsidR="00A42B8D" w:rsidRPr="001C25C2" w:rsidTr="002E4146">
        <w:tc>
          <w:tcPr>
            <w:tcW w:w="1119" w:type="pct"/>
            <w:shd w:val="clear" w:color="auto" w:fill="auto"/>
            <w:vAlign w:val="center"/>
          </w:tcPr>
          <w:p w:rsidR="00A42B8D" w:rsidRPr="001C25C2" w:rsidRDefault="005846E2">
            <w:pPr>
              <w:pStyle w:val="Tabletext"/>
              <w:keepNext/>
              <w:keepLines/>
              <w:rPr>
                <w:rFonts w:ascii="Times" w:hAnsi="Times"/>
              </w:rPr>
            </w:pPr>
            <w:r w:rsidRPr="001C25C2">
              <w:t>Number of scripts dispensed</w:t>
            </w:r>
          </w:p>
        </w:tc>
        <w:tc>
          <w:tcPr>
            <w:tcW w:w="647" w:type="pct"/>
            <w:shd w:val="clear" w:color="auto" w:fill="auto"/>
            <w:vAlign w:val="center"/>
          </w:tcPr>
          <w:p w:rsidR="00A42B8D" w:rsidRPr="00992751" w:rsidRDefault="00992751">
            <w:pPr>
              <w:pStyle w:val="Tabletext"/>
              <w:keepNext/>
              <w:keepLines/>
              <w:jc w:val="center"/>
              <w:rPr>
                <w:bCs/>
                <w:color w:val="000000"/>
                <w:highlight w:val="black"/>
              </w:rPr>
            </w:pPr>
            <w:r>
              <w:rPr>
                <w:noProof/>
                <w:color w:val="000000"/>
                <w:szCs w:val="20"/>
                <w:highlight w:val="black"/>
              </w:rPr>
              <w:t>''''''''''</w:t>
            </w:r>
          </w:p>
        </w:tc>
        <w:tc>
          <w:tcPr>
            <w:tcW w:w="647" w:type="pct"/>
            <w:shd w:val="clear" w:color="auto" w:fill="auto"/>
            <w:vAlign w:val="center"/>
          </w:tcPr>
          <w:p w:rsidR="00A42B8D" w:rsidRPr="00992751" w:rsidRDefault="00992751">
            <w:pPr>
              <w:pStyle w:val="Tabletext"/>
              <w:keepNext/>
              <w:keepLines/>
              <w:jc w:val="center"/>
              <w:rPr>
                <w:bCs/>
                <w:color w:val="000000"/>
                <w:highlight w:val="black"/>
              </w:rPr>
            </w:pPr>
            <w:r>
              <w:rPr>
                <w:noProof/>
                <w:color w:val="000000"/>
                <w:szCs w:val="20"/>
                <w:highlight w:val="black"/>
              </w:rPr>
              <w:t>'''''''''</w:t>
            </w:r>
          </w:p>
        </w:tc>
        <w:tc>
          <w:tcPr>
            <w:tcW w:w="647" w:type="pct"/>
            <w:shd w:val="clear" w:color="auto" w:fill="auto"/>
            <w:vAlign w:val="center"/>
          </w:tcPr>
          <w:p w:rsidR="00A42B8D" w:rsidRPr="00992751" w:rsidRDefault="00992751">
            <w:pPr>
              <w:pStyle w:val="Tabletext"/>
              <w:keepNext/>
              <w:keepLines/>
              <w:jc w:val="center"/>
              <w:rPr>
                <w:bCs/>
                <w:color w:val="000000"/>
                <w:highlight w:val="black"/>
              </w:rPr>
            </w:pPr>
            <w:r>
              <w:rPr>
                <w:noProof/>
                <w:color w:val="000000"/>
                <w:szCs w:val="20"/>
                <w:highlight w:val="black"/>
              </w:rPr>
              <w:t>''''''''''</w:t>
            </w:r>
          </w:p>
        </w:tc>
        <w:tc>
          <w:tcPr>
            <w:tcW w:w="647" w:type="pct"/>
            <w:shd w:val="clear" w:color="auto" w:fill="auto"/>
            <w:vAlign w:val="center"/>
          </w:tcPr>
          <w:p w:rsidR="00A42B8D" w:rsidRPr="00992751" w:rsidRDefault="00992751">
            <w:pPr>
              <w:pStyle w:val="Tabletext"/>
              <w:keepNext/>
              <w:keepLines/>
              <w:jc w:val="center"/>
              <w:rPr>
                <w:bCs/>
                <w:color w:val="000000"/>
                <w:highlight w:val="black"/>
              </w:rPr>
            </w:pPr>
            <w:r>
              <w:rPr>
                <w:noProof/>
                <w:color w:val="000000"/>
                <w:szCs w:val="20"/>
                <w:highlight w:val="black"/>
              </w:rPr>
              <w:t>'''''''''</w:t>
            </w:r>
          </w:p>
        </w:tc>
        <w:tc>
          <w:tcPr>
            <w:tcW w:w="647" w:type="pct"/>
            <w:shd w:val="clear" w:color="auto" w:fill="auto"/>
            <w:vAlign w:val="center"/>
          </w:tcPr>
          <w:p w:rsidR="00A42B8D" w:rsidRPr="00992751" w:rsidRDefault="00992751">
            <w:pPr>
              <w:pStyle w:val="Tabletext"/>
              <w:keepNext/>
              <w:keepLines/>
              <w:jc w:val="center"/>
              <w:rPr>
                <w:bCs/>
                <w:color w:val="000000"/>
                <w:highlight w:val="black"/>
              </w:rPr>
            </w:pPr>
            <w:r>
              <w:rPr>
                <w:noProof/>
                <w:color w:val="000000"/>
                <w:szCs w:val="20"/>
                <w:highlight w:val="black"/>
              </w:rPr>
              <w:t>'''''''''</w:t>
            </w:r>
          </w:p>
        </w:tc>
        <w:tc>
          <w:tcPr>
            <w:tcW w:w="646" w:type="pct"/>
            <w:vAlign w:val="center"/>
          </w:tcPr>
          <w:p w:rsidR="00A42B8D" w:rsidRPr="00992751" w:rsidRDefault="00992751">
            <w:pPr>
              <w:pStyle w:val="Tabletext"/>
              <w:keepNext/>
              <w:keepLines/>
              <w:jc w:val="center"/>
              <w:rPr>
                <w:bCs/>
                <w:color w:val="000000"/>
                <w:highlight w:val="black"/>
              </w:rPr>
            </w:pPr>
            <w:r>
              <w:rPr>
                <w:noProof/>
                <w:color w:val="000000"/>
                <w:szCs w:val="20"/>
                <w:highlight w:val="black"/>
              </w:rPr>
              <w:t>''''''''''</w:t>
            </w:r>
          </w:p>
        </w:tc>
      </w:tr>
      <w:tr w:rsidR="00A42B8D" w:rsidRPr="001C25C2" w:rsidTr="002E4146">
        <w:tc>
          <w:tcPr>
            <w:tcW w:w="5000" w:type="pct"/>
            <w:gridSpan w:val="7"/>
            <w:shd w:val="clear" w:color="auto" w:fill="auto"/>
            <w:vAlign w:val="center"/>
          </w:tcPr>
          <w:p w:rsidR="00A42B8D" w:rsidRPr="001C25C2" w:rsidRDefault="005846E2">
            <w:pPr>
              <w:pStyle w:val="Tabletext"/>
              <w:keepNext/>
              <w:keepLines/>
              <w:rPr>
                <w:b/>
                <w:bCs/>
                <w:color w:val="000000"/>
              </w:rPr>
            </w:pPr>
            <w:r w:rsidRPr="001C25C2">
              <w:rPr>
                <w:b/>
                <w:bCs/>
                <w:color w:val="000000"/>
              </w:rPr>
              <w:t xml:space="preserve">Estimated financial implications of </w:t>
            </w:r>
            <w:proofErr w:type="spellStart"/>
            <w:r w:rsidRPr="001C25C2">
              <w:rPr>
                <w:b/>
                <w:bCs/>
                <w:color w:val="000000"/>
              </w:rPr>
              <w:t>trifluridine</w:t>
            </w:r>
            <w:proofErr w:type="spellEnd"/>
            <w:r w:rsidRPr="001C25C2">
              <w:rPr>
                <w:b/>
                <w:bCs/>
                <w:color w:val="000000"/>
              </w:rPr>
              <w:t>/</w:t>
            </w:r>
            <w:proofErr w:type="spellStart"/>
            <w:r w:rsidRPr="001C25C2">
              <w:rPr>
                <w:b/>
                <w:bCs/>
                <w:color w:val="000000"/>
              </w:rPr>
              <w:t>tipiracil</w:t>
            </w:r>
            <w:proofErr w:type="spellEnd"/>
          </w:p>
        </w:tc>
      </w:tr>
      <w:tr w:rsidR="00A42B8D" w:rsidRPr="001C25C2" w:rsidTr="002E4146">
        <w:tc>
          <w:tcPr>
            <w:tcW w:w="1119" w:type="pct"/>
            <w:shd w:val="clear" w:color="auto" w:fill="auto"/>
            <w:vAlign w:val="center"/>
          </w:tcPr>
          <w:p w:rsidR="00A42B8D" w:rsidRPr="001C25C2" w:rsidRDefault="005846E2">
            <w:pPr>
              <w:pStyle w:val="Tabletext"/>
              <w:keepNext/>
              <w:keepLines/>
            </w:pPr>
            <w:r w:rsidRPr="001C25C2">
              <w:t>Cost to PBS/RPBS</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color w:val="000000"/>
              </w:rPr>
              <w:t>$</w:t>
            </w:r>
            <w:r w:rsidR="00992751">
              <w:rPr>
                <w:noProof/>
                <w:color w:val="00000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color w:val="000000"/>
              </w:rPr>
              <w:t>$</w:t>
            </w:r>
            <w:r w:rsidR="00992751">
              <w:rPr>
                <w:noProof/>
                <w:color w:val="00000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color w:val="000000"/>
              </w:rPr>
              <w:t>$</w:t>
            </w:r>
            <w:r w:rsidR="00992751">
              <w:rPr>
                <w:noProof/>
                <w:color w:val="00000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color w:val="000000"/>
              </w:rPr>
              <w:t>$</w:t>
            </w:r>
            <w:r w:rsidR="00992751">
              <w:rPr>
                <w:noProof/>
                <w:color w:val="00000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color w:val="000000"/>
              </w:rPr>
              <w:t>$</w:t>
            </w:r>
            <w:r w:rsidR="00992751">
              <w:rPr>
                <w:noProof/>
                <w:color w:val="000000"/>
                <w:highlight w:val="black"/>
              </w:rPr>
              <w:t>'''''''''''''''''''</w:t>
            </w:r>
          </w:p>
        </w:tc>
        <w:tc>
          <w:tcPr>
            <w:tcW w:w="646" w:type="pct"/>
            <w:vAlign w:val="center"/>
          </w:tcPr>
          <w:p w:rsidR="00A42B8D" w:rsidRPr="001C25C2" w:rsidRDefault="005846E2">
            <w:pPr>
              <w:pStyle w:val="Tabletext"/>
              <w:keepNext/>
              <w:keepLines/>
              <w:jc w:val="center"/>
              <w:rPr>
                <w:bCs/>
                <w:color w:val="000000"/>
              </w:rPr>
            </w:pPr>
            <w:r w:rsidRPr="001C25C2">
              <w:rPr>
                <w:color w:val="000000"/>
              </w:rPr>
              <w:t>$</w:t>
            </w:r>
            <w:r w:rsidR="00992751">
              <w:rPr>
                <w:noProof/>
                <w:color w:val="000000"/>
                <w:highlight w:val="black"/>
              </w:rPr>
              <w:t>''''''''''''''''''</w:t>
            </w:r>
          </w:p>
        </w:tc>
      </w:tr>
      <w:tr w:rsidR="00A42B8D" w:rsidRPr="001C25C2" w:rsidTr="002E4146">
        <w:tc>
          <w:tcPr>
            <w:tcW w:w="1119" w:type="pct"/>
            <w:shd w:val="clear" w:color="auto" w:fill="auto"/>
            <w:vAlign w:val="center"/>
          </w:tcPr>
          <w:p w:rsidR="00A42B8D" w:rsidRPr="001C25C2" w:rsidRDefault="005846E2">
            <w:pPr>
              <w:pStyle w:val="Tabletext"/>
              <w:keepNext/>
              <w:keepLines/>
            </w:pPr>
            <w:proofErr w:type="spellStart"/>
            <w:r w:rsidRPr="001C25C2">
              <w:t>Copayments</w:t>
            </w:r>
            <w:proofErr w:type="spellEnd"/>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color w:val="000000"/>
              </w:rPr>
              <w:t>-$</w:t>
            </w:r>
            <w:r w:rsidR="00992751">
              <w:rPr>
                <w:noProof/>
                <w:color w:val="00000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color w:val="000000"/>
              </w:rPr>
              <w:t>-$</w:t>
            </w:r>
            <w:r w:rsidR="00992751">
              <w:rPr>
                <w:noProof/>
                <w:color w:val="00000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color w:val="000000"/>
              </w:rPr>
              <w:t>-$</w:t>
            </w:r>
            <w:r w:rsidR="00992751">
              <w:rPr>
                <w:noProof/>
                <w:color w:val="00000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color w:val="000000"/>
              </w:rPr>
              <w:t>-$</w:t>
            </w:r>
            <w:r w:rsidR="00992751">
              <w:rPr>
                <w:noProof/>
                <w:color w:val="00000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color w:val="000000"/>
              </w:rPr>
              <w:t>-$</w:t>
            </w:r>
            <w:r w:rsidR="00992751">
              <w:rPr>
                <w:noProof/>
                <w:color w:val="000000"/>
                <w:highlight w:val="black"/>
              </w:rPr>
              <w:t>'''''''''''''''</w:t>
            </w:r>
          </w:p>
        </w:tc>
        <w:tc>
          <w:tcPr>
            <w:tcW w:w="646" w:type="pct"/>
            <w:vAlign w:val="center"/>
          </w:tcPr>
          <w:p w:rsidR="00A42B8D" w:rsidRPr="001C25C2" w:rsidRDefault="005846E2">
            <w:pPr>
              <w:pStyle w:val="Tabletext"/>
              <w:keepNext/>
              <w:keepLines/>
              <w:jc w:val="center"/>
              <w:rPr>
                <w:bCs/>
                <w:color w:val="000000"/>
              </w:rPr>
            </w:pPr>
            <w:r w:rsidRPr="001C25C2">
              <w:rPr>
                <w:color w:val="000000"/>
              </w:rPr>
              <w:t>-$</w:t>
            </w:r>
            <w:r w:rsidR="00992751">
              <w:rPr>
                <w:noProof/>
                <w:color w:val="000000"/>
                <w:highlight w:val="black"/>
              </w:rPr>
              <w:t>''''''''''''''''</w:t>
            </w:r>
          </w:p>
        </w:tc>
      </w:tr>
      <w:tr w:rsidR="00A42B8D" w:rsidRPr="001C25C2" w:rsidTr="002E4146">
        <w:tc>
          <w:tcPr>
            <w:tcW w:w="1119" w:type="pct"/>
            <w:shd w:val="clear" w:color="auto" w:fill="auto"/>
            <w:vAlign w:val="center"/>
          </w:tcPr>
          <w:p w:rsidR="00A42B8D" w:rsidRPr="001C25C2" w:rsidRDefault="005846E2">
            <w:pPr>
              <w:pStyle w:val="Tabletext"/>
              <w:keepNext/>
              <w:keepLines/>
              <w:rPr>
                <w:sz w:val="19"/>
                <w:szCs w:val="19"/>
              </w:rPr>
            </w:pPr>
            <w:r w:rsidRPr="001C25C2">
              <w:rPr>
                <w:szCs w:val="19"/>
              </w:rPr>
              <w:t xml:space="preserve">Cost to PBS/RPBS less </w:t>
            </w:r>
            <w:proofErr w:type="spellStart"/>
            <w:r w:rsidRPr="001C25C2">
              <w:rPr>
                <w:szCs w:val="19"/>
              </w:rPr>
              <w:t>copayments</w:t>
            </w:r>
            <w:proofErr w:type="spellEnd"/>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bCs/>
                <w:color w:val="000000"/>
                <w:szCs w:val="20"/>
              </w:rPr>
              <w:t>$</w:t>
            </w:r>
            <w:r w:rsidR="00992751">
              <w:rPr>
                <w:bCs/>
                <w:noProof/>
                <w:color w:val="000000"/>
                <w:szCs w:val="2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bCs/>
                <w:color w:val="000000"/>
                <w:szCs w:val="20"/>
              </w:rPr>
              <w:t>$</w:t>
            </w:r>
            <w:r w:rsidR="00992751">
              <w:rPr>
                <w:bCs/>
                <w:noProof/>
                <w:color w:val="000000"/>
                <w:szCs w:val="2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bCs/>
                <w:color w:val="000000"/>
                <w:szCs w:val="20"/>
              </w:rPr>
              <w:t>$</w:t>
            </w:r>
            <w:r w:rsidR="00992751">
              <w:rPr>
                <w:bCs/>
                <w:noProof/>
                <w:color w:val="000000"/>
                <w:szCs w:val="2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bCs/>
                <w:color w:val="000000"/>
                <w:szCs w:val="20"/>
              </w:rPr>
              <w:t>$</w:t>
            </w:r>
            <w:r w:rsidR="00992751">
              <w:rPr>
                <w:bCs/>
                <w:noProof/>
                <w:color w:val="000000"/>
                <w:szCs w:val="2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bCs/>
                <w:color w:val="000000"/>
                <w:szCs w:val="20"/>
              </w:rPr>
              <w:t>$</w:t>
            </w:r>
            <w:r w:rsidR="00992751">
              <w:rPr>
                <w:bCs/>
                <w:noProof/>
                <w:color w:val="000000"/>
                <w:szCs w:val="20"/>
                <w:highlight w:val="black"/>
              </w:rPr>
              <w:t>'''''''''''''''''''''</w:t>
            </w:r>
          </w:p>
        </w:tc>
        <w:tc>
          <w:tcPr>
            <w:tcW w:w="646" w:type="pct"/>
            <w:vAlign w:val="center"/>
          </w:tcPr>
          <w:p w:rsidR="00A42B8D" w:rsidRPr="001C25C2" w:rsidRDefault="005846E2">
            <w:pPr>
              <w:pStyle w:val="Tabletext"/>
              <w:keepNext/>
              <w:keepLines/>
              <w:jc w:val="center"/>
              <w:rPr>
                <w:bCs/>
                <w:color w:val="000000"/>
              </w:rPr>
            </w:pPr>
            <w:r w:rsidRPr="001C25C2">
              <w:rPr>
                <w:bCs/>
                <w:color w:val="000000"/>
                <w:szCs w:val="20"/>
              </w:rPr>
              <w:t>$</w:t>
            </w:r>
            <w:r w:rsidR="00992751">
              <w:rPr>
                <w:bCs/>
                <w:noProof/>
                <w:color w:val="000000"/>
                <w:szCs w:val="20"/>
                <w:highlight w:val="black"/>
              </w:rPr>
              <w:t>'''''''''''''''''''''</w:t>
            </w:r>
          </w:p>
        </w:tc>
      </w:tr>
      <w:tr w:rsidR="00A42B8D" w:rsidRPr="001C25C2" w:rsidTr="002E4146">
        <w:tc>
          <w:tcPr>
            <w:tcW w:w="5000" w:type="pct"/>
            <w:gridSpan w:val="7"/>
            <w:shd w:val="clear" w:color="auto" w:fill="auto"/>
            <w:vAlign w:val="center"/>
          </w:tcPr>
          <w:p w:rsidR="00A42B8D" w:rsidRPr="001C25C2" w:rsidRDefault="005846E2">
            <w:pPr>
              <w:pStyle w:val="Tabletext"/>
              <w:keepNext/>
              <w:keepLines/>
              <w:rPr>
                <w:bCs/>
                <w:color w:val="000000"/>
              </w:rPr>
            </w:pPr>
            <w:r w:rsidRPr="001C25C2">
              <w:rPr>
                <w:b/>
                <w:bCs/>
                <w:color w:val="000000"/>
              </w:rPr>
              <w:t>Estimated financial implications for GCSF</w:t>
            </w:r>
          </w:p>
        </w:tc>
      </w:tr>
      <w:tr w:rsidR="00A42B8D" w:rsidRPr="001C25C2" w:rsidTr="002E4146">
        <w:tc>
          <w:tcPr>
            <w:tcW w:w="1119" w:type="pct"/>
            <w:shd w:val="clear" w:color="auto" w:fill="auto"/>
            <w:vAlign w:val="center"/>
          </w:tcPr>
          <w:p w:rsidR="00A42B8D" w:rsidRPr="001C25C2" w:rsidRDefault="005846E2">
            <w:pPr>
              <w:pStyle w:val="Tabletext"/>
              <w:keepNext/>
              <w:keepLines/>
              <w:rPr>
                <w:sz w:val="19"/>
                <w:szCs w:val="19"/>
              </w:rPr>
            </w:pPr>
            <w:r w:rsidRPr="001C25C2">
              <w:rPr>
                <w:sz w:val="19"/>
                <w:szCs w:val="19"/>
              </w:rPr>
              <w:t xml:space="preserve">Cost to PBS/RPBS </w:t>
            </w:r>
          </w:p>
        </w:tc>
        <w:tc>
          <w:tcPr>
            <w:tcW w:w="647" w:type="pct"/>
            <w:shd w:val="clear" w:color="auto" w:fill="auto"/>
            <w:vAlign w:val="center"/>
          </w:tcPr>
          <w:p w:rsidR="00A42B8D" w:rsidRPr="00992751" w:rsidRDefault="00992751">
            <w:pPr>
              <w:pStyle w:val="Tabletext"/>
              <w:keepNext/>
              <w:keepLines/>
              <w:jc w:val="center"/>
              <w:rPr>
                <w:bCs/>
                <w:color w:val="000000"/>
                <w:highlight w:val="black"/>
              </w:rPr>
            </w:pPr>
            <w:r>
              <w:rPr>
                <w:rFonts w:cs="Arial"/>
                <w:noProof/>
                <w:color w:val="000000"/>
                <w:szCs w:val="20"/>
                <w:highlight w:val="black"/>
              </w:rPr>
              <w:t>'''''''''''''''</w:t>
            </w:r>
          </w:p>
        </w:tc>
        <w:tc>
          <w:tcPr>
            <w:tcW w:w="647" w:type="pct"/>
            <w:shd w:val="clear" w:color="auto" w:fill="auto"/>
            <w:vAlign w:val="center"/>
          </w:tcPr>
          <w:p w:rsidR="00A42B8D" w:rsidRPr="00992751" w:rsidRDefault="00992751">
            <w:pPr>
              <w:pStyle w:val="Tabletext"/>
              <w:keepNext/>
              <w:keepLines/>
              <w:jc w:val="center"/>
              <w:rPr>
                <w:bCs/>
                <w:color w:val="000000"/>
                <w:highlight w:val="black"/>
              </w:rPr>
            </w:pPr>
            <w:r>
              <w:rPr>
                <w:rFonts w:cs="Arial"/>
                <w:noProof/>
                <w:color w:val="000000"/>
                <w:szCs w:val="20"/>
                <w:highlight w:val="black"/>
              </w:rPr>
              <w:t>'''''''''''''''''</w:t>
            </w:r>
          </w:p>
        </w:tc>
        <w:tc>
          <w:tcPr>
            <w:tcW w:w="647" w:type="pct"/>
            <w:shd w:val="clear" w:color="auto" w:fill="auto"/>
            <w:vAlign w:val="center"/>
          </w:tcPr>
          <w:p w:rsidR="00A42B8D" w:rsidRPr="00992751" w:rsidRDefault="00992751">
            <w:pPr>
              <w:pStyle w:val="Tabletext"/>
              <w:keepNext/>
              <w:keepLines/>
              <w:jc w:val="center"/>
              <w:rPr>
                <w:bCs/>
                <w:color w:val="000000"/>
                <w:highlight w:val="black"/>
              </w:rPr>
            </w:pPr>
            <w:r>
              <w:rPr>
                <w:rFonts w:cs="Arial"/>
                <w:noProof/>
                <w:color w:val="000000"/>
                <w:szCs w:val="20"/>
                <w:highlight w:val="black"/>
              </w:rPr>
              <w:t>''''''''''''''''</w:t>
            </w:r>
          </w:p>
        </w:tc>
        <w:tc>
          <w:tcPr>
            <w:tcW w:w="647" w:type="pct"/>
            <w:shd w:val="clear" w:color="auto" w:fill="auto"/>
            <w:vAlign w:val="center"/>
          </w:tcPr>
          <w:p w:rsidR="00A42B8D" w:rsidRPr="00992751" w:rsidRDefault="00992751">
            <w:pPr>
              <w:pStyle w:val="Tabletext"/>
              <w:keepNext/>
              <w:keepLines/>
              <w:jc w:val="center"/>
              <w:rPr>
                <w:bCs/>
                <w:color w:val="000000"/>
                <w:highlight w:val="black"/>
              </w:rPr>
            </w:pPr>
            <w:r>
              <w:rPr>
                <w:rFonts w:cs="Arial"/>
                <w:noProof/>
                <w:color w:val="000000"/>
                <w:szCs w:val="20"/>
                <w:highlight w:val="black"/>
              </w:rPr>
              <w:t>'''''''''''''''''</w:t>
            </w:r>
          </w:p>
        </w:tc>
        <w:tc>
          <w:tcPr>
            <w:tcW w:w="647" w:type="pct"/>
            <w:shd w:val="clear" w:color="auto" w:fill="auto"/>
            <w:vAlign w:val="center"/>
          </w:tcPr>
          <w:p w:rsidR="00A42B8D" w:rsidRPr="00992751" w:rsidRDefault="00992751">
            <w:pPr>
              <w:pStyle w:val="Tabletext"/>
              <w:keepNext/>
              <w:keepLines/>
              <w:jc w:val="center"/>
              <w:rPr>
                <w:bCs/>
                <w:color w:val="000000"/>
                <w:highlight w:val="black"/>
              </w:rPr>
            </w:pPr>
            <w:r>
              <w:rPr>
                <w:rFonts w:cs="Arial"/>
                <w:noProof/>
                <w:color w:val="000000"/>
                <w:szCs w:val="20"/>
                <w:highlight w:val="black"/>
              </w:rPr>
              <w:t>'''''''''''''''''</w:t>
            </w:r>
          </w:p>
        </w:tc>
        <w:tc>
          <w:tcPr>
            <w:tcW w:w="646" w:type="pct"/>
            <w:vAlign w:val="center"/>
          </w:tcPr>
          <w:p w:rsidR="00A42B8D" w:rsidRPr="00992751" w:rsidRDefault="00992751">
            <w:pPr>
              <w:pStyle w:val="Tabletext"/>
              <w:keepNext/>
              <w:keepLines/>
              <w:jc w:val="center"/>
              <w:rPr>
                <w:bCs/>
                <w:color w:val="000000"/>
                <w:highlight w:val="black"/>
              </w:rPr>
            </w:pPr>
            <w:r>
              <w:rPr>
                <w:rFonts w:cs="Arial"/>
                <w:noProof/>
                <w:color w:val="000000"/>
                <w:szCs w:val="20"/>
                <w:highlight w:val="black"/>
              </w:rPr>
              <w:t>''''''''''''''''</w:t>
            </w:r>
          </w:p>
        </w:tc>
      </w:tr>
      <w:tr w:rsidR="00A42B8D" w:rsidRPr="001C25C2" w:rsidTr="002E4146">
        <w:tc>
          <w:tcPr>
            <w:tcW w:w="5000" w:type="pct"/>
            <w:gridSpan w:val="7"/>
            <w:shd w:val="clear" w:color="auto" w:fill="auto"/>
            <w:vAlign w:val="center"/>
          </w:tcPr>
          <w:p w:rsidR="00A42B8D" w:rsidRPr="001C25C2" w:rsidRDefault="005846E2">
            <w:pPr>
              <w:pStyle w:val="Tabletext"/>
              <w:keepNext/>
              <w:keepLines/>
              <w:rPr>
                <w:b/>
                <w:bCs/>
                <w:color w:val="000000"/>
              </w:rPr>
            </w:pPr>
            <w:r w:rsidRPr="001C25C2">
              <w:rPr>
                <w:b/>
                <w:bCs/>
                <w:color w:val="000000"/>
              </w:rPr>
              <w:t>Net financial implications</w:t>
            </w:r>
          </w:p>
        </w:tc>
      </w:tr>
      <w:tr w:rsidR="00A42B8D" w:rsidRPr="001C25C2" w:rsidTr="002E4146">
        <w:trPr>
          <w:trHeight w:val="229"/>
        </w:trPr>
        <w:tc>
          <w:tcPr>
            <w:tcW w:w="1119" w:type="pct"/>
            <w:shd w:val="clear" w:color="auto" w:fill="auto"/>
            <w:vAlign w:val="center"/>
          </w:tcPr>
          <w:p w:rsidR="00A42B8D" w:rsidRPr="001C25C2" w:rsidRDefault="005846E2">
            <w:pPr>
              <w:pStyle w:val="Tabletext"/>
              <w:keepNext/>
              <w:keepLines/>
              <w:rPr>
                <w:sz w:val="19"/>
                <w:szCs w:val="19"/>
              </w:rPr>
            </w:pPr>
            <w:r w:rsidRPr="001C25C2">
              <w:rPr>
                <w:sz w:val="19"/>
                <w:szCs w:val="19"/>
              </w:rPr>
              <w:t>Net cost to PBS/RPBS</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rFonts w:cs="Arial"/>
                <w:color w:val="000000"/>
                <w:szCs w:val="20"/>
              </w:rPr>
              <w:t>$</w:t>
            </w:r>
            <w:r w:rsidR="00992751">
              <w:rPr>
                <w:rFonts w:cs="Arial"/>
                <w:noProof/>
                <w:color w:val="000000"/>
                <w:szCs w:val="2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rFonts w:cs="Arial"/>
                <w:color w:val="000000"/>
                <w:szCs w:val="20"/>
              </w:rPr>
              <w:t>$</w:t>
            </w:r>
            <w:r w:rsidR="00992751">
              <w:rPr>
                <w:rFonts w:cs="Arial"/>
                <w:noProof/>
                <w:color w:val="000000"/>
                <w:szCs w:val="2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rFonts w:cs="Arial"/>
                <w:color w:val="000000"/>
                <w:szCs w:val="20"/>
              </w:rPr>
              <w:t>$</w:t>
            </w:r>
            <w:r w:rsidR="00992751">
              <w:rPr>
                <w:rFonts w:cs="Arial"/>
                <w:noProof/>
                <w:color w:val="000000"/>
                <w:szCs w:val="2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rFonts w:cs="Arial"/>
                <w:color w:val="000000"/>
                <w:szCs w:val="20"/>
              </w:rPr>
              <w:t>$</w:t>
            </w:r>
            <w:r w:rsidR="00992751">
              <w:rPr>
                <w:rFonts w:cs="Arial"/>
                <w:noProof/>
                <w:color w:val="000000"/>
                <w:szCs w:val="2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rFonts w:cs="Arial"/>
                <w:color w:val="000000"/>
                <w:szCs w:val="20"/>
              </w:rPr>
              <w:t>$</w:t>
            </w:r>
            <w:r w:rsidR="00992751">
              <w:rPr>
                <w:rFonts w:cs="Arial"/>
                <w:noProof/>
                <w:color w:val="000000"/>
                <w:szCs w:val="20"/>
                <w:highlight w:val="black"/>
              </w:rPr>
              <w:t>'''''''''''''''''''''''''</w:t>
            </w:r>
          </w:p>
        </w:tc>
        <w:tc>
          <w:tcPr>
            <w:tcW w:w="646" w:type="pct"/>
            <w:vAlign w:val="center"/>
          </w:tcPr>
          <w:p w:rsidR="00A42B8D" w:rsidRPr="001C25C2" w:rsidRDefault="005846E2">
            <w:pPr>
              <w:pStyle w:val="Tabletext"/>
              <w:keepNext/>
              <w:keepLines/>
              <w:jc w:val="center"/>
              <w:rPr>
                <w:bCs/>
                <w:color w:val="000000"/>
              </w:rPr>
            </w:pPr>
            <w:r w:rsidRPr="001C25C2">
              <w:rPr>
                <w:rFonts w:cs="Arial"/>
                <w:color w:val="000000"/>
                <w:szCs w:val="20"/>
              </w:rPr>
              <w:t>$</w:t>
            </w:r>
            <w:r w:rsidR="00992751">
              <w:rPr>
                <w:rFonts w:cs="Arial"/>
                <w:noProof/>
                <w:color w:val="000000"/>
                <w:szCs w:val="20"/>
                <w:highlight w:val="black"/>
              </w:rPr>
              <w:t>'''''''''''''''''''''''''</w:t>
            </w:r>
          </w:p>
        </w:tc>
      </w:tr>
      <w:tr w:rsidR="00A42B8D" w:rsidRPr="001C25C2" w:rsidTr="002E4146">
        <w:tc>
          <w:tcPr>
            <w:tcW w:w="1119" w:type="pct"/>
            <w:shd w:val="clear" w:color="auto" w:fill="auto"/>
            <w:vAlign w:val="center"/>
          </w:tcPr>
          <w:p w:rsidR="00A42B8D" w:rsidRPr="001C25C2" w:rsidRDefault="005846E2">
            <w:pPr>
              <w:pStyle w:val="Tabletext"/>
              <w:keepNext/>
              <w:keepLines/>
              <w:rPr>
                <w:rFonts w:ascii="Times" w:hAnsi="Times"/>
              </w:rPr>
            </w:pPr>
            <w:r w:rsidRPr="001C25C2">
              <w:rPr>
                <w:sz w:val="19"/>
                <w:szCs w:val="19"/>
              </w:rPr>
              <w:t>Net cost to MBS</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color w:val="000000"/>
                <w:szCs w:val="20"/>
              </w:rPr>
              <w:t>$</w:t>
            </w:r>
            <w:r w:rsidR="00992751">
              <w:rPr>
                <w:noProof/>
                <w:color w:val="000000"/>
                <w:szCs w:val="2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color w:val="000000"/>
                <w:szCs w:val="20"/>
              </w:rPr>
              <w:t>$</w:t>
            </w:r>
            <w:r w:rsidR="00992751">
              <w:rPr>
                <w:noProof/>
                <w:color w:val="000000"/>
                <w:szCs w:val="2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color w:val="000000"/>
                <w:szCs w:val="20"/>
              </w:rPr>
              <w:t>$</w:t>
            </w:r>
            <w:r w:rsidR="00992751">
              <w:rPr>
                <w:noProof/>
                <w:color w:val="000000"/>
                <w:szCs w:val="2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color w:val="000000"/>
                <w:szCs w:val="20"/>
              </w:rPr>
              <w:t>$</w:t>
            </w:r>
            <w:r w:rsidR="00992751">
              <w:rPr>
                <w:noProof/>
                <w:color w:val="000000"/>
                <w:szCs w:val="20"/>
                <w:highlight w:val="black"/>
              </w:rPr>
              <w:t>'''''''''''''''''</w:t>
            </w:r>
          </w:p>
        </w:tc>
        <w:tc>
          <w:tcPr>
            <w:tcW w:w="647" w:type="pct"/>
            <w:shd w:val="clear" w:color="auto" w:fill="auto"/>
            <w:vAlign w:val="center"/>
          </w:tcPr>
          <w:p w:rsidR="00A42B8D" w:rsidRPr="001C25C2" w:rsidRDefault="005846E2">
            <w:pPr>
              <w:pStyle w:val="Tabletext"/>
              <w:keepNext/>
              <w:keepLines/>
              <w:jc w:val="center"/>
              <w:rPr>
                <w:bCs/>
                <w:color w:val="000000"/>
              </w:rPr>
            </w:pPr>
            <w:r w:rsidRPr="001C25C2">
              <w:rPr>
                <w:color w:val="000000"/>
                <w:szCs w:val="20"/>
              </w:rPr>
              <w:t>$</w:t>
            </w:r>
            <w:r w:rsidR="00992751">
              <w:rPr>
                <w:noProof/>
                <w:color w:val="000000"/>
                <w:szCs w:val="20"/>
                <w:highlight w:val="black"/>
              </w:rPr>
              <w:t>'''''''''''''''''</w:t>
            </w:r>
          </w:p>
        </w:tc>
        <w:tc>
          <w:tcPr>
            <w:tcW w:w="646" w:type="pct"/>
            <w:vAlign w:val="center"/>
          </w:tcPr>
          <w:p w:rsidR="00A42B8D" w:rsidRPr="001C25C2" w:rsidRDefault="005846E2">
            <w:pPr>
              <w:pStyle w:val="Tabletext"/>
              <w:keepNext/>
              <w:keepLines/>
              <w:jc w:val="center"/>
              <w:rPr>
                <w:bCs/>
                <w:color w:val="000000"/>
              </w:rPr>
            </w:pPr>
            <w:r w:rsidRPr="001C25C2">
              <w:rPr>
                <w:color w:val="000000"/>
                <w:szCs w:val="20"/>
              </w:rPr>
              <w:t>$</w:t>
            </w:r>
            <w:r w:rsidR="00992751">
              <w:rPr>
                <w:noProof/>
                <w:color w:val="000000"/>
                <w:szCs w:val="20"/>
                <w:highlight w:val="black"/>
              </w:rPr>
              <w:t>'''''''''''''''''</w:t>
            </w:r>
          </w:p>
        </w:tc>
      </w:tr>
    </w:tbl>
    <w:p w:rsidR="00A42B8D" w:rsidRPr="001C25C2" w:rsidRDefault="005846E2">
      <w:pPr>
        <w:keepNext/>
        <w:keepLines/>
        <w:autoSpaceDE w:val="0"/>
        <w:autoSpaceDN w:val="0"/>
        <w:adjustRightInd w:val="0"/>
        <w:jc w:val="left"/>
        <w:rPr>
          <w:rFonts w:ascii="Arial Narrow" w:hAnsi="Arial Narrow" w:cs="Arial Narrow"/>
          <w:color w:val="000000"/>
          <w:sz w:val="18"/>
          <w:szCs w:val="20"/>
          <w:lang w:eastAsia="en-AU"/>
        </w:rPr>
      </w:pPr>
      <w:r w:rsidRPr="001C25C2">
        <w:rPr>
          <w:rFonts w:ascii="Arial Narrow" w:hAnsi="Arial Narrow" w:cs="Arial Narrow"/>
          <w:color w:val="000000"/>
          <w:sz w:val="18"/>
          <w:szCs w:val="20"/>
          <w:lang w:eastAsia="en-AU"/>
        </w:rPr>
        <w:t xml:space="preserve">Source: Table 4.2.4, p70 of the submission </w:t>
      </w:r>
    </w:p>
    <w:p w:rsidR="00A42B8D" w:rsidRPr="001C25C2" w:rsidRDefault="005846E2">
      <w:pPr>
        <w:keepNext/>
        <w:keepLines/>
        <w:autoSpaceDE w:val="0"/>
        <w:autoSpaceDN w:val="0"/>
        <w:adjustRightInd w:val="0"/>
        <w:jc w:val="left"/>
        <w:rPr>
          <w:rFonts w:ascii="Arial Narrow" w:hAnsi="Arial Narrow" w:cs="Arial Narrow"/>
          <w:color w:val="000000"/>
          <w:sz w:val="18"/>
          <w:szCs w:val="20"/>
          <w:lang w:eastAsia="en-AU"/>
        </w:rPr>
      </w:pPr>
      <w:r w:rsidRPr="001C25C2">
        <w:rPr>
          <w:rFonts w:ascii="Arial Narrow" w:hAnsi="Arial Narrow" w:cs="Arial Narrow"/>
          <w:color w:val="000000"/>
          <w:sz w:val="18"/>
          <w:szCs w:val="20"/>
          <w:lang w:eastAsia="en-AU"/>
        </w:rPr>
        <w:t>GCSF = granulocyte colony stimulating factor; PBS = pharmaceutical benefits scheme; RPBS = repatriation pharmaceutical benefits scheme</w:t>
      </w:r>
    </w:p>
    <w:p w:rsidR="00A42B8D" w:rsidRPr="001C25C2" w:rsidRDefault="00A42B8D">
      <w:pPr>
        <w:widowControl/>
      </w:pPr>
    </w:p>
    <w:p w:rsidR="00114BBF" w:rsidRPr="001C25C2" w:rsidRDefault="003A112E"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 xml:space="preserve">At year 6, the estimated number of treated patients was </w:t>
      </w:r>
      <w:r w:rsidR="00AB46DE">
        <w:rPr>
          <w:rFonts w:cs="Calibri"/>
          <w:snapToGrid/>
          <w:szCs w:val="24"/>
          <w:lang w:eastAsia="en-AU"/>
        </w:rPr>
        <w:t>less than 10,000</w:t>
      </w:r>
      <w:r w:rsidR="00AB46DE" w:rsidRPr="001C25C2">
        <w:rPr>
          <w:rFonts w:cs="Calibri"/>
          <w:snapToGrid/>
          <w:szCs w:val="24"/>
          <w:lang w:eastAsia="en-AU"/>
        </w:rPr>
        <w:t xml:space="preserve"> </w:t>
      </w:r>
      <w:r w:rsidRPr="001C25C2">
        <w:rPr>
          <w:rFonts w:cs="Calibri"/>
          <w:snapToGrid/>
          <w:szCs w:val="24"/>
          <w:lang w:eastAsia="en-AU"/>
        </w:rPr>
        <w:t xml:space="preserve">and the net cost to the PBS would be </w:t>
      </w:r>
      <w:r w:rsidR="00AB46DE">
        <w:rPr>
          <w:rFonts w:cs="Calibri"/>
          <w:snapToGrid/>
          <w:szCs w:val="24"/>
          <w:lang w:eastAsia="en-AU"/>
        </w:rPr>
        <w:t xml:space="preserve">less than </w:t>
      </w:r>
      <w:r w:rsidRPr="001C25C2">
        <w:rPr>
          <w:rFonts w:cs="Calibri"/>
          <w:snapToGrid/>
          <w:szCs w:val="24"/>
          <w:lang w:eastAsia="en-AU"/>
        </w:rPr>
        <w:t>$</w:t>
      </w:r>
      <w:r w:rsidR="00AB46DE">
        <w:rPr>
          <w:rFonts w:cs="Calibri"/>
          <w:snapToGrid/>
          <w:szCs w:val="24"/>
          <w:lang w:eastAsia="en-AU"/>
        </w:rPr>
        <w:t>10 million</w:t>
      </w:r>
      <w:r w:rsidR="00114BBF" w:rsidRPr="001C25C2">
        <w:rPr>
          <w:rFonts w:cs="Calibri"/>
          <w:snapToGrid/>
          <w:szCs w:val="24"/>
          <w:lang w:eastAsia="en-AU"/>
        </w:rPr>
        <w:t>.</w:t>
      </w:r>
    </w:p>
    <w:p w:rsidR="00A42B8D" w:rsidRPr="001C25C2" w:rsidRDefault="00CB46B3"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The ESC considered that t</w:t>
      </w:r>
      <w:r w:rsidR="005846E2" w:rsidRPr="001C25C2">
        <w:rPr>
          <w:rFonts w:cs="Calibri"/>
          <w:snapToGrid/>
          <w:szCs w:val="24"/>
          <w:lang w:eastAsia="en-AU"/>
        </w:rPr>
        <w:t xml:space="preserve">he financial estimates to the PBS/RPBS may be uncertain due to </w:t>
      </w:r>
      <w:r w:rsidR="00573B4A" w:rsidRPr="001C25C2">
        <w:rPr>
          <w:rFonts w:cs="Calibri"/>
          <w:snapToGrid/>
          <w:szCs w:val="24"/>
          <w:lang w:eastAsia="en-AU"/>
        </w:rPr>
        <w:t xml:space="preserve">an </w:t>
      </w:r>
      <w:r w:rsidR="005846E2" w:rsidRPr="001C25C2">
        <w:rPr>
          <w:rFonts w:cs="Calibri"/>
          <w:snapToGrid/>
          <w:szCs w:val="24"/>
          <w:lang w:eastAsia="en-AU"/>
        </w:rPr>
        <w:t xml:space="preserve">underestimate of the number of patients with </w:t>
      </w:r>
      <w:proofErr w:type="spellStart"/>
      <w:r w:rsidR="005846E2" w:rsidRPr="001C25C2">
        <w:rPr>
          <w:rFonts w:cs="Calibri"/>
          <w:snapToGrid/>
          <w:szCs w:val="24"/>
          <w:lang w:eastAsia="en-AU"/>
        </w:rPr>
        <w:t>mG</w:t>
      </w:r>
      <w:proofErr w:type="spellEnd"/>
      <w:r w:rsidR="00CD3271" w:rsidRPr="001C25C2">
        <w:rPr>
          <w:rFonts w:cs="Calibri"/>
          <w:snapToGrid/>
          <w:szCs w:val="24"/>
          <w:lang w:eastAsia="en-AU"/>
        </w:rPr>
        <w:t>/GEJ adenocarcinoma</w:t>
      </w:r>
      <w:r w:rsidR="005846E2" w:rsidRPr="001C25C2">
        <w:rPr>
          <w:rFonts w:cs="Calibri"/>
          <w:snapToGrid/>
          <w:szCs w:val="24"/>
          <w:lang w:eastAsia="en-AU"/>
        </w:rPr>
        <w:t xml:space="preserve">, and </w:t>
      </w:r>
      <w:r w:rsidR="00573B4A" w:rsidRPr="001C25C2">
        <w:rPr>
          <w:rFonts w:cs="Calibri"/>
          <w:snapToGrid/>
          <w:szCs w:val="24"/>
          <w:lang w:eastAsia="en-AU"/>
        </w:rPr>
        <w:t xml:space="preserve">an </w:t>
      </w:r>
      <w:r w:rsidR="005846E2" w:rsidRPr="001C25C2">
        <w:rPr>
          <w:rFonts w:cs="Calibri"/>
          <w:snapToGrid/>
          <w:szCs w:val="24"/>
          <w:lang w:eastAsia="en-AU"/>
        </w:rPr>
        <w:t xml:space="preserve">overestimate of </w:t>
      </w:r>
      <w:r w:rsidR="00573B4A" w:rsidRPr="001C25C2">
        <w:rPr>
          <w:rFonts w:cs="Calibri"/>
          <w:snapToGrid/>
          <w:szCs w:val="24"/>
          <w:lang w:eastAsia="en-AU"/>
        </w:rPr>
        <w:t xml:space="preserve">the </w:t>
      </w:r>
      <w:r w:rsidR="005846E2" w:rsidRPr="001C25C2">
        <w:rPr>
          <w:rFonts w:cs="Calibri"/>
          <w:snapToGrid/>
          <w:szCs w:val="24"/>
          <w:lang w:eastAsia="en-AU"/>
        </w:rPr>
        <w:t xml:space="preserve">number of eligible patients who would uptake </w:t>
      </w:r>
      <w:proofErr w:type="spellStart"/>
      <w:r w:rsidR="005846E2" w:rsidRPr="001C25C2">
        <w:rPr>
          <w:rFonts w:cs="Calibri"/>
          <w:snapToGrid/>
          <w:szCs w:val="24"/>
          <w:lang w:eastAsia="en-AU"/>
        </w:rPr>
        <w:t>trifluridine</w:t>
      </w:r>
      <w:proofErr w:type="spellEnd"/>
      <w:r w:rsidR="005846E2" w:rsidRPr="001C25C2">
        <w:rPr>
          <w:rFonts w:cs="Calibri"/>
          <w:snapToGrid/>
          <w:szCs w:val="24"/>
          <w:lang w:eastAsia="en-AU"/>
        </w:rPr>
        <w:t>/</w:t>
      </w:r>
      <w:proofErr w:type="spellStart"/>
      <w:r w:rsidR="005846E2" w:rsidRPr="001C25C2">
        <w:rPr>
          <w:rFonts w:cs="Calibri"/>
          <w:snapToGrid/>
          <w:szCs w:val="24"/>
          <w:lang w:eastAsia="en-AU"/>
        </w:rPr>
        <w:t>tipiracil</w:t>
      </w:r>
      <w:proofErr w:type="spellEnd"/>
      <w:r w:rsidR="005846E2" w:rsidRPr="001C25C2">
        <w:rPr>
          <w:rFonts w:cs="Calibri"/>
          <w:snapToGrid/>
          <w:szCs w:val="24"/>
          <w:lang w:eastAsia="en-AU"/>
        </w:rPr>
        <w:t xml:space="preserve"> given its toxicity profile. The results from the key sensitivity analyses are presented in Table 14.</w:t>
      </w:r>
    </w:p>
    <w:p w:rsidR="00A42B8D" w:rsidRPr="001C25C2" w:rsidRDefault="005846E2">
      <w:pPr>
        <w:keepNext/>
        <w:widowControl/>
        <w:rPr>
          <w:i/>
        </w:rPr>
      </w:pPr>
      <w:r w:rsidRPr="001C25C2">
        <w:rPr>
          <w:rStyle w:val="CommentReference"/>
        </w:rPr>
        <w:t xml:space="preserve">Table 14: Results of key sensitivity analyses on estimated financial </w:t>
      </w:r>
      <w:r w:rsidRPr="001C25C2">
        <w:rPr>
          <w:rStyle w:val="CommentReference"/>
          <w:szCs w:val="20"/>
        </w:rPr>
        <w:t>implications</w:t>
      </w:r>
      <w:r w:rsidRPr="001C25C2">
        <w:rPr>
          <w:rFonts w:ascii="Arial Narrow" w:hAnsi="Arial Narrow"/>
          <w:i/>
          <w:sz w:val="20"/>
          <w:szCs w:val="20"/>
        </w:rPr>
        <w:t xml:space="preserve"> </w:t>
      </w:r>
      <w:r w:rsidRPr="001C25C2">
        <w:rPr>
          <w:rFonts w:ascii="Arial Narrow" w:hAnsi="Arial Narrow"/>
          <w:b/>
          <w:sz w:val="20"/>
          <w:szCs w:val="20"/>
        </w:rPr>
        <w:t>for PBS</w:t>
      </w:r>
    </w:p>
    <w:tbl>
      <w:tblPr>
        <w:tblStyle w:val="TableGrid"/>
        <w:tblW w:w="5000" w:type="pct"/>
        <w:jc w:val="center"/>
        <w:tblLayout w:type="fixed"/>
        <w:tblCellMar>
          <w:left w:w="28" w:type="dxa"/>
          <w:right w:w="28" w:type="dxa"/>
        </w:tblCellMar>
        <w:tblLook w:val="04A0" w:firstRow="1" w:lastRow="0" w:firstColumn="1" w:lastColumn="0" w:noHBand="0" w:noVBand="1"/>
        <w:tblCaption w:val="Table 14: Results of key sensitivity analyses on estimated financial implications for PBS"/>
      </w:tblPr>
      <w:tblGrid>
        <w:gridCol w:w="2828"/>
        <w:gridCol w:w="1033"/>
        <w:gridCol w:w="1031"/>
        <w:gridCol w:w="1031"/>
        <w:gridCol w:w="1031"/>
        <w:gridCol w:w="1031"/>
        <w:gridCol w:w="1032"/>
      </w:tblGrid>
      <w:tr w:rsidR="00A42B8D" w:rsidRPr="001C25C2" w:rsidTr="002E4146">
        <w:trPr>
          <w:trHeight w:val="283"/>
          <w:tblHeader/>
          <w:jc w:val="center"/>
        </w:trPr>
        <w:tc>
          <w:tcPr>
            <w:tcW w:w="2828" w:type="dxa"/>
          </w:tcPr>
          <w:p w:rsidR="00A42B8D" w:rsidRPr="001C25C2" w:rsidRDefault="00A42B8D">
            <w:pPr>
              <w:keepNext/>
            </w:pPr>
          </w:p>
        </w:tc>
        <w:tc>
          <w:tcPr>
            <w:tcW w:w="1033" w:type="dxa"/>
            <w:vAlign w:val="center"/>
          </w:tcPr>
          <w:p w:rsidR="00A42B8D" w:rsidRPr="001C25C2" w:rsidRDefault="005846E2">
            <w:pPr>
              <w:pStyle w:val="Tabletext"/>
              <w:keepNext/>
              <w:keepLines/>
              <w:jc w:val="center"/>
              <w:rPr>
                <w:b/>
                <w:szCs w:val="20"/>
              </w:rPr>
            </w:pPr>
            <w:r w:rsidRPr="001C25C2">
              <w:rPr>
                <w:b/>
                <w:szCs w:val="20"/>
              </w:rPr>
              <w:t>Year 1</w:t>
            </w:r>
          </w:p>
          <w:p w:rsidR="00A42B8D" w:rsidRPr="001C25C2" w:rsidRDefault="00A42B8D">
            <w:pPr>
              <w:keepNext/>
              <w:jc w:val="center"/>
              <w:rPr>
                <w:rFonts w:ascii="Arial Narrow" w:hAnsi="Arial Narrow" w:cs="Times New Roman"/>
                <w:b/>
                <w:snapToGrid/>
                <w:sz w:val="20"/>
                <w:szCs w:val="20"/>
              </w:rPr>
            </w:pPr>
          </w:p>
        </w:tc>
        <w:tc>
          <w:tcPr>
            <w:tcW w:w="1031" w:type="dxa"/>
            <w:vAlign w:val="center"/>
          </w:tcPr>
          <w:p w:rsidR="00A42B8D" w:rsidRPr="001C25C2" w:rsidRDefault="005846E2">
            <w:pPr>
              <w:pStyle w:val="Tabletext"/>
              <w:keepNext/>
              <w:keepLines/>
              <w:jc w:val="center"/>
              <w:rPr>
                <w:b/>
                <w:szCs w:val="20"/>
              </w:rPr>
            </w:pPr>
            <w:r w:rsidRPr="001C25C2">
              <w:rPr>
                <w:b/>
                <w:szCs w:val="20"/>
              </w:rPr>
              <w:t>Year 2</w:t>
            </w:r>
          </w:p>
          <w:p w:rsidR="00A42B8D" w:rsidRPr="001C25C2" w:rsidRDefault="00A42B8D">
            <w:pPr>
              <w:keepNext/>
              <w:jc w:val="center"/>
              <w:rPr>
                <w:rFonts w:ascii="Arial Narrow" w:hAnsi="Arial Narrow" w:cs="Times New Roman"/>
                <w:b/>
                <w:snapToGrid/>
                <w:sz w:val="20"/>
                <w:szCs w:val="20"/>
              </w:rPr>
            </w:pPr>
          </w:p>
        </w:tc>
        <w:tc>
          <w:tcPr>
            <w:tcW w:w="1031" w:type="dxa"/>
            <w:vAlign w:val="center"/>
          </w:tcPr>
          <w:p w:rsidR="00A42B8D" w:rsidRPr="001C25C2" w:rsidRDefault="005846E2">
            <w:pPr>
              <w:pStyle w:val="Tabletext"/>
              <w:keepNext/>
              <w:keepLines/>
              <w:jc w:val="center"/>
              <w:rPr>
                <w:b/>
                <w:szCs w:val="20"/>
              </w:rPr>
            </w:pPr>
            <w:r w:rsidRPr="001C25C2">
              <w:rPr>
                <w:b/>
                <w:szCs w:val="20"/>
              </w:rPr>
              <w:t xml:space="preserve">Year 3 </w:t>
            </w:r>
          </w:p>
          <w:p w:rsidR="00A42B8D" w:rsidRPr="001C25C2" w:rsidRDefault="00A42B8D">
            <w:pPr>
              <w:keepNext/>
              <w:jc w:val="center"/>
              <w:rPr>
                <w:rFonts w:ascii="Arial Narrow" w:hAnsi="Arial Narrow" w:cs="Times New Roman"/>
                <w:b/>
                <w:snapToGrid/>
                <w:sz w:val="20"/>
                <w:szCs w:val="20"/>
              </w:rPr>
            </w:pPr>
          </w:p>
        </w:tc>
        <w:tc>
          <w:tcPr>
            <w:tcW w:w="1031" w:type="dxa"/>
            <w:vAlign w:val="center"/>
          </w:tcPr>
          <w:p w:rsidR="00A42B8D" w:rsidRPr="001C25C2" w:rsidRDefault="005846E2">
            <w:pPr>
              <w:pStyle w:val="Tabletext"/>
              <w:keepNext/>
              <w:keepLines/>
              <w:jc w:val="center"/>
              <w:rPr>
                <w:b/>
                <w:szCs w:val="20"/>
              </w:rPr>
            </w:pPr>
            <w:r w:rsidRPr="001C25C2">
              <w:rPr>
                <w:b/>
                <w:szCs w:val="20"/>
              </w:rPr>
              <w:t xml:space="preserve">Year 4 </w:t>
            </w:r>
          </w:p>
          <w:p w:rsidR="00A42B8D" w:rsidRPr="001C25C2" w:rsidRDefault="00A42B8D">
            <w:pPr>
              <w:keepNext/>
              <w:jc w:val="center"/>
              <w:rPr>
                <w:rFonts w:ascii="Arial Narrow" w:hAnsi="Arial Narrow" w:cs="Times New Roman"/>
                <w:b/>
                <w:snapToGrid/>
                <w:sz w:val="20"/>
                <w:szCs w:val="20"/>
              </w:rPr>
            </w:pPr>
          </w:p>
        </w:tc>
        <w:tc>
          <w:tcPr>
            <w:tcW w:w="1031" w:type="dxa"/>
            <w:vAlign w:val="center"/>
          </w:tcPr>
          <w:p w:rsidR="00A42B8D" w:rsidRPr="001C25C2" w:rsidRDefault="005846E2">
            <w:pPr>
              <w:pStyle w:val="Tabletext"/>
              <w:keepNext/>
              <w:keepLines/>
              <w:jc w:val="center"/>
              <w:rPr>
                <w:b/>
                <w:szCs w:val="20"/>
              </w:rPr>
            </w:pPr>
            <w:r w:rsidRPr="001C25C2">
              <w:rPr>
                <w:b/>
                <w:szCs w:val="20"/>
              </w:rPr>
              <w:t>Year 5</w:t>
            </w:r>
          </w:p>
          <w:p w:rsidR="00A42B8D" w:rsidRPr="001C25C2" w:rsidRDefault="00A42B8D">
            <w:pPr>
              <w:keepNext/>
              <w:jc w:val="center"/>
              <w:rPr>
                <w:rFonts w:ascii="Arial Narrow" w:hAnsi="Arial Narrow" w:cs="Times New Roman"/>
                <w:b/>
                <w:snapToGrid/>
                <w:sz w:val="20"/>
                <w:szCs w:val="20"/>
              </w:rPr>
            </w:pPr>
          </w:p>
        </w:tc>
        <w:tc>
          <w:tcPr>
            <w:tcW w:w="1032" w:type="dxa"/>
            <w:vAlign w:val="center"/>
          </w:tcPr>
          <w:p w:rsidR="00A42B8D" w:rsidRPr="001C25C2" w:rsidRDefault="005846E2">
            <w:pPr>
              <w:pStyle w:val="Tabletext"/>
              <w:keepNext/>
              <w:keepLines/>
              <w:jc w:val="center"/>
              <w:rPr>
                <w:b/>
                <w:szCs w:val="20"/>
              </w:rPr>
            </w:pPr>
            <w:r w:rsidRPr="001C25C2">
              <w:rPr>
                <w:b/>
                <w:szCs w:val="20"/>
              </w:rPr>
              <w:t>Year 6</w:t>
            </w:r>
          </w:p>
          <w:p w:rsidR="00A42B8D" w:rsidRPr="001C25C2" w:rsidRDefault="00A42B8D">
            <w:pPr>
              <w:keepNext/>
              <w:jc w:val="center"/>
              <w:rPr>
                <w:rFonts w:ascii="Arial Narrow" w:hAnsi="Arial Narrow" w:cs="Times New Roman"/>
                <w:b/>
                <w:snapToGrid/>
                <w:sz w:val="20"/>
                <w:szCs w:val="20"/>
              </w:rPr>
            </w:pPr>
          </w:p>
        </w:tc>
      </w:tr>
      <w:tr w:rsidR="00A42B8D" w:rsidRPr="001C25C2" w:rsidTr="002E4146">
        <w:trPr>
          <w:jc w:val="center"/>
        </w:trPr>
        <w:tc>
          <w:tcPr>
            <w:tcW w:w="2828" w:type="dxa"/>
          </w:tcPr>
          <w:p w:rsidR="00A42B8D" w:rsidRPr="001C25C2" w:rsidRDefault="005846E2">
            <w:pPr>
              <w:pStyle w:val="Tabletext"/>
              <w:keepNext/>
              <w:spacing w:line="276" w:lineRule="auto"/>
              <w:rPr>
                <w:vertAlign w:val="superscript"/>
              </w:rPr>
            </w:pPr>
            <w:r w:rsidRPr="001C25C2">
              <w:rPr>
                <w:rFonts w:cs="Arial"/>
              </w:rPr>
              <w:t xml:space="preserve">Base </w:t>
            </w:r>
            <w:proofErr w:type="spellStart"/>
            <w:r w:rsidRPr="001C25C2">
              <w:rPr>
                <w:rFonts w:cs="Arial"/>
              </w:rPr>
              <w:t>case</w:t>
            </w:r>
            <w:r w:rsidRPr="001C25C2">
              <w:rPr>
                <w:rFonts w:cs="Arial"/>
                <w:vertAlign w:val="superscript"/>
              </w:rPr>
              <w:t>a</w:t>
            </w:r>
            <w:proofErr w:type="spellEnd"/>
          </w:p>
        </w:tc>
        <w:tc>
          <w:tcPr>
            <w:tcW w:w="1033" w:type="dxa"/>
            <w:vAlign w:val="bottom"/>
          </w:tcPr>
          <w:p w:rsidR="00A42B8D" w:rsidRPr="001C25C2" w:rsidRDefault="005846E2">
            <w:pPr>
              <w:pStyle w:val="Tabletext"/>
              <w:keepNext/>
              <w:spacing w:line="276" w:lineRule="auto"/>
              <w:jc w:val="center"/>
              <w:rPr>
                <w:rFonts w:cs="Arial"/>
              </w:rPr>
            </w:pPr>
            <w:r w:rsidRPr="001C25C2">
              <w:rPr>
                <w:color w:val="000000"/>
                <w:szCs w:val="20"/>
              </w:rPr>
              <w:t>$</w:t>
            </w:r>
            <w:r w:rsidR="00992751">
              <w:rPr>
                <w:noProof/>
                <w:color w:val="000000"/>
                <w:szCs w:val="20"/>
                <w:highlight w:val="black"/>
              </w:rPr>
              <w:t>''''''''''''''''''''</w:t>
            </w:r>
          </w:p>
        </w:tc>
        <w:tc>
          <w:tcPr>
            <w:tcW w:w="1031" w:type="dxa"/>
            <w:vAlign w:val="bottom"/>
          </w:tcPr>
          <w:p w:rsidR="00A42B8D" w:rsidRPr="001C25C2" w:rsidRDefault="005846E2">
            <w:pPr>
              <w:pStyle w:val="Tabletext"/>
              <w:keepNext/>
              <w:spacing w:line="276" w:lineRule="auto"/>
              <w:jc w:val="center"/>
              <w:rPr>
                <w:rFonts w:cs="Arial"/>
              </w:rPr>
            </w:pPr>
            <w:r w:rsidRPr="001C25C2">
              <w:rPr>
                <w:color w:val="000000"/>
                <w:szCs w:val="20"/>
              </w:rPr>
              <w:t>$</w:t>
            </w:r>
            <w:r w:rsidR="00992751">
              <w:rPr>
                <w:noProof/>
                <w:color w:val="000000"/>
                <w:szCs w:val="20"/>
                <w:highlight w:val="black"/>
              </w:rPr>
              <w:t>''''''''''''''''''</w:t>
            </w:r>
          </w:p>
        </w:tc>
        <w:tc>
          <w:tcPr>
            <w:tcW w:w="1031" w:type="dxa"/>
            <w:vAlign w:val="bottom"/>
          </w:tcPr>
          <w:p w:rsidR="00A42B8D" w:rsidRPr="001C25C2" w:rsidRDefault="005846E2">
            <w:pPr>
              <w:pStyle w:val="Tabletext"/>
              <w:keepNext/>
              <w:spacing w:line="276" w:lineRule="auto"/>
              <w:jc w:val="center"/>
              <w:rPr>
                <w:rFonts w:cs="Arial"/>
              </w:rPr>
            </w:pPr>
            <w:r w:rsidRPr="001C25C2">
              <w:rPr>
                <w:color w:val="000000"/>
                <w:szCs w:val="20"/>
              </w:rPr>
              <w:t>$</w:t>
            </w:r>
            <w:r w:rsidR="00992751">
              <w:rPr>
                <w:noProof/>
                <w:color w:val="000000"/>
                <w:szCs w:val="20"/>
                <w:highlight w:val="black"/>
              </w:rPr>
              <w:t>'''''''''''''''''''</w:t>
            </w:r>
          </w:p>
        </w:tc>
        <w:tc>
          <w:tcPr>
            <w:tcW w:w="1031" w:type="dxa"/>
            <w:vAlign w:val="bottom"/>
          </w:tcPr>
          <w:p w:rsidR="00A42B8D" w:rsidRPr="001C25C2" w:rsidRDefault="005846E2">
            <w:pPr>
              <w:pStyle w:val="Tabletext"/>
              <w:keepNext/>
              <w:spacing w:line="276" w:lineRule="auto"/>
              <w:jc w:val="center"/>
              <w:rPr>
                <w:rFonts w:cs="Arial"/>
              </w:rPr>
            </w:pPr>
            <w:r w:rsidRPr="001C25C2">
              <w:rPr>
                <w:color w:val="000000"/>
                <w:szCs w:val="20"/>
              </w:rPr>
              <w:t>$</w:t>
            </w:r>
            <w:r w:rsidR="00992751">
              <w:rPr>
                <w:noProof/>
                <w:color w:val="000000"/>
                <w:szCs w:val="20"/>
                <w:highlight w:val="black"/>
              </w:rPr>
              <w:t>''''''''''''''''''''</w:t>
            </w:r>
          </w:p>
        </w:tc>
        <w:tc>
          <w:tcPr>
            <w:tcW w:w="1031" w:type="dxa"/>
            <w:vAlign w:val="bottom"/>
          </w:tcPr>
          <w:p w:rsidR="00A42B8D" w:rsidRPr="001C25C2" w:rsidRDefault="005846E2">
            <w:pPr>
              <w:pStyle w:val="Tabletext"/>
              <w:keepNext/>
              <w:spacing w:line="276" w:lineRule="auto"/>
              <w:jc w:val="center"/>
              <w:rPr>
                <w:rFonts w:cs="Arial"/>
              </w:rPr>
            </w:pPr>
            <w:r w:rsidRPr="001C25C2">
              <w:rPr>
                <w:color w:val="000000"/>
                <w:szCs w:val="20"/>
              </w:rPr>
              <w:t>$</w:t>
            </w:r>
            <w:r w:rsidR="00992751">
              <w:rPr>
                <w:noProof/>
                <w:color w:val="000000"/>
                <w:szCs w:val="20"/>
                <w:highlight w:val="black"/>
              </w:rPr>
              <w:t>'''''''''''''''''''''''''</w:t>
            </w:r>
          </w:p>
        </w:tc>
        <w:tc>
          <w:tcPr>
            <w:tcW w:w="1032" w:type="dxa"/>
            <w:vAlign w:val="bottom"/>
          </w:tcPr>
          <w:p w:rsidR="00A42B8D" w:rsidRPr="001C25C2" w:rsidRDefault="005846E2">
            <w:pPr>
              <w:pStyle w:val="Tabletext"/>
              <w:keepNext/>
              <w:spacing w:line="276" w:lineRule="auto"/>
              <w:jc w:val="center"/>
              <w:rPr>
                <w:rFonts w:cs="Arial"/>
              </w:rPr>
            </w:pPr>
            <w:r w:rsidRPr="001C25C2">
              <w:rPr>
                <w:color w:val="000000"/>
                <w:szCs w:val="20"/>
              </w:rPr>
              <w:t>$</w:t>
            </w:r>
            <w:r w:rsidR="00992751">
              <w:rPr>
                <w:noProof/>
                <w:color w:val="000000"/>
                <w:szCs w:val="20"/>
                <w:highlight w:val="black"/>
              </w:rPr>
              <w:t>''''''''''''''''''''''''''</w:t>
            </w:r>
          </w:p>
        </w:tc>
      </w:tr>
      <w:tr w:rsidR="00A42B8D" w:rsidRPr="001C25C2" w:rsidTr="002E4146">
        <w:trPr>
          <w:jc w:val="center"/>
        </w:trPr>
        <w:tc>
          <w:tcPr>
            <w:tcW w:w="9017" w:type="dxa"/>
            <w:gridSpan w:val="7"/>
          </w:tcPr>
          <w:p w:rsidR="00A42B8D" w:rsidRPr="001C25C2" w:rsidRDefault="005846E2">
            <w:pPr>
              <w:pStyle w:val="Tabletext"/>
              <w:keepNext/>
              <w:spacing w:line="276" w:lineRule="auto"/>
              <w:rPr>
                <w:color w:val="000000"/>
                <w:szCs w:val="20"/>
              </w:rPr>
            </w:pPr>
            <w:r w:rsidRPr="001C25C2">
              <w:rPr>
                <w:b/>
              </w:rPr>
              <w:t>Proportion patients with metastasis at diagnosis (base case = 37.6%)</w:t>
            </w:r>
          </w:p>
        </w:tc>
      </w:tr>
      <w:tr w:rsidR="00A42B8D" w:rsidRPr="001C25C2" w:rsidTr="002E4146">
        <w:trPr>
          <w:jc w:val="center"/>
        </w:trPr>
        <w:tc>
          <w:tcPr>
            <w:tcW w:w="2828" w:type="dxa"/>
          </w:tcPr>
          <w:p w:rsidR="00A42B8D" w:rsidRPr="001C25C2" w:rsidRDefault="005846E2">
            <w:pPr>
              <w:pStyle w:val="Tabletext"/>
              <w:keepNext/>
              <w:spacing w:line="276" w:lineRule="auto"/>
              <w:rPr>
                <w:rFonts w:cs="Arial"/>
              </w:rPr>
            </w:pPr>
            <w:r w:rsidRPr="001C25C2">
              <w:rPr>
                <w:rFonts w:cs="Arial"/>
              </w:rPr>
              <w:t>60%</w:t>
            </w:r>
          </w:p>
        </w:tc>
        <w:tc>
          <w:tcPr>
            <w:tcW w:w="1033" w:type="dxa"/>
            <w:vAlign w:val="bottom"/>
          </w:tcPr>
          <w:p w:rsidR="00A42B8D" w:rsidRPr="001C25C2" w:rsidRDefault="005846E2">
            <w:pPr>
              <w:pStyle w:val="Tabletext"/>
              <w:keepNext/>
              <w:spacing w:line="276" w:lineRule="auto"/>
              <w:jc w:val="center"/>
              <w:rPr>
                <w:color w:val="000000"/>
                <w:szCs w:val="20"/>
              </w:rPr>
            </w:pPr>
            <w:r w:rsidRPr="001C25C2">
              <w:rPr>
                <w:rFonts w:cs="Arial"/>
                <w:color w:val="000000"/>
                <w:szCs w:val="20"/>
              </w:rPr>
              <w:t>$</w:t>
            </w:r>
            <w:r w:rsidR="00992751">
              <w:rPr>
                <w:rFonts w:cs="Arial"/>
                <w:noProof/>
                <w:color w:val="000000"/>
                <w:szCs w:val="20"/>
                <w:highlight w:val="black"/>
              </w:rPr>
              <w:t>''''''''''''''''''''''''''</w:t>
            </w:r>
          </w:p>
        </w:tc>
        <w:tc>
          <w:tcPr>
            <w:tcW w:w="1031" w:type="dxa"/>
            <w:vAlign w:val="bottom"/>
          </w:tcPr>
          <w:p w:rsidR="00A42B8D" w:rsidRPr="001C25C2" w:rsidRDefault="005846E2">
            <w:pPr>
              <w:pStyle w:val="Tabletext"/>
              <w:keepNext/>
              <w:spacing w:line="276" w:lineRule="auto"/>
              <w:jc w:val="center"/>
              <w:rPr>
                <w:color w:val="000000"/>
                <w:szCs w:val="20"/>
              </w:rPr>
            </w:pPr>
            <w:r w:rsidRPr="001C25C2">
              <w:rPr>
                <w:rFonts w:cs="Arial"/>
                <w:color w:val="000000"/>
                <w:szCs w:val="20"/>
              </w:rPr>
              <w:t>$</w:t>
            </w:r>
            <w:r w:rsidR="00992751">
              <w:rPr>
                <w:rFonts w:cs="Arial"/>
                <w:noProof/>
                <w:color w:val="000000"/>
                <w:szCs w:val="20"/>
                <w:highlight w:val="black"/>
              </w:rPr>
              <w:t>'''''''''''''''''''''''''</w:t>
            </w:r>
          </w:p>
        </w:tc>
        <w:tc>
          <w:tcPr>
            <w:tcW w:w="1031" w:type="dxa"/>
            <w:vAlign w:val="bottom"/>
          </w:tcPr>
          <w:p w:rsidR="00A42B8D" w:rsidRPr="001C25C2" w:rsidRDefault="005846E2">
            <w:pPr>
              <w:pStyle w:val="Tabletext"/>
              <w:keepNext/>
              <w:spacing w:line="276" w:lineRule="auto"/>
              <w:jc w:val="center"/>
              <w:rPr>
                <w:color w:val="000000"/>
                <w:szCs w:val="20"/>
              </w:rPr>
            </w:pPr>
            <w:r w:rsidRPr="001C25C2">
              <w:rPr>
                <w:rFonts w:cs="Arial"/>
                <w:color w:val="000000"/>
                <w:szCs w:val="20"/>
              </w:rPr>
              <w:t>$</w:t>
            </w:r>
            <w:r w:rsidR="00992751">
              <w:rPr>
                <w:rFonts w:cs="Arial"/>
                <w:noProof/>
                <w:color w:val="000000"/>
                <w:szCs w:val="20"/>
                <w:highlight w:val="black"/>
              </w:rPr>
              <w:t>''''''''''''''''''''''''''</w:t>
            </w:r>
          </w:p>
        </w:tc>
        <w:tc>
          <w:tcPr>
            <w:tcW w:w="1031" w:type="dxa"/>
            <w:vAlign w:val="bottom"/>
          </w:tcPr>
          <w:p w:rsidR="00A42B8D" w:rsidRPr="001C25C2" w:rsidRDefault="005846E2">
            <w:pPr>
              <w:pStyle w:val="Tabletext"/>
              <w:keepNext/>
              <w:spacing w:line="276" w:lineRule="auto"/>
              <w:jc w:val="center"/>
              <w:rPr>
                <w:color w:val="000000"/>
                <w:szCs w:val="20"/>
              </w:rPr>
            </w:pPr>
            <w:r w:rsidRPr="001C25C2">
              <w:rPr>
                <w:rFonts w:cs="Arial"/>
                <w:color w:val="000000"/>
                <w:szCs w:val="20"/>
              </w:rPr>
              <w:t>$</w:t>
            </w:r>
            <w:r w:rsidR="00992751">
              <w:rPr>
                <w:rFonts w:cs="Arial"/>
                <w:noProof/>
                <w:color w:val="000000"/>
                <w:szCs w:val="20"/>
                <w:highlight w:val="black"/>
              </w:rPr>
              <w:t>''''''''''''''''''''''''''</w:t>
            </w:r>
          </w:p>
        </w:tc>
        <w:tc>
          <w:tcPr>
            <w:tcW w:w="1031" w:type="dxa"/>
            <w:vAlign w:val="bottom"/>
          </w:tcPr>
          <w:p w:rsidR="00A42B8D" w:rsidRPr="001C25C2" w:rsidRDefault="005846E2">
            <w:pPr>
              <w:pStyle w:val="Tabletext"/>
              <w:keepNext/>
              <w:spacing w:line="276" w:lineRule="auto"/>
              <w:jc w:val="center"/>
              <w:rPr>
                <w:color w:val="000000"/>
                <w:szCs w:val="20"/>
              </w:rPr>
            </w:pPr>
            <w:r w:rsidRPr="001C25C2">
              <w:rPr>
                <w:rFonts w:cs="Arial"/>
                <w:color w:val="000000"/>
                <w:szCs w:val="20"/>
              </w:rPr>
              <w:t>$</w:t>
            </w:r>
            <w:r w:rsidR="00992751">
              <w:rPr>
                <w:rFonts w:cs="Arial"/>
                <w:noProof/>
                <w:color w:val="000000"/>
                <w:szCs w:val="20"/>
                <w:highlight w:val="black"/>
              </w:rPr>
              <w:t>'''''''''''''''''''''''''</w:t>
            </w:r>
          </w:p>
        </w:tc>
        <w:tc>
          <w:tcPr>
            <w:tcW w:w="1032" w:type="dxa"/>
            <w:vAlign w:val="bottom"/>
          </w:tcPr>
          <w:p w:rsidR="00A42B8D" w:rsidRPr="001C25C2" w:rsidRDefault="005846E2">
            <w:pPr>
              <w:pStyle w:val="Tabletext"/>
              <w:keepNext/>
              <w:spacing w:line="276" w:lineRule="auto"/>
              <w:jc w:val="center"/>
              <w:rPr>
                <w:color w:val="000000"/>
                <w:szCs w:val="20"/>
              </w:rPr>
            </w:pPr>
            <w:r w:rsidRPr="001C25C2">
              <w:rPr>
                <w:rFonts w:cs="Arial"/>
                <w:color w:val="000000"/>
                <w:szCs w:val="20"/>
              </w:rPr>
              <w:t>$</w:t>
            </w:r>
            <w:r w:rsidR="00992751">
              <w:rPr>
                <w:rFonts w:cs="Arial"/>
                <w:noProof/>
                <w:color w:val="000000"/>
                <w:szCs w:val="20"/>
                <w:highlight w:val="black"/>
              </w:rPr>
              <w:t>'''''''''''''''''''''''</w:t>
            </w:r>
          </w:p>
        </w:tc>
      </w:tr>
      <w:tr w:rsidR="00A42B8D" w:rsidRPr="001C25C2" w:rsidTr="002E4146">
        <w:trPr>
          <w:jc w:val="center"/>
        </w:trPr>
        <w:tc>
          <w:tcPr>
            <w:tcW w:w="9017" w:type="dxa"/>
            <w:gridSpan w:val="7"/>
          </w:tcPr>
          <w:p w:rsidR="00A42B8D" w:rsidRPr="001C25C2" w:rsidRDefault="005846E2">
            <w:pPr>
              <w:pStyle w:val="Tabletext"/>
              <w:keepNext/>
              <w:spacing w:line="276" w:lineRule="auto"/>
              <w:rPr>
                <w:b/>
                <w:color w:val="000000"/>
                <w:szCs w:val="20"/>
              </w:rPr>
            </w:pPr>
            <w:r w:rsidRPr="001C25C2">
              <w:rPr>
                <w:b/>
              </w:rPr>
              <w:t>Proportion of eligible incident patients (base case = 26.1%)</w:t>
            </w:r>
          </w:p>
        </w:tc>
      </w:tr>
      <w:tr w:rsidR="00A42B8D" w:rsidRPr="001C25C2" w:rsidTr="002E4146">
        <w:trPr>
          <w:jc w:val="center"/>
        </w:trPr>
        <w:tc>
          <w:tcPr>
            <w:tcW w:w="2828" w:type="dxa"/>
          </w:tcPr>
          <w:p w:rsidR="00A42B8D" w:rsidRPr="001C25C2" w:rsidRDefault="005846E2">
            <w:pPr>
              <w:pStyle w:val="Tabletext"/>
              <w:keepNext/>
              <w:spacing w:line="276" w:lineRule="auto"/>
            </w:pPr>
            <w:r w:rsidRPr="001C25C2">
              <w:rPr>
                <w:rFonts w:cs="Arial"/>
              </w:rPr>
              <w:t>Using 14% eligibility based on Davidson et al 2018 (2)</w:t>
            </w:r>
          </w:p>
        </w:tc>
        <w:tc>
          <w:tcPr>
            <w:tcW w:w="1033" w:type="dxa"/>
            <w:vAlign w:val="center"/>
          </w:tcPr>
          <w:p w:rsidR="00A42B8D" w:rsidRPr="001C25C2" w:rsidRDefault="005846E2">
            <w:pPr>
              <w:pStyle w:val="Tabletext"/>
              <w:keepNext/>
              <w:spacing w:line="276" w:lineRule="auto"/>
              <w:jc w:val="center"/>
            </w:pPr>
            <w:r w:rsidRPr="001C25C2">
              <w:rPr>
                <w:rFonts w:cs="Arial"/>
                <w:bCs/>
                <w:color w:val="000000"/>
                <w:szCs w:val="20"/>
              </w:rPr>
              <w:t>$</w:t>
            </w:r>
            <w:r w:rsidR="00992751">
              <w:rPr>
                <w:rFonts w:cs="Arial"/>
                <w:bCs/>
                <w:noProof/>
                <w:color w:val="000000"/>
                <w:szCs w:val="20"/>
                <w:highlight w:val="black"/>
              </w:rPr>
              <w:t>'''''''''''''''''</w:t>
            </w:r>
          </w:p>
        </w:tc>
        <w:tc>
          <w:tcPr>
            <w:tcW w:w="1031" w:type="dxa"/>
            <w:vAlign w:val="center"/>
          </w:tcPr>
          <w:p w:rsidR="00A42B8D" w:rsidRPr="001C25C2" w:rsidRDefault="005846E2">
            <w:pPr>
              <w:pStyle w:val="Tabletext"/>
              <w:keepNext/>
              <w:spacing w:line="276" w:lineRule="auto"/>
              <w:jc w:val="center"/>
            </w:pPr>
            <w:r w:rsidRPr="001C25C2">
              <w:rPr>
                <w:rFonts w:cs="Arial"/>
                <w:bCs/>
                <w:color w:val="000000"/>
                <w:szCs w:val="20"/>
              </w:rPr>
              <w:t>$</w:t>
            </w:r>
            <w:r w:rsidR="00992751">
              <w:rPr>
                <w:rFonts w:cs="Arial"/>
                <w:bCs/>
                <w:noProof/>
                <w:color w:val="000000"/>
                <w:szCs w:val="20"/>
                <w:highlight w:val="black"/>
              </w:rPr>
              <w:t>'''''''''''''''''</w:t>
            </w:r>
          </w:p>
        </w:tc>
        <w:tc>
          <w:tcPr>
            <w:tcW w:w="1031" w:type="dxa"/>
            <w:vAlign w:val="center"/>
          </w:tcPr>
          <w:p w:rsidR="00A42B8D" w:rsidRPr="001C25C2" w:rsidRDefault="005846E2">
            <w:pPr>
              <w:pStyle w:val="Tabletext"/>
              <w:keepNext/>
              <w:spacing w:line="276" w:lineRule="auto"/>
              <w:jc w:val="center"/>
            </w:pPr>
            <w:r w:rsidRPr="001C25C2">
              <w:rPr>
                <w:rFonts w:cs="Arial"/>
                <w:bCs/>
                <w:color w:val="000000"/>
                <w:szCs w:val="20"/>
              </w:rPr>
              <w:t>$</w:t>
            </w:r>
            <w:r w:rsidR="00992751">
              <w:rPr>
                <w:rFonts w:cs="Arial"/>
                <w:bCs/>
                <w:noProof/>
                <w:color w:val="000000"/>
                <w:szCs w:val="20"/>
                <w:highlight w:val="black"/>
              </w:rPr>
              <w:t>''''''''''''''''''''''</w:t>
            </w:r>
          </w:p>
        </w:tc>
        <w:tc>
          <w:tcPr>
            <w:tcW w:w="1031" w:type="dxa"/>
            <w:vAlign w:val="center"/>
          </w:tcPr>
          <w:p w:rsidR="00A42B8D" w:rsidRPr="001C25C2" w:rsidRDefault="005846E2">
            <w:pPr>
              <w:pStyle w:val="Tabletext"/>
              <w:keepNext/>
              <w:spacing w:line="276" w:lineRule="auto"/>
              <w:jc w:val="center"/>
            </w:pPr>
            <w:r w:rsidRPr="001C25C2">
              <w:rPr>
                <w:rFonts w:cs="Arial"/>
                <w:bCs/>
                <w:color w:val="000000"/>
                <w:szCs w:val="20"/>
              </w:rPr>
              <w:t>$</w:t>
            </w:r>
            <w:r w:rsidR="00992751">
              <w:rPr>
                <w:rFonts w:cs="Arial"/>
                <w:bCs/>
                <w:noProof/>
                <w:color w:val="000000"/>
                <w:szCs w:val="20"/>
                <w:highlight w:val="black"/>
              </w:rPr>
              <w:t>'''''''''''''''''''</w:t>
            </w:r>
          </w:p>
        </w:tc>
        <w:tc>
          <w:tcPr>
            <w:tcW w:w="1031" w:type="dxa"/>
            <w:vAlign w:val="center"/>
          </w:tcPr>
          <w:p w:rsidR="00A42B8D" w:rsidRPr="001C25C2" w:rsidRDefault="005846E2">
            <w:pPr>
              <w:pStyle w:val="Tabletext"/>
              <w:keepNext/>
              <w:spacing w:line="276" w:lineRule="auto"/>
              <w:jc w:val="center"/>
            </w:pPr>
            <w:r w:rsidRPr="001C25C2">
              <w:rPr>
                <w:rFonts w:cs="Arial"/>
                <w:bCs/>
                <w:color w:val="000000"/>
                <w:szCs w:val="20"/>
              </w:rPr>
              <w:t>$</w:t>
            </w:r>
            <w:r w:rsidR="00992751">
              <w:rPr>
                <w:rFonts w:cs="Arial"/>
                <w:bCs/>
                <w:noProof/>
                <w:color w:val="000000"/>
                <w:szCs w:val="20"/>
                <w:highlight w:val="black"/>
              </w:rPr>
              <w:t>''''''''''''''''''''</w:t>
            </w:r>
          </w:p>
        </w:tc>
        <w:tc>
          <w:tcPr>
            <w:tcW w:w="1032" w:type="dxa"/>
            <w:vAlign w:val="center"/>
          </w:tcPr>
          <w:p w:rsidR="00A42B8D" w:rsidRPr="001C25C2" w:rsidRDefault="005846E2">
            <w:pPr>
              <w:pStyle w:val="Tabletext"/>
              <w:keepNext/>
              <w:spacing w:line="276" w:lineRule="auto"/>
              <w:jc w:val="center"/>
            </w:pPr>
            <w:r w:rsidRPr="001C25C2">
              <w:rPr>
                <w:rFonts w:cs="Arial"/>
                <w:bCs/>
                <w:color w:val="000000"/>
                <w:szCs w:val="20"/>
              </w:rPr>
              <w:t>$</w:t>
            </w:r>
            <w:r w:rsidR="00992751">
              <w:rPr>
                <w:rFonts w:cs="Arial"/>
                <w:bCs/>
                <w:noProof/>
                <w:color w:val="000000"/>
                <w:szCs w:val="20"/>
                <w:highlight w:val="black"/>
              </w:rPr>
              <w:t>'''''''''''''''''''</w:t>
            </w:r>
          </w:p>
        </w:tc>
      </w:tr>
      <w:tr w:rsidR="00A42B8D" w:rsidRPr="001C25C2" w:rsidTr="002E4146">
        <w:trPr>
          <w:trHeight w:val="279"/>
          <w:jc w:val="center"/>
        </w:trPr>
        <w:tc>
          <w:tcPr>
            <w:tcW w:w="9017" w:type="dxa"/>
            <w:gridSpan w:val="7"/>
            <w:vAlign w:val="center"/>
          </w:tcPr>
          <w:p w:rsidR="00A42B8D" w:rsidRPr="001C25C2" w:rsidRDefault="005846E2">
            <w:pPr>
              <w:pStyle w:val="Tabletext"/>
              <w:keepNext/>
              <w:spacing w:line="276" w:lineRule="auto"/>
              <w:rPr>
                <w:b/>
              </w:rPr>
            </w:pPr>
            <w:r w:rsidRPr="001C25C2">
              <w:rPr>
                <w:b/>
              </w:rPr>
              <w:t xml:space="preserve">Lower uptake of </w:t>
            </w:r>
            <w:proofErr w:type="spellStart"/>
            <w:r w:rsidRPr="001C25C2">
              <w:rPr>
                <w:b/>
              </w:rPr>
              <w:t>trifluridine</w:t>
            </w:r>
            <w:proofErr w:type="spellEnd"/>
            <w:r w:rsidRPr="001C25C2">
              <w:rPr>
                <w:b/>
              </w:rPr>
              <w:t>/</w:t>
            </w:r>
            <w:proofErr w:type="spellStart"/>
            <w:r w:rsidRPr="001C25C2">
              <w:rPr>
                <w:b/>
              </w:rPr>
              <w:t>tipiracil</w:t>
            </w:r>
            <w:proofErr w:type="spellEnd"/>
            <w:r w:rsidRPr="001C25C2">
              <w:rPr>
                <w:b/>
              </w:rPr>
              <w:t xml:space="preserve"> (base case = 74% – 90%)</w:t>
            </w:r>
          </w:p>
        </w:tc>
      </w:tr>
      <w:tr w:rsidR="00A42B8D" w:rsidRPr="001C25C2" w:rsidTr="002E4146">
        <w:trPr>
          <w:trHeight w:val="269"/>
          <w:jc w:val="center"/>
        </w:trPr>
        <w:tc>
          <w:tcPr>
            <w:tcW w:w="2828" w:type="dxa"/>
            <w:vAlign w:val="center"/>
          </w:tcPr>
          <w:p w:rsidR="00A42B8D" w:rsidRPr="001C25C2" w:rsidRDefault="005846E2">
            <w:pPr>
              <w:pStyle w:val="Tabletext"/>
              <w:keepNext/>
              <w:spacing w:line="276" w:lineRule="auto"/>
            </w:pPr>
            <w:r w:rsidRPr="001C25C2">
              <w:t xml:space="preserve">50% - 75% uptake </w:t>
            </w:r>
          </w:p>
        </w:tc>
        <w:tc>
          <w:tcPr>
            <w:tcW w:w="1033" w:type="dxa"/>
            <w:vAlign w:val="center"/>
          </w:tcPr>
          <w:p w:rsidR="00A42B8D" w:rsidRPr="001C25C2" w:rsidRDefault="005846E2">
            <w:pPr>
              <w:pStyle w:val="Tabletext"/>
              <w:keepNext/>
              <w:spacing w:line="276" w:lineRule="auto"/>
              <w:jc w:val="center"/>
            </w:pPr>
            <w:r w:rsidRPr="001C25C2">
              <w:rPr>
                <w:rFonts w:cs="Arial"/>
                <w:bCs/>
                <w:color w:val="000000"/>
                <w:szCs w:val="20"/>
              </w:rPr>
              <w:t>$</w:t>
            </w:r>
            <w:r w:rsidR="00992751">
              <w:rPr>
                <w:rFonts w:cs="Arial"/>
                <w:bCs/>
                <w:noProof/>
                <w:color w:val="000000"/>
                <w:szCs w:val="20"/>
                <w:highlight w:val="black"/>
              </w:rPr>
              <w:t>'''''''''''''''''</w:t>
            </w:r>
          </w:p>
        </w:tc>
        <w:tc>
          <w:tcPr>
            <w:tcW w:w="1031" w:type="dxa"/>
            <w:vAlign w:val="center"/>
          </w:tcPr>
          <w:p w:rsidR="00A42B8D" w:rsidRPr="001C25C2" w:rsidRDefault="005846E2">
            <w:pPr>
              <w:pStyle w:val="Tabletext"/>
              <w:keepNext/>
              <w:spacing w:line="276" w:lineRule="auto"/>
              <w:jc w:val="center"/>
            </w:pPr>
            <w:r w:rsidRPr="001C25C2">
              <w:rPr>
                <w:rFonts w:cs="Arial"/>
                <w:bCs/>
                <w:color w:val="000000"/>
                <w:szCs w:val="20"/>
              </w:rPr>
              <w:t>$</w:t>
            </w:r>
            <w:r w:rsidR="00992751">
              <w:rPr>
                <w:rFonts w:cs="Arial"/>
                <w:bCs/>
                <w:noProof/>
                <w:color w:val="000000"/>
                <w:szCs w:val="20"/>
                <w:highlight w:val="black"/>
              </w:rPr>
              <w:t>'''''''''''''''''''''</w:t>
            </w:r>
          </w:p>
        </w:tc>
        <w:tc>
          <w:tcPr>
            <w:tcW w:w="1031" w:type="dxa"/>
            <w:vAlign w:val="center"/>
          </w:tcPr>
          <w:p w:rsidR="00A42B8D" w:rsidRPr="001C25C2" w:rsidRDefault="005846E2">
            <w:pPr>
              <w:pStyle w:val="Tabletext"/>
              <w:keepNext/>
              <w:spacing w:line="276" w:lineRule="auto"/>
              <w:jc w:val="center"/>
            </w:pPr>
            <w:r w:rsidRPr="001C25C2">
              <w:rPr>
                <w:rFonts w:cs="Arial"/>
                <w:bCs/>
                <w:color w:val="000000"/>
                <w:szCs w:val="20"/>
              </w:rPr>
              <w:t>$</w:t>
            </w:r>
            <w:r w:rsidR="00992751">
              <w:rPr>
                <w:rFonts w:cs="Arial"/>
                <w:bCs/>
                <w:noProof/>
                <w:color w:val="000000"/>
                <w:szCs w:val="20"/>
                <w:highlight w:val="black"/>
              </w:rPr>
              <w:t>'''''''''''''''''</w:t>
            </w:r>
          </w:p>
        </w:tc>
        <w:tc>
          <w:tcPr>
            <w:tcW w:w="1031" w:type="dxa"/>
            <w:vAlign w:val="center"/>
          </w:tcPr>
          <w:p w:rsidR="00A42B8D" w:rsidRPr="001C25C2" w:rsidRDefault="005846E2">
            <w:pPr>
              <w:pStyle w:val="Tabletext"/>
              <w:keepNext/>
              <w:spacing w:line="276" w:lineRule="auto"/>
              <w:jc w:val="center"/>
            </w:pPr>
            <w:r w:rsidRPr="001C25C2">
              <w:rPr>
                <w:rFonts w:cs="Arial"/>
                <w:bCs/>
                <w:color w:val="000000"/>
                <w:szCs w:val="20"/>
              </w:rPr>
              <w:t>$</w:t>
            </w:r>
            <w:r w:rsidR="00992751">
              <w:rPr>
                <w:rFonts w:cs="Arial"/>
                <w:bCs/>
                <w:noProof/>
                <w:color w:val="000000"/>
                <w:szCs w:val="20"/>
                <w:highlight w:val="black"/>
              </w:rPr>
              <w:t>''''''''''''''''''</w:t>
            </w:r>
          </w:p>
        </w:tc>
        <w:tc>
          <w:tcPr>
            <w:tcW w:w="1031" w:type="dxa"/>
            <w:vAlign w:val="center"/>
          </w:tcPr>
          <w:p w:rsidR="00A42B8D" w:rsidRPr="001C25C2" w:rsidRDefault="005846E2">
            <w:pPr>
              <w:pStyle w:val="Tabletext"/>
              <w:keepNext/>
              <w:spacing w:line="276" w:lineRule="auto"/>
              <w:jc w:val="center"/>
            </w:pPr>
            <w:r w:rsidRPr="001C25C2">
              <w:rPr>
                <w:rFonts w:cs="Arial"/>
                <w:bCs/>
                <w:color w:val="000000"/>
                <w:szCs w:val="20"/>
              </w:rPr>
              <w:t>$</w:t>
            </w:r>
            <w:r w:rsidR="00992751">
              <w:rPr>
                <w:rFonts w:cs="Arial"/>
                <w:bCs/>
                <w:noProof/>
                <w:color w:val="000000"/>
                <w:szCs w:val="20"/>
                <w:highlight w:val="black"/>
              </w:rPr>
              <w:t>'''''''''''''''''''</w:t>
            </w:r>
          </w:p>
        </w:tc>
        <w:tc>
          <w:tcPr>
            <w:tcW w:w="1032" w:type="dxa"/>
            <w:vAlign w:val="center"/>
          </w:tcPr>
          <w:p w:rsidR="00A42B8D" w:rsidRPr="001C25C2" w:rsidRDefault="005846E2">
            <w:pPr>
              <w:pStyle w:val="Tabletext"/>
              <w:keepNext/>
              <w:spacing w:line="276" w:lineRule="auto"/>
              <w:jc w:val="center"/>
            </w:pPr>
            <w:r w:rsidRPr="001C25C2">
              <w:rPr>
                <w:rFonts w:cs="Arial"/>
                <w:bCs/>
                <w:color w:val="000000"/>
                <w:szCs w:val="20"/>
              </w:rPr>
              <w:t>$</w:t>
            </w:r>
            <w:r w:rsidR="00992751">
              <w:rPr>
                <w:rFonts w:cs="Arial"/>
                <w:bCs/>
                <w:noProof/>
                <w:color w:val="000000"/>
                <w:szCs w:val="20"/>
                <w:highlight w:val="black"/>
              </w:rPr>
              <w:t>''''''''''''''''''''</w:t>
            </w:r>
          </w:p>
        </w:tc>
      </w:tr>
    </w:tbl>
    <w:p w:rsidR="00A42B8D" w:rsidRPr="001C25C2" w:rsidRDefault="005846E2">
      <w:pPr>
        <w:pStyle w:val="TableFooter"/>
        <w:keepNext/>
        <w:jc w:val="left"/>
        <w:rPr>
          <w:i/>
        </w:rPr>
      </w:pPr>
      <w:r w:rsidRPr="001C25C2">
        <w:rPr>
          <w:i/>
        </w:rPr>
        <w:t>Source: Compiled during the evaluation.</w:t>
      </w:r>
    </w:p>
    <w:p w:rsidR="00A42B8D" w:rsidRPr="001C25C2" w:rsidRDefault="005846E2">
      <w:pPr>
        <w:pStyle w:val="TableFooter"/>
        <w:keepNext/>
        <w:jc w:val="left"/>
        <w:rPr>
          <w:i/>
          <w:szCs w:val="18"/>
        </w:rPr>
      </w:pPr>
      <w:proofErr w:type="spellStart"/>
      <w:proofErr w:type="gramStart"/>
      <w:r w:rsidRPr="001C25C2">
        <w:rPr>
          <w:i/>
          <w:szCs w:val="18"/>
          <w:vertAlign w:val="superscript"/>
        </w:rPr>
        <w:t>a</w:t>
      </w:r>
      <w:proofErr w:type="spellEnd"/>
      <w:proofErr w:type="gramEnd"/>
      <w:r w:rsidRPr="001C25C2">
        <w:rPr>
          <w:i/>
          <w:szCs w:val="18"/>
          <w:vertAlign w:val="superscript"/>
        </w:rPr>
        <w:t xml:space="preserve"> </w:t>
      </w:r>
      <w:r w:rsidRPr="001C25C2">
        <w:rPr>
          <w:i/>
          <w:szCs w:val="18"/>
        </w:rPr>
        <w:t xml:space="preserve">accounting for the costs of </w:t>
      </w:r>
      <w:r w:rsidRPr="001C25C2">
        <w:rPr>
          <w:rFonts w:cs="Arial Narrow"/>
          <w:color w:val="000000"/>
          <w:szCs w:val="20"/>
          <w:lang w:eastAsia="en-AU"/>
        </w:rPr>
        <w:t>granulocyte colony stimulating factor</w:t>
      </w:r>
      <w:r w:rsidRPr="001C25C2">
        <w:rPr>
          <w:i/>
          <w:szCs w:val="18"/>
        </w:rPr>
        <w:t xml:space="preserve"> use</w:t>
      </w:r>
    </w:p>
    <w:p w:rsidR="00A42B8D" w:rsidRPr="001C25C2" w:rsidRDefault="00A42B8D">
      <w:pPr>
        <w:widowControl/>
        <w:rPr>
          <w:i/>
        </w:rPr>
      </w:pPr>
    </w:p>
    <w:p w:rsidR="00573B4A" w:rsidRPr="001C25C2" w:rsidRDefault="005846E2"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lastRenderedPageBreak/>
        <w:t xml:space="preserve">The </w:t>
      </w:r>
      <w:r w:rsidR="00526A6F" w:rsidRPr="001C25C2">
        <w:rPr>
          <w:rFonts w:cs="Calibri"/>
          <w:snapToGrid/>
          <w:szCs w:val="24"/>
          <w:lang w:eastAsia="en-AU"/>
        </w:rPr>
        <w:t xml:space="preserve">ESC </w:t>
      </w:r>
      <w:r w:rsidR="007520B1" w:rsidRPr="001C25C2">
        <w:rPr>
          <w:rFonts w:cs="Calibri"/>
          <w:snapToGrid/>
          <w:szCs w:val="24"/>
          <w:lang w:eastAsia="en-AU"/>
        </w:rPr>
        <w:t>considered</w:t>
      </w:r>
      <w:r w:rsidR="00526A6F" w:rsidRPr="001C25C2">
        <w:rPr>
          <w:rFonts w:cs="Calibri"/>
          <w:snapToGrid/>
          <w:szCs w:val="24"/>
          <w:lang w:eastAsia="en-AU"/>
        </w:rPr>
        <w:t xml:space="preserve"> that the </w:t>
      </w:r>
      <w:r w:rsidRPr="001C25C2">
        <w:rPr>
          <w:rFonts w:cs="Calibri"/>
          <w:snapToGrid/>
          <w:szCs w:val="24"/>
          <w:lang w:eastAsia="en-AU"/>
        </w:rPr>
        <w:t xml:space="preserve">net cost to the MBS presented in the submission was likely to be underestimated given costs of hospitalisation for managing severe AEs (febrile neutropenia and anaemia) and radiological monitoring of disease progression (every 8 weeks) while undergoing </w:t>
      </w:r>
      <w:proofErr w:type="spellStart"/>
      <w:r w:rsidRPr="001C25C2">
        <w:rPr>
          <w:rFonts w:cs="Calibri"/>
          <w:snapToGrid/>
          <w:szCs w:val="24"/>
          <w:lang w:eastAsia="en-AU"/>
        </w:rPr>
        <w:t>trifluridine</w:t>
      </w:r>
      <w:proofErr w:type="spellEnd"/>
      <w:r w:rsidRPr="001C25C2">
        <w:rPr>
          <w:rFonts w:cs="Calibri"/>
          <w:snapToGrid/>
          <w:szCs w:val="24"/>
          <w:lang w:eastAsia="en-AU"/>
        </w:rPr>
        <w:t>/</w:t>
      </w:r>
      <w:proofErr w:type="spellStart"/>
      <w:r w:rsidRPr="001C25C2">
        <w:rPr>
          <w:rFonts w:cs="Calibri"/>
          <w:snapToGrid/>
          <w:szCs w:val="24"/>
          <w:lang w:eastAsia="en-AU"/>
        </w:rPr>
        <w:t>tipiracil</w:t>
      </w:r>
      <w:proofErr w:type="spellEnd"/>
      <w:r w:rsidRPr="001C25C2">
        <w:rPr>
          <w:rFonts w:cs="Calibri"/>
          <w:snapToGrid/>
          <w:szCs w:val="24"/>
          <w:lang w:eastAsia="en-AU"/>
        </w:rPr>
        <w:t xml:space="preserve"> treatment were not included. </w:t>
      </w:r>
    </w:p>
    <w:p w:rsidR="0044762C" w:rsidRPr="001C25C2" w:rsidRDefault="007B315F" w:rsidP="00FD7977">
      <w:pPr>
        <w:pStyle w:val="ListParagraph"/>
        <w:keepNext/>
        <w:widowControl/>
        <w:numPr>
          <w:ilvl w:val="1"/>
          <w:numId w:val="2"/>
        </w:numPr>
        <w:spacing w:after="120"/>
        <w:rPr>
          <w:rFonts w:cs="Calibri"/>
          <w:snapToGrid/>
          <w:szCs w:val="24"/>
          <w:lang w:eastAsia="en-AU"/>
        </w:rPr>
      </w:pPr>
      <w:r w:rsidRPr="001C25C2">
        <w:rPr>
          <w:rFonts w:cs="Calibri"/>
          <w:snapToGrid/>
          <w:szCs w:val="24"/>
          <w:lang w:eastAsia="en-AU"/>
        </w:rPr>
        <w:t>The ESC noted that the sponsor did not propose any ri</w:t>
      </w:r>
      <w:r w:rsidR="00322C0A" w:rsidRPr="001C25C2">
        <w:rPr>
          <w:rFonts w:cs="Calibri"/>
          <w:snapToGrid/>
          <w:szCs w:val="24"/>
          <w:lang w:eastAsia="en-AU"/>
        </w:rPr>
        <w:t>sk sharing arrangements</w:t>
      </w:r>
      <w:r w:rsidR="00573B4A" w:rsidRPr="001C25C2">
        <w:rPr>
          <w:rFonts w:cs="Calibri"/>
          <w:snapToGrid/>
          <w:szCs w:val="24"/>
          <w:lang w:eastAsia="en-AU"/>
        </w:rPr>
        <w:t xml:space="preserve"> (RSA)</w:t>
      </w:r>
      <w:r w:rsidRPr="001C25C2">
        <w:rPr>
          <w:rFonts w:cs="Calibri"/>
          <w:snapToGrid/>
          <w:szCs w:val="24"/>
          <w:lang w:eastAsia="en-AU"/>
        </w:rPr>
        <w:t>.</w:t>
      </w:r>
      <w:r w:rsidR="00573B4A" w:rsidRPr="001C25C2">
        <w:rPr>
          <w:rFonts w:cs="Calibri"/>
          <w:snapToGrid/>
          <w:szCs w:val="24"/>
          <w:lang w:eastAsia="en-AU"/>
        </w:rPr>
        <w:t xml:space="preserve"> The sponsor confirmed in its pre-PBAC response confirmed that it was not proposing an RSA given the low number of patients that would be eligible for third-line treatment leading to a low budget impact. </w:t>
      </w:r>
    </w:p>
    <w:p w:rsidR="00573B4A" w:rsidRPr="001C25C2" w:rsidRDefault="009B7A74" w:rsidP="00587BCE">
      <w:pPr>
        <w:widowControl/>
        <w:tabs>
          <w:tab w:val="center" w:pos="4153"/>
          <w:tab w:val="right" w:pos="8306"/>
        </w:tabs>
        <w:autoSpaceDE w:val="0"/>
        <w:autoSpaceDN w:val="0"/>
        <w:adjustRightInd w:val="0"/>
        <w:ind w:left="709"/>
        <w:rPr>
          <w:rFonts w:asciiTheme="minorHAnsi" w:hAnsiTheme="minorHAnsi" w:cstheme="minorHAnsi"/>
          <w:i/>
          <w:iCs/>
          <w:snapToGrid/>
          <w:szCs w:val="24"/>
          <w:lang w:eastAsia="en-AU"/>
        </w:rPr>
      </w:pPr>
      <w:r w:rsidRPr="001C25C2">
        <w:rPr>
          <w:rFonts w:asciiTheme="minorHAnsi" w:hAnsiTheme="minorHAnsi" w:cstheme="minorHAnsi"/>
          <w:i/>
          <w:iCs/>
          <w:snapToGrid/>
          <w:szCs w:val="24"/>
          <w:lang w:eastAsia="en-AU"/>
        </w:rPr>
        <w:t>For more detail on PBAC’s view, see section 7 PBAC outcome.</w:t>
      </w:r>
    </w:p>
    <w:p w:rsidR="00205BD7" w:rsidRPr="00587BCE" w:rsidRDefault="00205BD7" w:rsidP="00587BCE">
      <w:pPr>
        <w:pStyle w:val="PBACHeading1"/>
        <w:numPr>
          <w:ilvl w:val="0"/>
          <w:numId w:val="2"/>
        </w:numPr>
        <w:spacing w:before="240" w:after="120"/>
        <w:outlineLvl w:val="0"/>
      </w:pPr>
      <w:r w:rsidRPr="001C25C2">
        <w:t>PBAC Outcome</w:t>
      </w:r>
    </w:p>
    <w:p w:rsidR="00FC10DC" w:rsidRPr="001C25C2" w:rsidRDefault="00FC10DC" w:rsidP="00FD7977">
      <w:pPr>
        <w:widowControl/>
        <w:numPr>
          <w:ilvl w:val="1"/>
          <w:numId w:val="2"/>
        </w:numPr>
        <w:spacing w:after="120"/>
        <w:rPr>
          <w:rFonts w:asciiTheme="minorHAnsi" w:eastAsiaTheme="minorHAnsi" w:hAnsiTheme="minorHAnsi" w:cstheme="minorBidi"/>
          <w:snapToGrid/>
          <w:color w:val="000000" w:themeColor="text1"/>
        </w:rPr>
      </w:pPr>
      <w:r w:rsidRPr="001C25C2">
        <w:rPr>
          <w:rFonts w:asciiTheme="minorHAnsi" w:eastAsiaTheme="minorHAnsi" w:hAnsiTheme="minorHAnsi" w:cstheme="minorBidi"/>
          <w:snapToGrid/>
          <w:color w:val="000000" w:themeColor="text1"/>
        </w:rPr>
        <w:t xml:space="preserve">The PBAC recommended the Authority Required </w:t>
      </w:r>
      <w:r w:rsidR="00573B4A" w:rsidRPr="001C25C2">
        <w:rPr>
          <w:rFonts w:asciiTheme="minorHAnsi" w:eastAsiaTheme="minorHAnsi" w:hAnsiTheme="minorHAnsi" w:cstheme="minorBidi"/>
          <w:snapToGrid/>
          <w:color w:val="000000" w:themeColor="text1"/>
        </w:rPr>
        <w:t xml:space="preserve">(STREAMLINED) </w:t>
      </w:r>
      <w:r w:rsidRPr="001C25C2">
        <w:rPr>
          <w:rFonts w:asciiTheme="minorHAnsi" w:eastAsiaTheme="minorHAnsi" w:hAnsiTheme="minorHAnsi" w:cstheme="minorBidi"/>
          <w:snapToGrid/>
          <w:color w:val="000000" w:themeColor="text1"/>
        </w:rPr>
        <w:t xml:space="preserve">listing of </w:t>
      </w:r>
      <w:proofErr w:type="spellStart"/>
      <w:r w:rsidRPr="001C25C2">
        <w:rPr>
          <w:rFonts w:asciiTheme="minorHAnsi" w:eastAsiaTheme="minorHAnsi" w:hAnsiTheme="minorHAnsi" w:cstheme="minorBidi"/>
          <w:snapToGrid/>
          <w:color w:val="000000" w:themeColor="text1"/>
        </w:rPr>
        <w:t>trifluridine</w:t>
      </w:r>
      <w:proofErr w:type="spellEnd"/>
      <w:r w:rsidRPr="001C25C2">
        <w:rPr>
          <w:rFonts w:asciiTheme="minorHAnsi" w:eastAsiaTheme="minorHAnsi" w:hAnsiTheme="minorHAnsi" w:cstheme="minorBidi"/>
          <w:snapToGrid/>
          <w:color w:val="000000" w:themeColor="text1"/>
        </w:rPr>
        <w:t>/</w:t>
      </w:r>
      <w:proofErr w:type="spellStart"/>
      <w:r w:rsidRPr="001C25C2">
        <w:rPr>
          <w:rFonts w:asciiTheme="minorHAnsi" w:eastAsiaTheme="minorHAnsi" w:hAnsiTheme="minorHAnsi" w:cstheme="minorBidi"/>
          <w:snapToGrid/>
          <w:color w:val="000000" w:themeColor="text1"/>
        </w:rPr>
        <w:t>tipiracil</w:t>
      </w:r>
      <w:proofErr w:type="spellEnd"/>
      <w:r w:rsidRPr="001C25C2">
        <w:rPr>
          <w:rFonts w:asciiTheme="minorHAnsi" w:eastAsiaTheme="minorHAnsi" w:hAnsiTheme="minorHAnsi" w:cstheme="minorBidi"/>
          <w:snapToGrid/>
          <w:color w:val="000000" w:themeColor="text1"/>
        </w:rPr>
        <w:t xml:space="preserve"> for third (or subsequent) line treatment of patients with metastatic gastric adenocarcinoma, including adenocarcinoma of the gastroesophageal junction previously treated with at least two prior lines of chemotherapy that included a </w:t>
      </w:r>
      <w:proofErr w:type="spellStart"/>
      <w:r w:rsidRPr="001C25C2">
        <w:rPr>
          <w:rFonts w:asciiTheme="minorHAnsi" w:eastAsiaTheme="minorHAnsi" w:hAnsiTheme="minorHAnsi" w:cstheme="minorBidi"/>
          <w:snapToGrid/>
          <w:color w:val="000000" w:themeColor="text1"/>
        </w:rPr>
        <w:t>fluoropyrimidine</w:t>
      </w:r>
      <w:proofErr w:type="spellEnd"/>
      <w:r w:rsidRPr="001C25C2">
        <w:rPr>
          <w:rFonts w:asciiTheme="minorHAnsi" w:eastAsiaTheme="minorHAnsi" w:hAnsiTheme="minorHAnsi" w:cstheme="minorBidi"/>
          <w:snapToGrid/>
          <w:color w:val="000000" w:themeColor="text1"/>
        </w:rPr>
        <w:t xml:space="preserve">, a platinum, </w:t>
      </w:r>
      <w:r w:rsidR="002F3053" w:rsidRPr="001C25C2">
        <w:rPr>
          <w:rFonts w:asciiTheme="minorHAnsi" w:eastAsiaTheme="minorHAnsi" w:hAnsiTheme="minorHAnsi" w:cstheme="minorBidi"/>
          <w:snapToGrid/>
          <w:color w:val="000000" w:themeColor="text1"/>
        </w:rPr>
        <w:t xml:space="preserve">and </w:t>
      </w:r>
      <w:r w:rsidRPr="001C25C2">
        <w:rPr>
          <w:rFonts w:asciiTheme="minorHAnsi" w:eastAsiaTheme="minorHAnsi" w:hAnsiTheme="minorHAnsi" w:cstheme="minorBidi"/>
          <w:snapToGrid/>
          <w:color w:val="000000" w:themeColor="text1"/>
        </w:rPr>
        <w:t xml:space="preserve">either a </w:t>
      </w:r>
      <w:proofErr w:type="spellStart"/>
      <w:r w:rsidRPr="001C25C2">
        <w:rPr>
          <w:rFonts w:asciiTheme="minorHAnsi" w:eastAsiaTheme="minorHAnsi" w:hAnsiTheme="minorHAnsi" w:cstheme="minorBidi"/>
          <w:snapToGrid/>
          <w:color w:val="000000" w:themeColor="text1"/>
        </w:rPr>
        <w:t>taxane</w:t>
      </w:r>
      <w:proofErr w:type="spellEnd"/>
      <w:r w:rsidRPr="001C25C2">
        <w:rPr>
          <w:rFonts w:asciiTheme="minorHAnsi" w:eastAsiaTheme="minorHAnsi" w:hAnsiTheme="minorHAnsi" w:cstheme="minorBidi"/>
          <w:snapToGrid/>
          <w:color w:val="000000" w:themeColor="text1"/>
        </w:rPr>
        <w:t xml:space="preserve">- or </w:t>
      </w:r>
      <w:proofErr w:type="spellStart"/>
      <w:r w:rsidRPr="001C25C2">
        <w:rPr>
          <w:rFonts w:asciiTheme="minorHAnsi" w:eastAsiaTheme="minorHAnsi" w:hAnsiTheme="minorHAnsi" w:cstheme="minorBidi"/>
          <w:snapToGrid/>
          <w:color w:val="000000" w:themeColor="text1"/>
        </w:rPr>
        <w:t>irinotecan</w:t>
      </w:r>
      <w:proofErr w:type="spellEnd"/>
      <w:r w:rsidR="006A1EEA" w:rsidRPr="001C25C2">
        <w:rPr>
          <w:rFonts w:asciiTheme="minorHAnsi" w:eastAsiaTheme="minorHAnsi" w:hAnsiTheme="minorHAnsi" w:cstheme="minorBidi"/>
          <w:snapToGrid/>
          <w:color w:val="000000" w:themeColor="text1"/>
        </w:rPr>
        <w:t>.</w:t>
      </w:r>
    </w:p>
    <w:p w:rsidR="00E42E88" w:rsidRPr="001C25C2" w:rsidRDefault="00E42E88" w:rsidP="00FD7977">
      <w:pPr>
        <w:widowControl/>
        <w:numPr>
          <w:ilvl w:val="1"/>
          <w:numId w:val="2"/>
        </w:numPr>
        <w:spacing w:after="120"/>
        <w:rPr>
          <w:rFonts w:asciiTheme="minorHAnsi" w:eastAsiaTheme="minorHAnsi" w:hAnsiTheme="minorHAnsi" w:cstheme="minorBidi"/>
          <w:snapToGrid/>
          <w:color w:val="000000" w:themeColor="text1"/>
        </w:rPr>
      </w:pPr>
      <w:r w:rsidRPr="001C25C2">
        <w:rPr>
          <w:rFonts w:asciiTheme="minorHAnsi" w:eastAsiaTheme="minorHAnsi" w:hAnsiTheme="minorHAnsi" w:cstheme="minorBidi"/>
          <w:snapToGrid/>
          <w:color w:val="000000" w:themeColor="text1"/>
        </w:rPr>
        <w:t>The PBAC</w:t>
      </w:r>
      <w:r w:rsidR="00734133" w:rsidRPr="001C25C2">
        <w:rPr>
          <w:rFonts w:asciiTheme="minorHAnsi" w:eastAsiaTheme="minorHAnsi" w:hAnsiTheme="minorHAnsi" w:cstheme="minorBidi"/>
          <w:snapToGrid/>
          <w:color w:val="000000" w:themeColor="text1"/>
        </w:rPr>
        <w:t xml:space="preserve"> </w:t>
      </w:r>
      <w:r w:rsidR="00883B61" w:rsidRPr="001C25C2">
        <w:rPr>
          <w:rFonts w:asciiTheme="minorHAnsi" w:eastAsiaTheme="minorHAnsi" w:hAnsiTheme="minorHAnsi" w:cstheme="minorBidi"/>
          <w:snapToGrid/>
          <w:color w:val="000000" w:themeColor="text1"/>
        </w:rPr>
        <w:t xml:space="preserve">considered it was not necessary to specify in the restriction that patients must have previously been treated with, if appropriate, </w:t>
      </w:r>
      <w:r w:rsidR="00777188" w:rsidRPr="001C25C2">
        <w:t>HER2/</w:t>
      </w:r>
      <w:proofErr w:type="spellStart"/>
      <w:r w:rsidR="00777188" w:rsidRPr="001C25C2">
        <w:t>neu</w:t>
      </w:r>
      <w:proofErr w:type="spellEnd"/>
      <w:r w:rsidR="00777188" w:rsidRPr="001C25C2">
        <w:t xml:space="preserve">-targeted </w:t>
      </w:r>
      <w:r w:rsidR="001E0442" w:rsidRPr="001C25C2">
        <w:t>therapy</w:t>
      </w:r>
      <w:r w:rsidR="00883B61" w:rsidRPr="001C25C2">
        <w:t>” in the restriction, as per the request in the submission. Rather, the PBAC considered that the use of a HER2/</w:t>
      </w:r>
      <w:proofErr w:type="spellStart"/>
      <w:r w:rsidR="00883B61" w:rsidRPr="001C25C2">
        <w:t>neu</w:t>
      </w:r>
      <w:proofErr w:type="spellEnd"/>
      <w:r w:rsidR="00883B61" w:rsidRPr="001C25C2">
        <w:t>-targeted therapy in appropriate patients could be left to the judgement of the treating clinician without resulting in use outside the intended population</w:t>
      </w:r>
      <w:r w:rsidR="001E0442" w:rsidRPr="001C25C2">
        <w:t>.</w:t>
      </w:r>
      <w:r w:rsidR="00883B61" w:rsidRPr="001C25C2">
        <w:t xml:space="preserve"> </w:t>
      </w:r>
    </w:p>
    <w:p w:rsidR="00FC10DC" w:rsidRPr="001C25C2" w:rsidRDefault="00FC10DC" w:rsidP="00FD7977">
      <w:pPr>
        <w:widowControl/>
        <w:numPr>
          <w:ilvl w:val="1"/>
          <w:numId w:val="2"/>
        </w:numPr>
        <w:spacing w:after="120"/>
        <w:rPr>
          <w:rFonts w:asciiTheme="minorHAnsi" w:eastAsiaTheme="minorHAnsi" w:hAnsiTheme="minorHAnsi" w:cstheme="minorBidi"/>
          <w:snapToGrid/>
          <w:color w:val="000000" w:themeColor="text1"/>
        </w:rPr>
      </w:pPr>
      <w:r w:rsidRPr="001C25C2">
        <w:rPr>
          <w:rFonts w:asciiTheme="minorHAnsi" w:eastAsiaTheme="minorHAnsi" w:hAnsiTheme="minorHAnsi" w:cstheme="minorBidi"/>
          <w:snapToGrid/>
          <w:color w:val="000000" w:themeColor="text1"/>
        </w:rPr>
        <w:t>The PBAC acknowledged that there is a high and unmet</w:t>
      </w:r>
      <w:r w:rsidR="00C47702" w:rsidRPr="001C25C2">
        <w:rPr>
          <w:rFonts w:asciiTheme="minorHAnsi" w:eastAsiaTheme="minorHAnsi" w:hAnsiTheme="minorHAnsi" w:cstheme="minorBidi"/>
          <w:snapToGrid/>
          <w:color w:val="000000" w:themeColor="text1"/>
        </w:rPr>
        <w:t xml:space="preserve"> clinical</w:t>
      </w:r>
      <w:r w:rsidRPr="001C25C2">
        <w:rPr>
          <w:rFonts w:asciiTheme="minorHAnsi" w:eastAsiaTheme="minorHAnsi" w:hAnsiTheme="minorHAnsi" w:cstheme="minorBidi"/>
          <w:snapToGrid/>
          <w:color w:val="000000" w:themeColor="text1"/>
        </w:rPr>
        <w:t xml:space="preserve"> need for additional therapies for patients with refractory </w:t>
      </w:r>
      <w:proofErr w:type="spellStart"/>
      <w:r w:rsidRPr="001C25C2">
        <w:rPr>
          <w:rFonts w:asciiTheme="minorHAnsi" w:eastAsiaTheme="minorHAnsi" w:hAnsiTheme="minorHAnsi" w:cstheme="minorBidi"/>
          <w:snapToGrid/>
          <w:color w:val="000000" w:themeColor="text1"/>
        </w:rPr>
        <w:t>mG</w:t>
      </w:r>
      <w:proofErr w:type="spellEnd"/>
      <w:r w:rsidR="00CD3271" w:rsidRPr="001C25C2">
        <w:rPr>
          <w:rFonts w:asciiTheme="minorHAnsi" w:eastAsiaTheme="minorHAnsi" w:hAnsiTheme="minorHAnsi" w:cstheme="minorBidi"/>
          <w:snapToGrid/>
          <w:color w:val="000000" w:themeColor="text1"/>
        </w:rPr>
        <w:t>/GEJ adenocarcinoma</w:t>
      </w:r>
      <w:r w:rsidRPr="001C25C2">
        <w:rPr>
          <w:rFonts w:asciiTheme="minorHAnsi" w:eastAsiaTheme="minorHAnsi" w:hAnsiTheme="minorHAnsi" w:cstheme="minorBidi"/>
          <w:snapToGrid/>
          <w:color w:val="000000" w:themeColor="text1"/>
        </w:rPr>
        <w:t xml:space="preserve"> and good performance status</w:t>
      </w:r>
      <w:r w:rsidR="00C47702" w:rsidRPr="001C25C2">
        <w:rPr>
          <w:rFonts w:asciiTheme="minorHAnsi" w:eastAsiaTheme="minorHAnsi" w:hAnsiTheme="minorHAnsi" w:cstheme="minorBidi"/>
          <w:snapToGrid/>
          <w:color w:val="000000" w:themeColor="text1"/>
        </w:rPr>
        <w:t xml:space="preserve">. The PBAC was </w:t>
      </w:r>
      <w:r w:rsidRPr="001C25C2">
        <w:rPr>
          <w:rFonts w:asciiTheme="minorHAnsi" w:eastAsiaTheme="minorHAnsi" w:hAnsiTheme="minorHAnsi" w:cstheme="minorBidi"/>
          <w:snapToGrid/>
          <w:color w:val="000000" w:themeColor="text1"/>
        </w:rPr>
        <w:t xml:space="preserve">satisfied that </w:t>
      </w:r>
      <w:proofErr w:type="spellStart"/>
      <w:r w:rsidRPr="001C25C2">
        <w:rPr>
          <w:rFonts w:asciiTheme="minorHAnsi" w:eastAsiaTheme="minorHAnsi" w:hAnsiTheme="minorHAnsi" w:cstheme="minorBidi"/>
          <w:snapToGrid/>
          <w:color w:val="000000" w:themeColor="text1"/>
        </w:rPr>
        <w:t>trifluridine</w:t>
      </w:r>
      <w:proofErr w:type="spellEnd"/>
      <w:r w:rsidRPr="001C25C2">
        <w:rPr>
          <w:rFonts w:asciiTheme="minorHAnsi" w:eastAsiaTheme="minorHAnsi" w:hAnsiTheme="minorHAnsi" w:cstheme="minorBidi"/>
          <w:snapToGrid/>
          <w:color w:val="000000" w:themeColor="text1"/>
        </w:rPr>
        <w:t>/</w:t>
      </w:r>
      <w:proofErr w:type="spellStart"/>
      <w:r w:rsidRPr="001C25C2">
        <w:rPr>
          <w:rFonts w:asciiTheme="minorHAnsi" w:eastAsiaTheme="minorHAnsi" w:hAnsiTheme="minorHAnsi" w:cstheme="minorBidi"/>
          <w:snapToGrid/>
          <w:color w:val="000000" w:themeColor="text1"/>
        </w:rPr>
        <w:t>tipiracil</w:t>
      </w:r>
      <w:proofErr w:type="spellEnd"/>
      <w:r w:rsidRPr="001C25C2">
        <w:rPr>
          <w:rFonts w:asciiTheme="minorHAnsi" w:eastAsiaTheme="minorHAnsi" w:hAnsiTheme="minorHAnsi" w:cstheme="minorBidi"/>
          <w:snapToGrid/>
          <w:color w:val="000000" w:themeColor="text1"/>
        </w:rPr>
        <w:t xml:space="preserve">, for some patients, provides a </w:t>
      </w:r>
      <w:r w:rsidR="00B83B49">
        <w:rPr>
          <w:rFonts w:asciiTheme="minorHAnsi" w:eastAsiaTheme="minorHAnsi" w:hAnsiTheme="minorHAnsi" w:cstheme="minorBidi"/>
          <w:snapToGrid/>
          <w:color w:val="000000" w:themeColor="text1"/>
        </w:rPr>
        <w:t>small</w:t>
      </w:r>
      <w:r w:rsidR="00B83B49" w:rsidRPr="001C25C2">
        <w:rPr>
          <w:rFonts w:asciiTheme="minorHAnsi" w:eastAsiaTheme="minorHAnsi" w:hAnsiTheme="minorHAnsi" w:cstheme="minorBidi"/>
          <w:snapToGrid/>
          <w:color w:val="000000" w:themeColor="text1"/>
        </w:rPr>
        <w:t xml:space="preserve"> </w:t>
      </w:r>
      <w:r w:rsidRPr="001C25C2">
        <w:rPr>
          <w:rFonts w:asciiTheme="minorHAnsi" w:eastAsiaTheme="minorHAnsi" w:hAnsiTheme="minorHAnsi" w:cstheme="minorBidi"/>
          <w:snapToGrid/>
          <w:color w:val="000000" w:themeColor="text1"/>
        </w:rPr>
        <w:t xml:space="preserve">improvement in overall survival over BSC. The PBAC’s recommendation for listing was based on, among other matters, its assessment, as described above, that the cost-effectiveness of </w:t>
      </w:r>
      <w:proofErr w:type="spellStart"/>
      <w:r w:rsidRPr="001C25C2">
        <w:rPr>
          <w:rFonts w:asciiTheme="minorHAnsi" w:eastAsiaTheme="minorHAnsi" w:hAnsiTheme="minorHAnsi" w:cstheme="minorBidi"/>
          <w:snapToGrid/>
          <w:color w:val="000000" w:themeColor="text1"/>
        </w:rPr>
        <w:t>trifluridne</w:t>
      </w:r>
      <w:proofErr w:type="spellEnd"/>
      <w:r w:rsidRPr="001C25C2">
        <w:rPr>
          <w:rFonts w:asciiTheme="minorHAnsi" w:eastAsiaTheme="minorHAnsi" w:hAnsiTheme="minorHAnsi" w:cstheme="minorBidi"/>
          <w:snapToGrid/>
          <w:color w:val="000000" w:themeColor="text1"/>
        </w:rPr>
        <w:t>/</w:t>
      </w:r>
      <w:proofErr w:type="spellStart"/>
      <w:r w:rsidRPr="001C25C2">
        <w:rPr>
          <w:rFonts w:asciiTheme="minorHAnsi" w:eastAsiaTheme="minorHAnsi" w:hAnsiTheme="minorHAnsi" w:cstheme="minorBidi"/>
          <w:snapToGrid/>
          <w:color w:val="000000" w:themeColor="text1"/>
        </w:rPr>
        <w:t>tipiracil</w:t>
      </w:r>
      <w:proofErr w:type="spellEnd"/>
      <w:r w:rsidRPr="001C25C2">
        <w:rPr>
          <w:rFonts w:asciiTheme="minorHAnsi" w:eastAsiaTheme="minorHAnsi" w:hAnsiTheme="minorHAnsi" w:cstheme="minorBidi"/>
          <w:snapToGrid/>
          <w:color w:val="000000" w:themeColor="text1"/>
        </w:rPr>
        <w:t xml:space="preserve"> would be acceptable at the price proposed in </w:t>
      </w:r>
      <w:r w:rsidR="00C47702" w:rsidRPr="001C25C2">
        <w:rPr>
          <w:rFonts w:asciiTheme="minorHAnsi" w:eastAsiaTheme="minorHAnsi" w:hAnsiTheme="minorHAnsi" w:cstheme="minorBidi"/>
          <w:snapToGrid/>
          <w:color w:val="000000" w:themeColor="text1"/>
        </w:rPr>
        <w:t>the submission</w:t>
      </w:r>
      <w:r w:rsidRPr="001C25C2">
        <w:rPr>
          <w:rFonts w:asciiTheme="minorHAnsi" w:eastAsiaTheme="minorHAnsi" w:hAnsiTheme="minorHAnsi" w:cstheme="minorBidi"/>
          <w:snapToGrid/>
          <w:color w:val="000000" w:themeColor="text1"/>
        </w:rPr>
        <w:t xml:space="preserve">. </w:t>
      </w:r>
    </w:p>
    <w:p w:rsidR="00FC10DC" w:rsidRPr="001C25C2" w:rsidRDefault="00FC10DC" w:rsidP="00FD7977">
      <w:pPr>
        <w:widowControl/>
        <w:numPr>
          <w:ilvl w:val="1"/>
          <w:numId w:val="2"/>
        </w:numPr>
        <w:spacing w:after="120"/>
        <w:rPr>
          <w:rFonts w:asciiTheme="minorHAnsi" w:eastAsiaTheme="minorHAnsi" w:hAnsiTheme="minorHAnsi" w:cstheme="minorBidi"/>
          <w:snapToGrid/>
          <w:color w:val="000000" w:themeColor="text1"/>
        </w:rPr>
      </w:pPr>
      <w:r w:rsidRPr="001C25C2">
        <w:rPr>
          <w:rFonts w:asciiTheme="minorHAnsi" w:eastAsiaTheme="minorHAnsi" w:hAnsiTheme="minorHAnsi" w:cstheme="minorBidi"/>
          <w:snapToGrid/>
          <w:color w:val="000000" w:themeColor="text1"/>
        </w:rPr>
        <w:t xml:space="preserve">The PBAC considered that the proposed </w:t>
      </w:r>
      <w:proofErr w:type="spellStart"/>
      <w:r w:rsidRPr="001C25C2">
        <w:rPr>
          <w:rFonts w:asciiTheme="minorHAnsi" w:eastAsiaTheme="minorHAnsi" w:hAnsiTheme="minorHAnsi" w:cstheme="minorBidi"/>
          <w:snapToGrid/>
          <w:color w:val="000000" w:themeColor="text1"/>
        </w:rPr>
        <w:t>trifluridine</w:t>
      </w:r>
      <w:proofErr w:type="spellEnd"/>
      <w:r w:rsidRPr="001C25C2">
        <w:rPr>
          <w:rFonts w:asciiTheme="minorHAnsi" w:eastAsiaTheme="minorHAnsi" w:hAnsiTheme="minorHAnsi" w:cstheme="minorBidi"/>
          <w:snapToGrid/>
          <w:color w:val="000000" w:themeColor="text1"/>
        </w:rPr>
        <w:t>/</w:t>
      </w:r>
      <w:proofErr w:type="spellStart"/>
      <w:r w:rsidRPr="001C25C2">
        <w:rPr>
          <w:rFonts w:asciiTheme="minorHAnsi" w:eastAsiaTheme="minorHAnsi" w:hAnsiTheme="minorHAnsi" w:cstheme="minorBidi"/>
          <w:snapToGrid/>
          <w:color w:val="000000" w:themeColor="text1"/>
        </w:rPr>
        <w:t>tipiracil</w:t>
      </w:r>
      <w:proofErr w:type="spellEnd"/>
      <w:r w:rsidRPr="001C25C2">
        <w:rPr>
          <w:rFonts w:asciiTheme="minorHAnsi" w:eastAsiaTheme="minorHAnsi" w:hAnsiTheme="minorHAnsi" w:cstheme="minorBidi"/>
          <w:snapToGrid/>
          <w:color w:val="000000" w:themeColor="text1"/>
        </w:rPr>
        <w:t xml:space="preserve"> place as a third line treatment in the clinical management algorithm was appropriate and consistent with the National Comprehensive Cancer Network guidelines and the proposed restriction for initial and continuing therapy</w:t>
      </w:r>
      <w:r w:rsidR="00315233">
        <w:rPr>
          <w:rFonts w:asciiTheme="minorHAnsi" w:eastAsiaTheme="minorHAnsi" w:hAnsiTheme="minorHAnsi" w:cstheme="minorBidi"/>
          <w:snapToGrid/>
          <w:color w:val="000000" w:themeColor="text1"/>
        </w:rPr>
        <w:t xml:space="preserve">. </w:t>
      </w:r>
    </w:p>
    <w:p w:rsidR="00FC10DC" w:rsidRPr="001C25C2" w:rsidRDefault="00FC10DC" w:rsidP="00FD7977">
      <w:pPr>
        <w:widowControl/>
        <w:numPr>
          <w:ilvl w:val="1"/>
          <w:numId w:val="2"/>
        </w:numPr>
        <w:spacing w:after="120"/>
        <w:rPr>
          <w:rFonts w:asciiTheme="minorHAnsi" w:eastAsiaTheme="minorHAnsi" w:hAnsiTheme="minorHAnsi" w:cstheme="minorBidi"/>
          <w:snapToGrid/>
          <w:color w:val="000000" w:themeColor="text1"/>
        </w:rPr>
      </w:pPr>
      <w:r w:rsidRPr="001C25C2">
        <w:rPr>
          <w:rFonts w:asciiTheme="minorHAnsi" w:eastAsiaTheme="minorHAnsi" w:hAnsiTheme="minorHAnsi" w:cstheme="minorBidi"/>
          <w:snapToGrid/>
          <w:color w:val="000000" w:themeColor="text1"/>
        </w:rPr>
        <w:t xml:space="preserve">The PBAC considered that BSC </w:t>
      </w:r>
      <w:r w:rsidR="009163A6" w:rsidRPr="001C25C2">
        <w:rPr>
          <w:rFonts w:asciiTheme="minorHAnsi" w:eastAsiaTheme="minorHAnsi" w:hAnsiTheme="minorHAnsi" w:cstheme="minorBidi"/>
          <w:snapToGrid/>
          <w:color w:val="000000" w:themeColor="text1"/>
        </w:rPr>
        <w:t xml:space="preserve">alone </w:t>
      </w:r>
      <w:r w:rsidRPr="001C25C2">
        <w:rPr>
          <w:rFonts w:asciiTheme="minorHAnsi" w:eastAsiaTheme="minorHAnsi" w:hAnsiTheme="minorHAnsi" w:cstheme="minorBidi"/>
          <w:snapToGrid/>
          <w:color w:val="000000" w:themeColor="text1"/>
        </w:rPr>
        <w:t>was the appropriate comparator.</w:t>
      </w:r>
    </w:p>
    <w:p w:rsidR="00FC10DC" w:rsidRPr="001C25C2" w:rsidRDefault="00FC10DC" w:rsidP="00FD7977">
      <w:pPr>
        <w:widowControl/>
        <w:numPr>
          <w:ilvl w:val="1"/>
          <w:numId w:val="2"/>
        </w:numPr>
        <w:spacing w:after="120"/>
        <w:rPr>
          <w:rFonts w:asciiTheme="minorHAnsi" w:eastAsiaTheme="minorHAnsi" w:hAnsiTheme="minorHAnsi" w:cstheme="minorBidi"/>
          <w:snapToGrid/>
          <w:color w:val="000000" w:themeColor="text1"/>
        </w:rPr>
      </w:pPr>
      <w:r w:rsidRPr="001C25C2">
        <w:rPr>
          <w:rFonts w:asciiTheme="minorHAnsi" w:eastAsiaTheme="minorHAnsi" w:hAnsiTheme="minorHAnsi" w:cstheme="minorBidi"/>
          <w:snapToGrid/>
          <w:color w:val="000000" w:themeColor="text1"/>
        </w:rPr>
        <w:t xml:space="preserve">The PBAC noted that the submission was based on a head-to-head randomised trial (TAGS) comparing </w:t>
      </w:r>
      <w:proofErr w:type="spellStart"/>
      <w:r w:rsidRPr="001C25C2">
        <w:rPr>
          <w:rFonts w:asciiTheme="minorHAnsi" w:eastAsiaTheme="minorHAnsi" w:hAnsiTheme="minorHAnsi" w:cstheme="minorBidi"/>
          <w:snapToGrid/>
          <w:color w:val="000000" w:themeColor="text1"/>
        </w:rPr>
        <w:t>trifluridine</w:t>
      </w:r>
      <w:proofErr w:type="spellEnd"/>
      <w:r w:rsidRPr="001C25C2">
        <w:rPr>
          <w:rFonts w:asciiTheme="minorHAnsi" w:eastAsiaTheme="minorHAnsi" w:hAnsiTheme="minorHAnsi" w:cstheme="minorBidi"/>
          <w:snapToGrid/>
          <w:color w:val="000000" w:themeColor="text1"/>
        </w:rPr>
        <w:t>/</w:t>
      </w:r>
      <w:proofErr w:type="spellStart"/>
      <w:r w:rsidRPr="001C25C2">
        <w:rPr>
          <w:rFonts w:asciiTheme="minorHAnsi" w:eastAsiaTheme="minorHAnsi" w:hAnsiTheme="minorHAnsi" w:cstheme="minorBidi"/>
          <w:snapToGrid/>
          <w:color w:val="000000" w:themeColor="text1"/>
        </w:rPr>
        <w:t>tipiracil</w:t>
      </w:r>
      <w:proofErr w:type="spellEnd"/>
      <w:r w:rsidRPr="001C25C2">
        <w:rPr>
          <w:rFonts w:asciiTheme="minorHAnsi" w:eastAsiaTheme="minorHAnsi" w:hAnsiTheme="minorHAnsi" w:cstheme="minorBidi"/>
          <w:snapToGrid/>
          <w:color w:val="000000" w:themeColor="text1"/>
        </w:rPr>
        <w:t xml:space="preserve"> </w:t>
      </w:r>
      <w:r w:rsidR="009163A6" w:rsidRPr="001C25C2">
        <w:rPr>
          <w:rFonts w:asciiTheme="minorHAnsi" w:eastAsiaTheme="minorHAnsi" w:hAnsiTheme="minorHAnsi" w:cstheme="minorBidi"/>
          <w:snapToGrid/>
          <w:color w:val="000000" w:themeColor="text1"/>
        </w:rPr>
        <w:t xml:space="preserve">plus BSC </w:t>
      </w:r>
      <w:r w:rsidRPr="001C25C2">
        <w:rPr>
          <w:rFonts w:asciiTheme="minorHAnsi" w:eastAsiaTheme="minorHAnsi" w:hAnsiTheme="minorHAnsi" w:cstheme="minorBidi"/>
          <w:snapToGrid/>
          <w:color w:val="000000" w:themeColor="text1"/>
        </w:rPr>
        <w:t xml:space="preserve">to placebo plus BSC. The PBAC considered that the TAGS trial was well balanced between treatment arms in terms of baseline demographics, disease severity and pre-study treatment, and relevant to the </w:t>
      </w:r>
      <w:r w:rsidRPr="001C25C2">
        <w:rPr>
          <w:rFonts w:asciiTheme="minorHAnsi" w:eastAsiaTheme="minorHAnsi" w:hAnsiTheme="minorHAnsi" w:cstheme="minorBidi"/>
          <w:snapToGrid/>
          <w:color w:val="000000" w:themeColor="text1"/>
        </w:rPr>
        <w:lastRenderedPageBreak/>
        <w:t xml:space="preserve">proposed PBS population in the clinical practice. The PBAC noted that the risk of bias in the trial was low. </w:t>
      </w:r>
    </w:p>
    <w:p w:rsidR="00FC10DC" w:rsidRPr="001C25C2" w:rsidRDefault="00FC10DC" w:rsidP="00FD7977">
      <w:pPr>
        <w:widowControl/>
        <w:numPr>
          <w:ilvl w:val="1"/>
          <w:numId w:val="2"/>
        </w:numPr>
        <w:spacing w:after="120"/>
        <w:rPr>
          <w:rFonts w:asciiTheme="minorHAnsi" w:eastAsiaTheme="minorHAnsi" w:hAnsiTheme="minorHAnsi" w:cstheme="minorBidi"/>
          <w:snapToGrid/>
          <w:color w:val="000000" w:themeColor="text1"/>
        </w:rPr>
      </w:pPr>
      <w:r w:rsidRPr="001C25C2">
        <w:rPr>
          <w:rFonts w:asciiTheme="minorHAnsi" w:eastAsiaTheme="minorHAnsi" w:hAnsiTheme="minorHAnsi" w:cstheme="minorBidi"/>
          <w:snapToGrid/>
          <w:color w:val="000000" w:themeColor="text1"/>
        </w:rPr>
        <w:t>The PBAC noted the submission’s claim of superior effectiveness was based on the clinical evidence from the TAGS trial showing 2.1 months gain in median OS (mean 2.4</w:t>
      </w:r>
      <w:r w:rsidR="009163A6" w:rsidRPr="001C25C2">
        <w:rPr>
          <w:rFonts w:asciiTheme="minorHAnsi" w:eastAsiaTheme="minorHAnsi" w:hAnsiTheme="minorHAnsi" w:cstheme="minorBidi"/>
          <w:snapToGrid/>
          <w:color w:val="000000" w:themeColor="text1"/>
        </w:rPr>
        <w:t> </w:t>
      </w:r>
      <w:r w:rsidRPr="001C25C2">
        <w:rPr>
          <w:rFonts w:asciiTheme="minorHAnsi" w:eastAsiaTheme="minorHAnsi" w:hAnsiTheme="minorHAnsi" w:cstheme="minorBidi"/>
          <w:snapToGrid/>
          <w:color w:val="000000" w:themeColor="text1"/>
        </w:rPr>
        <w:t xml:space="preserve">months) for </w:t>
      </w:r>
      <w:proofErr w:type="spellStart"/>
      <w:r w:rsidRPr="001C25C2">
        <w:rPr>
          <w:rFonts w:asciiTheme="minorHAnsi" w:eastAsiaTheme="minorHAnsi" w:hAnsiTheme="minorHAnsi" w:cstheme="minorBidi"/>
          <w:snapToGrid/>
          <w:color w:val="000000" w:themeColor="text1"/>
        </w:rPr>
        <w:t>trifluridine</w:t>
      </w:r>
      <w:proofErr w:type="spellEnd"/>
      <w:r w:rsidRPr="001C25C2">
        <w:rPr>
          <w:rFonts w:asciiTheme="minorHAnsi" w:eastAsiaTheme="minorHAnsi" w:hAnsiTheme="minorHAnsi" w:cstheme="minorBidi"/>
          <w:snapToGrid/>
          <w:color w:val="000000" w:themeColor="text1"/>
        </w:rPr>
        <w:t>/</w:t>
      </w:r>
      <w:proofErr w:type="spellStart"/>
      <w:r w:rsidRPr="001C25C2">
        <w:rPr>
          <w:rFonts w:asciiTheme="minorHAnsi" w:eastAsiaTheme="minorHAnsi" w:hAnsiTheme="minorHAnsi" w:cstheme="minorBidi"/>
          <w:snapToGrid/>
          <w:color w:val="000000" w:themeColor="text1"/>
        </w:rPr>
        <w:t>tipiracil</w:t>
      </w:r>
      <w:proofErr w:type="spellEnd"/>
      <w:r w:rsidRPr="001C25C2">
        <w:rPr>
          <w:rFonts w:asciiTheme="minorHAnsi" w:eastAsiaTheme="minorHAnsi" w:hAnsiTheme="minorHAnsi" w:cstheme="minorBidi"/>
          <w:snapToGrid/>
          <w:color w:val="000000" w:themeColor="text1"/>
        </w:rPr>
        <w:t xml:space="preserve"> compared </w:t>
      </w:r>
      <w:r w:rsidR="009163A6" w:rsidRPr="001C25C2">
        <w:rPr>
          <w:rFonts w:asciiTheme="minorHAnsi" w:eastAsiaTheme="minorHAnsi" w:hAnsiTheme="minorHAnsi" w:cstheme="minorBidi"/>
          <w:snapToGrid/>
          <w:color w:val="000000" w:themeColor="text1"/>
        </w:rPr>
        <w:t xml:space="preserve">with </w:t>
      </w:r>
      <w:r w:rsidRPr="001C25C2">
        <w:rPr>
          <w:rFonts w:asciiTheme="minorHAnsi" w:eastAsiaTheme="minorHAnsi" w:hAnsiTheme="minorHAnsi" w:cstheme="minorBidi"/>
          <w:snapToGrid/>
          <w:color w:val="000000" w:themeColor="text1"/>
        </w:rPr>
        <w:t>placebo with a HR of 0.69 (95%</w:t>
      </w:r>
      <w:r w:rsidR="009163A6" w:rsidRPr="001C25C2">
        <w:rPr>
          <w:rFonts w:asciiTheme="minorHAnsi" w:eastAsiaTheme="minorHAnsi" w:hAnsiTheme="minorHAnsi" w:cstheme="minorBidi"/>
          <w:snapToGrid/>
          <w:color w:val="000000" w:themeColor="text1"/>
        </w:rPr>
        <w:t xml:space="preserve"> </w:t>
      </w:r>
      <w:r w:rsidRPr="001C25C2">
        <w:rPr>
          <w:rFonts w:asciiTheme="minorHAnsi" w:eastAsiaTheme="minorHAnsi" w:hAnsiTheme="minorHAnsi" w:cstheme="minorBidi"/>
          <w:snapToGrid/>
          <w:color w:val="000000" w:themeColor="text1"/>
        </w:rPr>
        <w:t xml:space="preserve">CI: 0.56, 0.85), corresponding to a 31% reduction in the hazard of death. The PBAC noted that the magnitude of the clinical benefit for OS according to the ESMO-MCBS version 1.1 was </w:t>
      </w:r>
      <w:r w:rsidR="0001264B">
        <w:rPr>
          <w:rFonts w:asciiTheme="minorHAnsi" w:eastAsiaTheme="minorHAnsi" w:hAnsiTheme="minorHAnsi" w:cstheme="minorBidi"/>
          <w:snapToGrid/>
          <w:color w:val="000000" w:themeColor="text1"/>
        </w:rPr>
        <w:t>small</w:t>
      </w:r>
      <w:r w:rsidRPr="001C25C2">
        <w:rPr>
          <w:rFonts w:asciiTheme="minorHAnsi" w:eastAsiaTheme="minorHAnsi" w:hAnsiTheme="minorHAnsi" w:cstheme="minorBidi"/>
          <w:snapToGrid/>
          <w:color w:val="000000" w:themeColor="text1"/>
        </w:rPr>
        <w:t xml:space="preserve"> (i.e. grade 3 out of 5, where grades 4 and 5 represent the grades with substantial improvement). The PBAC considered that in the context of limited treatment options, the </w:t>
      </w:r>
      <w:r w:rsidR="00145DA3">
        <w:rPr>
          <w:rFonts w:asciiTheme="minorHAnsi" w:eastAsiaTheme="minorHAnsi" w:hAnsiTheme="minorHAnsi" w:cstheme="minorBidi"/>
          <w:snapToGrid/>
          <w:color w:val="000000" w:themeColor="text1"/>
        </w:rPr>
        <w:t xml:space="preserve">small </w:t>
      </w:r>
      <w:r w:rsidRPr="001C25C2">
        <w:rPr>
          <w:rFonts w:asciiTheme="minorHAnsi" w:eastAsiaTheme="minorHAnsi" w:hAnsiTheme="minorHAnsi" w:cstheme="minorBidi"/>
          <w:snapToGrid/>
          <w:color w:val="000000" w:themeColor="text1"/>
        </w:rPr>
        <w:t xml:space="preserve">benefit of </w:t>
      </w:r>
      <w:proofErr w:type="spellStart"/>
      <w:r w:rsidRPr="001C25C2">
        <w:rPr>
          <w:rFonts w:asciiTheme="minorHAnsi" w:eastAsiaTheme="minorHAnsi" w:hAnsiTheme="minorHAnsi" w:cstheme="minorBidi"/>
          <w:snapToGrid/>
          <w:color w:val="000000" w:themeColor="text1"/>
        </w:rPr>
        <w:t>trifluridine</w:t>
      </w:r>
      <w:proofErr w:type="spellEnd"/>
      <w:r w:rsidRPr="001C25C2">
        <w:rPr>
          <w:rFonts w:asciiTheme="minorHAnsi" w:eastAsiaTheme="minorHAnsi" w:hAnsiTheme="minorHAnsi" w:cstheme="minorBidi"/>
          <w:snapToGrid/>
          <w:color w:val="000000" w:themeColor="text1"/>
        </w:rPr>
        <w:t>/</w:t>
      </w:r>
      <w:proofErr w:type="spellStart"/>
      <w:r w:rsidRPr="001C25C2">
        <w:rPr>
          <w:rFonts w:asciiTheme="minorHAnsi" w:eastAsiaTheme="minorHAnsi" w:hAnsiTheme="minorHAnsi" w:cstheme="minorBidi"/>
          <w:snapToGrid/>
          <w:color w:val="000000" w:themeColor="text1"/>
        </w:rPr>
        <w:t>tipiracil</w:t>
      </w:r>
      <w:proofErr w:type="spellEnd"/>
      <w:r w:rsidRPr="001C25C2">
        <w:rPr>
          <w:rFonts w:asciiTheme="minorHAnsi" w:eastAsiaTheme="minorHAnsi" w:hAnsiTheme="minorHAnsi" w:cstheme="minorBidi"/>
          <w:snapToGrid/>
          <w:color w:val="000000" w:themeColor="text1"/>
        </w:rPr>
        <w:t xml:space="preserve"> may be meaningful for some patients</w:t>
      </w:r>
      <w:r w:rsidR="00315233">
        <w:rPr>
          <w:rFonts w:asciiTheme="minorHAnsi" w:eastAsiaTheme="minorHAnsi" w:hAnsiTheme="minorHAnsi" w:cstheme="minorBidi"/>
          <w:snapToGrid/>
          <w:color w:val="000000" w:themeColor="text1"/>
        </w:rPr>
        <w:t xml:space="preserve">. </w:t>
      </w:r>
    </w:p>
    <w:p w:rsidR="00FC10DC" w:rsidRPr="001C25C2" w:rsidRDefault="00FC10DC" w:rsidP="00FD7977">
      <w:pPr>
        <w:widowControl/>
        <w:numPr>
          <w:ilvl w:val="1"/>
          <w:numId w:val="2"/>
        </w:numPr>
        <w:spacing w:after="120"/>
        <w:rPr>
          <w:rFonts w:asciiTheme="minorHAnsi" w:eastAsiaTheme="minorHAnsi" w:hAnsiTheme="minorHAnsi" w:cstheme="minorBidi"/>
          <w:snapToGrid/>
          <w:color w:val="000000" w:themeColor="text1"/>
        </w:rPr>
      </w:pPr>
      <w:r w:rsidRPr="001C25C2">
        <w:rPr>
          <w:rFonts w:asciiTheme="minorHAnsi" w:eastAsiaTheme="minorHAnsi" w:hAnsiTheme="minorHAnsi" w:cstheme="minorBidi"/>
          <w:snapToGrid/>
          <w:color w:val="000000" w:themeColor="text1"/>
        </w:rPr>
        <w:t xml:space="preserve">The PBAC noted that the </w:t>
      </w:r>
      <w:r w:rsidR="002B5B37" w:rsidRPr="001C25C2">
        <w:rPr>
          <w:rFonts w:asciiTheme="minorHAnsi" w:eastAsiaTheme="minorHAnsi" w:hAnsiTheme="minorHAnsi" w:cstheme="minorBidi"/>
          <w:snapToGrid/>
          <w:color w:val="000000" w:themeColor="text1"/>
        </w:rPr>
        <w:t xml:space="preserve">gain in </w:t>
      </w:r>
      <w:r w:rsidRPr="001C25C2">
        <w:rPr>
          <w:rFonts w:asciiTheme="minorHAnsi" w:eastAsiaTheme="minorHAnsi" w:hAnsiTheme="minorHAnsi" w:cstheme="minorBidi"/>
          <w:snapToGrid/>
          <w:color w:val="000000" w:themeColor="text1"/>
        </w:rPr>
        <w:t xml:space="preserve">median PFS was approximately </w:t>
      </w:r>
      <w:r w:rsidR="002B5B37" w:rsidRPr="001C25C2">
        <w:rPr>
          <w:rFonts w:asciiTheme="minorHAnsi" w:eastAsiaTheme="minorHAnsi" w:hAnsiTheme="minorHAnsi" w:cstheme="minorBidi"/>
          <w:snapToGrid/>
          <w:color w:val="000000" w:themeColor="text1"/>
        </w:rPr>
        <w:t>0.16</w:t>
      </w:r>
      <w:r w:rsidRPr="001C25C2">
        <w:rPr>
          <w:rFonts w:asciiTheme="minorHAnsi" w:eastAsiaTheme="minorHAnsi" w:hAnsiTheme="minorHAnsi" w:cstheme="minorBidi"/>
          <w:snapToGrid/>
          <w:color w:val="000000" w:themeColor="text1"/>
        </w:rPr>
        <w:t xml:space="preserve"> months</w:t>
      </w:r>
      <w:r w:rsidR="00491CE0" w:rsidRPr="001C25C2">
        <w:rPr>
          <w:rFonts w:asciiTheme="minorHAnsi" w:eastAsiaTheme="minorHAnsi" w:hAnsiTheme="minorHAnsi" w:cstheme="minorBidi"/>
          <w:snapToGrid/>
          <w:color w:val="000000" w:themeColor="text1"/>
        </w:rPr>
        <w:t xml:space="preserve"> (mean </w:t>
      </w:r>
      <w:r w:rsidR="002B5B37" w:rsidRPr="001C25C2">
        <w:rPr>
          <w:rFonts w:asciiTheme="minorHAnsi" w:eastAsiaTheme="minorHAnsi" w:hAnsiTheme="minorHAnsi" w:cstheme="minorBidi"/>
          <w:snapToGrid/>
          <w:color w:val="000000" w:themeColor="text1"/>
        </w:rPr>
        <w:t>1.2</w:t>
      </w:r>
      <w:r w:rsidR="00491CE0" w:rsidRPr="001C25C2">
        <w:rPr>
          <w:rFonts w:asciiTheme="minorHAnsi" w:eastAsiaTheme="minorHAnsi" w:hAnsiTheme="minorHAnsi" w:cstheme="minorBidi"/>
          <w:snapToGrid/>
          <w:color w:val="000000" w:themeColor="text1"/>
        </w:rPr>
        <w:t xml:space="preserve"> months)</w:t>
      </w:r>
      <w:r w:rsidR="002B5B37" w:rsidRPr="001C25C2">
        <w:rPr>
          <w:rFonts w:asciiTheme="minorHAnsi" w:eastAsiaTheme="minorHAnsi" w:hAnsiTheme="minorHAnsi" w:cstheme="minorBidi"/>
          <w:snapToGrid/>
          <w:color w:val="000000" w:themeColor="text1"/>
        </w:rPr>
        <w:t>,</w:t>
      </w:r>
      <w:r w:rsidRPr="001C25C2">
        <w:rPr>
          <w:rFonts w:asciiTheme="minorHAnsi" w:eastAsiaTheme="minorHAnsi" w:hAnsiTheme="minorHAnsi" w:cstheme="minorBidi"/>
          <w:snapToGrid/>
          <w:color w:val="000000" w:themeColor="text1"/>
        </w:rPr>
        <w:t xml:space="preserve"> </w:t>
      </w:r>
      <w:r w:rsidR="002B5B37" w:rsidRPr="001C25C2">
        <w:rPr>
          <w:rFonts w:asciiTheme="minorHAnsi" w:eastAsiaTheme="minorHAnsi" w:hAnsiTheme="minorHAnsi" w:cstheme="minorBidi"/>
          <w:snapToGrid/>
          <w:color w:val="000000" w:themeColor="text1"/>
        </w:rPr>
        <w:t>corresponding to</w:t>
      </w:r>
      <w:r w:rsidRPr="001C25C2">
        <w:rPr>
          <w:rFonts w:asciiTheme="minorHAnsi" w:eastAsiaTheme="minorHAnsi" w:hAnsiTheme="minorHAnsi" w:cstheme="minorBidi"/>
          <w:snapToGrid/>
          <w:color w:val="000000" w:themeColor="text1"/>
        </w:rPr>
        <w:t xml:space="preserve"> a 43% reduction in the hazard of disease progression</w:t>
      </w:r>
      <w:r w:rsidR="002B5B37" w:rsidRPr="001C25C2">
        <w:rPr>
          <w:rFonts w:asciiTheme="minorHAnsi" w:eastAsiaTheme="minorHAnsi" w:hAnsiTheme="minorHAnsi" w:cstheme="minorBidi"/>
          <w:snapToGrid/>
          <w:color w:val="000000" w:themeColor="text1"/>
        </w:rPr>
        <w:t xml:space="preserve"> or death</w:t>
      </w:r>
      <w:r w:rsidRPr="001C25C2">
        <w:rPr>
          <w:rFonts w:asciiTheme="minorHAnsi" w:eastAsiaTheme="minorHAnsi" w:hAnsiTheme="minorHAnsi" w:cstheme="minorBidi"/>
          <w:snapToGrid/>
          <w:color w:val="000000" w:themeColor="text1"/>
        </w:rPr>
        <w:t xml:space="preserve"> (HR 0.57, 95% CI: 0.47, 0.70). The PBAC noted that the difference in the median PFS was approximately 5 days (1.97 months vs. 1.81 months). As such, the PBAC agreed with the evaluation that, while this difference was statistically significant,</w:t>
      </w:r>
      <w:r w:rsidR="00CC572D" w:rsidRPr="001C25C2">
        <w:rPr>
          <w:rFonts w:asciiTheme="minorHAnsi" w:eastAsiaTheme="minorHAnsi" w:hAnsiTheme="minorHAnsi" w:cstheme="minorBidi"/>
          <w:snapToGrid/>
          <w:color w:val="000000" w:themeColor="text1"/>
        </w:rPr>
        <w:t xml:space="preserve"> the gain in PFS observed in the trial was unlikely to be clinically meaningful to patients. </w:t>
      </w:r>
    </w:p>
    <w:p w:rsidR="00FC10DC" w:rsidRPr="001C25C2" w:rsidRDefault="00E45DD2" w:rsidP="00FD7977">
      <w:pPr>
        <w:widowControl/>
        <w:numPr>
          <w:ilvl w:val="1"/>
          <w:numId w:val="2"/>
        </w:numPr>
        <w:spacing w:after="120"/>
        <w:rPr>
          <w:rFonts w:asciiTheme="minorHAnsi" w:eastAsiaTheme="minorHAnsi" w:hAnsiTheme="minorHAnsi" w:cstheme="minorBidi"/>
          <w:snapToGrid/>
          <w:color w:val="000000" w:themeColor="text1"/>
        </w:rPr>
      </w:pPr>
      <w:r w:rsidRPr="001C25C2">
        <w:rPr>
          <w:rFonts w:asciiTheme="minorHAnsi" w:eastAsiaTheme="minorHAnsi" w:hAnsiTheme="minorHAnsi" w:cstheme="minorBidi"/>
          <w:snapToGrid/>
          <w:color w:val="000000" w:themeColor="text1"/>
        </w:rPr>
        <w:t>The PBAC noted the ESC</w:t>
      </w:r>
      <w:r w:rsidR="007670ED" w:rsidRPr="001C25C2">
        <w:rPr>
          <w:rFonts w:asciiTheme="minorHAnsi" w:eastAsiaTheme="minorHAnsi" w:hAnsiTheme="minorHAnsi" w:cstheme="minorBidi"/>
          <w:snapToGrid/>
          <w:color w:val="000000" w:themeColor="text1"/>
        </w:rPr>
        <w:t>’s</w:t>
      </w:r>
      <w:r w:rsidRPr="001C25C2">
        <w:rPr>
          <w:rFonts w:asciiTheme="minorHAnsi" w:eastAsiaTheme="minorHAnsi" w:hAnsiTheme="minorHAnsi" w:cstheme="minorBidi"/>
          <w:snapToGrid/>
          <w:color w:val="000000" w:themeColor="text1"/>
        </w:rPr>
        <w:t xml:space="preserve"> concerns </w:t>
      </w:r>
      <w:r w:rsidR="007670ED" w:rsidRPr="001C25C2">
        <w:rPr>
          <w:rFonts w:asciiTheme="minorHAnsi" w:eastAsiaTheme="minorHAnsi" w:hAnsiTheme="minorHAnsi" w:cstheme="minorBidi"/>
          <w:snapToGrid/>
          <w:color w:val="000000" w:themeColor="text1"/>
        </w:rPr>
        <w:t xml:space="preserve">regarding </w:t>
      </w:r>
      <w:r w:rsidRPr="001C25C2">
        <w:rPr>
          <w:rFonts w:asciiTheme="minorHAnsi" w:eastAsiaTheme="minorHAnsi" w:hAnsiTheme="minorHAnsi" w:cstheme="minorBidi"/>
          <w:snapToGrid/>
          <w:color w:val="000000" w:themeColor="text1"/>
        </w:rPr>
        <w:t xml:space="preserve">whether the </w:t>
      </w:r>
      <w:r w:rsidR="00835A15">
        <w:rPr>
          <w:rFonts w:asciiTheme="minorHAnsi" w:eastAsiaTheme="minorHAnsi" w:hAnsiTheme="minorHAnsi" w:cstheme="minorBidi"/>
          <w:snapToGrid/>
          <w:color w:val="000000" w:themeColor="text1"/>
        </w:rPr>
        <w:t>small</w:t>
      </w:r>
      <w:r w:rsidR="00835A15" w:rsidRPr="001C25C2">
        <w:rPr>
          <w:rFonts w:asciiTheme="minorHAnsi" w:eastAsiaTheme="minorHAnsi" w:hAnsiTheme="minorHAnsi" w:cstheme="minorBidi"/>
          <w:snapToGrid/>
          <w:color w:val="000000" w:themeColor="text1"/>
        </w:rPr>
        <w:t xml:space="preserve"> </w:t>
      </w:r>
      <w:r w:rsidRPr="001C25C2">
        <w:rPr>
          <w:rFonts w:asciiTheme="minorHAnsi" w:eastAsiaTheme="minorHAnsi" w:hAnsiTheme="minorHAnsi" w:cstheme="minorBidi"/>
          <w:snapToGrid/>
          <w:color w:val="000000" w:themeColor="text1"/>
        </w:rPr>
        <w:t xml:space="preserve">observed benefit associated with treatment with </w:t>
      </w:r>
      <w:proofErr w:type="spellStart"/>
      <w:r w:rsidRPr="001C25C2">
        <w:rPr>
          <w:rFonts w:asciiTheme="minorHAnsi" w:eastAsiaTheme="minorHAnsi" w:hAnsiTheme="minorHAnsi" w:cstheme="minorBidi"/>
          <w:snapToGrid/>
          <w:color w:val="000000" w:themeColor="text1"/>
        </w:rPr>
        <w:t>trifluridine</w:t>
      </w:r>
      <w:proofErr w:type="spellEnd"/>
      <w:r w:rsidRPr="001C25C2">
        <w:rPr>
          <w:rFonts w:asciiTheme="minorHAnsi" w:eastAsiaTheme="minorHAnsi" w:hAnsiTheme="minorHAnsi" w:cstheme="minorBidi"/>
          <w:snapToGrid/>
          <w:color w:val="000000" w:themeColor="text1"/>
        </w:rPr>
        <w:t>/</w:t>
      </w:r>
      <w:proofErr w:type="spellStart"/>
      <w:r w:rsidRPr="001C25C2">
        <w:rPr>
          <w:rFonts w:asciiTheme="minorHAnsi" w:eastAsiaTheme="minorHAnsi" w:hAnsiTheme="minorHAnsi" w:cstheme="minorBidi"/>
          <w:snapToGrid/>
          <w:color w:val="000000" w:themeColor="text1"/>
        </w:rPr>
        <w:t>tipiracil</w:t>
      </w:r>
      <w:proofErr w:type="spellEnd"/>
      <w:r w:rsidRPr="001C25C2">
        <w:rPr>
          <w:rFonts w:asciiTheme="minorHAnsi" w:eastAsiaTheme="minorHAnsi" w:hAnsiTheme="minorHAnsi" w:cstheme="minorBidi"/>
          <w:snapToGrid/>
          <w:color w:val="000000" w:themeColor="text1"/>
        </w:rPr>
        <w:t xml:space="preserve"> would be realised in clinical practice</w:t>
      </w:r>
      <w:r w:rsidR="00C66B5F">
        <w:rPr>
          <w:rFonts w:asciiTheme="minorHAnsi" w:eastAsiaTheme="minorHAnsi" w:hAnsiTheme="minorHAnsi" w:cstheme="minorBidi"/>
          <w:snapToGrid/>
          <w:color w:val="000000" w:themeColor="text1"/>
        </w:rPr>
        <w:t>,</w:t>
      </w:r>
      <w:r w:rsidRPr="001C25C2">
        <w:rPr>
          <w:rFonts w:asciiTheme="minorHAnsi" w:eastAsiaTheme="minorHAnsi" w:hAnsiTheme="minorHAnsi" w:cstheme="minorBidi"/>
          <w:snapToGrid/>
          <w:color w:val="000000" w:themeColor="text1"/>
        </w:rPr>
        <w:t xml:space="preserve"> and was clinically meaningful to patients in the context of the substantial increase in toxicity</w:t>
      </w:r>
      <w:r w:rsidR="009138B9" w:rsidRPr="001C25C2">
        <w:rPr>
          <w:rFonts w:asciiTheme="minorHAnsi" w:eastAsiaTheme="minorHAnsi" w:hAnsiTheme="minorHAnsi" w:cstheme="minorBidi"/>
          <w:snapToGrid/>
          <w:color w:val="000000" w:themeColor="text1"/>
        </w:rPr>
        <w:t>.</w:t>
      </w:r>
      <w:r w:rsidR="00CC572D" w:rsidRPr="001C25C2">
        <w:t xml:space="preserve"> </w:t>
      </w:r>
      <w:r w:rsidR="00CC572D" w:rsidRPr="001C25C2">
        <w:rPr>
          <w:rFonts w:asciiTheme="minorHAnsi" w:eastAsiaTheme="minorHAnsi" w:hAnsiTheme="minorHAnsi" w:cstheme="minorBidi"/>
          <w:snapToGrid/>
          <w:color w:val="000000" w:themeColor="text1"/>
        </w:rPr>
        <w:t xml:space="preserve">The PBAC considered that the toxicity associated with </w:t>
      </w:r>
      <w:proofErr w:type="spellStart"/>
      <w:r w:rsidR="00CC572D" w:rsidRPr="001C25C2">
        <w:rPr>
          <w:rFonts w:asciiTheme="minorHAnsi" w:eastAsiaTheme="minorHAnsi" w:hAnsiTheme="minorHAnsi" w:cstheme="minorBidi"/>
          <w:snapToGrid/>
          <w:color w:val="000000" w:themeColor="text1"/>
        </w:rPr>
        <w:t>trifluridine</w:t>
      </w:r>
      <w:proofErr w:type="spellEnd"/>
      <w:r w:rsidR="001649EF" w:rsidRPr="001C25C2">
        <w:rPr>
          <w:rFonts w:asciiTheme="minorHAnsi" w:eastAsiaTheme="minorHAnsi" w:hAnsiTheme="minorHAnsi" w:cstheme="minorBidi"/>
          <w:snapToGrid/>
          <w:color w:val="000000" w:themeColor="text1"/>
        </w:rPr>
        <w:t>/</w:t>
      </w:r>
      <w:proofErr w:type="spellStart"/>
      <w:r w:rsidR="00CC572D" w:rsidRPr="001C25C2">
        <w:rPr>
          <w:rFonts w:asciiTheme="minorHAnsi" w:eastAsiaTheme="minorHAnsi" w:hAnsiTheme="minorHAnsi" w:cstheme="minorBidi"/>
          <w:snapToGrid/>
          <w:color w:val="000000" w:themeColor="text1"/>
        </w:rPr>
        <w:t>tipiracil</w:t>
      </w:r>
      <w:proofErr w:type="spellEnd"/>
      <w:r w:rsidR="00CC572D" w:rsidRPr="001C25C2">
        <w:rPr>
          <w:rFonts w:asciiTheme="minorHAnsi" w:eastAsiaTheme="minorHAnsi" w:hAnsiTheme="minorHAnsi" w:cstheme="minorBidi"/>
          <w:snapToGrid/>
          <w:color w:val="000000" w:themeColor="text1"/>
        </w:rPr>
        <w:t xml:space="preserve"> was similar to other oral antineoplastic agents listed on the PBS, with </w:t>
      </w:r>
      <w:proofErr w:type="spellStart"/>
      <w:r w:rsidR="00CC572D" w:rsidRPr="001C25C2">
        <w:rPr>
          <w:rFonts w:asciiTheme="minorHAnsi" w:eastAsiaTheme="minorHAnsi" w:hAnsiTheme="minorHAnsi" w:cstheme="minorBidi"/>
          <w:snapToGrid/>
          <w:color w:val="000000" w:themeColor="text1"/>
        </w:rPr>
        <w:t>myelosuppression</w:t>
      </w:r>
      <w:proofErr w:type="spellEnd"/>
      <w:r w:rsidR="00CC572D" w:rsidRPr="001C25C2">
        <w:rPr>
          <w:rFonts w:asciiTheme="minorHAnsi" w:eastAsiaTheme="minorHAnsi" w:hAnsiTheme="minorHAnsi" w:cstheme="minorBidi"/>
          <w:snapToGrid/>
          <w:color w:val="000000" w:themeColor="text1"/>
        </w:rPr>
        <w:t xml:space="preserve"> being a key adverse event</w:t>
      </w:r>
      <w:r w:rsidR="004C12B2">
        <w:rPr>
          <w:rFonts w:asciiTheme="minorHAnsi" w:eastAsiaTheme="minorHAnsi" w:hAnsiTheme="minorHAnsi" w:cstheme="minorBidi"/>
          <w:snapToGrid/>
          <w:color w:val="000000" w:themeColor="text1"/>
        </w:rPr>
        <w:t>.</w:t>
      </w:r>
      <w:r w:rsidR="004426DB">
        <w:rPr>
          <w:rFonts w:asciiTheme="minorHAnsi" w:eastAsiaTheme="minorHAnsi" w:hAnsiTheme="minorHAnsi" w:cstheme="minorBidi"/>
          <w:snapToGrid/>
          <w:color w:val="000000" w:themeColor="text1"/>
        </w:rPr>
        <w:t xml:space="preserve"> </w:t>
      </w:r>
      <w:r w:rsidR="004C12B2">
        <w:rPr>
          <w:rFonts w:asciiTheme="minorHAnsi" w:eastAsiaTheme="minorHAnsi" w:hAnsiTheme="minorHAnsi" w:cstheme="minorBidi"/>
          <w:snapToGrid/>
          <w:color w:val="000000" w:themeColor="text1"/>
        </w:rPr>
        <w:t>H</w:t>
      </w:r>
      <w:r w:rsidR="004426DB">
        <w:rPr>
          <w:rFonts w:asciiTheme="minorHAnsi" w:eastAsiaTheme="minorHAnsi" w:hAnsiTheme="minorHAnsi" w:cstheme="minorBidi"/>
          <w:snapToGrid/>
          <w:color w:val="000000" w:themeColor="text1"/>
        </w:rPr>
        <w:t xml:space="preserve">owever </w:t>
      </w:r>
      <w:r w:rsidR="004C12B2">
        <w:rPr>
          <w:rFonts w:asciiTheme="minorHAnsi" w:eastAsiaTheme="minorHAnsi" w:hAnsiTheme="minorHAnsi" w:cstheme="minorBidi"/>
          <w:snapToGrid/>
          <w:color w:val="000000" w:themeColor="text1"/>
        </w:rPr>
        <w:t xml:space="preserve">the PBAC </w:t>
      </w:r>
      <w:r w:rsidR="00D90400">
        <w:rPr>
          <w:rFonts w:asciiTheme="minorHAnsi" w:eastAsiaTheme="minorHAnsi" w:hAnsiTheme="minorHAnsi" w:cstheme="minorBidi"/>
          <w:snapToGrid/>
          <w:color w:val="000000" w:themeColor="text1"/>
        </w:rPr>
        <w:t xml:space="preserve">were concerned that the impact of such toxicity on </w:t>
      </w:r>
      <w:r w:rsidR="004426DB">
        <w:rPr>
          <w:rFonts w:asciiTheme="minorHAnsi" w:eastAsiaTheme="minorHAnsi" w:hAnsiTheme="minorHAnsi" w:cstheme="minorBidi"/>
          <w:snapToGrid/>
          <w:color w:val="000000" w:themeColor="text1"/>
        </w:rPr>
        <w:t xml:space="preserve">patients </w:t>
      </w:r>
      <w:r w:rsidR="009950C9">
        <w:rPr>
          <w:rFonts w:asciiTheme="minorHAnsi" w:eastAsiaTheme="minorHAnsi" w:hAnsiTheme="minorHAnsi" w:cstheme="minorBidi"/>
          <w:snapToGrid/>
          <w:color w:val="000000" w:themeColor="text1"/>
        </w:rPr>
        <w:t xml:space="preserve">with metastatic gastric cancer </w:t>
      </w:r>
      <w:r w:rsidR="004426DB">
        <w:rPr>
          <w:rFonts w:asciiTheme="minorHAnsi" w:eastAsiaTheme="minorHAnsi" w:hAnsiTheme="minorHAnsi" w:cstheme="minorBidi"/>
          <w:snapToGrid/>
          <w:color w:val="000000" w:themeColor="text1"/>
        </w:rPr>
        <w:t xml:space="preserve">receiving third-line systemic therapy </w:t>
      </w:r>
      <w:r w:rsidR="006A62BA">
        <w:rPr>
          <w:rFonts w:asciiTheme="minorHAnsi" w:eastAsiaTheme="minorHAnsi" w:hAnsiTheme="minorHAnsi" w:cstheme="minorBidi"/>
          <w:snapToGrid/>
          <w:color w:val="000000" w:themeColor="text1"/>
        </w:rPr>
        <w:t xml:space="preserve">may be more significant than in patients </w:t>
      </w:r>
      <w:r w:rsidR="004A1030">
        <w:rPr>
          <w:rFonts w:asciiTheme="minorHAnsi" w:eastAsiaTheme="minorHAnsi" w:hAnsiTheme="minorHAnsi" w:cstheme="minorBidi"/>
          <w:snapToGrid/>
          <w:color w:val="000000" w:themeColor="text1"/>
        </w:rPr>
        <w:t xml:space="preserve">with </w:t>
      </w:r>
      <w:r w:rsidR="004C12B2">
        <w:rPr>
          <w:rFonts w:asciiTheme="minorHAnsi" w:eastAsiaTheme="minorHAnsi" w:hAnsiTheme="minorHAnsi" w:cstheme="minorBidi"/>
          <w:snapToGrid/>
          <w:color w:val="000000" w:themeColor="text1"/>
        </w:rPr>
        <w:t>other malignancies who may be less heavily pre-treated</w:t>
      </w:r>
      <w:r w:rsidR="00CC572D" w:rsidRPr="001C25C2">
        <w:rPr>
          <w:rFonts w:asciiTheme="minorHAnsi" w:eastAsiaTheme="minorHAnsi" w:hAnsiTheme="minorHAnsi" w:cstheme="minorBidi"/>
          <w:snapToGrid/>
          <w:color w:val="000000" w:themeColor="text1"/>
        </w:rPr>
        <w:t xml:space="preserve">. The PBAC considered although the toxicity associated with </w:t>
      </w:r>
      <w:proofErr w:type="spellStart"/>
      <w:r w:rsidR="00CC572D" w:rsidRPr="001C25C2">
        <w:rPr>
          <w:rFonts w:asciiTheme="minorHAnsi" w:eastAsiaTheme="minorHAnsi" w:hAnsiTheme="minorHAnsi" w:cstheme="minorBidi"/>
          <w:snapToGrid/>
          <w:color w:val="000000" w:themeColor="text1"/>
        </w:rPr>
        <w:t>trifluridine</w:t>
      </w:r>
      <w:proofErr w:type="spellEnd"/>
      <w:r w:rsidR="001649EF" w:rsidRPr="001C25C2">
        <w:rPr>
          <w:rFonts w:asciiTheme="minorHAnsi" w:eastAsiaTheme="minorHAnsi" w:hAnsiTheme="minorHAnsi" w:cstheme="minorBidi"/>
          <w:snapToGrid/>
          <w:color w:val="000000" w:themeColor="text1"/>
        </w:rPr>
        <w:t>/</w:t>
      </w:r>
      <w:proofErr w:type="spellStart"/>
      <w:r w:rsidR="00CC572D" w:rsidRPr="001C25C2">
        <w:rPr>
          <w:rFonts w:asciiTheme="minorHAnsi" w:eastAsiaTheme="minorHAnsi" w:hAnsiTheme="minorHAnsi" w:cstheme="minorBidi"/>
          <w:snapToGrid/>
          <w:color w:val="000000" w:themeColor="text1"/>
        </w:rPr>
        <w:t>tipiracil</w:t>
      </w:r>
      <w:proofErr w:type="spellEnd"/>
      <w:r w:rsidR="00CC572D" w:rsidRPr="001C25C2">
        <w:rPr>
          <w:rFonts w:asciiTheme="minorHAnsi" w:eastAsiaTheme="minorHAnsi" w:hAnsiTheme="minorHAnsi" w:cstheme="minorBidi"/>
          <w:snapToGrid/>
          <w:color w:val="000000" w:themeColor="text1"/>
        </w:rPr>
        <w:t xml:space="preserve"> may be significant in the context of a </w:t>
      </w:r>
      <w:r w:rsidR="00835A15">
        <w:rPr>
          <w:rFonts w:asciiTheme="minorHAnsi" w:eastAsiaTheme="minorHAnsi" w:hAnsiTheme="minorHAnsi" w:cstheme="minorBidi"/>
          <w:snapToGrid/>
          <w:color w:val="000000" w:themeColor="text1"/>
        </w:rPr>
        <w:t>small</w:t>
      </w:r>
      <w:r w:rsidR="00835A15" w:rsidRPr="001C25C2">
        <w:rPr>
          <w:rFonts w:asciiTheme="minorHAnsi" w:eastAsiaTheme="minorHAnsi" w:hAnsiTheme="minorHAnsi" w:cstheme="minorBidi"/>
          <w:snapToGrid/>
          <w:color w:val="000000" w:themeColor="text1"/>
        </w:rPr>
        <w:t xml:space="preserve"> </w:t>
      </w:r>
      <w:r w:rsidR="00CC572D" w:rsidRPr="001C25C2">
        <w:rPr>
          <w:rFonts w:asciiTheme="minorHAnsi" w:eastAsiaTheme="minorHAnsi" w:hAnsiTheme="minorHAnsi" w:cstheme="minorBidi"/>
          <w:snapToGrid/>
          <w:color w:val="000000" w:themeColor="text1"/>
        </w:rPr>
        <w:t>benefit, the appropriateness of treatment</w:t>
      </w:r>
      <w:r w:rsidR="001649EF" w:rsidRPr="001C25C2">
        <w:rPr>
          <w:rFonts w:asciiTheme="minorHAnsi" w:eastAsiaTheme="minorHAnsi" w:hAnsiTheme="minorHAnsi" w:cstheme="minorBidi"/>
          <w:snapToGrid/>
          <w:color w:val="000000" w:themeColor="text1"/>
        </w:rPr>
        <w:t xml:space="preserve"> with </w:t>
      </w:r>
      <w:proofErr w:type="spellStart"/>
      <w:r w:rsidR="00CC572D" w:rsidRPr="001C25C2">
        <w:rPr>
          <w:rFonts w:asciiTheme="minorHAnsi" w:eastAsiaTheme="minorHAnsi" w:hAnsiTheme="minorHAnsi" w:cstheme="minorBidi"/>
          <w:snapToGrid/>
          <w:color w:val="000000" w:themeColor="text1"/>
        </w:rPr>
        <w:t>trifluridine</w:t>
      </w:r>
      <w:proofErr w:type="spellEnd"/>
      <w:r w:rsidR="001649EF" w:rsidRPr="001C25C2">
        <w:rPr>
          <w:rFonts w:asciiTheme="minorHAnsi" w:eastAsiaTheme="minorHAnsi" w:hAnsiTheme="minorHAnsi" w:cstheme="minorBidi"/>
          <w:snapToGrid/>
          <w:color w:val="000000" w:themeColor="text1"/>
        </w:rPr>
        <w:t>/</w:t>
      </w:r>
      <w:proofErr w:type="spellStart"/>
      <w:r w:rsidR="00CC572D" w:rsidRPr="001C25C2">
        <w:rPr>
          <w:rFonts w:asciiTheme="minorHAnsi" w:eastAsiaTheme="minorHAnsi" w:hAnsiTheme="minorHAnsi" w:cstheme="minorBidi"/>
          <w:snapToGrid/>
          <w:color w:val="000000" w:themeColor="text1"/>
        </w:rPr>
        <w:t>tipiracil</w:t>
      </w:r>
      <w:proofErr w:type="spellEnd"/>
      <w:r w:rsidR="00CC572D" w:rsidRPr="001C25C2">
        <w:rPr>
          <w:rFonts w:asciiTheme="minorHAnsi" w:eastAsiaTheme="minorHAnsi" w:hAnsiTheme="minorHAnsi" w:cstheme="minorBidi"/>
          <w:snapToGrid/>
          <w:color w:val="000000" w:themeColor="text1"/>
        </w:rPr>
        <w:t xml:space="preserve"> could be left up to the treating clinician.</w:t>
      </w:r>
      <w:r w:rsidR="009138B9" w:rsidRPr="001C25C2">
        <w:rPr>
          <w:rFonts w:asciiTheme="minorHAnsi" w:eastAsiaTheme="minorHAnsi" w:hAnsiTheme="minorHAnsi" w:cstheme="minorBidi"/>
          <w:snapToGrid/>
          <w:color w:val="000000" w:themeColor="text1"/>
        </w:rPr>
        <w:t xml:space="preserve"> </w:t>
      </w:r>
    </w:p>
    <w:p w:rsidR="00FC10DC" w:rsidRPr="001C25C2" w:rsidRDefault="00E97262" w:rsidP="00FD7977">
      <w:pPr>
        <w:widowControl/>
        <w:numPr>
          <w:ilvl w:val="1"/>
          <w:numId w:val="2"/>
        </w:numPr>
        <w:spacing w:after="120"/>
        <w:rPr>
          <w:rFonts w:asciiTheme="minorHAnsi" w:eastAsiaTheme="minorHAnsi" w:hAnsiTheme="minorHAnsi" w:cstheme="minorBidi"/>
          <w:snapToGrid/>
          <w:color w:val="000000" w:themeColor="text1"/>
        </w:rPr>
      </w:pPr>
      <w:r w:rsidRPr="001C25C2">
        <w:rPr>
          <w:rFonts w:asciiTheme="minorHAnsi" w:eastAsiaTheme="minorHAnsi" w:hAnsiTheme="minorHAnsi" w:cstheme="minorBidi"/>
          <w:snapToGrid/>
          <w:color w:val="000000" w:themeColor="text1"/>
        </w:rPr>
        <w:t>The PBAC noted that the submission presented a cost-utility analysis based on the TAGS trial</w:t>
      </w:r>
      <w:r w:rsidR="00084B58" w:rsidRPr="001C25C2">
        <w:rPr>
          <w:rFonts w:asciiTheme="minorHAnsi" w:eastAsiaTheme="minorHAnsi" w:hAnsiTheme="minorHAnsi" w:cstheme="minorBidi"/>
          <w:snapToGrid/>
          <w:color w:val="000000" w:themeColor="text1"/>
        </w:rPr>
        <w:t xml:space="preserve">, </w:t>
      </w:r>
      <w:r w:rsidR="00893EB5" w:rsidRPr="001C25C2">
        <w:rPr>
          <w:rFonts w:asciiTheme="minorHAnsi" w:eastAsiaTheme="minorHAnsi" w:hAnsiTheme="minorHAnsi" w:cstheme="minorBidi"/>
          <w:snapToGrid/>
          <w:color w:val="000000" w:themeColor="text1"/>
        </w:rPr>
        <w:t>with a base-case ICER of $</w:t>
      </w:r>
      <w:r w:rsidR="00AB46DE">
        <w:rPr>
          <w:rFonts w:asciiTheme="minorHAnsi" w:eastAsiaTheme="minorHAnsi" w:hAnsiTheme="minorHAnsi" w:cstheme="minorBidi"/>
          <w:snapToGrid/>
          <w:color w:val="000000" w:themeColor="text1"/>
        </w:rPr>
        <w:t>15,000 - $45,000</w:t>
      </w:r>
      <w:r w:rsidR="00084B58" w:rsidRPr="001C25C2">
        <w:rPr>
          <w:rFonts w:asciiTheme="minorHAnsi" w:eastAsiaTheme="minorHAnsi" w:hAnsiTheme="minorHAnsi" w:cstheme="minorBidi"/>
          <w:snapToGrid/>
          <w:color w:val="000000" w:themeColor="text1"/>
        </w:rPr>
        <w:t xml:space="preserve"> per QALY gained</w:t>
      </w:r>
      <w:r w:rsidR="008F6891" w:rsidRPr="001C25C2">
        <w:rPr>
          <w:rFonts w:asciiTheme="minorHAnsi" w:eastAsiaTheme="minorHAnsi" w:hAnsiTheme="minorHAnsi" w:cstheme="minorBidi"/>
          <w:snapToGrid/>
          <w:color w:val="000000" w:themeColor="text1"/>
        </w:rPr>
        <w:t xml:space="preserve">. </w:t>
      </w:r>
      <w:r w:rsidR="00E7510C" w:rsidRPr="001C25C2">
        <w:rPr>
          <w:rFonts w:asciiTheme="minorHAnsi" w:eastAsiaTheme="minorHAnsi" w:hAnsiTheme="minorHAnsi" w:cstheme="minorBidi"/>
          <w:snapToGrid/>
          <w:color w:val="000000" w:themeColor="text1"/>
        </w:rPr>
        <w:t xml:space="preserve">The PBAC noted that </w:t>
      </w:r>
      <w:r w:rsidRPr="001C25C2">
        <w:rPr>
          <w:rFonts w:asciiTheme="minorHAnsi" w:eastAsiaTheme="minorHAnsi" w:hAnsiTheme="minorHAnsi" w:cstheme="minorBidi"/>
          <w:snapToGrid/>
          <w:color w:val="000000" w:themeColor="text1"/>
        </w:rPr>
        <w:t xml:space="preserve">the results of the economic analysis </w:t>
      </w:r>
      <w:r w:rsidR="00050B73" w:rsidRPr="001C25C2">
        <w:rPr>
          <w:rFonts w:asciiTheme="minorHAnsi" w:eastAsiaTheme="minorHAnsi" w:hAnsiTheme="minorHAnsi" w:cstheme="minorBidi"/>
          <w:snapToGrid/>
          <w:color w:val="000000" w:themeColor="text1"/>
        </w:rPr>
        <w:t xml:space="preserve">were </w:t>
      </w:r>
      <w:r w:rsidRPr="001C25C2">
        <w:rPr>
          <w:rFonts w:asciiTheme="minorHAnsi" w:eastAsiaTheme="minorHAnsi" w:hAnsiTheme="minorHAnsi" w:cstheme="minorBidi"/>
          <w:snapToGrid/>
          <w:color w:val="000000" w:themeColor="text1"/>
        </w:rPr>
        <w:t xml:space="preserve">sensitive to </w:t>
      </w:r>
      <w:r w:rsidR="00050B73" w:rsidRPr="001C25C2">
        <w:rPr>
          <w:rFonts w:asciiTheme="minorHAnsi" w:eastAsiaTheme="minorHAnsi" w:hAnsiTheme="minorHAnsi" w:cstheme="minorBidi"/>
          <w:snapToGrid/>
          <w:color w:val="000000" w:themeColor="text1"/>
        </w:rPr>
        <w:t xml:space="preserve">the survival benefit associated with </w:t>
      </w:r>
      <w:proofErr w:type="spellStart"/>
      <w:r w:rsidR="00050B73" w:rsidRPr="001C25C2">
        <w:rPr>
          <w:rFonts w:asciiTheme="minorHAnsi" w:eastAsiaTheme="minorHAnsi" w:hAnsiTheme="minorHAnsi" w:cstheme="minorBidi"/>
          <w:snapToGrid/>
          <w:color w:val="000000" w:themeColor="text1"/>
        </w:rPr>
        <w:t>trifluridine</w:t>
      </w:r>
      <w:proofErr w:type="spellEnd"/>
      <w:r w:rsidR="00050B73" w:rsidRPr="001C25C2">
        <w:rPr>
          <w:rFonts w:asciiTheme="minorHAnsi" w:eastAsiaTheme="minorHAnsi" w:hAnsiTheme="minorHAnsi" w:cstheme="minorBidi"/>
          <w:snapToGrid/>
          <w:color w:val="000000" w:themeColor="text1"/>
        </w:rPr>
        <w:t>/</w:t>
      </w:r>
      <w:proofErr w:type="spellStart"/>
      <w:r w:rsidR="00050B73" w:rsidRPr="001C25C2">
        <w:rPr>
          <w:rFonts w:asciiTheme="minorHAnsi" w:eastAsiaTheme="minorHAnsi" w:hAnsiTheme="minorHAnsi" w:cstheme="minorBidi"/>
          <w:snapToGrid/>
          <w:color w:val="000000" w:themeColor="text1"/>
        </w:rPr>
        <w:t>tipiracil</w:t>
      </w:r>
      <w:proofErr w:type="spellEnd"/>
      <w:r w:rsidR="00050B73" w:rsidRPr="001C25C2">
        <w:rPr>
          <w:rFonts w:asciiTheme="minorHAnsi" w:eastAsiaTheme="minorHAnsi" w:hAnsiTheme="minorHAnsi" w:cstheme="minorBidi"/>
          <w:snapToGrid/>
          <w:color w:val="000000" w:themeColor="text1"/>
        </w:rPr>
        <w:t>. H</w:t>
      </w:r>
      <w:r w:rsidRPr="001C25C2">
        <w:rPr>
          <w:rFonts w:asciiTheme="minorHAnsi" w:eastAsiaTheme="minorHAnsi" w:hAnsiTheme="minorHAnsi" w:cstheme="minorBidi"/>
          <w:snapToGrid/>
          <w:color w:val="000000" w:themeColor="text1"/>
        </w:rPr>
        <w:t xml:space="preserve">owever, </w:t>
      </w:r>
      <w:r w:rsidR="00050B73" w:rsidRPr="001C25C2">
        <w:rPr>
          <w:rFonts w:asciiTheme="minorHAnsi" w:eastAsiaTheme="minorHAnsi" w:hAnsiTheme="minorHAnsi" w:cstheme="minorBidi"/>
          <w:snapToGrid/>
          <w:color w:val="000000" w:themeColor="text1"/>
        </w:rPr>
        <w:t xml:space="preserve">the PBAC considered the </w:t>
      </w:r>
      <w:r w:rsidR="00CC58E4">
        <w:rPr>
          <w:rFonts w:asciiTheme="minorHAnsi" w:eastAsiaTheme="minorHAnsi" w:hAnsiTheme="minorHAnsi" w:cstheme="minorBidi"/>
          <w:snapToGrid/>
          <w:color w:val="000000" w:themeColor="text1"/>
        </w:rPr>
        <w:t>small</w:t>
      </w:r>
      <w:r w:rsidR="00CC58E4" w:rsidRPr="001C25C2">
        <w:rPr>
          <w:rFonts w:asciiTheme="minorHAnsi" w:eastAsiaTheme="minorHAnsi" w:hAnsiTheme="minorHAnsi" w:cstheme="minorBidi"/>
          <w:snapToGrid/>
          <w:color w:val="000000" w:themeColor="text1"/>
        </w:rPr>
        <w:t xml:space="preserve"> </w:t>
      </w:r>
      <w:r w:rsidRPr="001C25C2">
        <w:rPr>
          <w:rFonts w:asciiTheme="minorHAnsi" w:eastAsiaTheme="minorHAnsi" w:hAnsiTheme="minorHAnsi" w:cstheme="minorBidi"/>
          <w:snapToGrid/>
          <w:color w:val="000000" w:themeColor="text1"/>
        </w:rPr>
        <w:t xml:space="preserve">survival gain </w:t>
      </w:r>
      <w:r w:rsidR="00050B73" w:rsidRPr="001C25C2">
        <w:rPr>
          <w:rFonts w:asciiTheme="minorHAnsi" w:eastAsiaTheme="minorHAnsi" w:hAnsiTheme="minorHAnsi" w:cstheme="minorBidi"/>
          <w:snapToGrid/>
          <w:color w:val="000000" w:themeColor="text1"/>
        </w:rPr>
        <w:t xml:space="preserve">was moderately </w:t>
      </w:r>
      <w:r w:rsidRPr="001C25C2">
        <w:rPr>
          <w:rFonts w:asciiTheme="minorHAnsi" w:eastAsiaTheme="minorHAnsi" w:hAnsiTheme="minorHAnsi" w:cstheme="minorBidi"/>
          <w:snapToGrid/>
          <w:color w:val="000000" w:themeColor="text1"/>
        </w:rPr>
        <w:t>certain given that the vast majority of patients were followed through to death in the TAGS trial.</w:t>
      </w:r>
      <w:r w:rsidR="00BF1C09" w:rsidRPr="001C25C2">
        <w:rPr>
          <w:rFonts w:asciiTheme="minorHAnsi" w:eastAsiaTheme="minorHAnsi" w:hAnsiTheme="minorHAnsi" w:cstheme="minorBidi"/>
          <w:snapToGrid/>
          <w:color w:val="000000" w:themeColor="text1"/>
        </w:rPr>
        <w:t xml:space="preserve"> </w:t>
      </w:r>
      <w:r w:rsidR="005721E9" w:rsidRPr="001C25C2">
        <w:rPr>
          <w:rFonts w:asciiTheme="minorHAnsi" w:eastAsiaTheme="minorHAnsi" w:hAnsiTheme="minorHAnsi" w:cstheme="minorBidi"/>
          <w:snapToGrid/>
          <w:color w:val="000000" w:themeColor="text1"/>
        </w:rPr>
        <w:t>Accordingly, on this basis, t</w:t>
      </w:r>
      <w:r w:rsidR="00BF1C09" w:rsidRPr="001C25C2">
        <w:rPr>
          <w:rFonts w:asciiTheme="minorHAnsi" w:eastAsiaTheme="minorHAnsi" w:hAnsiTheme="minorHAnsi" w:cstheme="minorBidi"/>
          <w:snapToGrid/>
          <w:color w:val="000000" w:themeColor="text1"/>
        </w:rPr>
        <w:t xml:space="preserve">he PBAC considered that </w:t>
      </w:r>
      <w:r w:rsidR="00DC3115" w:rsidRPr="001C25C2">
        <w:rPr>
          <w:rFonts w:asciiTheme="minorHAnsi" w:eastAsiaTheme="minorHAnsi" w:hAnsiTheme="minorHAnsi" w:cstheme="minorBidi"/>
          <w:snapToGrid/>
          <w:color w:val="000000" w:themeColor="text1"/>
        </w:rPr>
        <w:t xml:space="preserve">the </w:t>
      </w:r>
      <w:proofErr w:type="spellStart"/>
      <w:r w:rsidR="005721E9" w:rsidRPr="001C25C2">
        <w:rPr>
          <w:rFonts w:asciiTheme="minorHAnsi" w:eastAsiaTheme="minorHAnsi" w:hAnsiTheme="minorHAnsi" w:cstheme="minorBidi"/>
          <w:snapToGrid/>
          <w:color w:val="000000" w:themeColor="text1"/>
        </w:rPr>
        <w:t>trifluridine</w:t>
      </w:r>
      <w:proofErr w:type="spellEnd"/>
      <w:r w:rsidR="005721E9" w:rsidRPr="001C25C2">
        <w:rPr>
          <w:rFonts w:asciiTheme="minorHAnsi" w:eastAsiaTheme="minorHAnsi" w:hAnsiTheme="minorHAnsi" w:cstheme="minorBidi"/>
          <w:snapToGrid/>
          <w:color w:val="000000" w:themeColor="text1"/>
        </w:rPr>
        <w:t>/</w:t>
      </w:r>
      <w:proofErr w:type="spellStart"/>
      <w:r w:rsidR="00F03FC5" w:rsidRPr="001C25C2">
        <w:rPr>
          <w:rFonts w:asciiTheme="minorHAnsi" w:eastAsiaTheme="minorHAnsi" w:hAnsiTheme="minorHAnsi" w:cstheme="minorBidi"/>
          <w:snapToGrid/>
          <w:color w:val="000000" w:themeColor="text1"/>
        </w:rPr>
        <w:t>tipiracil</w:t>
      </w:r>
      <w:proofErr w:type="spellEnd"/>
      <w:r w:rsidR="005721E9" w:rsidRPr="001C25C2">
        <w:rPr>
          <w:rFonts w:asciiTheme="minorHAnsi" w:eastAsiaTheme="minorHAnsi" w:hAnsiTheme="minorHAnsi" w:cstheme="minorBidi"/>
          <w:snapToGrid/>
          <w:color w:val="000000" w:themeColor="text1"/>
        </w:rPr>
        <w:t xml:space="preserve"> was acceptably cost effective </w:t>
      </w:r>
      <w:r w:rsidR="00050B73" w:rsidRPr="001C25C2">
        <w:rPr>
          <w:rFonts w:asciiTheme="minorHAnsi" w:eastAsiaTheme="minorHAnsi" w:hAnsiTheme="minorHAnsi" w:cstheme="minorBidi"/>
          <w:snapToGrid/>
          <w:color w:val="000000" w:themeColor="text1"/>
        </w:rPr>
        <w:t xml:space="preserve">in the context of limited treatment options for patients with </w:t>
      </w:r>
      <w:proofErr w:type="spellStart"/>
      <w:r w:rsidR="00050B73" w:rsidRPr="001C25C2">
        <w:rPr>
          <w:rFonts w:asciiTheme="minorHAnsi" w:eastAsiaTheme="minorHAnsi" w:hAnsiTheme="minorHAnsi" w:cstheme="minorBidi"/>
          <w:snapToGrid/>
          <w:color w:val="000000" w:themeColor="text1"/>
        </w:rPr>
        <w:t>mG</w:t>
      </w:r>
      <w:proofErr w:type="spellEnd"/>
      <w:r w:rsidR="00CD3271" w:rsidRPr="001C25C2">
        <w:rPr>
          <w:rFonts w:asciiTheme="minorHAnsi" w:eastAsiaTheme="minorHAnsi" w:hAnsiTheme="minorHAnsi" w:cstheme="minorBidi"/>
          <w:snapToGrid/>
          <w:color w:val="000000" w:themeColor="text1"/>
        </w:rPr>
        <w:t>/GEJ adenocarcinoma</w:t>
      </w:r>
      <w:r w:rsidR="00050B73" w:rsidRPr="001C25C2">
        <w:rPr>
          <w:rFonts w:asciiTheme="minorHAnsi" w:eastAsiaTheme="minorHAnsi" w:hAnsiTheme="minorHAnsi" w:cstheme="minorBidi"/>
          <w:snapToGrid/>
          <w:color w:val="000000" w:themeColor="text1"/>
        </w:rPr>
        <w:t xml:space="preserve"> who have failed or are intolerant to earlier line therapies</w:t>
      </w:r>
      <w:r w:rsidR="00DC3115" w:rsidRPr="001C25C2">
        <w:rPr>
          <w:rFonts w:asciiTheme="minorHAnsi" w:eastAsiaTheme="minorHAnsi" w:hAnsiTheme="minorHAnsi" w:cstheme="minorBidi"/>
          <w:snapToGrid/>
          <w:color w:val="000000" w:themeColor="text1"/>
        </w:rPr>
        <w:t>.</w:t>
      </w:r>
      <w:r w:rsidR="00FC10DC" w:rsidRPr="001C25C2">
        <w:rPr>
          <w:rFonts w:asciiTheme="minorHAnsi" w:eastAsiaTheme="minorHAnsi" w:hAnsiTheme="minorHAnsi" w:cstheme="minorBidi"/>
          <w:snapToGrid/>
          <w:color w:val="000000" w:themeColor="text1"/>
        </w:rPr>
        <w:t xml:space="preserve"> </w:t>
      </w:r>
    </w:p>
    <w:p w:rsidR="00FC10DC" w:rsidRPr="001C25C2" w:rsidRDefault="00BF1C09" w:rsidP="00FD7977">
      <w:pPr>
        <w:widowControl/>
        <w:numPr>
          <w:ilvl w:val="1"/>
          <w:numId w:val="2"/>
        </w:numPr>
        <w:spacing w:after="120"/>
        <w:rPr>
          <w:rFonts w:asciiTheme="minorHAnsi" w:eastAsiaTheme="minorHAnsi" w:hAnsiTheme="minorHAnsi" w:cstheme="minorBidi"/>
          <w:snapToGrid/>
          <w:color w:val="000000" w:themeColor="text1"/>
        </w:rPr>
      </w:pPr>
      <w:r w:rsidRPr="001C25C2">
        <w:rPr>
          <w:rFonts w:asciiTheme="minorHAnsi" w:eastAsiaTheme="minorHAnsi" w:hAnsiTheme="minorHAnsi" w:cstheme="minorBidi"/>
          <w:snapToGrid/>
          <w:color w:val="000000" w:themeColor="text1"/>
        </w:rPr>
        <w:t xml:space="preserve">The PBAC noted that </w:t>
      </w:r>
      <w:r w:rsidR="00DC3115" w:rsidRPr="001C25C2">
        <w:rPr>
          <w:rFonts w:asciiTheme="minorHAnsi" w:eastAsiaTheme="minorHAnsi" w:hAnsiTheme="minorHAnsi" w:cstheme="minorBidi"/>
          <w:snapToGrid/>
          <w:color w:val="000000" w:themeColor="text1"/>
        </w:rPr>
        <w:t>there were</w:t>
      </w:r>
      <w:r w:rsidRPr="001C25C2">
        <w:rPr>
          <w:rFonts w:asciiTheme="minorHAnsi" w:eastAsiaTheme="minorHAnsi" w:hAnsiTheme="minorHAnsi" w:cstheme="minorBidi"/>
          <w:snapToGrid/>
          <w:color w:val="000000" w:themeColor="text1"/>
        </w:rPr>
        <w:t xml:space="preserve"> uncertain</w:t>
      </w:r>
      <w:r w:rsidR="00DC3115" w:rsidRPr="001C25C2">
        <w:rPr>
          <w:rFonts w:asciiTheme="minorHAnsi" w:eastAsiaTheme="minorHAnsi" w:hAnsiTheme="minorHAnsi" w:cstheme="minorBidi"/>
          <w:snapToGrid/>
          <w:color w:val="000000" w:themeColor="text1"/>
        </w:rPr>
        <w:t xml:space="preserve">ties in the estimates number of patients likely to be treated with </w:t>
      </w:r>
      <w:proofErr w:type="spellStart"/>
      <w:r w:rsidR="00DC3115" w:rsidRPr="001C25C2">
        <w:rPr>
          <w:rFonts w:asciiTheme="minorHAnsi" w:eastAsiaTheme="minorHAnsi" w:hAnsiTheme="minorHAnsi" w:cstheme="minorBidi"/>
          <w:snapToGrid/>
          <w:color w:val="000000" w:themeColor="text1"/>
        </w:rPr>
        <w:t>trifluridine</w:t>
      </w:r>
      <w:proofErr w:type="spellEnd"/>
      <w:r w:rsidR="00DC3115" w:rsidRPr="001C25C2">
        <w:rPr>
          <w:rFonts w:asciiTheme="minorHAnsi" w:eastAsiaTheme="minorHAnsi" w:hAnsiTheme="minorHAnsi" w:cstheme="minorBidi"/>
          <w:snapToGrid/>
          <w:color w:val="000000" w:themeColor="text1"/>
        </w:rPr>
        <w:t>/</w:t>
      </w:r>
      <w:proofErr w:type="spellStart"/>
      <w:r w:rsidR="00DC3115" w:rsidRPr="001C25C2">
        <w:rPr>
          <w:rFonts w:asciiTheme="minorHAnsi" w:eastAsiaTheme="minorHAnsi" w:hAnsiTheme="minorHAnsi" w:cstheme="minorBidi"/>
          <w:snapToGrid/>
          <w:color w:val="000000" w:themeColor="text1"/>
        </w:rPr>
        <w:t>tipiracil</w:t>
      </w:r>
      <w:proofErr w:type="spellEnd"/>
      <w:r w:rsidR="00DC3115" w:rsidRPr="001C25C2">
        <w:rPr>
          <w:rFonts w:asciiTheme="minorHAnsi" w:eastAsiaTheme="minorHAnsi" w:hAnsiTheme="minorHAnsi" w:cstheme="minorBidi"/>
          <w:snapToGrid/>
          <w:color w:val="000000" w:themeColor="text1"/>
        </w:rPr>
        <w:t xml:space="preserve"> due to several estimates from sponsor-</w:t>
      </w:r>
      <w:r w:rsidR="00DC3115" w:rsidRPr="001C25C2">
        <w:rPr>
          <w:rFonts w:asciiTheme="minorHAnsi" w:eastAsiaTheme="minorHAnsi" w:hAnsiTheme="minorHAnsi" w:cstheme="minorBidi"/>
          <w:snapToGrid/>
          <w:color w:val="000000" w:themeColor="text1"/>
        </w:rPr>
        <w:lastRenderedPageBreak/>
        <w:t xml:space="preserve">commissioned studies having uncertain validity. Further to this, the PBAC noted that costs to the PBS and hospitals for the treatment of adverse events were not included in the submission, as well as the MBS costs related to radiological monitoring of disease progression. </w:t>
      </w:r>
      <w:r w:rsidRPr="001C25C2">
        <w:rPr>
          <w:rFonts w:asciiTheme="minorHAnsi" w:eastAsiaTheme="minorHAnsi" w:hAnsiTheme="minorHAnsi" w:cstheme="minorBidi"/>
          <w:snapToGrid/>
          <w:color w:val="000000" w:themeColor="text1"/>
        </w:rPr>
        <w:t xml:space="preserve">However, the PBAC considered </w:t>
      </w:r>
      <w:r w:rsidR="00AC0D87" w:rsidRPr="001C25C2">
        <w:rPr>
          <w:rFonts w:asciiTheme="minorHAnsi" w:eastAsiaTheme="minorHAnsi" w:hAnsiTheme="minorHAnsi" w:cstheme="minorBidi"/>
          <w:snapToGrid/>
          <w:color w:val="000000" w:themeColor="text1"/>
        </w:rPr>
        <w:t xml:space="preserve">that </w:t>
      </w:r>
      <w:r w:rsidR="005721E9" w:rsidRPr="001C25C2">
        <w:rPr>
          <w:rFonts w:asciiTheme="minorHAnsi" w:eastAsiaTheme="minorHAnsi" w:hAnsiTheme="minorHAnsi" w:cstheme="minorBidi"/>
          <w:snapToGrid/>
          <w:color w:val="000000" w:themeColor="text1"/>
        </w:rPr>
        <w:t xml:space="preserve">given </w:t>
      </w:r>
      <w:r w:rsidRPr="001C25C2">
        <w:rPr>
          <w:rFonts w:asciiTheme="minorHAnsi" w:eastAsiaTheme="minorHAnsi" w:hAnsiTheme="minorHAnsi" w:cstheme="minorBidi"/>
          <w:snapToGrid/>
          <w:color w:val="000000" w:themeColor="text1"/>
        </w:rPr>
        <w:t xml:space="preserve">the </w:t>
      </w:r>
      <w:r w:rsidR="00DC3115" w:rsidRPr="001C25C2">
        <w:rPr>
          <w:rFonts w:asciiTheme="minorHAnsi" w:eastAsiaTheme="minorHAnsi" w:hAnsiTheme="minorHAnsi" w:cstheme="minorBidi"/>
          <w:snapToGrid/>
          <w:color w:val="000000" w:themeColor="text1"/>
        </w:rPr>
        <w:t xml:space="preserve">small patient population, </w:t>
      </w:r>
      <w:r w:rsidRPr="001C25C2">
        <w:rPr>
          <w:rFonts w:asciiTheme="minorHAnsi" w:eastAsiaTheme="minorHAnsi" w:hAnsiTheme="minorHAnsi" w:cstheme="minorBidi"/>
          <w:snapToGrid/>
          <w:color w:val="000000" w:themeColor="text1"/>
        </w:rPr>
        <w:t xml:space="preserve">very short life expectancy of patients with </w:t>
      </w:r>
      <w:proofErr w:type="spellStart"/>
      <w:r w:rsidRPr="001C25C2">
        <w:rPr>
          <w:rFonts w:asciiTheme="minorHAnsi" w:eastAsiaTheme="minorHAnsi" w:hAnsiTheme="minorHAnsi" w:cstheme="minorBidi"/>
          <w:snapToGrid/>
          <w:color w:val="000000" w:themeColor="text1"/>
        </w:rPr>
        <w:t>mG</w:t>
      </w:r>
      <w:proofErr w:type="spellEnd"/>
      <w:r w:rsidR="00CD3271" w:rsidRPr="001C25C2">
        <w:rPr>
          <w:rFonts w:asciiTheme="minorHAnsi" w:eastAsiaTheme="minorHAnsi" w:hAnsiTheme="minorHAnsi" w:cstheme="minorBidi"/>
          <w:snapToGrid/>
          <w:color w:val="000000" w:themeColor="text1"/>
        </w:rPr>
        <w:t>/GEJ adenocarcinoma</w:t>
      </w:r>
      <w:r w:rsidRPr="001C25C2">
        <w:rPr>
          <w:rFonts w:asciiTheme="minorHAnsi" w:eastAsiaTheme="minorHAnsi" w:hAnsiTheme="minorHAnsi" w:cstheme="minorBidi"/>
          <w:snapToGrid/>
          <w:color w:val="000000" w:themeColor="text1"/>
        </w:rPr>
        <w:t xml:space="preserve">, and the expected low uptake of </w:t>
      </w:r>
      <w:proofErr w:type="spellStart"/>
      <w:r w:rsidRPr="001C25C2">
        <w:rPr>
          <w:rFonts w:asciiTheme="minorHAnsi" w:eastAsiaTheme="minorHAnsi" w:hAnsiTheme="minorHAnsi" w:cstheme="minorBidi"/>
          <w:snapToGrid/>
          <w:color w:val="000000" w:themeColor="text1"/>
        </w:rPr>
        <w:t>trifluridine</w:t>
      </w:r>
      <w:proofErr w:type="spellEnd"/>
      <w:r w:rsidRPr="001C25C2">
        <w:rPr>
          <w:rFonts w:asciiTheme="minorHAnsi" w:eastAsiaTheme="minorHAnsi" w:hAnsiTheme="minorHAnsi" w:cstheme="minorBidi"/>
          <w:snapToGrid/>
          <w:color w:val="000000" w:themeColor="text1"/>
        </w:rPr>
        <w:t>/</w:t>
      </w:r>
      <w:proofErr w:type="spellStart"/>
      <w:r w:rsidRPr="001C25C2">
        <w:rPr>
          <w:rFonts w:asciiTheme="minorHAnsi" w:eastAsiaTheme="minorHAnsi" w:hAnsiTheme="minorHAnsi" w:cstheme="minorBidi"/>
          <w:snapToGrid/>
          <w:color w:val="000000" w:themeColor="text1"/>
        </w:rPr>
        <w:t>tipiracil</w:t>
      </w:r>
      <w:proofErr w:type="spellEnd"/>
      <w:r w:rsidRPr="001C25C2">
        <w:rPr>
          <w:rFonts w:asciiTheme="minorHAnsi" w:eastAsiaTheme="minorHAnsi" w:hAnsiTheme="minorHAnsi" w:cstheme="minorBidi"/>
          <w:snapToGrid/>
          <w:color w:val="000000" w:themeColor="text1"/>
        </w:rPr>
        <w:t xml:space="preserve"> </w:t>
      </w:r>
      <w:r w:rsidR="00DC3115" w:rsidRPr="001C25C2">
        <w:rPr>
          <w:rFonts w:asciiTheme="minorHAnsi" w:eastAsiaTheme="minorHAnsi" w:hAnsiTheme="minorHAnsi" w:cstheme="minorBidi"/>
          <w:snapToGrid/>
          <w:color w:val="000000" w:themeColor="text1"/>
        </w:rPr>
        <w:t xml:space="preserve">due to its toxicity </w:t>
      </w:r>
      <w:r w:rsidR="005721E9" w:rsidRPr="001C25C2">
        <w:rPr>
          <w:rFonts w:asciiTheme="minorHAnsi" w:eastAsiaTheme="minorHAnsi" w:hAnsiTheme="minorHAnsi" w:cstheme="minorBidi"/>
          <w:snapToGrid/>
          <w:color w:val="000000" w:themeColor="text1"/>
        </w:rPr>
        <w:t>profile, the financial implications for the PBS were likely to be modest</w:t>
      </w:r>
      <w:r w:rsidRPr="001C25C2">
        <w:rPr>
          <w:rFonts w:asciiTheme="minorHAnsi" w:eastAsiaTheme="minorHAnsi" w:hAnsiTheme="minorHAnsi" w:cstheme="minorBidi"/>
          <w:snapToGrid/>
          <w:color w:val="000000" w:themeColor="text1"/>
        </w:rPr>
        <w:t>.</w:t>
      </w:r>
    </w:p>
    <w:p w:rsidR="00FC10DC" w:rsidRPr="001C25C2" w:rsidRDefault="00E97262" w:rsidP="00FD7977">
      <w:pPr>
        <w:widowControl/>
        <w:numPr>
          <w:ilvl w:val="1"/>
          <w:numId w:val="2"/>
        </w:numPr>
        <w:spacing w:after="120"/>
        <w:rPr>
          <w:rFonts w:asciiTheme="minorHAnsi" w:eastAsiaTheme="minorHAnsi" w:hAnsiTheme="minorHAnsi" w:cstheme="minorBidi"/>
          <w:snapToGrid/>
          <w:color w:val="000000" w:themeColor="text1"/>
        </w:rPr>
      </w:pPr>
      <w:r w:rsidRPr="001C25C2">
        <w:rPr>
          <w:rFonts w:asciiTheme="minorHAnsi" w:eastAsiaTheme="minorHAnsi" w:hAnsiTheme="minorHAnsi" w:cstheme="minorBidi"/>
          <w:snapToGrid/>
          <w:color w:val="000000" w:themeColor="text1"/>
        </w:rPr>
        <w:t xml:space="preserve">The PBAC advised that </w:t>
      </w:r>
      <w:proofErr w:type="spellStart"/>
      <w:r w:rsidRPr="001C25C2">
        <w:rPr>
          <w:rFonts w:asciiTheme="minorHAnsi" w:eastAsiaTheme="minorHAnsi" w:hAnsiTheme="minorHAnsi" w:cstheme="minorBidi"/>
          <w:snapToGrid/>
          <w:color w:val="000000" w:themeColor="text1"/>
        </w:rPr>
        <w:t>trifluridine</w:t>
      </w:r>
      <w:proofErr w:type="spellEnd"/>
      <w:r w:rsidRPr="001C25C2">
        <w:rPr>
          <w:rFonts w:asciiTheme="minorHAnsi" w:eastAsiaTheme="minorHAnsi" w:hAnsiTheme="minorHAnsi" w:cstheme="minorBidi"/>
          <w:snapToGrid/>
          <w:color w:val="000000" w:themeColor="text1"/>
        </w:rPr>
        <w:t>/</w:t>
      </w:r>
      <w:proofErr w:type="spellStart"/>
      <w:r w:rsidRPr="001C25C2">
        <w:rPr>
          <w:rFonts w:asciiTheme="minorHAnsi" w:eastAsiaTheme="minorHAnsi" w:hAnsiTheme="minorHAnsi" w:cstheme="minorBidi"/>
          <w:snapToGrid/>
          <w:color w:val="000000" w:themeColor="text1"/>
        </w:rPr>
        <w:t>tipiracil</w:t>
      </w:r>
      <w:proofErr w:type="spellEnd"/>
      <w:r w:rsidRPr="001C25C2">
        <w:rPr>
          <w:rFonts w:asciiTheme="minorHAnsi" w:eastAsiaTheme="minorHAnsi" w:hAnsiTheme="minorHAnsi" w:cstheme="minorBidi"/>
          <w:snapToGrid/>
          <w:color w:val="000000" w:themeColor="text1"/>
        </w:rPr>
        <w:t xml:space="preserve"> should not be treated as interchangeable on an individual patient basis with any other drugs under Section 101 (3BA) of the </w:t>
      </w:r>
      <w:r w:rsidRPr="001C25C2">
        <w:rPr>
          <w:rFonts w:asciiTheme="minorHAnsi" w:eastAsiaTheme="minorHAnsi" w:hAnsiTheme="minorHAnsi" w:cstheme="minorBidi"/>
          <w:i/>
          <w:snapToGrid/>
          <w:color w:val="000000" w:themeColor="text1"/>
        </w:rPr>
        <w:t>National Health Act 1953</w:t>
      </w:r>
      <w:r w:rsidRPr="001C25C2">
        <w:rPr>
          <w:rFonts w:asciiTheme="minorHAnsi" w:eastAsiaTheme="minorHAnsi" w:hAnsiTheme="minorHAnsi" w:cstheme="minorBidi"/>
          <w:snapToGrid/>
          <w:color w:val="000000" w:themeColor="text1"/>
        </w:rPr>
        <w:t xml:space="preserve">. </w:t>
      </w:r>
    </w:p>
    <w:p w:rsidR="00FC10DC" w:rsidRPr="001C25C2" w:rsidRDefault="00E97262" w:rsidP="00FD7977">
      <w:pPr>
        <w:widowControl/>
        <w:numPr>
          <w:ilvl w:val="1"/>
          <w:numId w:val="2"/>
        </w:numPr>
        <w:spacing w:after="120"/>
        <w:rPr>
          <w:rFonts w:asciiTheme="minorHAnsi" w:eastAsiaTheme="minorHAnsi" w:hAnsiTheme="minorHAnsi" w:cstheme="minorBidi"/>
          <w:snapToGrid/>
          <w:color w:val="000000" w:themeColor="text1"/>
        </w:rPr>
      </w:pPr>
      <w:r w:rsidRPr="001C25C2">
        <w:rPr>
          <w:rFonts w:asciiTheme="minorHAnsi" w:eastAsiaTheme="minorHAnsi" w:hAnsiTheme="minorHAnsi" w:cstheme="minorBidi"/>
          <w:snapToGrid/>
          <w:color w:val="000000" w:themeColor="text1"/>
        </w:rPr>
        <w:t xml:space="preserve">The PBAC recommended that the Early Supply Rule should apply to </w:t>
      </w:r>
      <w:proofErr w:type="spellStart"/>
      <w:r w:rsidRPr="001C25C2">
        <w:rPr>
          <w:rFonts w:asciiTheme="minorHAnsi" w:eastAsiaTheme="minorHAnsi" w:hAnsiTheme="minorHAnsi" w:cstheme="minorBidi"/>
          <w:snapToGrid/>
          <w:color w:val="000000" w:themeColor="text1"/>
        </w:rPr>
        <w:t>trifluridine</w:t>
      </w:r>
      <w:proofErr w:type="spellEnd"/>
      <w:r w:rsidRPr="001C25C2">
        <w:rPr>
          <w:rFonts w:asciiTheme="minorHAnsi" w:eastAsiaTheme="minorHAnsi" w:hAnsiTheme="minorHAnsi" w:cstheme="minorBidi"/>
          <w:snapToGrid/>
          <w:color w:val="000000" w:themeColor="text1"/>
        </w:rPr>
        <w:t>/</w:t>
      </w:r>
      <w:proofErr w:type="spellStart"/>
      <w:r w:rsidRPr="001C25C2">
        <w:rPr>
          <w:rFonts w:asciiTheme="minorHAnsi" w:eastAsiaTheme="minorHAnsi" w:hAnsiTheme="minorHAnsi" w:cstheme="minorBidi"/>
          <w:snapToGrid/>
          <w:color w:val="000000" w:themeColor="text1"/>
        </w:rPr>
        <w:t>tipiracil</w:t>
      </w:r>
      <w:proofErr w:type="spellEnd"/>
      <w:r w:rsidRPr="001C25C2">
        <w:rPr>
          <w:rFonts w:asciiTheme="minorHAnsi" w:eastAsiaTheme="minorHAnsi" w:hAnsiTheme="minorHAnsi" w:cstheme="minorBidi"/>
          <w:snapToGrid/>
          <w:color w:val="000000" w:themeColor="text1"/>
        </w:rPr>
        <w:t xml:space="preserve">. </w:t>
      </w:r>
    </w:p>
    <w:p w:rsidR="00FC10DC" w:rsidRPr="001C25C2" w:rsidRDefault="00E97262" w:rsidP="00FD7977">
      <w:pPr>
        <w:widowControl/>
        <w:numPr>
          <w:ilvl w:val="1"/>
          <w:numId w:val="2"/>
        </w:numPr>
        <w:spacing w:after="120"/>
        <w:rPr>
          <w:rFonts w:asciiTheme="minorHAnsi" w:eastAsiaTheme="minorHAnsi" w:hAnsiTheme="minorHAnsi" w:cstheme="minorBidi"/>
          <w:snapToGrid/>
          <w:color w:val="000000" w:themeColor="text1"/>
        </w:rPr>
      </w:pPr>
      <w:r w:rsidRPr="001C25C2">
        <w:rPr>
          <w:rFonts w:asciiTheme="minorHAnsi" w:eastAsiaTheme="minorHAnsi" w:hAnsiTheme="minorHAnsi" w:cstheme="minorBidi"/>
          <w:snapToGrid/>
          <w:color w:val="000000" w:themeColor="text1"/>
        </w:rPr>
        <w:t xml:space="preserve">The PBAC advised that </w:t>
      </w:r>
      <w:proofErr w:type="spellStart"/>
      <w:r w:rsidRPr="001C25C2">
        <w:rPr>
          <w:rFonts w:asciiTheme="minorHAnsi" w:eastAsiaTheme="minorHAnsi" w:hAnsiTheme="minorHAnsi" w:cstheme="minorBidi"/>
          <w:snapToGrid/>
          <w:color w:val="000000" w:themeColor="text1"/>
        </w:rPr>
        <w:t>trifluridine</w:t>
      </w:r>
      <w:proofErr w:type="spellEnd"/>
      <w:r w:rsidRPr="001C25C2">
        <w:rPr>
          <w:rFonts w:asciiTheme="minorHAnsi" w:eastAsiaTheme="minorHAnsi" w:hAnsiTheme="minorHAnsi" w:cstheme="minorBidi"/>
          <w:snapToGrid/>
          <w:color w:val="000000" w:themeColor="text1"/>
        </w:rPr>
        <w:t>/</w:t>
      </w:r>
      <w:proofErr w:type="spellStart"/>
      <w:r w:rsidRPr="001C25C2">
        <w:rPr>
          <w:rFonts w:asciiTheme="minorHAnsi" w:eastAsiaTheme="minorHAnsi" w:hAnsiTheme="minorHAnsi" w:cstheme="minorBidi"/>
          <w:snapToGrid/>
          <w:color w:val="000000" w:themeColor="text1"/>
        </w:rPr>
        <w:t>tipiracil</w:t>
      </w:r>
      <w:proofErr w:type="spellEnd"/>
      <w:r w:rsidRPr="001C25C2">
        <w:rPr>
          <w:rFonts w:asciiTheme="minorHAnsi" w:eastAsiaTheme="minorHAnsi" w:hAnsiTheme="minorHAnsi" w:cstheme="minorBidi"/>
          <w:snapToGrid/>
          <w:color w:val="000000" w:themeColor="text1"/>
        </w:rPr>
        <w:t xml:space="preserve"> is not suitable for prescribing by nurse practitioners</w:t>
      </w:r>
      <w:r w:rsidR="00FC10DC" w:rsidRPr="001C25C2">
        <w:rPr>
          <w:rFonts w:asciiTheme="minorHAnsi" w:eastAsiaTheme="minorHAnsi" w:hAnsiTheme="minorHAnsi" w:cstheme="minorBidi"/>
          <w:snapToGrid/>
          <w:color w:val="000000" w:themeColor="text1"/>
        </w:rPr>
        <w:t>.</w:t>
      </w:r>
    </w:p>
    <w:p w:rsidR="00E97262" w:rsidRPr="001C25C2" w:rsidRDefault="00E97262" w:rsidP="00FD7977">
      <w:pPr>
        <w:widowControl/>
        <w:numPr>
          <w:ilvl w:val="1"/>
          <w:numId w:val="2"/>
        </w:numPr>
        <w:spacing w:after="120"/>
        <w:rPr>
          <w:rFonts w:asciiTheme="minorHAnsi" w:eastAsiaTheme="minorHAnsi" w:hAnsiTheme="minorHAnsi" w:cstheme="minorBidi"/>
          <w:snapToGrid/>
          <w:color w:val="000000" w:themeColor="text1"/>
        </w:rPr>
      </w:pPr>
      <w:r w:rsidRPr="001C25C2">
        <w:rPr>
          <w:rFonts w:asciiTheme="minorHAnsi" w:eastAsiaTheme="minorHAnsi" w:hAnsiTheme="minorHAnsi" w:cstheme="minorBidi"/>
          <w:snapToGrid/>
          <w:color w:val="000000" w:themeColor="text1"/>
        </w:rPr>
        <w:t xml:space="preserve">The PBAC noted that this submission would not meet the criteria for an Independent Review as it received a positive recommendation. </w:t>
      </w:r>
    </w:p>
    <w:p w:rsidR="00D46C71" w:rsidRPr="001C25C2" w:rsidRDefault="00D46C71" w:rsidP="00D46C71">
      <w:pPr>
        <w:widowControl/>
        <w:spacing w:after="120"/>
        <w:rPr>
          <w:rFonts w:asciiTheme="minorHAnsi" w:eastAsiaTheme="minorHAnsi" w:hAnsiTheme="minorHAnsi" w:cstheme="minorBidi"/>
          <w:snapToGrid/>
          <w:color w:val="000000" w:themeColor="text1"/>
        </w:rPr>
      </w:pPr>
    </w:p>
    <w:p w:rsidR="00587BCE" w:rsidRDefault="00D46C71" w:rsidP="00587BCE">
      <w:pPr>
        <w:widowControl/>
        <w:rPr>
          <w:rFonts w:asciiTheme="minorHAnsi" w:eastAsiaTheme="minorHAnsi" w:hAnsiTheme="minorHAnsi" w:cstheme="minorBidi"/>
          <w:b/>
          <w:snapToGrid/>
          <w:color w:val="000000" w:themeColor="text1"/>
        </w:rPr>
      </w:pPr>
      <w:r w:rsidRPr="001C25C2">
        <w:rPr>
          <w:rFonts w:asciiTheme="minorHAnsi" w:eastAsiaTheme="minorHAnsi" w:hAnsiTheme="minorHAnsi" w:cstheme="minorBidi"/>
          <w:b/>
          <w:snapToGrid/>
          <w:color w:val="000000" w:themeColor="text1"/>
        </w:rPr>
        <w:t>Outcome:</w:t>
      </w:r>
    </w:p>
    <w:p w:rsidR="00FF102A" w:rsidRPr="00587BCE" w:rsidRDefault="00D46C71" w:rsidP="00D46C71">
      <w:pPr>
        <w:widowControl/>
        <w:spacing w:after="120"/>
        <w:rPr>
          <w:rFonts w:asciiTheme="minorHAnsi" w:eastAsiaTheme="minorHAnsi" w:hAnsiTheme="minorHAnsi" w:cstheme="minorBidi"/>
          <w:b/>
          <w:snapToGrid/>
          <w:color w:val="000000" w:themeColor="text1"/>
        </w:rPr>
      </w:pPr>
      <w:r w:rsidRPr="001C25C2">
        <w:rPr>
          <w:rFonts w:asciiTheme="minorHAnsi" w:eastAsiaTheme="minorHAnsi" w:hAnsiTheme="minorHAnsi" w:cstheme="minorBidi"/>
          <w:snapToGrid/>
          <w:color w:val="000000" w:themeColor="text1"/>
        </w:rPr>
        <w:t>Recommended</w:t>
      </w:r>
    </w:p>
    <w:p w:rsidR="009876D7" w:rsidRPr="001C25C2" w:rsidRDefault="009876D7" w:rsidP="00587BCE">
      <w:pPr>
        <w:pStyle w:val="PBACHeading1"/>
        <w:numPr>
          <w:ilvl w:val="0"/>
          <w:numId w:val="2"/>
        </w:numPr>
        <w:spacing w:before="240" w:after="120"/>
        <w:outlineLvl w:val="0"/>
      </w:pPr>
      <w:r w:rsidRPr="001C25C2">
        <w:t>Recommended listing</w:t>
      </w:r>
    </w:p>
    <w:p w:rsidR="009876D7" w:rsidRPr="001C25C2" w:rsidRDefault="009876D7" w:rsidP="00FD7977">
      <w:pPr>
        <w:widowControl/>
        <w:numPr>
          <w:ilvl w:val="1"/>
          <w:numId w:val="2"/>
        </w:numPr>
        <w:spacing w:after="120"/>
        <w:rPr>
          <w:rFonts w:asciiTheme="minorHAnsi" w:eastAsiaTheme="minorHAnsi" w:hAnsiTheme="minorHAnsi" w:cstheme="minorBidi"/>
          <w:snapToGrid/>
          <w:color w:val="000000" w:themeColor="text1"/>
        </w:rPr>
      </w:pPr>
      <w:r w:rsidRPr="001C25C2">
        <w:rPr>
          <w:rFonts w:asciiTheme="minorHAnsi" w:eastAsiaTheme="minorHAnsi" w:hAnsiTheme="minorHAnsi" w:cstheme="minorBidi"/>
          <w:snapToGrid/>
          <w:color w:val="000000" w:themeColor="text1"/>
        </w:rPr>
        <w:t>Amend existing/recommended listing as follows:</w:t>
      </w:r>
    </w:p>
    <w:tbl>
      <w:tblPr>
        <w:tblW w:w="5000" w:type="pct"/>
        <w:tblLook w:val="0000" w:firstRow="0" w:lastRow="0" w:firstColumn="0" w:lastColumn="0" w:noHBand="0" w:noVBand="0"/>
      </w:tblPr>
      <w:tblGrid>
        <w:gridCol w:w="1873"/>
        <w:gridCol w:w="1544"/>
        <w:gridCol w:w="588"/>
        <w:gridCol w:w="815"/>
        <w:gridCol w:w="4197"/>
      </w:tblGrid>
      <w:tr w:rsidR="00331922" w:rsidRPr="001C25C2" w:rsidTr="00331922">
        <w:trPr>
          <w:cantSplit/>
          <w:trHeight w:val="465"/>
        </w:trPr>
        <w:tc>
          <w:tcPr>
            <w:tcW w:w="1895" w:type="pct"/>
            <w:gridSpan w:val="2"/>
            <w:tcBorders>
              <w:top w:val="single" w:sz="4" w:space="0" w:color="auto"/>
              <w:left w:val="single" w:sz="4" w:space="0" w:color="auto"/>
              <w:bottom w:val="single" w:sz="4" w:space="0" w:color="auto"/>
              <w:right w:val="single" w:sz="4" w:space="0" w:color="auto"/>
            </w:tcBorders>
          </w:tcPr>
          <w:p w:rsidR="00331922" w:rsidRPr="001C25C2" w:rsidRDefault="00331922" w:rsidP="00197C79">
            <w:pPr>
              <w:keepNext/>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t>Name, Restriction,</w:t>
            </w:r>
          </w:p>
          <w:p w:rsidR="00331922" w:rsidRPr="001C25C2" w:rsidRDefault="00331922" w:rsidP="00197C79">
            <w:pPr>
              <w:keepNext/>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t>Manner of administration and form</w:t>
            </w:r>
          </w:p>
        </w:tc>
        <w:tc>
          <w:tcPr>
            <w:tcW w:w="326"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keepNext/>
              <w:widowControl/>
              <w:spacing w:before="40" w:after="40" w:line="264" w:lineRule="auto"/>
              <w:jc w:val="center"/>
              <w:rPr>
                <w:rFonts w:ascii="Arial Narrow" w:hAnsi="Arial Narrow"/>
                <w:b/>
                <w:snapToGrid/>
                <w:sz w:val="20"/>
                <w:szCs w:val="20"/>
                <w:lang w:bidi="en-US"/>
              </w:rPr>
            </w:pPr>
            <w:r w:rsidRPr="001C25C2">
              <w:rPr>
                <w:rFonts w:ascii="Arial Narrow" w:hAnsi="Arial Narrow"/>
                <w:b/>
                <w:snapToGrid/>
                <w:sz w:val="20"/>
                <w:szCs w:val="20"/>
                <w:lang w:bidi="en-US"/>
              </w:rPr>
              <w:t>Max.</w:t>
            </w:r>
          </w:p>
          <w:p w:rsidR="00331922" w:rsidRPr="001C25C2" w:rsidRDefault="00331922" w:rsidP="00197C79">
            <w:pPr>
              <w:keepNext/>
              <w:widowControl/>
              <w:spacing w:before="40" w:after="40" w:line="264" w:lineRule="auto"/>
              <w:jc w:val="center"/>
              <w:rPr>
                <w:rFonts w:ascii="Arial Narrow" w:hAnsi="Arial Narrow"/>
                <w:b/>
                <w:snapToGrid/>
                <w:sz w:val="20"/>
                <w:szCs w:val="20"/>
                <w:lang w:bidi="en-US"/>
              </w:rPr>
            </w:pPr>
            <w:proofErr w:type="spellStart"/>
            <w:r w:rsidRPr="001C25C2">
              <w:rPr>
                <w:rFonts w:ascii="Arial Narrow" w:hAnsi="Arial Narrow"/>
                <w:b/>
                <w:snapToGrid/>
                <w:sz w:val="20"/>
                <w:szCs w:val="20"/>
                <w:lang w:bidi="en-US"/>
              </w:rPr>
              <w:t>Qty</w:t>
            </w:r>
            <w:proofErr w:type="spellEnd"/>
          </w:p>
        </w:tc>
        <w:tc>
          <w:tcPr>
            <w:tcW w:w="452"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keepNext/>
              <w:widowControl/>
              <w:spacing w:before="40" w:after="40" w:line="264" w:lineRule="auto"/>
              <w:jc w:val="center"/>
              <w:rPr>
                <w:rFonts w:ascii="Arial Narrow" w:hAnsi="Arial Narrow"/>
                <w:b/>
                <w:snapToGrid/>
                <w:sz w:val="20"/>
                <w:szCs w:val="20"/>
                <w:lang w:bidi="en-US"/>
              </w:rPr>
            </w:pPr>
            <w:r w:rsidRPr="001C25C2">
              <w:rPr>
                <w:rFonts w:ascii="Arial Narrow" w:hAnsi="Arial Narrow"/>
                <w:b/>
                <w:snapToGrid/>
                <w:sz w:val="20"/>
                <w:szCs w:val="20"/>
                <w:lang w:bidi="en-US"/>
              </w:rPr>
              <w:t>№.of</w:t>
            </w:r>
          </w:p>
          <w:p w:rsidR="00331922" w:rsidRPr="001C25C2" w:rsidRDefault="00331922" w:rsidP="00197C79">
            <w:pPr>
              <w:keepNext/>
              <w:widowControl/>
              <w:spacing w:before="40" w:after="40" w:line="264" w:lineRule="auto"/>
              <w:jc w:val="center"/>
              <w:rPr>
                <w:rFonts w:ascii="Arial Narrow" w:hAnsi="Arial Narrow"/>
                <w:b/>
                <w:snapToGrid/>
                <w:sz w:val="20"/>
                <w:szCs w:val="20"/>
                <w:lang w:bidi="en-US"/>
              </w:rPr>
            </w:pPr>
            <w:proofErr w:type="spellStart"/>
            <w:r w:rsidRPr="001C25C2">
              <w:rPr>
                <w:rFonts w:ascii="Arial Narrow" w:hAnsi="Arial Narrow"/>
                <w:b/>
                <w:snapToGrid/>
                <w:sz w:val="20"/>
                <w:szCs w:val="20"/>
                <w:lang w:bidi="en-US"/>
              </w:rPr>
              <w:t>Rpts</w:t>
            </w:r>
            <w:proofErr w:type="spellEnd"/>
          </w:p>
        </w:tc>
        <w:tc>
          <w:tcPr>
            <w:tcW w:w="2327"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keepNext/>
              <w:widowControl/>
              <w:spacing w:before="40" w:after="40" w:line="264" w:lineRule="auto"/>
              <w:jc w:val="center"/>
              <w:rPr>
                <w:rFonts w:ascii="Arial Narrow" w:hAnsi="Arial Narrow"/>
                <w:b/>
                <w:snapToGrid/>
                <w:sz w:val="20"/>
                <w:szCs w:val="20"/>
                <w:lang w:bidi="en-US"/>
              </w:rPr>
            </w:pPr>
            <w:r w:rsidRPr="001C25C2">
              <w:rPr>
                <w:rFonts w:ascii="Arial Narrow" w:hAnsi="Arial Narrow"/>
                <w:b/>
                <w:snapToGrid/>
                <w:sz w:val="20"/>
                <w:szCs w:val="20"/>
                <w:lang w:bidi="en-US"/>
              </w:rPr>
              <w:t>Proprietary Name and Manufacturer</w:t>
            </w:r>
          </w:p>
        </w:tc>
      </w:tr>
      <w:tr w:rsidR="00331922" w:rsidRPr="001C25C2" w:rsidTr="000E01B9">
        <w:trPr>
          <w:cantSplit/>
          <w:trHeight w:val="780"/>
        </w:trPr>
        <w:tc>
          <w:tcPr>
            <w:tcW w:w="1895" w:type="pct"/>
            <w:gridSpan w:val="2"/>
            <w:tcBorders>
              <w:top w:val="single" w:sz="4" w:space="0" w:color="auto"/>
              <w:left w:val="single" w:sz="4" w:space="0" w:color="auto"/>
              <w:bottom w:val="single" w:sz="4" w:space="0" w:color="auto"/>
              <w:right w:val="single" w:sz="4" w:space="0" w:color="auto"/>
            </w:tcBorders>
          </w:tcPr>
          <w:p w:rsidR="00331922" w:rsidRPr="001C25C2" w:rsidRDefault="00331922" w:rsidP="00197C79">
            <w:pPr>
              <w:keepNext/>
              <w:widowControl/>
              <w:spacing w:line="264" w:lineRule="auto"/>
              <w:ind w:left="-108"/>
              <w:rPr>
                <w:rFonts w:ascii="Arial Narrow" w:hAnsi="Arial Narrow"/>
                <w:smallCaps/>
                <w:snapToGrid/>
                <w:sz w:val="20"/>
                <w:szCs w:val="20"/>
                <w:lang w:bidi="en-US"/>
              </w:rPr>
            </w:pPr>
            <w:r w:rsidRPr="001C25C2">
              <w:rPr>
                <w:rFonts w:ascii="Arial Narrow" w:hAnsi="Arial Narrow"/>
                <w:smallCaps/>
                <w:snapToGrid/>
                <w:sz w:val="20"/>
                <w:szCs w:val="20"/>
                <w:lang w:bidi="en-US"/>
              </w:rPr>
              <w:t>TRIFLURIDINE + TIPIRACIL</w:t>
            </w:r>
          </w:p>
          <w:p w:rsidR="00331922" w:rsidRPr="001C25C2" w:rsidRDefault="00331922" w:rsidP="00197C79">
            <w:pPr>
              <w:keepNext/>
              <w:widowControl/>
              <w:spacing w:line="264" w:lineRule="auto"/>
              <w:ind w:left="-108"/>
              <w:rPr>
                <w:rFonts w:ascii="Arial Narrow" w:hAnsi="Arial Narrow"/>
                <w:snapToGrid/>
                <w:sz w:val="20"/>
                <w:szCs w:val="20"/>
                <w:lang w:bidi="en-US"/>
              </w:rPr>
            </w:pPr>
            <w:proofErr w:type="spellStart"/>
            <w:r w:rsidRPr="001C25C2">
              <w:rPr>
                <w:rFonts w:ascii="Arial Narrow" w:hAnsi="Arial Narrow"/>
                <w:snapToGrid/>
                <w:sz w:val="20"/>
                <w:szCs w:val="20"/>
                <w:lang w:bidi="en-US"/>
              </w:rPr>
              <w:t>Trifluridine</w:t>
            </w:r>
            <w:proofErr w:type="spellEnd"/>
            <w:r w:rsidRPr="001C25C2">
              <w:rPr>
                <w:rFonts w:ascii="Arial Narrow" w:hAnsi="Arial Narrow"/>
                <w:snapToGrid/>
                <w:sz w:val="20"/>
                <w:szCs w:val="20"/>
                <w:lang w:bidi="en-US"/>
              </w:rPr>
              <w:t xml:space="preserve"> 15 mg + </w:t>
            </w:r>
            <w:proofErr w:type="spellStart"/>
            <w:r w:rsidRPr="001C25C2">
              <w:rPr>
                <w:rFonts w:ascii="Arial Narrow" w:hAnsi="Arial Narrow"/>
                <w:snapToGrid/>
                <w:sz w:val="20"/>
                <w:szCs w:val="20"/>
                <w:lang w:bidi="en-US"/>
              </w:rPr>
              <w:t>tipiracil</w:t>
            </w:r>
            <w:proofErr w:type="spellEnd"/>
            <w:r w:rsidRPr="001C25C2">
              <w:rPr>
                <w:rFonts w:ascii="Arial Narrow" w:hAnsi="Arial Narrow"/>
                <w:snapToGrid/>
                <w:sz w:val="20"/>
                <w:szCs w:val="20"/>
                <w:lang w:bidi="en-US"/>
              </w:rPr>
              <w:t xml:space="preserve"> 6.14 mg tablet, 20</w:t>
            </w:r>
          </w:p>
          <w:p w:rsidR="00331922" w:rsidRPr="001C25C2" w:rsidRDefault="00331922" w:rsidP="000E01B9">
            <w:pPr>
              <w:keepNext/>
              <w:widowControl/>
              <w:spacing w:line="264" w:lineRule="auto"/>
              <w:ind w:left="-108"/>
              <w:rPr>
                <w:rFonts w:ascii="Arial Narrow" w:hAnsi="Arial Narrow"/>
                <w:snapToGrid/>
                <w:sz w:val="20"/>
                <w:szCs w:val="20"/>
                <w:lang w:bidi="en-US"/>
              </w:rPr>
            </w:pPr>
            <w:proofErr w:type="spellStart"/>
            <w:r w:rsidRPr="001C25C2">
              <w:rPr>
                <w:rFonts w:ascii="Arial Narrow" w:hAnsi="Arial Narrow"/>
                <w:snapToGrid/>
                <w:sz w:val="20"/>
                <w:szCs w:val="20"/>
                <w:lang w:bidi="en-US"/>
              </w:rPr>
              <w:t>Trifluridine</w:t>
            </w:r>
            <w:proofErr w:type="spellEnd"/>
            <w:r w:rsidRPr="001C25C2">
              <w:rPr>
                <w:rFonts w:ascii="Arial Narrow" w:hAnsi="Arial Narrow"/>
                <w:snapToGrid/>
                <w:sz w:val="20"/>
                <w:szCs w:val="20"/>
                <w:lang w:bidi="en-US"/>
              </w:rPr>
              <w:t xml:space="preserve"> 20 mg</w:t>
            </w:r>
            <w:r w:rsidR="000E01B9">
              <w:rPr>
                <w:rFonts w:ascii="Arial Narrow" w:hAnsi="Arial Narrow"/>
                <w:snapToGrid/>
                <w:sz w:val="20"/>
                <w:szCs w:val="20"/>
                <w:lang w:bidi="en-US"/>
              </w:rPr>
              <w:t xml:space="preserve"> + </w:t>
            </w:r>
            <w:proofErr w:type="spellStart"/>
            <w:r w:rsidR="000E01B9">
              <w:rPr>
                <w:rFonts w:ascii="Arial Narrow" w:hAnsi="Arial Narrow"/>
                <w:snapToGrid/>
                <w:sz w:val="20"/>
                <w:szCs w:val="20"/>
                <w:lang w:bidi="en-US"/>
              </w:rPr>
              <w:t>tipiracil</w:t>
            </w:r>
            <w:proofErr w:type="spellEnd"/>
            <w:r w:rsidR="000E01B9">
              <w:rPr>
                <w:rFonts w:ascii="Arial Narrow" w:hAnsi="Arial Narrow"/>
                <w:snapToGrid/>
                <w:sz w:val="20"/>
                <w:szCs w:val="20"/>
                <w:lang w:bidi="en-US"/>
              </w:rPr>
              <w:t xml:space="preserve"> 8.19 mg tablet, 20</w:t>
            </w:r>
          </w:p>
        </w:tc>
        <w:tc>
          <w:tcPr>
            <w:tcW w:w="326"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keepNext/>
              <w:widowControl/>
              <w:spacing w:line="264" w:lineRule="auto"/>
              <w:jc w:val="center"/>
              <w:rPr>
                <w:rFonts w:ascii="Arial Narrow" w:hAnsi="Arial Narrow"/>
                <w:snapToGrid/>
                <w:sz w:val="20"/>
                <w:szCs w:val="20"/>
                <w:lang w:bidi="en-US"/>
              </w:rPr>
            </w:pPr>
          </w:p>
          <w:p w:rsidR="00331922" w:rsidRPr="001C25C2" w:rsidRDefault="00331922" w:rsidP="00197C79">
            <w:pPr>
              <w:keepNext/>
              <w:widowControl/>
              <w:spacing w:line="264" w:lineRule="auto"/>
              <w:jc w:val="center"/>
              <w:rPr>
                <w:rFonts w:ascii="Arial Narrow" w:hAnsi="Arial Narrow"/>
                <w:snapToGrid/>
                <w:sz w:val="20"/>
                <w:szCs w:val="20"/>
                <w:lang w:bidi="en-US"/>
              </w:rPr>
            </w:pPr>
            <w:r w:rsidRPr="001C25C2">
              <w:rPr>
                <w:rFonts w:ascii="Arial Narrow" w:hAnsi="Arial Narrow"/>
                <w:snapToGrid/>
                <w:sz w:val="20"/>
                <w:szCs w:val="20"/>
                <w:lang w:bidi="en-US"/>
              </w:rPr>
              <w:t>3</w:t>
            </w:r>
          </w:p>
          <w:p w:rsidR="00331922" w:rsidRPr="001C25C2" w:rsidRDefault="00331922" w:rsidP="00197C79">
            <w:pPr>
              <w:keepNext/>
              <w:widowControl/>
              <w:spacing w:line="264" w:lineRule="auto"/>
              <w:jc w:val="center"/>
              <w:rPr>
                <w:rFonts w:ascii="Arial Narrow" w:hAnsi="Arial Narrow"/>
                <w:snapToGrid/>
                <w:sz w:val="20"/>
                <w:szCs w:val="20"/>
                <w:lang w:bidi="en-US"/>
              </w:rPr>
            </w:pPr>
            <w:r w:rsidRPr="001C25C2">
              <w:rPr>
                <w:rFonts w:ascii="Arial Narrow" w:hAnsi="Arial Narrow"/>
                <w:snapToGrid/>
                <w:sz w:val="20"/>
                <w:szCs w:val="20"/>
                <w:lang w:bidi="en-US"/>
              </w:rPr>
              <w:t>4</w:t>
            </w:r>
          </w:p>
        </w:tc>
        <w:tc>
          <w:tcPr>
            <w:tcW w:w="452"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keepNext/>
              <w:widowControl/>
              <w:spacing w:line="264" w:lineRule="auto"/>
              <w:jc w:val="center"/>
              <w:rPr>
                <w:rFonts w:ascii="Arial Narrow" w:hAnsi="Arial Narrow"/>
                <w:snapToGrid/>
                <w:sz w:val="20"/>
                <w:szCs w:val="20"/>
                <w:lang w:bidi="en-US"/>
              </w:rPr>
            </w:pPr>
          </w:p>
          <w:p w:rsidR="00331922" w:rsidRPr="001C25C2" w:rsidRDefault="00331922" w:rsidP="00197C79">
            <w:pPr>
              <w:keepNext/>
              <w:widowControl/>
              <w:spacing w:line="264" w:lineRule="auto"/>
              <w:jc w:val="center"/>
              <w:rPr>
                <w:rFonts w:ascii="Arial Narrow" w:hAnsi="Arial Narrow"/>
                <w:snapToGrid/>
                <w:sz w:val="20"/>
                <w:szCs w:val="20"/>
                <w:lang w:bidi="en-US"/>
              </w:rPr>
            </w:pPr>
            <w:r w:rsidRPr="001C25C2">
              <w:rPr>
                <w:rFonts w:ascii="Arial Narrow" w:hAnsi="Arial Narrow"/>
                <w:snapToGrid/>
                <w:sz w:val="20"/>
                <w:szCs w:val="20"/>
                <w:lang w:bidi="en-US"/>
              </w:rPr>
              <w:t>2</w:t>
            </w:r>
          </w:p>
          <w:p w:rsidR="00331922" w:rsidRPr="001C25C2" w:rsidRDefault="00331922" w:rsidP="00197C79">
            <w:pPr>
              <w:keepNext/>
              <w:widowControl/>
              <w:spacing w:line="264" w:lineRule="auto"/>
              <w:jc w:val="center"/>
              <w:rPr>
                <w:rFonts w:ascii="Arial Narrow" w:hAnsi="Arial Narrow"/>
                <w:snapToGrid/>
                <w:sz w:val="20"/>
                <w:szCs w:val="20"/>
                <w:lang w:bidi="en-US"/>
              </w:rPr>
            </w:pPr>
            <w:r w:rsidRPr="001C25C2">
              <w:rPr>
                <w:rFonts w:ascii="Arial Narrow" w:hAnsi="Arial Narrow"/>
                <w:snapToGrid/>
                <w:sz w:val="20"/>
                <w:szCs w:val="20"/>
                <w:lang w:bidi="en-US"/>
              </w:rPr>
              <w:t>2</w:t>
            </w:r>
          </w:p>
        </w:tc>
        <w:tc>
          <w:tcPr>
            <w:tcW w:w="2327"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keepNext/>
              <w:widowControl/>
              <w:spacing w:line="264" w:lineRule="auto"/>
              <w:jc w:val="center"/>
              <w:rPr>
                <w:rFonts w:ascii="Arial Narrow" w:hAnsi="Arial Narrow"/>
                <w:snapToGrid/>
                <w:sz w:val="20"/>
                <w:szCs w:val="20"/>
                <w:lang w:bidi="en-US"/>
              </w:rPr>
            </w:pPr>
          </w:p>
          <w:p w:rsidR="00331922" w:rsidRPr="001C25C2" w:rsidRDefault="00331922" w:rsidP="00331922">
            <w:pPr>
              <w:keepNext/>
              <w:widowControl/>
              <w:spacing w:line="264" w:lineRule="auto"/>
              <w:rPr>
                <w:rFonts w:ascii="Arial Narrow" w:hAnsi="Arial Narrow"/>
                <w:snapToGrid/>
                <w:sz w:val="20"/>
                <w:szCs w:val="20"/>
                <w:lang w:bidi="en-US"/>
              </w:rPr>
            </w:pPr>
            <w:r w:rsidRPr="001C25C2">
              <w:rPr>
                <w:rFonts w:ascii="Arial Narrow" w:hAnsi="Arial Narrow"/>
                <w:snapToGrid/>
                <w:sz w:val="20"/>
                <w:szCs w:val="20"/>
                <w:lang w:bidi="en-US"/>
              </w:rPr>
              <w:t>LONSURF 15/6.14</w:t>
            </w:r>
          </w:p>
          <w:p w:rsidR="00331922" w:rsidRPr="001C25C2" w:rsidRDefault="00331922" w:rsidP="00331922">
            <w:pPr>
              <w:keepNext/>
              <w:widowControl/>
              <w:spacing w:line="264" w:lineRule="auto"/>
              <w:rPr>
                <w:rFonts w:ascii="Arial Narrow" w:hAnsi="Arial Narrow"/>
                <w:snapToGrid/>
                <w:sz w:val="20"/>
                <w:szCs w:val="20"/>
                <w:lang w:bidi="en-US"/>
              </w:rPr>
            </w:pPr>
            <w:r w:rsidRPr="001C25C2">
              <w:rPr>
                <w:rFonts w:ascii="Arial Narrow" w:hAnsi="Arial Narrow"/>
                <w:snapToGrid/>
                <w:sz w:val="20"/>
                <w:szCs w:val="20"/>
                <w:lang w:bidi="en-US"/>
              </w:rPr>
              <w:t xml:space="preserve">LONSURF 20/8.19               </w:t>
            </w:r>
            <w:proofErr w:type="spellStart"/>
            <w:r w:rsidRPr="001C25C2">
              <w:rPr>
                <w:rFonts w:ascii="Arial Narrow" w:hAnsi="Arial Narrow"/>
                <w:snapToGrid/>
                <w:sz w:val="20"/>
                <w:szCs w:val="20"/>
                <w:lang w:bidi="en-US"/>
              </w:rPr>
              <w:t>Servier</w:t>
            </w:r>
            <w:proofErr w:type="spellEnd"/>
            <w:r w:rsidRPr="001C25C2">
              <w:rPr>
                <w:rFonts w:ascii="Arial Narrow" w:hAnsi="Arial Narrow"/>
                <w:snapToGrid/>
                <w:sz w:val="20"/>
                <w:szCs w:val="20"/>
                <w:lang w:bidi="en-US"/>
              </w:rPr>
              <w:t xml:space="preserve"> Laboratories</w:t>
            </w:r>
          </w:p>
        </w:tc>
      </w:tr>
      <w:tr w:rsidR="00331922" w:rsidRPr="001C25C2" w:rsidTr="000E01B9">
        <w:trPr>
          <w:cantSplit/>
          <w:trHeight w:val="313"/>
        </w:trPr>
        <w:tc>
          <w:tcPr>
            <w:tcW w:w="1039"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Category / Program</w:t>
            </w:r>
          </w:p>
        </w:tc>
        <w:tc>
          <w:tcPr>
            <w:tcW w:w="3961"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GENERAL – General Schedule (Code GE)</w:t>
            </w:r>
          </w:p>
        </w:tc>
      </w:tr>
      <w:tr w:rsidR="00331922" w:rsidRPr="001C25C2" w:rsidTr="00331922">
        <w:trPr>
          <w:cantSplit/>
          <w:trHeight w:val="360"/>
        </w:trPr>
        <w:tc>
          <w:tcPr>
            <w:tcW w:w="1039"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t>Prescriber type:</w:t>
            </w:r>
          </w:p>
        </w:tc>
        <w:tc>
          <w:tcPr>
            <w:tcW w:w="3961"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fldChar w:fldCharType="begin">
                <w:ffData>
                  <w:name w:val="Check1"/>
                  <w:enabled/>
                  <w:calcOnExit w:val="0"/>
                  <w:checkBox>
                    <w:sizeAuto/>
                    <w:default w:val="0"/>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 xml:space="preserve">Dental  </w:t>
            </w:r>
            <w:r w:rsidRPr="001C25C2">
              <w:rPr>
                <w:rFonts w:ascii="Arial Narrow" w:hAnsi="Arial Narrow"/>
                <w:snapToGrid/>
                <w:sz w:val="20"/>
                <w:szCs w:val="20"/>
                <w:lang w:bidi="en-US"/>
              </w:rPr>
              <w:fldChar w:fldCharType="begin">
                <w:ffData>
                  <w:name w:val=""/>
                  <w:enabled/>
                  <w:calcOnExit w:val="0"/>
                  <w:checkBox>
                    <w:sizeAuto/>
                    <w:default w:val="1"/>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 xml:space="preserve">Medical Practitioners  </w:t>
            </w:r>
            <w:r w:rsidRPr="001C25C2">
              <w:rPr>
                <w:rFonts w:ascii="Arial Narrow" w:hAnsi="Arial Narrow"/>
                <w:snapToGrid/>
                <w:sz w:val="20"/>
                <w:szCs w:val="20"/>
                <w:lang w:bidi="en-US"/>
              </w:rPr>
              <w:fldChar w:fldCharType="begin">
                <w:ffData>
                  <w:name w:val="Check3"/>
                  <w:enabled/>
                  <w:calcOnExit w:val="0"/>
                  <w:checkBox>
                    <w:sizeAuto/>
                    <w:default w:val="0"/>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 xml:space="preserve">Nurse practitioners  </w:t>
            </w:r>
            <w:r w:rsidRPr="001C25C2">
              <w:rPr>
                <w:rFonts w:ascii="Arial Narrow" w:hAnsi="Arial Narrow"/>
                <w:snapToGrid/>
                <w:sz w:val="20"/>
                <w:szCs w:val="20"/>
                <w:lang w:bidi="en-US"/>
              </w:rPr>
              <w:fldChar w:fldCharType="begin">
                <w:ffData>
                  <w:name w:val=""/>
                  <w:enabled/>
                  <w:calcOnExit w:val="0"/>
                  <w:checkBox>
                    <w:sizeAuto/>
                    <w:default w:val="0"/>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 xml:space="preserve">Optometrists </w:t>
            </w:r>
            <w:r w:rsidRPr="001C25C2">
              <w:rPr>
                <w:rFonts w:ascii="Arial Narrow" w:hAnsi="Arial Narrow"/>
                <w:snapToGrid/>
                <w:sz w:val="20"/>
                <w:szCs w:val="20"/>
                <w:lang w:bidi="en-US"/>
              </w:rPr>
              <w:fldChar w:fldCharType="begin">
                <w:ffData>
                  <w:name w:val="Check5"/>
                  <w:enabled/>
                  <w:calcOnExit w:val="0"/>
                  <w:checkBox>
                    <w:sizeAuto/>
                    <w:default w:val="0"/>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Midwives</w:t>
            </w:r>
          </w:p>
        </w:tc>
      </w:tr>
      <w:tr w:rsidR="00331922" w:rsidRPr="001C25C2" w:rsidTr="000E01B9">
        <w:trPr>
          <w:cantSplit/>
          <w:trHeight w:val="181"/>
        </w:trPr>
        <w:tc>
          <w:tcPr>
            <w:tcW w:w="1039"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t>Episodicity:</w:t>
            </w:r>
          </w:p>
        </w:tc>
        <w:tc>
          <w:tcPr>
            <w:tcW w:w="3961"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t>-</w:t>
            </w:r>
          </w:p>
        </w:tc>
      </w:tr>
      <w:tr w:rsidR="00331922" w:rsidRPr="001C25C2" w:rsidTr="000E01B9">
        <w:trPr>
          <w:cantSplit/>
          <w:trHeight w:val="115"/>
        </w:trPr>
        <w:tc>
          <w:tcPr>
            <w:tcW w:w="1039"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rPr>
                <w:rFonts w:ascii="Arial Narrow" w:hAnsi="Arial Narrow"/>
                <w:b/>
                <w:i/>
                <w:snapToGrid/>
                <w:sz w:val="20"/>
                <w:szCs w:val="20"/>
                <w:lang w:bidi="en-US"/>
              </w:rPr>
            </w:pPr>
            <w:r w:rsidRPr="001C25C2">
              <w:rPr>
                <w:rFonts w:ascii="Arial Narrow" w:hAnsi="Arial Narrow"/>
                <w:b/>
                <w:i/>
                <w:snapToGrid/>
                <w:sz w:val="20"/>
                <w:szCs w:val="20"/>
                <w:lang w:bidi="en-US"/>
              </w:rPr>
              <w:t>Severity:</w:t>
            </w:r>
          </w:p>
        </w:tc>
        <w:tc>
          <w:tcPr>
            <w:tcW w:w="3961"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t>Metastatic (Stage IV) [contained within 17773]</w:t>
            </w:r>
          </w:p>
        </w:tc>
      </w:tr>
      <w:tr w:rsidR="00331922" w:rsidRPr="001C25C2" w:rsidTr="00331922">
        <w:trPr>
          <w:cantSplit/>
          <w:trHeight w:val="360"/>
        </w:trPr>
        <w:tc>
          <w:tcPr>
            <w:tcW w:w="1039"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t>Condition:</w:t>
            </w:r>
          </w:p>
        </w:tc>
        <w:tc>
          <w:tcPr>
            <w:tcW w:w="3961"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t>adenocarcinoma of the stomach or gastro-oesophageal junction</w:t>
            </w:r>
          </w:p>
        </w:tc>
      </w:tr>
      <w:tr w:rsidR="00331922" w:rsidRPr="001C25C2" w:rsidTr="000E01B9">
        <w:trPr>
          <w:cantSplit/>
          <w:trHeight w:val="395"/>
        </w:trPr>
        <w:tc>
          <w:tcPr>
            <w:tcW w:w="1039"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t>PBS Indication:</w:t>
            </w:r>
          </w:p>
        </w:tc>
        <w:tc>
          <w:tcPr>
            <w:tcW w:w="3961"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t>Metastatic (Stage IV) adenocarcinoma of the stomach or gastro-oesophageal junction [new concept]</w:t>
            </w:r>
          </w:p>
        </w:tc>
      </w:tr>
      <w:tr w:rsidR="00331922" w:rsidRPr="001C25C2" w:rsidTr="000E01B9">
        <w:trPr>
          <w:cantSplit/>
          <w:trHeight w:val="233"/>
        </w:trPr>
        <w:tc>
          <w:tcPr>
            <w:tcW w:w="1039"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t>Treatment phase:</w:t>
            </w:r>
          </w:p>
        </w:tc>
        <w:tc>
          <w:tcPr>
            <w:tcW w:w="3961"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jc w:val="left"/>
              <w:rPr>
                <w:rFonts w:ascii="Arial Narrow" w:hAnsi="Arial Narrow"/>
                <w:b/>
                <w:snapToGrid/>
                <w:sz w:val="20"/>
                <w:szCs w:val="20"/>
                <w:lang w:bidi="en-US"/>
              </w:rPr>
            </w:pPr>
            <w:r w:rsidRPr="001C25C2">
              <w:rPr>
                <w:rFonts w:ascii="Arial Narrow" w:hAnsi="Arial Narrow"/>
                <w:b/>
                <w:snapToGrid/>
                <w:sz w:val="20"/>
                <w:szCs w:val="20"/>
                <w:lang w:bidi="en-US"/>
              </w:rPr>
              <w:t xml:space="preserve">Initial treatment </w:t>
            </w:r>
          </w:p>
        </w:tc>
      </w:tr>
      <w:tr w:rsidR="00331922" w:rsidRPr="001C25C2" w:rsidTr="00331922">
        <w:trPr>
          <w:cantSplit/>
          <w:trHeight w:val="360"/>
        </w:trPr>
        <w:tc>
          <w:tcPr>
            <w:tcW w:w="1039"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lastRenderedPageBreak/>
              <w:t>Restriction Level / Method:</w:t>
            </w:r>
          </w:p>
          <w:p w:rsidR="00331922" w:rsidRPr="001C25C2" w:rsidRDefault="00331922" w:rsidP="00197C79">
            <w:pPr>
              <w:widowControl/>
              <w:spacing w:before="40" w:after="40" w:line="264" w:lineRule="auto"/>
              <w:jc w:val="left"/>
              <w:rPr>
                <w:rFonts w:ascii="Arial Narrow" w:hAnsi="Arial Narrow"/>
                <w:snapToGrid/>
                <w:sz w:val="20"/>
                <w:szCs w:val="20"/>
                <w:lang w:bidi="en-US"/>
              </w:rPr>
            </w:pPr>
          </w:p>
        </w:tc>
        <w:tc>
          <w:tcPr>
            <w:tcW w:w="3961"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fldChar w:fldCharType="begin">
                <w:ffData>
                  <w:name w:val="Check1"/>
                  <w:enabled/>
                  <w:calcOnExit w:val="0"/>
                  <w:checkBox>
                    <w:sizeAuto/>
                    <w:default w:val="0"/>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Restricted benefit</w:t>
            </w:r>
          </w:p>
          <w:p w:rsidR="00331922" w:rsidRPr="001C25C2" w:rsidRDefault="00331922" w:rsidP="00197C79">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fldChar w:fldCharType="begin">
                <w:ffData>
                  <w:name w:val=""/>
                  <w:enabled/>
                  <w:calcOnExit w:val="0"/>
                  <w:checkBox>
                    <w:sizeAuto/>
                    <w:default w:val="0"/>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Authority Required - In Writing</w:t>
            </w:r>
          </w:p>
          <w:p w:rsidR="00331922" w:rsidRPr="001C25C2" w:rsidRDefault="00331922" w:rsidP="00197C79">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fldChar w:fldCharType="begin">
                <w:ffData>
                  <w:name w:val="Check3"/>
                  <w:enabled/>
                  <w:calcOnExit w:val="0"/>
                  <w:checkBox>
                    <w:sizeAuto/>
                    <w:default w:val="0"/>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Authority Required - Telephone</w:t>
            </w:r>
          </w:p>
          <w:p w:rsidR="00331922" w:rsidRPr="001C25C2" w:rsidRDefault="00331922" w:rsidP="00197C79">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fldChar w:fldCharType="begin">
                <w:ffData>
                  <w:name w:val=""/>
                  <w:enabled/>
                  <w:calcOnExit w:val="0"/>
                  <w:checkBox>
                    <w:sizeAuto/>
                    <w:default w:val="0"/>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Authority Required – Emergency</w:t>
            </w:r>
          </w:p>
          <w:p w:rsidR="00331922" w:rsidRPr="001C25C2" w:rsidRDefault="00331922" w:rsidP="00197C79">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fldChar w:fldCharType="begin">
                <w:ffData>
                  <w:name w:val="Check5"/>
                  <w:enabled/>
                  <w:calcOnExit w:val="0"/>
                  <w:checkBox>
                    <w:sizeAuto/>
                    <w:default w:val="0"/>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Authority Required - Electronic</w:t>
            </w:r>
          </w:p>
          <w:p w:rsidR="00331922" w:rsidRPr="001C25C2" w:rsidRDefault="00331922" w:rsidP="00197C79">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fldChar w:fldCharType="begin">
                <w:ffData>
                  <w:name w:val="Check5"/>
                  <w:enabled/>
                  <w:calcOnExit w:val="0"/>
                  <w:checkBox>
                    <w:sizeAuto/>
                    <w:default w:val="1"/>
                  </w:checkBox>
                </w:ffData>
              </w:fldChar>
            </w:r>
            <w:r w:rsidRPr="001C25C2">
              <w:rPr>
                <w:rFonts w:ascii="Arial Narrow" w:hAnsi="Arial Narrow"/>
                <w:snapToGrid/>
                <w:sz w:val="20"/>
                <w:szCs w:val="20"/>
                <w:lang w:bidi="en-US"/>
              </w:rPr>
              <w:instrText xml:space="preserve"> FORMCHECKBOX </w:instrText>
            </w:r>
            <w:r w:rsidR="00165283">
              <w:rPr>
                <w:rFonts w:ascii="Arial Narrow" w:hAnsi="Arial Narrow"/>
                <w:snapToGrid/>
                <w:sz w:val="20"/>
                <w:szCs w:val="20"/>
                <w:lang w:bidi="en-US"/>
              </w:rPr>
            </w:r>
            <w:r w:rsidR="00165283">
              <w:rPr>
                <w:rFonts w:ascii="Arial Narrow" w:hAnsi="Arial Narrow"/>
                <w:snapToGrid/>
                <w:sz w:val="20"/>
                <w:szCs w:val="20"/>
                <w:lang w:bidi="en-US"/>
              </w:rPr>
              <w:fldChar w:fldCharType="separate"/>
            </w:r>
            <w:r w:rsidRPr="001C25C2">
              <w:rPr>
                <w:rFonts w:ascii="Arial Narrow" w:hAnsi="Arial Narrow"/>
                <w:snapToGrid/>
                <w:sz w:val="20"/>
                <w:szCs w:val="20"/>
                <w:lang w:bidi="en-US"/>
              </w:rPr>
              <w:fldChar w:fldCharType="end"/>
            </w:r>
            <w:r w:rsidRPr="001C25C2">
              <w:rPr>
                <w:rFonts w:ascii="Arial Narrow" w:hAnsi="Arial Narrow"/>
                <w:snapToGrid/>
                <w:sz w:val="20"/>
                <w:szCs w:val="20"/>
                <w:lang w:bidi="en-US"/>
              </w:rPr>
              <w:t>Streamlined</w:t>
            </w:r>
          </w:p>
        </w:tc>
      </w:tr>
      <w:tr w:rsidR="00331922" w:rsidRPr="001C25C2" w:rsidTr="00331922">
        <w:trPr>
          <w:cantSplit/>
          <w:trHeight w:val="360"/>
        </w:trPr>
        <w:tc>
          <w:tcPr>
            <w:tcW w:w="1039"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t>Clinical criteria:</w:t>
            </w:r>
          </w:p>
        </w:tc>
        <w:tc>
          <w:tcPr>
            <w:tcW w:w="3961"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pBdr>
                <w:bottom w:val="single" w:sz="4" w:space="1" w:color="auto"/>
              </w:pBdr>
              <w:spacing w:before="40" w:after="40" w:line="264" w:lineRule="auto"/>
              <w:contextualSpacing/>
              <w:jc w:val="left"/>
              <w:rPr>
                <w:rFonts w:ascii="Arial Narrow" w:hAnsi="Arial Narrow"/>
                <w:snapToGrid/>
                <w:sz w:val="20"/>
                <w:szCs w:val="20"/>
                <w:lang w:bidi="en-US"/>
              </w:rPr>
            </w:pPr>
            <w:r w:rsidRPr="001C25C2">
              <w:rPr>
                <w:rFonts w:ascii="Arial Narrow" w:hAnsi="Arial Narrow"/>
                <w:snapToGrid/>
                <w:sz w:val="20"/>
                <w:szCs w:val="20"/>
                <w:lang w:bidi="en-US"/>
              </w:rPr>
              <w:t>Patient must have a WHO performance status of 1 or less [10299; phase out 19462]</w:t>
            </w:r>
          </w:p>
          <w:p w:rsidR="00331922" w:rsidRPr="001C25C2" w:rsidRDefault="00331922" w:rsidP="00197C79">
            <w:pPr>
              <w:widowControl/>
              <w:spacing w:before="40" w:after="40" w:line="264" w:lineRule="auto"/>
              <w:contextualSpacing/>
              <w:jc w:val="left"/>
              <w:rPr>
                <w:rFonts w:ascii="Arial Narrow" w:hAnsi="Arial Narrow"/>
                <w:snapToGrid/>
                <w:sz w:val="20"/>
                <w:szCs w:val="20"/>
                <w:lang w:bidi="en-US"/>
              </w:rPr>
            </w:pPr>
            <w:r w:rsidRPr="001C25C2">
              <w:rPr>
                <w:rFonts w:ascii="Arial Narrow" w:hAnsi="Arial Narrow"/>
                <w:snapToGrid/>
                <w:sz w:val="20"/>
                <w:szCs w:val="20"/>
                <w:lang w:bidi="en-US"/>
              </w:rPr>
              <w:t>AND</w:t>
            </w:r>
          </w:p>
          <w:p w:rsidR="00331922" w:rsidRPr="001C25C2" w:rsidRDefault="00331922" w:rsidP="00197C79">
            <w:pPr>
              <w:widowControl/>
              <w:spacing w:before="40" w:after="40" w:line="264" w:lineRule="auto"/>
              <w:contextualSpacing/>
              <w:jc w:val="left"/>
              <w:rPr>
                <w:rFonts w:ascii="Arial Narrow" w:hAnsi="Arial Narrow"/>
                <w:snapToGrid/>
                <w:sz w:val="20"/>
                <w:szCs w:val="20"/>
                <w:lang w:bidi="en-US"/>
              </w:rPr>
            </w:pPr>
            <w:r w:rsidRPr="001C25C2">
              <w:rPr>
                <w:rFonts w:ascii="Arial Narrow" w:hAnsi="Arial Narrow"/>
                <w:snapToGrid/>
                <w:sz w:val="20"/>
                <w:szCs w:val="20"/>
                <w:lang w:bidi="en-US"/>
              </w:rPr>
              <w:t xml:space="preserve">Patient must have previously received at least two prior lines of chemotherapy that included a </w:t>
            </w:r>
            <w:proofErr w:type="spellStart"/>
            <w:r w:rsidRPr="001C25C2">
              <w:rPr>
                <w:rFonts w:ascii="Arial Narrow" w:hAnsi="Arial Narrow"/>
                <w:snapToGrid/>
                <w:sz w:val="20"/>
                <w:szCs w:val="20"/>
                <w:lang w:bidi="en-US"/>
              </w:rPr>
              <w:t>fluoropyrimidine</w:t>
            </w:r>
            <w:proofErr w:type="spellEnd"/>
            <w:r w:rsidRPr="001C25C2">
              <w:rPr>
                <w:rFonts w:ascii="Arial Narrow" w:hAnsi="Arial Narrow"/>
                <w:snapToGrid/>
                <w:sz w:val="20"/>
                <w:szCs w:val="20"/>
                <w:lang w:bidi="en-US"/>
              </w:rPr>
              <w:t>, a platinum</w:t>
            </w:r>
            <w:r w:rsidR="003745DA" w:rsidRPr="001C25C2">
              <w:rPr>
                <w:rFonts w:ascii="Arial Narrow" w:hAnsi="Arial Narrow"/>
                <w:snapToGrid/>
                <w:sz w:val="20"/>
                <w:szCs w:val="20"/>
                <w:lang w:bidi="en-US"/>
              </w:rPr>
              <w:t xml:space="preserve"> and</w:t>
            </w:r>
            <w:r w:rsidRPr="001C25C2">
              <w:rPr>
                <w:rFonts w:ascii="Arial Narrow" w:hAnsi="Arial Narrow"/>
                <w:snapToGrid/>
                <w:sz w:val="20"/>
                <w:szCs w:val="20"/>
                <w:lang w:bidi="en-US"/>
              </w:rPr>
              <w:t xml:space="preserve"> either a </w:t>
            </w:r>
            <w:proofErr w:type="spellStart"/>
            <w:r w:rsidRPr="001C25C2">
              <w:rPr>
                <w:rFonts w:ascii="Arial Narrow" w:hAnsi="Arial Narrow"/>
                <w:snapToGrid/>
                <w:sz w:val="20"/>
                <w:szCs w:val="20"/>
                <w:lang w:bidi="en-US"/>
              </w:rPr>
              <w:t>taxane</w:t>
            </w:r>
            <w:proofErr w:type="spellEnd"/>
            <w:r w:rsidRPr="001C25C2">
              <w:rPr>
                <w:rFonts w:ascii="Arial Narrow" w:hAnsi="Arial Narrow"/>
                <w:snapToGrid/>
                <w:sz w:val="20"/>
                <w:szCs w:val="20"/>
                <w:lang w:bidi="en-US"/>
              </w:rPr>
              <w:t xml:space="preserve"> or </w:t>
            </w:r>
            <w:proofErr w:type="spellStart"/>
            <w:r w:rsidRPr="001C25C2">
              <w:rPr>
                <w:rFonts w:ascii="Arial Narrow" w:hAnsi="Arial Narrow"/>
                <w:snapToGrid/>
                <w:sz w:val="20"/>
                <w:szCs w:val="20"/>
                <w:lang w:bidi="en-US"/>
              </w:rPr>
              <w:t>irinotecan</w:t>
            </w:r>
            <w:proofErr w:type="spellEnd"/>
            <w:r w:rsidR="0019779C" w:rsidRPr="001C25C2">
              <w:rPr>
                <w:rFonts w:ascii="Arial Narrow" w:hAnsi="Arial Narrow"/>
                <w:snapToGrid/>
                <w:sz w:val="20"/>
                <w:szCs w:val="20"/>
                <w:lang w:bidi="en-US"/>
              </w:rPr>
              <w:t>.</w:t>
            </w:r>
          </w:p>
          <w:p w:rsidR="00331922" w:rsidRPr="001C25C2" w:rsidRDefault="00331922" w:rsidP="00197C79">
            <w:pPr>
              <w:widowControl/>
              <w:spacing w:before="40" w:after="40" w:line="264" w:lineRule="auto"/>
              <w:contextualSpacing/>
              <w:jc w:val="left"/>
              <w:rPr>
                <w:rFonts w:ascii="Arial Narrow" w:hAnsi="Arial Narrow"/>
                <w:snapToGrid/>
                <w:sz w:val="20"/>
                <w:szCs w:val="20"/>
                <w:lang w:bidi="en-US"/>
              </w:rPr>
            </w:pPr>
          </w:p>
          <w:p w:rsidR="00331922" w:rsidRPr="001C25C2" w:rsidRDefault="00331922" w:rsidP="00197C79">
            <w:pPr>
              <w:widowControl/>
              <w:spacing w:before="40" w:after="40" w:line="264" w:lineRule="auto"/>
              <w:contextualSpacing/>
              <w:jc w:val="left"/>
              <w:rPr>
                <w:rFonts w:ascii="Arial Narrow" w:hAnsi="Arial Narrow"/>
                <w:snapToGrid/>
                <w:sz w:val="20"/>
                <w:szCs w:val="20"/>
                <w:lang w:bidi="en-US"/>
              </w:rPr>
            </w:pPr>
            <w:r w:rsidRPr="001C25C2">
              <w:rPr>
                <w:rFonts w:ascii="Arial Narrow" w:hAnsi="Arial Narrow"/>
                <w:snapToGrid/>
                <w:sz w:val="20"/>
                <w:szCs w:val="20"/>
                <w:lang w:bidi="en-US"/>
              </w:rPr>
              <w:t>AND</w:t>
            </w:r>
          </w:p>
          <w:p w:rsidR="00331922" w:rsidRPr="001C25C2" w:rsidRDefault="00331922" w:rsidP="00197C79">
            <w:pPr>
              <w:widowControl/>
              <w:spacing w:before="40" w:after="40" w:line="264" w:lineRule="auto"/>
              <w:contextualSpacing/>
              <w:jc w:val="left"/>
              <w:rPr>
                <w:rFonts w:ascii="Arial Narrow" w:hAnsi="Arial Narrow"/>
                <w:snapToGrid/>
                <w:sz w:val="20"/>
                <w:szCs w:val="20"/>
                <w:lang w:bidi="en-US"/>
              </w:rPr>
            </w:pPr>
            <w:r w:rsidRPr="001C25C2">
              <w:rPr>
                <w:rFonts w:ascii="Arial Narrow" w:hAnsi="Arial Narrow"/>
                <w:snapToGrid/>
                <w:sz w:val="20"/>
                <w:szCs w:val="20"/>
                <w:lang w:bidi="en-US"/>
              </w:rPr>
              <w:t>The treatment must be the sole PBS-subsidised therapy for this condition [7890]</w:t>
            </w:r>
          </w:p>
        </w:tc>
      </w:tr>
      <w:tr w:rsidR="00331922" w:rsidRPr="001C25C2" w:rsidTr="00331922">
        <w:trPr>
          <w:cantSplit/>
          <w:trHeight w:val="360"/>
        </w:trPr>
        <w:tc>
          <w:tcPr>
            <w:tcW w:w="1039"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t>Prescriber Instructions:</w:t>
            </w:r>
          </w:p>
        </w:tc>
        <w:tc>
          <w:tcPr>
            <w:tcW w:w="3961"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t>The patients WHO performance status and body weight must be documented in the patient's medical records at the time the treatment cycle is initiated. [10024]</w:t>
            </w:r>
          </w:p>
        </w:tc>
      </w:tr>
      <w:tr w:rsidR="00331922" w:rsidRPr="001C25C2" w:rsidTr="00331922">
        <w:trPr>
          <w:cantSplit/>
          <w:trHeight w:val="360"/>
        </w:trPr>
        <w:tc>
          <w:tcPr>
            <w:tcW w:w="1039"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rPr>
                <w:rFonts w:ascii="Arial Narrow" w:hAnsi="Arial Narrow"/>
                <w:b/>
                <w:snapToGrid/>
                <w:sz w:val="20"/>
                <w:szCs w:val="20"/>
                <w:lang w:bidi="en-US"/>
              </w:rPr>
            </w:pPr>
            <w:r w:rsidRPr="001C25C2">
              <w:rPr>
                <w:rFonts w:ascii="Arial Narrow" w:hAnsi="Arial Narrow"/>
                <w:b/>
                <w:snapToGrid/>
                <w:sz w:val="20"/>
                <w:szCs w:val="20"/>
                <w:lang w:bidi="en-US"/>
              </w:rPr>
              <w:t>Administrative Advice</w:t>
            </w:r>
          </w:p>
        </w:tc>
        <w:tc>
          <w:tcPr>
            <w:tcW w:w="3961"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t>No increase in maximum quantity or number of units may be authorised. [7606]</w:t>
            </w:r>
          </w:p>
          <w:p w:rsidR="00331922" w:rsidRPr="001C25C2" w:rsidRDefault="00331922" w:rsidP="00197C79">
            <w:pPr>
              <w:widowControl/>
              <w:pBdr>
                <w:top w:val="single" w:sz="4" w:space="1" w:color="auto"/>
                <w:bottom w:val="single" w:sz="4" w:space="1" w:color="auto"/>
              </w:pBdr>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t>No increase in the maximum number of repeats may be authorised. [7607]</w:t>
            </w:r>
          </w:p>
          <w:p w:rsidR="00331922" w:rsidRPr="001C25C2" w:rsidRDefault="00331922" w:rsidP="00197C79">
            <w:pPr>
              <w:widowControl/>
              <w:spacing w:before="40" w:after="40" w:line="264" w:lineRule="auto"/>
              <w:jc w:val="left"/>
              <w:rPr>
                <w:rFonts w:ascii="Arial Narrow" w:hAnsi="Arial Narrow"/>
                <w:snapToGrid/>
                <w:sz w:val="20"/>
                <w:szCs w:val="20"/>
                <w:lang w:bidi="en-US"/>
              </w:rPr>
            </w:pPr>
            <w:r w:rsidRPr="001C25C2">
              <w:rPr>
                <w:rFonts w:ascii="Arial Narrow" w:hAnsi="Arial Narrow"/>
                <w:snapToGrid/>
                <w:sz w:val="20"/>
                <w:szCs w:val="20"/>
                <w:lang w:bidi="en-US"/>
              </w:rPr>
              <w:t>Special Pricing Arrangements apply [7608]</w:t>
            </w:r>
          </w:p>
        </w:tc>
      </w:tr>
    </w:tbl>
    <w:p w:rsidR="00331922" w:rsidRPr="001C25C2" w:rsidRDefault="00331922">
      <w:pPr>
        <w:widowControl/>
        <w:jc w:val="left"/>
        <w:rPr>
          <w:rFonts w:asciiTheme="minorHAnsi" w:eastAsiaTheme="minorHAnsi" w:hAnsiTheme="minorHAnsi" w:cstheme="minorBidi"/>
          <w:snapToGrid/>
          <w:color w:val="000000" w:themeColor="text1"/>
        </w:rPr>
      </w:pPr>
    </w:p>
    <w:tbl>
      <w:tblPr>
        <w:tblW w:w="5000" w:type="pct"/>
        <w:tblInd w:w="-5" w:type="dxa"/>
        <w:tblLook w:val="0000" w:firstRow="0" w:lastRow="0" w:firstColumn="0" w:lastColumn="0" w:noHBand="0" w:noVBand="0"/>
      </w:tblPr>
      <w:tblGrid>
        <w:gridCol w:w="1897"/>
        <w:gridCol w:w="1693"/>
        <w:gridCol w:w="698"/>
        <w:gridCol w:w="610"/>
        <w:gridCol w:w="4119"/>
      </w:tblGrid>
      <w:tr w:rsidR="00CC572D" w:rsidRPr="001C25C2" w:rsidTr="00CC572D">
        <w:trPr>
          <w:cantSplit/>
          <w:trHeight w:val="465"/>
        </w:trPr>
        <w:tc>
          <w:tcPr>
            <w:tcW w:w="1991" w:type="pct"/>
            <w:gridSpan w:val="2"/>
            <w:tcBorders>
              <w:top w:val="single" w:sz="4" w:space="0" w:color="auto"/>
              <w:left w:val="single" w:sz="4" w:space="0" w:color="auto"/>
              <w:bottom w:val="single" w:sz="4" w:space="0" w:color="auto"/>
              <w:right w:val="single" w:sz="4" w:space="0" w:color="auto"/>
            </w:tcBorders>
          </w:tcPr>
          <w:p w:rsidR="00CC572D" w:rsidRPr="001C25C2" w:rsidRDefault="00CC572D" w:rsidP="00197C79">
            <w:pPr>
              <w:keepNext/>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Name, Restriction,</w:t>
            </w:r>
          </w:p>
          <w:p w:rsidR="00CC572D" w:rsidRPr="001C25C2" w:rsidRDefault="00CC572D" w:rsidP="00197C79">
            <w:pPr>
              <w:keepNext/>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Manner of administration and form</w:t>
            </w:r>
          </w:p>
        </w:tc>
        <w:tc>
          <w:tcPr>
            <w:tcW w:w="387" w:type="pct"/>
            <w:tcBorders>
              <w:top w:val="single" w:sz="4" w:space="0" w:color="auto"/>
              <w:left w:val="single" w:sz="4" w:space="0" w:color="auto"/>
              <w:bottom w:val="single" w:sz="4" w:space="0" w:color="auto"/>
              <w:right w:val="single" w:sz="4" w:space="0" w:color="auto"/>
            </w:tcBorders>
          </w:tcPr>
          <w:p w:rsidR="00CC572D" w:rsidRPr="001C25C2" w:rsidRDefault="00CC572D" w:rsidP="00197C79">
            <w:pPr>
              <w:keepNext/>
              <w:widowControl/>
              <w:spacing w:before="40" w:after="40" w:line="259" w:lineRule="auto"/>
              <w:jc w:val="center"/>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Max.</w:t>
            </w:r>
          </w:p>
          <w:p w:rsidR="00CC572D" w:rsidRPr="001C25C2" w:rsidRDefault="00CC572D" w:rsidP="00197C79">
            <w:pPr>
              <w:keepNext/>
              <w:widowControl/>
              <w:spacing w:before="40" w:after="40" w:line="259" w:lineRule="auto"/>
              <w:jc w:val="center"/>
              <w:rPr>
                <w:rFonts w:ascii="Arial Narrow" w:eastAsia="Calibri" w:hAnsi="Arial Narrow" w:cs="Times New Roman"/>
                <w:b/>
                <w:snapToGrid/>
                <w:sz w:val="20"/>
                <w:szCs w:val="20"/>
              </w:rPr>
            </w:pPr>
            <w:proofErr w:type="spellStart"/>
            <w:r w:rsidRPr="001C25C2">
              <w:rPr>
                <w:rFonts w:ascii="Arial Narrow" w:eastAsia="Calibri" w:hAnsi="Arial Narrow" w:cs="Times New Roman"/>
                <w:b/>
                <w:snapToGrid/>
                <w:sz w:val="20"/>
                <w:szCs w:val="20"/>
              </w:rPr>
              <w:t>Qty</w:t>
            </w:r>
            <w:proofErr w:type="spellEnd"/>
          </w:p>
        </w:tc>
        <w:tc>
          <w:tcPr>
            <w:tcW w:w="338" w:type="pct"/>
            <w:tcBorders>
              <w:top w:val="single" w:sz="4" w:space="0" w:color="auto"/>
              <w:left w:val="single" w:sz="4" w:space="0" w:color="auto"/>
              <w:bottom w:val="single" w:sz="4" w:space="0" w:color="auto"/>
              <w:right w:val="single" w:sz="4" w:space="0" w:color="auto"/>
            </w:tcBorders>
          </w:tcPr>
          <w:p w:rsidR="00CC572D" w:rsidRPr="001C25C2" w:rsidRDefault="00CC572D" w:rsidP="00197C79">
            <w:pPr>
              <w:keepNext/>
              <w:widowControl/>
              <w:spacing w:before="40" w:after="40" w:line="259" w:lineRule="auto"/>
              <w:jc w:val="center"/>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№.of</w:t>
            </w:r>
          </w:p>
          <w:p w:rsidR="00CC572D" w:rsidRPr="001C25C2" w:rsidRDefault="00CC572D" w:rsidP="00197C79">
            <w:pPr>
              <w:keepNext/>
              <w:widowControl/>
              <w:spacing w:before="40" w:after="40" w:line="259" w:lineRule="auto"/>
              <w:jc w:val="center"/>
              <w:rPr>
                <w:rFonts w:ascii="Arial Narrow" w:eastAsia="Calibri" w:hAnsi="Arial Narrow" w:cs="Times New Roman"/>
                <w:b/>
                <w:snapToGrid/>
                <w:sz w:val="20"/>
                <w:szCs w:val="20"/>
              </w:rPr>
            </w:pPr>
            <w:proofErr w:type="spellStart"/>
            <w:r w:rsidRPr="001C25C2">
              <w:rPr>
                <w:rFonts w:ascii="Arial Narrow" w:eastAsia="Calibri" w:hAnsi="Arial Narrow" w:cs="Times New Roman"/>
                <w:b/>
                <w:snapToGrid/>
                <w:sz w:val="20"/>
                <w:szCs w:val="20"/>
              </w:rPr>
              <w:t>Rpts</w:t>
            </w:r>
            <w:proofErr w:type="spellEnd"/>
          </w:p>
        </w:tc>
        <w:tc>
          <w:tcPr>
            <w:tcW w:w="2284" w:type="pct"/>
            <w:tcBorders>
              <w:top w:val="single" w:sz="4" w:space="0" w:color="auto"/>
              <w:left w:val="single" w:sz="4" w:space="0" w:color="auto"/>
              <w:bottom w:val="single" w:sz="4" w:space="0" w:color="auto"/>
              <w:right w:val="single" w:sz="4" w:space="0" w:color="auto"/>
            </w:tcBorders>
          </w:tcPr>
          <w:p w:rsidR="00CC572D" w:rsidRPr="001C25C2" w:rsidRDefault="00CC572D" w:rsidP="00197C79">
            <w:pPr>
              <w:keepNext/>
              <w:widowControl/>
              <w:spacing w:before="40" w:after="40" w:line="259" w:lineRule="auto"/>
              <w:jc w:val="center"/>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Proprietary Name and Manufacturer</w:t>
            </w:r>
          </w:p>
        </w:tc>
      </w:tr>
      <w:tr w:rsidR="00CC572D" w:rsidRPr="001C25C2" w:rsidTr="00CC572D">
        <w:trPr>
          <w:cantSplit/>
          <w:trHeight w:val="1033"/>
        </w:trPr>
        <w:tc>
          <w:tcPr>
            <w:tcW w:w="1991" w:type="pct"/>
            <w:gridSpan w:val="2"/>
            <w:tcBorders>
              <w:top w:val="single" w:sz="4" w:space="0" w:color="auto"/>
              <w:left w:val="single" w:sz="4" w:space="0" w:color="auto"/>
              <w:bottom w:val="single" w:sz="4" w:space="0" w:color="auto"/>
              <w:right w:val="single" w:sz="4" w:space="0" w:color="auto"/>
            </w:tcBorders>
          </w:tcPr>
          <w:p w:rsidR="00CC572D" w:rsidRPr="001C25C2" w:rsidRDefault="00CC572D" w:rsidP="00197C79">
            <w:pPr>
              <w:keepNext/>
              <w:widowControl/>
              <w:spacing w:line="259" w:lineRule="auto"/>
              <w:ind w:left="-108"/>
              <w:rPr>
                <w:rFonts w:ascii="Arial Narrow" w:eastAsia="Calibri" w:hAnsi="Arial Narrow" w:cs="Times New Roman"/>
                <w:smallCaps/>
                <w:snapToGrid/>
                <w:sz w:val="20"/>
                <w:szCs w:val="20"/>
              </w:rPr>
            </w:pPr>
            <w:r w:rsidRPr="001C25C2">
              <w:rPr>
                <w:rFonts w:ascii="Arial Narrow" w:eastAsia="Calibri" w:hAnsi="Arial Narrow" w:cs="Times New Roman"/>
                <w:smallCaps/>
                <w:snapToGrid/>
                <w:sz w:val="20"/>
                <w:szCs w:val="20"/>
              </w:rPr>
              <w:t>TRIFLURIDINE + TIPIRACIL</w:t>
            </w:r>
          </w:p>
          <w:p w:rsidR="00CC572D" w:rsidRPr="001C25C2" w:rsidRDefault="00CC572D" w:rsidP="00197C79">
            <w:pPr>
              <w:keepNext/>
              <w:widowControl/>
              <w:spacing w:line="259" w:lineRule="auto"/>
              <w:ind w:left="-108"/>
              <w:rPr>
                <w:rFonts w:ascii="Arial Narrow" w:eastAsia="Calibri" w:hAnsi="Arial Narrow" w:cs="Times New Roman"/>
                <w:snapToGrid/>
                <w:sz w:val="20"/>
                <w:szCs w:val="20"/>
              </w:rPr>
            </w:pPr>
            <w:proofErr w:type="spellStart"/>
            <w:r w:rsidRPr="001C25C2">
              <w:rPr>
                <w:rFonts w:ascii="Arial Narrow" w:eastAsia="Calibri" w:hAnsi="Arial Narrow" w:cs="Times New Roman"/>
                <w:snapToGrid/>
                <w:sz w:val="20"/>
                <w:szCs w:val="20"/>
              </w:rPr>
              <w:t>Trifluridine</w:t>
            </w:r>
            <w:proofErr w:type="spellEnd"/>
            <w:r w:rsidRPr="001C25C2">
              <w:rPr>
                <w:rFonts w:ascii="Arial Narrow" w:eastAsia="Calibri" w:hAnsi="Arial Narrow" w:cs="Times New Roman"/>
                <w:snapToGrid/>
                <w:sz w:val="20"/>
                <w:szCs w:val="20"/>
              </w:rPr>
              <w:t xml:space="preserve"> 15 mg + </w:t>
            </w:r>
            <w:proofErr w:type="spellStart"/>
            <w:r w:rsidRPr="001C25C2">
              <w:rPr>
                <w:rFonts w:ascii="Arial Narrow" w:eastAsia="Calibri" w:hAnsi="Arial Narrow" w:cs="Times New Roman"/>
                <w:snapToGrid/>
                <w:sz w:val="20"/>
                <w:szCs w:val="20"/>
              </w:rPr>
              <w:t>tipiracil</w:t>
            </w:r>
            <w:proofErr w:type="spellEnd"/>
            <w:r w:rsidRPr="001C25C2">
              <w:rPr>
                <w:rFonts w:ascii="Arial Narrow" w:eastAsia="Calibri" w:hAnsi="Arial Narrow" w:cs="Times New Roman"/>
                <w:snapToGrid/>
                <w:sz w:val="20"/>
                <w:szCs w:val="20"/>
              </w:rPr>
              <w:t xml:space="preserve"> 6.14 mg tablet, 20</w:t>
            </w:r>
          </w:p>
          <w:p w:rsidR="00CC572D" w:rsidRPr="001C25C2" w:rsidRDefault="00CC572D" w:rsidP="00197C79">
            <w:pPr>
              <w:keepNext/>
              <w:widowControl/>
              <w:spacing w:line="259" w:lineRule="auto"/>
              <w:ind w:left="-108"/>
              <w:rPr>
                <w:rFonts w:ascii="Arial Narrow" w:eastAsia="Calibri" w:hAnsi="Arial Narrow" w:cs="Times New Roman"/>
                <w:snapToGrid/>
                <w:sz w:val="20"/>
                <w:szCs w:val="20"/>
              </w:rPr>
            </w:pPr>
            <w:proofErr w:type="spellStart"/>
            <w:r w:rsidRPr="001C25C2">
              <w:rPr>
                <w:rFonts w:ascii="Arial Narrow" w:eastAsia="Calibri" w:hAnsi="Arial Narrow" w:cs="Times New Roman"/>
                <w:snapToGrid/>
                <w:sz w:val="20"/>
                <w:szCs w:val="20"/>
              </w:rPr>
              <w:t>Trifluridine</w:t>
            </w:r>
            <w:proofErr w:type="spellEnd"/>
            <w:r w:rsidRPr="001C25C2">
              <w:rPr>
                <w:rFonts w:ascii="Arial Narrow" w:eastAsia="Calibri" w:hAnsi="Arial Narrow" w:cs="Times New Roman"/>
                <w:snapToGrid/>
                <w:sz w:val="20"/>
                <w:szCs w:val="20"/>
              </w:rPr>
              <w:t xml:space="preserve"> 20 mg + </w:t>
            </w:r>
            <w:proofErr w:type="spellStart"/>
            <w:r w:rsidRPr="001C25C2">
              <w:rPr>
                <w:rFonts w:ascii="Arial Narrow" w:eastAsia="Calibri" w:hAnsi="Arial Narrow" w:cs="Times New Roman"/>
                <w:snapToGrid/>
                <w:sz w:val="20"/>
                <w:szCs w:val="20"/>
              </w:rPr>
              <w:t>tipiracil</w:t>
            </w:r>
            <w:proofErr w:type="spellEnd"/>
            <w:r w:rsidRPr="001C25C2">
              <w:rPr>
                <w:rFonts w:ascii="Arial Narrow" w:eastAsia="Calibri" w:hAnsi="Arial Narrow" w:cs="Times New Roman"/>
                <w:snapToGrid/>
                <w:sz w:val="20"/>
                <w:szCs w:val="20"/>
              </w:rPr>
              <w:t xml:space="preserve"> 8.19 mg tablet, 20</w:t>
            </w:r>
          </w:p>
        </w:tc>
        <w:tc>
          <w:tcPr>
            <w:tcW w:w="387" w:type="pct"/>
            <w:tcBorders>
              <w:top w:val="single" w:sz="4" w:space="0" w:color="auto"/>
              <w:left w:val="single" w:sz="4" w:space="0" w:color="auto"/>
              <w:bottom w:val="single" w:sz="4" w:space="0" w:color="auto"/>
              <w:right w:val="single" w:sz="4" w:space="0" w:color="auto"/>
            </w:tcBorders>
          </w:tcPr>
          <w:p w:rsidR="00CC572D" w:rsidRPr="001C25C2" w:rsidRDefault="00CC572D" w:rsidP="00197C79">
            <w:pPr>
              <w:keepNext/>
              <w:widowControl/>
              <w:spacing w:line="259" w:lineRule="auto"/>
              <w:jc w:val="center"/>
              <w:rPr>
                <w:rFonts w:ascii="Arial Narrow" w:eastAsia="Calibri" w:hAnsi="Arial Narrow" w:cs="Times New Roman"/>
                <w:snapToGrid/>
                <w:sz w:val="20"/>
                <w:szCs w:val="20"/>
              </w:rPr>
            </w:pPr>
          </w:p>
          <w:p w:rsidR="00CC572D" w:rsidRPr="001C25C2" w:rsidRDefault="00CC572D" w:rsidP="00197C79">
            <w:pPr>
              <w:keepNext/>
              <w:widowControl/>
              <w:spacing w:line="259" w:lineRule="auto"/>
              <w:jc w:val="center"/>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3</w:t>
            </w:r>
          </w:p>
          <w:p w:rsidR="00CC572D" w:rsidRPr="001C25C2" w:rsidRDefault="00CC572D" w:rsidP="00197C79">
            <w:pPr>
              <w:keepNext/>
              <w:widowControl/>
              <w:spacing w:line="259" w:lineRule="auto"/>
              <w:jc w:val="center"/>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4</w:t>
            </w:r>
          </w:p>
        </w:tc>
        <w:tc>
          <w:tcPr>
            <w:tcW w:w="338" w:type="pct"/>
            <w:tcBorders>
              <w:top w:val="single" w:sz="4" w:space="0" w:color="auto"/>
              <w:left w:val="single" w:sz="4" w:space="0" w:color="auto"/>
              <w:bottom w:val="single" w:sz="4" w:space="0" w:color="auto"/>
              <w:right w:val="single" w:sz="4" w:space="0" w:color="auto"/>
            </w:tcBorders>
          </w:tcPr>
          <w:p w:rsidR="00CC572D" w:rsidRPr="001C25C2" w:rsidRDefault="00CC572D" w:rsidP="00197C79">
            <w:pPr>
              <w:keepNext/>
              <w:widowControl/>
              <w:spacing w:line="259" w:lineRule="auto"/>
              <w:jc w:val="center"/>
              <w:rPr>
                <w:rFonts w:ascii="Arial Narrow" w:eastAsia="Calibri" w:hAnsi="Arial Narrow" w:cs="Times New Roman"/>
                <w:snapToGrid/>
                <w:sz w:val="20"/>
                <w:szCs w:val="20"/>
              </w:rPr>
            </w:pPr>
          </w:p>
          <w:p w:rsidR="00CC572D" w:rsidRPr="001C25C2" w:rsidRDefault="00CC572D" w:rsidP="00197C79">
            <w:pPr>
              <w:keepNext/>
              <w:widowControl/>
              <w:spacing w:line="259" w:lineRule="auto"/>
              <w:jc w:val="center"/>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2</w:t>
            </w:r>
          </w:p>
          <w:p w:rsidR="00CC572D" w:rsidRPr="001C25C2" w:rsidRDefault="00CC572D" w:rsidP="00197C79">
            <w:pPr>
              <w:keepNext/>
              <w:widowControl/>
              <w:spacing w:line="259" w:lineRule="auto"/>
              <w:jc w:val="center"/>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2</w:t>
            </w:r>
          </w:p>
        </w:tc>
        <w:tc>
          <w:tcPr>
            <w:tcW w:w="2284" w:type="pct"/>
            <w:tcBorders>
              <w:top w:val="single" w:sz="4" w:space="0" w:color="auto"/>
              <w:left w:val="single" w:sz="4" w:space="0" w:color="auto"/>
              <w:bottom w:val="single" w:sz="4" w:space="0" w:color="auto"/>
              <w:right w:val="single" w:sz="4" w:space="0" w:color="auto"/>
            </w:tcBorders>
          </w:tcPr>
          <w:p w:rsidR="00CC572D" w:rsidRPr="001C25C2" w:rsidRDefault="00CC572D" w:rsidP="00197C79">
            <w:pPr>
              <w:keepNext/>
              <w:widowControl/>
              <w:spacing w:line="259" w:lineRule="auto"/>
              <w:jc w:val="center"/>
              <w:rPr>
                <w:rFonts w:ascii="Arial Narrow" w:eastAsia="Calibri" w:hAnsi="Arial Narrow" w:cs="Times New Roman"/>
                <w:snapToGrid/>
                <w:sz w:val="20"/>
                <w:szCs w:val="20"/>
              </w:rPr>
            </w:pPr>
          </w:p>
          <w:p w:rsidR="00CC572D" w:rsidRPr="001C25C2" w:rsidRDefault="00CC572D" w:rsidP="00CC572D">
            <w:pPr>
              <w:keepNext/>
              <w:widowControl/>
              <w:spacing w:line="259" w:lineRule="auto"/>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LONSURF 15/6.14</w:t>
            </w:r>
          </w:p>
          <w:p w:rsidR="00CC572D" w:rsidRPr="001C25C2" w:rsidRDefault="00CC572D" w:rsidP="00CC572D">
            <w:pPr>
              <w:keepNext/>
              <w:widowControl/>
              <w:spacing w:line="259" w:lineRule="auto"/>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 xml:space="preserve">LONSURF 20/8.19                     </w:t>
            </w:r>
            <w:proofErr w:type="spellStart"/>
            <w:r w:rsidRPr="001C25C2">
              <w:rPr>
                <w:rFonts w:ascii="Arial Narrow" w:eastAsia="Calibri" w:hAnsi="Arial Narrow" w:cs="Times New Roman"/>
                <w:snapToGrid/>
                <w:sz w:val="20"/>
                <w:szCs w:val="20"/>
              </w:rPr>
              <w:t>Servier</w:t>
            </w:r>
            <w:proofErr w:type="spellEnd"/>
            <w:r w:rsidRPr="001C25C2">
              <w:rPr>
                <w:rFonts w:ascii="Arial Narrow" w:eastAsia="Calibri" w:hAnsi="Arial Narrow" w:cs="Times New Roman"/>
                <w:snapToGrid/>
                <w:sz w:val="20"/>
                <w:szCs w:val="20"/>
              </w:rPr>
              <w:t xml:space="preserve"> Laboratories</w:t>
            </w:r>
          </w:p>
        </w:tc>
      </w:tr>
      <w:tr w:rsidR="00331922" w:rsidRPr="001C25C2" w:rsidTr="000E01B9">
        <w:trPr>
          <w:cantSplit/>
          <w:trHeight w:val="263"/>
        </w:trPr>
        <w:tc>
          <w:tcPr>
            <w:tcW w:w="1052"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Category / Program</w:t>
            </w:r>
          </w:p>
        </w:tc>
        <w:tc>
          <w:tcPr>
            <w:tcW w:w="3948"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GENERAL – General Schedule (Code GE)</w:t>
            </w:r>
          </w:p>
        </w:tc>
      </w:tr>
      <w:tr w:rsidR="00331922" w:rsidRPr="001C25C2" w:rsidTr="00197C79">
        <w:trPr>
          <w:cantSplit/>
          <w:trHeight w:val="360"/>
        </w:trPr>
        <w:tc>
          <w:tcPr>
            <w:tcW w:w="1052"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Prescriber type:</w:t>
            </w:r>
          </w:p>
        </w:tc>
        <w:tc>
          <w:tcPr>
            <w:tcW w:w="3948"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fldChar w:fldCharType="begin">
                <w:ffData>
                  <w:name w:val="Check1"/>
                  <w:enabled/>
                  <w:calcOnExit w:val="0"/>
                  <w:checkBox>
                    <w:sizeAuto/>
                    <w:default w:val="0"/>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 xml:space="preserve">Dental  </w:t>
            </w:r>
            <w:r w:rsidRPr="001C25C2">
              <w:rPr>
                <w:rFonts w:ascii="Arial Narrow" w:eastAsia="Calibri" w:hAnsi="Arial Narrow" w:cs="Times New Roman"/>
                <w:snapToGrid/>
                <w:sz w:val="20"/>
                <w:szCs w:val="20"/>
              </w:rPr>
              <w:fldChar w:fldCharType="begin">
                <w:ffData>
                  <w:name w:val=""/>
                  <w:enabled/>
                  <w:calcOnExit w:val="0"/>
                  <w:checkBox>
                    <w:sizeAuto/>
                    <w:default w:val="1"/>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 xml:space="preserve">Medical Practitioners  </w:t>
            </w:r>
            <w:r w:rsidRPr="001C25C2">
              <w:rPr>
                <w:rFonts w:ascii="Arial Narrow" w:eastAsia="Calibri" w:hAnsi="Arial Narrow" w:cs="Times New Roman"/>
                <w:snapToGrid/>
                <w:sz w:val="20"/>
                <w:szCs w:val="20"/>
              </w:rPr>
              <w:fldChar w:fldCharType="begin">
                <w:ffData>
                  <w:name w:val="Check3"/>
                  <w:enabled/>
                  <w:calcOnExit w:val="0"/>
                  <w:checkBox>
                    <w:sizeAuto/>
                    <w:default w:val="0"/>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 xml:space="preserve">Nurse practitioners  </w:t>
            </w:r>
            <w:r w:rsidRPr="001C25C2">
              <w:rPr>
                <w:rFonts w:ascii="Arial Narrow" w:eastAsia="Calibri" w:hAnsi="Arial Narrow" w:cs="Times New Roman"/>
                <w:snapToGrid/>
                <w:sz w:val="20"/>
                <w:szCs w:val="20"/>
              </w:rPr>
              <w:fldChar w:fldCharType="begin">
                <w:ffData>
                  <w:name w:val=""/>
                  <w:enabled/>
                  <w:calcOnExit w:val="0"/>
                  <w:checkBox>
                    <w:sizeAuto/>
                    <w:default w:val="0"/>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 xml:space="preserve">Optometrists </w:t>
            </w:r>
            <w:r w:rsidRPr="001C25C2">
              <w:rPr>
                <w:rFonts w:ascii="Arial Narrow" w:eastAsia="Calibri" w:hAnsi="Arial Narrow" w:cs="Times New Roman"/>
                <w:snapToGrid/>
                <w:sz w:val="20"/>
                <w:szCs w:val="20"/>
              </w:rPr>
              <w:fldChar w:fldCharType="begin">
                <w:ffData>
                  <w:name w:val="Check5"/>
                  <w:enabled/>
                  <w:calcOnExit w:val="0"/>
                  <w:checkBox>
                    <w:sizeAuto/>
                    <w:default w:val="0"/>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Midwives</w:t>
            </w:r>
          </w:p>
        </w:tc>
      </w:tr>
      <w:tr w:rsidR="00331922" w:rsidRPr="001C25C2" w:rsidTr="00197C79">
        <w:trPr>
          <w:cantSplit/>
          <w:trHeight w:val="360"/>
        </w:trPr>
        <w:tc>
          <w:tcPr>
            <w:tcW w:w="1052"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Episodicity:</w:t>
            </w:r>
          </w:p>
        </w:tc>
        <w:tc>
          <w:tcPr>
            <w:tcW w:w="3948" w:type="pct"/>
            <w:gridSpan w:val="4"/>
            <w:tcBorders>
              <w:top w:val="single" w:sz="4" w:space="0" w:color="auto"/>
              <w:left w:val="single" w:sz="4" w:space="0" w:color="auto"/>
              <w:bottom w:val="single" w:sz="4" w:space="0" w:color="auto"/>
              <w:right w:val="single" w:sz="4" w:space="0" w:color="auto"/>
            </w:tcBorders>
          </w:tcPr>
          <w:p w:rsidR="00331922" w:rsidRPr="001C25C2" w:rsidRDefault="00CC572D" w:rsidP="00197C79">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w:t>
            </w:r>
          </w:p>
        </w:tc>
      </w:tr>
      <w:tr w:rsidR="00331922" w:rsidRPr="001C25C2" w:rsidTr="00197C79">
        <w:trPr>
          <w:cantSplit/>
          <w:trHeight w:val="360"/>
        </w:trPr>
        <w:tc>
          <w:tcPr>
            <w:tcW w:w="1052"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Severity:</w:t>
            </w:r>
          </w:p>
        </w:tc>
        <w:tc>
          <w:tcPr>
            <w:tcW w:w="3948"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Metastatic (Stage IV) [contained within 1773]</w:t>
            </w:r>
          </w:p>
        </w:tc>
      </w:tr>
      <w:tr w:rsidR="00331922" w:rsidRPr="001C25C2" w:rsidTr="000E01B9">
        <w:trPr>
          <w:cantSplit/>
          <w:trHeight w:val="100"/>
        </w:trPr>
        <w:tc>
          <w:tcPr>
            <w:tcW w:w="1052"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Condition:</w:t>
            </w:r>
          </w:p>
        </w:tc>
        <w:tc>
          <w:tcPr>
            <w:tcW w:w="3948"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Adenocarcinoma of the stomach or gastro-oesophageal junction</w:t>
            </w:r>
          </w:p>
        </w:tc>
      </w:tr>
      <w:tr w:rsidR="00331922" w:rsidRPr="001C25C2" w:rsidTr="00197C79">
        <w:trPr>
          <w:cantSplit/>
          <w:trHeight w:val="360"/>
        </w:trPr>
        <w:tc>
          <w:tcPr>
            <w:tcW w:w="1052"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PBS Indication:</w:t>
            </w:r>
          </w:p>
        </w:tc>
        <w:tc>
          <w:tcPr>
            <w:tcW w:w="3948"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Metastatic (Stage IV) adenocarcinoma of the stomach or gastro-oesophageal junction [new concept]</w:t>
            </w:r>
          </w:p>
        </w:tc>
      </w:tr>
      <w:tr w:rsidR="00331922" w:rsidRPr="001C25C2" w:rsidTr="00197C79">
        <w:trPr>
          <w:cantSplit/>
          <w:trHeight w:val="360"/>
        </w:trPr>
        <w:tc>
          <w:tcPr>
            <w:tcW w:w="1052"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Treatment phase:</w:t>
            </w:r>
          </w:p>
        </w:tc>
        <w:tc>
          <w:tcPr>
            <w:tcW w:w="3948"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Continuing treatment</w:t>
            </w:r>
          </w:p>
        </w:tc>
      </w:tr>
      <w:tr w:rsidR="00331922" w:rsidRPr="001C25C2" w:rsidTr="00197C79">
        <w:trPr>
          <w:cantSplit/>
          <w:trHeight w:val="360"/>
        </w:trPr>
        <w:tc>
          <w:tcPr>
            <w:tcW w:w="1052"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Restriction Level / Method:</w:t>
            </w:r>
          </w:p>
          <w:p w:rsidR="00331922" w:rsidRPr="001C25C2" w:rsidRDefault="00331922" w:rsidP="00197C79">
            <w:pPr>
              <w:widowControl/>
              <w:spacing w:before="40" w:after="40" w:line="259" w:lineRule="auto"/>
              <w:jc w:val="left"/>
              <w:rPr>
                <w:rFonts w:ascii="Arial Narrow" w:eastAsia="Calibri" w:hAnsi="Arial Narrow" w:cs="Times New Roman"/>
                <w:snapToGrid/>
                <w:sz w:val="20"/>
                <w:szCs w:val="20"/>
              </w:rPr>
            </w:pPr>
          </w:p>
        </w:tc>
        <w:tc>
          <w:tcPr>
            <w:tcW w:w="3948"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fldChar w:fldCharType="begin">
                <w:ffData>
                  <w:name w:val="Check1"/>
                  <w:enabled/>
                  <w:calcOnExit w:val="0"/>
                  <w:checkBox>
                    <w:sizeAuto/>
                    <w:default w:val="0"/>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Restricted benefit</w:t>
            </w:r>
          </w:p>
          <w:p w:rsidR="00331922" w:rsidRPr="001C25C2" w:rsidRDefault="00331922" w:rsidP="00197C79">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fldChar w:fldCharType="begin">
                <w:ffData>
                  <w:name w:val=""/>
                  <w:enabled/>
                  <w:calcOnExit w:val="0"/>
                  <w:checkBox>
                    <w:sizeAuto/>
                    <w:default w:val="0"/>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Authority Required - In Writing</w:t>
            </w:r>
          </w:p>
          <w:p w:rsidR="00331922" w:rsidRPr="001C25C2" w:rsidRDefault="00331922" w:rsidP="00197C79">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fldChar w:fldCharType="begin">
                <w:ffData>
                  <w:name w:val="Check3"/>
                  <w:enabled/>
                  <w:calcOnExit w:val="0"/>
                  <w:checkBox>
                    <w:sizeAuto/>
                    <w:default w:val="0"/>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Authority Required - Telephone</w:t>
            </w:r>
          </w:p>
          <w:p w:rsidR="00331922" w:rsidRPr="001C25C2" w:rsidRDefault="00331922" w:rsidP="00197C79">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fldChar w:fldCharType="begin">
                <w:ffData>
                  <w:name w:val=""/>
                  <w:enabled/>
                  <w:calcOnExit w:val="0"/>
                  <w:checkBox>
                    <w:sizeAuto/>
                    <w:default w:val="0"/>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Authority Required – Emergency</w:t>
            </w:r>
          </w:p>
          <w:p w:rsidR="00331922" w:rsidRPr="001C25C2" w:rsidRDefault="00331922" w:rsidP="00197C79">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fldChar w:fldCharType="begin">
                <w:ffData>
                  <w:name w:val="Check5"/>
                  <w:enabled/>
                  <w:calcOnExit w:val="0"/>
                  <w:checkBox>
                    <w:sizeAuto/>
                    <w:default w:val="0"/>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Authority Required - Electronic</w:t>
            </w:r>
          </w:p>
          <w:p w:rsidR="00331922" w:rsidRPr="001C25C2" w:rsidRDefault="00331922" w:rsidP="00197C79">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fldChar w:fldCharType="begin">
                <w:ffData>
                  <w:name w:val=""/>
                  <w:enabled/>
                  <w:calcOnExit w:val="0"/>
                  <w:checkBox>
                    <w:sizeAuto/>
                    <w:default w:val="1"/>
                  </w:checkBox>
                </w:ffData>
              </w:fldChar>
            </w:r>
            <w:r w:rsidRPr="001C25C2">
              <w:rPr>
                <w:rFonts w:ascii="Arial Narrow" w:eastAsia="Calibri" w:hAnsi="Arial Narrow" w:cs="Times New Roman"/>
                <w:snapToGrid/>
                <w:sz w:val="20"/>
                <w:szCs w:val="20"/>
              </w:rPr>
              <w:instrText xml:space="preserve"> FORMCHECKBOX </w:instrText>
            </w:r>
            <w:r w:rsidR="00165283">
              <w:rPr>
                <w:rFonts w:ascii="Arial Narrow" w:eastAsia="Calibri" w:hAnsi="Arial Narrow" w:cs="Times New Roman"/>
                <w:snapToGrid/>
                <w:sz w:val="20"/>
                <w:szCs w:val="20"/>
              </w:rPr>
            </w:r>
            <w:r w:rsidR="00165283">
              <w:rPr>
                <w:rFonts w:ascii="Arial Narrow" w:eastAsia="Calibri" w:hAnsi="Arial Narrow" w:cs="Times New Roman"/>
                <w:snapToGrid/>
                <w:sz w:val="20"/>
                <w:szCs w:val="20"/>
              </w:rPr>
              <w:fldChar w:fldCharType="separate"/>
            </w:r>
            <w:r w:rsidRPr="001C25C2">
              <w:rPr>
                <w:rFonts w:ascii="Arial Narrow" w:eastAsia="Calibri" w:hAnsi="Arial Narrow" w:cs="Times New Roman"/>
                <w:snapToGrid/>
                <w:sz w:val="20"/>
                <w:szCs w:val="20"/>
              </w:rPr>
              <w:fldChar w:fldCharType="end"/>
            </w:r>
            <w:r w:rsidRPr="001C25C2">
              <w:rPr>
                <w:rFonts w:ascii="Arial Narrow" w:eastAsia="Calibri" w:hAnsi="Arial Narrow" w:cs="Times New Roman"/>
                <w:snapToGrid/>
                <w:sz w:val="20"/>
                <w:szCs w:val="20"/>
              </w:rPr>
              <w:t>Streamlined</w:t>
            </w:r>
          </w:p>
        </w:tc>
      </w:tr>
      <w:tr w:rsidR="00331922" w:rsidRPr="001C25C2" w:rsidTr="00197C79">
        <w:trPr>
          <w:cantSplit/>
          <w:trHeight w:val="360"/>
        </w:trPr>
        <w:tc>
          <w:tcPr>
            <w:tcW w:w="1052"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lastRenderedPageBreak/>
              <w:t>Clinical criteria:</w:t>
            </w:r>
          </w:p>
        </w:tc>
        <w:tc>
          <w:tcPr>
            <w:tcW w:w="3948"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pBdr>
                <w:bottom w:val="single" w:sz="4" w:space="1" w:color="auto"/>
              </w:pBdr>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Patient must have previously been treated with PBS-subsidised treatment with this drug for this condition [21475]</w:t>
            </w:r>
          </w:p>
          <w:p w:rsidR="00331922" w:rsidRPr="001C25C2" w:rsidRDefault="00331922" w:rsidP="00197C79">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AND</w:t>
            </w:r>
          </w:p>
          <w:p w:rsidR="00331922" w:rsidRPr="001C25C2" w:rsidRDefault="00331922" w:rsidP="00197C79">
            <w:pPr>
              <w:widowControl/>
              <w:pBdr>
                <w:bottom w:val="single" w:sz="4" w:space="1" w:color="auto"/>
              </w:pBdr>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Patient must not develop progressive disease whilst receiving PBS-subsidised treatment with this drug for this condition [21809]</w:t>
            </w:r>
          </w:p>
          <w:p w:rsidR="00331922" w:rsidRPr="001C25C2" w:rsidRDefault="00331922" w:rsidP="00197C79">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AND</w:t>
            </w:r>
          </w:p>
          <w:p w:rsidR="00331922" w:rsidRPr="001C25C2" w:rsidRDefault="00331922" w:rsidP="00197C79">
            <w:pPr>
              <w:widowControl/>
              <w:spacing w:before="40" w:afterLines="40" w:after="96"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The treatment must be the sole PBS-subsidised therapy for this condition [7890]</w:t>
            </w:r>
          </w:p>
        </w:tc>
      </w:tr>
      <w:tr w:rsidR="00331922" w:rsidRPr="001C25C2" w:rsidTr="00197C79">
        <w:trPr>
          <w:cantSplit/>
          <w:trHeight w:val="360"/>
        </w:trPr>
        <w:tc>
          <w:tcPr>
            <w:tcW w:w="1052" w:type="pct"/>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rPr>
                <w:rFonts w:ascii="Arial Narrow" w:eastAsia="Calibri" w:hAnsi="Arial Narrow" w:cs="Times New Roman"/>
                <w:b/>
                <w:snapToGrid/>
                <w:sz w:val="20"/>
                <w:szCs w:val="20"/>
              </w:rPr>
            </w:pPr>
            <w:r w:rsidRPr="001C25C2">
              <w:rPr>
                <w:rFonts w:ascii="Arial Narrow" w:eastAsia="Calibri" w:hAnsi="Arial Narrow" w:cs="Times New Roman"/>
                <w:b/>
                <w:snapToGrid/>
                <w:sz w:val="20"/>
                <w:szCs w:val="20"/>
              </w:rPr>
              <w:t>Administrative Notes</w:t>
            </w:r>
          </w:p>
        </w:tc>
        <w:tc>
          <w:tcPr>
            <w:tcW w:w="3948" w:type="pct"/>
            <w:gridSpan w:val="4"/>
            <w:tcBorders>
              <w:top w:val="single" w:sz="4" w:space="0" w:color="auto"/>
              <w:left w:val="single" w:sz="4" w:space="0" w:color="auto"/>
              <w:bottom w:val="single" w:sz="4" w:space="0" w:color="auto"/>
              <w:right w:val="single" w:sz="4" w:space="0" w:color="auto"/>
            </w:tcBorders>
          </w:tcPr>
          <w:p w:rsidR="00331922" w:rsidRPr="001C25C2" w:rsidRDefault="00331922" w:rsidP="00197C79">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No increase in maximum quantity or number of units may be authorised [7606]</w:t>
            </w:r>
          </w:p>
          <w:p w:rsidR="00331922" w:rsidRPr="001C25C2" w:rsidRDefault="00331922" w:rsidP="00197C79">
            <w:pPr>
              <w:widowControl/>
              <w:pBdr>
                <w:top w:val="single" w:sz="4" w:space="1" w:color="auto"/>
                <w:bottom w:val="single" w:sz="4" w:space="1" w:color="auto"/>
              </w:pBdr>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No increase in the maximum number of repeats may be authorised  [7607]</w:t>
            </w:r>
          </w:p>
          <w:p w:rsidR="00331922" w:rsidRPr="001C25C2" w:rsidRDefault="00331922" w:rsidP="00197C79">
            <w:pPr>
              <w:widowControl/>
              <w:spacing w:before="40" w:after="40" w:line="259" w:lineRule="auto"/>
              <w:jc w:val="left"/>
              <w:rPr>
                <w:rFonts w:ascii="Arial Narrow" w:eastAsia="Calibri" w:hAnsi="Arial Narrow" w:cs="Times New Roman"/>
                <w:snapToGrid/>
                <w:sz w:val="20"/>
                <w:szCs w:val="20"/>
              </w:rPr>
            </w:pPr>
            <w:r w:rsidRPr="001C25C2">
              <w:rPr>
                <w:rFonts w:ascii="Arial Narrow" w:eastAsia="Calibri" w:hAnsi="Arial Narrow" w:cs="Times New Roman"/>
                <w:snapToGrid/>
                <w:sz w:val="20"/>
                <w:szCs w:val="20"/>
              </w:rPr>
              <w:t>Special Pricing Arrangements apply [7608]</w:t>
            </w:r>
          </w:p>
        </w:tc>
      </w:tr>
    </w:tbl>
    <w:p w:rsidR="000E01B9" w:rsidRDefault="000E01B9" w:rsidP="000F5982">
      <w:pPr>
        <w:rPr>
          <w:color w:val="0000FF"/>
        </w:rPr>
      </w:pPr>
    </w:p>
    <w:p w:rsidR="003B2233" w:rsidRPr="003B2233" w:rsidRDefault="003B2233" w:rsidP="00587BCE">
      <w:pPr>
        <w:pStyle w:val="PBACHeading1"/>
        <w:numPr>
          <w:ilvl w:val="0"/>
          <w:numId w:val="2"/>
        </w:numPr>
        <w:spacing w:before="240" w:after="120"/>
        <w:outlineLvl w:val="0"/>
      </w:pPr>
      <w:r w:rsidRPr="003B2233">
        <w:t>Context for Decision</w:t>
      </w:r>
    </w:p>
    <w:p w:rsidR="000E01B9" w:rsidRPr="00587BCE" w:rsidRDefault="0065608C" w:rsidP="00587BCE">
      <w:pPr>
        <w:widowControl/>
        <w:spacing w:line="276" w:lineRule="auto"/>
        <w:rPr>
          <w:rFonts w:eastAsia="Calibri"/>
          <w:snapToGrid/>
        </w:rPr>
      </w:pPr>
      <w:r w:rsidRPr="0065608C">
        <w:rPr>
          <w:rFonts w:eastAsia="Calibri"/>
          <w:snapToGrid/>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3B2233" w:rsidRPr="00A07029" w:rsidRDefault="003B2233" w:rsidP="00A07029">
      <w:pPr>
        <w:pStyle w:val="PBACHeading1"/>
        <w:numPr>
          <w:ilvl w:val="0"/>
          <w:numId w:val="2"/>
        </w:numPr>
        <w:spacing w:before="240" w:after="120"/>
        <w:outlineLvl w:val="0"/>
      </w:pPr>
      <w:r w:rsidRPr="003B2233">
        <w:t>Sponsor’s Comment</w:t>
      </w:r>
    </w:p>
    <w:p w:rsidR="000E01B9" w:rsidRPr="000E01B9" w:rsidRDefault="003B2233" w:rsidP="00165283">
      <w:pPr>
        <w:widowControl/>
        <w:spacing w:after="120" w:line="276" w:lineRule="auto"/>
      </w:pPr>
      <w:r w:rsidRPr="003B2233">
        <w:rPr>
          <w:rFonts w:eastAsia="Calibri"/>
          <w:bCs/>
          <w:snapToGrid/>
        </w:rPr>
        <w:t>The sponsor had no comment.</w:t>
      </w:r>
      <w:r w:rsidR="00165283" w:rsidRPr="000E01B9">
        <w:t xml:space="preserve"> </w:t>
      </w:r>
    </w:p>
    <w:p w:rsidR="00982A90" w:rsidRPr="000E01B9" w:rsidRDefault="00982A90" w:rsidP="00992751"/>
    <w:sectPr w:rsidR="00982A90" w:rsidRPr="000E01B9">
      <w:headerReference w:type="default" r:id="rId16"/>
      <w:footerReference w:type="defaul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751" w:rsidRDefault="00992751">
      <w:r>
        <w:separator/>
      </w:r>
    </w:p>
    <w:p w:rsidR="00992751" w:rsidRDefault="00992751"/>
  </w:endnote>
  <w:endnote w:type="continuationSeparator" w:id="0">
    <w:p w:rsidR="00992751" w:rsidRDefault="00992751">
      <w:r>
        <w:continuationSeparator/>
      </w:r>
    </w:p>
    <w:p w:rsidR="00992751" w:rsidRDefault="00992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1ED" w:rsidRDefault="00FA71ED">
    <w:pPr>
      <w:pStyle w:val="Footer"/>
      <w:jc w:val="center"/>
    </w:pPr>
  </w:p>
  <w:p w:rsidR="00FA71ED" w:rsidRPr="00EE118A" w:rsidRDefault="00165283">
    <w:pPr>
      <w:pStyle w:val="Footer"/>
      <w:jc w:val="center"/>
      <w:rPr>
        <w:b/>
      </w:rPr>
    </w:pPr>
    <w:sdt>
      <w:sdtPr>
        <w:id w:val="-632709299"/>
        <w:docPartObj>
          <w:docPartGallery w:val="Page Numbers (Bottom of Page)"/>
          <w:docPartUnique/>
        </w:docPartObj>
      </w:sdtPr>
      <w:sdtEndPr>
        <w:rPr>
          <w:b/>
          <w:noProof/>
        </w:rPr>
      </w:sdtEndPr>
      <w:sdtContent>
        <w:r w:rsidR="00FA71ED" w:rsidRPr="00EE118A">
          <w:rPr>
            <w:b/>
          </w:rPr>
          <w:fldChar w:fldCharType="begin"/>
        </w:r>
        <w:r w:rsidR="00FA71ED" w:rsidRPr="00EE118A">
          <w:rPr>
            <w:b/>
          </w:rPr>
          <w:instrText xml:space="preserve"> PAGE   \* MERGEFORMAT </w:instrText>
        </w:r>
        <w:r w:rsidR="00FA71ED" w:rsidRPr="00EE118A">
          <w:rPr>
            <w:b/>
          </w:rPr>
          <w:fldChar w:fldCharType="separate"/>
        </w:r>
        <w:r>
          <w:rPr>
            <w:b/>
            <w:noProof/>
          </w:rPr>
          <w:t>1</w:t>
        </w:r>
        <w:r w:rsidR="00FA71ED" w:rsidRPr="00EE118A">
          <w:rPr>
            <w:b/>
            <w:noProof/>
          </w:rPr>
          <w:fldChar w:fldCharType="end"/>
        </w:r>
      </w:sdtContent>
    </w:sdt>
  </w:p>
  <w:p w:rsidR="00FA71ED" w:rsidRDefault="00FA71ED" w:rsidP="002B38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751" w:rsidRDefault="00992751">
      <w:r>
        <w:separator/>
      </w:r>
    </w:p>
    <w:p w:rsidR="00992751" w:rsidRDefault="00992751"/>
  </w:footnote>
  <w:footnote w:type="continuationSeparator" w:id="0">
    <w:p w:rsidR="00992751" w:rsidRDefault="00992751">
      <w:r>
        <w:continuationSeparator/>
      </w:r>
    </w:p>
    <w:p w:rsidR="00992751" w:rsidRDefault="00992751"/>
  </w:footnote>
  <w:footnote w:id="1">
    <w:p w:rsidR="00FA71ED" w:rsidRDefault="00FA71ED" w:rsidP="005D4B1D">
      <w:pPr>
        <w:pStyle w:val="FootnoteText"/>
        <w:ind w:left="142" w:hanging="142"/>
      </w:pPr>
      <w:r>
        <w:rPr>
          <w:rStyle w:val="FootnoteReference"/>
        </w:rPr>
        <w:footnoteRef/>
      </w:r>
      <w:r>
        <w:t xml:space="preserve"> </w:t>
      </w:r>
      <w:proofErr w:type="spellStart"/>
      <w:r w:rsidRPr="003F3A61">
        <w:t>Cherny</w:t>
      </w:r>
      <w:proofErr w:type="spellEnd"/>
      <w:r w:rsidRPr="003F3A61">
        <w:t xml:space="preserve"> NI, Dafni U, </w:t>
      </w:r>
      <w:proofErr w:type="spellStart"/>
      <w:r w:rsidRPr="003F3A61">
        <w:t>Bogaerts</w:t>
      </w:r>
      <w:proofErr w:type="spellEnd"/>
      <w:r w:rsidRPr="003F3A61">
        <w:t xml:space="preserve"> J, et al: ESMO-Magnitude of Clinical Benefit Scale version 1.1. Annals of Oncology 28:2340-2366, 2017</w:t>
      </w:r>
    </w:p>
  </w:footnote>
  <w:footnote w:id="2">
    <w:p w:rsidR="00FA71ED" w:rsidRPr="001229E1" w:rsidRDefault="00FA71ED">
      <w:pPr>
        <w:pStyle w:val="FootnoteText"/>
        <w:rPr>
          <w:rFonts w:asciiTheme="minorHAnsi" w:hAnsiTheme="minorHAnsi" w:cstheme="minorHAnsi"/>
          <w:sz w:val="20"/>
          <w:szCs w:val="20"/>
          <w:lang w:val="en-US"/>
        </w:rPr>
      </w:pPr>
      <w:r w:rsidRPr="001229E1">
        <w:rPr>
          <w:rStyle w:val="FootnoteReference"/>
          <w:rFonts w:asciiTheme="minorHAnsi" w:hAnsiTheme="minorHAnsi" w:cstheme="minorHAnsi"/>
          <w:szCs w:val="20"/>
        </w:rPr>
        <w:footnoteRef/>
      </w:r>
      <w:r w:rsidRPr="001229E1">
        <w:rPr>
          <w:rFonts w:asciiTheme="minorHAnsi" w:hAnsiTheme="minorHAnsi" w:cstheme="minorHAnsi"/>
          <w:szCs w:val="20"/>
        </w:rPr>
        <w:t xml:space="preserve"> </w:t>
      </w:r>
      <w:proofErr w:type="spellStart"/>
      <w:r w:rsidRPr="001229E1">
        <w:rPr>
          <w:rFonts w:asciiTheme="minorHAnsi" w:hAnsiTheme="minorHAnsi" w:cstheme="minorHAnsi"/>
          <w:bCs/>
          <w:snapToGrid w:val="0"/>
          <w:szCs w:val="20"/>
        </w:rPr>
        <w:t>Cherny</w:t>
      </w:r>
      <w:proofErr w:type="spellEnd"/>
      <w:r w:rsidRPr="001229E1">
        <w:rPr>
          <w:rFonts w:asciiTheme="minorHAnsi" w:hAnsiTheme="minorHAnsi" w:cstheme="minorHAnsi"/>
          <w:bCs/>
          <w:snapToGrid w:val="0"/>
          <w:szCs w:val="20"/>
        </w:rPr>
        <w:t xml:space="preserve"> NI, Dafni U, </w:t>
      </w:r>
      <w:proofErr w:type="spellStart"/>
      <w:r w:rsidRPr="001229E1">
        <w:rPr>
          <w:rFonts w:asciiTheme="minorHAnsi" w:hAnsiTheme="minorHAnsi" w:cstheme="minorHAnsi"/>
          <w:bCs/>
          <w:snapToGrid w:val="0"/>
          <w:szCs w:val="20"/>
        </w:rPr>
        <w:t>Bogaerts</w:t>
      </w:r>
      <w:proofErr w:type="spellEnd"/>
      <w:r w:rsidRPr="001229E1">
        <w:rPr>
          <w:rFonts w:asciiTheme="minorHAnsi" w:hAnsiTheme="minorHAnsi" w:cstheme="minorHAnsi"/>
          <w:bCs/>
          <w:snapToGrid w:val="0"/>
          <w:szCs w:val="20"/>
        </w:rPr>
        <w:t xml:space="preserve">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1ED" w:rsidRPr="00EE118A" w:rsidRDefault="00FA71ED" w:rsidP="00EE118A">
    <w:pPr>
      <w:jc w:val="center"/>
      <w:rPr>
        <w:i/>
        <w:szCs w:val="24"/>
      </w:rPr>
    </w:pPr>
    <w:r>
      <w:rPr>
        <w:i/>
        <w:szCs w:val="24"/>
      </w:rPr>
      <w:t>Public Summary Document</w:t>
    </w:r>
    <w:r w:rsidRPr="00EE118A">
      <w:rPr>
        <w:i/>
        <w:szCs w:val="24"/>
      </w:rPr>
      <w:t xml:space="preserve"> – November 2019 PBAC Meeting</w:t>
    </w:r>
  </w:p>
  <w:p w:rsidR="00FA71ED" w:rsidRDefault="00FA71ED" w:rsidP="00EE118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B452A"/>
    <w:multiLevelType w:val="multilevel"/>
    <w:tmpl w:val="D2C8BCDA"/>
    <w:lvl w:ilvl="0">
      <w:start w:val="1"/>
      <w:numFmt w:val="decimal"/>
      <w:lvlText w:val="%1"/>
      <w:lvlJc w:val="left"/>
      <w:pPr>
        <w:ind w:left="720" w:hanging="720"/>
      </w:pPr>
      <w:rPr>
        <w:rFonts w:ascii="Calibri" w:hAnsi="Calibri" w:cs="Calibri" w:hint="default"/>
        <w:b/>
        <w:i w:val="0"/>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13210D"/>
    <w:multiLevelType w:val="hybridMultilevel"/>
    <w:tmpl w:val="61C2B3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B6274A"/>
    <w:multiLevelType w:val="hybridMultilevel"/>
    <w:tmpl w:val="BC406FAE"/>
    <w:lvl w:ilvl="0" w:tplc="D5F81CAE">
      <w:start w:val="1"/>
      <w:numFmt w:val="decimal"/>
      <w:lvlText w:val="%1."/>
      <w:lvlJc w:val="left"/>
      <w:pPr>
        <w:ind w:left="643" w:hanging="360"/>
      </w:pPr>
      <w:rPr>
        <w:rFonts w:hint="default"/>
        <w:i w:val="0"/>
        <w:color w:val="auto"/>
      </w:rPr>
    </w:lvl>
    <w:lvl w:ilvl="1" w:tplc="0C090001">
      <w:start w:val="1"/>
      <w:numFmt w:val="bullet"/>
      <w:lvlText w:val=""/>
      <w:lvlJc w:val="left"/>
      <w:pPr>
        <w:ind w:left="1363" w:hanging="360"/>
      </w:pPr>
      <w:rPr>
        <w:rFonts w:ascii="Symbol" w:hAnsi="Symbol" w:hint="default"/>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4" w15:restartNumberingAfterBreak="0">
    <w:nsid w:val="28840BAC"/>
    <w:multiLevelType w:val="multilevel"/>
    <w:tmpl w:val="E4E016A6"/>
    <w:lvl w:ilvl="0">
      <w:start w:val="1"/>
      <w:numFmt w:val="decimal"/>
      <w:lvlText w:val="%1"/>
      <w:lvlJc w:val="left"/>
      <w:pPr>
        <w:ind w:left="720" w:hanging="720"/>
      </w:pPr>
      <w:rPr>
        <w:rFonts w:ascii="Calibri" w:hAnsi="Calibri" w:cs="Calibri" w:hint="default"/>
        <w:b/>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8C248E"/>
    <w:multiLevelType w:val="hybridMultilevel"/>
    <w:tmpl w:val="32FA2CC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4442297"/>
    <w:multiLevelType w:val="hybridMultilevel"/>
    <w:tmpl w:val="12466F72"/>
    <w:lvl w:ilvl="0" w:tplc="C156A53A">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40EBB"/>
    <w:multiLevelType w:val="hybridMultilevel"/>
    <w:tmpl w:val="C08EB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FF4E79"/>
    <w:multiLevelType w:val="multilevel"/>
    <w:tmpl w:val="E4E016A6"/>
    <w:lvl w:ilvl="0">
      <w:start w:val="1"/>
      <w:numFmt w:val="decimal"/>
      <w:lvlText w:val="%1"/>
      <w:lvlJc w:val="left"/>
      <w:pPr>
        <w:ind w:left="720" w:hanging="720"/>
      </w:pPr>
      <w:rPr>
        <w:rFonts w:ascii="Calibri" w:hAnsi="Calibri" w:cs="Calibri" w:hint="default"/>
        <w:b/>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5F2F1B"/>
    <w:multiLevelType w:val="hybridMultilevel"/>
    <w:tmpl w:val="CADCE54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AC66E8A"/>
    <w:multiLevelType w:val="multilevel"/>
    <w:tmpl w:val="E4E016A6"/>
    <w:lvl w:ilvl="0">
      <w:start w:val="1"/>
      <w:numFmt w:val="decimal"/>
      <w:lvlText w:val="%1"/>
      <w:lvlJc w:val="left"/>
      <w:pPr>
        <w:ind w:left="720" w:hanging="720"/>
      </w:pPr>
      <w:rPr>
        <w:rFonts w:ascii="Calibri" w:hAnsi="Calibri" w:cs="Calibri" w:hint="default"/>
        <w:b/>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4D033C"/>
    <w:multiLevelType w:val="multilevel"/>
    <w:tmpl w:val="D2C8BCDA"/>
    <w:lvl w:ilvl="0">
      <w:start w:val="1"/>
      <w:numFmt w:val="decimal"/>
      <w:lvlText w:val="%1"/>
      <w:lvlJc w:val="left"/>
      <w:pPr>
        <w:ind w:left="720" w:hanging="720"/>
      </w:pPr>
      <w:rPr>
        <w:rFonts w:ascii="Calibri" w:hAnsi="Calibri" w:cs="Calibri" w:hint="default"/>
        <w:b/>
        <w:i w:val="0"/>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6"/>
  </w:num>
  <w:num w:numId="4">
    <w:abstractNumId w:val="7"/>
  </w:num>
  <w:num w:numId="5">
    <w:abstractNumId w:val="2"/>
  </w:num>
  <w:num w:numId="6">
    <w:abstractNumId w:val="3"/>
  </w:num>
  <w:num w:numId="7">
    <w:abstractNumId w:val="10"/>
  </w:num>
  <w:num w:numId="8">
    <w:abstractNumId w:val="5"/>
  </w:num>
  <w:num w:numId="9">
    <w:abstractNumId w:val="11"/>
  </w:num>
  <w:num w:numId="10">
    <w:abstractNumId w:val="9"/>
  </w:num>
  <w:num w:numId="11">
    <w:abstractNumId w:val="8"/>
  </w:num>
  <w:num w:numId="12">
    <w:abstractNumId w:val="4"/>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s9xwsr70r52se2td3vzvrv5tr95f5xddrd&quot;&gt;Trifluridine Endnote&lt;record-ids&gt;&lt;item&gt;41&lt;/item&gt;&lt;item&gt;44&lt;/item&gt;&lt;item&gt;45&lt;/item&gt;&lt;item&gt;48&lt;/item&gt;&lt;item&gt;49&lt;/item&gt;&lt;item&gt;51&lt;/item&gt;&lt;item&gt;53&lt;/item&gt;&lt;item&gt;54&lt;/item&gt;&lt;item&gt;56&lt;/item&gt;&lt;item&gt;57&lt;/item&gt;&lt;item&gt;59&lt;/item&gt;&lt;/record-ids&gt;&lt;/item&gt;&lt;/Libraries&gt;"/>
  </w:docVars>
  <w:rsids>
    <w:rsidRoot w:val="00A42B8D"/>
    <w:rsid w:val="0001264B"/>
    <w:rsid w:val="00012B13"/>
    <w:rsid w:val="0001663A"/>
    <w:rsid w:val="000176A4"/>
    <w:rsid w:val="000234DE"/>
    <w:rsid w:val="00027AF0"/>
    <w:rsid w:val="0003097C"/>
    <w:rsid w:val="00032155"/>
    <w:rsid w:val="00036B5E"/>
    <w:rsid w:val="00036CB6"/>
    <w:rsid w:val="0004198D"/>
    <w:rsid w:val="00042F25"/>
    <w:rsid w:val="00050B73"/>
    <w:rsid w:val="00050BC9"/>
    <w:rsid w:val="00056DBB"/>
    <w:rsid w:val="0007247B"/>
    <w:rsid w:val="00077911"/>
    <w:rsid w:val="00080CAD"/>
    <w:rsid w:val="00082E97"/>
    <w:rsid w:val="00084B58"/>
    <w:rsid w:val="000C4A54"/>
    <w:rsid w:val="000E01B9"/>
    <w:rsid w:val="000E57B3"/>
    <w:rsid w:val="000F021E"/>
    <w:rsid w:val="000F5982"/>
    <w:rsid w:val="000F73F3"/>
    <w:rsid w:val="00105B45"/>
    <w:rsid w:val="00107087"/>
    <w:rsid w:val="001140C7"/>
    <w:rsid w:val="0011441A"/>
    <w:rsid w:val="00114BBF"/>
    <w:rsid w:val="001168D7"/>
    <w:rsid w:val="00117D55"/>
    <w:rsid w:val="00121AB1"/>
    <w:rsid w:val="001229E1"/>
    <w:rsid w:val="00132AD7"/>
    <w:rsid w:val="0013489E"/>
    <w:rsid w:val="00136A26"/>
    <w:rsid w:val="00145DA3"/>
    <w:rsid w:val="001523B9"/>
    <w:rsid w:val="001649EF"/>
    <w:rsid w:val="00165283"/>
    <w:rsid w:val="00174584"/>
    <w:rsid w:val="00187D3B"/>
    <w:rsid w:val="00192573"/>
    <w:rsid w:val="001937E5"/>
    <w:rsid w:val="00197121"/>
    <w:rsid w:val="0019779C"/>
    <w:rsid w:val="00197C79"/>
    <w:rsid w:val="001A1900"/>
    <w:rsid w:val="001A339B"/>
    <w:rsid w:val="001A549C"/>
    <w:rsid w:val="001A6C7A"/>
    <w:rsid w:val="001B1F38"/>
    <w:rsid w:val="001B5746"/>
    <w:rsid w:val="001C0755"/>
    <w:rsid w:val="001C09A9"/>
    <w:rsid w:val="001C1C28"/>
    <w:rsid w:val="001C25C2"/>
    <w:rsid w:val="001D2480"/>
    <w:rsid w:val="001D2BE8"/>
    <w:rsid w:val="001E0442"/>
    <w:rsid w:val="001E09AA"/>
    <w:rsid w:val="001F3CB1"/>
    <w:rsid w:val="00205BD7"/>
    <w:rsid w:val="00216536"/>
    <w:rsid w:val="00223A41"/>
    <w:rsid w:val="00224DAB"/>
    <w:rsid w:val="002316F2"/>
    <w:rsid w:val="0023385D"/>
    <w:rsid w:val="00250828"/>
    <w:rsid w:val="00263389"/>
    <w:rsid w:val="00267C89"/>
    <w:rsid w:val="002737E9"/>
    <w:rsid w:val="00287D67"/>
    <w:rsid w:val="00287E08"/>
    <w:rsid w:val="002B3822"/>
    <w:rsid w:val="002B5B37"/>
    <w:rsid w:val="002C4E55"/>
    <w:rsid w:val="002D0BC5"/>
    <w:rsid w:val="002D403A"/>
    <w:rsid w:val="002D5A73"/>
    <w:rsid w:val="002D674B"/>
    <w:rsid w:val="002D6D29"/>
    <w:rsid w:val="002E30C8"/>
    <w:rsid w:val="002E4146"/>
    <w:rsid w:val="002F3053"/>
    <w:rsid w:val="002F41DA"/>
    <w:rsid w:val="00307B6D"/>
    <w:rsid w:val="00315233"/>
    <w:rsid w:val="00322C0A"/>
    <w:rsid w:val="00330886"/>
    <w:rsid w:val="00331922"/>
    <w:rsid w:val="00340CE5"/>
    <w:rsid w:val="00341727"/>
    <w:rsid w:val="003453B1"/>
    <w:rsid w:val="003745DA"/>
    <w:rsid w:val="00375908"/>
    <w:rsid w:val="003765BC"/>
    <w:rsid w:val="003871C8"/>
    <w:rsid w:val="00387720"/>
    <w:rsid w:val="003A0213"/>
    <w:rsid w:val="003A112E"/>
    <w:rsid w:val="003A1489"/>
    <w:rsid w:val="003A5E71"/>
    <w:rsid w:val="003B2233"/>
    <w:rsid w:val="003B67AC"/>
    <w:rsid w:val="003C5B69"/>
    <w:rsid w:val="003E4EF2"/>
    <w:rsid w:val="003E5853"/>
    <w:rsid w:val="003E6B0C"/>
    <w:rsid w:val="003F3A61"/>
    <w:rsid w:val="00403B21"/>
    <w:rsid w:val="00406E06"/>
    <w:rsid w:val="00407768"/>
    <w:rsid w:val="00410140"/>
    <w:rsid w:val="0041284F"/>
    <w:rsid w:val="00416BDD"/>
    <w:rsid w:val="004228F8"/>
    <w:rsid w:val="0042412E"/>
    <w:rsid w:val="00434FE4"/>
    <w:rsid w:val="00435FB8"/>
    <w:rsid w:val="004426DB"/>
    <w:rsid w:val="0044762C"/>
    <w:rsid w:val="00447E80"/>
    <w:rsid w:val="00466622"/>
    <w:rsid w:val="00473C80"/>
    <w:rsid w:val="0048350B"/>
    <w:rsid w:val="00491CE0"/>
    <w:rsid w:val="00492154"/>
    <w:rsid w:val="0049776B"/>
    <w:rsid w:val="004A0FCB"/>
    <w:rsid w:val="004A1030"/>
    <w:rsid w:val="004A499C"/>
    <w:rsid w:val="004B0557"/>
    <w:rsid w:val="004B1623"/>
    <w:rsid w:val="004B45B7"/>
    <w:rsid w:val="004C12B2"/>
    <w:rsid w:val="004C149C"/>
    <w:rsid w:val="004C6868"/>
    <w:rsid w:val="004C6E1E"/>
    <w:rsid w:val="004D2454"/>
    <w:rsid w:val="004E0748"/>
    <w:rsid w:val="004E628B"/>
    <w:rsid w:val="004F0CDD"/>
    <w:rsid w:val="004F202A"/>
    <w:rsid w:val="00500002"/>
    <w:rsid w:val="005041FF"/>
    <w:rsid w:val="0051780F"/>
    <w:rsid w:val="00522183"/>
    <w:rsid w:val="00526A6F"/>
    <w:rsid w:val="00531619"/>
    <w:rsid w:val="00541131"/>
    <w:rsid w:val="00546323"/>
    <w:rsid w:val="00554302"/>
    <w:rsid w:val="005721E9"/>
    <w:rsid w:val="00573B4A"/>
    <w:rsid w:val="00580334"/>
    <w:rsid w:val="00581D33"/>
    <w:rsid w:val="005846E2"/>
    <w:rsid w:val="00587BCE"/>
    <w:rsid w:val="00591EAD"/>
    <w:rsid w:val="00597D74"/>
    <w:rsid w:val="005B39CB"/>
    <w:rsid w:val="005B636A"/>
    <w:rsid w:val="005C1116"/>
    <w:rsid w:val="005D054F"/>
    <w:rsid w:val="005D4B1D"/>
    <w:rsid w:val="005D76C9"/>
    <w:rsid w:val="005E0BFC"/>
    <w:rsid w:val="005E73F6"/>
    <w:rsid w:val="005F1608"/>
    <w:rsid w:val="0060447D"/>
    <w:rsid w:val="006110AD"/>
    <w:rsid w:val="00611C24"/>
    <w:rsid w:val="00631D59"/>
    <w:rsid w:val="006321E0"/>
    <w:rsid w:val="00653091"/>
    <w:rsid w:val="0065608C"/>
    <w:rsid w:val="00660608"/>
    <w:rsid w:val="00670EE4"/>
    <w:rsid w:val="00671B8A"/>
    <w:rsid w:val="00671B94"/>
    <w:rsid w:val="006800D7"/>
    <w:rsid w:val="00680540"/>
    <w:rsid w:val="00681E26"/>
    <w:rsid w:val="006835F9"/>
    <w:rsid w:val="006911D5"/>
    <w:rsid w:val="006A14BF"/>
    <w:rsid w:val="006A1EEA"/>
    <w:rsid w:val="006A2D52"/>
    <w:rsid w:val="006A62BA"/>
    <w:rsid w:val="006B5F21"/>
    <w:rsid w:val="006C61EF"/>
    <w:rsid w:val="006D3B9B"/>
    <w:rsid w:val="006E7E88"/>
    <w:rsid w:val="006F14A5"/>
    <w:rsid w:val="006F49DA"/>
    <w:rsid w:val="006F5542"/>
    <w:rsid w:val="0070184D"/>
    <w:rsid w:val="0071261D"/>
    <w:rsid w:val="007208AA"/>
    <w:rsid w:val="007314AA"/>
    <w:rsid w:val="00734133"/>
    <w:rsid w:val="00737FCC"/>
    <w:rsid w:val="00741447"/>
    <w:rsid w:val="00746EEC"/>
    <w:rsid w:val="007520B1"/>
    <w:rsid w:val="0075296B"/>
    <w:rsid w:val="0075309D"/>
    <w:rsid w:val="00757530"/>
    <w:rsid w:val="007670ED"/>
    <w:rsid w:val="00777188"/>
    <w:rsid w:val="00797C46"/>
    <w:rsid w:val="007B315F"/>
    <w:rsid w:val="007B63F4"/>
    <w:rsid w:val="007B7F72"/>
    <w:rsid w:val="007C49A3"/>
    <w:rsid w:val="007C5876"/>
    <w:rsid w:val="007D5DF7"/>
    <w:rsid w:val="007E0DF6"/>
    <w:rsid w:val="007E16D0"/>
    <w:rsid w:val="007F227C"/>
    <w:rsid w:val="007F4A53"/>
    <w:rsid w:val="007F6A23"/>
    <w:rsid w:val="0080771B"/>
    <w:rsid w:val="008078BB"/>
    <w:rsid w:val="0081741B"/>
    <w:rsid w:val="00822198"/>
    <w:rsid w:val="00822718"/>
    <w:rsid w:val="00822C50"/>
    <w:rsid w:val="00824689"/>
    <w:rsid w:val="00835A15"/>
    <w:rsid w:val="00846270"/>
    <w:rsid w:val="008466FD"/>
    <w:rsid w:val="00867AD0"/>
    <w:rsid w:val="008735B0"/>
    <w:rsid w:val="008806F0"/>
    <w:rsid w:val="00883B61"/>
    <w:rsid w:val="008912B2"/>
    <w:rsid w:val="00893EB5"/>
    <w:rsid w:val="00897291"/>
    <w:rsid w:val="008A4F78"/>
    <w:rsid w:val="008A54B0"/>
    <w:rsid w:val="008B0BA8"/>
    <w:rsid w:val="008C0A83"/>
    <w:rsid w:val="008C3F0E"/>
    <w:rsid w:val="008D2A17"/>
    <w:rsid w:val="008D2EDD"/>
    <w:rsid w:val="008F4332"/>
    <w:rsid w:val="008F5D77"/>
    <w:rsid w:val="008F653D"/>
    <w:rsid w:val="008F6891"/>
    <w:rsid w:val="008F78B9"/>
    <w:rsid w:val="0090328B"/>
    <w:rsid w:val="009040D9"/>
    <w:rsid w:val="00905A4A"/>
    <w:rsid w:val="009138B9"/>
    <w:rsid w:val="00914A0A"/>
    <w:rsid w:val="00915CEB"/>
    <w:rsid w:val="009163A6"/>
    <w:rsid w:val="00924305"/>
    <w:rsid w:val="00930EB4"/>
    <w:rsid w:val="0094230F"/>
    <w:rsid w:val="00946D44"/>
    <w:rsid w:val="0095550D"/>
    <w:rsid w:val="009558CC"/>
    <w:rsid w:val="0095672F"/>
    <w:rsid w:val="0096586C"/>
    <w:rsid w:val="009716FB"/>
    <w:rsid w:val="00971992"/>
    <w:rsid w:val="00971BB5"/>
    <w:rsid w:val="00972909"/>
    <w:rsid w:val="00982A90"/>
    <w:rsid w:val="009876D7"/>
    <w:rsid w:val="009913AB"/>
    <w:rsid w:val="00992751"/>
    <w:rsid w:val="00994705"/>
    <w:rsid w:val="009950C9"/>
    <w:rsid w:val="009A4384"/>
    <w:rsid w:val="009B4ED7"/>
    <w:rsid w:val="009B7A74"/>
    <w:rsid w:val="009C2302"/>
    <w:rsid w:val="009D3F34"/>
    <w:rsid w:val="009E4567"/>
    <w:rsid w:val="009F1941"/>
    <w:rsid w:val="009F2F1D"/>
    <w:rsid w:val="00A0598A"/>
    <w:rsid w:val="00A05D39"/>
    <w:rsid w:val="00A07029"/>
    <w:rsid w:val="00A117EB"/>
    <w:rsid w:val="00A308E4"/>
    <w:rsid w:val="00A33301"/>
    <w:rsid w:val="00A36062"/>
    <w:rsid w:val="00A4007C"/>
    <w:rsid w:val="00A40F78"/>
    <w:rsid w:val="00A42B8D"/>
    <w:rsid w:val="00A43C16"/>
    <w:rsid w:val="00A44653"/>
    <w:rsid w:val="00A50408"/>
    <w:rsid w:val="00A62850"/>
    <w:rsid w:val="00A65119"/>
    <w:rsid w:val="00A65E9B"/>
    <w:rsid w:val="00A804B6"/>
    <w:rsid w:val="00A81082"/>
    <w:rsid w:val="00A81758"/>
    <w:rsid w:val="00AA3ADC"/>
    <w:rsid w:val="00AA487A"/>
    <w:rsid w:val="00AA57CA"/>
    <w:rsid w:val="00AA7F3C"/>
    <w:rsid w:val="00AB4156"/>
    <w:rsid w:val="00AB46DE"/>
    <w:rsid w:val="00AC0D87"/>
    <w:rsid w:val="00AC6283"/>
    <w:rsid w:val="00AF15B4"/>
    <w:rsid w:val="00AF1751"/>
    <w:rsid w:val="00AF4A67"/>
    <w:rsid w:val="00AF60BF"/>
    <w:rsid w:val="00AF74E7"/>
    <w:rsid w:val="00B041F7"/>
    <w:rsid w:val="00B20999"/>
    <w:rsid w:val="00B23505"/>
    <w:rsid w:val="00B23718"/>
    <w:rsid w:val="00B256B8"/>
    <w:rsid w:val="00B3234A"/>
    <w:rsid w:val="00B3664F"/>
    <w:rsid w:val="00B45AB3"/>
    <w:rsid w:val="00B45FA4"/>
    <w:rsid w:val="00B464CD"/>
    <w:rsid w:val="00B46A35"/>
    <w:rsid w:val="00B55C9E"/>
    <w:rsid w:val="00B576D0"/>
    <w:rsid w:val="00B702C6"/>
    <w:rsid w:val="00B731FA"/>
    <w:rsid w:val="00B75B8B"/>
    <w:rsid w:val="00B75CBF"/>
    <w:rsid w:val="00B83B49"/>
    <w:rsid w:val="00B92F8A"/>
    <w:rsid w:val="00B95730"/>
    <w:rsid w:val="00BB0378"/>
    <w:rsid w:val="00BB3073"/>
    <w:rsid w:val="00BB4089"/>
    <w:rsid w:val="00BB5641"/>
    <w:rsid w:val="00BB6EE7"/>
    <w:rsid w:val="00BB7BC0"/>
    <w:rsid w:val="00BD06D0"/>
    <w:rsid w:val="00BD19FE"/>
    <w:rsid w:val="00BE47B0"/>
    <w:rsid w:val="00BE7291"/>
    <w:rsid w:val="00BF1C09"/>
    <w:rsid w:val="00BF5F0F"/>
    <w:rsid w:val="00C04911"/>
    <w:rsid w:val="00C04EB3"/>
    <w:rsid w:val="00C217B2"/>
    <w:rsid w:val="00C47702"/>
    <w:rsid w:val="00C56515"/>
    <w:rsid w:val="00C57B65"/>
    <w:rsid w:val="00C60227"/>
    <w:rsid w:val="00C65274"/>
    <w:rsid w:val="00C66B5F"/>
    <w:rsid w:val="00C6749F"/>
    <w:rsid w:val="00C73063"/>
    <w:rsid w:val="00C92128"/>
    <w:rsid w:val="00CB46B3"/>
    <w:rsid w:val="00CC572D"/>
    <w:rsid w:val="00CC58E4"/>
    <w:rsid w:val="00CC7B04"/>
    <w:rsid w:val="00CD1428"/>
    <w:rsid w:val="00CD3271"/>
    <w:rsid w:val="00CD3BF8"/>
    <w:rsid w:val="00CD3D59"/>
    <w:rsid w:val="00CD7A38"/>
    <w:rsid w:val="00D071B4"/>
    <w:rsid w:val="00D10917"/>
    <w:rsid w:val="00D24467"/>
    <w:rsid w:val="00D2547E"/>
    <w:rsid w:val="00D27042"/>
    <w:rsid w:val="00D2749E"/>
    <w:rsid w:val="00D31485"/>
    <w:rsid w:val="00D40AE8"/>
    <w:rsid w:val="00D430F2"/>
    <w:rsid w:val="00D46C71"/>
    <w:rsid w:val="00D52C94"/>
    <w:rsid w:val="00D71004"/>
    <w:rsid w:val="00D731F5"/>
    <w:rsid w:val="00D766BD"/>
    <w:rsid w:val="00D8086C"/>
    <w:rsid w:val="00D85D1B"/>
    <w:rsid w:val="00D86B6B"/>
    <w:rsid w:val="00D90400"/>
    <w:rsid w:val="00D90C5A"/>
    <w:rsid w:val="00D94CA1"/>
    <w:rsid w:val="00D9756E"/>
    <w:rsid w:val="00DA0A0A"/>
    <w:rsid w:val="00DC0899"/>
    <w:rsid w:val="00DC3115"/>
    <w:rsid w:val="00DC4666"/>
    <w:rsid w:val="00DC4E9B"/>
    <w:rsid w:val="00DC55C2"/>
    <w:rsid w:val="00DE3309"/>
    <w:rsid w:val="00DE3FD4"/>
    <w:rsid w:val="00DE626D"/>
    <w:rsid w:val="00DF4D67"/>
    <w:rsid w:val="00E018DC"/>
    <w:rsid w:val="00E236E8"/>
    <w:rsid w:val="00E27D82"/>
    <w:rsid w:val="00E41187"/>
    <w:rsid w:val="00E42E88"/>
    <w:rsid w:val="00E45DD2"/>
    <w:rsid w:val="00E46191"/>
    <w:rsid w:val="00E50288"/>
    <w:rsid w:val="00E552BB"/>
    <w:rsid w:val="00E617B6"/>
    <w:rsid w:val="00E625B3"/>
    <w:rsid w:val="00E63EFD"/>
    <w:rsid w:val="00E65023"/>
    <w:rsid w:val="00E66068"/>
    <w:rsid w:val="00E7510C"/>
    <w:rsid w:val="00E76F38"/>
    <w:rsid w:val="00E90565"/>
    <w:rsid w:val="00E93782"/>
    <w:rsid w:val="00E97262"/>
    <w:rsid w:val="00EC1610"/>
    <w:rsid w:val="00EE118A"/>
    <w:rsid w:val="00EE23C1"/>
    <w:rsid w:val="00EF2142"/>
    <w:rsid w:val="00EF4E20"/>
    <w:rsid w:val="00EF6548"/>
    <w:rsid w:val="00F03FC5"/>
    <w:rsid w:val="00F07167"/>
    <w:rsid w:val="00F12753"/>
    <w:rsid w:val="00F13A6F"/>
    <w:rsid w:val="00F205F5"/>
    <w:rsid w:val="00F27D2B"/>
    <w:rsid w:val="00F330B3"/>
    <w:rsid w:val="00F339E0"/>
    <w:rsid w:val="00F35847"/>
    <w:rsid w:val="00F35B88"/>
    <w:rsid w:val="00F372BE"/>
    <w:rsid w:val="00F41BDF"/>
    <w:rsid w:val="00F5168A"/>
    <w:rsid w:val="00F5229D"/>
    <w:rsid w:val="00F7315C"/>
    <w:rsid w:val="00F75C3A"/>
    <w:rsid w:val="00F778AF"/>
    <w:rsid w:val="00FA71ED"/>
    <w:rsid w:val="00FB1F8B"/>
    <w:rsid w:val="00FB7802"/>
    <w:rsid w:val="00FB7A7B"/>
    <w:rsid w:val="00FC10DC"/>
    <w:rsid w:val="00FC51C8"/>
    <w:rsid w:val="00FD7977"/>
    <w:rsid w:val="00FF05DF"/>
    <w:rsid w:val="00FF102A"/>
    <w:rsid w:val="00FF20B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F8B07D9"/>
  <w15:docId w15:val="{5A5F1680-91A0-41BA-BF5F-0E68686B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922"/>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pPr>
      <w:ind w:left="720" w:hanging="720"/>
      <w:outlineLvl w:val="0"/>
    </w:pPr>
    <w:rPr>
      <w:b/>
      <w:caps/>
      <w:sz w:val="32"/>
    </w:rPr>
  </w:style>
  <w:style w:type="paragraph" w:styleId="Heading2">
    <w:name w:val="heading 2"/>
    <w:basedOn w:val="Normal"/>
    <w:next w:val="Normal"/>
    <w:link w:val="Heading2Char"/>
    <w:qFormat/>
    <w:rsid w:val="002D0BC5"/>
    <w:pPr>
      <w:keepNext/>
      <w:spacing w:after="160"/>
      <w:outlineLvl w:val="1"/>
    </w:pPr>
    <w:rPr>
      <w:b/>
      <w:i/>
      <w:sz w:val="28"/>
    </w:rPr>
  </w:style>
  <w:style w:type="paragraph" w:styleId="Heading3">
    <w:name w:val="heading 3"/>
    <w:basedOn w:val="Normal"/>
    <w:next w:val="Normal"/>
    <w:qFormat/>
    <w:pPr>
      <w:outlineLvl w:val="2"/>
    </w:pPr>
    <w:rPr>
      <w:u w:val="single"/>
    </w:rPr>
  </w:style>
  <w:style w:type="paragraph" w:styleId="Heading4">
    <w:name w:val="heading 4"/>
    <w:basedOn w:val="Normal"/>
    <w:next w:val="Normal"/>
    <w:qFormat/>
    <w:pPr>
      <w:keepNext/>
      <w:spacing w:before="240" w:after="60"/>
      <w:outlineLvl w:val="3"/>
    </w:pPr>
    <w:rPr>
      <w:b/>
      <w:bCs/>
      <w:i/>
      <w:sz w:val="26"/>
      <w:szCs w:val="28"/>
    </w:rPr>
  </w:style>
  <w:style w:type="paragraph" w:styleId="Heading5">
    <w:name w:val="heading 5"/>
    <w:basedOn w:val="Normal"/>
    <w:next w:val="Normal"/>
    <w:pPr>
      <w:spacing w:before="240" w:after="60"/>
      <w:outlineLvl w:val="4"/>
    </w:pPr>
    <w:rPr>
      <w:b/>
      <w:bCs/>
      <w:iCs/>
      <w:sz w:val="26"/>
      <w:szCs w:val="26"/>
    </w:rPr>
  </w:style>
  <w:style w:type="paragraph" w:styleId="Heading6">
    <w:name w:val="heading 6"/>
    <w:basedOn w:val="Normal"/>
    <w:next w:val="Normal"/>
    <w:qFormat/>
    <w:pPr>
      <w:spacing w:before="240" w:after="60"/>
      <w:outlineLvl w:val="5"/>
    </w:pPr>
    <w:rPr>
      <w:b/>
      <w:bCs/>
      <w:i/>
    </w:rPr>
  </w:style>
  <w:style w:type="paragraph" w:styleId="Heading7">
    <w:name w:val="heading 7"/>
    <w:basedOn w:val="Normal"/>
    <w:next w:val="Normal"/>
    <w:link w:val="Heading7Char"/>
    <w:qFormat/>
    <w:pPr>
      <w:keepNext/>
      <w:jc w:val="center"/>
      <w:outlineLvl w:val="6"/>
    </w:pPr>
    <w:rPr>
      <w:b/>
      <w:sz w:val="20"/>
    </w:rPr>
  </w:style>
  <w:style w:type="paragraph" w:styleId="Heading8">
    <w:name w:val="heading 8"/>
    <w:basedOn w:val="Normal"/>
    <w:next w:val="Normal"/>
    <w:link w:val="Heading8Char"/>
    <w:qFormat/>
    <w:pPr>
      <w:keepNext/>
      <w:jc w:val="right"/>
      <w:outlineLvl w:val="7"/>
    </w:pPr>
    <w:rPr>
      <w:b/>
    </w:rPr>
  </w:style>
  <w:style w:type="paragraph" w:styleId="Heading9">
    <w:name w:val="heading 9"/>
    <w:basedOn w:val="Normal"/>
    <w:next w:val="Normal"/>
    <w:link w:val="Heading9Char"/>
    <w:qFormat/>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D0BC5"/>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aliases w:val="Caption PRIMA,Bayer Caption,IB Caption,Medical Caption,Char,CSR Caption,Caption Char1,Caption Char Char,Char Char Char,Char Char1,Char1,Table caption,Caption 3,c,appendix,Figure caption,Figure caption1 Char Char,Caption SYNEVi,Caption Char2 Char"/>
    <w:basedOn w:val="Normal"/>
    <w:next w:val="Normal"/>
    <w:link w:val="CaptionChar"/>
    <w:unhideWhenUsed/>
    <w:qFormat/>
    <w:pPr>
      <w:spacing w:after="200"/>
    </w:pPr>
    <w:rPr>
      <w:b/>
      <w:bCs/>
      <w:color w:val="4F81BD" w:themeColor="accent1"/>
      <w:sz w:val="18"/>
      <w:szCs w:val="18"/>
    </w:rPr>
  </w:style>
  <w:style w:type="character" w:customStyle="1" w:styleId="CaptionChar">
    <w:name w:val="Caption Char"/>
    <w:aliases w:val="Caption PRIMA Char,Bayer Caption Char,IB Caption Char,Medical Caption Char,Char Char,CSR Caption Char,Caption Char1 Char,Caption Char Char Char,Char Char Char Char,Char Char1 Char,Char1 Char,Table caption Char,Caption 3 Char,c Char"/>
    <w:link w:val="Caption"/>
    <w:rPr>
      <w:b/>
      <w:bCs/>
      <w:snapToGrid w:val="0"/>
      <w:color w:val="4F81BD" w:themeColor="accent1"/>
      <w:sz w:val="18"/>
      <w:szCs w:val="18"/>
      <w:lang w:eastAsia="en-US"/>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Pr>
      <w:rFonts w:ascii="Cambria" w:hAnsi="Cambria"/>
      <w:b/>
      <w:bCs/>
      <w:snapToGrid w:val="0"/>
      <w:kern w:val="28"/>
      <w:sz w:val="32"/>
      <w:szCs w:val="32"/>
      <w:lang w:eastAsia="en-US"/>
    </w:rPr>
  </w:style>
  <w:style w:type="paragraph" w:styleId="BodyText">
    <w:name w:val="Body Text"/>
    <w:basedOn w:val="Normal"/>
    <w:link w:val="BodyTextChar"/>
    <w:qFormat/>
    <w:pPr>
      <w:jc w:val="left"/>
    </w:pP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List Paragraph1,L1 Bulleted List,Summary Bullets,Footer Setting,Bullet List,FooterText,numbered,Paragraphe de liste1,Bulletr List Paragraph,列出段落,列出段落1,List Paragraph2,List Paragraph21,Párrafo de lista1"/>
    <w:basedOn w:val="Normal"/>
    <w:link w:val="ListParagraphChar"/>
    <w:uiPriority w:val="34"/>
    <w:qFormat/>
    <w:pPr>
      <w:spacing w:after="160"/>
      <w:ind w:left="720"/>
    </w:pPr>
  </w:style>
  <w:style w:type="character" w:customStyle="1" w:styleId="ListParagraphChar">
    <w:name w:val="List Paragraph Char"/>
    <w:aliases w:val="Numbered para Char,BulletPoints Char,List Paragraph1 Char,L1 Bulleted List Char,Summary Bullets Char,Footer Setting Char,Bullet List Char,FooterText Char,numbered Char,Paragraphe de liste1 Char,Bulletr List Paragraph Char,列出段落 Char"/>
    <w:basedOn w:val="DefaultParagraphFont"/>
    <w:link w:val="ListParagraph"/>
    <w:uiPriority w:val="34"/>
    <w:qFormat/>
    <w:locked/>
    <w:rPr>
      <w:rFonts w:ascii="Arial" w:hAnsi="Arial" w:cs="Arial"/>
      <w:snapToGrid w:val="0"/>
      <w:sz w:val="22"/>
      <w:szCs w:val="22"/>
      <w:lang w:eastAsia="en-US"/>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Pr>
      <w:rFonts w:ascii="Arial" w:hAnsi="Arial" w:cs="Arial"/>
      <w:snapToGrid w:val="0"/>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Pr>
      <w:rFonts w:ascii="Arial Narrow" w:hAnsi="Arial Narrow"/>
      <w:b/>
      <w:sz w:val="20"/>
      <w:szCs w:val="16"/>
    </w:rPr>
  </w:style>
  <w:style w:type="paragraph" w:customStyle="1" w:styleId="Tabletext">
    <w:name w:val="Table text"/>
    <w:basedOn w:val="Normal"/>
    <w:link w:val="TabletextChar"/>
    <w:qFormat/>
    <w:pPr>
      <w:widowControl/>
      <w:jc w:val="left"/>
    </w:pPr>
    <w:rPr>
      <w:rFonts w:ascii="Arial Narrow" w:hAnsi="Arial Narrow" w:cs="Times New Roman"/>
      <w:snapToGrid/>
      <w:sz w:val="20"/>
    </w:rPr>
  </w:style>
  <w:style w:type="character" w:customStyle="1" w:styleId="TabletextChar">
    <w:name w:val="Table text Char"/>
    <w:link w:val="Tabletext"/>
    <w:rPr>
      <w:rFonts w:ascii="Arial Narrow" w:hAnsi="Arial Narrow"/>
      <w:lang w:eastAsia="en-US"/>
    </w:rPr>
  </w:style>
  <w:style w:type="paragraph" w:customStyle="1" w:styleId="TableHeading">
    <w:name w:val="TableHeading"/>
    <w:basedOn w:val="Normal"/>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pPr>
      <w:widowControl/>
      <w:jc w:val="both"/>
    </w:pPr>
    <w:rPr>
      <w:rFonts w:ascii="Times" w:hAnsi="Times" w:cs="Times New Roman"/>
      <w:snapToGrid/>
      <w:lang w:val="en-US"/>
    </w:rPr>
  </w:style>
  <w:style w:type="paragraph" w:styleId="NormalWeb">
    <w:name w:val="Normal (Web)"/>
    <w:basedOn w:val="Normal"/>
    <w:uiPriority w:val="99"/>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qFormat/>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pPr>
      <w:ind w:left="660"/>
      <w:jc w:val="left"/>
    </w:pPr>
    <w:rPr>
      <w:rFonts w:asciiTheme="minorHAnsi" w:hAnsiTheme="minorHAnsi"/>
      <w:sz w:val="20"/>
    </w:rPr>
  </w:style>
  <w:style w:type="paragraph" w:styleId="TOC5">
    <w:name w:val="toc 5"/>
    <w:basedOn w:val="Normal"/>
    <w:next w:val="Normal"/>
    <w:autoRedefine/>
    <w:pPr>
      <w:ind w:left="880"/>
      <w:jc w:val="left"/>
    </w:pPr>
    <w:rPr>
      <w:rFonts w:asciiTheme="minorHAnsi" w:hAnsiTheme="minorHAnsi"/>
      <w:sz w:val="20"/>
    </w:rPr>
  </w:style>
  <w:style w:type="paragraph" w:styleId="TOC6">
    <w:name w:val="toc 6"/>
    <w:basedOn w:val="Normal"/>
    <w:next w:val="Normal"/>
    <w:autoRedefine/>
    <w:pPr>
      <w:ind w:left="1100"/>
      <w:jc w:val="left"/>
    </w:pPr>
    <w:rPr>
      <w:rFonts w:asciiTheme="minorHAnsi" w:hAnsiTheme="minorHAnsi"/>
      <w:sz w:val="20"/>
    </w:rPr>
  </w:style>
  <w:style w:type="paragraph" w:styleId="TOC7">
    <w:name w:val="toc 7"/>
    <w:basedOn w:val="Normal"/>
    <w:next w:val="Normal"/>
    <w:autoRedefine/>
    <w:pPr>
      <w:ind w:left="1320"/>
      <w:jc w:val="left"/>
    </w:pPr>
    <w:rPr>
      <w:rFonts w:asciiTheme="minorHAnsi" w:hAnsiTheme="minorHAnsi"/>
      <w:sz w:val="20"/>
    </w:rPr>
  </w:style>
  <w:style w:type="paragraph" w:styleId="TOC8">
    <w:name w:val="toc 8"/>
    <w:basedOn w:val="Normal"/>
    <w:next w:val="Normal"/>
    <w:autoRedefine/>
    <w:pPr>
      <w:ind w:left="1540"/>
      <w:jc w:val="left"/>
    </w:pPr>
    <w:rPr>
      <w:rFonts w:asciiTheme="minorHAnsi" w:hAnsiTheme="minorHAnsi"/>
      <w:sz w:val="20"/>
    </w:rPr>
  </w:style>
  <w:style w:type="paragraph" w:styleId="TOC9">
    <w:name w:val="toc 9"/>
    <w:basedOn w:val="Normal"/>
    <w:next w:val="Normal"/>
    <w:autoRedefin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Pr>
      <w:snapToGrid w:val="0"/>
      <w:lang w:eastAsia="en-US"/>
    </w:rPr>
  </w:style>
  <w:style w:type="paragraph" w:customStyle="1" w:styleId="Bulletpoints">
    <w:name w:val="Bullet points"/>
    <w:basedOn w:val="ListParagraph"/>
    <w:link w:val="BulletpointsChar"/>
    <w:qFormat/>
    <w:pPr>
      <w:numPr>
        <w:numId w:val="3"/>
      </w:numPr>
      <w:spacing w:after="0"/>
      <w:ind w:left="425" w:hanging="425"/>
    </w:pPr>
    <w:rPr>
      <w:szCs w:val="24"/>
    </w:rPr>
  </w:style>
  <w:style w:type="paragraph" w:customStyle="1" w:styleId="TableName">
    <w:name w:val="TableName"/>
    <w:basedOn w:val="Normal"/>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Pr>
      <w:lang w:eastAsia="en-US"/>
    </w:rPr>
  </w:style>
  <w:style w:type="paragraph" w:styleId="Subtitle">
    <w:name w:val="Subtitle"/>
    <w:basedOn w:val="Normal"/>
    <w:link w:val="SubtitleChar"/>
    <w:qFormat/>
    <w:pPr>
      <w:widowControl/>
    </w:pPr>
    <w:rPr>
      <w:rFonts w:ascii="Times New Roman" w:hAnsi="Times New Roman" w:cs="Times New Roman"/>
      <w:snapToGrid/>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szCs w:val="24"/>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paragraph" w:customStyle="1" w:styleId="Frontpage-large">
    <w:name w:val="Front page - large"/>
    <w:basedOn w:val="Normal"/>
    <w:link w:val="Frontpage-largeChar"/>
    <w:qFormat/>
    <w:pPr>
      <w:widowControl/>
      <w:spacing w:line="264" w:lineRule="auto"/>
      <w:jc w:val="center"/>
    </w:pPr>
    <w:rPr>
      <w:rFonts w:ascii="Arial" w:hAnsi="Arial"/>
      <w:noProof/>
      <w:snapToGrid/>
      <w:sz w:val="56"/>
      <w:szCs w:val="56"/>
      <w:lang w:eastAsia="en-AU"/>
    </w:rPr>
  </w:style>
  <w:style w:type="character" w:customStyle="1" w:styleId="Frontpage-largeChar">
    <w:name w:val="Front page - large Char"/>
    <w:basedOn w:val="DefaultParagraphFont"/>
    <w:link w:val="Frontpage-large"/>
    <w:rPr>
      <w:rFonts w:ascii="Arial" w:hAnsi="Arial" w:cs="Arial"/>
      <w:noProof/>
      <w:sz w:val="56"/>
      <w:szCs w:val="56"/>
    </w:rPr>
  </w:style>
  <w:style w:type="paragraph" w:customStyle="1" w:styleId="EndNoteBibliographyTitle">
    <w:name w:val="EndNote Bibliography Title"/>
    <w:basedOn w:val="Normal"/>
    <w:link w:val="EndNoteBibliographyTitleChar"/>
    <w:pPr>
      <w:jc w:val="center"/>
    </w:pPr>
    <w:rPr>
      <w:rFonts w:cs="Calibri"/>
      <w:noProof/>
      <w:lang w:val="en-US"/>
    </w:rPr>
  </w:style>
  <w:style w:type="character" w:customStyle="1" w:styleId="BulletpointsChar">
    <w:name w:val="Bullet points Char"/>
    <w:basedOn w:val="ListParagraphChar"/>
    <w:link w:val="Bulletpoints"/>
    <w:rPr>
      <w:rFonts w:ascii="Calibri" w:hAnsi="Calibri" w:cs="Arial"/>
      <w:snapToGrid w:val="0"/>
      <w:sz w:val="24"/>
      <w:szCs w:val="24"/>
      <w:lang w:eastAsia="en-US"/>
    </w:rPr>
  </w:style>
  <w:style w:type="character" w:customStyle="1" w:styleId="EndNoteBibliographyTitleChar">
    <w:name w:val="EndNote Bibliography Title Char"/>
    <w:basedOn w:val="BulletpointsChar"/>
    <w:link w:val="EndNoteBibliographyTitle"/>
    <w:rPr>
      <w:rFonts w:ascii="Calibri" w:hAnsi="Calibri" w:cs="Calibri"/>
      <w:noProof/>
      <w:snapToGrid w:val="0"/>
      <w:sz w:val="24"/>
      <w:szCs w:val="22"/>
      <w:lang w:val="en-US" w:eastAsia="en-US"/>
    </w:rPr>
  </w:style>
  <w:style w:type="paragraph" w:customStyle="1" w:styleId="EndNoteBibliography">
    <w:name w:val="EndNote Bibliography"/>
    <w:basedOn w:val="Normal"/>
    <w:link w:val="EndNoteBibliographyChar"/>
    <w:rPr>
      <w:rFonts w:cs="Calibri"/>
      <w:noProof/>
      <w:lang w:val="en-US"/>
    </w:rPr>
  </w:style>
  <w:style w:type="character" w:customStyle="1" w:styleId="EndNoteBibliographyChar">
    <w:name w:val="EndNote Bibliography Char"/>
    <w:basedOn w:val="BulletpointsChar"/>
    <w:link w:val="EndNoteBibliography"/>
    <w:rPr>
      <w:rFonts w:ascii="Calibri" w:hAnsi="Calibri" w:cs="Calibri"/>
      <w:noProof/>
      <w:snapToGrid w:val="0"/>
      <w:sz w:val="24"/>
      <w:szCs w:val="22"/>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Emphasis">
    <w:name w:val="Emphasis"/>
    <w:basedOn w:val="DefaultParagraphFont"/>
    <w:uiPriority w:val="20"/>
    <w:qFormat/>
    <w:rPr>
      <w:i/>
      <w:iCs/>
    </w:rPr>
  </w:style>
  <w:style w:type="paragraph" w:styleId="FootnoteText">
    <w:name w:val="footnote text"/>
    <w:aliases w:val=" Char,wcp_Footnote,Footnote_Bas Page"/>
    <w:basedOn w:val="Normal"/>
    <w:link w:val="FootnoteTextChar"/>
    <w:uiPriority w:val="99"/>
    <w:unhideWhenUsed/>
    <w:pPr>
      <w:widowControl/>
      <w:spacing w:line="264" w:lineRule="auto"/>
      <w:ind w:left="426" w:hanging="426"/>
      <w:jc w:val="left"/>
    </w:pPr>
    <w:rPr>
      <w:rFonts w:ascii="Arial" w:hAnsi="Arial"/>
      <w:snapToGrid/>
      <w:sz w:val="16"/>
      <w:szCs w:val="16"/>
      <w:lang w:bidi="en-US"/>
    </w:rPr>
  </w:style>
  <w:style w:type="character" w:customStyle="1" w:styleId="FootnoteTextChar">
    <w:name w:val="Footnote Text Char"/>
    <w:aliases w:val=" Char Char,wcp_Footnote Char,Footnote_Bas Page Char"/>
    <w:basedOn w:val="DefaultParagraphFont"/>
    <w:link w:val="FootnoteText"/>
    <w:uiPriority w:val="99"/>
    <w:rPr>
      <w:rFonts w:ascii="Arial" w:hAnsi="Arial" w:cs="Arial"/>
      <w:sz w:val="16"/>
      <w:szCs w:val="16"/>
      <w:lang w:eastAsia="en-US" w:bidi="en-US"/>
    </w:rPr>
  </w:style>
  <w:style w:type="character" w:styleId="FootnoteReference">
    <w:name w:val="footnote reference"/>
    <w:basedOn w:val="DefaultParagraphFont"/>
    <w:uiPriority w:val="99"/>
    <w:unhideWhenUsed/>
    <w:rPr>
      <w:vertAlign w:val="superscript"/>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customStyle="1" w:styleId="TableHeading0">
    <w:name w:val="Table Heading"/>
    <w:basedOn w:val="Tabletext"/>
    <w:uiPriority w:val="99"/>
    <w:qFormat/>
    <w:pPr>
      <w:keepNext/>
      <w:keepLines/>
      <w:spacing w:before="20" w:after="20" w:line="276" w:lineRule="auto"/>
    </w:pPr>
    <w:rPr>
      <w:rFonts w:cs="Arial"/>
      <w:b/>
      <w:szCs w:val="20"/>
      <w:lang w:val="x-none" w:eastAsia="en-AU" w:bidi="en-US"/>
    </w:rPr>
  </w:style>
  <w:style w:type="character" w:styleId="Strong">
    <w:name w:val="Strong"/>
    <w:basedOn w:val="DefaultParagraphFont"/>
    <w:uiPriority w:val="22"/>
    <w:qFormat/>
    <w:rPr>
      <w:b/>
      <w:bCs/>
    </w:rPr>
  </w:style>
  <w:style w:type="paragraph" w:customStyle="1" w:styleId="TableText0">
    <w:name w:val="TableText"/>
    <w:basedOn w:val="Normal"/>
    <w:link w:val="TableTextChar0"/>
    <w:qFormat/>
    <w:pPr>
      <w:keepNext/>
      <w:widowControl/>
      <w:spacing w:line="264" w:lineRule="auto"/>
      <w:jc w:val="left"/>
    </w:pPr>
    <w:rPr>
      <w:rFonts w:ascii="Arial Narrow" w:hAnsi="Arial Narrow" w:cs="Arial Narrow"/>
      <w:snapToGrid/>
      <w:sz w:val="22"/>
      <w:lang w:bidi="en-US"/>
    </w:rPr>
  </w:style>
  <w:style w:type="character" w:customStyle="1" w:styleId="TableTextChar0">
    <w:name w:val="TableText Char"/>
    <w:link w:val="TableText0"/>
    <w:rPr>
      <w:rFonts w:ascii="Arial Narrow" w:hAnsi="Arial Narrow" w:cs="Arial Narrow"/>
      <w:sz w:val="22"/>
      <w:szCs w:val="22"/>
      <w:lang w:eastAsia="en-US" w:bidi="en-US"/>
    </w:rPr>
  </w:style>
  <w:style w:type="paragraph" w:customStyle="1" w:styleId="TableText1">
    <w:name w:val="Table Text"/>
    <w:basedOn w:val="Normal"/>
    <w:link w:val="TableTextChar1"/>
    <w:qFormat/>
    <w:pPr>
      <w:widowControl/>
      <w:spacing w:before="20" w:after="20" w:line="276" w:lineRule="auto"/>
      <w:jc w:val="left"/>
    </w:pPr>
    <w:rPr>
      <w:rFonts w:ascii="Arial Narrow" w:hAnsi="Arial Narrow"/>
      <w:snapToGrid/>
      <w:sz w:val="20"/>
      <w:szCs w:val="20"/>
      <w:lang w:val="x-none" w:bidi="en-US"/>
    </w:rPr>
  </w:style>
  <w:style w:type="character" w:customStyle="1" w:styleId="TableTextChar1">
    <w:name w:val="Table Text Char"/>
    <w:link w:val="TableText1"/>
    <w:rPr>
      <w:rFonts w:ascii="Arial Narrow" w:hAnsi="Arial Narrow" w:cs="Arial"/>
      <w:lang w:val="x-none" w:eastAsia="en-US" w:bidi="en-US"/>
    </w:rPr>
  </w:style>
  <w:style w:type="paragraph" w:customStyle="1" w:styleId="TableParagraph">
    <w:name w:val="Table Paragraph"/>
    <w:basedOn w:val="Normal"/>
    <w:uiPriority w:val="1"/>
    <w:qFormat/>
    <w:pPr>
      <w:autoSpaceDE w:val="0"/>
      <w:autoSpaceDN w:val="0"/>
      <w:jc w:val="center"/>
    </w:pPr>
    <w:rPr>
      <w:rFonts w:ascii="Arial Narrow" w:eastAsia="Arial Narrow" w:hAnsi="Arial Narrow" w:cs="Arial Narrow"/>
      <w:snapToGrid/>
      <w:sz w:val="22"/>
      <w:lang w:eastAsia="en-AU" w:bidi="en-AU"/>
    </w:rPr>
  </w:style>
  <w:style w:type="paragraph" w:customStyle="1" w:styleId="TableBullet-H55">
    <w:name w:val="Table Bullet - H55"/>
    <w:basedOn w:val="Normal"/>
    <w:qFormat/>
    <w:pPr>
      <w:keepLines/>
      <w:jc w:val="left"/>
    </w:pPr>
    <w:rPr>
      <w:rFonts w:ascii="Arial" w:hAnsi="Arial" w:cs="Times New Roman"/>
      <w:snapToGrid/>
      <w:color w:val="000000"/>
      <w:sz w:val="16"/>
      <w:szCs w:val="16"/>
      <w:lang w:val="en-GB" w:eastAsia="en-GB"/>
    </w:rPr>
  </w:style>
  <w:style w:type="paragraph" w:customStyle="1" w:styleId="BodyText0">
    <w:name w:val="BodyText"/>
    <w:basedOn w:val="Normal"/>
    <w:link w:val="BodyTextChar0"/>
    <w:uiPriority w:val="99"/>
    <w:rPr>
      <w:rFonts w:ascii="Times New Roman" w:eastAsia="SimSun" w:hAnsi="Times New Roman" w:cs="Times New Roman"/>
      <w:snapToGrid/>
      <w:szCs w:val="24"/>
    </w:rPr>
  </w:style>
  <w:style w:type="character" w:customStyle="1" w:styleId="BodyTextChar0">
    <w:name w:val="BodyText Char"/>
    <w:basedOn w:val="DefaultParagraphFont"/>
    <w:link w:val="BodyText0"/>
    <w:uiPriority w:val="99"/>
    <w:locked/>
    <w:rPr>
      <w:rFonts w:eastAsia="SimSun"/>
      <w:sz w:val="24"/>
      <w:szCs w:val="24"/>
      <w:lang w:eastAsia="en-US"/>
    </w:rPr>
  </w:style>
  <w:style w:type="character" w:customStyle="1" w:styleId="SmallBold">
    <w:name w:val="Small Bold"/>
    <w:basedOn w:val="DefaultParagraphFont"/>
    <w:uiPriority w:val="4"/>
    <w:qFormat/>
    <w:rPr>
      <w:rFonts w:ascii="Calibri" w:hAnsi="Calibri"/>
      <w:b/>
      <w:sz w:val="20"/>
      <w:lang w:val="en-AU"/>
    </w:rPr>
  </w:style>
  <w:style w:type="paragraph" w:customStyle="1" w:styleId="TableLeft">
    <w:name w:val="Table Left"/>
    <w:basedOn w:val="Normal"/>
    <w:link w:val="TableLeftChar"/>
    <w:uiPriority w:val="99"/>
    <w:qFormat/>
    <w:pPr>
      <w:widowControl/>
      <w:jc w:val="left"/>
    </w:pPr>
    <w:rPr>
      <w:rFonts w:cs="Times New Roman"/>
      <w:snapToGrid/>
      <w:sz w:val="20"/>
    </w:rPr>
  </w:style>
  <w:style w:type="character" w:customStyle="1" w:styleId="TableLeftChar">
    <w:name w:val="Table Left Char"/>
    <w:basedOn w:val="DefaultParagraphFont"/>
    <w:link w:val="TableLeft"/>
    <w:uiPriority w:val="99"/>
    <w:locked/>
    <w:rPr>
      <w:rFonts w:ascii="Calibri" w:hAnsi="Calibri"/>
      <w:szCs w:val="22"/>
      <w:lang w:eastAsia="en-US"/>
    </w:rPr>
  </w:style>
  <w:style w:type="character" w:customStyle="1" w:styleId="TableNotesChar">
    <w:name w:val="Table Notes Char"/>
    <w:basedOn w:val="DefaultParagraphFont"/>
    <w:link w:val="TableNotes"/>
    <w:uiPriority w:val="6"/>
    <w:locked/>
    <w:rPr>
      <w:rFonts w:ascii="Arial Narrow" w:eastAsiaTheme="majorEastAsia" w:hAnsi="Arial Narrow" w:cstheme="majorBidi"/>
      <w:noProof/>
      <w:sz w:val="16"/>
      <w:lang w:bidi="en-US"/>
    </w:rPr>
  </w:style>
  <w:style w:type="paragraph" w:customStyle="1" w:styleId="TableNotes">
    <w:name w:val="Table Notes"/>
    <w:basedOn w:val="Normal"/>
    <w:link w:val="TableNotesChar"/>
    <w:uiPriority w:val="6"/>
    <w:qFormat/>
    <w:pPr>
      <w:widowControl/>
      <w:spacing w:after="240"/>
      <w:ind w:left="992" w:hanging="992"/>
      <w:jc w:val="left"/>
    </w:pPr>
    <w:rPr>
      <w:rFonts w:ascii="Arial Narrow" w:eastAsiaTheme="majorEastAsia" w:hAnsi="Arial Narrow" w:cstheme="majorBidi"/>
      <w:noProof/>
      <w:snapToGrid/>
      <w:sz w:val="16"/>
      <w:szCs w:val="20"/>
      <w:lang w:eastAsia="en-AU" w:bidi="en-US"/>
    </w:rPr>
  </w:style>
  <w:style w:type="paragraph" w:customStyle="1" w:styleId="mdTblEntry">
    <w:name w:val="md_Tbl Entry"/>
    <w:basedOn w:val="Normal"/>
    <w:link w:val="mdTblEntryChar"/>
    <w:uiPriority w:val="99"/>
    <w:pPr>
      <w:keepLines/>
      <w:widowControl/>
      <w:spacing w:line="259" w:lineRule="atLeast"/>
      <w:jc w:val="left"/>
    </w:pPr>
    <w:rPr>
      <w:rFonts w:ascii="Times New Roman" w:hAnsi="Times New Roman" w:cs="Times New Roman"/>
      <w:snapToGrid/>
      <w:sz w:val="20"/>
      <w:szCs w:val="20"/>
      <w:lang w:val="en-US"/>
    </w:rPr>
  </w:style>
  <w:style w:type="character" w:customStyle="1" w:styleId="mdTblEntryChar">
    <w:name w:val="md_Tbl Entry Char"/>
    <w:basedOn w:val="DefaultParagraphFont"/>
    <w:link w:val="mdTblEntry"/>
    <w:uiPriority w:val="99"/>
    <w:locked/>
    <w:rPr>
      <w:lang w:val="en-US" w:eastAsia="en-US"/>
    </w:rPr>
  </w:style>
  <w:style w:type="paragraph" w:customStyle="1" w:styleId="TblFootnote">
    <w:name w:val="Tbl Footnote"/>
    <w:basedOn w:val="Normal"/>
    <w:next w:val="Normal"/>
    <w:link w:val="TblFootnoteChar"/>
    <w:uiPriority w:val="99"/>
    <w:pPr>
      <w:keepNext/>
      <w:keepLines/>
      <w:widowControl/>
      <w:tabs>
        <w:tab w:val="left" w:pos="259"/>
      </w:tabs>
      <w:spacing w:line="259" w:lineRule="atLeast"/>
      <w:ind w:left="259" w:hanging="259"/>
      <w:jc w:val="left"/>
    </w:pPr>
    <w:rPr>
      <w:rFonts w:ascii="Times New Roman" w:hAnsi="Times New Roman" w:cs="Times New Roman"/>
      <w:snapToGrid/>
      <w:sz w:val="20"/>
      <w:szCs w:val="20"/>
      <w:lang w:val="en-US"/>
    </w:rPr>
  </w:style>
  <w:style w:type="character" w:customStyle="1" w:styleId="TblFootnoteChar">
    <w:name w:val="Tbl Footnote Char"/>
    <w:basedOn w:val="DefaultParagraphFont"/>
    <w:link w:val="TblFootnote"/>
    <w:uiPriority w:val="99"/>
    <w:locked/>
    <w:rPr>
      <w:lang w:val="en-US" w:eastAsia="en-US"/>
    </w:rPr>
  </w:style>
  <w:style w:type="character" w:customStyle="1" w:styleId="st">
    <w:name w:val="st"/>
    <w:basedOn w:val="DefaultParagraphFont"/>
  </w:style>
  <w:style w:type="paragraph" w:customStyle="1" w:styleId="Heading5-mainbody">
    <w:name w:val="Heading 5 - main body"/>
    <w:basedOn w:val="Normal"/>
    <w:link w:val="Heading5-mainbodyChar"/>
    <w:qFormat/>
    <w:pPr>
      <w:widowControl/>
      <w:spacing w:after="120" w:line="264" w:lineRule="auto"/>
      <w:jc w:val="left"/>
    </w:pPr>
    <w:rPr>
      <w:rFonts w:ascii="Arial" w:hAnsi="Arial"/>
      <w:snapToGrid/>
      <w:sz w:val="22"/>
      <w:u w:val="single"/>
      <w:lang w:bidi="en-US"/>
    </w:rPr>
  </w:style>
  <w:style w:type="character" w:customStyle="1" w:styleId="Heading5-mainbodyChar">
    <w:name w:val="Heading 5 - main body Char"/>
    <w:basedOn w:val="DefaultParagraphFont"/>
    <w:link w:val="Heading5-mainbody"/>
    <w:rPr>
      <w:rFonts w:ascii="Arial" w:hAnsi="Arial" w:cs="Arial"/>
      <w:sz w:val="22"/>
      <w:szCs w:val="22"/>
      <w:u w:val="single"/>
      <w:lang w:eastAsia="en-US" w:bidi="en-US"/>
    </w:rPr>
  </w:style>
  <w:style w:type="paragraph" w:customStyle="1" w:styleId="msg-s-message-listevent">
    <w:name w:val="msg-s-message-list__event"/>
    <w:basedOn w:val="Normal"/>
    <w:pPr>
      <w:widowControl/>
      <w:spacing w:before="100" w:beforeAutospacing="1" w:after="100" w:afterAutospacing="1"/>
      <w:jc w:val="left"/>
    </w:pPr>
    <w:rPr>
      <w:rFonts w:ascii="Times New Roman" w:hAnsi="Times New Roman" w:cs="Times New Roman"/>
      <w:snapToGrid/>
      <w:szCs w:val="24"/>
      <w:lang w:eastAsia="en-AU"/>
    </w:rPr>
  </w:style>
  <w:style w:type="paragraph" w:customStyle="1" w:styleId="msg-s-event-listitembody">
    <w:name w:val="msg-s-event-listitem__body"/>
    <w:basedOn w:val="Normal"/>
    <w:pPr>
      <w:widowControl/>
      <w:spacing w:before="100" w:beforeAutospacing="1" w:after="100" w:afterAutospacing="1"/>
      <w:jc w:val="left"/>
    </w:pPr>
    <w:rPr>
      <w:rFonts w:ascii="Times New Roman" w:hAnsi="Times New Roman" w:cs="Times New Roman"/>
      <w:snapToGrid/>
      <w:szCs w:val="24"/>
      <w:lang w:eastAsia="en-AU"/>
    </w:rPr>
  </w:style>
  <w:style w:type="character" w:styleId="IntenseEmphasis">
    <w:name w:val="Intense Emphasis"/>
    <w:basedOn w:val="DefaultParagraphFont"/>
    <w:uiPriority w:val="21"/>
    <w:qFormat/>
    <w:rPr>
      <w:b/>
      <w:bCs/>
      <w:i/>
      <w:iCs/>
      <w:color w:val="4F81BD" w:themeColor="accent1"/>
    </w:rPr>
  </w:style>
  <w:style w:type="character" w:customStyle="1" w:styleId="Heading1Char">
    <w:name w:val="Heading 1 Char"/>
    <w:basedOn w:val="DefaultParagraphFont"/>
    <w:link w:val="Heading1"/>
    <w:uiPriority w:val="1"/>
    <w:rsid w:val="001A339B"/>
    <w:rPr>
      <w:rFonts w:ascii="Calibri" w:hAnsi="Calibri" w:cs="Arial"/>
      <w:b/>
      <w:caps/>
      <w:snapToGrid w:val="0"/>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1300">
      <w:bodyDiv w:val="1"/>
      <w:marLeft w:val="0"/>
      <w:marRight w:val="0"/>
      <w:marTop w:val="0"/>
      <w:marBottom w:val="0"/>
      <w:divBdr>
        <w:top w:val="none" w:sz="0" w:space="0" w:color="auto"/>
        <w:left w:val="none" w:sz="0" w:space="0" w:color="auto"/>
        <w:bottom w:val="none" w:sz="0" w:space="0" w:color="auto"/>
        <w:right w:val="none" w:sz="0" w:space="0" w:color="auto"/>
      </w:divBdr>
    </w:div>
    <w:div w:id="402413515">
      <w:bodyDiv w:val="1"/>
      <w:marLeft w:val="0"/>
      <w:marRight w:val="0"/>
      <w:marTop w:val="0"/>
      <w:marBottom w:val="0"/>
      <w:divBdr>
        <w:top w:val="none" w:sz="0" w:space="0" w:color="auto"/>
        <w:left w:val="none" w:sz="0" w:space="0" w:color="auto"/>
        <w:bottom w:val="none" w:sz="0" w:space="0" w:color="auto"/>
        <w:right w:val="none" w:sz="0" w:space="0" w:color="auto"/>
      </w:divBdr>
    </w:div>
    <w:div w:id="476148459">
      <w:bodyDiv w:val="1"/>
      <w:marLeft w:val="0"/>
      <w:marRight w:val="0"/>
      <w:marTop w:val="0"/>
      <w:marBottom w:val="0"/>
      <w:divBdr>
        <w:top w:val="none" w:sz="0" w:space="0" w:color="auto"/>
        <w:left w:val="none" w:sz="0" w:space="0" w:color="auto"/>
        <w:bottom w:val="none" w:sz="0" w:space="0" w:color="auto"/>
        <w:right w:val="none" w:sz="0" w:space="0" w:color="auto"/>
      </w:divBdr>
    </w:div>
    <w:div w:id="602104636">
      <w:bodyDiv w:val="1"/>
      <w:marLeft w:val="0"/>
      <w:marRight w:val="0"/>
      <w:marTop w:val="0"/>
      <w:marBottom w:val="0"/>
      <w:divBdr>
        <w:top w:val="none" w:sz="0" w:space="0" w:color="auto"/>
        <w:left w:val="none" w:sz="0" w:space="0" w:color="auto"/>
        <w:bottom w:val="none" w:sz="0" w:space="0" w:color="auto"/>
        <w:right w:val="none" w:sz="0" w:space="0" w:color="auto"/>
      </w:divBdr>
    </w:div>
    <w:div w:id="931427964">
      <w:bodyDiv w:val="1"/>
      <w:marLeft w:val="0"/>
      <w:marRight w:val="0"/>
      <w:marTop w:val="0"/>
      <w:marBottom w:val="0"/>
      <w:divBdr>
        <w:top w:val="none" w:sz="0" w:space="0" w:color="auto"/>
        <w:left w:val="none" w:sz="0" w:space="0" w:color="auto"/>
        <w:bottom w:val="none" w:sz="0" w:space="0" w:color="auto"/>
        <w:right w:val="none" w:sz="0" w:space="0" w:color="auto"/>
      </w:divBdr>
    </w:div>
    <w:div w:id="1229733374">
      <w:bodyDiv w:val="1"/>
      <w:marLeft w:val="0"/>
      <w:marRight w:val="0"/>
      <w:marTop w:val="0"/>
      <w:marBottom w:val="0"/>
      <w:divBdr>
        <w:top w:val="none" w:sz="0" w:space="0" w:color="auto"/>
        <w:left w:val="none" w:sz="0" w:space="0" w:color="auto"/>
        <w:bottom w:val="none" w:sz="0" w:space="0" w:color="auto"/>
        <w:right w:val="none" w:sz="0" w:space="0" w:color="auto"/>
      </w:divBdr>
    </w:div>
    <w:div w:id="1744377648">
      <w:bodyDiv w:val="1"/>
      <w:marLeft w:val="0"/>
      <w:marRight w:val="0"/>
      <w:marTop w:val="0"/>
      <w:marBottom w:val="0"/>
      <w:divBdr>
        <w:top w:val="none" w:sz="0" w:space="0" w:color="auto"/>
        <w:left w:val="none" w:sz="0" w:space="0" w:color="auto"/>
        <w:bottom w:val="none" w:sz="0" w:space="0" w:color="auto"/>
        <w:right w:val="none" w:sz="0" w:space="0" w:color="auto"/>
      </w:divBdr>
    </w:div>
    <w:div w:id="1747648719">
      <w:bodyDiv w:val="1"/>
      <w:marLeft w:val="0"/>
      <w:marRight w:val="0"/>
      <w:marTop w:val="0"/>
      <w:marBottom w:val="0"/>
      <w:divBdr>
        <w:top w:val="none" w:sz="0" w:space="0" w:color="auto"/>
        <w:left w:val="none" w:sz="0" w:space="0" w:color="auto"/>
        <w:bottom w:val="none" w:sz="0" w:space="0" w:color="auto"/>
        <w:right w:val="none" w:sz="0" w:space="0" w:color="auto"/>
      </w:divBdr>
    </w:div>
    <w:div w:id="1925802525">
      <w:bodyDiv w:val="1"/>
      <w:marLeft w:val="0"/>
      <w:marRight w:val="0"/>
      <w:marTop w:val="0"/>
      <w:marBottom w:val="0"/>
      <w:divBdr>
        <w:top w:val="none" w:sz="0" w:space="0" w:color="auto"/>
        <w:left w:val="none" w:sz="0" w:space="0" w:color="auto"/>
        <w:bottom w:val="none" w:sz="0" w:space="0" w:color="auto"/>
        <w:right w:val="none" w:sz="0" w:space="0" w:color="auto"/>
      </w:divBdr>
    </w:div>
    <w:div w:id="195802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07/relationships/hdphoto" Target="media/hdphoto2.wdp"/><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4E1BB83D1ECE498DE23C3E3FAD851B" ma:contentTypeVersion="8" ma:contentTypeDescription="Create a new document." ma:contentTypeScope="" ma:versionID="9771e03af2dc824c50200f879c4ca2df">
  <xsd:schema xmlns:xsd="http://www.w3.org/2001/XMLSchema" xmlns:xs="http://www.w3.org/2001/XMLSchema" xmlns:p="http://schemas.microsoft.com/office/2006/metadata/properties" xmlns:ns3="1e81d99d-c298-4baf-90b5-f60fcc5c51fa" targetNamespace="http://schemas.microsoft.com/office/2006/metadata/properties" ma:root="true" ma:fieldsID="d08286648a3e0d341618c282a20b2cc7" ns3:_="">
    <xsd:import namespace="1e81d99d-c298-4baf-90b5-f60fcc5c51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1d99d-c298-4baf-90b5-f60fcc5c5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AE23E-8C12-4588-8CFA-3341BE010A9C}">
  <ds:schemaRefs>
    <ds:schemaRef ds:uri="http://purl.org/dc/terms/"/>
    <ds:schemaRef ds:uri="http://schemas.openxmlformats.org/package/2006/metadata/core-properties"/>
    <ds:schemaRef ds:uri="http://schemas.microsoft.com/office/2006/documentManagement/types"/>
    <ds:schemaRef ds:uri="1e81d99d-c298-4baf-90b5-f60fcc5c51fa"/>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DB6756E-C4E3-4D0B-B757-F949BFD3DCBD}">
  <ds:schemaRefs>
    <ds:schemaRef ds:uri="http://schemas.microsoft.com/sharepoint/v3/contenttype/forms"/>
  </ds:schemaRefs>
</ds:datastoreItem>
</file>

<file path=customXml/itemProps3.xml><?xml version="1.0" encoding="utf-8"?>
<ds:datastoreItem xmlns:ds="http://schemas.openxmlformats.org/officeDocument/2006/customXml" ds:itemID="{3153A9A3-BB59-4CD1-ADE2-E7C17B9F5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1d99d-c298-4baf-90b5-f60fcc5c5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47839-88EC-4BA1-B36C-A6BFD203E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8830</Words>
  <Characters>52659</Characters>
  <Application>Microsoft Office Word</Application>
  <DocSecurity>0</DocSecurity>
  <Lines>438</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Christine</dc:creator>
  <cp:keywords/>
  <cp:lastModifiedBy>Wang, Christine</cp:lastModifiedBy>
  <cp:revision>4</cp:revision>
  <dcterms:created xsi:type="dcterms:W3CDTF">2020-02-19T04:45:00Z</dcterms:created>
  <dcterms:modified xsi:type="dcterms:W3CDTF">2020-02-26T04:39:00Z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0x010100D74E1BB83D1ECE498DE23C3E3FAD851B</vt:lpwstr>
  </property>
</Properties>
</file>