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823" w:rsidRPr="00774842" w:rsidRDefault="00691A68" w:rsidP="00774842">
      <w:pPr>
        <w:pStyle w:val="Title"/>
        <w:ind w:left="720" w:hanging="720"/>
        <w:jc w:val="left"/>
      </w:pPr>
      <w:bookmarkStart w:id="0" w:name="_Hlk17212485"/>
      <w:r w:rsidRPr="000526BE">
        <w:t>6</w:t>
      </w:r>
      <w:r w:rsidR="00433044" w:rsidRPr="000526BE">
        <w:t>.</w:t>
      </w:r>
      <w:r w:rsidRPr="000526BE">
        <w:t>07</w:t>
      </w:r>
      <w:r w:rsidR="00B60939" w:rsidRPr="000526BE">
        <w:tab/>
      </w:r>
      <w:r w:rsidR="00ED48C3" w:rsidRPr="000526BE">
        <w:t>TRASTUZUMAB EMTANSINE</w:t>
      </w:r>
      <w:r w:rsidR="001E03F7" w:rsidRPr="000526BE">
        <w:t xml:space="preserve">, </w:t>
      </w:r>
      <w:r w:rsidR="009641A7" w:rsidRPr="000526BE">
        <w:br/>
      </w:r>
      <w:r w:rsidR="009A51FA" w:rsidRPr="000526BE">
        <w:t>Powder for I.V. infusion 100 mg,</w:t>
      </w:r>
      <w:r w:rsidR="009641A7" w:rsidRPr="000526BE">
        <w:br/>
      </w:r>
      <w:r w:rsidR="009A51FA" w:rsidRPr="000526BE">
        <w:t>Powder for I.V. infusion 160 mg</w:t>
      </w:r>
      <w:r w:rsidR="002D3446" w:rsidRPr="000526BE">
        <w:t>,</w:t>
      </w:r>
      <w:r w:rsidR="009641A7" w:rsidRPr="000526BE">
        <w:br/>
      </w:r>
      <w:r w:rsidR="001E03F7" w:rsidRPr="000526BE">
        <w:t>Kadcyla®</w:t>
      </w:r>
      <w:r w:rsidR="008B44A5" w:rsidRPr="000526BE">
        <w:t>,</w:t>
      </w:r>
      <w:r w:rsidR="001E03F7" w:rsidRPr="000526BE">
        <w:t xml:space="preserve"> </w:t>
      </w:r>
      <w:bookmarkStart w:id="1" w:name="_GoBack"/>
      <w:bookmarkEnd w:id="1"/>
      <w:r w:rsidR="009641A7" w:rsidRPr="000526BE">
        <w:br/>
      </w:r>
      <w:r w:rsidR="001E03F7" w:rsidRPr="000526BE">
        <w:t xml:space="preserve">Roche Products Pty Ltd. </w:t>
      </w:r>
    </w:p>
    <w:p w:rsidR="00B61A0B" w:rsidRPr="000526BE" w:rsidRDefault="00B61A0B" w:rsidP="00B61A0B"/>
    <w:p w:rsidR="00B61A0B" w:rsidRPr="000526BE" w:rsidRDefault="00B61A0B" w:rsidP="00D34556">
      <w:pPr>
        <w:pStyle w:val="PBACHeading1"/>
        <w:spacing w:after="120"/>
        <w:outlineLvl w:val="0"/>
      </w:pPr>
      <w:bookmarkStart w:id="2" w:name="_Toc19626587"/>
      <w:r w:rsidRPr="000526BE">
        <w:t>Purpose of Application</w:t>
      </w:r>
      <w:bookmarkEnd w:id="2"/>
    </w:p>
    <w:p w:rsidR="00B61A0B" w:rsidRPr="000526BE" w:rsidRDefault="00B61A0B" w:rsidP="00A2058D">
      <w:pPr>
        <w:pStyle w:val="ListParagraph"/>
        <w:widowControl/>
        <w:numPr>
          <w:ilvl w:val="1"/>
          <w:numId w:val="2"/>
        </w:numPr>
      </w:pPr>
      <w:r w:rsidRPr="000526BE">
        <w:t xml:space="preserve">The submission requested a Section 100 (Efficient Funding of Chemotherapy) Authority Required (STREAMLINED) listing of trastuzumab emtansine (T-DM1) for adjuvant therapy of patients with human epidermal growth factor receptor 2 (HER2) positive early breast cancer (eBC) with residual disease following HER2-targeted neoadjuvant therapy that included trastuzumab and taxane-based chemotherapy. </w:t>
      </w:r>
      <w:r w:rsidRPr="000526BE">
        <w:rPr>
          <w:iCs/>
        </w:rPr>
        <w:t>This is the first application to the PBAC for the use of T-DM1 in the adjuvant setting in eBC.</w:t>
      </w:r>
    </w:p>
    <w:p w:rsidR="00B61A0B" w:rsidRPr="000526BE" w:rsidRDefault="00B61A0B" w:rsidP="00A2058D">
      <w:pPr>
        <w:pStyle w:val="ListParagraph"/>
        <w:widowControl/>
        <w:numPr>
          <w:ilvl w:val="1"/>
          <w:numId w:val="2"/>
        </w:numPr>
      </w:pPr>
      <w:r w:rsidRPr="000526BE">
        <w:t>The submission presented a cost utility analysis comparing T-DM1 with trastuzumab. The key components of the clinical issue presented in the submission are summarised in Table 1.</w:t>
      </w:r>
    </w:p>
    <w:p w:rsidR="00B61A0B" w:rsidRPr="000526BE" w:rsidRDefault="00B61A0B" w:rsidP="00774842">
      <w:pPr>
        <w:pStyle w:val="TableHeading0"/>
        <w:rPr>
          <w:rStyle w:val="CommentReference"/>
        </w:rPr>
      </w:pPr>
      <w:r w:rsidRPr="000526BE">
        <w:t xml:space="preserve">Table 1: </w:t>
      </w:r>
      <w:r w:rsidRPr="000526BE">
        <w:rPr>
          <w:rStyle w:val="CommentReference"/>
          <w:b/>
          <w:bCs w:val="0"/>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7608"/>
      </w:tblGrid>
      <w:tr w:rsidR="00B61A0B" w:rsidRPr="000526BE" w:rsidTr="00EE3F5F">
        <w:trPr>
          <w:cantSplit/>
          <w:tblHeader/>
        </w:trPr>
        <w:tc>
          <w:tcPr>
            <w:tcW w:w="1413" w:type="dxa"/>
            <w:shd w:val="clear" w:color="auto" w:fill="auto"/>
          </w:tcPr>
          <w:p w:rsidR="00B61A0B" w:rsidRPr="000526BE" w:rsidRDefault="00B61A0B" w:rsidP="00774842">
            <w:pPr>
              <w:pStyle w:val="Tabletext"/>
              <w:keepNext/>
              <w:rPr>
                <w:b/>
                <w:szCs w:val="20"/>
              </w:rPr>
            </w:pPr>
            <w:r w:rsidRPr="000526BE">
              <w:rPr>
                <w:b/>
              </w:rPr>
              <w:t>Component</w:t>
            </w:r>
          </w:p>
        </w:tc>
        <w:tc>
          <w:tcPr>
            <w:tcW w:w="7687" w:type="dxa"/>
            <w:shd w:val="clear" w:color="auto" w:fill="auto"/>
          </w:tcPr>
          <w:p w:rsidR="00B61A0B" w:rsidRPr="000526BE" w:rsidRDefault="00B61A0B" w:rsidP="00774842">
            <w:pPr>
              <w:pStyle w:val="Tabletext"/>
              <w:keepNext/>
              <w:jc w:val="center"/>
              <w:rPr>
                <w:b/>
              </w:rPr>
            </w:pPr>
            <w:r w:rsidRPr="000526BE">
              <w:rPr>
                <w:b/>
              </w:rPr>
              <w:t>Description</w:t>
            </w:r>
          </w:p>
        </w:tc>
      </w:tr>
      <w:tr w:rsidR="00B61A0B" w:rsidRPr="000526BE" w:rsidTr="00EE3F5F">
        <w:trPr>
          <w:cantSplit/>
        </w:trPr>
        <w:tc>
          <w:tcPr>
            <w:tcW w:w="1413" w:type="dxa"/>
            <w:shd w:val="clear" w:color="auto" w:fill="auto"/>
          </w:tcPr>
          <w:p w:rsidR="00B61A0B" w:rsidRPr="000526BE" w:rsidRDefault="00B61A0B" w:rsidP="00774842">
            <w:pPr>
              <w:pStyle w:val="Tabletext"/>
              <w:keepNext/>
            </w:pPr>
            <w:r w:rsidRPr="000526BE">
              <w:t>Population</w:t>
            </w:r>
          </w:p>
        </w:tc>
        <w:tc>
          <w:tcPr>
            <w:tcW w:w="7687" w:type="dxa"/>
            <w:shd w:val="clear" w:color="auto" w:fill="auto"/>
          </w:tcPr>
          <w:p w:rsidR="00B61A0B" w:rsidRPr="000526BE" w:rsidRDefault="00B61A0B" w:rsidP="00774842">
            <w:pPr>
              <w:pStyle w:val="Tabletext"/>
              <w:keepNext/>
            </w:pPr>
            <w:r w:rsidRPr="000526BE">
              <w:t>People with HER2+ eBC who have pathological residual disease in the breast and/or axillary lymph nodes following neoadjuvant therapy that included trastuzumab and taxane-based chemotherapy</w:t>
            </w:r>
            <w:r w:rsidRPr="000526BE">
              <w:rPr>
                <w:i/>
              </w:rPr>
              <w:t>.</w:t>
            </w:r>
          </w:p>
        </w:tc>
      </w:tr>
      <w:tr w:rsidR="00B61A0B" w:rsidRPr="000526BE" w:rsidTr="00EE3F5F">
        <w:trPr>
          <w:cantSplit/>
        </w:trPr>
        <w:tc>
          <w:tcPr>
            <w:tcW w:w="1413" w:type="dxa"/>
            <w:shd w:val="clear" w:color="auto" w:fill="auto"/>
          </w:tcPr>
          <w:p w:rsidR="00B61A0B" w:rsidRPr="000526BE" w:rsidRDefault="00B61A0B" w:rsidP="00774842">
            <w:pPr>
              <w:pStyle w:val="Tabletext"/>
              <w:keepNext/>
            </w:pPr>
            <w:r w:rsidRPr="000526BE">
              <w:t>Intervention</w:t>
            </w:r>
          </w:p>
        </w:tc>
        <w:tc>
          <w:tcPr>
            <w:tcW w:w="7687" w:type="dxa"/>
            <w:shd w:val="clear" w:color="auto" w:fill="auto"/>
          </w:tcPr>
          <w:p w:rsidR="00B61A0B" w:rsidRPr="000526BE" w:rsidRDefault="00B61A0B" w:rsidP="00774842">
            <w:pPr>
              <w:pStyle w:val="Tabletext"/>
              <w:keepNext/>
            </w:pPr>
            <w:r w:rsidRPr="000526BE">
              <w:t>T-DM1 3.6 mg/kg given IV every three weeks for 14 cycles</w:t>
            </w:r>
          </w:p>
        </w:tc>
      </w:tr>
      <w:tr w:rsidR="00B61A0B" w:rsidRPr="000526BE" w:rsidTr="00EE3F5F">
        <w:trPr>
          <w:cantSplit/>
        </w:trPr>
        <w:tc>
          <w:tcPr>
            <w:tcW w:w="1413" w:type="dxa"/>
            <w:shd w:val="clear" w:color="auto" w:fill="auto"/>
          </w:tcPr>
          <w:p w:rsidR="00B61A0B" w:rsidRPr="000526BE" w:rsidRDefault="00B61A0B" w:rsidP="00774842">
            <w:pPr>
              <w:pStyle w:val="Tabletext"/>
              <w:keepNext/>
            </w:pPr>
            <w:r w:rsidRPr="000526BE">
              <w:t>Comparator</w:t>
            </w:r>
          </w:p>
        </w:tc>
        <w:tc>
          <w:tcPr>
            <w:tcW w:w="7687" w:type="dxa"/>
            <w:shd w:val="clear" w:color="auto" w:fill="auto"/>
          </w:tcPr>
          <w:p w:rsidR="00B61A0B" w:rsidRPr="000526BE" w:rsidRDefault="00B61A0B" w:rsidP="00774842">
            <w:pPr>
              <w:pStyle w:val="Tabletext"/>
              <w:keepNext/>
            </w:pPr>
            <w:r w:rsidRPr="000526BE">
              <w:t xml:space="preserve">Trastuzumab 8 mg/kg followed by 6 mg/kg given IV every three weeks for 14 cycles (an 8 mg/kg loading dose should be given in cases where there has been an interval greater than 6 weeks since the last dose of trastuzumab). </w:t>
            </w:r>
          </w:p>
        </w:tc>
      </w:tr>
      <w:tr w:rsidR="00B61A0B" w:rsidRPr="000526BE" w:rsidTr="00EE3F5F">
        <w:trPr>
          <w:cantSplit/>
        </w:trPr>
        <w:tc>
          <w:tcPr>
            <w:tcW w:w="1413" w:type="dxa"/>
            <w:shd w:val="clear" w:color="auto" w:fill="auto"/>
          </w:tcPr>
          <w:p w:rsidR="00B61A0B" w:rsidRPr="000526BE" w:rsidRDefault="00B61A0B" w:rsidP="00774842">
            <w:pPr>
              <w:pStyle w:val="Tabletext"/>
              <w:keepNext/>
            </w:pPr>
            <w:r w:rsidRPr="000526BE">
              <w:t>Outcomes</w:t>
            </w:r>
          </w:p>
        </w:tc>
        <w:tc>
          <w:tcPr>
            <w:tcW w:w="7687" w:type="dxa"/>
            <w:shd w:val="clear" w:color="auto" w:fill="auto"/>
          </w:tcPr>
          <w:p w:rsidR="00B61A0B" w:rsidRPr="000526BE" w:rsidRDefault="00B61A0B" w:rsidP="00774842">
            <w:pPr>
              <w:pStyle w:val="TableText0"/>
              <w:spacing w:before="0" w:after="0"/>
            </w:pPr>
            <w:r w:rsidRPr="000526BE">
              <w:t>Primary: iDFS</w:t>
            </w:r>
          </w:p>
          <w:p w:rsidR="00B61A0B" w:rsidRPr="000526BE" w:rsidRDefault="00B61A0B" w:rsidP="00774842">
            <w:pPr>
              <w:pStyle w:val="Tabletext"/>
              <w:keepNext/>
            </w:pPr>
            <w:r w:rsidRPr="000526BE">
              <w:t>Secondary: iDFS-SPNBC, OS, DFS, DRFI, AEs and HRQoL.</w:t>
            </w:r>
          </w:p>
        </w:tc>
      </w:tr>
      <w:tr w:rsidR="00B61A0B" w:rsidRPr="000526BE" w:rsidTr="00EE3F5F">
        <w:trPr>
          <w:cantSplit/>
        </w:trPr>
        <w:tc>
          <w:tcPr>
            <w:tcW w:w="1413" w:type="dxa"/>
            <w:shd w:val="clear" w:color="auto" w:fill="auto"/>
          </w:tcPr>
          <w:p w:rsidR="00B61A0B" w:rsidRPr="000526BE" w:rsidRDefault="00B61A0B" w:rsidP="007A7D2F">
            <w:pPr>
              <w:pStyle w:val="Tabletext"/>
            </w:pPr>
            <w:r w:rsidRPr="000526BE">
              <w:t>Clinical claim</w:t>
            </w:r>
          </w:p>
        </w:tc>
        <w:tc>
          <w:tcPr>
            <w:tcW w:w="7687" w:type="dxa"/>
            <w:shd w:val="clear" w:color="auto" w:fill="auto"/>
          </w:tcPr>
          <w:p w:rsidR="00B61A0B" w:rsidRPr="000526BE" w:rsidRDefault="00B61A0B" w:rsidP="007A7D2F">
            <w:pPr>
              <w:pStyle w:val="Tabletext"/>
            </w:pPr>
            <w:r w:rsidRPr="000526BE">
              <w:t xml:space="preserve">In people with HER2+ eBC, T-DM1 was more effective than trastuzumab at improving iDFS. </w:t>
            </w:r>
          </w:p>
          <w:p w:rsidR="00B61A0B" w:rsidRPr="000526BE" w:rsidRDefault="00B61A0B" w:rsidP="007A7D2F">
            <w:pPr>
              <w:pStyle w:val="Tabletext"/>
            </w:pPr>
            <w:r w:rsidRPr="000526BE">
              <w:t xml:space="preserve">In people with HER2+ eBC, T-DM1 is inferior in terms of safety compared with trastuzumab, but the AEs profile was established and manageable with minimal impact on HRQoL, maintaining a positive risk/benefit ratio. </w:t>
            </w:r>
          </w:p>
        </w:tc>
      </w:tr>
    </w:tbl>
    <w:p w:rsidR="00B61A0B" w:rsidRPr="000526BE" w:rsidRDefault="00B61A0B" w:rsidP="00B61A0B">
      <w:pPr>
        <w:pStyle w:val="Default"/>
        <w:ind w:right="-154"/>
        <w:jc w:val="both"/>
        <w:rPr>
          <w:rFonts w:ascii="Arial Narrow" w:hAnsi="Arial Narrow"/>
          <w:bCs/>
          <w:sz w:val="18"/>
          <w:szCs w:val="18"/>
          <w:lang w:val="en-AU"/>
        </w:rPr>
      </w:pPr>
      <w:r w:rsidRPr="000526BE">
        <w:rPr>
          <w:rStyle w:val="TableNotesChar"/>
          <w:rFonts w:ascii="Arial Narrow" w:hAnsi="Arial Narrow"/>
          <w:lang w:val="en-AU"/>
        </w:rPr>
        <w:t>Abbreviations: AEs</w:t>
      </w:r>
      <w:r w:rsidRPr="000526BE">
        <w:rPr>
          <w:rFonts w:ascii="Arial Narrow" w:hAnsi="Arial Narrow"/>
          <w:bCs/>
          <w:sz w:val="18"/>
          <w:szCs w:val="18"/>
          <w:lang w:val="en-AU"/>
        </w:rPr>
        <w:t>= adverse events; DFS= disease free survival; DRFI= distant relapse-free interval; eBC= early breast cancer; HER2=</w:t>
      </w:r>
      <w:r w:rsidRPr="000526BE">
        <w:rPr>
          <w:rFonts w:ascii="Arial Narrow" w:hAnsi="Arial Narrow"/>
          <w:lang w:val="en-AU"/>
        </w:rPr>
        <w:t xml:space="preserve"> </w:t>
      </w:r>
      <w:r w:rsidRPr="000526BE">
        <w:rPr>
          <w:rFonts w:ascii="Arial Narrow" w:hAnsi="Arial Narrow"/>
          <w:bCs/>
          <w:sz w:val="18"/>
          <w:szCs w:val="18"/>
          <w:lang w:val="en-AU"/>
        </w:rPr>
        <w:t xml:space="preserve">human epidermal growth factor receptor 2; HRQoL= health-related Quality of Life (QoL); IV= intravenous; iDFS= invasive disease-free survival; iDFS-SPNBC= invasive disease-free survival including second primary non-breast cancers; kg= kilogram; mg= milligram; OS= overall survival; SC= subcutaneous; T-DM1= trastuzumab emtansine. </w:t>
      </w:r>
    </w:p>
    <w:p w:rsidR="00B61A0B" w:rsidRPr="000526BE" w:rsidRDefault="00B61A0B" w:rsidP="00B36B25">
      <w:pPr>
        <w:pStyle w:val="Default"/>
        <w:ind w:right="-154"/>
        <w:jc w:val="both"/>
        <w:rPr>
          <w:rFonts w:ascii="Arial Narrow" w:hAnsi="Arial Narrow"/>
          <w:bCs/>
          <w:sz w:val="18"/>
          <w:szCs w:val="18"/>
          <w:lang w:val="en-AU"/>
        </w:rPr>
      </w:pPr>
      <w:r w:rsidRPr="000526BE">
        <w:rPr>
          <w:rFonts w:ascii="Arial Narrow" w:hAnsi="Arial Narrow"/>
          <w:bCs/>
          <w:sz w:val="18"/>
          <w:szCs w:val="18"/>
          <w:lang w:val="en-AU"/>
        </w:rPr>
        <w:t xml:space="preserve">Source: Table 1.1, p.14 of the submission. </w:t>
      </w:r>
    </w:p>
    <w:p w:rsidR="006C29E7" w:rsidRPr="000526BE" w:rsidRDefault="006C29E7" w:rsidP="00B36B25">
      <w:pPr>
        <w:pStyle w:val="Default"/>
        <w:ind w:right="-154"/>
        <w:jc w:val="both"/>
        <w:rPr>
          <w:lang w:val="en-AU"/>
        </w:rPr>
      </w:pPr>
    </w:p>
    <w:p w:rsidR="00B61A0B" w:rsidRPr="000526BE" w:rsidRDefault="00B61A0B" w:rsidP="00D34556">
      <w:pPr>
        <w:pStyle w:val="PBACHeading1"/>
        <w:spacing w:after="120"/>
        <w:outlineLvl w:val="0"/>
      </w:pPr>
      <w:bookmarkStart w:id="3" w:name="_Toc19626588"/>
      <w:r w:rsidRPr="000526BE">
        <w:t>Requested listing</w:t>
      </w:r>
      <w:bookmarkEnd w:id="3"/>
    </w:p>
    <w:p w:rsidR="0002113D" w:rsidRPr="000526BE" w:rsidDel="0002113D" w:rsidRDefault="0002113D" w:rsidP="00E67CB4">
      <w:pPr>
        <w:pStyle w:val="ListParagraph"/>
        <w:widowControl/>
        <w:numPr>
          <w:ilvl w:val="1"/>
          <w:numId w:val="2"/>
        </w:numPr>
        <w:spacing w:after="120"/>
        <w:rPr>
          <w:rFonts w:cs="Calibri"/>
          <w:bCs/>
        </w:rPr>
      </w:pPr>
      <w:r w:rsidRPr="000526BE">
        <w:t>Suggestions</w:t>
      </w:r>
      <w:r w:rsidRPr="000526BE">
        <w:rPr>
          <w:rFonts w:cs="Calibri"/>
          <w:bCs/>
        </w:rPr>
        <w:t xml:space="preserve"> and additions proposed by the Secretariat are added in italics and suggested deletions are crossed out with strikethrough.</w:t>
      </w:r>
    </w:p>
    <w:tbl>
      <w:tblPr>
        <w:tblW w:w="5000" w:type="pct"/>
        <w:tblLook w:val="0000" w:firstRow="0" w:lastRow="0" w:firstColumn="0" w:lastColumn="0" w:noHBand="0" w:noVBand="0"/>
      </w:tblPr>
      <w:tblGrid>
        <w:gridCol w:w="1806"/>
        <w:gridCol w:w="973"/>
        <w:gridCol w:w="834"/>
        <w:gridCol w:w="695"/>
        <w:gridCol w:w="2083"/>
        <w:gridCol w:w="1110"/>
        <w:gridCol w:w="1497"/>
        <w:gridCol w:w="29"/>
      </w:tblGrid>
      <w:tr w:rsidR="0002113D" w:rsidRPr="00774842" w:rsidTr="00C80D6B">
        <w:trPr>
          <w:cantSplit/>
          <w:trHeight w:val="471"/>
        </w:trPr>
        <w:tc>
          <w:tcPr>
            <w:tcW w:w="1539" w:type="pct"/>
            <w:gridSpan w:val="2"/>
            <w:tcBorders>
              <w:bottom w:val="single" w:sz="4" w:space="0" w:color="auto"/>
            </w:tcBorders>
          </w:tcPr>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lastRenderedPageBreak/>
              <w:t>Name, Restriction,</w:t>
            </w:r>
          </w:p>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Manner of administration and form</w:t>
            </w:r>
          </w:p>
        </w:tc>
        <w:tc>
          <w:tcPr>
            <w:tcW w:w="462" w:type="pct"/>
            <w:tcBorders>
              <w:bottom w:val="single" w:sz="4" w:space="0" w:color="auto"/>
            </w:tcBorders>
          </w:tcPr>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Max.</w:t>
            </w:r>
          </w:p>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Qty</w:t>
            </w:r>
          </w:p>
        </w:tc>
        <w:tc>
          <w:tcPr>
            <w:tcW w:w="385" w:type="pct"/>
            <w:tcBorders>
              <w:bottom w:val="single" w:sz="4" w:space="0" w:color="auto"/>
            </w:tcBorders>
          </w:tcPr>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№.of</w:t>
            </w:r>
          </w:p>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Rpts</w:t>
            </w:r>
          </w:p>
        </w:tc>
        <w:tc>
          <w:tcPr>
            <w:tcW w:w="1154" w:type="pct"/>
            <w:tcBorders>
              <w:bottom w:val="single" w:sz="4" w:space="0" w:color="auto"/>
            </w:tcBorders>
          </w:tcPr>
          <w:p w:rsidR="0002113D" w:rsidRPr="00774842" w:rsidRDefault="0002113D" w:rsidP="00E67CB4">
            <w:pPr>
              <w:keepNext/>
              <w:ind w:left="-108"/>
              <w:rPr>
                <w:rFonts w:ascii="Arial Narrow" w:hAnsi="Arial Narrow" w:cstheme="minorHAnsi"/>
                <w:b/>
                <w:sz w:val="20"/>
                <w:szCs w:val="20"/>
              </w:rPr>
            </w:pPr>
            <w:r w:rsidRPr="00774842">
              <w:rPr>
                <w:rFonts w:ascii="Arial Narrow" w:hAnsi="Arial Narrow" w:cstheme="minorHAnsi"/>
                <w:b/>
                <w:sz w:val="20"/>
                <w:szCs w:val="20"/>
              </w:rPr>
              <w:t>Dispensed Price for Max. Qty</w:t>
            </w:r>
          </w:p>
        </w:tc>
        <w:tc>
          <w:tcPr>
            <w:tcW w:w="1461" w:type="pct"/>
            <w:gridSpan w:val="3"/>
            <w:tcBorders>
              <w:bottom w:val="single" w:sz="4" w:space="0" w:color="auto"/>
            </w:tcBorders>
          </w:tcPr>
          <w:p w:rsidR="0002113D" w:rsidRPr="00774842" w:rsidRDefault="0002113D" w:rsidP="00774842">
            <w:pPr>
              <w:keepNext/>
              <w:jc w:val="left"/>
              <w:rPr>
                <w:rFonts w:ascii="Arial Narrow" w:hAnsi="Arial Narrow" w:cstheme="minorHAnsi"/>
                <w:b/>
                <w:sz w:val="20"/>
                <w:szCs w:val="20"/>
              </w:rPr>
            </w:pPr>
            <w:r w:rsidRPr="00774842">
              <w:rPr>
                <w:rFonts w:ascii="Arial Narrow" w:hAnsi="Arial Narrow" w:cstheme="minorHAnsi"/>
                <w:b/>
                <w:sz w:val="20"/>
                <w:szCs w:val="20"/>
              </w:rPr>
              <w:t>Proprietary Name and Manufacturer</w:t>
            </w:r>
          </w:p>
        </w:tc>
      </w:tr>
      <w:tr w:rsidR="0002113D" w:rsidRPr="000526BE" w:rsidTr="00C80D6B">
        <w:trPr>
          <w:cantSplit/>
          <w:trHeight w:val="577"/>
        </w:trPr>
        <w:tc>
          <w:tcPr>
            <w:tcW w:w="1539" w:type="pct"/>
            <w:gridSpan w:val="2"/>
          </w:tcPr>
          <w:p w:rsidR="0002113D" w:rsidRPr="000526BE" w:rsidRDefault="0002113D" w:rsidP="00E67CB4">
            <w:pPr>
              <w:pStyle w:val="TableText0"/>
              <w:rPr>
                <w:rFonts w:cstheme="minorHAnsi"/>
                <w:szCs w:val="20"/>
              </w:rPr>
            </w:pPr>
            <w:r w:rsidRPr="000526BE">
              <w:rPr>
                <w:rFonts w:cstheme="minorHAnsi"/>
                <w:caps/>
                <w:szCs w:val="20"/>
              </w:rPr>
              <w:t>Trastuzumab emtansine</w:t>
            </w:r>
            <w:r w:rsidRPr="000526BE">
              <w:rPr>
                <w:rFonts w:cstheme="minorHAnsi"/>
                <w:szCs w:val="20"/>
              </w:rPr>
              <w:t xml:space="preserve"> </w:t>
            </w:r>
          </w:p>
          <w:p w:rsidR="0002113D" w:rsidRPr="000526BE" w:rsidRDefault="0002113D" w:rsidP="00E67CB4">
            <w:pPr>
              <w:pStyle w:val="TableText0"/>
              <w:rPr>
                <w:rFonts w:cstheme="minorHAnsi"/>
                <w:szCs w:val="20"/>
              </w:rPr>
            </w:pPr>
            <w:r w:rsidRPr="000526BE">
              <w:rPr>
                <w:rFonts w:cstheme="minorHAnsi"/>
                <w:szCs w:val="20"/>
              </w:rPr>
              <w:t xml:space="preserve">(T-DM1) </w:t>
            </w:r>
          </w:p>
          <w:p w:rsidR="0002113D" w:rsidRPr="000526BE" w:rsidRDefault="0002113D" w:rsidP="00E67CB4">
            <w:pPr>
              <w:pStyle w:val="TableText0"/>
              <w:rPr>
                <w:rFonts w:cstheme="minorHAnsi"/>
                <w:szCs w:val="20"/>
              </w:rPr>
            </w:pPr>
            <w:r w:rsidRPr="000526BE">
              <w:rPr>
                <w:rFonts w:cstheme="minorHAnsi"/>
                <w:szCs w:val="20"/>
              </w:rPr>
              <w:t xml:space="preserve">Solution for IV infusion </w:t>
            </w:r>
          </w:p>
          <w:p w:rsidR="0002113D" w:rsidRPr="000526BE" w:rsidRDefault="0002113D" w:rsidP="00E67CB4">
            <w:pPr>
              <w:pStyle w:val="TableText0"/>
              <w:rPr>
                <w:rFonts w:cstheme="minorHAnsi"/>
                <w:szCs w:val="20"/>
              </w:rPr>
            </w:pPr>
            <w:r w:rsidRPr="000526BE">
              <w:rPr>
                <w:rFonts w:cstheme="minorHAnsi"/>
                <w:szCs w:val="20"/>
              </w:rPr>
              <w:t>100 mg in 5 mL (20 mg/mL)</w:t>
            </w:r>
          </w:p>
          <w:p w:rsidR="0002113D" w:rsidRDefault="0002113D" w:rsidP="00E67CB4">
            <w:pPr>
              <w:keepNext/>
              <w:rPr>
                <w:rFonts w:ascii="Arial Narrow" w:hAnsi="Arial Narrow" w:cstheme="minorHAnsi"/>
                <w:sz w:val="20"/>
                <w:szCs w:val="20"/>
              </w:rPr>
            </w:pPr>
            <w:r w:rsidRPr="000526BE">
              <w:rPr>
                <w:rFonts w:ascii="Arial Narrow" w:hAnsi="Arial Narrow" w:cstheme="minorHAnsi"/>
                <w:sz w:val="20"/>
                <w:szCs w:val="20"/>
              </w:rPr>
              <w:t>160 mg in 8 mL (20 mg/mL)</w:t>
            </w:r>
          </w:p>
          <w:p w:rsidR="00774842" w:rsidRPr="000526BE" w:rsidRDefault="00774842" w:rsidP="00E67CB4">
            <w:pPr>
              <w:keepNext/>
              <w:rPr>
                <w:rFonts w:ascii="Arial Narrow" w:hAnsi="Arial Narrow" w:cstheme="minorHAnsi"/>
                <w:sz w:val="20"/>
                <w:szCs w:val="20"/>
              </w:rPr>
            </w:pPr>
          </w:p>
        </w:tc>
        <w:tc>
          <w:tcPr>
            <w:tcW w:w="462" w:type="pct"/>
          </w:tcPr>
          <w:p w:rsidR="0002113D" w:rsidRPr="000526BE" w:rsidRDefault="0002113D" w:rsidP="00E67CB4">
            <w:pPr>
              <w:keepNext/>
              <w:ind w:left="-108"/>
              <w:rPr>
                <w:rFonts w:ascii="Arial Narrow" w:hAnsi="Arial Narrow" w:cstheme="minorHAnsi"/>
                <w:sz w:val="20"/>
                <w:szCs w:val="20"/>
              </w:rPr>
            </w:pPr>
          </w:p>
          <w:p w:rsidR="0002113D" w:rsidRPr="000526BE" w:rsidRDefault="0002113D" w:rsidP="00E67CB4">
            <w:pPr>
              <w:keepNext/>
              <w:ind w:left="-108"/>
              <w:rPr>
                <w:rFonts w:ascii="Arial Narrow" w:hAnsi="Arial Narrow" w:cstheme="minorHAnsi"/>
                <w:sz w:val="20"/>
                <w:szCs w:val="20"/>
              </w:rPr>
            </w:pPr>
            <w:r w:rsidRPr="000526BE">
              <w:rPr>
                <w:rFonts w:ascii="Arial Narrow" w:hAnsi="Arial Narrow" w:cstheme="minorHAnsi"/>
                <w:sz w:val="20"/>
                <w:szCs w:val="20"/>
              </w:rPr>
              <w:t>450 mg</w:t>
            </w:r>
          </w:p>
        </w:tc>
        <w:tc>
          <w:tcPr>
            <w:tcW w:w="385" w:type="pct"/>
          </w:tcPr>
          <w:p w:rsidR="0002113D" w:rsidRPr="000526BE" w:rsidRDefault="0002113D" w:rsidP="00E67CB4">
            <w:pPr>
              <w:keepNext/>
              <w:ind w:left="-108"/>
              <w:rPr>
                <w:rFonts w:ascii="Arial Narrow" w:hAnsi="Arial Narrow" w:cstheme="minorHAnsi"/>
                <w:sz w:val="20"/>
                <w:szCs w:val="20"/>
              </w:rPr>
            </w:pPr>
          </w:p>
          <w:p w:rsidR="0002113D" w:rsidRPr="000526BE" w:rsidRDefault="0002113D" w:rsidP="00E67CB4">
            <w:pPr>
              <w:keepNext/>
              <w:ind w:left="-108"/>
              <w:rPr>
                <w:rFonts w:ascii="Arial Narrow" w:hAnsi="Arial Narrow" w:cstheme="minorHAnsi"/>
                <w:sz w:val="20"/>
                <w:szCs w:val="20"/>
              </w:rPr>
            </w:pPr>
            <w:r w:rsidRPr="000526BE">
              <w:rPr>
                <w:rFonts w:ascii="Arial Narrow" w:hAnsi="Arial Narrow" w:cstheme="minorHAnsi"/>
                <w:sz w:val="20"/>
                <w:szCs w:val="20"/>
              </w:rPr>
              <w:t>6</w:t>
            </w:r>
          </w:p>
        </w:tc>
        <w:tc>
          <w:tcPr>
            <w:tcW w:w="1154" w:type="pct"/>
          </w:tcPr>
          <w:p w:rsidR="0002113D" w:rsidRPr="000526BE" w:rsidRDefault="0002113D" w:rsidP="00E67CB4">
            <w:pPr>
              <w:keepNext/>
              <w:ind w:left="-108"/>
              <w:rPr>
                <w:rFonts w:ascii="Arial Narrow" w:eastAsiaTheme="minorHAnsi" w:hAnsi="Arial Narrow" w:cstheme="minorHAnsi"/>
                <w:snapToGrid/>
                <w:sz w:val="20"/>
                <w:szCs w:val="20"/>
              </w:rPr>
            </w:pPr>
          </w:p>
          <w:p w:rsidR="0002113D" w:rsidRPr="000526BE" w:rsidRDefault="0002113D" w:rsidP="00E67CB4">
            <w:pPr>
              <w:keepNext/>
              <w:ind w:left="-108"/>
              <w:rPr>
                <w:rFonts w:ascii="Arial Narrow" w:eastAsiaTheme="minorHAnsi" w:hAnsi="Arial Narrow" w:cstheme="minorHAnsi"/>
                <w:snapToGrid/>
                <w:sz w:val="20"/>
                <w:szCs w:val="20"/>
              </w:rPr>
            </w:pPr>
            <w:r w:rsidRPr="000526BE">
              <w:rPr>
                <w:rFonts w:ascii="Arial Narrow" w:eastAsiaTheme="minorHAnsi" w:hAnsi="Arial Narrow" w:cstheme="minorHAnsi"/>
                <w:snapToGrid/>
                <w:sz w:val="20"/>
                <w:szCs w:val="20"/>
              </w:rPr>
              <w:t>Public</w:t>
            </w:r>
            <w:r w:rsidR="00C80D6B" w:rsidRPr="000526BE">
              <w:rPr>
                <w:rFonts w:ascii="Arial Narrow" w:eastAsiaTheme="minorHAnsi" w:hAnsi="Arial Narrow" w:cstheme="minorHAnsi"/>
                <w:snapToGrid/>
                <w:sz w:val="20"/>
                <w:szCs w:val="20"/>
              </w:rPr>
              <w:t>: $7642.32</w:t>
            </w:r>
          </w:p>
          <w:p w:rsidR="0002113D" w:rsidRPr="000526BE" w:rsidRDefault="0002113D" w:rsidP="00E67CB4">
            <w:pPr>
              <w:keepNext/>
              <w:ind w:left="-108"/>
              <w:rPr>
                <w:rFonts w:ascii="Arial Narrow" w:eastAsiaTheme="minorHAnsi" w:hAnsi="Arial Narrow" w:cstheme="minorHAnsi"/>
                <w:snapToGrid/>
                <w:sz w:val="20"/>
                <w:szCs w:val="20"/>
              </w:rPr>
            </w:pPr>
            <w:r w:rsidRPr="000526BE">
              <w:rPr>
                <w:rFonts w:ascii="Arial Narrow" w:eastAsiaTheme="minorHAnsi" w:hAnsi="Arial Narrow" w:cstheme="minorHAnsi"/>
                <w:snapToGrid/>
                <w:sz w:val="20"/>
                <w:szCs w:val="20"/>
              </w:rPr>
              <w:t>Private</w:t>
            </w:r>
            <w:r w:rsidR="00C80D6B" w:rsidRPr="000526BE">
              <w:rPr>
                <w:rFonts w:ascii="Arial Narrow" w:eastAsiaTheme="minorHAnsi" w:hAnsi="Arial Narrow" w:cstheme="minorHAnsi"/>
                <w:snapToGrid/>
                <w:sz w:val="20"/>
                <w:szCs w:val="20"/>
              </w:rPr>
              <w:t>: $7787.34</w:t>
            </w:r>
          </w:p>
          <w:p w:rsidR="0002113D" w:rsidRPr="000526BE" w:rsidRDefault="0002113D" w:rsidP="00C80D6B">
            <w:pPr>
              <w:pStyle w:val="TableText1"/>
              <w:ind w:left="-108"/>
              <w:rPr>
                <w:rFonts w:ascii="Arial Narrow" w:eastAsiaTheme="minorHAnsi" w:hAnsi="Arial Narrow" w:cstheme="minorHAnsi"/>
                <w:snapToGrid w:val="0"/>
              </w:rPr>
            </w:pPr>
          </w:p>
        </w:tc>
        <w:tc>
          <w:tcPr>
            <w:tcW w:w="615" w:type="pct"/>
          </w:tcPr>
          <w:p w:rsidR="0002113D" w:rsidRPr="000526BE" w:rsidRDefault="0002113D" w:rsidP="00E67CB4">
            <w:pPr>
              <w:keepNext/>
              <w:rPr>
                <w:rFonts w:ascii="Arial Narrow" w:hAnsi="Arial Narrow" w:cstheme="minorHAnsi"/>
                <w:sz w:val="20"/>
                <w:szCs w:val="20"/>
              </w:rPr>
            </w:pPr>
            <w:r w:rsidRPr="000526BE">
              <w:rPr>
                <w:rFonts w:ascii="Arial Narrow" w:hAnsi="Arial Narrow" w:cstheme="minorHAnsi"/>
                <w:sz w:val="20"/>
                <w:szCs w:val="20"/>
              </w:rPr>
              <w:t>Kadcyla</w:t>
            </w:r>
          </w:p>
        </w:tc>
        <w:tc>
          <w:tcPr>
            <w:tcW w:w="846" w:type="pct"/>
            <w:gridSpan w:val="2"/>
          </w:tcPr>
          <w:p w:rsidR="0002113D" w:rsidRPr="000526BE" w:rsidRDefault="0002113D" w:rsidP="00E67CB4">
            <w:pPr>
              <w:keepNext/>
              <w:rPr>
                <w:rFonts w:ascii="Arial Narrow" w:hAnsi="Arial Narrow" w:cstheme="minorHAnsi"/>
                <w:sz w:val="20"/>
                <w:szCs w:val="20"/>
              </w:rPr>
            </w:pPr>
            <w:r w:rsidRPr="000526BE">
              <w:rPr>
                <w:rFonts w:ascii="Arial Narrow" w:hAnsi="Arial Narrow" w:cstheme="minorHAnsi"/>
                <w:sz w:val="20"/>
                <w:szCs w:val="20"/>
              </w:rPr>
              <w:t>Roche Products Pty Ltd</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Category/Program</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jc w:val="left"/>
              <w:rPr>
                <w:rFonts w:ascii="Arial Narrow" w:hAnsi="Arial Narrow" w:cstheme="minorHAnsi"/>
                <w:bCs/>
                <w:sz w:val="20"/>
                <w:szCs w:val="20"/>
              </w:rPr>
            </w:pPr>
            <w:r w:rsidRPr="000526BE">
              <w:rPr>
                <w:rFonts w:ascii="Arial Narrow" w:hAnsi="Arial Narrow" w:cstheme="minorHAnsi"/>
                <w:bCs/>
                <w:sz w:val="20"/>
                <w:szCs w:val="20"/>
              </w:rPr>
              <w:t>Section 100 – Efficient Funding of Chemotherapy</w:t>
            </w:r>
            <w:r w:rsidRPr="000526BE">
              <w:rPr>
                <w:rFonts w:ascii="Arial Narrow" w:hAnsi="Arial Narrow" w:cstheme="minorHAnsi"/>
                <w:bCs/>
                <w:sz w:val="20"/>
                <w:szCs w:val="20"/>
              </w:rPr>
              <w:br/>
              <w:t>Private Hospital/Private Clinic Authority Required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Public Hospital Authority Required</w:t>
            </w:r>
          </w:p>
        </w:tc>
      </w:tr>
      <w:tr w:rsidR="0002113D" w:rsidRPr="000526BE" w:rsidTr="00774842">
        <w:trPr>
          <w:gridAfter w:val="1"/>
          <w:wAfter w:w="16" w:type="pct"/>
          <w:cantSplit/>
          <w:trHeight w:val="125"/>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theme="minorHAnsi"/>
                <w:b/>
                <w:sz w:val="20"/>
                <w:szCs w:val="20"/>
              </w:rPr>
            </w:pPr>
            <w:r w:rsidRPr="000526BE">
              <w:rPr>
                <w:rFonts w:ascii="Arial Narrow" w:hAnsi="Arial Narrow" w:cstheme="minorHAnsi"/>
                <w:b/>
                <w:sz w:val="20"/>
                <w:szCs w:val="20"/>
              </w:rPr>
              <w:t>Prescriber type:</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theme="minorHAnsi"/>
                <w:sz w:val="20"/>
                <w:szCs w:val="20"/>
              </w:rPr>
            </w:pPr>
            <w:r w:rsidRPr="000526BE">
              <w:rPr>
                <w:rFonts w:ascii="Arial Narrow" w:hAnsi="Arial Narrow" w:cstheme="minorHAnsi"/>
                <w:sz w:val="20"/>
                <w:szCs w:val="20"/>
              </w:rPr>
              <w:fldChar w:fldCharType="begin">
                <w:ffData>
                  <w:name w:val="Check1"/>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Dental  </w:t>
            </w:r>
            <w:r w:rsidRPr="000526BE">
              <w:rPr>
                <w:rFonts w:ascii="Arial Narrow" w:hAnsi="Arial Narrow" w:cstheme="minorHAnsi"/>
                <w:sz w:val="20"/>
                <w:szCs w:val="20"/>
              </w:rPr>
              <w:fldChar w:fldCharType="begin">
                <w:ffData>
                  <w:name w:val=""/>
                  <w:enabled/>
                  <w:calcOnExit w:val="0"/>
                  <w:checkBox>
                    <w:sizeAuto/>
                    <w:default w:val="1"/>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Medical Practitioners  </w:t>
            </w:r>
            <w:r w:rsidRPr="000526BE">
              <w:rPr>
                <w:rFonts w:ascii="Arial Narrow" w:hAnsi="Arial Narrow" w:cstheme="minorHAnsi"/>
                <w:sz w:val="20"/>
                <w:szCs w:val="20"/>
              </w:rPr>
              <w:fldChar w:fldCharType="begin">
                <w:ffData>
                  <w:name w:val="Check3"/>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Nurse practitioners  </w:t>
            </w:r>
            <w:r w:rsidRPr="000526BE">
              <w:rPr>
                <w:rFonts w:ascii="Arial Narrow" w:hAnsi="Arial Narrow" w:cstheme="minorHAnsi"/>
                <w:sz w:val="20"/>
                <w:szCs w:val="20"/>
              </w:rPr>
              <w:fldChar w:fldCharType="begin">
                <w:ffData>
                  <w:name w:val=""/>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Optometrists </w:t>
            </w:r>
            <w:r w:rsidRPr="000526BE">
              <w:rPr>
                <w:rFonts w:ascii="Arial Narrow" w:hAnsi="Arial Narrow" w:cstheme="minorHAnsi"/>
                <w:sz w:val="20"/>
                <w:szCs w:val="20"/>
              </w:rPr>
              <w:fldChar w:fldCharType="begin">
                <w:ffData>
                  <w:name w:val="Check5"/>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Midwives</w:t>
            </w:r>
          </w:p>
        </w:tc>
      </w:tr>
      <w:tr w:rsidR="0002113D" w:rsidRPr="000526BE" w:rsidTr="00774842">
        <w:trPr>
          <w:gridAfter w:val="1"/>
          <w:wAfter w:w="16" w:type="pct"/>
          <w:cantSplit/>
          <w:trHeight w:val="53"/>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Severity</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sz w:val="20"/>
                <w:szCs w:val="20"/>
              </w:rPr>
              <w:t xml:space="preserve">Early </w:t>
            </w:r>
          </w:p>
        </w:tc>
      </w:tr>
      <w:tr w:rsidR="0002113D" w:rsidRPr="000526BE" w:rsidTr="00774842">
        <w:trPr>
          <w:gridAfter w:val="1"/>
          <w:wAfter w:w="16" w:type="pct"/>
          <w:cantSplit/>
          <w:trHeight w:val="53"/>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Condition:</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HER2 positive early breast cancer [14765]</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Indication:</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theme="minorHAnsi"/>
                <w:strike/>
                <w:sz w:val="20"/>
                <w:szCs w:val="20"/>
              </w:rPr>
            </w:pPr>
            <w:r w:rsidRPr="000526BE">
              <w:rPr>
                <w:rFonts w:ascii="Arial Narrow" w:hAnsi="Arial Narrow" w:cstheme="minorHAnsi"/>
                <w:strike/>
                <w:sz w:val="20"/>
                <w:szCs w:val="20"/>
              </w:rPr>
              <w:t xml:space="preserve">Adjuvant treatment of patients with HER2-positive early breast cancer who have residual disease after pre-operative systemic treatment that included HER2-targeted therapy </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i/>
                <w:sz w:val="20"/>
                <w:szCs w:val="20"/>
              </w:rPr>
              <w:t>Early HER2 positive breast cancer</w:t>
            </w:r>
            <w:r w:rsidRPr="000526BE">
              <w:rPr>
                <w:rFonts w:ascii="Arial Narrow" w:hAnsi="Arial Narrow" w:cstheme="minorHAnsi"/>
                <w:bCs/>
                <w:sz w:val="20"/>
                <w:szCs w:val="20"/>
              </w:rPr>
              <w:t xml:space="preserve"> [7754]</w:t>
            </w:r>
          </w:p>
        </w:tc>
      </w:tr>
      <w:tr w:rsidR="0002113D" w:rsidRPr="000526BE" w:rsidTr="00774842">
        <w:trPr>
          <w:gridAfter w:val="1"/>
          <w:wAfter w:w="16" w:type="pct"/>
          <w:cantSplit/>
          <w:trHeight w:val="147"/>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Treatment phase:</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 xml:space="preserve">Initial </w:t>
            </w:r>
            <w:r w:rsidRPr="000526BE">
              <w:rPr>
                <w:rFonts w:ascii="Arial Narrow" w:hAnsi="Arial Narrow" w:cstheme="minorHAnsi"/>
                <w:bCs/>
                <w:i/>
                <w:sz w:val="20"/>
                <w:szCs w:val="20"/>
              </w:rPr>
              <w:t xml:space="preserve">adjuvant </w:t>
            </w:r>
            <w:r w:rsidRPr="000526BE">
              <w:rPr>
                <w:rFonts w:ascii="Arial Narrow" w:hAnsi="Arial Narrow" w:cstheme="minorHAnsi"/>
                <w:bCs/>
                <w:sz w:val="20"/>
                <w:szCs w:val="20"/>
              </w:rPr>
              <w:t xml:space="preserve">treatment </w:t>
            </w:r>
            <w:r w:rsidRPr="000526BE">
              <w:rPr>
                <w:rFonts w:ascii="Arial Narrow" w:hAnsi="Arial Narrow" w:cstheme="minorHAnsi"/>
                <w:bCs/>
                <w:strike/>
                <w:sz w:val="20"/>
                <w:szCs w:val="20"/>
              </w:rPr>
              <w:t>(3 weekly regimen)</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Restriction:</w:t>
            </w:r>
          </w:p>
          <w:p w:rsidR="0002113D" w:rsidRPr="000526BE" w:rsidRDefault="0002113D" w:rsidP="00E67CB4">
            <w:pPr>
              <w:spacing w:before="20" w:after="20"/>
              <w:rPr>
                <w:rFonts w:ascii="Arial Narrow" w:hAnsi="Arial Narrow" w:cstheme="minorHAnsi"/>
                <w:b/>
                <w:bCs/>
                <w:sz w:val="20"/>
                <w:szCs w:val="20"/>
              </w:rPr>
            </w:pP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theme="minorHAnsi"/>
                <w:sz w:val="20"/>
                <w:szCs w:val="20"/>
              </w:rPr>
            </w:pPr>
            <w:r w:rsidRPr="000526BE">
              <w:rPr>
                <w:rFonts w:ascii="Arial Narrow" w:hAnsi="Arial Narrow" w:cstheme="minorHAnsi"/>
                <w:sz w:val="20"/>
                <w:szCs w:val="20"/>
              </w:rPr>
              <w:fldChar w:fldCharType="begin">
                <w:ffData>
                  <w:name w:val="Check1"/>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Restricted benefit</w:t>
            </w:r>
          </w:p>
          <w:p w:rsidR="0002113D" w:rsidRPr="000526BE" w:rsidRDefault="0002113D" w:rsidP="00E67CB4">
            <w:pPr>
              <w:rPr>
                <w:rFonts w:ascii="Arial Narrow" w:hAnsi="Arial Narrow" w:cstheme="minorHAnsi"/>
                <w:sz w:val="20"/>
                <w:szCs w:val="20"/>
              </w:rPr>
            </w:pPr>
            <w:r w:rsidRPr="000526BE">
              <w:rPr>
                <w:rFonts w:ascii="Arial Narrow" w:hAnsi="Arial Narrow" w:cstheme="minorHAnsi"/>
                <w:sz w:val="20"/>
                <w:szCs w:val="20"/>
              </w:rPr>
              <w:fldChar w:fldCharType="begin">
                <w:ffData>
                  <w:name w:val=""/>
                  <w:enabled/>
                  <w:calcOnExit w:val="0"/>
                  <w:checkBox>
                    <w:sizeAuto/>
                    <w:default w:val="1"/>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Authority Required – In Writing</w:t>
            </w:r>
          </w:p>
          <w:p w:rsidR="0002113D" w:rsidRPr="000526BE" w:rsidRDefault="0002113D" w:rsidP="00E67CB4">
            <w:pPr>
              <w:rPr>
                <w:rFonts w:ascii="Arial Narrow" w:hAnsi="Arial Narrow" w:cstheme="minorHAnsi"/>
                <w:sz w:val="20"/>
                <w:szCs w:val="20"/>
              </w:rPr>
            </w:pPr>
            <w:r w:rsidRPr="000526BE">
              <w:rPr>
                <w:rFonts w:ascii="Arial Narrow" w:hAnsi="Arial Narrow" w:cstheme="minorHAnsi"/>
                <w:sz w:val="20"/>
                <w:szCs w:val="20"/>
              </w:rPr>
              <w:fldChar w:fldCharType="begin">
                <w:ffData>
                  <w:name w:val="Check3"/>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Authority Required – Telephone/Electronic/Emergency</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sz w:val="20"/>
                <w:szCs w:val="20"/>
              </w:rPr>
              <w:fldChar w:fldCharType="begin">
                <w:ffData>
                  <w:name w:val="Check5"/>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Streamlined</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z w:val="20"/>
                <w:szCs w:val="20"/>
              </w:rPr>
            </w:pPr>
            <w:r w:rsidRPr="000526BE">
              <w:rPr>
                <w:rFonts w:ascii="Arial Narrow" w:hAnsi="Arial Narrow" w:cstheme="minorHAnsi"/>
                <w:b/>
                <w:bCs/>
                <w:sz w:val="20"/>
                <w:szCs w:val="20"/>
              </w:rPr>
              <w:t>Clinical criteria:</w:t>
            </w:r>
          </w:p>
          <w:p w:rsidR="0002113D" w:rsidRPr="000526BE" w:rsidRDefault="0002113D" w:rsidP="00E67CB4">
            <w:pPr>
              <w:spacing w:before="20" w:after="20"/>
              <w:rPr>
                <w:rFonts w:ascii="Arial Narrow" w:hAnsi="Arial Narrow" w:cstheme="minorHAnsi"/>
                <w:b/>
                <w:bCs/>
                <w:i/>
                <w:sz w:val="20"/>
                <w:szCs w:val="20"/>
              </w:rPr>
            </w:pPr>
          </w:p>
          <w:p w:rsidR="0002113D" w:rsidRPr="000526BE" w:rsidRDefault="0002113D" w:rsidP="00E67CB4">
            <w:pPr>
              <w:spacing w:before="20" w:after="20"/>
              <w:rPr>
                <w:rFonts w:ascii="Arial Narrow" w:hAnsi="Arial Narrow" w:cstheme="minorHAnsi"/>
                <w:b/>
                <w:bCs/>
                <w:sz w:val="20"/>
                <w:szCs w:val="20"/>
              </w:rPr>
            </w:pP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Patient must have evidence of human epidermal growth factor receptor 2 (HER2) gene amplification as demonstrated by in situ hybridisation (ISH) in the primary tumour [new concept; 14665 modified]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AND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i/>
                <w:sz w:val="20"/>
                <w:szCs w:val="20"/>
              </w:rPr>
              <w:t xml:space="preserve">Patient must have evidence of residual invasive cancer, as demonstrated by a pathology report, in the breast and/or axillary lymph nodes following completion of surgery </w:t>
            </w:r>
            <w:r w:rsidRPr="000526BE">
              <w:rPr>
                <w:rFonts w:ascii="Arial Narrow" w:hAnsi="Arial Narrow" w:cstheme="minorHAnsi"/>
                <w:bCs/>
                <w:sz w:val="20"/>
                <w:szCs w:val="20"/>
              </w:rPr>
              <w:t xml:space="preserve">[new concept] </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AND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i/>
                <w:sz w:val="20"/>
                <w:szCs w:val="20"/>
              </w:rPr>
              <w:t>Patient must have completed systemic neoadjuvant therapy that included trastuzumab and taxane-based chemotherapy prior to surgery</w:t>
            </w:r>
            <w:r w:rsidRPr="000526BE">
              <w:rPr>
                <w:rFonts w:ascii="Arial Narrow" w:hAnsi="Arial Narrow" w:cstheme="minorHAnsi"/>
                <w:bCs/>
                <w:sz w:val="20"/>
                <w:szCs w:val="20"/>
              </w:rPr>
              <w:t xml:space="preserve"> [new concept]</w:t>
            </w:r>
          </w:p>
          <w:p w:rsidR="0002113D" w:rsidRPr="000526BE" w:rsidRDefault="0002113D" w:rsidP="00E67CB4">
            <w:pPr>
              <w:spacing w:before="20" w:after="20"/>
              <w:rPr>
                <w:rFonts w:ascii="Arial Narrow" w:hAnsi="Arial Narrow" w:cstheme="minorHAnsi"/>
                <w:bCs/>
                <w:strike/>
                <w:sz w:val="20"/>
                <w:szCs w:val="20"/>
              </w:rPr>
            </w:pPr>
            <w:r w:rsidRPr="000526BE">
              <w:rPr>
                <w:rFonts w:ascii="Arial Narrow" w:hAnsi="Arial Narrow" w:cstheme="minorHAnsi"/>
                <w:bCs/>
                <w:strike/>
                <w:sz w:val="20"/>
                <w:szCs w:val="20"/>
              </w:rPr>
              <w:t>AND</w:t>
            </w:r>
          </w:p>
          <w:p w:rsidR="0002113D" w:rsidRPr="000526BE" w:rsidRDefault="0002113D" w:rsidP="00E67CB4">
            <w:pPr>
              <w:spacing w:before="20" w:after="20"/>
              <w:rPr>
                <w:rFonts w:ascii="Arial Narrow" w:hAnsi="Arial Narrow" w:cstheme="minorHAnsi"/>
                <w:bCs/>
                <w:strike/>
                <w:sz w:val="20"/>
                <w:szCs w:val="20"/>
              </w:rPr>
            </w:pPr>
            <w:r w:rsidRPr="000526BE">
              <w:rPr>
                <w:rFonts w:ascii="Arial Narrow" w:hAnsi="Arial Narrow" w:cstheme="minorHAnsi"/>
                <w:bCs/>
                <w:strike/>
                <w:sz w:val="20"/>
                <w:szCs w:val="20"/>
              </w:rPr>
              <w:t xml:space="preserve">The treatment must be as monotherapy [7910] </w:t>
            </w:r>
            <w:r w:rsidRPr="000526BE">
              <w:rPr>
                <w:rFonts w:ascii="Arial Narrow" w:hAnsi="Arial Narrow"/>
                <w:i/>
                <w:sz w:val="20"/>
                <w:szCs w:val="20"/>
              </w:rPr>
              <w:t>The treatment must be the sole PBS-subsidised anti-HER-2 therapy [15452]</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AND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The treatment must not be used in a patient with a left ventricular ejection fraction (LVEF) of less than 45% and/or with symptomatic heart failure [7745]</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AND</w:t>
            </w:r>
          </w:p>
          <w:p w:rsidR="0002113D" w:rsidRPr="00774842" w:rsidRDefault="0002113D" w:rsidP="00774842">
            <w:pPr>
              <w:spacing w:before="20" w:after="20"/>
              <w:rPr>
                <w:rFonts w:ascii="Arial Narrow" w:eastAsia="Calibri" w:hAnsi="Arial Narrow" w:cstheme="minorHAnsi"/>
                <w:bCs/>
                <w:sz w:val="20"/>
                <w:szCs w:val="20"/>
              </w:rPr>
            </w:pPr>
            <w:r w:rsidRPr="000526BE">
              <w:rPr>
                <w:rFonts w:ascii="Arial Narrow" w:eastAsia="Calibri" w:hAnsi="Arial Narrow" w:cstheme="minorHAnsi"/>
                <w:bCs/>
                <w:sz w:val="20"/>
                <w:szCs w:val="20"/>
              </w:rPr>
              <w:t xml:space="preserve">Patient must not receive more than 42 weeks (14 cycles) of combined PBS-subsidised and non-PBS-subsidised therapy </w:t>
            </w:r>
            <w:r w:rsidRPr="000526BE">
              <w:rPr>
                <w:rFonts w:ascii="Arial Narrow" w:eastAsia="Calibri" w:hAnsi="Arial Narrow" w:cstheme="minorHAnsi"/>
                <w:bCs/>
                <w:i/>
                <w:sz w:val="20"/>
                <w:szCs w:val="20"/>
              </w:rPr>
              <w:t xml:space="preserve">with this drug under both the initial and continuing adjuvant treatment restrictions combined </w:t>
            </w:r>
            <w:r w:rsidRPr="000526BE">
              <w:rPr>
                <w:rFonts w:ascii="Arial Narrow" w:eastAsia="Calibri" w:hAnsi="Arial Narrow" w:cstheme="minorHAnsi"/>
                <w:bCs/>
                <w:sz w:val="20"/>
                <w:szCs w:val="20"/>
              </w:rPr>
              <w:t>[new concept]</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strike/>
                <w:sz w:val="20"/>
                <w:szCs w:val="20"/>
              </w:rPr>
            </w:pPr>
            <w:r w:rsidRPr="000526BE">
              <w:rPr>
                <w:rFonts w:ascii="Arial Narrow" w:hAnsi="Arial Narrow" w:cstheme="minorHAnsi"/>
                <w:b/>
                <w:bCs/>
                <w:strike/>
                <w:sz w:val="20"/>
                <w:szCs w:val="20"/>
              </w:rPr>
              <w:lastRenderedPageBreak/>
              <w:t>Administrative Advice</w:t>
            </w:r>
          </w:p>
          <w:p w:rsidR="0002113D" w:rsidRPr="000526BE" w:rsidRDefault="0002113D" w:rsidP="00E67CB4">
            <w:pPr>
              <w:spacing w:before="20" w:after="20"/>
              <w:rPr>
                <w:rFonts w:ascii="Arial Narrow" w:hAnsi="Arial Narrow" w:cstheme="minorHAnsi"/>
                <w:b/>
                <w:bCs/>
                <w:i/>
                <w:sz w:val="20"/>
                <w:szCs w:val="20"/>
              </w:rPr>
            </w:pPr>
            <w:r w:rsidRPr="000526BE">
              <w:rPr>
                <w:rFonts w:ascii="Arial Narrow" w:hAnsi="Arial Narrow" w:cstheme="minorHAnsi"/>
                <w:b/>
                <w:bCs/>
                <w:i/>
                <w:sz w:val="20"/>
                <w:szCs w:val="20"/>
              </w:rPr>
              <w:t>Prescribing Instructions</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Authority applications for initial treatment must be made in writing and must include:</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(a) a completed authority prescription form; and</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(b) a completed Early Breast Cancer - PBS Supporting Information Form which includes:</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 xml:space="preserve">(i) a copy of the pathology report from an approved pathology authority confirming the presence of HER2 gene amplification by in situ hybridisation (ISH); and </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z w:val="20"/>
                <w:szCs w:val="20"/>
              </w:rPr>
              <w:t xml:space="preserve">(ii) a copy of the pathology report from an approved pathology authority demonstrating evidence of residual invasive carcinoma in the breast and/or axillary lymph nodes following completion of preoperative therapy </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trike/>
                <w:sz w:val="20"/>
                <w:szCs w:val="20"/>
              </w:rPr>
              <w:t>(iii) a copy of the signed patient acknowledgement form</w:t>
            </w:r>
            <w:r w:rsidRPr="000526BE">
              <w:rPr>
                <w:rFonts w:ascii="Arial Narrow" w:hAnsi="Arial Narrow" w:cstheme="minorHAnsi"/>
                <w:bCs/>
                <w:i/>
                <w:sz w:val="20"/>
                <w:szCs w:val="20"/>
              </w:rPr>
              <w:t>.</w:t>
            </w:r>
            <w:r w:rsidRPr="000526BE">
              <w:rPr>
                <w:rFonts w:ascii="Arial Narrow" w:hAnsi="Arial Narrow" w:cstheme="minorHAnsi"/>
                <w:bCs/>
                <w:sz w:val="20"/>
                <w:szCs w:val="20"/>
              </w:rPr>
              <w:t xml:space="preserve"> [new concept; 7750 modified; (iii) to be phased out]</w:t>
            </w:r>
          </w:p>
          <w:p w:rsidR="0002113D" w:rsidRPr="000526BE" w:rsidRDefault="0002113D" w:rsidP="00E67CB4">
            <w:pPr>
              <w:spacing w:before="20" w:after="20"/>
              <w:rPr>
                <w:rFonts w:ascii="Arial Narrow" w:hAnsi="Arial Narrow" w:cstheme="minorHAnsi"/>
                <w:bCs/>
                <w:sz w:val="20"/>
                <w:szCs w:val="20"/>
              </w:rPr>
            </w:pP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strike/>
                <w:sz w:val="20"/>
                <w:szCs w:val="20"/>
              </w:rPr>
              <w:t>Cardiac function must be tested by echocardiography (ECHO) or multigated acquisition (MUGA), prior to seeking the initial authority approval and then at 3 monthly intervals during treatment.</w:t>
            </w:r>
            <w:r w:rsidRPr="000526BE">
              <w:rPr>
                <w:rFonts w:ascii="Arial Narrow" w:hAnsi="Arial Narrow" w:cstheme="minorHAnsi"/>
                <w:bCs/>
                <w:sz w:val="20"/>
                <w:szCs w:val="20"/>
              </w:rPr>
              <w:t xml:space="preserve"> [18136]</w:t>
            </w:r>
          </w:p>
          <w:p w:rsidR="0002113D" w:rsidRPr="000526BE" w:rsidRDefault="0002113D" w:rsidP="00E67CB4">
            <w:pPr>
              <w:spacing w:before="20" w:after="20"/>
              <w:rPr>
                <w:rFonts w:ascii="Arial Narrow" w:hAnsi="Arial Narrow" w:cstheme="minorHAnsi"/>
                <w:bCs/>
                <w:sz w:val="20"/>
                <w:szCs w:val="20"/>
              </w:rPr>
            </w:pP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i/>
                <w:sz w:val="20"/>
                <w:szCs w:val="20"/>
              </w:rPr>
              <w:t>Cardiac function must be tested by echocardiography (ECHO) or multigated acquisition (MUGA), prior to seeking the initial authority approval.</w:t>
            </w:r>
            <w:r w:rsidRPr="000526BE">
              <w:rPr>
                <w:rFonts w:ascii="Arial Narrow" w:hAnsi="Arial Narrow" w:cstheme="minorHAnsi"/>
                <w:bCs/>
                <w:sz w:val="20"/>
                <w:szCs w:val="20"/>
              </w:rPr>
              <w:t xml:space="preserve"> [24537]</w:t>
            </w:r>
          </w:p>
        </w:tc>
      </w:tr>
      <w:tr w:rsidR="0002113D" w:rsidRPr="000526BE" w:rsidTr="00E67CB4">
        <w:trPr>
          <w:gridAfter w:val="1"/>
          <w:wAfter w:w="16" w:type="pct"/>
          <w:cantSplit/>
          <w:trHeight w:val="360"/>
        </w:trPr>
        <w:tc>
          <w:tcPr>
            <w:tcW w:w="1000"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
                <w:bCs/>
                <w:i/>
                <w:sz w:val="20"/>
                <w:szCs w:val="20"/>
              </w:rPr>
            </w:pPr>
            <w:r w:rsidRPr="000526BE">
              <w:rPr>
                <w:rFonts w:ascii="Arial Narrow" w:hAnsi="Arial Narrow" w:cstheme="minorHAnsi"/>
                <w:b/>
                <w:bCs/>
                <w:i/>
                <w:sz w:val="20"/>
                <w:szCs w:val="20"/>
              </w:rPr>
              <w:t>Administrative advice</w:t>
            </w:r>
          </w:p>
        </w:tc>
        <w:tc>
          <w:tcPr>
            <w:tcW w:w="3984" w:type="pct"/>
            <w:gridSpan w:val="6"/>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theme="minorHAnsi"/>
                <w:bCs/>
                <w:sz w:val="20"/>
                <w:szCs w:val="20"/>
                <w:u w:val="single"/>
              </w:rPr>
            </w:pPr>
            <w:r w:rsidRPr="000526BE">
              <w:rPr>
                <w:rFonts w:ascii="Arial Narrow" w:hAnsi="Arial Narrow" w:cstheme="minorHAnsi"/>
                <w:bCs/>
                <w:sz w:val="20"/>
                <w:szCs w:val="20"/>
                <w:u w:val="single"/>
              </w:rPr>
              <w:t>Note:</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 xml:space="preserve">Any queries concerning the arrangements to prescribe may be directed to the Department of Human Services on 1800 700 270 (hours of operation 8 a.m. to 5 p.m. EST Monday to Friday). </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Prescribing information (including Authority Application forms and other relevant documentation as applicable) is available on the Department of Human Services website at www.humanservices.gov.au</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 xml:space="preserve">Applications for authority to prescribe should be forwarded to: </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Department of Human Services</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 xml:space="preserve">Complex Drugs </w:t>
            </w:r>
          </w:p>
          <w:p w:rsidR="0002113D" w:rsidRPr="000526BE" w:rsidRDefault="0002113D" w:rsidP="00E67CB4">
            <w:pPr>
              <w:spacing w:before="20" w:after="20"/>
              <w:rPr>
                <w:rFonts w:ascii="Arial Narrow" w:hAnsi="Arial Narrow" w:cstheme="minorHAnsi"/>
                <w:bCs/>
                <w:i/>
                <w:sz w:val="20"/>
                <w:szCs w:val="20"/>
              </w:rPr>
            </w:pPr>
            <w:r w:rsidRPr="000526BE">
              <w:rPr>
                <w:rFonts w:ascii="Arial Narrow" w:hAnsi="Arial Narrow" w:cstheme="minorHAnsi"/>
                <w:bCs/>
                <w:i/>
                <w:sz w:val="20"/>
                <w:szCs w:val="20"/>
              </w:rPr>
              <w:t xml:space="preserve">Reply Paid 9826 </w:t>
            </w:r>
          </w:p>
          <w:p w:rsidR="0002113D" w:rsidRPr="000526BE" w:rsidRDefault="0002113D" w:rsidP="00E67CB4">
            <w:pPr>
              <w:spacing w:before="20" w:after="20"/>
              <w:rPr>
                <w:rFonts w:ascii="Arial Narrow" w:hAnsi="Arial Narrow" w:cstheme="minorHAnsi"/>
                <w:bCs/>
                <w:sz w:val="20"/>
                <w:szCs w:val="20"/>
              </w:rPr>
            </w:pPr>
            <w:r w:rsidRPr="000526BE">
              <w:rPr>
                <w:rFonts w:ascii="Arial Narrow" w:hAnsi="Arial Narrow" w:cstheme="minorHAnsi"/>
                <w:bCs/>
                <w:i/>
                <w:sz w:val="20"/>
                <w:szCs w:val="20"/>
              </w:rPr>
              <w:t>HOBART TAS 7001</w:t>
            </w:r>
            <w:r w:rsidRPr="000526BE">
              <w:rPr>
                <w:rFonts w:ascii="Arial Narrow" w:hAnsi="Arial Narrow" w:cstheme="minorHAnsi"/>
                <w:bCs/>
                <w:sz w:val="20"/>
                <w:szCs w:val="20"/>
              </w:rPr>
              <w:t xml:space="preserve"> [concept 7753; Complex Authority Required flag]</w:t>
            </w:r>
          </w:p>
        </w:tc>
      </w:tr>
    </w:tbl>
    <w:p w:rsidR="0002113D" w:rsidRPr="000526BE" w:rsidRDefault="0002113D" w:rsidP="0002113D">
      <w:pPr>
        <w:rPr>
          <w:rFonts w:ascii="Arial Narrow" w:hAnsi="Arial Narrow" w:cstheme="minorHAnsi"/>
          <w:color w:val="0070C0"/>
          <w:sz w:val="20"/>
          <w:szCs w:val="20"/>
          <w:u w:val="single"/>
        </w:rPr>
      </w:pPr>
    </w:p>
    <w:tbl>
      <w:tblPr>
        <w:tblW w:w="5000" w:type="pct"/>
        <w:tblLook w:val="0000" w:firstRow="0" w:lastRow="0" w:firstColumn="0" w:lastColumn="0" w:noHBand="0" w:noVBand="0"/>
      </w:tblPr>
      <w:tblGrid>
        <w:gridCol w:w="1809"/>
        <w:gridCol w:w="7208"/>
      </w:tblGrid>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t>Category/Program</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jc w:val="left"/>
              <w:rPr>
                <w:rFonts w:ascii="Arial Narrow" w:hAnsi="Arial Narrow" w:cs="Calibri"/>
                <w:bCs/>
                <w:sz w:val="20"/>
                <w:szCs w:val="20"/>
              </w:rPr>
            </w:pPr>
            <w:r w:rsidRPr="000526BE">
              <w:rPr>
                <w:rFonts w:ascii="Arial Narrow" w:hAnsi="Arial Narrow" w:cs="Calibri"/>
                <w:bCs/>
                <w:sz w:val="20"/>
                <w:szCs w:val="20"/>
              </w:rPr>
              <w:t>Section 100 – Efficient Funding of Chemotherapy</w:t>
            </w:r>
            <w:r w:rsidRPr="000526BE">
              <w:rPr>
                <w:rFonts w:ascii="Arial Narrow" w:hAnsi="Arial Narrow" w:cs="Calibri"/>
                <w:bCs/>
                <w:sz w:val="20"/>
                <w:szCs w:val="20"/>
              </w:rPr>
              <w:br/>
              <w:t>Private Hospital/Private Clinic Authority Required</w:t>
            </w:r>
          </w:p>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t>Public Hospital Authority Required</w:t>
            </w:r>
          </w:p>
        </w:tc>
      </w:tr>
      <w:tr w:rsidR="0002113D" w:rsidRPr="000526BE" w:rsidTr="00EF283B">
        <w:trPr>
          <w:cantSplit/>
          <w:trHeight w:val="183"/>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EF283B" w:rsidP="00E67CB4">
            <w:pPr>
              <w:rPr>
                <w:rFonts w:ascii="Arial Narrow" w:hAnsi="Arial Narrow" w:cstheme="minorHAnsi"/>
                <w:b/>
                <w:sz w:val="20"/>
                <w:szCs w:val="20"/>
              </w:rPr>
            </w:pPr>
            <w:r>
              <w:rPr>
                <w:rFonts w:ascii="Arial Narrow" w:hAnsi="Arial Narrow" w:cstheme="minorHAnsi"/>
                <w:b/>
                <w:sz w:val="20"/>
                <w:szCs w:val="20"/>
              </w:rPr>
              <w:t>Prescriber type:</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theme="minorHAnsi"/>
                <w:sz w:val="20"/>
                <w:szCs w:val="20"/>
              </w:rPr>
            </w:pPr>
            <w:r w:rsidRPr="000526BE">
              <w:rPr>
                <w:rFonts w:ascii="Arial Narrow" w:hAnsi="Arial Narrow" w:cstheme="minorHAnsi"/>
                <w:sz w:val="20"/>
                <w:szCs w:val="20"/>
              </w:rPr>
              <w:fldChar w:fldCharType="begin">
                <w:ffData>
                  <w:name w:val="Check1"/>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Dental  </w:t>
            </w:r>
            <w:r w:rsidRPr="000526BE">
              <w:rPr>
                <w:rFonts w:ascii="Arial Narrow" w:hAnsi="Arial Narrow" w:cstheme="minorHAnsi"/>
                <w:sz w:val="20"/>
                <w:szCs w:val="20"/>
              </w:rPr>
              <w:fldChar w:fldCharType="begin">
                <w:ffData>
                  <w:name w:val=""/>
                  <w:enabled/>
                  <w:calcOnExit w:val="0"/>
                  <w:checkBox>
                    <w:sizeAuto/>
                    <w:default w:val="1"/>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Medical Practitioners  </w:t>
            </w:r>
            <w:r w:rsidRPr="000526BE">
              <w:rPr>
                <w:rFonts w:ascii="Arial Narrow" w:hAnsi="Arial Narrow" w:cstheme="minorHAnsi"/>
                <w:sz w:val="20"/>
                <w:szCs w:val="20"/>
              </w:rPr>
              <w:fldChar w:fldCharType="begin">
                <w:ffData>
                  <w:name w:val="Check3"/>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Nurse practitioners  </w:t>
            </w:r>
            <w:r w:rsidRPr="000526BE">
              <w:rPr>
                <w:rFonts w:ascii="Arial Narrow" w:hAnsi="Arial Narrow" w:cstheme="minorHAnsi"/>
                <w:sz w:val="20"/>
                <w:szCs w:val="20"/>
              </w:rPr>
              <w:fldChar w:fldCharType="begin">
                <w:ffData>
                  <w:name w:val=""/>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 xml:space="preserve">Optometrists </w:t>
            </w:r>
            <w:r w:rsidRPr="000526BE">
              <w:rPr>
                <w:rFonts w:ascii="Arial Narrow" w:hAnsi="Arial Narrow" w:cstheme="minorHAnsi"/>
                <w:sz w:val="20"/>
                <w:szCs w:val="20"/>
              </w:rPr>
              <w:fldChar w:fldCharType="begin">
                <w:ffData>
                  <w:name w:val="Check5"/>
                  <w:enabled/>
                  <w:calcOnExit w:val="0"/>
                  <w:checkBox>
                    <w:sizeAuto/>
                    <w:default w:val="0"/>
                  </w:checkBox>
                </w:ffData>
              </w:fldChar>
            </w:r>
            <w:r w:rsidRPr="000526BE">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0526BE">
              <w:rPr>
                <w:rFonts w:ascii="Arial Narrow" w:hAnsi="Arial Narrow" w:cstheme="minorHAnsi"/>
                <w:sz w:val="20"/>
                <w:szCs w:val="20"/>
              </w:rPr>
              <w:fldChar w:fldCharType="end"/>
            </w:r>
            <w:r w:rsidRPr="000526BE">
              <w:rPr>
                <w:rFonts w:ascii="Arial Narrow" w:hAnsi="Arial Narrow" w:cstheme="minorHAnsi"/>
                <w:sz w:val="20"/>
                <w:szCs w:val="20"/>
              </w:rPr>
              <w:t>Midwives</w:t>
            </w:r>
          </w:p>
        </w:tc>
      </w:tr>
      <w:tr w:rsidR="0002113D" w:rsidRPr="000526BE" w:rsidTr="00EF283B">
        <w:trPr>
          <w:cantSplit/>
          <w:trHeight w:val="87"/>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t>Severity</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t>Early</w:t>
            </w:r>
          </w:p>
        </w:tc>
      </w:tr>
      <w:tr w:rsidR="0002113D" w:rsidRPr="000526BE" w:rsidTr="00EF283B">
        <w:trPr>
          <w:cantSplit/>
          <w:trHeight w:val="91"/>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t>Condition:</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t>HER2 positive early breast cancer [14765]</w:t>
            </w:r>
          </w:p>
        </w:tc>
      </w:tr>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t>Indication:</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Adjuvant treatment of patients with HER2-positive early breast cancer who have residual disease after pre-operative systemic treatment that included HER2-targeted therapy</w:t>
            </w:r>
          </w:p>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i/>
                <w:sz w:val="20"/>
                <w:szCs w:val="20"/>
              </w:rPr>
              <w:t>Early HER2 positive breast cancer</w:t>
            </w:r>
            <w:r w:rsidRPr="000526BE">
              <w:rPr>
                <w:rFonts w:ascii="Arial Narrow" w:hAnsi="Arial Narrow" w:cs="Calibri"/>
                <w:bCs/>
                <w:sz w:val="20"/>
                <w:szCs w:val="20"/>
              </w:rPr>
              <w:t xml:space="preserve"> [7754]</w:t>
            </w:r>
          </w:p>
        </w:tc>
      </w:tr>
      <w:tr w:rsidR="0002113D" w:rsidRPr="000526BE" w:rsidTr="00EF283B">
        <w:trPr>
          <w:cantSplit/>
          <w:trHeight w:val="64"/>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EF283B" w:rsidP="00E67CB4">
            <w:pPr>
              <w:spacing w:before="20" w:after="20"/>
              <w:rPr>
                <w:rFonts w:ascii="Arial Narrow" w:hAnsi="Arial Narrow" w:cs="Calibri"/>
                <w:b/>
                <w:bCs/>
                <w:sz w:val="20"/>
                <w:szCs w:val="20"/>
              </w:rPr>
            </w:pPr>
            <w:r>
              <w:rPr>
                <w:rFonts w:ascii="Arial Narrow" w:hAnsi="Arial Narrow" w:cs="Calibri"/>
                <w:b/>
                <w:bCs/>
                <w:sz w:val="20"/>
                <w:szCs w:val="20"/>
              </w:rPr>
              <w:t>Treatment phase:</w:t>
            </w: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t>Continuing</w:t>
            </w:r>
            <w:r w:rsidRPr="000526BE">
              <w:rPr>
                <w:rFonts w:ascii="Arial Narrow" w:hAnsi="Arial Narrow" w:cs="Calibri"/>
                <w:bCs/>
                <w:i/>
                <w:sz w:val="20"/>
                <w:szCs w:val="20"/>
              </w:rPr>
              <w:t xml:space="preserve"> adjuvant </w:t>
            </w:r>
            <w:r w:rsidRPr="000526BE">
              <w:rPr>
                <w:rFonts w:ascii="Arial Narrow" w:hAnsi="Arial Narrow" w:cs="Calibri"/>
                <w:bCs/>
                <w:sz w:val="20"/>
                <w:szCs w:val="20"/>
              </w:rPr>
              <w:t xml:space="preserve">treatment </w:t>
            </w:r>
            <w:r w:rsidRPr="000526BE">
              <w:rPr>
                <w:rFonts w:ascii="Arial Narrow" w:hAnsi="Arial Narrow" w:cs="Calibri"/>
                <w:bCs/>
                <w:strike/>
                <w:sz w:val="20"/>
                <w:szCs w:val="20"/>
              </w:rPr>
              <w:t>(3 weekly regimen)</w:t>
            </w:r>
          </w:p>
        </w:tc>
      </w:tr>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t>Restriction Level / Method:</w:t>
            </w:r>
          </w:p>
          <w:p w:rsidR="0002113D" w:rsidRPr="000526BE" w:rsidRDefault="0002113D" w:rsidP="00E67CB4">
            <w:pPr>
              <w:spacing w:before="20" w:after="20"/>
              <w:rPr>
                <w:rFonts w:ascii="Arial Narrow" w:hAnsi="Arial Narrow" w:cs="Calibri"/>
                <w:b/>
                <w:bCs/>
                <w:sz w:val="20"/>
                <w:szCs w:val="20"/>
              </w:rPr>
            </w:pP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fldChar w:fldCharType="begin">
                <w:ffData>
                  <w:name w:val="Check1"/>
                  <w:enabled/>
                  <w:calcOnExit w:val="0"/>
                  <w:checkBox>
                    <w:sizeAuto/>
                    <w:default w:val="0"/>
                  </w:checkBox>
                </w:ffData>
              </w:fldChar>
            </w:r>
            <w:r w:rsidRPr="000526BE">
              <w:rPr>
                <w:rFonts w:ascii="Arial Narrow" w:hAnsi="Arial Narrow" w:cs="Calibri"/>
                <w:bCs/>
                <w:sz w:val="20"/>
                <w:szCs w:val="20"/>
              </w:rPr>
              <w:instrText xml:space="preserve"> FORMCHECKBOX </w:instrText>
            </w:r>
            <w:r w:rsidR="00756F83">
              <w:rPr>
                <w:rFonts w:ascii="Arial Narrow" w:hAnsi="Arial Narrow" w:cs="Calibri"/>
                <w:bCs/>
                <w:sz w:val="20"/>
                <w:szCs w:val="20"/>
              </w:rPr>
            </w:r>
            <w:r w:rsidR="00756F83">
              <w:rPr>
                <w:rFonts w:ascii="Arial Narrow" w:hAnsi="Arial Narrow" w:cs="Calibri"/>
                <w:bCs/>
                <w:sz w:val="20"/>
                <w:szCs w:val="20"/>
              </w:rPr>
              <w:fldChar w:fldCharType="separate"/>
            </w:r>
            <w:r w:rsidRPr="000526BE">
              <w:rPr>
                <w:rFonts w:ascii="Arial Narrow" w:hAnsi="Arial Narrow" w:cs="Calibri"/>
                <w:bCs/>
                <w:sz w:val="20"/>
                <w:szCs w:val="20"/>
              </w:rPr>
              <w:fldChar w:fldCharType="end"/>
            </w:r>
            <w:r w:rsidRPr="000526BE">
              <w:rPr>
                <w:rFonts w:ascii="Arial Narrow" w:hAnsi="Arial Narrow" w:cs="Calibri"/>
                <w:bCs/>
                <w:sz w:val="20"/>
                <w:szCs w:val="20"/>
              </w:rPr>
              <w:t>Restricted benefit</w:t>
            </w:r>
          </w:p>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fldChar w:fldCharType="begin">
                <w:ffData>
                  <w:name w:val=""/>
                  <w:enabled/>
                  <w:calcOnExit w:val="0"/>
                  <w:checkBox>
                    <w:sizeAuto/>
                    <w:default w:val="0"/>
                  </w:checkBox>
                </w:ffData>
              </w:fldChar>
            </w:r>
            <w:r w:rsidRPr="000526BE">
              <w:rPr>
                <w:rFonts w:ascii="Arial Narrow" w:hAnsi="Arial Narrow" w:cs="Calibri"/>
                <w:bCs/>
                <w:sz w:val="20"/>
                <w:szCs w:val="20"/>
              </w:rPr>
              <w:instrText xml:space="preserve"> FORMCHECKBOX </w:instrText>
            </w:r>
            <w:r w:rsidR="00756F83">
              <w:rPr>
                <w:rFonts w:ascii="Arial Narrow" w:hAnsi="Arial Narrow" w:cs="Calibri"/>
                <w:bCs/>
                <w:sz w:val="20"/>
                <w:szCs w:val="20"/>
              </w:rPr>
            </w:r>
            <w:r w:rsidR="00756F83">
              <w:rPr>
                <w:rFonts w:ascii="Arial Narrow" w:hAnsi="Arial Narrow" w:cs="Calibri"/>
                <w:bCs/>
                <w:sz w:val="20"/>
                <w:szCs w:val="20"/>
              </w:rPr>
              <w:fldChar w:fldCharType="separate"/>
            </w:r>
            <w:r w:rsidRPr="000526BE">
              <w:rPr>
                <w:rFonts w:ascii="Arial Narrow" w:hAnsi="Arial Narrow" w:cs="Calibri"/>
                <w:bCs/>
                <w:sz w:val="20"/>
                <w:szCs w:val="20"/>
              </w:rPr>
              <w:fldChar w:fldCharType="end"/>
            </w:r>
            <w:r w:rsidRPr="000526BE">
              <w:rPr>
                <w:rFonts w:ascii="Arial Narrow" w:hAnsi="Arial Narrow" w:cs="Calibri"/>
                <w:bCs/>
                <w:sz w:val="20"/>
                <w:szCs w:val="20"/>
              </w:rPr>
              <w:t>Authority Required – In Writing</w:t>
            </w:r>
          </w:p>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z w:val="20"/>
                <w:szCs w:val="20"/>
              </w:rPr>
              <w:fldChar w:fldCharType="begin">
                <w:ffData>
                  <w:name w:val="Check3"/>
                  <w:enabled/>
                  <w:calcOnExit w:val="0"/>
                  <w:checkBox>
                    <w:sizeAuto/>
                    <w:default w:val="1"/>
                  </w:checkBox>
                </w:ffData>
              </w:fldChar>
            </w:r>
            <w:r w:rsidRPr="000526BE">
              <w:rPr>
                <w:rFonts w:ascii="Arial Narrow" w:hAnsi="Arial Narrow" w:cs="Calibri"/>
                <w:bCs/>
                <w:sz w:val="20"/>
                <w:szCs w:val="20"/>
              </w:rPr>
              <w:instrText xml:space="preserve"> FORMCHECKBOX </w:instrText>
            </w:r>
            <w:r w:rsidR="00756F83">
              <w:rPr>
                <w:rFonts w:ascii="Arial Narrow" w:hAnsi="Arial Narrow" w:cs="Calibri"/>
                <w:bCs/>
                <w:sz w:val="20"/>
                <w:szCs w:val="20"/>
              </w:rPr>
            </w:r>
            <w:r w:rsidR="00756F83">
              <w:rPr>
                <w:rFonts w:ascii="Arial Narrow" w:hAnsi="Arial Narrow" w:cs="Calibri"/>
                <w:bCs/>
                <w:sz w:val="20"/>
                <w:szCs w:val="20"/>
              </w:rPr>
              <w:fldChar w:fldCharType="separate"/>
            </w:r>
            <w:r w:rsidRPr="000526BE">
              <w:rPr>
                <w:rFonts w:ascii="Arial Narrow" w:hAnsi="Arial Narrow" w:cs="Calibri"/>
                <w:bCs/>
                <w:sz w:val="20"/>
                <w:szCs w:val="20"/>
              </w:rPr>
              <w:fldChar w:fldCharType="end"/>
            </w:r>
            <w:r w:rsidRPr="000526BE">
              <w:rPr>
                <w:rFonts w:ascii="Arial Narrow" w:hAnsi="Arial Narrow" w:cs="Calibri"/>
                <w:bCs/>
                <w:i/>
                <w:sz w:val="20"/>
                <w:szCs w:val="20"/>
              </w:rPr>
              <w:t>Authority Required – Telephone/Electronic/Emergency</w:t>
            </w:r>
          </w:p>
          <w:p w:rsidR="0002113D" w:rsidRPr="000526BE" w:rsidRDefault="0002113D" w:rsidP="00E67CB4">
            <w:pPr>
              <w:spacing w:before="20" w:after="20"/>
              <w:rPr>
                <w:rFonts w:ascii="Arial Narrow" w:hAnsi="Arial Narrow" w:cs="Calibri"/>
                <w:bCs/>
                <w:i/>
                <w:sz w:val="20"/>
                <w:szCs w:val="20"/>
              </w:rPr>
            </w:pPr>
            <w:r w:rsidRPr="000526BE">
              <w:rPr>
                <w:rFonts w:ascii="Arial Narrow" w:hAnsi="Arial Narrow" w:cs="Calibri"/>
                <w:bCs/>
                <w:strike/>
                <w:sz w:val="20"/>
                <w:szCs w:val="20"/>
              </w:rPr>
              <w:fldChar w:fldCharType="begin">
                <w:ffData>
                  <w:name w:val="Check5"/>
                  <w:enabled/>
                  <w:calcOnExit w:val="0"/>
                  <w:checkBox>
                    <w:sizeAuto/>
                    <w:default w:val="1"/>
                  </w:checkBox>
                </w:ffData>
              </w:fldChar>
            </w:r>
            <w:r w:rsidRPr="000526BE">
              <w:rPr>
                <w:rFonts w:ascii="Arial Narrow" w:hAnsi="Arial Narrow" w:cs="Calibri"/>
                <w:bCs/>
                <w:strike/>
                <w:sz w:val="20"/>
                <w:szCs w:val="20"/>
              </w:rPr>
              <w:instrText xml:space="preserve"> FORMCHECKBOX </w:instrText>
            </w:r>
            <w:r w:rsidR="00756F83">
              <w:rPr>
                <w:rFonts w:ascii="Arial Narrow" w:hAnsi="Arial Narrow" w:cs="Calibri"/>
                <w:bCs/>
                <w:strike/>
                <w:sz w:val="20"/>
                <w:szCs w:val="20"/>
              </w:rPr>
            </w:r>
            <w:r w:rsidR="00756F83">
              <w:rPr>
                <w:rFonts w:ascii="Arial Narrow" w:hAnsi="Arial Narrow" w:cs="Calibri"/>
                <w:bCs/>
                <w:strike/>
                <w:sz w:val="20"/>
                <w:szCs w:val="20"/>
              </w:rPr>
              <w:fldChar w:fldCharType="separate"/>
            </w:r>
            <w:r w:rsidRPr="000526BE">
              <w:rPr>
                <w:rFonts w:ascii="Arial Narrow" w:hAnsi="Arial Narrow" w:cs="Calibri"/>
                <w:bCs/>
                <w:strike/>
                <w:sz w:val="20"/>
                <w:szCs w:val="20"/>
              </w:rPr>
              <w:fldChar w:fldCharType="end"/>
            </w:r>
            <w:r w:rsidRPr="000526BE">
              <w:rPr>
                <w:rFonts w:ascii="Arial Narrow" w:hAnsi="Arial Narrow" w:cs="Calibri"/>
                <w:bCs/>
                <w:strike/>
                <w:sz w:val="20"/>
                <w:szCs w:val="20"/>
              </w:rPr>
              <w:t>Streamlined</w:t>
            </w:r>
          </w:p>
        </w:tc>
      </w:tr>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z w:val="20"/>
                <w:szCs w:val="20"/>
              </w:rPr>
            </w:pPr>
            <w:r w:rsidRPr="000526BE">
              <w:rPr>
                <w:rFonts w:ascii="Arial Narrow" w:hAnsi="Arial Narrow" w:cs="Calibri"/>
                <w:b/>
                <w:bCs/>
                <w:sz w:val="20"/>
                <w:szCs w:val="20"/>
              </w:rPr>
              <w:lastRenderedPageBreak/>
              <w:t>Clinical criteria:</w:t>
            </w:r>
          </w:p>
          <w:p w:rsidR="0002113D" w:rsidRPr="000526BE" w:rsidRDefault="0002113D" w:rsidP="00E67CB4">
            <w:pPr>
              <w:spacing w:before="20" w:after="20"/>
              <w:rPr>
                <w:rFonts w:ascii="Arial Narrow" w:hAnsi="Arial Narrow" w:cs="Calibri"/>
                <w:b/>
                <w:bCs/>
                <w:i/>
                <w:sz w:val="20"/>
                <w:szCs w:val="20"/>
              </w:rPr>
            </w:pPr>
          </w:p>
          <w:p w:rsidR="0002113D" w:rsidRPr="000526BE" w:rsidRDefault="0002113D" w:rsidP="00E67CB4">
            <w:pPr>
              <w:spacing w:before="20" w:after="20"/>
              <w:rPr>
                <w:rFonts w:ascii="Arial Narrow" w:hAnsi="Arial Narrow" w:cs="Calibri"/>
                <w:b/>
                <w:bCs/>
                <w:sz w:val="20"/>
                <w:szCs w:val="20"/>
              </w:rPr>
            </w:pP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rPr>
                <w:rFonts w:ascii="Arial Narrow" w:hAnsi="Arial Narrow" w:cs="Calibri"/>
                <w:sz w:val="20"/>
                <w:szCs w:val="20"/>
              </w:rPr>
            </w:pPr>
            <w:r w:rsidRPr="000526BE">
              <w:rPr>
                <w:rFonts w:ascii="Arial Narrow" w:hAnsi="Arial Narrow" w:cs="Calibri"/>
                <w:sz w:val="20"/>
                <w:szCs w:val="20"/>
              </w:rPr>
              <w:t>Patient must have previously been issued with an authority prescription for this drug for this condition [19469]</w:t>
            </w:r>
          </w:p>
          <w:p w:rsidR="0002113D" w:rsidRPr="000526BE" w:rsidRDefault="0002113D" w:rsidP="00E67CB4">
            <w:pPr>
              <w:rPr>
                <w:rFonts w:ascii="Arial Narrow" w:hAnsi="Arial Narrow" w:cs="Calibri"/>
                <w:strike/>
                <w:sz w:val="20"/>
                <w:szCs w:val="20"/>
              </w:rPr>
            </w:pPr>
            <w:r w:rsidRPr="000526BE">
              <w:rPr>
                <w:rFonts w:ascii="Arial Narrow" w:hAnsi="Arial Narrow" w:cs="Calibri"/>
                <w:strike/>
                <w:sz w:val="20"/>
                <w:szCs w:val="20"/>
              </w:rPr>
              <w:t>AND</w:t>
            </w:r>
          </w:p>
          <w:p w:rsidR="0002113D" w:rsidRPr="000526BE" w:rsidRDefault="0002113D" w:rsidP="00E67CB4">
            <w:pPr>
              <w:rPr>
                <w:rFonts w:ascii="Arial Narrow" w:hAnsi="Arial Narrow" w:cs="Calibri"/>
                <w:strike/>
                <w:sz w:val="20"/>
                <w:szCs w:val="20"/>
              </w:rPr>
            </w:pPr>
            <w:r w:rsidRPr="000526BE">
              <w:rPr>
                <w:rFonts w:ascii="Arial Narrow" w:hAnsi="Arial Narrow" w:cs="Calibri"/>
                <w:strike/>
                <w:sz w:val="20"/>
                <w:szCs w:val="20"/>
              </w:rPr>
              <w:t>The treatment must be as monotherapy [7910]</w:t>
            </w:r>
            <w:r w:rsidRPr="000526BE">
              <w:rPr>
                <w:rFonts w:ascii="Arial Narrow" w:hAnsi="Arial Narrow"/>
                <w:sz w:val="20"/>
                <w:szCs w:val="20"/>
              </w:rPr>
              <w:t xml:space="preserve"> </w:t>
            </w:r>
            <w:r w:rsidRPr="000526BE">
              <w:rPr>
                <w:rFonts w:ascii="Arial Narrow" w:hAnsi="Arial Narrow"/>
                <w:i/>
                <w:sz w:val="20"/>
                <w:szCs w:val="20"/>
              </w:rPr>
              <w:t>The treatment must be the sole PBS-subsidised anti-HER-2 therapy [15452]</w:t>
            </w:r>
          </w:p>
          <w:p w:rsidR="0002113D" w:rsidRPr="000526BE" w:rsidRDefault="0002113D" w:rsidP="00E67CB4">
            <w:pPr>
              <w:rPr>
                <w:rFonts w:ascii="Arial Narrow" w:hAnsi="Arial Narrow" w:cs="Calibri"/>
                <w:sz w:val="20"/>
                <w:szCs w:val="20"/>
              </w:rPr>
            </w:pPr>
            <w:r w:rsidRPr="000526BE">
              <w:rPr>
                <w:rFonts w:ascii="Arial Narrow" w:hAnsi="Arial Narrow" w:cs="Calibri"/>
                <w:sz w:val="20"/>
                <w:szCs w:val="20"/>
              </w:rPr>
              <w:t>AND</w:t>
            </w:r>
          </w:p>
          <w:p w:rsidR="0002113D" w:rsidRPr="000526BE" w:rsidRDefault="0002113D" w:rsidP="00E67CB4">
            <w:pPr>
              <w:rPr>
                <w:rFonts w:ascii="Arial Narrow" w:hAnsi="Arial Narrow" w:cs="Calibri"/>
                <w:sz w:val="20"/>
                <w:szCs w:val="20"/>
              </w:rPr>
            </w:pPr>
            <w:r w:rsidRPr="000526BE">
              <w:rPr>
                <w:rFonts w:ascii="Arial Narrow" w:hAnsi="Arial Narrow" w:cs="Calibri"/>
                <w:sz w:val="20"/>
                <w:szCs w:val="20"/>
              </w:rPr>
              <w:t>The treatment must not be used in a patient with a left ventricular ejection fraction (LVEF) of less than 45% and/or with symptomatic heart failure [7745]</w:t>
            </w:r>
          </w:p>
          <w:p w:rsidR="0002113D" w:rsidRPr="000526BE" w:rsidRDefault="0002113D" w:rsidP="00E67CB4">
            <w:pPr>
              <w:rPr>
                <w:rFonts w:ascii="Arial Narrow" w:hAnsi="Arial Narrow" w:cs="Calibri"/>
                <w:sz w:val="20"/>
                <w:szCs w:val="20"/>
              </w:rPr>
            </w:pPr>
            <w:r w:rsidRPr="000526BE">
              <w:rPr>
                <w:rFonts w:ascii="Arial Narrow" w:hAnsi="Arial Narrow" w:cs="Calibri"/>
                <w:sz w:val="20"/>
                <w:szCs w:val="20"/>
              </w:rPr>
              <w:t>AND</w:t>
            </w:r>
          </w:p>
          <w:p w:rsidR="0002113D" w:rsidRPr="00EF283B" w:rsidRDefault="0002113D" w:rsidP="00EF283B">
            <w:pPr>
              <w:rPr>
                <w:rFonts w:ascii="Arial Narrow" w:hAnsi="Arial Narrow" w:cs="Calibri"/>
                <w:sz w:val="20"/>
                <w:szCs w:val="20"/>
              </w:rPr>
            </w:pPr>
            <w:r w:rsidRPr="000526BE">
              <w:rPr>
                <w:rFonts w:ascii="Arial Narrow" w:hAnsi="Arial Narrow" w:cs="Calibri"/>
                <w:sz w:val="20"/>
                <w:szCs w:val="20"/>
              </w:rPr>
              <w:t xml:space="preserve">Patient must not receive more than 42 weeks </w:t>
            </w:r>
            <w:r w:rsidRPr="000526BE">
              <w:rPr>
                <w:rFonts w:ascii="Arial Narrow" w:hAnsi="Arial Narrow" w:cs="Calibri"/>
                <w:i/>
                <w:sz w:val="20"/>
                <w:szCs w:val="20"/>
              </w:rPr>
              <w:t>(14 cycles)</w:t>
            </w:r>
            <w:r w:rsidRPr="000526BE">
              <w:rPr>
                <w:rFonts w:ascii="Arial Narrow" w:hAnsi="Arial Narrow" w:cs="Calibri"/>
                <w:sz w:val="20"/>
                <w:szCs w:val="20"/>
              </w:rPr>
              <w:t xml:space="preserve"> of combined PBS-subsidised and non-PBS-subsidised therapy </w:t>
            </w:r>
            <w:r w:rsidRPr="000526BE">
              <w:rPr>
                <w:rFonts w:ascii="Arial Narrow" w:hAnsi="Arial Narrow" w:cs="Calibri"/>
                <w:i/>
                <w:sz w:val="20"/>
                <w:szCs w:val="20"/>
              </w:rPr>
              <w:t>with this drug under both the initial and continuing adjuvant treatment restrictions combined</w:t>
            </w:r>
            <w:r w:rsidR="00EF283B">
              <w:rPr>
                <w:rFonts w:ascii="Arial Narrow" w:hAnsi="Arial Narrow" w:cs="Calibri"/>
                <w:sz w:val="20"/>
                <w:szCs w:val="20"/>
              </w:rPr>
              <w:t xml:space="preserve"> [new concept]</w:t>
            </w:r>
          </w:p>
        </w:tc>
      </w:tr>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strike/>
                <w:sz w:val="20"/>
                <w:szCs w:val="20"/>
              </w:rPr>
            </w:pPr>
            <w:r w:rsidRPr="000526BE">
              <w:rPr>
                <w:rFonts w:ascii="Arial Narrow" w:hAnsi="Arial Narrow" w:cs="Calibri"/>
                <w:b/>
                <w:bCs/>
                <w:strike/>
                <w:sz w:val="20"/>
                <w:szCs w:val="20"/>
              </w:rPr>
              <w:t>Administrative Advice</w:t>
            </w:r>
          </w:p>
          <w:p w:rsidR="0002113D" w:rsidRPr="000526BE" w:rsidRDefault="0002113D" w:rsidP="00E67CB4">
            <w:pPr>
              <w:spacing w:before="20" w:after="20"/>
              <w:rPr>
                <w:rFonts w:ascii="Arial Narrow" w:hAnsi="Arial Narrow" w:cs="Calibri"/>
                <w:b/>
                <w:bCs/>
                <w:i/>
                <w:sz w:val="20"/>
                <w:szCs w:val="20"/>
              </w:rPr>
            </w:pPr>
            <w:r w:rsidRPr="000526BE">
              <w:rPr>
                <w:rFonts w:ascii="Arial Narrow" w:hAnsi="Arial Narrow" w:cs="Calibri"/>
                <w:b/>
                <w:bCs/>
                <w:i/>
                <w:sz w:val="20"/>
                <w:szCs w:val="20"/>
              </w:rPr>
              <w:t>Prescribing instructions</w:t>
            </w:r>
          </w:p>
          <w:p w:rsidR="0002113D" w:rsidRPr="000526BE" w:rsidRDefault="0002113D" w:rsidP="00E67CB4">
            <w:pPr>
              <w:spacing w:before="20" w:after="20"/>
              <w:rPr>
                <w:rFonts w:ascii="Arial Narrow" w:hAnsi="Arial Narrow" w:cs="Calibri"/>
                <w:b/>
                <w:bCs/>
                <w:i/>
                <w:sz w:val="20"/>
                <w:szCs w:val="20"/>
              </w:rPr>
            </w:pP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Authority applications for initial treatment must be made in writing and must include:</w:t>
            </w:r>
          </w:p>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(a) a completed authority prescription form; and</w:t>
            </w:r>
          </w:p>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(b) a completed Early Breast Cancer - PBS Supporting Information Form which includes:</w:t>
            </w:r>
          </w:p>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 xml:space="preserve">(i) a copy of the pathology report from an approved pathology authority confirming the presence of HER2 gene amplification by in situ hybridisation (ISH); and </w:t>
            </w:r>
          </w:p>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 xml:space="preserve">(ii) a copy of the pathology report from an approved pathology authority demonstrating evidence of residual invasive carcinoma in the breast and/or axillary lymph nodes following completion of preoperative therapy </w:t>
            </w:r>
          </w:p>
          <w:p w:rsidR="0002113D" w:rsidRPr="000526BE" w:rsidRDefault="0002113D" w:rsidP="00E67CB4">
            <w:pPr>
              <w:spacing w:before="20" w:after="20"/>
              <w:rPr>
                <w:rFonts w:ascii="Arial Narrow" w:hAnsi="Arial Narrow" w:cs="Calibri"/>
                <w:bCs/>
                <w:strike/>
                <w:sz w:val="20"/>
                <w:szCs w:val="20"/>
              </w:rPr>
            </w:pPr>
            <w:r w:rsidRPr="000526BE">
              <w:rPr>
                <w:rFonts w:ascii="Arial Narrow" w:hAnsi="Arial Narrow" w:cs="Calibri"/>
                <w:bCs/>
                <w:strike/>
                <w:sz w:val="20"/>
                <w:szCs w:val="20"/>
              </w:rPr>
              <w:t xml:space="preserve">(iii) a copy of the signed patient acknowledgement form. </w:t>
            </w:r>
            <w:r w:rsidRPr="000526BE">
              <w:rPr>
                <w:rFonts w:ascii="Arial Narrow" w:hAnsi="Arial Narrow" w:cs="Calibri"/>
                <w:bCs/>
                <w:sz w:val="20"/>
                <w:szCs w:val="20"/>
              </w:rPr>
              <w:t>[new concept]</w:t>
            </w:r>
          </w:p>
          <w:p w:rsidR="0002113D" w:rsidRPr="000526BE" w:rsidRDefault="0002113D" w:rsidP="00E67CB4">
            <w:pPr>
              <w:spacing w:before="20" w:after="20"/>
              <w:rPr>
                <w:rFonts w:ascii="Arial Narrow" w:hAnsi="Arial Narrow" w:cs="Calibri"/>
                <w:bCs/>
                <w:sz w:val="20"/>
                <w:szCs w:val="20"/>
              </w:rPr>
            </w:pPr>
          </w:p>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strike/>
                <w:sz w:val="20"/>
                <w:szCs w:val="20"/>
              </w:rPr>
              <w:t>Cardiac function must be tested by echocardiography (ECHO) or multigated acquisition (MUGA), prior to seeking the initial authority approval and then at 3 monthly intervals during treatment.</w:t>
            </w:r>
            <w:r w:rsidR="00EF283B">
              <w:rPr>
                <w:rFonts w:ascii="Arial Narrow" w:hAnsi="Arial Narrow" w:cs="Calibri"/>
                <w:bCs/>
                <w:sz w:val="20"/>
                <w:szCs w:val="20"/>
              </w:rPr>
              <w:t xml:space="preserve"> [18136]</w:t>
            </w:r>
          </w:p>
        </w:tc>
      </w:tr>
      <w:tr w:rsidR="0002113D" w:rsidRPr="000526BE" w:rsidTr="00E67CB4">
        <w:trPr>
          <w:cantSplit/>
          <w:trHeight w:val="360"/>
        </w:trPr>
        <w:tc>
          <w:tcPr>
            <w:tcW w:w="1003"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
                <w:bCs/>
                <w:i/>
                <w:sz w:val="20"/>
                <w:szCs w:val="20"/>
              </w:rPr>
            </w:pPr>
            <w:r w:rsidRPr="000526BE">
              <w:rPr>
                <w:rFonts w:ascii="Arial Narrow" w:hAnsi="Arial Narrow" w:cs="Calibri"/>
                <w:b/>
                <w:bCs/>
                <w:i/>
                <w:sz w:val="20"/>
                <w:szCs w:val="20"/>
              </w:rPr>
              <w:t>Administrative Advice</w:t>
            </w:r>
          </w:p>
          <w:p w:rsidR="0002113D" w:rsidRPr="000526BE" w:rsidRDefault="0002113D" w:rsidP="00E67CB4">
            <w:pPr>
              <w:spacing w:before="20" w:after="20"/>
              <w:rPr>
                <w:rFonts w:ascii="Arial Narrow" w:hAnsi="Arial Narrow" w:cs="Calibri"/>
                <w:b/>
                <w:bCs/>
                <w:strike/>
                <w:sz w:val="20"/>
                <w:szCs w:val="20"/>
              </w:rPr>
            </w:pPr>
          </w:p>
        </w:tc>
        <w:tc>
          <w:tcPr>
            <w:tcW w:w="3997" w:type="pct"/>
            <w:tcBorders>
              <w:top w:val="single" w:sz="4" w:space="0" w:color="auto"/>
              <w:left w:val="single" w:sz="4" w:space="0" w:color="auto"/>
              <w:bottom w:val="single" w:sz="4" w:space="0" w:color="auto"/>
              <w:right w:val="single" w:sz="4" w:space="0" w:color="auto"/>
            </w:tcBorders>
          </w:tcPr>
          <w:p w:rsidR="0002113D" w:rsidRPr="000526BE" w:rsidRDefault="0002113D" w:rsidP="00E67CB4">
            <w:pPr>
              <w:spacing w:before="20" w:after="20"/>
              <w:rPr>
                <w:rFonts w:ascii="Arial Narrow" w:hAnsi="Arial Narrow" w:cs="Calibri"/>
                <w:bCs/>
                <w:sz w:val="20"/>
                <w:szCs w:val="20"/>
              </w:rPr>
            </w:pPr>
            <w:r w:rsidRPr="000526BE">
              <w:rPr>
                <w:rFonts w:ascii="Arial Narrow" w:hAnsi="Arial Narrow" w:cs="Calibri"/>
                <w:bCs/>
                <w:i/>
                <w:sz w:val="20"/>
                <w:szCs w:val="20"/>
              </w:rPr>
              <w:t>Any queries concerning the arrangements to prescribe may be directed to the Department of Human Services on 1800 700 270 (hours of operation 8 a.m. to 5 p.m. EST Monday to Friday).</w:t>
            </w:r>
            <w:r w:rsidRPr="000526BE">
              <w:rPr>
                <w:rFonts w:ascii="Arial Narrow" w:hAnsi="Arial Narrow" w:cs="Calibri"/>
                <w:bCs/>
                <w:sz w:val="20"/>
                <w:szCs w:val="20"/>
              </w:rPr>
              <w:t xml:space="preserve"> [14726; Complex Authority Required flag]</w:t>
            </w:r>
          </w:p>
        </w:tc>
      </w:tr>
    </w:tbl>
    <w:p w:rsidR="00E67CB4" w:rsidRPr="000526BE" w:rsidRDefault="00E67CB4" w:rsidP="00E67CB4">
      <w:r w:rsidRPr="000526BE">
        <w:t xml:space="preserve"> </w:t>
      </w:r>
    </w:p>
    <w:p w:rsidR="00637E31" w:rsidRPr="000526BE" w:rsidRDefault="00B61A0B" w:rsidP="00637E31">
      <w:pPr>
        <w:pStyle w:val="ListParagraph"/>
        <w:widowControl/>
        <w:numPr>
          <w:ilvl w:val="1"/>
          <w:numId w:val="2"/>
        </w:numPr>
        <w:rPr>
          <w:iCs/>
        </w:rPr>
      </w:pPr>
      <w:r w:rsidRPr="000526BE">
        <w:t>The submission proposed initial, continuing and grandfathered treatment criteria</w:t>
      </w:r>
      <w:r w:rsidR="00E67CB4" w:rsidRPr="000526BE">
        <w:t>.</w:t>
      </w:r>
      <w:r w:rsidRPr="000526BE">
        <w:t xml:space="preserve"> </w:t>
      </w:r>
      <w:r w:rsidR="00637E31" w:rsidRPr="000526BE">
        <w:rPr>
          <w:iCs/>
        </w:rPr>
        <w:t>No special pricing arrangement was proposed.</w:t>
      </w:r>
    </w:p>
    <w:p w:rsidR="00B61A0B" w:rsidRPr="000526BE" w:rsidRDefault="00B61A0B" w:rsidP="0002113D">
      <w:pPr>
        <w:pStyle w:val="ListParagraph"/>
        <w:widowControl/>
        <w:numPr>
          <w:ilvl w:val="1"/>
          <w:numId w:val="2"/>
        </w:numPr>
        <w:spacing w:before="120" w:after="120"/>
      </w:pPr>
      <w:r w:rsidRPr="000526BE">
        <w:t xml:space="preserve">The submission proposed that in all settings, use of T-DM1 was restricted to </w:t>
      </w:r>
      <w:r w:rsidRPr="000526BE">
        <w:rPr>
          <w:szCs w:val="20"/>
        </w:rPr>
        <w:t xml:space="preserve">not more than 42 weeks (14 cycles) of combined PBS-subsidised and non-PBS-subsidised therapy. </w:t>
      </w:r>
    </w:p>
    <w:p w:rsidR="00B61A0B" w:rsidRPr="000526BE" w:rsidRDefault="00B61A0B" w:rsidP="00A2058D">
      <w:pPr>
        <w:pStyle w:val="ListParagraph"/>
        <w:widowControl/>
        <w:numPr>
          <w:ilvl w:val="1"/>
          <w:numId w:val="2"/>
        </w:numPr>
        <w:rPr>
          <w:iCs/>
        </w:rPr>
      </w:pPr>
      <w:r w:rsidRPr="000526BE">
        <w:rPr>
          <w:iCs/>
        </w:rPr>
        <w:t xml:space="preserve">The proposed restriction is largely consistent with the use of T-DM1 in </w:t>
      </w:r>
      <w:r w:rsidR="00F03EE8">
        <w:rPr>
          <w:iCs/>
        </w:rPr>
        <w:t xml:space="preserve">the </w:t>
      </w:r>
      <w:r w:rsidRPr="000526BE">
        <w:rPr>
          <w:iCs/>
        </w:rPr>
        <w:t xml:space="preserve">KATHERINE </w:t>
      </w:r>
      <w:r w:rsidR="00F03EE8">
        <w:rPr>
          <w:iCs/>
        </w:rPr>
        <w:t xml:space="preserve">trial </w:t>
      </w:r>
      <w:r w:rsidRPr="000526BE">
        <w:rPr>
          <w:iCs/>
        </w:rPr>
        <w:t>(the main source of the evidence comparing T-DM1 with trastuzumab), the proposed TGA PI and Australian guidelines (Cancer Council 2016 and eviQ ID: 127 and ID:</w:t>
      </w:r>
      <w:r w:rsidR="00FF5631" w:rsidRPr="000526BE">
        <w:rPr>
          <w:iCs/>
        </w:rPr>
        <w:t xml:space="preserve"> </w:t>
      </w:r>
      <w:r w:rsidRPr="000526BE">
        <w:rPr>
          <w:iCs/>
        </w:rPr>
        <w:t xml:space="preserve">1323). At its March 2019 meeting, the PBAC considered it would be </w:t>
      </w:r>
      <w:r w:rsidR="007603B4" w:rsidRPr="000526BE">
        <w:rPr>
          <w:iCs/>
        </w:rPr>
        <w:t xml:space="preserve">appropriate </w:t>
      </w:r>
      <w:r w:rsidRPr="000526BE">
        <w:rPr>
          <w:iCs/>
        </w:rPr>
        <w:t xml:space="preserve">for all trastuzumab listings, to be revised to </w:t>
      </w:r>
      <w:r w:rsidR="00F03EE8">
        <w:rPr>
          <w:iCs/>
        </w:rPr>
        <w:t>encompass</w:t>
      </w:r>
      <w:r w:rsidRPr="000526BE">
        <w:rPr>
          <w:iCs/>
        </w:rPr>
        <w:t xml:space="preserve"> adjuvant and neoadjuvant treatment for eBC</w:t>
      </w:r>
      <w:r w:rsidR="0003603B" w:rsidRPr="000526BE">
        <w:rPr>
          <w:iCs/>
        </w:rPr>
        <w:t xml:space="preserve"> </w:t>
      </w:r>
      <w:r w:rsidRPr="000526BE">
        <w:rPr>
          <w:iCs/>
        </w:rPr>
        <w:t xml:space="preserve">(Trastuzumab (Ogivri) </w:t>
      </w:r>
      <w:r w:rsidR="00297A63" w:rsidRPr="000526BE">
        <w:rPr>
          <w:iCs/>
        </w:rPr>
        <w:t>Public Summary Document (</w:t>
      </w:r>
      <w:r w:rsidRPr="000526BE">
        <w:rPr>
          <w:iCs/>
        </w:rPr>
        <w:t>PSD</w:t>
      </w:r>
      <w:r w:rsidR="00297A63" w:rsidRPr="000526BE">
        <w:rPr>
          <w:iCs/>
        </w:rPr>
        <w:t>)</w:t>
      </w:r>
      <w:r w:rsidRPr="000526BE">
        <w:rPr>
          <w:iCs/>
        </w:rPr>
        <w:t xml:space="preserve">, March 2019, paragraph 5.4). </w:t>
      </w:r>
      <w:r w:rsidR="00536125" w:rsidRPr="000526BE">
        <w:rPr>
          <w:iCs/>
        </w:rPr>
        <w:t xml:space="preserve">The </w:t>
      </w:r>
      <w:r w:rsidR="00566C06" w:rsidRPr="00167BA5">
        <w:rPr>
          <w:rFonts w:asciiTheme="minorHAnsi" w:hAnsiTheme="minorHAnsi" w:cstheme="minorHAnsi"/>
        </w:rPr>
        <w:t>Economics Sub-Committee</w:t>
      </w:r>
      <w:r w:rsidR="00566C06" w:rsidRPr="000526BE">
        <w:rPr>
          <w:iCs/>
        </w:rPr>
        <w:t xml:space="preserve"> </w:t>
      </w:r>
      <w:r w:rsidR="00566C06">
        <w:rPr>
          <w:iCs/>
        </w:rPr>
        <w:t>(</w:t>
      </w:r>
      <w:r w:rsidR="00536125" w:rsidRPr="000526BE">
        <w:rPr>
          <w:iCs/>
        </w:rPr>
        <w:t>ESC</w:t>
      </w:r>
      <w:r w:rsidR="00956148">
        <w:rPr>
          <w:iCs/>
        </w:rPr>
        <w:t>)</w:t>
      </w:r>
      <w:r w:rsidR="00536125" w:rsidRPr="000526BE">
        <w:rPr>
          <w:iCs/>
        </w:rPr>
        <w:t xml:space="preserve"> noted that this </w:t>
      </w:r>
      <w:r w:rsidR="0003603B" w:rsidRPr="000526BE">
        <w:rPr>
          <w:iCs/>
        </w:rPr>
        <w:t>recommendation was implemented o</w:t>
      </w:r>
      <w:r w:rsidR="00536125" w:rsidRPr="000526BE">
        <w:rPr>
          <w:iCs/>
        </w:rPr>
        <w:t xml:space="preserve">n 1 October 2019 and the listings for trastuzumab in early HER2 positive breast cancer now include the clinical criterion “Patient must have undergone surgery (adjuvant) or be preparing for surgery (neoadjuvant)”. </w:t>
      </w:r>
    </w:p>
    <w:p w:rsidR="00FC22B3" w:rsidRPr="000526BE" w:rsidRDefault="00FC22B3" w:rsidP="00A2058D">
      <w:pPr>
        <w:pStyle w:val="ListParagraph"/>
        <w:widowControl/>
        <w:numPr>
          <w:ilvl w:val="1"/>
          <w:numId w:val="2"/>
        </w:numPr>
      </w:pPr>
      <w:r w:rsidRPr="000526BE">
        <w:rPr>
          <w:rFonts w:asciiTheme="minorHAnsi" w:hAnsiTheme="minorHAnsi" w:cstheme="minorBidi"/>
        </w:rPr>
        <w:lastRenderedPageBreak/>
        <w:t xml:space="preserve">The submission proposed that the continuing listing for T-DM1 should be Authority Required (STREAMLINED). The current listings for </w:t>
      </w:r>
      <w:r w:rsidRPr="000526BE">
        <w:rPr>
          <w:rFonts w:asciiTheme="minorHAnsi" w:hAnsiTheme="minorHAnsi" w:cstheme="minorHAnsi"/>
        </w:rPr>
        <w:t>T-DM1 require a written authority application for initial treatment while a telephone authority application is permitted for continuing treatment. The PBAC considered that a written authority application for initial treatment and a telephone authority application for continuing treatmen</w:t>
      </w:r>
      <w:r w:rsidR="00E1223D" w:rsidRPr="000526BE">
        <w:rPr>
          <w:rFonts w:asciiTheme="minorHAnsi" w:hAnsiTheme="minorHAnsi" w:cstheme="minorHAnsi"/>
        </w:rPr>
        <w:t>t would be appropriate in order</w:t>
      </w:r>
      <w:r w:rsidRPr="000526BE">
        <w:rPr>
          <w:rFonts w:asciiTheme="minorHAnsi" w:hAnsiTheme="minorHAnsi" w:cstheme="minorHAnsi"/>
        </w:rPr>
        <w:t xml:space="preserve"> to limit treatment to 42 weeks (14 cycles), and given the much higher cost of treatment compared to trastuzumab. </w:t>
      </w:r>
    </w:p>
    <w:p w:rsidR="00B61A0B" w:rsidRPr="000526BE" w:rsidRDefault="00B61A0B" w:rsidP="00A2058D">
      <w:pPr>
        <w:pStyle w:val="ListParagraph"/>
        <w:widowControl/>
        <w:numPr>
          <w:ilvl w:val="1"/>
          <w:numId w:val="2"/>
        </w:numPr>
      </w:pPr>
      <w:r w:rsidRPr="000526BE">
        <w:t xml:space="preserve">The submission requested </w:t>
      </w:r>
      <w:r w:rsidR="00AA2900" w:rsidRPr="000526BE">
        <w:t>a separate</w:t>
      </w:r>
      <w:r w:rsidRPr="000526BE">
        <w:t xml:space="preserve"> grandfathering </w:t>
      </w:r>
      <w:r w:rsidR="00AA2900" w:rsidRPr="000526BE">
        <w:t>restriction for</w:t>
      </w:r>
      <w:r w:rsidRPr="000526BE">
        <w:t xml:space="preserve"> patients receiving T-DM1 prior to the commencement of PBS listed supply. </w:t>
      </w:r>
      <w:r w:rsidR="00AA2900" w:rsidRPr="000526BE">
        <w:t xml:space="preserve">The Secretariat noted that grandfathered patients would qualify for treatment under the initial </w:t>
      </w:r>
      <w:r w:rsidR="003118CA" w:rsidRPr="000526BE">
        <w:t xml:space="preserve">treatment </w:t>
      </w:r>
      <w:r w:rsidR="00AA2900" w:rsidRPr="000526BE">
        <w:t>restriction and therefore a separate grandfathering listing would not be required.</w:t>
      </w:r>
      <w:r w:rsidR="00A00AD4" w:rsidRPr="000526BE">
        <w:t xml:space="preserve"> </w:t>
      </w:r>
      <w:r w:rsidR="00D5375D" w:rsidRPr="000526BE">
        <w:t xml:space="preserve">The PBAC considered </w:t>
      </w:r>
      <w:r w:rsidR="00AA2900" w:rsidRPr="000526BE">
        <w:t>it would be appropriate for grandfathered patients to access</w:t>
      </w:r>
      <w:r w:rsidR="00DA09DF" w:rsidRPr="000526BE">
        <w:t xml:space="preserve"> T</w:t>
      </w:r>
      <w:r w:rsidR="005F24C4" w:rsidRPr="000526BE">
        <w:t>-</w:t>
      </w:r>
      <w:r w:rsidR="00DA09DF" w:rsidRPr="000526BE">
        <w:t>DM1</w:t>
      </w:r>
      <w:r w:rsidR="003118CA" w:rsidRPr="000526BE">
        <w:t>, but that</w:t>
      </w:r>
      <w:r w:rsidR="00F03EE8">
        <w:t xml:space="preserve"> </w:t>
      </w:r>
      <w:r w:rsidR="003118CA" w:rsidRPr="000526BE">
        <w:t xml:space="preserve">the </w:t>
      </w:r>
      <w:r w:rsidR="00623F06" w:rsidRPr="000526BE">
        <w:t>initial</w:t>
      </w:r>
      <w:r w:rsidR="003118CA" w:rsidRPr="000526BE">
        <w:t xml:space="preserve"> treatment restriction should </w:t>
      </w:r>
      <w:r w:rsidR="00DA09DF" w:rsidRPr="000526BE">
        <w:t>include criteria requiring that treatment with T</w:t>
      </w:r>
      <w:r w:rsidR="005F24C4" w:rsidRPr="000526BE">
        <w:t>-</w:t>
      </w:r>
      <w:r w:rsidR="00DA09DF" w:rsidRPr="000526BE">
        <w:t xml:space="preserve">DM1 must be initiated within 12 weeks after surgery. </w:t>
      </w:r>
      <w:r w:rsidR="00623F06" w:rsidRPr="000526BE">
        <w:t>The PBAC considered that it would be appropriate for patients initiated on T-DM1 to switch to trastuzumab if unable to tolerate T-DM1.</w:t>
      </w:r>
    </w:p>
    <w:p w:rsidR="00B61A0B" w:rsidRPr="000526BE" w:rsidRDefault="00B61A0B" w:rsidP="00A2058D">
      <w:pPr>
        <w:pStyle w:val="ListParagraph"/>
        <w:widowControl/>
        <w:numPr>
          <w:ilvl w:val="1"/>
          <w:numId w:val="2"/>
        </w:numPr>
        <w:rPr>
          <w:iCs/>
        </w:rPr>
      </w:pPr>
      <w:r w:rsidRPr="000526BE">
        <w:t xml:space="preserve">The submission stated that the proposed population should have their HER2 status tested by </w:t>
      </w:r>
      <w:r w:rsidR="00964DC8" w:rsidRPr="000526BE">
        <w:rPr>
          <w:rFonts w:asciiTheme="minorHAnsi" w:hAnsiTheme="minorHAnsi" w:cstheme="minorHAnsi"/>
        </w:rPr>
        <w:t>in situ hybridization (</w:t>
      </w:r>
      <w:r w:rsidRPr="000526BE">
        <w:t>ISH</w:t>
      </w:r>
      <w:r w:rsidR="00964DC8" w:rsidRPr="000526BE">
        <w:t>)</w:t>
      </w:r>
      <w:r w:rsidRPr="000526BE">
        <w:t xml:space="preserve"> in the primary tumour. </w:t>
      </w:r>
      <w:r w:rsidRPr="000526BE">
        <w:rPr>
          <w:iCs/>
        </w:rPr>
        <w:t>This align</w:t>
      </w:r>
      <w:r w:rsidR="007D4C2D" w:rsidRPr="000526BE">
        <w:rPr>
          <w:iCs/>
        </w:rPr>
        <w:t>s</w:t>
      </w:r>
      <w:r w:rsidRPr="000526BE">
        <w:rPr>
          <w:iCs/>
        </w:rPr>
        <w:t xml:space="preserve"> with evidence from </w:t>
      </w:r>
      <w:r w:rsidR="00FC6A02">
        <w:rPr>
          <w:iCs/>
        </w:rPr>
        <w:t xml:space="preserve">the </w:t>
      </w:r>
      <w:r w:rsidRPr="000526BE">
        <w:rPr>
          <w:iCs/>
        </w:rPr>
        <w:t xml:space="preserve">KATHERINE </w:t>
      </w:r>
      <w:r w:rsidR="00FC6A02">
        <w:rPr>
          <w:iCs/>
        </w:rPr>
        <w:t xml:space="preserve">trial </w:t>
      </w:r>
      <w:r w:rsidR="007D4C2D" w:rsidRPr="000526BE">
        <w:rPr>
          <w:iCs/>
        </w:rPr>
        <w:t xml:space="preserve">and </w:t>
      </w:r>
      <w:r w:rsidRPr="000526BE">
        <w:rPr>
          <w:iCs/>
        </w:rPr>
        <w:t xml:space="preserve">current clinical practice where HER2 status is tested prior to neoadjuvant therapy commencing. </w:t>
      </w:r>
      <w:r w:rsidR="007901D4">
        <w:rPr>
          <w:iCs/>
        </w:rPr>
        <w:t>The PBAC noted that p</w:t>
      </w:r>
      <w:r w:rsidR="007D4C2D" w:rsidRPr="000526BE">
        <w:rPr>
          <w:iCs/>
        </w:rPr>
        <w:t xml:space="preserve">atients would have </w:t>
      </w:r>
      <w:r w:rsidR="006B5C0F">
        <w:rPr>
          <w:iCs/>
        </w:rPr>
        <w:t xml:space="preserve">established </w:t>
      </w:r>
      <w:r w:rsidR="007D4C2D" w:rsidRPr="000526BE">
        <w:rPr>
          <w:iCs/>
        </w:rPr>
        <w:t xml:space="preserve">HER2 status prior to </w:t>
      </w:r>
      <w:r w:rsidR="006B5C0F">
        <w:rPr>
          <w:iCs/>
        </w:rPr>
        <w:t xml:space="preserve">commencing </w:t>
      </w:r>
      <w:r w:rsidR="007D4C2D" w:rsidRPr="000526BE">
        <w:rPr>
          <w:iCs/>
        </w:rPr>
        <w:t xml:space="preserve">neoadjuvant trastuzumab </w:t>
      </w:r>
      <w:r w:rsidR="007901D4">
        <w:rPr>
          <w:iCs/>
        </w:rPr>
        <w:t>and therefore would not need to re-test</w:t>
      </w:r>
      <w:r w:rsidR="00F47D4F">
        <w:rPr>
          <w:iCs/>
        </w:rPr>
        <w:t xml:space="preserve"> to be eligible for T-DM1</w:t>
      </w:r>
      <w:r w:rsidR="007D4C2D" w:rsidRPr="000526BE">
        <w:rPr>
          <w:iCs/>
        </w:rPr>
        <w:t>.</w:t>
      </w:r>
    </w:p>
    <w:p w:rsidR="007E1F11" w:rsidRPr="000526BE" w:rsidRDefault="00623F06" w:rsidP="007E1F11">
      <w:pPr>
        <w:pStyle w:val="ListParagraph"/>
        <w:widowControl/>
        <w:numPr>
          <w:ilvl w:val="1"/>
          <w:numId w:val="2"/>
        </w:numPr>
      </w:pPr>
      <w:r w:rsidRPr="000526BE">
        <w:t xml:space="preserve">The PBAC considered </w:t>
      </w:r>
      <w:r w:rsidR="00B61A0B" w:rsidRPr="000526BE">
        <w:t xml:space="preserve">that the wording of the restriction </w:t>
      </w:r>
      <w:r w:rsidRPr="000526BE">
        <w:t xml:space="preserve">should </w:t>
      </w:r>
      <w:r w:rsidR="00B61A0B" w:rsidRPr="000526BE">
        <w:t xml:space="preserve">be amended to </w:t>
      </w:r>
      <w:r w:rsidR="00BA3A96" w:rsidRPr="000526BE">
        <w:t xml:space="preserve">remove the requirement that treatment be as monotherapy as many patients require concomitant use of endocrine therapy. This would </w:t>
      </w:r>
      <w:r w:rsidR="00B61A0B" w:rsidRPr="000526BE">
        <w:t xml:space="preserve">align with current practice, the evidence from KATHERINE and the suggestion made in the TGA </w:t>
      </w:r>
      <w:r w:rsidR="0014484E" w:rsidRPr="000526BE">
        <w:t>Clinical Evaluator’s Report (</w:t>
      </w:r>
      <w:r w:rsidR="00B61A0B" w:rsidRPr="000526BE">
        <w:t>CER</w:t>
      </w:r>
      <w:r w:rsidR="0014484E" w:rsidRPr="000526BE">
        <w:t>)</w:t>
      </w:r>
      <w:r w:rsidR="00BA3A96" w:rsidRPr="000526BE">
        <w:t xml:space="preserve">. </w:t>
      </w:r>
      <w:r w:rsidR="007E1F11" w:rsidRPr="000526BE">
        <w:t>While the PBAC noted that an alternative option could be to include a clinical criterion stating that ‘The treatment must be the sole PBS-subsidised anti-HER2 therapy’, the PBAC considered this was not required as there are no other anti-HER2 therapies available on the PBS in this treatment setting.</w:t>
      </w:r>
    </w:p>
    <w:p w:rsidR="00CB20A1" w:rsidRPr="000526BE" w:rsidRDefault="00CB20A1" w:rsidP="00A2058D">
      <w:pPr>
        <w:pStyle w:val="ListParagraph"/>
        <w:widowControl/>
        <w:numPr>
          <w:ilvl w:val="1"/>
          <w:numId w:val="2"/>
        </w:numPr>
        <w:rPr>
          <w:iCs/>
        </w:rPr>
      </w:pPr>
      <w:r w:rsidRPr="000526BE">
        <w:t xml:space="preserve">The DUSC considered there is a low risk that T-DM1 will be used outside of the restriction, </w:t>
      </w:r>
      <w:r w:rsidR="00692866">
        <w:t xml:space="preserve">given the </w:t>
      </w:r>
      <w:r w:rsidRPr="000526BE">
        <w:t>written Authority Required PBS listing</w:t>
      </w:r>
      <w:r w:rsidR="0097152C" w:rsidRPr="000526BE">
        <w:t>.</w:t>
      </w:r>
    </w:p>
    <w:p w:rsidR="00481564" w:rsidRPr="000526BE" w:rsidRDefault="00481564" w:rsidP="00481564">
      <w:pPr>
        <w:pStyle w:val="ListParagraph"/>
        <w:widowControl/>
        <w:rPr>
          <w:iCs/>
        </w:rPr>
      </w:pPr>
      <w:r w:rsidRPr="000526BE">
        <w:rPr>
          <w:rFonts w:asciiTheme="minorHAnsi" w:hAnsiTheme="minorHAnsi"/>
          <w:i/>
        </w:rPr>
        <w:t>For more detail on PBAC’s view, see section 7 PBAC outcome.</w:t>
      </w:r>
    </w:p>
    <w:p w:rsidR="00B61A0B" w:rsidRPr="000526BE" w:rsidRDefault="00B61A0B" w:rsidP="00D34556">
      <w:pPr>
        <w:pStyle w:val="PBACHeading1"/>
        <w:spacing w:after="120"/>
        <w:outlineLvl w:val="0"/>
      </w:pPr>
      <w:bookmarkStart w:id="4" w:name="_Toc19626589"/>
      <w:r w:rsidRPr="000526BE">
        <w:t>Background</w:t>
      </w:r>
      <w:bookmarkEnd w:id="4"/>
    </w:p>
    <w:p w:rsidR="00B61A0B" w:rsidRPr="00C10E56" w:rsidRDefault="00B61A0B" w:rsidP="00C10E56">
      <w:pPr>
        <w:spacing w:before="240" w:line="276" w:lineRule="auto"/>
        <w:outlineLvl w:val="1"/>
        <w:rPr>
          <w:rFonts w:asciiTheme="minorHAnsi" w:hAnsiTheme="minorHAnsi"/>
          <w:b/>
          <w:bCs/>
          <w:i/>
          <w:sz w:val="28"/>
          <w:szCs w:val="28"/>
        </w:rPr>
      </w:pPr>
      <w:r w:rsidRPr="00C10E56">
        <w:rPr>
          <w:rFonts w:asciiTheme="minorHAnsi" w:hAnsiTheme="minorHAnsi"/>
          <w:b/>
          <w:bCs/>
          <w:i/>
          <w:sz w:val="28"/>
          <w:szCs w:val="28"/>
        </w:rPr>
        <w:t>Registration status</w:t>
      </w:r>
    </w:p>
    <w:p w:rsidR="00BE2FA7" w:rsidRPr="000526BE" w:rsidRDefault="00B9627A" w:rsidP="00347ACE">
      <w:pPr>
        <w:pStyle w:val="ListParagraph"/>
        <w:widowControl/>
        <w:numPr>
          <w:ilvl w:val="1"/>
          <w:numId w:val="2"/>
        </w:numPr>
      </w:pPr>
      <w:r w:rsidRPr="000526BE">
        <w:rPr>
          <w:rFonts w:eastAsia="Calibri"/>
        </w:rPr>
        <w:t xml:space="preserve">The submission was made under TGA/PBAC Parallel Process. </w:t>
      </w:r>
      <w:r w:rsidR="00B61A0B" w:rsidRPr="000526BE">
        <w:t>T-DM1 was first approved for registration by the Therapeutic Goods Administration (TGA) on 26</w:t>
      </w:r>
      <w:r w:rsidR="00B61A0B" w:rsidRPr="000526BE">
        <w:rPr>
          <w:vertAlign w:val="superscript"/>
        </w:rPr>
        <w:t>th</w:t>
      </w:r>
      <w:r w:rsidR="00B61A0B" w:rsidRPr="000526BE">
        <w:t xml:space="preserve"> August 2013 for the treatment of patients with HER2+ metastatic breast cancer (mBC) who previously received trastuzumab and a taxane, separately or in combination. The sponsor </w:t>
      </w:r>
      <w:r w:rsidR="00BE2FA7" w:rsidRPr="000526BE">
        <w:t>sought</w:t>
      </w:r>
      <w:r w:rsidR="00B61A0B" w:rsidRPr="000526BE">
        <w:t xml:space="preserve"> TGA approval for the use of T-DM1 as “adjuvant treatment of patients with HER2+ eBC who have residual disease after pre-operative systemic treatment that included HER2-targeted therapy”. </w:t>
      </w:r>
    </w:p>
    <w:p w:rsidR="00B61A0B" w:rsidRPr="000526BE" w:rsidRDefault="00B95331" w:rsidP="007E1F11">
      <w:pPr>
        <w:pStyle w:val="ListParagraph"/>
        <w:widowControl/>
        <w:numPr>
          <w:ilvl w:val="1"/>
          <w:numId w:val="2"/>
        </w:numPr>
      </w:pPr>
      <w:r w:rsidRPr="000526BE">
        <w:t xml:space="preserve">T-DM1 was approved by the TGA </w:t>
      </w:r>
      <w:r w:rsidR="00BE2FA7" w:rsidRPr="000526BE">
        <w:t xml:space="preserve">on 1 October 2019 </w:t>
      </w:r>
      <w:r w:rsidR="005F37D2" w:rsidRPr="000526BE">
        <w:t xml:space="preserve">for “[as a single agent], the adjuvant treatment of patients with HER2-positive early breast cancer who have residual invasive disease </w:t>
      </w:r>
      <w:r w:rsidR="00D441C2" w:rsidRPr="000526BE">
        <w:t>after neoadjuvant taxane and tr</w:t>
      </w:r>
      <w:r w:rsidR="005F37D2" w:rsidRPr="000526BE">
        <w:t>astuzumab-based treatment</w:t>
      </w:r>
      <w:r w:rsidR="00E7318B" w:rsidRPr="000526BE">
        <w:t>”</w:t>
      </w:r>
      <w:r w:rsidR="005F37D2" w:rsidRPr="000526BE">
        <w:t>.</w:t>
      </w:r>
      <w:r w:rsidR="00D441C2" w:rsidRPr="000526BE">
        <w:t xml:space="preserve"> </w:t>
      </w:r>
    </w:p>
    <w:p w:rsidR="00B61A0B" w:rsidRPr="000526BE" w:rsidRDefault="00B61A0B" w:rsidP="00A2058D">
      <w:pPr>
        <w:pStyle w:val="ListParagraph"/>
        <w:widowControl/>
        <w:numPr>
          <w:ilvl w:val="1"/>
          <w:numId w:val="2"/>
        </w:numPr>
      </w:pPr>
      <w:r w:rsidRPr="000526BE">
        <w:t>T-DM</w:t>
      </w:r>
      <w:r w:rsidR="009F1621" w:rsidRPr="000526BE">
        <w:t>1 was approved by the FDA on 3</w:t>
      </w:r>
      <w:r w:rsidR="009F1621" w:rsidRPr="000526BE">
        <w:rPr>
          <w:vertAlign w:val="superscript"/>
        </w:rPr>
        <w:t>rd</w:t>
      </w:r>
      <w:r w:rsidR="009F1621" w:rsidRPr="000526BE">
        <w:t xml:space="preserve"> </w:t>
      </w:r>
      <w:r w:rsidRPr="000526BE">
        <w:t xml:space="preserve">May 2019 for </w:t>
      </w:r>
      <w:r w:rsidR="009241D4" w:rsidRPr="000526BE">
        <w:t xml:space="preserve">the same indication as TGA. </w:t>
      </w:r>
      <w:r w:rsidR="00446843" w:rsidRPr="000526BE">
        <w:rPr>
          <w:iCs/>
        </w:rPr>
        <w:t xml:space="preserve">The ESC noted that the </w:t>
      </w:r>
      <w:r w:rsidR="00956148" w:rsidRPr="00167BA5">
        <w:rPr>
          <w:rFonts w:asciiTheme="minorHAnsi" w:hAnsiTheme="minorHAnsi" w:cstheme="minorHAnsi"/>
        </w:rPr>
        <w:t>Pre-Sub-Committee-Response</w:t>
      </w:r>
      <w:r w:rsidR="00956148" w:rsidRPr="000526BE">
        <w:rPr>
          <w:iCs/>
        </w:rPr>
        <w:t xml:space="preserve"> </w:t>
      </w:r>
      <w:r w:rsidR="00956148">
        <w:rPr>
          <w:iCs/>
        </w:rPr>
        <w:t>(</w:t>
      </w:r>
      <w:r w:rsidR="00446843" w:rsidRPr="000526BE">
        <w:rPr>
          <w:iCs/>
        </w:rPr>
        <w:t>PSCR</w:t>
      </w:r>
      <w:r w:rsidR="00956148">
        <w:rPr>
          <w:iCs/>
        </w:rPr>
        <w:t>)</w:t>
      </w:r>
      <w:r w:rsidR="00446843" w:rsidRPr="000526BE">
        <w:rPr>
          <w:iCs/>
        </w:rPr>
        <w:t xml:space="preserve"> stated that the KATHERINE data ha</w:t>
      </w:r>
      <w:r w:rsidR="00751BF0" w:rsidRPr="000526BE">
        <w:rPr>
          <w:iCs/>
        </w:rPr>
        <w:t>ve</w:t>
      </w:r>
      <w:r w:rsidR="00446843" w:rsidRPr="000526BE">
        <w:rPr>
          <w:iCs/>
        </w:rPr>
        <w:t xml:space="preserve"> been submitted to </w:t>
      </w:r>
      <w:r w:rsidR="00704B64" w:rsidRPr="000526BE">
        <w:rPr>
          <w:iCs/>
        </w:rPr>
        <w:t>t</w:t>
      </w:r>
      <w:r w:rsidR="00446843" w:rsidRPr="000526BE">
        <w:rPr>
          <w:iCs/>
        </w:rPr>
        <w:t>he EMA with approval expe</w:t>
      </w:r>
      <w:r w:rsidR="00B913DB" w:rsidRPr="000526BE">
        <w:rPr>
          <w:iCs/>
        </w:rPr>
        <w:t>cted in November </w:t>
      </w:r>
      <w:r w:rsidR="00446843" w:rsidRPr="000526BE">
        <w:rPr>
          <w:iCs/>
        </w:rPr>
        <w:t xml:space="preserve">2019. </w:t>
      </w:r>
    </w:p>
    <w:p w:rsidR="00481564" w:rsidRPr="000526BE" w:rsidRDefault="00481564" w:rsidP="00481564">
      <w:pPr>
        <w:pStyle w:val="ListParagraph"/>
        <w:widowControl/>
      </w:pPr>
      <w:r w:rsidRPr="000526BE">
        <w:rPr>
          <w:rFonts w:asciiTheme="minorHAnsi" w:hAnsiTheme="minorHAnsi"/>
          <w:i/>
        </w:rPr>
        <w:t>For more detail on PBAC’s view, see section 7 PBAC outcome.</w:t>
      </w:r>
    </w:p>
    <w:p w:rsidR="00B61A0B" w:rsidRPr="000526BE" w:rsidRDefault="00B61A0B" w:rsidP="00D34556">
      <w:pPr>
        <w:pStyle w:val="PBACHeading1"/>
        <w:spacing w:after="120"/>
        <w:outlineLvl w:val="0"/>
      </w:pPr>
      <w:bookmarkStart w:id="5" w:name="_Toc19626590"/>
      <w:r w:rsidRPr="000526BE">
        <w:t>Population and disease</w:t>
      </w:r>
      <w:bookmarkEnd w:id="5"/>
    </w:p>
    <w:p w:rsidR="00B61A0B" w:rsidRPr="000526BE" w:rsidRDefault="00B61A0B" w:rsidP="00A2058D">
      <w:pPr>
        <w:pStyle w:val="ListParagraph"/>
        <w:widowControl/>
        <w:numPr>
          <w:ilvl w:val="1"/>
          <w:numId w:val="2"/>
        </w:numPr>
        <w:spacing w:before="120" w:after="120"/>
      </w:pPr>
      <w:r w:rsidRPr="000526BE">
        <w:t>Breast cancer (BC) is the most frequently diagnosed malignancy in women and the leading cause of cancer mortality in women worldwide. In Australia, 16,753 people were diagnosed with BC, and 2,868 died as a result of BC, in 2014 (AIHW 2017). HER2+ BC occurs when breast cells overexpress the HER2 receptor due to an oncogenic mutation in the HER2 gene. HER2+ tumours tend to grow faster than luminal cancers and are often associated with worse prognosis (Dai 2015). In Australia, approximately 15% of BC patients are HER2+ based on ISH testing (Bilous 2012a).</w:t>
      </w:r>
    </w:p>
    <w:p w:rsidR="00B61A0B" w:rsidRPr="000526BE" w:rsidRDefault="00B61A0B" w:rsidP="00A2058D">
      <w:pPr>
        <w:pStyle w:val="ListParagraph"/>
        <w:widowControl/>
        <w:numPr>
          <w:ilvl w:val="1"/>
          <w:numId w:val="2"/>
        </w:numPr>
      </w:pPr>
      <w:r w:rsidRPr="000526BE">
        <w:t xml:space="preserve">In Australia, operable eBC is defined as tumours not more than five centimetres in diameter, either impalpable or palpable, but not fixed lymph nodes and with no evidence of distant metastases (NBOCC 2008). Women with large operable or locally advanced tumours may require neoadjuvant therapy to reduce tumour bulk prior to surgery to improve surgical outcomes. </w:t>
      </w:r>
    </w:p>
    <w:p w:rsidR="00B61A0B" w:rsidRPr="000526BE" w:rsidRDefault="00B61A0B" w:rsidP="00A2058D">
      <w:pPr>
        <w:pStyle w:val="ListParagraph"/>
        <w:widowControl/>
        <w:numPr>
          <w:ilvl w:val="1"/>
          <w:numId w:val="2"/>
        </w:numPr>
      </w:pPr>
      <w:r w:rsidRPr="000526BE">
        <w:t xml:space="preserve">The PBS listing for T-DM1 proposed in this submission is as adjuvant treatment of patients with HER2+ eBC who have residual disease after pre-operative systemic treatment that included HER2-targeted therapy. </w:t>
      </w:r>
      <w:r w:rsidR="00D931ED" w:rsidRPr="000526BE">
        <w:rPr>
          <w:iCs/>
        </w:rPr>
        <w:t xml:space="preserve">This is a new approach for determining which </w:t>
      </w:r>
      <w:r w:rsidR="00692866">
        <w:rPr>
          <w:iCs/>
        </w:rPr>
        <w:t xml:space="preserve">adjuvant treatment </w:t>
      </w:r>
      <w:r w:rsidR="00D931ED" w:rsidRPr="000526BE">
        <w:rPr>
          <w:iCs/>
        </w:rPr>
        <w:t xml:space="preserve">patients should </w:t>
      </w:r>
      <w:r w:rsidR="000D08D7" w:rsidRPr="000526BE">
        <w:rPr>
          <w:iCs/>
        </w:rPr>
        <w:t>have</w:t>
      </w:r>
      <w:r w:rsidR="00692866">
        <w:rPr>
          <w:iCs/>
        </w:rPr>
        <w:t xml:space="preserve">, </w:t>
      </w:r>
      <w:r w:rsidR="000D08D7" w:rsidRPr="000526BE">
        <w:rPr>
          <w:iCs/>
        </w:rPr>
        <w:t xml:space="preserve">with the aim being to select those with a higher risk of recurrence. </w:t>
      </w:r>
      <w:r w:rsidR="000D08D7" w:rsidRPr="000526BE">
        <w:t xml:space="preserve">The </w:t>
      </w:r>
      <w:r w:rsidR="00664D03" w:rsidRPr="000526BE">
        <w:t xml:space="preserve">submission’s </w:t>
      </w:r>
      <w:r w:rsidR="000D08D7" w:rsidRPr="000526BE">
        <w:t>p</w:t>
      </w:r>
      <w:r w:rsidR="007D4C2D" w:rsidRPr="000526BE">
        <w:t xml:space="preserve">roposed treatment algorithm is presented in Figure </w:t>
      </w:r>
      <w:r w:rsidR="00901F49" w:rsidRPr="000526BE">
        <w:t>1</w:t>
      </w:r>
      <w:r w:rsidR="007D4C2D" w:rsidRPr="000526BE">
        <w:t>.</w:t>
      </w:r>
      <w:r w:rsidR="00882E20" w:rsidRPr="000526BE">
        <w:t xml:space="preserve"> The PBAC considered this to be appropriate.</w:t>
      </w:r>
    </w:p>
    <w:p w:rsidR="00901F49" w:rsidRPr="000526BE" w:rsidRDefault="00901F49" w:rsidP="00901F49">
      <w:pPr>
        <w:pStyle w:val="TableHeading0"/>
      </w:pPr>
      <w:r w:rsidRPr="000526BE">
        <w:t>Figure 1: Proposed clinical management algorithm</w:t>
      </w:r>
    </w:p>
    <w:p w:rsidR="00901F49" w:rsidRPr="000526BE" w:rsidRDefault="00901F49" w:rsidP="00901F49">
      <w:pPr>
        <w:pStyle w:val="TableFooter"/>
        <w:rPr>
          <w:lang w:eastAsia="zh-CN"/>
        </w:rPr>
      </w:pPr>
      <w:r w:rsidRPr="000526BE">
        <w:rPr>
          <w:noProof/>
          <w:lang w:eastAsia="en-AU"/>
        </w:rPr>
        <w:drawing>
          <wp:inline distT="0" distB="0" distL="0" distR="0" wp14:anchorId="17E4857F" wp14:editId="181CCA00">
            <wp:extent cx="5732145" cy="2504581"/>
            <wp:effectExtent l="0" t="0" r="1905" b="0"/>
            <wp:docPr id="16" name="Picture 16" title="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2504581"/>
                    </a:xfrm>
                    <a:prstGeom prst="rect">
                      <a:avLst/>
                    </a:prstGeom>
                    <a:noFill/>
                  </pic:spPr>
                </pic:pic>
              </a:graphicData>
            </a:graphic>
          </wp:inline>
        </w:drawing>
      </w:r>
    </w:p>
    <w:p w:rsidR="00901F49" w:rsidRPr="000526BE" w:rsidRDefault="00901F49" w:rsidP="006872CF">
      <w:pPr>
        <w:pStyle w:val="TableFooter"/>
      </w:pPr>
      <w:r w:rsidRPr="000526BE">
        <w:t xml:space="preserve">Abbreviations: </w:t>
      </w:r>
      <w:r w:rsidR="006872CF" w:rsidRPr="000526BE">
        <w:t xml:space="preserve">dx=disease; </w:t>
      </w:r>
      <w:r w:rsidRPr="000526BE">
        <w:t>eBC= early breast cancer; HER2= human epidermal growth factor receptor 2</w:t>
      </w:r>
      <w:r w:rsidR="006872CF" w:rsidRPr="000526BE">
        <w:t>; pCR=pathological complete response.</w:t>
      </w:r>
    </w:p>
    <w:p w:rsidR="00901F49" w:rsidRPr="000526BE" w:rsidRDefault="00901F49" w:rsidP="00901F49">
      <w:pPr>
        <w:pStyle w:val="TableFooter"/>
      </w:pPr>
      <w:r w:rsidRPr="000526BE">
        <w:t>Source: Figure 1.3, p. 25 of the submission</w:t>
      </w:r>
    </w:p>
    <w:p w:rsidR="00901F49" w:rsidRPr="000526BE" w:rsidRDefault="00901F49" w:rsidP="00901F49">
      <w:pPr>
        <w:pStyle w:val="TableFooter"/>
      </w:pPr>
      <w:r w:rsidRPr="000526BE">
        <w:t xml:space="preserve">Note: </w:t>
      </w:r>
      <w:r w:rsidRPr="000526BE">
        <w:rPr>
          <w:lang w:eastAsia="zh-CN"/>
        </w:rPr>
        <w:t xml:space="preserve">Neoadjuvant therapy may be appropriate for locally advanced breast cancers as well as some larger operable breast cancers to down-stage tumours, either to make them operable or to allow breast-conserving therapy; </w:t>
      </w:r>
      <w:r w:rsidRPr="000526BE">
        <w:t>a: neoadjuvant pertuzumab is currently available via the Roche patient access program</w:t>
      </w:r>
      <w:r w:rsidR="0080146C" w:rsidRPr="000526BE">
        <w:t>.</w:t>
      </w:r>
    </w:p>
    <w:p w:rsidR="007D4C2D" w:rsidRPr="000526BE" w:rsidRDefault="007D4C2D" w:rsidP="007D4C2D">
      <w:pPr>
        <w:widowControl/>
      </w:pPr>
    </w:p>
    <w:p w:rsidR="00B61A0B" w:rsidRPr="000526BE" w:rsidRDefault="00B61A0B" w:rsidP="00A2058D">
      <w:pPr>
        <w:pStyle w:val="ListParagraph"/>
        <w:widowControl/>
        <w:numPr>
          <w:ilvl w:val="1"/>
          <w:numId w:val="2"/>
        </w:numPr>
      </w:pPr>
      <w:r w:rsidRPr="000526BE">
        <w:rPr>
          <w:iCs/>
        </w:rPr>
        <w:t>The PBAC recently noted that there is a move towards neoadjuvant therapy in patients with high risk eBC. The PBAC also noted that a recent large meta-analysis of eBC trials with neoadjuvant chemotherapy</w:t>
      </w:r>
      <w:r w:rsidRPr="000526BE">
        <w:rPr>
          <w:rStyle w:val="FootnoteReference"/>
        </w:rPr>
        <w:footnoteReference w:id="1"/>
      </w:r>
      <w:r w:rsidRPr="000526BE">
        <w:rPr>
          <w:iCs/>
        </w:rPr>
        <w:t xml:space="preserve"> reported the prognostic importance of pathological complete response (pCR), which correlates with event free and overall surviva</w:t>
      </w:r>
      <w:r w:rsidR="0092435C" w:rsidRPr="000526BE">
        <w:rPr>
          <w:iCs/>
        </w:rPr>
        <w:t>l (Neratinib PSD, March 2019, paragraph 4.5)</w:t>
      </w:r>
      <w:r w:rsidRPr="000526BE">
        <w:rPr>
          <w:iCs/>
        </w:rPr>
        <w:t xml:space="preserve">. </w:t>
      </w:r>
      <w:r w:rsidR="00530950" w:rsidRPr="000526BE">
        <w:t xml:space="preserve">The ESC noted that the trastuzumab PBS listing was updated on 1 October 2019 to allow trastuzumab and chemotherapy (T+Chemo) to be used as adjuvant or neoadjuvant treatment for HER2+ eBC </w:t>
      </w:r>
      <w:r w:rsidR="00530950" w:rsidRPr="000526BE">
        <w:rPr>
          <w:iCs/>
        </w:rPr>
        <w:t>(Trastuzumab Ogivri</w:t>
      </w:r>
      <w:r w:rsidR="00530950" w:rsidRPr="000526BE">
        <w:t xml:space="preserve"> PSD, March 2019 para 5.4, p5).</w:t>
      </w:r>
    </w:p>
    <w:p w:rsidR="00B61A0B" w:rsidRPr="000526BE" w:rsidRDefault="00B61A0B" w:rsidP="00A2058D">
      <w:pPr>
        <w:pStyle w:val="ListParagraph"/>
        <w:widowControl/>
        <w:numPr>
          <w:ilvl w:val="1"/>
          <w:numId w:val="2"/>
        </w:numPr>
      </w:pPr>
      <w:r w:rsidRPr="000526BE">
        <w:rPr>
          <w:iCs/>
        </w:rPr>
        <w:t>The current and proposed clinical algorithms were inconsistent with the current PBS funded treatment pathway as</w:t>
      </w:r>
      <w:r w:rsidR="00530950" w:rsidRPr="000526BE">
        <w:rPr>
          <w:iCs/>
        </w:rPr>
        <w:t xml:space="preserve"> </w:t>
      </w:r>
      <w:r w:rsidRPr="000526BE">
        <w:rPr>
          <w:iCs/>
        </w:rPr>
        <w:t xml:space="preserve">pertuzumab </w:t>
      </w:r>
      <w:r w:rsidR="00EA5FCB" w:rsidRPr="000526BE">
        <w:rPr>
          <w:iCs/>
        </w:rPr>
        <w:t xml:space="preserve">is </w:t>
      </w:r>
      <w:r w:rsidRPr="000526BE">
        <w:rPr>
          <w:iCs/>
        </w:rPr>
        <w:t xml:space="preserve">not PBS listed for neoadjuvant eBC treatment. </w:t>
      </w:r>
      <w:r w:rsidR="00EA5FCB" w:rsidRPr="000526BE">
        <w:rPr>
          <w:iCs/>
        </w:rPr>
        <w:t>Currently p</w:t>
      </w:r>
      <w:r w:rsidRPr="000526BE">
        <w:rPr>
          <w:iCs/>
        </w:rPr>
        <w:t>atients may only access dual HER2 therapy with pertuzumab in the neoadjuvant setting through self-funding</w:t>
      </w:r>
      <w:r w:rsidR="00EA5FCB" w:rsidRPr="000526BE">
        <w:rPr>
          <w:iCs/>
        </w:rPr>
        <w:t>, however the PSCR stated that the sponsor intends to seek PBS funding for pertuzumab in the neoadjuvant setting</w:t>
      </w:r>
      <w:r w:rsidR="008C03B0" w:rsidRPr="000526BE">
        <w:rPr>
          <w:iCs/>
        </w:rPr>
        <w:t>.</w:t>
      </w:r>
      <w:r w:rsidR="00347694" w:rsidRPr="000526BE">
        <w:rPr>
          <w:iCs/>
        </w:rPr>
        <w:t xml:space="preserve"> </w:t>
      </w:r>
    </w:p>
    <w:p w:rsidR="008A5EFA" w:rsidRPr="000526BE" w:rsidRDefault="00B61A0B" w:rsidP="007E1F11">
      <w:pPr>
        <w:pStyle w:val="ListParagraph"/>
        <w:widowControl/>
        <w:numPr>
          <w:ilvl w:val="1"/>
          <w:numId w:val="2"/>
        </w:numPr>
        <w:rPr>
          <w:i/>
          <w:iCs/>
        </w:rPr>
      </w:pPr>
      <w:r w:rsidRPr="000526BE">
        <w:t xml:space="preserve">T-DM1 is a HER2-targeted antibody-drug conjugate containing the humanised anti-HER2 IgG1 antibody trastuzumab, covalently linked to the small molecule cytotoxin, DM1. </w:t>
      </w:r>
      <w:r w:rsidRPr="000526BE">
        <w:rPr>
          <w:iCs/>
        </w:rPr>
        <w:t xml:space="preserve">The proposed dosing </w:t>
      </w:r>
      <w:r w:rsidR="00347694" w:rsidRPr="000526BE">
        <w:rPr>
          <w:iCs/>
        </w:rPr>
        <w:t xml:space="preserve">for T-DM1 </w:t>
      </w:r>
      <w:r w:rsidRPr="000526BE">
        <w:rPr>
          <w:iCs/>
        </w:rPr>
        <w:t>is a</w:t>
      </w:r>
      <w:r w:rsidR="00347694" w:rsidRPr="000526BE">
        <w:rPr>
          <w:iCs/>
        </w:rPr>
        <w:t>s a</w:t>
      </w:r>
      <w:r w:rsidRPr="000526BE">
        <w:rPr>
          <w:iCs/>
        </w:rPr>
        <w:t>n intravenous infusion (3.6 mg/kg) every 3 weeks to make up a total of 14 cycles (42 weeks) of therapy. This dosing schedule is consistent with that presented in KATHERINE, the proposed restriction and the most recent draft T-DM1 PI (Kadcyla PI 2019) and TGA-approved PI for trastuzumab (Herceptin PI, June 2019), though the trastuzumab PI also allows weekly IV infusions. The PI for trastuzumab SC injections (Herceptin SC PI, June 2019) contains different dosage regimens, however the PBAC previously accepted trastuzumab SC is non-inferior in efficacy and safety compared with trastuzumab IV (Trastuzumab SC PSD, July 2015, paragraph 7.7)</w:t>
      </w:r>
      <w:r w:rsidRPr="000526BE">
        <w:rPr>
          <w:i/>
          <w:iCs/>
        </w:rPr>
        <w:t>.</w:t>
      </w:r>
    </w:p>
    <w:p w:rsidR="00481564" w:rsidRPr="000526BE" w:rsidRDefault="00481564" w:rsidP="00481564">
      <w:pPr>
        <w:pStyle w:val="ListParagraph"/>
        <w:widowControl/>
        <w:rPr>
          <w:i/>
          <w:iCs/>
        </w:rPr>
      </w:pPr>
      <w:r w:rsidRPr="000526BE">
        <w:rPr>
          <w:rFonts w:asciiTheme="minorHAnsi" w:hAnsiTheme="minorHAnsi"/>
          <w:i/>
        </w:rPr>
        <w:t>For more detail on PBAC’s view, see section 7 PBAC outcome.</w:t>
      </w:r>
    </w:p>
    <w:p w:rsidR="00B61A0B" w:rsidRPr="000526BE" w:rsidRDefault="00B61A0B" w:rsidP="00D34556">
      <w:pPr>
        <w:pStyle w:val="PBACHeading1"/>
        <w:spacing w:after="120"/>
        <w:outlineLvl w:val="0"/>
      </w:pPr>
      <w:bookmarkStart w:id="6" w:name="_Toc19626591"/>
      <w:r w:rsidRPr="000526BE">
        <w:t>Comparator</w:t>
      </w:r>
      <w:bookmarkEnd w:id="6"/>
    </w:p>
    <w:p w:rsidR="00B61A0B" w:rsidRPr="000526BE" w:rsidRDefault="00B61A0B" w:rsidP="00A2058D">
      <w:pPr>
        <w:pStyle w:val="ListParagraph"/>
        <w:widowControl/>
        <w:numPr>
          <w:ilvl w:val="1"/>
          <w:numId w:val="2"/>
        </w:numPr>
      </w:pPr>
      <w:r w:rsidRPr="000526BE">
        <w:rPr>
          <w:rFonts w:cs="Calibri"/>
          <w:snapToGrid/>
          <w:szCs w:val="24"/>
          <w:lang w:eastAsia="en-AU"/>
        </w:rPr>
        <w:t xml:space="preserve">The submission nominated trastuzumab as the main comparator on the basis that trastuzumab is the standard of care (SoC) for the adjuvant treatment of HER2+ eBC following neoadjuvant therapy. </w:t>
      </w:r>
      <w:r w:rsidRPr="000526BE">
        <w:rPr>
          <w:rFonts w:cs="Calibri"/>
          <w:iCs/>
          <w:snapToGrid/>
          <w:szCs w:val="24"/>
          <w:lang w:eastAsia="en-AU"/>
        </w:rPr>
        <w:t xml:space="preserve">This is consistent with the current PBS listing in this patient population. At its March 2019 and July 2019 meetings, the PBAC recommended </w:t>
      </w:r>
      <w:r w:rsidR="0025307D" w:rsidRPr="000526BE">
        <w:rPr>
          <w:rFonts w:cs="Calibri"/>
          <w:iCs/>
          <w:snapToGrid/>
          <w:szCs w:val="24"/>
          <w:lang w:eastAsia="en-AU"/>
        </w:rPr>
        <w:t xml:space="preserve">the </w:t>
      </w:r>
      <w:r w:rsidRPr="000526BE">
        <w:rPr>
          <w:rFonts w:cs="Calibri"/>
          <w:iCs/>
          <w:snapToGrid/>
          <w:szCs w:val="24"/>
          <w:lang w:eastAsia="en-AU"/>
        </w:rPr>
        <w:t>listing</w:t>
      </w:r>
      <w:r w:rsidR="00DE1C9B" w:rsidRPr="000526BE">
        <w:rPr>
          <w:rFonts w:cs="Calibri"/>
          <w:iCs/>
          <w:snapToGrid/>
          <w:szCs w:val="24"/>
          <w:lang w:eastAsia="en-AU"/>
        </w:rPr>
        <w:t xml:space="preserve"> of four biosimilars of trastuz</w:t>
      </w:r>
      <w:r w:rsidRPr="000526BE">
        <w:rPr>
          <w:rFonts w:cs="Calibri"/>
          <w:iCs/>
          <w:snapToGrid/>
          <w:szCs w:val="24"/>
          <w:lang w:eastAsia="en-AU"/>
        </w:rPr>
        <w:t>umab, Ogivri and Ontruzant (March 2019) and Herzuma and Kanjinti (July 2019). Ogivri was listed on the PBS 1</w:t>
      </w:r>
      <w:r w:rsidR="006C29E7" w:rsidRPr="000526BE">
        <w:rPr>
          <w:rFonts w:cs="Calibri"/>
          <w:iCs/>
          <w:snapToGrid/>
          <w:szCs w:val="24"/>
          <w:vertAlign w:val="superscript"/>
          <w:lang w:eastAsia="en-AU"/>
        </w:rPr>
        <w:t> </w:t>
      </w:r>
      <w:r w:rsidRPr="000526BE">
        <w:rPr>
          <w:rFonts w:cs="Calibri"/>
          <w:iCs/>
          <w:snapToGrid/>
          <w:szCs w:val="24"/>
          <w:lang w:eastAsia="en-AU"/>
        </w:rPr>
        <w:t>August 2019</w:t>
      </w:r>
      <w:r w:rsidR="00D07457" w:rsidRPr="000526BE">
        <w:rPr>
          <w:rFonts w:cs="Calibri"/>
          <w:iCs/>
          <w:snapToGrid/>
          <w:szCs w:val="24"/>
          <w:lang w:eastAsia="en-AU"/>
        </w:rPr>
        <w:t xml:space="preserve"> and Herzuma was listed on the PBS </w:t>
      </w:r>
      <w:r w:rsidR="002171D1" w:rsidRPr="000526BE">
        <w:rPr>
          <w:rFonts w:cs="Calibri"/>
          <w:iCs/>
          <w:snapToGrid/>
          <w:szCs w:val="24"/>
          <w:lang w:eastAsia="en-AU"/>
        </w:rPr>
        <w:t>1 November 2019</w:t>
      </w:r>
      <w:r w:rsidRPr="000526BE">
        <w:rPr>
          <w:rFonts w:cs="Calibri"/>
          <w:iCs/>
          <w:snapToGrid/>
          <w:szCs w:val="24"/>
          <w:lang w:eastAsia="en-AU"/>
        </w:rPr>
        <w:t xml:space="preserve">; the other biosimilars are not yet PBS listed. </w:t>
      </w:r>
    </w:p>
    <w:p w:rsidR="00B61A0B" w:rsidRPr="000526BE" w:rsidRDefault="00692866" w:rsidP="00A2058D">
      <w:pPr>
        <w:pStyle w:val="ListParagraph"/>
        <w:widowControl/>
        <w:numPr>
          <w:ilvl w:val="1"/>
          <w:numId w:val="2"/>
        </w:numPr>
      </w:pPr>
      <w:r>
        <w:rPr>
          <w:rFonts w:cs="Calibri"/>
          <w:iCs/>
          <w:snapToGrid/>
          <w:szCs w:val="24"/>
          <w:lang w:eastAsia="en-AU"/>
        </w:rPr>
        <w:t>T</w:t>
      </w:r>
      <w:r w:rsidR="00B61A0B" w:rsidRPr="000526BE">
        <w:rPr>
          <w:rFonts w:cs="Calibri"/>
          <w:iCs/>
          <w:snapToGrid/>
          <w:szCs w:val="24"/>
          <w:lang w:eastAsia="en-AU"/>
        </w:rPr>
        <w:t xml:space="preserve">rastuzumab </w:t>
      </w:r>
      <w:r>
        <w:rPr>
          <w:rFonts w:cs="Calibri"/>
          <w:iCs/>
          <w:snapToGrid/>
          <w:szCs w:val="24"/>
          <w:lang w:eastAsia="en-AU"/>
        </w:rPr>
        <w:t>i</w:t>
      </w:r>
      <w:r w:rsidR="003F271C" w:rsidRPr="000526BE">
        <w:rPr>
          <w:rFonts w:cs="Calibri"/>
          <w:iCs/>
          <w:snapToGrid/>
          <w:szCs w:val="24"/>
          <w:lang w:eastAsia="en-AU"/>
        </w:rPr>
        <w:t xml:space="preserve">s </w:t>
      </w:r>
      <w:r w:rsidR="00B61A0B" w:rsidRPr="000526BE">
        <w:rPr>
          <w:rFonts w:cs="Calibri"/>
          <w:iCs/>
          <w:snapToGrid/>
          <w:szCs w:val="24"/>
          <w:lang w:eastAsia="en-AU"/>
        </w:rPr>
        <w:t xml:space="preserve">PBS listed for </w:t>
      </w:r>
      <w:r w:rsidR="00AC6511" w:rsidRPr="000526BE">
        <w:rPr>
          <w:rFonts w:cs="Calibri"/>
          <w:iCs/>
          <w:snapToGrid/>
          <w:szCs w:val="24"/>
          <w:lang w:eastAsia="en-AU"/>
        </w:rPr>
        <w:t xml:space="preserve">neoadjuvant and </w:t>
      </w:r>
      <w:r w:rsidR="00B61A0B" w:rsidRPr="000526BE">
        <w:rPr>
          <w:rFonts w:cs="Calibri"/>
          <w:iCs/>
          <w:snapToGrid/>
          <w:szCs w:val="24"/>
          <w:lang w:eastAsia="en-AU"/>
        </w:rPr>
        <w:t>adjuvant treatment of eBC</w:t>
      </w:r>
      <w:r w:rsidR="00C63B0C" w:rsidRPr="000526BE">
        <w:rPr>
          <w:rFonts w:cs="Calibri"/>
          <w:iCs/>
          <w:snapToGrid/>
          <w:szCs w:val="24"/>
          <w:lang w:eastAsia="en-AU"/>
        </w:rPr>
        <w:t>. It is also PBS listed for the</w:t>
      </w:r>
      <w:r w:rsidR="00B61A0B" w:rsidRPr="000526BE">
        <w:rPr>
          <w:rFonts w:cs="Calibri"/>
          <w:iCs/>
          <w:snapToGrid/>
          <w:szCs w:val="24"/>
          <w:lang w:eastAsia="en-AU"/>
        </w:rPr>
        <w:t xml:space="preserve"> treatment of mBC and treatment of advanced gastric cancer.</w:t>
      </w:r>
      <w:r w:rsidR="00B61A0B" w:rsidRPr="000526BE">
        <w:rPr>
          <w:rFonts w:cs="Calibri"/>
          <w:snapToGrid/>
          <w:szCs w:val="24"/>
          <w:lang w:eastAsia="en-AU"/>
        </w:rPr>
        <w:t xml:space="preserve"> Trastuzumab can be administered IV or SC. </w:t>
      </w:r>
      <w:r w:rsidR="00706C80" w:rsidRPr="000526BE">
        <w:rPr>
          <w:rFonts w:cs="Calibri"/>
          <w:snapToGrid/>
          <w:szCs w:val="24"/>
          <w:lang w:eastAsia="en-AU"/>
        </w:rPr>
        <w:t>The TGA indication for trastuzumab in eBC is “for the treatment of HER2-positive early breast cancer following surgery, and in association with chemotherapy and, if applicable, radiotherapy”.</w:t>
      </w:r>
    </w:p>
    <w:p w:rsidR="00481564" w:rsidRPr="000526BE" w:rsidRDefault="00481564" w:rsidP="00481564">
      <w:pPr>
        <w:pStyle w:val="ListParagraph"/>
        <w:widowControl/>
      </w:pPr>
      <w:r w:rsidRPr="000526BE">
        <w:rPr>
          <w:rFonts w:asciiTheme="minorHAnsi" w:hAnsiTheme="minorHAnsi"/>
          <w:i/>
        </w:rPr>
        <w:t>For more detail on PBAC’s view, see section 7 PBAC outcome.</w:t>
      </w:r>
    </w:p>
    <w:p w:rsidR="00B61A0B" w:rsidRPr="000526BE" w:rsidRDefault="00B61A0B" w:rsidP="00B61A0B">
      <w:pPr>
        <w:pStyle w:val="PBACHeading1"/>
        <w:spacing w:after="120"/>
        <w:outlineLvl w:val="0"/>
      </w:pPr>
      <w:bookmarkStart w:id="7" w:name="_Toc19626592"/>
      <w:r w:rsidRPr="000526BE">
        <w:t>Consideration of the evidence</w:t>
      </w:r>
      <w:bookmarkEnd w:id="7"/>
    </w:p>
    <w:p w:rsidR="00A2058D" w:rsidRPr="000526BE" w:rsidRDefault="00A2058D" w:rsidP="00CD764C">
      <w:pPr>
        <w:spacing w:before="240" w:line="276" w:lineRule="auto"/>
        <w:outlineLvl w:val="1"/>
        <w:rPr>
          <w:rFonts w:asciiTheme="minorHAnsi" w:hAnsiTheme="minorHAnsi"/>
          <w:b/>
          <w:bCs/>
          <w:i/>
          <w:sz w:val="28"/>
          <w:szCs w:val="28"/>
        </w:rPr>
      </w:pPr>
      <w:bookmarkStart w:id="8" w:name="_Toc19626593"/>
      <w:r w:rsidRPr="000526BE">
        <w:rPr>
          <w:rFonts w:asciiTheme="minorHAnsi" w:hAnsiTheme="minorHAnsi"/>
          <w:b/>
          <w:bCs/>
          <w:i/>
          <w:sz w:val="28"/>
          <w:szCs w:val="28"/>
        </w:rPr>
        <w:t>Sponsor hearing</w:t>
      </w:r>
    </w:p>
    <w:p w:rsidR="00A2058D" w:rsidRPr="000526BE" w:rsidRDefault="00A2058D" w:rsidP="00A2058D">
      <w:pPr>
        <w:numPr>
          <w:ilvl w:val="1"/>
          <w:numId w:val="2"/>
        </w:numPr>
        <w:spacing w:after="120"/>
        <w:rPr>
          <w:rFonts w:asciiTheme="minorHAnsi" w:hAnsiTheme="minorHAnsi"/>
          <w:bCs/>
        </w:rPr>
      </w:pPr>
      <w:r w:rsidRPr="000526BE">
        <w:rPr>
          <w:rFonts w:asciiTheme="minorHAnsi" w:hAnsiTheme="minorHAnsi"/>
          <w:bCs/>
        </w:rPr>
        <w:t>The</w:t>
      </w:r>
      <w:r w:rsidR="00357B4C" w:rsidRPr="000526BE">
        <w:rPr>
          <w:rFonts w:asciiTheme="minorHAnsi" w:hAnsiTheme="minorHAnsi"/>
          <w:bCs/>
        </w:rPr>
        <w:t>re was no hearing for this item</w:t>
      </w:r>
      <w:r w:rsidRPr="000526BE">
        <w:rPr>
          <w:rFonts w:asciiTheme="minorHAnsi" w:hAnsiTheme="minorHAnsi"/>
          <w:bCs/>
        </w:rPr>
        <w:t>.</w:t>
      </w:r>
    </w:p>
    <w:p w:rsidR="00A2058D" w:rsidRPr="000526BE" w:rsidRDefault="00A2058D" w:rsidP="00CD764C">
      <w:pPr>
        <w:spacing w:before="240" w:line="276" w:lineRule="auto"/>
        <w:outlineLvl w:val="1"/>
        <w:rPr>
          <w:rFonts w:asciiTheme="minorHAnsi" w:hAnsiTheme="minorHAnsi"/>
          <w:b/>
          <w:bCs/>
          <w:i/>
          <w:sz w:val="28"/>
          <w:szCs w:val="28"/>
        </w:rPr>
      </w:pPr>
      <w:r w:rsidRPr="000526BE">
        <w:rPr>
          <w:rFonts w:asciiTheme="minorHAnsi" w:hAnsiTheme="minorHAnsi"/>
          <w:b/>
          <w:bCs/>
          <w:i/>
          <w:sz w:val="28"/>
          <w:szCs w:val="28"/>
        </w:rPr>
        <w:t>Consumer comments</w:t>
      </w:r>
    </w:p>
    <w:p w:rsidR="00A2058D" w:rsidRPr="000526BE" w:rsidRDefault="00A2058D" w:rsidP="009B2B14">
      <w:pPr>
        <w:numPr>
          <w:ilvl w:val="1"/>
          <w:numId w:val="2"/>
        </w:numPr>
        <w:spacing w:after="120"/>
        <w:rPr>
          <w:rFonts w:asciiTheme="minorHAnsi" w:hAnsiTheme="minorHAnsi"/>
          <w:bCs/>
        </w:rPr>
      </w:pPr>
      <w:r w:rsidRPr="000526BE">
        <w:rPr>
          <w:rFonts w:asciiTheme="minorHAnsi" w:hAnsiTheme="minorHAnsi"/>
          <w:bCs/>
        </w:rPr>
        <w:t>The PBAC noted and welcomed the input from health care professionals (</w:t>
      </w:r>
      <w:r w:rsidR="00CD764C" w:rsidRPr="000526BE">
        <w:rPr>
          <w:rFonts w:asciiTheme="minorHAnsi" w:hAnsiTheme="minorHAnsi"/>
          <w:bCs/>
        </w:rPr>
        <w:t>6) and organisations (3</w:t>
      </w:r>
      <w:r w:rsidRPr="000526BE">
        <w:rPr>
          <w:rFonts w:asciiTheme="minorHAnsi" w:hAnsiTheme="minorHAnsi"/>
          <w:bCs/>
        </w:rPr>
        <w:t>) via the Consumer Comment</w:t>
      </w:r>
      <w:r w:rsidR="009B2B14" w:rsidRPr="000526BE">
        <w:rPr>
          <w:rFonts w:asciiTheme="minorHAnsi" w:hAnsiTheme="minorHAnsi"/>
          <w:bCs/>
        </w:rPr>
        <w:t xml:space="preserve">s facility on the PBS website. </w:t>
      </w:r>
      <w:r w:rsidRPr="000526BE">
        <w:rPr>
          <w:rFonts w:asciiTheme="minorHAnsi" w:hAnsiTheme="minorHAnsi"/>
          <w:bCs/>
        </w:rPr>
        <w:t xml:space="preserve">The comments </w:t>
      </w:r>
      <w:r w:rsidR="009B2B14" w:rsidRPr="000526BE">
        <w:rPr>
          <w:rFonts w:asciiTheme="minorHAnsi" w:hAnsiTheme="minorHAnsi"/>
          <w:bCs/>
        </w:rPr>
        <w:t>were all supportive of</w:t>
      </w:r>
      <w:r w:rsidR="00584F1A" w:rsidRPr="000526BE">
        <w:rPr>
          <w:rFonts w:asciiTheme="minorHAnsi" w:hAnsiTheme="minorHAnsi"/>
          <w:bCs/>
        </w:rPr>
        <w:t xml:space="preserve"> </w:t>
      </w:r>
      <w:r w:rsidR="00F93C99" w:rsidRPr="000526BE">
        <w:rPr>
          <w:rFonts w:asciiTheme="minorHAnsi" w:hAnsiTheme="minorHAnsi"/>
          <w:bCs/>
        </w:rPr>
        <w:t xml:space="preserve">T-DM1 as </w:t>
      </w:r>
      <w:r w:rsidR="00584F1A" w:rsidRPr="000526BE">
        <w:rPr>
          <w:rFonts w:asciiTheme="minorHAnsi" w:hAnsiTheme="minorHAnsi"/>
          <w:bCs/>
        </w:rPr>
        <w:t>adjuvant</w:t>
      </w:r>
      <w:r w:rsidR="009B2B14" w:rsidRPr="000526BE">
        <w:rPr>
          <w:rFonts w:asciiTheme="minorHAnsi" w:hAnsiTheme="minorHAnsi"/>
          <w:bCs/>
        </w:rPr>
        <w:t xml:space="preserve"> treatment </w:t>
      </w:r>
      <w:r w:rsidR="00F93C99" w:rsidRPr="000526BE">
        <w:rPr>
          <w:rFonts w:asciiTheme="minorHAnsi" w:hAnsiTheme="minorHAnsi"/>
          <w:bCs/>
        </w:rPr>
        <w:t>in eBC</w:t>
      </w:r>
      <w:r w:rsidR="009B2B14" w:rsidRPr="000526BE">
        <w:rPr>
          <w:rFonts w:asciiTheme="minorHAnsi" w:hAnsiTheme="minorHAnsi"/>
          <w:bCs/>
        </w:rPr>
        <w:t xml:space="preserve">. The comments </w:t>
      </w:r>
      <w:r w:rsidR="009C6960" w:rsidRPr="000526BE">
        <w:rPr>
          <w:rFonts w:asciiTheme="minorHAnsi" w:hAnsiTheme="minorHAnsi"/>
          <w:bCs/>
        </w:rPr>
        <w:t xml:space="preserve">noted </w:t>
      </w:r>
      <w:r w:rsidR="009B2B14" w:rsidRPr="000526BE">
        <w:rPr>
          <w:rFonts w:asciiTheme="minorHAnsi" w:hAnsiTheme="minorHAnsi"/>
          <w:bCs/>
        </w:rPr>
        <w:t>the</w:t>
      </w:r>
      <w:r w:rsidR="003F09CF" w:rsidRPr="000526BE">
        <w:rPr>
          <w:rFonts w:asciiTheme="minorHAnsi" w:hAnsiTheme="minorHAnsi"/>
          <w:bCs/>
        </w:rPr>
        <w:t xml:space="preserve"> significant improvement in </w:t>
      </w:r>
      <w:r w:rsidR="003B2213" w:rsidRPr="000526BE">
        <w:rPr>
          <w:rFonts w:asciiTheme="minorHAnsi" w:hAnsiTheme="minorHAnsi"/>
          <w:bCs/>
        </w:rPr>
        <w:t>disease-free survival</w:t>
      </w:r>
      <w:r w:rsidR="009B2B14" w:rsidRPr="000526BE">
        <w:rPr>
          <w:rFonts w:asciiTheme="minorHAnsi" w:hAnsiTheme="minorHAnsi"/>
          <w:bCs/>
        </w:rPr>
        <w:t xml:space="preserve"> for patients with HER2 positive </w:t>
      </w:r>
      <w:r w:rsidR="00FC1CBC" w:rsidRPr="000526BE">
        <w:rPr>
          <w:rFonts w:asciiTheme="minorHAnsi" w:hAnsiTheme="minorHAnsi"/>
          <w:bCs/>
        </w:rPr>
        <w:t xml:space="preserve">eBC </w:t>
      </w:r>
      <w:r w:rsidR="009B2B14" w:rsidRPr="000526BE">
        <w:rPr>
          <w:rFonts w:asciiTheme="minorHAnsi" w:hAnsiTheme="minorHAnsi"/>
          <w:bCs/>
        </w:rPr>
        <w:t>who have a poor response to neoadjuvant chemotherapy as demonstrated in the KATHERINE trial.</w:t>
      </w:r>
      <w:r w:rsidR="003B2213" w:rsidRPr="000526BE">
        <w:rPr>
          <w:rFonts w:asciiTheme="minorHAnsi" w:hAnsiTheme="minorHAnsi"/>
          <w:bCs/>
        </w:rPr>
        <w:t xml:space="preserve"> The comments noted that the results would </w:t>
      </w:r>
      <w:r w:rsidR="005B57ED" w:rsidRPr="000526BE">
        <w:rPr>
          <w:rFonts w:asciiTheme="minorHAnsi" w:hAnsiTheme="minorHAnsi"/>
          <w:bCs/>
        </w:rPr>
        <w:t xml:space="preserve">be expected to </w:t>
      </w:r>
      <w:r w:rsidR="003B2213" w:rsidRPr="000526BE">
        <w:rPr>
          <w:rFonts w:asciiTheme="minorHAnsi" w:hAnsiTheme="minorHAnsi"/>
          <w:bCs/>
        </w:rPr>
        <w:t>translate to improved overall survival with longer follow-up.</w:t>
      </w:r>
      <w:r w:rsidR="009B2B14" w:rsidRPr="000526BE">
        <w:rPr>
          <w:rFonts w:asciiTheme="minorHAnsi" w:hAnsiTheme="minorHAnsi"/>
          <w:bCs/>
        </w:rPr>
        <w:t xml:space="preserve"> The comments from health professionals noted that the KATHERINE trial established T-DM1 as a </w:t>
      </w:r>
      <w:r w:rsidR="009C6960" w:rsidRPr="000526BE">
        <w:rPr>
          <w:rFonts w:asciiTheme="minorHAnsi" w:hAnsiTheme="minorHAnsi"/>
          <w:bCs/>
        </w:rPr>
        <w:t>new standard</w:t>
      </w:r>
      <w:r w:rsidR="009B2B14" w:rsidRPr="000526BE">
        <w:rPr>
          <w:rFonts w:asciiTheme="minorHAnsi" w:hAnsiTheme="minorHAnsi"/>
          <w:bCs/>
        </w:rPr>
        <w:t xml:space="preserve"> of care for patients with this subtype of breast cancer [</w:t>
      </w:r>
      <w:r w:rsidR="00212621" w:rsidRPr="000526BE">
        <w:rPr>
          <w:rFonts w:asciiTheme="minorHAnsi" w:hAnsiTheme="minorHAnsi"/>
          <w:bCs/>
        </w:rPr>
        <w:t xml:space="preserve">HER2-positive, </w:t>
      </w:r>
      <w:r w:rsidR="009B2B14" w:rsidRPr="000526BE">
        <w:rPr>
          <w:rFonts w:asciiTheme="minorHAnsi" w:hAnsiTheme="minorHAnsi"/>
          <w:bCs/>
        </w:rPr>
        <w:t>high risk of recurrence]</w:t>
      </w:r>
      <w:r w:rsidR="00A7704E" w:rsidRPr="000526BE">
        <w:rPr>
          <w:rFonts w:asciiTheme="minorHAnsi" w:hAnsiTheme="minorHAnsi"/>
          <w:bCs/>
        </w:rPr>
        <w:t xml:space="preserve"> </w:t>
      </w:r>
      <w:r w:rsidR="009B2B14" w:rsidRPr="000526BE">
        <w:rPr>
          <w:rFonts w:asciiTheme="minorHAnsi" w:hAnsiTheme="minorHAnsi"/>
          <w:bCs/>
        </w:rPr>
        <w:t xml:space="preserve">which previously had a poor prognosis. The comments </w:t>
      </w:r>
      <w:r w:rsidR="005B57ED" w:rsidRPr="000526BE">
        <w:rPr>
          <w:rFonts w:asciiTheme="minorHAnsi" w:hAnsiTheme="minorHAnsi"/>
          <w:bCs/>
        </w:rPr>
        <w:t xml:space="preserve">from health care professionals </w:t>
      </w:r>
      <w:r w:rsidR="009B2B14" w:rsidRPr="000526BE">
        <w:rPr>
          <w:rFonts w:asciiTheme="minorHAnsi" w:hAnsiTheme="minorHAnsi"/>
          <w:bCs/>
        </w:rPr>
        <w:t xml:space="preserve">noted that T-DM1 is well </w:t>
      </w:r>
      <w:r w:rsidR="00455A7C" w:rsidRPr="000526BE">
        <w:rPr>
          <w:rFonts w:asciiTheme="minorHAnsi" w:hAnsiTheme="minorHAnsi"/>
          <w:bCs/>
        </w:rPr>
        <w:t xml:space="preserve">established </w:t>
      </w:r>
      <w:r w:rsidR="009B2B14" w:rsidRPr="000526BE">
        <w:rPr>
          <w:rFonts w:asciiTheme="minorHAnsi" w:hAnsiTheme="minorHAnsi"/>
          <w:bCs/>
        </w:rPr>
        <w:t xml:space="preserve">in the advanced </w:t>
      </w:r>
      <w:r w:rsidR="00455A7C" w:rsidRPr="000526BE">
        <w:rPr>
          <w:rFonts w:asciiTheme="minorHAnsi" w:hAnsiTheme="minorHAnsi"/>
          <w:bCs/>
        </w:rPr>
        <w:t xml:space="preserve">breast cancer </w:t>
      </w:r>
      <w:r w:rsidR="009B2B14" w:rsidRPr="000526BE">
        <w:rPr>
          <w:rFonts w:asciiTheme="minorHAnsi" w:hAnsiTheme="minorHAnsi"/>
          <w:bCs/>
        </w:rPr>
        <w:t xml:space="preserve">setting and its side effects are </w:t>
      </w:r>
      <w:r w:rsidR="00455A7C" w:rsidRPr="000526BE">
        <w:rPr>
          <w:rFonts w:asciiTheme="minorHAnsi" w:hAnsiTheme="minorHAnsi"/>
          <w:bCs/>
        </w:rPr>
        <w:t>manageabl</w:t>
      </w:r>
      <w:r w:rsidR="009B2B14" w:rsidRPr="000526BE">
        <w:rPr>
          <w:rFonts w:asciiTheme="minorHAnsi" w:hAnsiTheme="minorHAnsi"/>
          <w:bCs/>
        </w:rPr>
        <w:t xml:space="preserve">e. </w:t>
      </w:r>
    </w:p>
    <w:p w:rsidR="00A2058D" w:rsidRPr="000526BE" w:rsidRDefault="00A2058D" w:rsidP="00A2058D">
      <w:pPr>
        <w:numPr>
          <w:ilvl w:val="1"/>
          <w:numId w:val="2"/>
        </w:numPr>
        <w:spacing w:after="120"/>
        <w:rPr>
          <w:rFonts w:asciiTheme="minorHAnsi" w:hAnsiTheme="minorHAnsi"/>
          <w:bCs/>
        </w:rPr>
      </w:pPr>
      <w:r w:rsidRPr="000526BE">
        <w:rPr>
          <w:rFonts w:asciiTheme="minorHAnsi" w:hAnsiTheme="minorHAnsi"/>
          <w:bCs/>
        </w:rPr>
        <w:t xml:space="preserve">The PBAC noted the advice received from </w:t>
      </w:r>
      <w:r w:rsidR="006C6465" w:rsidRPr="000526BE">
        <w:rPr>
          <w:rFonts w:asciiTheme="minorHAnsi" w:hAnsiTheme="minorHAnsi"/>
          <w:bCs/>
        </w:rPr>
        <w:t>Breast Cancer Network Australia (BCNA)</w:t>
      </w:r>
      <w:r w:rsidRPr="000526BE">
        <w:rPr>
          <w:rFonts w:asciiTheme="minorHAnsi" w:hAnsiTheme="minorHAnsi"/>
          <w:bCs/>
        </w:rPr>
        <w:t xml:space="preserve"> clarifying the likely use of </w:t>
      </w:r>
      <w:r w:rsidR="006C6465" w:rsidRPr="000526BE">
        <w:rPr>
          <w:rFonts w:asciiTheme="minorHAnsi" w:hAnsiTheme="minorHAnsi"/>
          <w:bCs/>
        </w:rPr>
        <w:t xml:space="preserve">T-DM1 </w:t>
      </w:r>
      <w:r w:rsidRPr="000526BE">
        <w:rPr>
          <w:rFonts w:asciiTheme="minorHAnsi" w:hAnsiTheme="minorHAnsi"/>
          <w:bCs/>
        </w:rPr>
        <w:t xml:space="preserve">in clinical practice.  The PBAC specifically noted the use of </w:t>
      </w:r>
      <w:r w:rsidR="00DF7F82" w:rsidRPr="000526BE">
        <w:rPr>
          <w:rFonts w:asciiTheme="minorHAnsi" w:hAnsiTheme="minorHAnsi"/>
          <w:bCs/>
        </w:rPr>
        <w:t>T-DM1</w:t>
      </w:r>
      <w:r w:rsidRPr="000526BE">
        <w:rPr>
          <w:rFonts w:asciiTheme="minorHAnsi" w:hAnsiTheme="minorHAnsi"/>
          <w:bCs/>
        </w:rPr>
        <w:t xml:space="preserve"> </w:t>
      </w:r>
      <w:r w:rsidR="002A5EC0" w:rsidRPr="000526BE">
        <w:rPr>
          <w:rFonts w:asciiTheme="minorHAnsi" w:hAnsiTheme="minorHAnsi"/>
          <w:bCs/>
        </w:rPr>
        <w:t xml:space="preserve">will provide patients who do not have </w:t>
      </w:r>
      <w:r w:rsidR="00692866">
        <w:rPr>
          <w:rFonts w:asciiTheme="minorHAnsi" w:hAnsiTheme="minorHAnsi"/>
          <w:bCs/>
        </w:rPr>
        <w:t xml:space="preserve">a </w:t>
      </w:r>
      <w:r w:rsidR="002A5EC0" w:rsidRPr="000526BE">
        <w:rPr>
          <w:rFonts w:asciiTheme="minorHAnsi" w:hAnsiTheme="minorHAnsi"/>
          <w:bCs/>
        </w:rPr>
        <w:t>pCR following neoadjuvant treatment</w:t>
      </w:r>
      <w:r w:rsidR="00FC6A02">
        <w:rPr>
          <w:rFonts w:asciiTheme="minorHAnsi" w:hAnsiTheme="minorHAnsi"/>
          <w:bCs/>
        </w:rPr>
        <w:t>,</w:t>
      </w:r>
      <w:r w:rsidR="002A5EC0" w:rsidRPr="000526BE">
        <w:rPr>
          <w:rFonts w:asciiTheme="minorHAnsi" w:hAnsiTheme="minorHAnsi"/>
          <w:bCs/>
        </w:rPr>
        <w:t xml:space="preserve"> with a new treatment option in this setting. The BCNA noted that T-DM1 </w:t>
      </w:r>
      <w:r w:rsidR="003B2213" w:rsidRPr="000526BE">
        <w:rPr>
          <w:rFonts w:asciiTheme="minorHAnsi" w:hAnsiTheme="minorHAnsi"/>
          <w:bCs/>
        </w:rPr>
        <w:t>i</w:t>
      </w:r>
      <w:r w:rsidR="002A5EC0" w:rsidRPr="000526BE">
        <w:rPr>
          <w:rFonts w:asciiTheme="minorHAnsi" w:hAnsiTheme="minorHAnsi"/>
          <w:bCs/>
        </w:rPr>
        <w:t xml:space="preserve">s an effective treatment for people who may otherwise have a higher risk of developing metastatic disease. </w:t>
      </w:r>
      <w:r w:rsidR="00865AC9" w:rsidRPr="000526BE">
        <w:rPr>
          <w:rFonts w:asciiTheme="minorHAnsi" w:hAnsiTheme="minorHAnsi"/>
          <w:bCs/>
        </w:rPr>
        <w:t>The BCNA noted the high financial cost of accessing T-DM1</w:t>
      </w:r>
      <w:r w:rsidR="005B57ED" w:rsidRPr="000526BE">
        <w:rPr>
          <w:rFonts w:asciiTheme="minorHAnsi" w:hAnsiTheme="minorHAnsi"/>
          <w:bCs/>
        </w:rPr>
        <w:t xml:space="preserve"> privately</w:t>
      </w:r>
      <w:r w:rsidR="00865AC9" w:rsidRPr="000526BE">
        <w:rPr>
          <w:rFonts w:asciiTheme="minorHAnsi" w:hAnsiTheme="minorHAnsi"/>
          <w:bCs/>
        </w:rPr>
        <w:t xml:space="preserve"> and that listing it on the PBS would allow more equitable access to this effective therapy. </w:t>
      </w:r>
      <w:r w:rsidR="002A5EC0" w:rsidRPr="000526BE">
        <w:rPr>
          <w:rFonts w:asciiTheme="minorHAnsi" w:hAnsiTheme="minorHAnsi"/>
          <w:bCs/>
        </w:rPr>
        <w:t>The BCNA also noted that listing T-DM1 would have potential savings to the Australian health budget if fewer people go on to develop metastatic disease.</w:t>
      </w:r>
      <w:r w:rsidRPr="000526BE">
        <w:rPr>
          <w:rFonts w:asciiTheme="minorHAnsi" w:hAnsiTheme="minorHAnsi"/>
          <w:bCs/>
        </w:rPr>
        <w:t xml:space="preserve"> The PBAC noted that this advice was supportive of the evide</w:t>
      </w:r>
      <w:r w:rsidR="00DF7F82" w:rsidRPr="000526BE">
        <w:rPr>
          <w:rFonts w:asciiTheme="minorHAnsi" w:hAnsiTheme="minorHAnsi"/>
          <w:bCs/>
        </w:rPr>
        <w:t>nce provided in the submission.</w:t>
      </w:r>
      <w:r w:rsidR="002A5EC0" w:rsidRPr="000526BE">
        <w:rPr>
          <w:rFonts w:asciiTheme="minorHAnsi" w:hAnsiTheme="minorHAnsi"/>
          <w:bCs/>
        </w:rPr>
        <w:t xml:space="preserve"> </w:t>
      </w:r>
    </w:p>
    <w:p w:rsidR="00A2058D" w:rsidRPr="000526BE" w:rsidRDefault="00A2058D" w:rsidP="009F74D9">
      <w:pPr>
        <w:numPr>
          <w:ilvl w:val="1"/>
          <w:numId w:val="2"/>
        </w:numPr>
        <w:spacing w:after="120"/>
        <w:rPr>
          <w:rFonts w:asciiTheme="minorHAnsi" w:hAnsiTheme="minorHAnsi"/>
          <w:bCs/>
        </w:rPr>
      </w:pPr>
      <w:r w:rsidRPr="000526BE">
        <w:rPr>
          <w:rFonts w:asciiTheme="minorHAnsi" w:hAnsiTheme="minorHAnsi"/>
          <w:bCs/>
        </w:rPr>
        <w:t xml:space="preserve">The Medical Oncology Group of Australia (MOGA) </w:t>
      </w:r>
      <w:r w:rsidR="002A5EC0" w:rsidRPr="000526BE">
        <w:rPr>
          <w:rFonts w:asciiTheme="minorHAnsi" w:hAnsiTheme="minorHAnsi"/>
          <w:bCs/>
        </w:rPr>
        <w:t xml:space="preserve">and its Breast Cancer Expert Group </w:t>
      </w:r>
      <w:r w:rsidRPr="000526BE">
        <w:rPr>
          <w:rFonts w:asciiTheme="minorHAnsi" w:hAnsiTheme="minorHAnsi"/>
          <w:bCs/>
        </w:rPr>
        <w:t xml:space="preserve">also expressed strong support for the </w:t>
      </w:r>
      <w:r w:rsidR="00ED7DAD" w:rsidRPr="000526BE">
        <w:rPr>
          <w:rFonts w:asciiTheme="minorHAnsi" w:hAnsiTheme="minorHAnsi"/>
          <w:bCs/>
        </w:rPr>
        <w:t xml:space="preserve">T-DM1 </w:t>
      </w:r>
      <w:r w:rsidRPr="000526BE">
        <w:rPr>
          <w:rFonts w:asciiTheme="minorHAnsi" w:hAnsiTheme="minorHAnsi"/>
          <w:bCs/>
        </w:rPr>
        <w:t xml:space="preserve">submission, categorising it as one of the therapies of “highest priority for PBS listing” on the </w:t>
      </w:r>
      <w:r w:rsidR="00D705A5" w:rsidRPr="000526BE">
        <w:rPr>
          <w:rFonts w:asciiTheme="minorHAnsi" w:hAnsiTheme="minorHAnsi"/>
          <w:bCs/>
        </w:rPr>
        <w:t>basis of improved disease free survival in the KATHERINE trial, but noting that the OS benefit was immature</w:t>
      </w:r>
      <w:r w:rsidRPr="000526BE">
        <w:rPr>
          <w:rFonts w:asciiTheme="minorHAnsi" w:hAnsiTheme="minorHAnsi"/>
          <w:bCs/>
        </w:rPr>
        <w:t xml:space="preserve">. The PBAC noted that the MOGA presented a European Society for Medical Oncology Magnitude of Clinical Benefit Scale (ESMO-MCBS) for </w:t>
      </w:r>
      <w:r w:rsidR="009F74D9" w:rsidRPr="000526BE">
        <w:rPr>
          <w:rFonts w:asciiTheme="minorHAnsi" w:hAnsiTheme="minorHAnsi"/>
          <w:bCs/>
        </w:rPr>
        <w:t>T-DM1</w:t>
      </w:r>
      <w:r w:rsidRPr="000526BE">
        <w:rPr>
          <w:rFonts w:asciiTheme="minorHAnsi" w:hAnsiTheme="minorHAnsi"/>
          <w:bCs/>
        </w:rPr>
        <w:t xml:space="preserve">, </w:t>
      </w:r>
      <w:r w:rsidR="009F74D9" w:rsidRPr="000526BE">
        <w:rPr>
          <w:rFonts w:asciiTheme="minorHAnsi" w:hAnsiTheme="minorHAnsi"/>
          <w:bCs/>
        </w:rPr>
        <w:t>which was grade A (out of A, B and C, where A and B represent the grades with substantial improvement for new approaches to adjuvant therapy or new potentially curative therapies)</w:t>
      </w:r>
      <w:r w:rsidR="009F74D9" w:rsidRPr="000526BE">
        <w:rPr>
          <w:rStyle w:val="FootnoteReference"/>
          <w:rFonts w:asciiTheme="minorHAnsi" w:hAnsiTheme="minorHAnsi"/>
          <w:bCs/>
        </w:rPr>
        <w:footnoteReference w:id="2"/>
      </w:r>
      <w:r w:rsidRPr="000526BE">
        <w:rPr>
          <w:rFonts w:asciiTheme="minorHAnsi" w:hAnsiTheme="minorHAnsi"/>
          <w:bCs/>
        </w:rPr>
        <w:t>, ba</w:t>
      </w:r>
      <w:r w:rsidR="009F74D9" w:rsidRPr="000526BE">
        <w:rPr>
          <w:rFonts w:asciiTheme="minorHAnsi" w:hAnsiTheme="minorHAnsi"/>
          <w:bCs/>
        </w:rPr>
        <w:t>sed on a comparison with trastuzumab alone.</w:t>
      </w:r>
      <w:r w:rsidR="002A5EC0" w:rsidRPr="000526BE">
        <w:rPr>
          <w:rFonts w:asciiTheme="minorHAnsi" w:hAnsiTheme="minorHAnsi"/>
          <w:bCs/>
        </w:rPr>
        <w:t xml:space="preserve"> </w:t>
      </w:r>
    </w:p>
    <w:p w:rsidR="00B61A0B" w:rsidRPr="000526BE" w:rsidRDefault="00B61A0B" w:rsidP="00062579">
      <w:pPr>
        <w:pStyle w:val="Heading2"/>
        <w:spacing w:after="120"/>
      </w:pPr>
      <w:r w:rsidRPr="000526BE">
        <w:t>Clinical trials</w:t>
      </w:r>
      <w:bookmarkEnd w:id="8"/>
    </w:p>
    <w:p w:rsidR="00B61A0B" w:rsidRPr="000526BE" w:rsidRDefault="00B61A0B" w:rsidP="00A2058D">
      <w:pPr>
        <w:pStyle w:val="ListParagraph"/>
        <w:numPr>
          <w:ilvl w:val="1"/>
          <w:numId w:val="2"/>
        </w:numPr>
      </w:pPr>
      <w:r w:rsidRPr="000526BE">
        <w:rPr>
          <w:rFonts w:cs="Calibri"/>
          <w:snapToGrid/>
          <w:szCs w:val="24"/>
          <w:lang w:eastAsia="en-AU"/>
        </w:rPr>
        <w:t xml:space="preserve">The submission was based on one head-to-head randomised controlled trial (RCT), KATHERINE, comparing T-DM1 to trastuzumab. Details of the trial presented in the submission are provided in Table </w:t>
      </w:r>
      <w:r w:rsidR="001A48D9">
        <w:rPr>
          <w:rFonts w:cs="Calibri"/>
          <w:snapToGrid/>
          <w:szCs w:val="24"/>
          <w:lang w:eastAsia="en-AU"/>
        </w:rPr>
        <w:t>2</w:t>
      </w:r>
      <w:r w:rsidRPr="000526BE">
        <w:rPr>
          <w:rFonts w:cs="Calibri"/>
          <w:snapToGrid/>
          <w:szCs w:val="24"/>
          <w:lang w:eastAsia="en-AU"/>
        </w:rPr>
        <w:t xml:space="preserve">.  </w:t>
      </w:r>
    </w:p>
    <w:p w:rsidR="00B61A0B" w:rsidRPr="000526BE" w:rsidRDefault="001A48D9" w:rsidP="00F03ED8">
      <w:pPr>
        <w:keepNext/>
        <w:keepLines/>
        <w:widowControl/>
        <w:rPr>
          <w:rStyle w:val="CommentReference"/>
        </w:rPr>
      </w:pPr>
      <w:r>
        <w:rPr>
          <w:rStyle w:val="CommentReference"/>
        </w:rPr>
        <w:t>Table 2</w:t>
      </w:r>
      <w:r w:rsidR="00B61A0B" w:rsidRPr="000526BE">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B61A0B" w:rsidRPr="000526BE" w:rsidTr="007A7D2F">
        <w:trPr>
          <w:tblHeader/>
        </w:trPr>
        <w:tc>
          <w:tcPr>
            <w:tcW w:w="795" w:type="pct"/>
            <w:tcBorders>
              <w:bottom w:val="single" w:sz="4" w:space="0" w:color="auto"/>
            </w:tcBorders>
            <w:vAlign w:val="center"/>
          </w:tcPr>
          <w:p w:rsidR="00B61A0B" w:rsidRPr="000526BE" w:rsidRDefault="00B61A0B" w:rsidP="00F03ED8">
            <w:pPr>
              <w:pStyle w:val="Tabletext"/>
              <w:keepNext/>
              <w:keepLines/>
              <w:rPr>
                <w:b/>
              </w:rPr>
            </w:pPr>
            <w:r w:rsidRPr="000526BE">
              <w:rPr>
                <w:b/>
              </w:rPr>
              <w:t>Trial ID</w:t>
            </w:r>
          </w:p>
        </w:tc>
        <w:tc>
          <w:tcPr>
            <w:tcW w:w="2803" w:type="pct"/>
            <w:vAlign w:val="center"/>
          </w:tcPr>
          <w:p w:rsidR="00B61A0B" w:rsidRPr="000526BE" w:rsidRDefault="00B61A0B" w:rsidP="00F03ED8">
            <w:pPr>
              <w:pStyle w:val="Tabletext"/>
              <w:keepNext/>
              <w:keepLines/>
              <w:jc w:val="center"/>
              <w:rPr>
                <w:b/>
              </w:rPr>
            </w:pPr>
            <w:r w:rsidRPr="000526BE">
              <w:rPr>
                <w:b/>
              </w:rPr>
              <w:t>Protocol title/ Publication title</w:t>
            </w:r>
          </w:p>
        </w:tc>
        <w:tc>
          <w:tcPr>
            <w:tcW w:w="1402" w:type="pct"/>
            <w:tcBorders>
              <w:bottom w:val="single" w:sz="4" w:space="0" w:color="auto"/>
            </w:tcBorders>
            <w:vAlign w:val="center"/>
          </w:tcPr>
          <w:p w:rsidR="00B61A0B" w:rsidRPr="000526BE" w:rsidRDefault="00B61A0B" w:rsidP="00F03ED8">
            <w:pPr>
              <w:pStyle w:val="Tabletext"/>
              <w:keepNext/>
              <w:keepLines/>
              <w:jc w:val="center"/>
              <w:rPr>
                <w:b/>
              </w:rPr>
            </w:pPr>
            <w:r w:rsidRPr="000526BE">
              <w:rPr>
                <w:b/>
              </w:rPr>
              <w:t>Publication citation</w:t>
            </w:r>
          </w:p>
        </w:tc>
      </w:tr>
      <w:tr w:rsidR="00B61A0B" w:rsidRPr="000526BE" w:rsidTr="007A7D2F">
        <w:tc>
          <w:tcPr>
            <w:tcW w:w="795" w:type="pct"/>
            <w:tcBorders>
              <w:bottom w:val="nil"/>
            </w:tcBorders>
            <w:vAlign w:val="center"/>
          </w:tcPr>
          <w:p w:rsidR="00B61A0B" w:rsidRPr="000526BE" w:rsidRDefault="00B61A0B" w:rsidP="00F03ED8">
            <w:pPr>
              <w:pStyle w:val="Tabletext"/>
              <w:keepNext/>
              <w:keepLines/>
              <w:rPr>
                <w:rFonts w:ascii="Times" w:hAnsi="Times"/>
              </w:rPr>
            </w:pPr>
          </w:p>
        </w:tc>
        <w:tc>
          <w:tcPr>
            <w:tcW w:w="2803" w:type="pct"/>
            <w:tcBorders>
              <w:bottom w:val="nil"/>
            </w:tcBorders>
          </w:tcPr>
          <w:p w:rsidR="00B61A0B" w:rsidRPr="000526BE" w:rsidRDefault="00B61A0B" w:rsidP="00F03ED8">
            <w:pPr>
              <w:pStyle w:val="Tabletext"/>
              <w:keepNext/>
              <w:keepLines/>
              <w:rPr>
                <w:szCs w:val="18"/>
                <w:lang w:eastAsia="en-AU"/>
              </w:rPr>
            </w:pPr>
            <w:r w:rsidRPr="000526BE">
              <w:rPr>
                <w:szCs w:val="18"/>
                <w:lang w:eastAsia="en-AU"/>
              </w:rPr>
              <w:t xml:space="preserve">A randomised, multicentre, open-label Phase III Study to evaluate the efficacy and safety of trastuzumab emtansine versus trastuzumab as adjuvant therapy for patients with HER2+ primary breast cancer who have residual tumour present pathologically in the breast or axillary lymph nodes following preoperative therapy. </w:t>
            </w:r>
          </w:p>
          <w:p w:rsidR="00B61A0B" w:rsidRPr="000526BE" w:rsidRDefault="00B61A0B" w:rsidP="00F03ED8">
            <w:pPr>
              <w:pStyle w:val="Tabletext"/>
              <w:keepNext/>
              <w:keepLines/>
              <w:rPr>
                <w:szCs w:val="18"/>
              </w:rPr>
            </w:pPr>
          </w:p>
        </w:tc>
        <w:tc>
          <w:tcPr>
            <w:tcW w:w="1402" w:type="pct"/>
            <w:tcBorders>
              <w:bottom w:val="nil"/>
            </w:tcBorders>
          </w:tcPr>
          <w:p w:rsidR="00B61A0B" w:rsidRPr="000526BE" w:rsidRDefault="00B61A0B" w:rsidP="00F03ED8">
            <w:pPr>
              <w:pStyle w:val="Tabletext"/>
              <w:keepNext/>
              <w:keepLines/>
              <w:rPr>
                <w:rFonts w:ascii="Times" w:hAnsi="Times"/>
              </w:rPr>
            </w:pPr>
            <w:r w:rsidRPr="000526BE">
              <w:rPr>
                <w:szCs w:val="18"/>
                <w:lang w:eastAsia="en-AU"/>
              </w:rPr>
              <w:t xml:space="preserve">KATHERINE CSR, Report No. 1087528, </w:t>
            </w:r>
            <w:r w:rsidRPr="000526BE">
              <w:t>January 2019</w:t>
            </w:r>
          </w:p>
        </w:tc>
      </w:tr>
      <w:tr w:rsidR="00B61A0B" w:rsidRPr="000526BE" w:rsidTr="007A7D2F">
        <w:tc>
          <w:tcPr>
            <w:tcW w:w="795" w:type="pct"/>
            <w:tcBorders>
              <w:top w:val="nil"/>
              <w:bottom w:val="nil"/>
            </w:tcBorders>
            <w:vAlign w:val="center"/>
          </w:tcPr>
          <w:p w:rsidR="00B61A0B" w:rsidRPr="000526BE" w:rsidRDefault="00B61A0B" w:rsidP="00F03ED8">
            <w:pPr>
              <w:pStyle w:val="Tabletext"/>
              <w:keepNext/>
              <w:keepLines/>
            </w:pPr>
            <w:r w:rsidRPr="000526BE">
              <w:t>KATHERINE</w:t>
            </w:r>
          </w:p>
        </w:tc>
        <w:tc>
          <w:tcPr>
            <w:tcW w:w="2803" w:type="pct"/>
            <w:tcBorders>
              <w:top w:val="nil"/>
              <w:bottom w:val="nil"/>
            </w:tcBorders>
            <w:vAlign w:val="center"/>
          </w:tcPr>
          <w:p w:rsidR="00B61A0B" w:rsidRPr="000526BE" w:rsidRDefault="00B61A0B" w:rsidP="00F03ED8">
            <w:pPr>
              <w:pStyle w:val="Tabletext"/>
              <w:keepNext/>
              <w:keepLines/>
              <w:rPr>
                <w:szCs w:val="18"/>
                <w:lang w:eastAsia="en-AU"/>
              </w:rPr>
            </w:pPr>
            <w:r w:rsidRPr="000526BE">
              <w:rPr>
                <w:szCs w:val="18"/>
                <w:lang w:eastAsia="en-AU"/>
              </w:rPr>
              <w:t xml:space="preserve">Main Report: (KATHERINE CSR 2019), Clinical Appendix. </w:t>
            </w:r>
          </w:p>
          <w:p w:rsidR="00B61A0B" w:rsidRPr="000526BE" w:rsidRDefault="00B61A0B" w:rsidP="00F03ED8">
            <w:pPr>
              <w:pStyle w:val="Tabletext"/>
              <w:keepNext/>
              <w:keepLines/>
              <w:rPr>
                <w:szCs w:val="18"/>
                <w:lang w:eastAsia="en-AU"/>
              </w:rPr>
            </w:pPr>
            <w:r w:rsidRPr="000526BE">
              <w:rPr>
                <w:szCs w:val="18"/>
                <w:lang w:eastAsia="en-AU"/>
              </w:rPr>
              <w:t>Clinical Study Report, Study BO27938, KATHERINE CSR, Report No. 1087528</w:t>
            </w:r>
          </w:p>
          <w:p w:rsidR="00B61A0B" w:rsidRPr="000526BE" w:rsidRDefault="00B61A0B" w:rsidP="00F03ED8">
            <w:pPr>
              <w:pStyle w:val="Tabletext"/>
              <w:keepNext/>
              <w:keepLines/>
              <w:rPr>
                <w:szCs w:val="18"/>
                <w:lang w:eastAsia="en-AU"/>
              </w:rPr>
            </w:pPr>
          </w:p>
          <w:p w:rsidR="00B61A0B" w:rsidRPr="000526BE" w:rsidRDefault="00B61A0B" w:rsidP="00F03ED8">
            <w:pPr>
              <w:pStyle w:val="Tabletext"/>
              <w:keepNext/>
              <w:keepLines/>
              <w:rPr>
                <w:szCs w:val="18"/>
                <w:lang w:eastAsia="en-AU"/>
              </w:rPr>
            </w:pPr>
            <w:r w:rsidRPr="000526BE">
              <w:rPr>
                <w:szCs w:val="18"/>
                <w:lang w:eastAsia="en-AU"/>
              </w:rPr>
              <w:t xml:space="preserve">von Minckwitz G, Huang CS, Mano MS, et al. Trastuzumab Emtansine for Residual Invasive HER2+ Breast Cancer. </w:t>
            </w:r>
          </w:p>
          <w:p w:rsidR="00B61A0B" w:rsidRPr="000526BE" w:rsidRDefault="00B61A0B" w:rsidP="00F03ED8">
            <w:pPr>
              <w:pStyle w:val="Tabletext"/>
              <w:keepNext/>
              <w:keepLines/>
              <w:rPr>
                <w:szCs w:val="18"/>
                <w:lang w:eastAsia="en-AU"/>
              </w:rPr>
            </w:pPr>
          </w:p>
        </w:tc>
        <w:tc>
          <w:tcPr>
            <w:tcW w:w="1402" w:type="pct"/>
            <w:tcBorders>
              <w:top w:val="nil"/>
              <w:bottom w:val="nil"/>
            </w:tcBorders>
            <w:vAlign w:val="center"/>
          </w:tcPr>
          <w:p w:rsidR="00B61A0B" w:rsidRPr="000526BE" w:rsidRDefault="00B61A0B" w:rsidP="00F03ED8">
            <w:pPr>
              <w:pStyle w:val="Tabletext"/>
              <w:keepNext/>
              <w:keepLines/>
              <w:rPr>
                <w:szCs w:val="18"/>
                <w:lang w:eastAsia="en-AU"/>
              </w:rPr>
            </w:pPr>
            <w:r w:rsidRPr="000526BE">
              <w:rPr>
                <w:i/>
                <w:szCs w:val="18"/>
                <w:lang w:eastAsia="en-AU"/>
              </w:rPr>
              <w:t>NEJM</w:t>
            </w:r>
            <w:r w:rsidRPr="000526BE">
              <w:rPr>
                <w:szCs w:val="18"/>
                <w:lang w:eastAsia="en-AU"/>
              </w:rPr>
              <w:t xml:space="preserve"> 2019; 380(7):617-28.</w:t>
            </w:r>
          </w:p>
        </w:tc>
      </w:tr>
      <w:tr w:rsidR="00B61A0B" w:rsidRPr="000526BE" w:rsidTr="007A7D2F">
        <w:tc>
          <w:tcPr>
            <w:tcW w:w="795" w:type="pct"/>
            <w:tcBorders>
              <w:top w:val="nil"/>
              <w:left w:val="single" w:sz="4" w:space="0" w:color="auto"/>
              <w:bottom w:val="single" w:sz="4" w:space="0" w:color="auto"/>
              <w:right w:val="single" w:sz="4" w:space="0" w:color="auto"/>
            </w:tcBorders>
            <w:vAlign w:val="center"/>
          </w:tcPr>
          <w:p w:rsidR="00B61A0B" w:rsidRPr="000526BE" w:rsidRDefault="00B61A0B" w:rsidP="00F03ED8">
            <w:pPr>
              <w:pStyle w:val="Tabletext"/>
              <w:keepNext/>
              <w:keepLines/>
            </w:pPr>
          </w:p>
        </w:tc>
        <w:tc>
          <w:tcPr>
            <w:tcW w:w="2803" w:type="pct"/>
            <w:tcBorders>
              <w:top w:val="nil"/>
              <w:left w:val="single" w:sz="4" w:space="0" w:color="auto"/>
              <w:bottom w:val="single" w:sz="4" w:space="0" w:color="auto"/>
              <w:right w:val="single" w:sz="4" w:space="0" w:color="auto"/>
            </w:tcBorders>
          </w:tcPr>
          <w:p w:rsidR="00B61A0B" w:rsidRPr="000526BE" w:rsidRDefault="00B61A0B" w:rsidP="00F03ED8">
            <w:pPr>
              <w:pStyle w:val="Tabletext"/>
              <w:keepNext/>
              <w:keepLines/>
              <w:rPr>
                <w:szCs w:val="18"/>
                <w:lang w:eastAsia="en-AU"/>
              </w:rPr>
            </w:pPr>
            <w:r w:rsidRPr="000526BE">
              <w:rPr>
                <w:szCs w:val="18"/>
                <w:lang w:eastAsia="en-AU"/>
              </w:rPr>
              <w:t>Schneeweiss A. Patient-reported outcomes (PROs) from KATHERINE: A phase III study of adjuvant trastuzumab emtansine (TDM1) versus trastuzumab (H) in patients (pts) with residual invasive disease after neoadjuvant therapy for HER2+</w:t>
            </w:r>
            <w:r w:rsidR="002D77F8" w:rsidRPr="000526BE">
              <w:rPr>
                <w:szCs w:val="18"/>
                <w:lang w:eastAsia="en-AU"/>
              </w:rPr>
              <w:t xml:space="preserve"> breast cancer. </w:t>
            </w:r>
          </w:p>
        </w:tc>
        <w:tc>
          <w:tcPr>
            <w:tcW w:w="1402" w:type="pct"/>
            <w:tcBorders>
              <w:top w:val="nil"/>
              <w:left w:val="single" w:sz="4" w:space="0" w:color="auto"/>
              <w:bottom w:val="single" w:sz="4" w:space="0" w:color="auto"/>
              <w:right w:val="single" w:sz="4" w:space="0" w:color="auto"/>
            </w:tcBorders>
          </w:tcPr>
          <w:p w:rsidR="00B61A0B" w:rsidRPr="000526BE" w:rsidRDefault="00B61A0B" w:rsidP="00F03ED8">
            <w:pPr>
              <w:pStyle w:val="Tabletext"/>
              <w:keepNext/>
              <w:keepLines/>
              <w:rPr>
                <w:szCs w:val="18"/>
                <w:lang w:eastAsia="en-AU"/>
              </w:rPr>
            </w:pPr>
            <w:r w:rsidRPr="000526BE">
              <w:rPr>
                <w:szCs w:val="18"/>
                <w:lang w:eastAsia="en-AU"/>
              </w:rPr>
              <w:t xml:space="preserve">ASCO Annual meeting. 2019; Poster session </w:t>
            </w:r>
          </w:p>
          <w:p w:rsidR="00B61A0B" w:rsidRPr="000526BE" w:rsidRDefault="00B61A0B" w:rsidP="00F03ED8">
            <w:pPr>
              <w:pStyle w:val="Tabletext"/>
              <w:keepNext/>
              <w:keepLines/>
              <w:rPr>
                <w:i/>
                <w:szCs w:val="18"/>
                <w:lang w:eastAsia="en-AU"/>
              </w:rPr>
            </w:pPr>
          </w:p>
        </w:tc>
      </w:tr>
    </w:tbl>
    <w:p w:rsidR="00B61A0B" w:rsidRPr="000526BE" w:rsidRDefault="00B61A0B" w:rsidP="00F03ED8">
      <w:pPr>
        <w:pStyle w:val="TableFooter"/>
        <w:keepNext/>
        <w:keepLines/>
        <w:widowControl/>
        <w:rPr>
          <w:sz w:val="20"/>
        </w:rPr>
      </w:pPr>
      <w:r w:rsidRPr="000526BE">
        <w:t>Source: Table 2.4, p41 and p73 of the submission.</w:t>
      </w:r>
    </w:p>
    <w:p w:rsidR="00B61A0B" w:rsidRPr="000526BE" w:rsidRDefault="00B61A0B" w:rsidP="00B61A0B">
      <w:pPr>
        <w:widowControl/>
      </w:pPr>
    </w:p>
    <w:p w:rsidR="00B61A0B" w:rsidRPr="000526BE" w:rsidRDefault="00B61A0B" w:rsidP="00A2058D">
      <w:pPr>
        <w:pStyle w:val="ListParagraph"/>
        <w:widowControl/>
        <w:numPr>
          <w:ilvl w:val="1"/>
          <w:numId w:val="2"/>
        </w:numPr>
      </w:pPr>
      <w:r w:rsidRPr="000526BE">
        <w:t xml:space="preserve">The key features of the direct randomised trial are summarised in Table </w:t>
      </w:r>
      <w:r w:rsidR="001A48D9">
        <w:t>3</w:t>
      </w:r>
      <w:r w:rsidRPr="000526BE">
        <w:t xml:space="preserve"> below. </w:t>
      </w:r>
      <w:r w:rsidR="00AB7209" w:rsidRPr="000526BE">
        <w:t xml:space="preserve">The ESC considered that the KATHERINE trial was a well-conducted trial with a low risk of bias and an appropriate sample size. </w:t>
      </w:r>
    </w:p>
    <w:p w:rsidR="00B61A0B" w:rsidRPr="000526BE" w:rsidRDefault="00B61A0B" w:rsidP="00CA52C7">
      <w:pPr>
        <w:pStyle w:val="TableHeading0"/>
        <w:rPr>
          <w:rStyle w:val="CommentReference"/>
          <w:b/>
          <w:bCs w:val="0"/>
        </w:rPr>
      </w:pPr>
      <w:r w:rsidRPr="000526BE">
        <w:rPr>
          <w:rStyle w:val="CommentReference"/>
          <w:b/>
          <w:bCs w:val="0"/>
        </w:rPr>
        <w:t xml:space="preserve">Table </w:t>
      </w:r>
      <w:r w:rsidR="001A48D9">
        <w:rPr>
          <w:rStyle w:val="CommentReference"/>
          <w:b/>
          <w:bCs w:val="0"/>
        </w:rPr>
        <w:t>3</w:t>
      </w:r>
      <w:r w:rsidRPr="000526BE">
        <w:rPr>
          <w:rStyle w:val="CommentReference"/>
          <w:b/>
          <w:bCs w:val="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63"/>
        <w:gridCol w:w="694"/>
        <w:gridCol w:w="1767"/>
        <w:gridCol w:w="914"/>
        <w:gridCol w:w="1520"/>
        <w:gridCol w:w="1096"/>
        <w:gridCol w:w="1663"/>
      </w:tblGrid>
      <w:tr w:rsidR="00B61A0B" w:rsidRPr="000526BE" w:rsidTr="007A7D2F">
        <w:tc>
          <w:tcPr>
            <w:tcW w:w="755" w:type="pct"/>
            <w:shd w:val="clear" w:color="auto" w:fill="auto"/>
            <w:vAlign w:val="center"/>
          </w:tcPr>
          <w:p w:rsidR="00B61A0B" w:rsidRPr="000526BE" w:rsidRDefault="00B61A0B" w:rsidP="007A7D2F">
            <w:pPr>
              <w:pStyle w:val="Tabletext"/>
              <w:rPr>
                <w:b/>
              </w:rPr>
            </w:pPr>
            <w:r w:rsidRPr="000526BE">
              <w:rPr>
                <w:b/>
              </w:rPr>
              <w:t>Trial</w:t>
            </w:r>
          </w:p>
        </w:tc>
        <w:tc>
          <w:tcPr>
            <w:tcW w:w="385" w:type="pct"/>
            <w:shd w:val="clear" w:color="auto" w:fill="auto"/>
            <w:vAlign w:val="center"/>
          </w:tcPr>
          <w:p w:rsidR="00B61A0B" w:rsidRPr="000526BE" w:rsidRDefault="00B61A0B" w:rsidP="007A7D2F">
            <w:pPr>
              <w:pStyle w:val="Tabletext"/>
              <w:jc w:val="center"/>
              <w:rPr>
                <w:b/>
              </w:rPr>
            </w:pPr>
            <w:r w:rsidRPr="000526BE">
              <w:rPr>
                <w:b/>
              </w:rPr>
              <w:t>N</w:t>
            </w:r>
          </w:p>
        </w:tc>
        <w:tc>
          <w:tcPr>
            <w:tcW w:w="980" w:type="pct"/>
            <w:shd w:val="clear" w:color="auto" w:fill="auto"/>
            <w:vAlign w:val="center"/>
          </w:tcPr>
          <w:p w:rsidR="00B61A0B" w:rsidRPr="000526BE" w:rsidRDefault="00B61A0B" w:rsidP="007A7D2F">
            <w:pPr>
              <w:pStyle w:val="Tabletext"/>
              <w:jc w:val="center"/>
              <w:rPr>
                <w:b/>
              </w:rPr>
            </w:pPr>
            <w:r w:rsidRPr="000526BE">
              <w:rPr>
                <w:b/>
              </w:rPr>
              <w:t>Design/ duration</w:t>
            </w:r>
          </w:p>
        </w:tc>
        <w:tc>
          <w:tcPr>
            <w:tcW w:w="507" w:type="pct"/>
            <w:shd w:val="clear" w:color="auto" w:fill="auto"/>
            <w:vAlign w:val="center"/>
          </w:tcPr>
          <w:p w:rsidR="00B61A0B" w:rsidRPr="000526BE" w:rsidRDefault="00B61A0B" w:rsidP="007A7D2F">
            <w:pPr>
              <w:pStyle w:val="Tabletext"/>
              <w:jc w:val="center"/>
              <w:rPr>
                <w:b/>
              </w:rPr>
            </w:pPr>
            <w:r w:rsidRPr="000526BE">
              <w:rPr>
                <w:b/>
              </w:rPr>
              <w:t>Risk of bias</w:t>
            </w:r>
          </w:p>
        </w:tc>
        <w:tc>
          <w:tcPr>
            <w:tcW w:w="843" w:type="pct"/>
            <w:shd w:val="clear" w:color="auto" w:fill="auto"/>
            <w:vAlign w:val="center"/>
          </w:tcPr>
          <w:p w:rsidR="00B61A0B" w:rsidRPr="000526BE" w:rsidRDefault="00B61A0B" w:rsidP="007A7D2F">
            <w:pPr>
              <w:pStyle w:val="Tabletext"/>
              <w:jc w:val="center"/>
              <w:rPr>
                <w:b/>
              </w:rPr>
            </w:pPr>
            <w:r w:rsidRPr="000526BE">
              <w:rPr>
                <w:b/>
              </w:rPr>
              <w:t>Patient population</w:t>
            </w:r>
          </w:p>
        </w:tc>
        <w:tc>
          <w:tcPr>
            <w:tcW w:w="608" w:type="pct"/>
            <w:shd w:val="clear" w:color="auto" w:fill="auto"/>
            <w:vAlign w:val="center"/>
          </w:tcPr>
          <w:p w:rsidR="00B61A0B" w:rsidRPr="000526BE" w:rsidRDefault="00B61A0B" w:rsidP="007A7D2F">
            <w:pPr>
              <w:pStyle w:val="Tabletext"/>
              <w:jc w:val="center"/>
              <w:rPr>
                <w:b/>
              </w:rPr>
            </w:pPr>
            <w:r w:rsidRPr="000526BE">
              <w:rPr>
                <w:b/>
              </w:rPr>
              <w:t>Outcome(s)</w:t>
            </w:r>
          </w:p>
        </w:tc>
        <w:tc>
          <w:tcPr>
            <w:tcW w:w="923" w:type="pct"/>
            <w:shd w:val="clear" w:color="auto" w:fill="auto"/>
            <w:vAlign w:val="center"/>
          </w:tcPr>
          <w:p w:rsidR="00B61A0B" w:rsidRPr="000526BE" w:rsidRDefault="00B61A0B" w:rsidP="007A7D2F">
            <w:pPr>
              <w:pStyle w:val="Tabletext"/>
              <w:jc w:val="center"/>
              <w:rPr>
                <w:b/>
              </w:rPr>
            </w:pPr>
            <w:r w:rsidRPr="000526BE">
              <w:rPr>
                <w:b/>
              </w:rPr>
              <w:t>Use in modelled evaluation</w:t>
            </w:r>
          </w:p>
        </w:tc>
      </w:tr>
      <w:tr w:rsidR="00B61A0B" w:rsidRPr="000526BE" w:rsidTr="007A7D2F">
        <w:tc>
          <w:tcPr>
            <w:tcW w:w="5000" w:type="pct"/>
            <w:gridSpan w:val="7"/>
            <w:shd w:val="clear" w:color="auto" w:fill="auto"/>
            <w:vAlign w:val="center"/>
          </w:tcPr>
          <w:p w:rsidR="00B61A0B" w:rsidRPr="000526BE" w:rsidRDefault="00B61A0B" w:rsidP="007A7D2F">
            <w:pPr>
              <w:pStyle w:val="Tabletext"/>
              <w:rPr>
                <w:b/>
              </w:rPr>
            </w:pPr>
            <w:r w:rsidRPr="000526BE">
              <w:rPr>
                <w:b/>
              </w:rPr>
              <w:t xml:space="preserve">T-DM1 vs. trastuzumab </w:t>
            </w:r>
          </w:p>
        </w:tc>
      </w:tr>
      <w:tr w:rsidR="00B61A0B" w:rsidRPr="000526BE" w:rsidTr="007A7D2F">
        <w:tc>
          <w:tcPr>
            <w:tcW w:w="755" w:type="pct"/>
            <w:shd w:val="clear" w:color="auto" w:fill="auto"/>
            <w:vAlign w:val="center"/>
          </w:tcPr>
          <w:p w:rsidR="00B61A0B" w:rsidRPr="000526BE" w:rsidRDefault="00B61A0B" w:rsidP="007A7D2F">
            <w:pPr>
              <w:pStyle w:val="Tabletext"/>
            </w:pPr>
            <w:r w:rsidRPr="000526BE">
              <w:t>KATHERINE</w:t>
            </w:r>
          </w:p>
        </w:tc>
        <w:tc>
          <w:tcPr>
            <w:tcW w:w="385" w:type="pct"/>
            <w:shd w:val="clear" w:color="auto" w:fill="auto"/>
            <w:vAlign w:val="center"/>
          </w:tcPr>
          <w:p w:rsidR="00B61A0B" w:rsidRPr="000526BE" w:rsidRDefault="00B61A0B" w:rsidP="007A7D2F">
            <w:pPr>
              <w:pStyle w:val="Tabletext"/>
              <w:jc w:val="center"/>
            </w:pPr>
            <w:r w:rsidRPr="000526BE">
              <w:t>1486</w:t>
            </w:r>
          </w:p>
        </w:tc>
        <w:tc>
          <w:tcPr>
            <w:tcW w:w="980" w:type="pct"/>
            <w:shd w:val="clear" w:color="auto" w:fill="auto"/>
            <w:vAlign w:val="center"/>
          </w:tcPr>
          <w:p w:rsidR="00B61A0B" w:rsidRPr="000526BE" w:rsidRDefault="00B61A0B" w:rsidP="007A7D2F">
            <w:pPr>
              <w:pStyle w:val="Tabletext"/>
              <w:jc w:val="center"/>
            </w:pPr>
            <w:r w:rsidRPr="000526BE">
              <w:t xml:space="preserve">MC, OL, R, </w:t>
            </w:r>
          </w:p>
          <w:p w:rsidR="00B61A0B" w:rsidRPr="000526BE" w:rsidRDefault="00B61A0B" w:rsidP="007A7D2F">
            <w:pPr>
              <w:pStyle w:val="Tabletext"/>
              <w:jc w:val="center"/>
            </w:pPr>
            <w:r w:rsidRPr="000526BE">
              <w:t xml:space="preserve">42:52 </w:t>
            </w:r>
            <w:r w:rsidR="003B4326" w:rsidRPr="000526BE">
              <w:t>weeks</w:t>
            </w:r>
            <w:r w:rsidRPr="000526BE">
              <w:rPr>
                <w:vertAlign w:val="superscript"/>
              </w:rPr>
              <w:t>a</w:t>
            </w:r>
            <w:r w:rsidRPr="000526BE">
              <w:t xml:space="preserve"> </w:t>
            </w:r>
          </w:p>
          <w:p w:rsidR="00B61A0B" w:rsidRPr="000526BE" w:rsidRDefault="00B61A0B" w:rsidP="007A7D2F">
            <w:pPr>
              <w:pStyle w:val="Tabletext"/>
              <w:jc w:val="center"/>
            </w:pPr>
            <w:r w:rsidRPr="000526BE">
              <w:t>(T-DM1: trastuzumab)</w:t>
            </w:r>
          </w:p>
        </w:tc>
        <w:tc>
          <w:tcPr>
            <w:tcW w:w="507" w:type="pct"/>
            <w:shd w:val="clear" w:color="auto" w:fill="auto"/>
            <w:vAlign w:val="center"/>
          </w:tcPr>
          <w:p w:rsidR="00B61A0B" w:rsidRPr="000526BE" w:rsidRDefault="00B61A0B" w:rsidP="007A7D2F">
            <w:pPr>
              <w:pStyle w:val="Tabletext"/>
              <w:jc w:val="center"/>
            </w:pPr>
            <w:r w:rsidRPr="000526BE">
              <w:t>Low</w:t>
            </w:r>
          </w:p>
        </w:tc>
        <w:tc>
          <w:tcPr>
            <w:tcW w:w="843" w:type="pct"/>
            <w:shd w:val="clear" w:color="auto" w:fill="auto"/>
            <w:vAlign w:val="center"/>
          </w:tcPr>
          <w:p w:rsidR="00B61A0B" w:rsidRPr="000526BE" w:rsidRDefault="00B61A0B" w:rsidP="007A7D2F">
            <w:pPr>
              <w:pStyle w:val="Tabletext"/>
              <w:jc w:val="center"/>
            </w:pPr>
            <w:r w:rsidRPr="000526BE">
              <w:t>Post-neoadjuvant therapy</w:t>
            </w:r>
          </w:p>
        </w:tc>
        <w:tc>
          <w:tcPr>
            <w:tcW w:w="608" w:type="pct"/>
            <w:shd w:val="clear" w:color="auto" w:fill="auto"/>
            <w:vAlign w:val="center"/>
          </w:tcPr>
          <w:p w:rsidR="00B61A0B" w:rsidRPr="000526BE" w:rsidRDefault="00B61A0B" w:rsidP="007A7D2F">
            <w:pPr>
              <w:pStyle w:val="Tabletext"/>
              <w:jc w:val="center"/>
            </w:pPr>
            <w:r w:rsidRPr="000526BE">
              <w:t>iDFS, iDFS-SPNBC, DFS, OS, DRFI, HRQoL, AEs</w:t>
            </w:r>
          </w:p>
        </w:tc>
        <w:tc>
          <w:tcPr>
            <w:tcW w:w="923" w:type="pct"/>
            <w:shd w:val="clear" w:color="auto" w:fill="auto"/>
            <w:vAlign w:val="center"/>
          </w:tcPr>
          <w:p w:rsidR="00B61A0B" w:rsidRPr="000526BE" w:rsidRDefault="00B61A0B" w:rsidP="007A7D2F">
            <w:pPr>
              <w:pStyle w:val="Tabletext"/>
              <w:jc w:val="center"/>
            </w:pPr>
            <w:r w:rsidRPr="000526BE">
              <w:t xml:space="preserve">iDFS, iDFS-SPNBC, DFS, OS, HRQoL, AE.  </w:t>
            </w:r>
          </w:p>
        </w:tc>
      </w:tr>
    </w:tbl>
    <w:p w:rsidR="00B61A0B" w:rsidRPr="000526BE" w:rsidRDefault="00B61A0B" w:rsidP="00B61A0B">
      <w:pPr>
        <w:pStyle w:val="TableFooter"/>
      </w:pPr>
      <w:r w:rsidRPr="000526BE">
        <w:t>Abbreviations: DFS=disease-free survival; DRFI=distant recurrence-free interval; iDFS= invasive disease-free survival; HRQoL= health-related quality of life; MC=multi-centre; OL=open label; OS= overall survival; R=randomised; SPNBC= second primary non-breast cancer.</w:t>
      </w:r>
    </w:p>
    <w:p w:rsidR="00B61A0B" w:rsidRPr="000526BE" w:rsidRDefault="00B61A0B" w:rsidP="00B61A0B">
      <w:pPr>
        <w:pStyle w:val="TableFooter"/>
      </w:pPr>
      <w:r w:rsidRPr="000526BE">
        <w:t xml:space="preserve">Source: Table 2.7 and Table 2.8, Table 3.6, 49-50 and p84 of the submission.  </w:t>
      </w:r>
    </w:p>
    <w:p w:rsidR="00B61A0B" w:rsidRPr="000526BE" w:rsidRDefault="00B61A0B" w:rsidP="00B61A0B">
      <w:pPr>
        <w:pStyle w:val="TableFooter"/>
        <w:rPr>
          <w:sz w:val="20"/>
        </w:rPr>
      </w:pPr>
      <w:r w:rsidRPr="000526BE">
        <w:t xml:space="preserve">Note: a. duration of use until disease recurrence, unacceptable toxicity or max duration of 14 cycles (42 weeks) for T-DM1 or 52 weeks for trastuzumab. </w:t>
      </w:r>
    </w:p>
    <w:p w:rsidR="00B61A0B" w:rsidRPr="000526BE" w:rsidRDefault="00B61A0B" w:rsidP="00B61A0B"/>
    <w:p w:rsidR="00B61A0B" w:rsidRPr="000526BE" w:rsidRDefault="00B61A0B" w:rsidP="00A2058D">
      <w:pPr>
        <w:pStyle w:val="ListParagraph"/>
        <w:widowControl/>
        <w:numPr>
          <w:ilvl w:val="1"/>
          <w:numId w:val="2"/>
        </w:numPr>
        <w:rPr>
          <w:iCs/>
        </w:rPr>
      </w:pPr>
      <w:r w:rsidRPr="000526BE">
        <w:t>The primary efficacy outcome for KATHERINE was iDFS;</w:t>
      </w:r>
      <w:r w:rsidRPr="000526BE">
        <w:rPr>
          <w:iCs/>
        </w:rPr>
        <w:t xml:space="preserve"> this is the preferred efficacy end point for eBC (stages I to IIIA) adjuvant trials (2007 STEEP Guidelines). </w:t>
      </w:r>
      <w:r w:rsidRPr="000526BE">
        <w:t>The submission proposed a minimal clinically important difference (MCID) for iDFS using the ESMO Magnitude of Clinical Benefit Scale (ESMO-MCBS). When used to assess treatments with curative intent, an improvement in DFS alone measured with a hazard ratio (HR) with a lower limit 95% confidence interval between 0.65 and 0.8, is considered a clinical benefit that represents substantial improvement (Cherny 2015).</w:t>
      </w:r>
      <w:r w:rsidRPr="000526BE">
        <w:rPr>
          <w:iCs/>
        </w:rPr>
        <w:t xml:space="preserve"> Th</w:t>
      </w:r>
      <w:r w:rsidR="00D702C4" w:rsidRPr="000526BE">
        <w:rPr>
          <w:iCs/>
        </w:rPr>
        <w:t xml:space="preserve">e commentary considered this </w:t>
      </w:r>
      <w:r w:rsidRPr="000526BE">
        <w:rPr>
          <w:iCs/>
        </w:rPr>
        <w:t xml:space="preserve">was appropriate. </w:t>
      </w:r>
    </w:p>
    <w:p w:rsidR="0008279C" w:rsidRPr="000526BE" w:rsidRDefault="00B61A0B" w:rsidP="0008279C">
      <w:pPr>
        <w:pStyle w:val="ListParagraph"/>
        <w:widowControl/>
        <w:numPr>
          <w:ilvl w:val="1"/>
          <w:numId w:val="2"/>
        </w:numPr>
      </w:pPr>
      <w:r w:rsidRPr="000526BE">
        <w:t>The main differences between KATHERINE and the proposed population were the median age (49 vs. 58.5 years in the Australian population), the proportion receiving dual targeted (most commonly, pertuzumab plus trastuzumab) neoadjuvant therapy</w:t>
      </w:r>
      <w:r w:rsidRPr="000526BE">
        <w:rPr>
          <w:iCs/>
        </w:rPr>
        <w:t xml:space="preserve"> (19.5% vs. </w:t>
      </w:r>
      <w:r w:rsidR="00075374" w:rsidRPr="000526BE">
        <w:rPr>
          <w:iCs/>
        </w:rPr>
        <w:t>40</w:t>
      </w:r>
      <w:r w:rsidRPr="000526BE">
        <w:rPr>
          <w:iCs/>
        </w:rPr>
        <w:t>% in the Australian population), neoadjuvant anthracyclines (77% vs. 37-57%) and adjuvant radiotherapy (83% vs. 36% in the Australian population).</w:t>
      </w:r>
      <w:r w:rsidR="0008279C" w:rsidRPr="000526BE">
        <w:t xml:space="preserve"> These differences may reduce the applicability of the results for T-DM1 to the Australian setting. </w:t>
      </w:r>
    </w:p>
    <w:p w:rsidR="00B61A0B" w:rsidRPr="000526BE" w:rsidRDefault="00B61A0B" w:rsidP="00BF7075">
      <w:pPr>
        <w:pStyle w:val="Heading2"/>
        <w:spacing w:after="120"/>
      </w:pPr>
      <w:bookmarkStart w:id="9" w:name="_Toc19626594"/>
      <w:r w:rsidRPr="000526BE">
        <w:t>Comparative effectiveness</w:t>
      </w:r>
      <w:bookmarkEnd w:id="9"/>
    </w:p>
    <w:p w:rsidR="00B61A0B" w:rsidRPr="000526BE" w:rsidRDefault="00B61A0B" w:rsidP="00A2058D">
      <w:pPr>
        <w:pStyle w:val="ListParagraph"/>
        <w:widowControl/>
        <w:numPr>
          <w:ilvl w:val="1"/>
          <w:numId w:val="2"/>
        </w:numPr>
      </w:pPr>
      <w:r w:rsidRPr="000526BE">
        <w:rPr>
          <w:rFonts w:cs="Calibri"/>
          <w:snapToGrid/>
          <w:szCs w:val="24"/>
          <w:lang w:eastAsia="en-AU"/>
        </w:rPr>
        <w:t xml:space="preserve">The </w:t>
      </w:r>
      <w:r w:rsidR="00024E8F" w:rsidRPr="000526BE">
        <w:rPr>
          <w:rFonts w:cs="Calibri"/>
          <w:snapToGrid/>
          <w:szCs w:val="24"/>
          <w:lang w:eastAsia="en-AU"/>
        </w:rPr>
        <w:t xml:space="preserve">primary outcome for </w:t>
      </w:r>
      <w:r w:rsidRPr="000526BE">
        <w:rPr>
          <w:rFonts w:cs="Calibri"/>
          <w:snapToGrid/>
          <w:szCs w:val="24"/>
          <w:lang w:eastAsia="en-AU"/>
        </w:rPr>
        <w:t>the interim analysis w</w:t>
      </w:r>
      <w:r w:rsidR="00024E8F" w:rsidRPr="000526BE">
        <w:rPr>
          <w:rFonts w:cs="Calibri"/>
          <w:snapToGrid/>
          <w:szCs w:val="24"/>
          <w:lang w:eastAsia="en-AU"/>
        </w:rPr>
        <w:t>as</w:t>
      </w:r>
      <w:r w:rsidRPr="000526BE">
        <w:rPr>
          <w:rFonts w:cs="Calibri"/>
          <w:snapToGrid/>
          <w:szCs w:val="24"/>
          <w:lang w:eastAsia="en-AU"/>
        </w:rPr>
        <w:t xml:space="preserve"> designated as the analysis of iDFS after 256 (67%) of the targeted 384 iDFS events had occurred and crossed the O’Brien-Fleming stopping boundary (p &lt; 0.0124 or observed HR &lt; 0.732). </w:t>
      </w:r>
    </w:p>
    <w:p w:rsidR="00B61A0B" w:rsidRPr="000526BE" w:rsidRDefault="00B61A0B" w:rsidP="00A2058D">
      <w:pPr>
        <w:pStyle w:val="ListParagraph"/>
        <w:widowControl/>
        <w:numPr>
          <w:ilvl w:val="1"/>
          <w:numId w:val="2"/>
        </w:numPr>
      </w:pPr>
      <w:r w:rsidRPr="000526BE">
        <w:rPr>
          <w:rFonts w:cs="Calibri"/>
          <w:snapToGrid/>
          <w:szCs w:val="24"/>
          <w:lang w:eastAsia="en-AU"/>
        </w:rPr>
        <w:t xml:space="preserve">The results from KATHERINE for iDFS are presented in Table </w:t>
      </w:r>
      <w:r w:rsidR="001A48D9">
        <w:rPr>
          <w:rFonts w:cs="Calibri"/>
          <w:snapToGrid/>
          <w:szCs w:val="24"/>
          <w:lang w:eastAsia="en-AU"/>
        </w:rPr>
        <w:t>4</w:t>
      </w:r>
      <w:r w:rsidRPr="000526BE">
        <w:rPr>
          <w:rFonts w:cs="Calibri"/>
          <w:snapToGrid/>
          <w:szCs w:val="24"/>
          <w:lang w:eastAsia="en-AU"/>
        </w:rPr>
        <w:t xml:space="preserve">, with the corresponding Kaplan-Meier data in Figure </w:t>
      </w:r>
      <w:r w:rsidR="00901F49" w:rsidRPr="000526BE">
        <w:rPr>
          <w:rFonts w:cs="Calibri"/>
          <w:snapToGrid/>
          <w:szCs w:val="24"/>
          <w:lang w:eastAsia="en-AU"/>
        </w:rPr>
        <w:t>2</w:t>
      </w:r>
      <w:r w:rsidRPr="000526BE">
        <w:rPr>
          <w:rFonts w:cs="Calibri"/>
          <w:snapToGrid/>
          <w:szCs w:val="24"/>
          <w:lang w:eastAsia="en-AU"/>
        </w:rPr>
        <w:t xml:space="preserve">. </w:t>
      </w:r>
    </w:p>
    <w:p w:rsidR="00B61A0B" w:rsidRPr="000526BE" w:rsidRDefault="001A48D9" w:rsidP="00B61A0B">
      <w:pPr>
        <w:pStyle w:val="TableHeading"/>
        <w:rPr>
          <w:rStyle w:val="CommentReference"/>
          <w:b/>
          <w:bCs w:val="0"/>
        </w:rPr>
      </w:pPr>
      <w:r>
        <w:rPr>
          <w:rStyle w:val="CommentReference"/>
          <w:b/>
          <w:bCs w:val="0"/>
        </w:rPr>
        <w:t>Table 4</w:t>
      </w:r>
      <w:r w:rsidR="00B61A0B" w:rsidRPr="000526BE">
        <w:rPr>
          <w:rStyle w:val="CommentReference"/>
          <w:b/>
          <w:bCs w:val="0"/>
        </w:rPr>
        <w:t>: Results of iDFS of KATHERINE</w:t>
      </w:r>
    </w:p>
    <w:tbl>
      <w:tblPr>
        <w:tblStyle w:val="TableGrid"/>
        <w:tblW w:w="5000" w:type="pct"/>
        <w:tblLook w:val="04A0" w:firstRow="1" w:lastRow="0" w:firstColumn="1" w:lastColumn="0" w:noHBand="0" w:noVBand="1"/>
        <w:tblCaption w:val="Table 4: Results of iDFS of KATHERINE"/>
      </w:tblPr>
      <w:tblGrid>
        <w:gridCol w:w="1801"/>
        <w:gridCol w:w="1657"/>
        <w:gridCol w:w="1813"/>
        <w:gridCol w:w="1165"/>
        <w:gridCol w:w="1330"/>
        <w:gridCol w:w="1251"/>
      </w:tblGrid>
      <w:tr w:rsidR="00B61A0B" w:rsidRPr="000526BE" w:rsidTr="00F34E34">
        <w:trPr>
          <w:tblHeader/>
        </w:trPr>
        <w:tc>
          <w:tcPr>
            <w:tcW w:w="1838" w:type="dxa"/>
            <w:vMerge w:val="restart"/>
          </w:tcPr>
          <w:p w:rsidR="00B61A0B" w:rsidRPr="000526BE" w:rsidRDefault="00B61A0B" w:rsidP="007A7D2F">
            <w:pPr>
              <w:keepNext/>
              <w:jc w:val="center"/>
              <w:rPr>
                <w:rFonts w:ascii="Arial Narrow" w:hAnsi="Arial Narrow"/>
                <w:b/>
                <w:sz w:val="20"/>
                <w:szCs w:val="20"/>
              </w:rPr>
            </w:pPr>
            <w:r w:rsidRPr="000526BE">
              <w:rPr>
                <w:rFonts w:ascii="Arial Narrow" w:hAnsi="Arial Narrow"/>
                <w:b/>
                <w:sz w:val="20"/>
                <w:szCs w:val="20"/>
              </w:rPr>
              <w:t>Population</w:t>
            </w:r>
          </w:p>
        </w:tc>
        <w:tc>
          <w:tcPr>
            <w:tcW w:w="1701" w:type="dxa"/>
            <w:vAlign w:val="center"/>
          </w:tcPr>
          <w:p w:rsidR="00B61A0B" w:rsidRPr="000526BE" w:rsidRDefault="00B61A0B" w:rsidP="007A7D2F">
            <w:pPr>
              <w:keepNext/>
              <w:jc w:val="center"/>
              <w:rPr>
                <w:rStyle w:val="CommentReference"/>
                <w:szCs w:val="20"/>
              </w:rPr>
            </w:pPr>
            <w:r w:rsidRPr="000526BE">
              <w:rPr>
                <w:rFonts w:ascii="Arial Narrow" w:hAnsi="Arial Narrow"/>
                <w:b/>
                <w:sz w:val="20"/>
                <w:szCs w:val="20"/>
              </w:rPr>
              <w:t>T-DM1</w:t>
            </w:r>
          </w:p>
        </w:tc>
        <w:tc>
          <w:tcPr>
            <w:tcW w:w="1843" w:type="dxa"/>
            <w:vAlign w:val="center"/>
          </w:tcPr>
          <w:p w:rsidR="00B61A0B" w:rsidRPr="000526BE" w:rsidRDefault="00B61A0B" w:rsidP="007A7D2F">
            <w:pPr>
              <w:keepNext/>
              <w:jc w:val="center"/>
              <w:rPr>
                <w:rStyle w:val="CommentReference"/>
                <w:szCs w:val="20"/>
              </w:rPr>
            </w:pPr>
            <w:r w:rsidRPr="000526BE">
              <w:rPr>
                <w:rFonts w:ascii="Arial Narrow" w:hAnsi="Arial Narrow"/>
                <w:b/>
                <w:sz w:val="20"/>
                <w:szCs w:val="20"/>
              </w:rPr>
              <w:t>Trastuzumab</w:t>
            </w:r>
          </w:p>
        </w:tc>
        <w:tc>
          <w:tcPr>
            <w:tcW w:w="1194" w:type="dxa"/>
            <w:vMerge w:val="restart"/>
          </w:tcPr>
          <w:p w:rsidR="00B61A0B" w:rsidRPr="000526BE" w:rsidRDefault="00B61A0B" w:rsidP="007A7D2F">
            <w:pPr>
              <w:pStyle w:val="Tabletext"/>
              <w:jc w:val="center"/>
              <w:rPr>
                <w:rFonts w:eastAsia="TimesNewRoman"/>
                <w:b/>
                <w:iCs/>
                <w:color w:val="000000"/>
                <w:szCs w:val="20"/>
                <w:lang w:eastAsia="en-AU"/>
              </w:rPr>
            </w:pPr>
            <w:r w:rsidRPr="000526BE">
              <w:rPr>
                <w:rFonts w:eastAsia="TimesNewRoman"/>
                <w:b/>
                <w:iCs/>
                <w:color w:val="000000"/>
                <w:szCs w:val="20"/>
                <w:lang w:eastAsia="en-AU"/>
              </w:rPr>
              <w:t>RD* (%)</w:t>
            </w:r>
          </w:p>
          <w:p w:rsidR="00B61A0B" w:rsidRPr="000526BE" w:rsidRDefault="00B61A0B" w:rsidP="007A7D2F">
            <w:pPr>
              <w:keepNext/>
              <w:jc w:val="center"/>
              <w:rPr>
                <w:rStyle w:val="CommentReference"/>
                <w:iCs/>
                <w:szCs w:val="20"/>
              </w:rPr>
            </w:pPr>
            <w:r w:rsidRPr="000526BE">
              <w:rPr>
                <w:rFonts w:ascii="Arial Narrow" w:eastAsia="TimesNewRoman" w:hAnsi="Arial Narrow"/>
                <w:b/>
                <w:iCs/>
                <w:color w:val="000000"/>
                <w:sz w:val="20"/>
                <w:szCs w:val="20"/>
                <w:lang w:eastAsia="en-AU"/>
              </w:rPr>
              <w:t>(95% CI)</w:t>
            </w:r>
          </w:p>
        </w:tc>
        <w:tc>
          <w:tcPr>
            <w:tcW w:w="1357" w:type="dxa"/>
            <w:vMerge w:val="restart"/>
          </w:tcPr>
          <w:p w:rsidR="00B61A0B" w:rsidRPr="000526BE" w:rsidRDefault="00B61A0B" w:rsidP="007A7D2F">
            <w:pPr>
              <w:pStyle w:val="Tabletext"/>
              <w:jc w:val="center"/>
              <w:rPr>
                <w:rFonts w:eastAsia="TimesNewRoman"/>
                <w:b/>
                <w:color w:val="000000"/>
                <w:szCs w:val="20"/>
                <w:lang w:eastAsia="en-AU"/>
              </w:rPr>
            </w:pPr>
            <w:r w:rsidRPr="000526BE">
              <w:rPr>
                <w:rFonts w:eastAsia="TimesNewRoman"/>
                <w:b/>
                <w:color w:val="000000"/>
                <w:szCs w:val="20"/>
                <w:lang w:eastAsia="en-AU"/>
              </w:rPr>
              <w:t xml:space="preserve">P value </w:t>
            </w:r>
          </w:p>
          <w:p w:rsidR="00B61A0B" w:rsidRPr="000526BE" w:rsidRDefault="00B61A0B" w:rsidP="007A7D2F">
            <w:pPr>
              <w:pStyle w:val="Tabletext"/>
              <w:jc w:val="center"/>
              <w:rPr>
                <w:b/>
                <w:szCs w:val="20"/>
              </w:rPr>
            </w:pPr>
            <w:r w:rsidRPr="000526BE">
              <w:rPr>
                <w:rFonts w:eastAsia="TimesNewRoman"/>
                <w:b/>
                <w:color w:val="000000"/>
                <w:szCs w:val="20"/>
                <w:lang w:eastAsia="en-AU"/>
              </w:rPr>
              <w:t>(log rank test)</w:t>
            </w:r>
          </w:p>
          <w:p w:rsidR="00B61A0B" w:rsidRPr="000526BE" w:rsidRDefault="00B61A0B" w:rsidP="007A7D2F">
            <w:pPr>
              <w:keepNext/>
              <w:jc w:val="center"/>
              <w:rPr>
                <w:rStyle w:val="CommentReference"/>
                <w:szCs w:val="20"/>
              </w:rPr>
            </w:pPr>
          </w:p>
        </w:tc>
        <w:tc>
          <w:tcPr>
            <w:tcW w:w="1276" w:type="dxa"/>
            <w:vMerge w:val="restart"/>
          </w:tcPr>
          <w:p w:rsidR="00B61A0B" w:rsidRPr="000526BE" w:rsidRDefault="00B61A0B" w:rsidP="007A7D2F">
            <w:pPr>
              <w:pStyle w:val="Tabletext"/>
              <w:jc w:val="center"/>
              <w:rPr>
                <w:b/>
                <w:szCs w:val="20"/>
              </w:rPr>
            </w:pPr>
            <w:r w:rsidRPr="000526BE">
              <w:rPr>
                <w:rFonts w:eastAsia="TimesNewRoman"/>
                <w:b/>
                <w:color w:val="000000"/>
                <w:szCs w:val="20"/>
                <w:lang w:eastAsia="en-AU"/>
              </w:rPr>
              <w:t xml:space="preserve">Hazard ratio </w:t>
            </w:r>
            <w:r w:rsidRPr="000526BE">
              <w:rPr>
                <w:rFonts w:eastAsia="TimesNewRoman"/>
                <w:b/>
                <w:color w:val="000000"/>
                <w:szCs w:val="20"/>
                <w:lang w:eastAsia="en-AU"/>
              </w:rPr>
              <w:br/>
              <w:t>(95% CI)</w:t>
            </w:r>
          </w:p>
          <w:p w:rsidR="00B61A0B" w:rsidRPr="000526BE" w:rsidRDefault="00B61A0B" w:rsidP="007A7D2F">
            <w:pPr>
              <w:keepNext/>
              <w:rPr>
                <w:rStyle w:val="CommentReference"/>
                <w:szCs w:val="20"/>
              </w:rPr>
            </w:pPr>
          </w:p>
        </w:tc>
      </w:tr>
      <w:tr w:rsidR="00B61A0B" w:rsidRPr="000526BE" w:rsidTr="00F34E34">
        <w:trPr>
          <w:trHeight w:val="432"/>
          <w:tblHeader/>
        </w:trPr>
        <w:tc>
          <w:tcPr>
            <w:tcW w:w="1838" w:type="dxa"/>
            <w:vMerge/>
          </w:tcPr>
          <w:p w:rsidR="00B61A0B" w:rsidRPr="000526BE" w:rsidRDefault="00B61A0B" w:rsidP="007A7D2F">
            <w:pPr>
              <w:keepNext/>
              <w:rPr>
                <w:rFonts w:ascii="Arial Narrow" w:eastAsia="TimesNewRoman" w:hAnsi="Arial Narrow"/>
                <w:color w:val="000000"/>
                <w:sz w:val="20"/>
                <w:szCs w:val="20"/>
                <w:lang w:eastAsia="en-AU"/>
              </w:rPr>
            </w:pPr>
          </w:p>
        </w:tc>
        <w:tc>
          <w:tcPr>
            <w:tcW w:w="1701" w:type="dxa"/>
          </w:tcPr>
          <w:p w:rsidR="00B61A0B" w:rsidRPr="000526BE" w:rsidRDefault="00B61A0B" w:rsidP="007A7D2F">
            <w:pPr>
              <w:keepNext/>
              <w:jc w:val="center"/>
              <w:rPr>
                <w:rStyle w:val="CommentReference"/>
                <w:szCs w:val="20"/>
              </w:rPr>
            </w:pPr>
            <w:r w:rsidRPr="000526BE">
              <w:rPr>
                <w:rFonts w:ascii="Arial Narrow" w:eastAsia="TimesNewRoman" w:hAnsi="Arial Narrow"/>
                <w:color w:val="000000"/>
                <w:sz w:val="20"/>
                <w:szCs w:val="20"/>
                <w:lang w:eastAsia="en-AU"/>
              </w:rPr>
              <w:t>Patients with events, n (%)</w:t>
            </w:r>
          </w:p>
        </w:tc>
        <w:tc>
          <w:tcPr>
            <w:tcW w:w="1843" w:type="dxa"/>
          </w:tcPr>
          <w:p w:rsidR="00B61A0B" w:rsidRPr="000526BE" w:rsidRDefault="00B61A0B" w:rsidP="007A7D2F">
            <w:pPr>
              <w:keepNext/>
              <w:jc w:val="center"/>
              <w:rPr>
                <w:rStyle w:val="CommentReference"/>
                <w:szCs w:val="20"/>
              </w:rPr>
            </w:pPr>
            <w:r w:rsidRPr="000526BE">
              <w:rPr>
                <w:rFonts w:ascii="Arial Narrow" w:eastAsia="TimesNewRoman" w:hAnsi="Arial Narrow"/>
                <w:color w:val="000000"/>
                <w:sz w:val="20"/>
                <w:szCs w:val="20"/>
                <w:lang w:eastAsia="en-AU"/>
              </w:rPr>
              <w:t xml:space="preserve">Patients with events, </w:t>
            </w:r>
            <w:r w:rsidRPr="000526BE">
              <w:rPr>
                <w:rFonts w:ascii="Arial Narrow" w:eastAsia="TimesNewRoman" w:hAnsi="Arial Narrow"/>
                <w:color w:val="000000"/>
                <w:sz w:val="20"/>
                <w:szCs w:val="20"/>
                <w:lang w:eastAsia="en-AU"/>
              </w:rPr>
              <w:br/>
              <w:t>n (%)</w:t>
            </w:r>
          </w:p>
        </w:tc>
        <w:tc>
          <w:tcPr>
            <w:tcW w:w="1194" w:type="dxa"/>
            <w:vMerge/>
          </w:tcPr>
          <w:p w:rsidR="00B61A0B" w:rsidRPr="000526BE" w:rsidRDefault="00B61A0B" w:rsidP="007A7D2F">
            <w:pPr>
              <w:keepNext/>
              <w:jc w:val="center"/>
              <w:rPr>
                <w:rStyle w:val="CommentReference"/>
                <w:iCs/>
                <w:szCs w:val="20"/>
              </w:rPr>
            </w:pPr>
          </w:p>
        </w:tc>
        <w:tc>
          <w:tcPr>
            <w:tcW w:w="1357" w:type="dxa"/>
            <w:vMerge/>
          </w:tcPr>
          <w:p w:rsidR="00B61A0B" w:rsidRPr="000526BE" w:rsidRDefault="00B61A0B" w:rsidP="007A7D2F">
            <w:pPr>
              <w:keepNext/>
              <w:jc w:val="center"/>
              <w:rPr>
                <w:rStyle w:val="CommentReference"/>
                <w:szCs w:val="20"/>
              </w:rPr>
            </w:pPr>
          </w:p>
        </w:tc>
        <w:tc>
          <w:tcPr>
            <w:tcW w:w="1276" w:type="dxa"/>
            <w:vMerge/>
          </w:tcPr>
          <w:p w:rsidR="00B61A0B" w:rsidRPr="000526BE" w:rsidRDefault="00B61A0B" w:rsidP="007A7D2F">
            <w:pPr>
              <w:keepNext/>
              <w:rPr>
                <w:rStyle w:val="CommentReference"/>
                <w:szCs w:val="20"/>
              </w:rPr>
            </w:pPr>
          </w:p>
        </w:tc>
      </w:tr>
      <w:tr w:rsidR="00B61A0B" w:rsidRPr="000526BE" w:rsidTr="00F34E34">
        <w:trPr>
          <w:tblHeader/>
        </w:trPr>
        <w:tc>
          <w:tcPr>
            <w:tcW w:w="1838" w:type="dxa"/>
          </w:tcPr>
          <w:p w:rsidR="00B61A0B" w:rsidRPr="000526BE" w:rsidRDefault="00B61A0B" w:rsidP="007A7D2F">
            <w:pPr>
              <w:keepNext/>
              <w:rPr>
                <w:rStyle w:val="CommentReference"/>
                <w:b w:val="0"/>
                <w:bCs/>
                <w:szCs w:val="20"/>
              </w:rPr>
            </w:pPr>
            <w:r w:rsidRPr="000526BE">
              <w:rPr>
                <w:rStyle w:val="CommentReference"/>
                <w:b w:val="0"/>
                <w:bCs/>
                <w:szCs w:val="20"/>
              </w:rPr>
              <w:t>ITT (25 July 2018)</w:t>
            </w:r>
          </w:p>
        </w:tc>
        <w:tc>
          <w:tcPr>
            <w:tcW w:w="1701" w:type="dxa"/>
          </w:tcPr>
          <w:p w:rsidR="00B61A0B" w:rsidRPr="000526BE" w:rsidRDefault="00B61A0B" w:rsidP="007A7D2F">
            <w:pPr>
              <w:keepNext/>
              <w:jc w:val="center"/>
              <w:rPr>
                <w:rStyle w:val="CommentReference"/>
                <w:b w:val="0"/>
                <w:bCs/>
                <w:szCs w:val="20"/>
              </w:rPr>
            </w:pPr>
            <w:r w:rsidRPr="000526BE">
              <w:rPr>
                <w:rStyle w:val="CommentReference"/>
                <w:b w:val="0"/>
                <w:bCs/>
                <w:szCs w:val="20"/>
              </w:rPr>
              <w:t>91/743</w:t>
            </w:r>
          </w:p>
          <w:p w:rsidR="00B61A0B" w:rsidRPr="000526BE" w:rsidRDefault="00B61A0B" w:rsidP="007A7D2F">
            <w:pPr>
              <w:keepNext/>
              <w:jc w:val="center"/>
              <w:rPr>
                <w:rStyle w:val="CommentReference"/>
                <w:b w:val="0"/>
                <w:bCs/>
                <w:szCs w:val="20"/>
              </w:rPr>
            </w:pPr>
            <w:r w:rsidRPr="000526BE">
              <w:rPr>
                <w:rStyle w:val="CommentReference"/>
                <w:b w:val="0"/>
                <w:bCs/>
                <w:szCs w:val="20"/>
              </w:rPr>
              <w:t>(12.2%)</w:t>
            </w:r>
          </w:p>
        </w:tc>
        <w:tc>
          <w:tcPr>
            <w:tcW w:w="1843" w:type="dxa"/>
          </w:tcPr>
          <w:p w:rsidR="00B61A0B" w:rsidRPr="000526BE" w:rsidRDefault="00B61A0B" w:rsidP="007A7D2F">
            <w:pPr>
              <w:keepNext/>
              <w:jc w:val="center"/>
              <w:rPr>
                <w:rStyle w:val="CommentReference"/>
                <w:b w:val="0"/>
                <w:bCs/>
                <w:szCs w:val="20"/>
              </w:rPr>
            </w:pPr>
            <w:r w:rsidRPr="000526BE">
              <w:rPr>
                <w:rStyle w:val="CommentReference"/>
                <w:b w:val="0"/>
                <w:bCs/>
                <w:szCs w:val="20"/>
              </w:rPr>
              <w:t>165/743</w:t>
            </w:r>
          </w:p>
          <w:p w:rsidR="00B61A0B" w:rsidRPr="000526BE" w:rsidRDefault="00B61A0B" w:rsidP="007A7D2F">
            <w:pPr>
              <w:keepNext/>
              <w:jc w:val="center"/>
              <w:rPr>
                <w:rStyle w:val="CommentReference"/>
                <w:b w:val="0"/>
                <w:bCs/>
                <w:szCs w:val="20"/>
              </w:rPr>
            </w:pPr>
            <w:r w:rsidRPr="000526BE">
              <w:rPr>
                <w:rStyle w:val="CommentReference"/>
                <w:b w:val="0"/>
                <w:bCs/>
                <w:szCs w:val="20"/>
              </w:rPr>
              <w:t>(22.2%)</w:t>
            </w:r>
          </w:p>
        </w:tc>
        <w:tc>
          <w:tcPr>
            <w:tcW w:w="1194" w:type="dxa"/>
          </w:tcPr>
          <w:p w:rsidR="00B61A0B" w:rsidRPr="000526BE" w:rsidRDefault="00B61A0B" w:rsidP="007A7D2F">
            <w:pPr>
              <w:keepNext/>
              <w:jc w:val="center"/>
              <w:rPr>
                <w:rStyle w:val="CommentReference"/>
                <w:b w:val="0"/>
                <w:bCs/>
                <w:iCs/>
                <w:szCs w:val="20"/>
              </w:rPr>
            </w:pPr>
            <w:r w:rsidRPr="000526BE">
              <w:rPr>
                <w:rStyle w:val="CommentReference"/>
                <w:b w:val="0"/>
                <w:bCs/>
                <w:iCs/>
                <w:szCs w:val="20"/>
              </w:rPr>
              <w:t>-10.0</w:t>
            </w:r>
          </w:p>
          <w:p w:rsidR="00B61A0B" w:rsidRPr="000526BE" w:rsidRDefault="00B61A0B" w:rsidP="007A7D2F">
            <w:pPr>
              <w:keepNext/>
              <w:jc w:val="center"/>
              <w:rPr>
                <w:rStyle w:val="CommentReference"/>
                <w:b w:val="0"/>
                <w:bCs/>
                <w:iCs/>
                <w:szCs w:val="20"/>
              </w:rPr>
            </w:pPr>
            <w:r w:rsidRPr="000526BE">
              <w:rPr>
                <w:rStyle w:val="CommentReference"/>
                <w:b w:val="0"/>
                <w:bCs/>
                <w:iCs/>
                <w:szCs w:val="20"/>
              </w:rPr>
              <w:t>(-6.2, -13.8)</w:t>
            </w:r>
          </w:p>
        </w:tc>
        <w:tc>
          <w:tcPr>
            <w:tcW w:w="1357" w:type="dxa"/>
            <w:vAlign w:val="center"/>
          </w:tcPr>
          <w:p w:rsidR="00B61A0B" w:rsidRPr="000526BE" w:rsidRDefault="00B61A0B" w:rsidP="007A7D2F">
            <w:pPr>
              <w:keepNext/>
              <w:jc w:val="center"/>
              <w:rPr>
                <w:rStyle w:val="CommentReference"/>
                <w:b w:val="0"/>
                <w:bCs/>
                <w:szCs w:val="20"/>
              </w:rPr>
            </w:pPr>
            <w:r w:rsidRPr="000526BE">
              <w:rPr>
                <w:rFonts w:ascii="Arial Narrow" w:hAnsi="Arial Narrow"/>
                <w:bCs/>
                <w:sz w:val="20"/>
                <w:szCs w:val="20"/>
              </w:rPr>
              <w:t>&lt;0.0001</w:t>
            </w:r>
          </w:p>
        </w:tc>
        <w:tc>
          <w:tcPr>
            <w:tcW w:w="1276" w:type="dxa"/>
            <w:vAlign w:val="center"/>
          </w:tcPr>
          <w:p w:rsidR="00B61A0B" w:rsidRPr="000526BE" w:rsidRDefault="00B61A0B" w:rsidP="007A7D2F">
            <w:pPr>
              <w:pStyle w:val="Tabletext"/>
              <w:jc w:val="center"/>
              <w:rPr>
                <w:b/>
                <w:bCs/>
                <w:szCs w:val="20"/>
              </w:rPr>
            </w:pPr>
            <w:r w:rsidRPr="000526BE">
              <w:rPr>
                <w:b/>
                <w:bCs/>
                <w:szCs w:val="20"/>
              </w:rPr>
              <w:t>0.50</w:t>
            </w:r>
          </w:p>
          <w:p w:rsidR="00B61A0B" w:rsidRPr="000526BE" w:rsidRDefault="00B61A0B" w:rsidP="007A7D2F">
            <w:pPr>
              <w:keepNext/>
              <w:jc w:val="center"/>
              <w:rPr>
                <w:rStyle w:val="CommentReference"/>
                <w:szCs w:val="20"/>
              </w:rPr>
            </w:pPr>
            <w:r w:rsidRPr="000526BE">
              <w:rPr>
                <w:rFonts w:ascii="Arial Narrow" w:hAnsi="Arial Narrow"/>
                <w:b/>
                <w:bCs/>
                <w:sz w:val="20"/>
                <w:szCs w:val="20"/>
              </w:rPr>
              <w:t>(0.39, 0.64)</w:t>
            </w:r>
          </w:p>
        </w:tc>
      </w:tr>
    </w:tbl>
    <w:p w:rsidR="00B61A0B" w:rsidRPr="000526BE" w:rsidRDefault="00B61A0B" w:rsidP="00B61A0B">
      <w:pPr>
        <w:pStyle w:val="TableFooter"/>
      </w:pPr>
      <w:r w:rsidRPr="000526BE">
        <w:t>Abbreviations: CI= confidence interval; iDFS= invasive disease-free survival; ITT= intent-to-treat; HR= hazard ratio; n= number of participants reporting data; N= total participants in group; NE= not evaluated; RD= risk difference; T-DM1= trastuzumab emtansine</w:t>
      </w:r>
    </w:p>
    <w:p w:rsidR="00B61A0B" w:rsidRPr="000526BE" w:rsidRDefault="00B61A0B" w:rsidP="00B61A0B">
      <w:pPr>
        <w:pStyle w:val="TableFooter"/>
      </w:pPr>
      <w:r w:rsidRPr="000526BE">
        <w:t xml:space="preserve">Source: Table 2.9, p53 of the submission </w:t>
      </w:r>
      <w:r w:rsidRPr="000526BE">
        <w:rPr>
          <w:iCs/>
        </w:rPr>
        <w:t>and calculated during evaluation.</w:t>
      </w:r>
      <w:r w:rsidRPr="000526BE">
        <w:t xml:space="preserve"> </w:t>
      </w:r>
    </w:p>
    <w:p w:rsidR="00B61A0B" w:rsidRPr="000526BE" w:rsidRDefault="00B61A0B" w:rsidP="00B61A0B">
      <w:pPr>
        <w:pStyle w:val="TableFooter"/>
      </w:pPr>
      <w:r w:rsidRPr="000526BE">
        <w:t xml:space="preserve">Notes: </w:t>
      </w:r>
      <w:r w:rsidRPr="000526BE">
        <w:rPr>
          <w:i/>
          <w:iCs/>
        </w:rPr>
        <w:t>*</w:t>
      </w:r>
      <w:r w:rsidRPr="000526BE">
        <w:rPr>
          <w:iCs/>
        </w:rPr>
        <w:t>RD calculated during evaluation using RevMan version 5</w:t>
      </w:r>
      <w:r w:rsidRPr="000526BE">
        <w:t xml:space="preserve">.3. </w:t>
      </w:r>
      <w:r w:rsidRPr="000526BE">
        <w:rPr>
          <w:b/>
          <w:bCs/>
        </w:rPr>
        <w:t>Bold</w:t>
      </w:r>
      <w:r w:rsidRPr="000526BE">
        <w:t xml:space="preserve"> indicates statistically significant results.</w:t>
      </w:r>
    </w:p>
    <w:p w:rsidR="00B61A0B" w:rsidRPr="000526BE" w:rsidRDefault="00B61A0B" w:rsidP="00B61A0B">
      <w:pPr>
        <w:pStyle w:val="TableFooter"/>
      </w:pPr>
    </w:p>
    <w:p w:rsidR="00B61A0B" w:rsidRPr="000526BE" w:rsidRDefault="00B61A0B" w:rsidP="00B61A0B">
      <w:pPr>
        <w:pStyle w:val="Caption"/>
      </w:pPr>
      <w:r w:rsidRPr="000526BE">
        <w:t xml:space="preserve">Figure </w:t>
      </w:r>
      <w:r w:rsidR="00901F49" w:rsidRPr="000526BE">
        <w:t>2</w:t>
      </w:r>
      <w:r w:rsidRPr="000526BE">
        <w:t>: Kaplan-Meier Plot of Time to First iDFS Event (Months); KATHERINE ITT</w:t>
      </w:r>
    </w:p>
    <w:p w:rsidR="00B61A0B" w:rsidRPr="000526BE" w:rsidRDefault="00B61A0B" w:rsidP="00B61A0B">
      <w:r w:rsidRPr="000526BE">
        <w:rPr>
          <w:noProof/>
          <w:lang w:eastAsia="en-AU"/>
        </w:rPr>
        <w:drawing>
          <wp:inline distT="0" distB="0" distL="0" distR="0" wp14:anchorId="7AFBDC61" wp14:editId="12EEDFB4">
            <wp:extent cx="5721350" cy="3388527"/>
            <wp:effectExtent l="19050" t="19050" r="12700" b="21590"/>
            <wp:docPr id="1" name="Picture 1" title="Figure 2: Kaplan-Meier Plot of Time to First iDFS Event (Months); KATHERIN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1350" cy="3388527"/>
                    </a:xfrm>
                    <a:prstGeom prst="rect">
                      <a:avLst/>
                    </a:prstGeom>
                    <a:ln>
                      <a:solidFill>
                        <a:schemeClr val="tx1"/>
                      </a:solidFill>
                    </a:ln>
                  </pic:spPr>
                </pic:pic>
              </a:graphicData>
            </a:graphic>
          </wp:inline>
        </w:drawing>
      </w:r>
    </w:p>
    <w:p w:rsidR="00B61A0B" w:rsidRPr="000526BE" w:rsidRDefault="00B61A0B" w:rsidP="00B61A0B">
      <w:pPr>
        <w:pStyle w:val="TableFooter"/>
      </w:pPr>
      <w:r w:rsidRPr="000526BE">
        <w:t>Abbreviations: CI= confidence intervals; iDFS= invasive disease-free survival; p= p value.</w:t>
      </w:r>
    </w:p>
    <w:p w:rsidR="00B61A0B" w:rsidRPr="000526BE" w:rsidRDefault="00B61A0B" w:rsidP="00B61A0B">
      <w:pPr>
        <w:pStyle w:val="TableFooter"/>
      </w:pPr>
      <w:r w:rsidRPr="000526BE">
        <w:t xml:space="preserve">Source: Figure 2.3, p54 of the submission. </w:t>
      </w:r>
    </w:p>
    <w:p w:rsidR="00B61A0B" w:rsidRPr="000526BE" w:rsidRDefault="00B61A0B" w:rsidP="00B61A0B">
      <w:pPr>
        <w:pStyle w:val="TableFooter"/>
      </w:pPr>
    </w:p>
    <w:p w:rsidR="00B61A0B" w:rsidRPr="000526BE" w:rsidRDefault="00B61A0B" w:rsidP="00A2058D">
      <w:pPr>
        <w:pStyle w:val="ListParagraph"/>
        <w:widowControl/>
        <w:numPr>
          <w:ilvl w:val="1"/>
          <w:numId w:val="2"/>
        </w:numPr>
        <w:spacing w:after="120"/>
      </w:pPr>
      <w:r w:rsidRPr="000526BE">
        <w:rPr>
          <w:rFonts w:cs="Calibri"/>
          <w:snapToGrid/>
          <w:szCs w:val="24"/>
          <w:lang w:eastAsia="en-AU"/>
        </w:rPr>
        <w:t xml:space="preserve">The submission </w:t>
      </w:r>
      <w:r w:rsidR="00F51983" w:rsidRPr="000526BE">
        <w:rPr>
          <w:rFonts w:cs="Calibri"/>
          <w:snapToGrid/>
          <w:szCs w:val="24"/>
          <w:lang w:eastAsia="en-AU"/>
        </w:rPr>
        <w:t xml:space="preserve">noted </w:t>
      </w:r>
      <w:r w:rsidRPr="000526BE">
        <w:rPr>
          <w:rFonts w:cs="Calibri"/>
          <w:snapToGrid/>
          <w:szCs w:val="24"/>
          <w:lang w:eastAsia="en-AU"/>
        </w:rPr>
        <w:t xml:space="preserve">that KATHERINE met its primary endpoint after a median follow-up of 41 months, demonstrating a statistically significant and clinically meaningful improvement in iDFS for T-DM1 compared to trastuzumab. Patients receiving T-DM1 had a 50% reduction in the risk of recurrence or death. </w:t>
      </w:r>
      <w:r w:rsidRPr="000526BE">
        <w:rPr>
          <w:rFonts w:cs="Calibri"/>
          <w:iCs/>
          <w:snapToGrid/>
          <w:szCs w:val="24"/>
          <w:lang w:eastAsia="en-AU"/>
        </w:rPr>
        <w:t>The result for iDFS was statistically significant in favour of T-DM1 with HR=0.50 (95% CI: 0.39, 0.64; p=&lt;0.0001).</w:t>
      </w:r>
      <w:r w:rsidRPr="000526BE">
        <w:rPr>
          <w:rFonts w:cs="Calibri"/>
          <w:snapToGrid/>
          <w:szCs w:val="24"/>
          <w:lang w:eastAsia="en-AU"/>
        </w:rPr>
        <w:t xml:space="preserve"> </w:t>
      </w:r>
      <w:r w:rsidR="00D702C4" w:rsidRPr="000526BE">
        <w:rPr>
          <w:rFonts w:cs="Calibri"/>
          <w:snapToGrid/>
          <w:szCs w:val="24"/>
          <w:lang w:eastAsia="en-AU"/>
        </w:rPr>
        <w:t xml:space="preserve">The ESC considered that this reduction in iDFS was clinically meaningful but noted that it was based on a population with a relatively low </w:t>
      </w:r>
      <w:r w:rsidR="007B13F9" w:rsidRPr="000526BE">
        <w:rPr>
          <w:rFonts w:cs="Calibri"/>
          <w:snapToGrid/>
          <w:szCs w:val="24"/>
          <w:lang w:eastAsia="en-AU"/>
        </w:rPr>
        <w:t>baseline</w:t>
      </w:r>
      <w:r w:rsidR="00D702C4" w:rsidRPr="000526BE">
        <w:rPr>
          <w:rFonts w:cs="Calibri"/>
          <w:snapToGrid/>
          <w:szCs w:val="24"/>
          <w:lang w:eastAsia="en-AU"/>
        </w:rPr>
        <w:t xml:space="preserve"> risk</w:t>
      </w:r>
      <w:r w:rsidR="007B13F9" w:rsidRPr="000526BE">
        <w:rPr>
          <w:rFonts w:cs="Calibri"/>
          <w:snapToGrid/>
          <w:szCs w:val="24"/>
          <w:lang w:eastAsia="en-AU"/>
        </w:rPr>
        <w:t xml:space="preserve">, albeit a higher risk subset of the </w:t>
      </w:r>
      <w:r w:rsidR="00136E6C" w:rsidRPr="000526BE">
        <w:rPr>
          <w:rFonts w:cs="Calibri"/>
          <w:snapToGrid/>
          <w:szCs w:val="24"/>
          <w:lang w:eastAsia="en-AU"/>
        </w:rPr>
        <w:t>e</w:t>
      </w:r>
      <w:r w:rsidR="007B13F9" w:rsidRPr="000526BE">
        <w:rPr>
          <w:rFonts w:cs="Calibri"/>
          <w:snapToGrid/>
          <w:szCs w:val="24"/>
          <w:lang w:eastAsia="en-AU"/>
        </w:rPr>
        <w:t>BC population.</w:t>
      </w:r>
      <w:r w:rsidR="00D702C4" w:rsidRPr="000526BE">
        <w:rPr>
          <w:rFonts w:cs="Calibri"/>
          <w:snapToGrid/>
          <w:szCs w:val="24"/>
          <w:lang w:eastAsia="en-AU"/>
        </w:rPr>
        <w:t xml:space="preserve"> </w:t>
      </w:r>
    </w:p>
    <w:p w:rsidR="00961ECF" w:rsidRPr="000526BE" w:rsidRDefault="00B61A0B" w:rsidP="00664A4C">
      <w:pPr>
        <w:pStyle w:val="ListParagraph"/>
        <w:widowControl/>
        <w:numPr>
          <w:ilvl w:val="1"/>
          <w:numId w:val="2"/>
        </w:numPr>
        <w:spacing w:after="120"/>
      </w:pPr>
      <w:r w:rsidRPr="000526BE">
        <w:rPr>
          <w:rFonts w:cs="Calibri"/>
          <w:snapToGrid/>
          <w:szCs w:val="24"/>
          <w:lang w:eastAsia="en-AU"/>
        </w:rPr>
        <w:t>For most patients with an iDFS event, distant recurrence occurred as the first event and occurred numerically more frequently in the trastuzumab arm (</w:t>
      </w:r>
      <w:r w:rsidR="00C678E7" w:rsidRPr="000526BE">
        <w:rPr>
          <w:rFonts w:cs="Calibri"/>
          <w:snapToGrid/>
          <w:szCs w:val="24"/>
          <w:lang w:eastAsia="en-AU"/>
        </w:rPr>
        <w:t>16.3</w:t>
      </w:r>
      <w:r w:rsidRPr="000526BE">
        <w:rPr>
          <w:rFonts w:cs="Calibri"/>
          <w:snapToGrid/>
          <w:szCs w:val="24"/>
          <w:lang w:eastAsia="en-AU"/>
        </w:rPr>
        <w:t>% vs. 10.5%</w:t>
      </w:r>
      <w:r w:rsidR="00C678E7" w:rsidRPr="000526BE">
        <w:rPr>
          <w:rFonts w:cs="Calibri"/>
          <w:snapToGrid/>
          <w:szCs w:val="24"/>
          <w:lang w:eastAsia="en-AU"/>
        </w:rPr>
        <w:t xml:space="preserve">; Table </w:t>
      </w:r>
      <w:r w:rsidR="00C531BA">
        <w:rPr>
          <w:rFonts w:cs="Calibri"/>
          <w:snapToGrid/>
          <w:szCs w:val="24"/>
          <w:lang w:eastAsia="en-AU"/>
        </w:rPr>
        <w:t>7</w:t>
      </w:r>
      <w:r w:rsidRPr="000526BE">
        <w:rPr>
          <w:rFonts w:cs="Calibri"/>
          <w:snapToGrid/>
          <w:szCs w:val="24"/>
          <w:lang w:eastAsia="en-AU"/>
        </w:rPr>
        <w:t xml:space="preserve">). A breakdown of the iDFS events contributing to the primary </w:t>
      </w:r>
      <w:r w:rsidR="001A48D9">
        <w:rPr>
          <w:rFonts w:cs="Calibri"/>
          <w:snapToGrid/>
          <w:szCs w:val="24"/>
          <w:lang w:eastAsia="en-AU"/>
        </w:rPr>
        <w:t>endpoint is presented in Table 5</w:t>
      </w:r>
      <w:r w:rsidRPr="000526BE">
        <w:rPr>
          <w:rFonts w:cs="Calibri"/>
          <w:snapToGrid/>
          <w:szCs w:val="24"/>
          <w:lang w:eastAsia="en-AU"/>
        </w:rPr>
        <w:t xml:space="preserve">. </w:t>
      </w:r>
      <w:r w:rsidR="00B455A8" w:rsidRPr="000526BE">
        <w:rPr>
          <w:rFonts w:cs="Calibri"/>
          <w:snapToGrid/>
          <w:szCs w:val="24"/>
          <w:lang w:eastAsia="en-AU"/>
        </w:rPr>
        <w:t>The ESC noted that a higher proportion of dis</w:t>
      </w:r>
      <w:r w:rsidR="000B5B62" w:rsidRPr="000526BE">
        <w:rPr>
          <w:rFonts w:cs="Calibri"/>
          <w:snapToGrid/>
          <w:szCs w:val="24"/>
          <w:lang w:eastAsia="en-AU"/>
        </w:rPr>
        <w:t>t</w:t>
      </w:r>
      <w:r w:rsidR="00B455A8" w:rsidRPr="000526BE">
        <w:rPr>
          <w:rFonts w:cs="Calibri"/>
          <w:snapToGrid/>
          <w:szCs w:val="24"/>
          <w:lang w:eastAsia="en-AU"/>
        </w:rPr>
        <w:t>ant recurrences occurred in the CNS in the T-DM1 arm</w:t>
      </w:r>
      <w:r w:rsidR="00E0414B" w:rsidRPr="000526BE">
        <w:rPr>
          <w:rFonts w:cs="Calibri"/>
          <w:snapToGrid/>
          <w:szCs w:val="24"/>
          <w:lang w:eastAsia="en-AU"/>
        </w:rPr>
        <w:t xml:space="preserve"> compa</w:t>
      </w:r>
      <w:r w:rsidR="008C3700" w:rsidRPr="000526BE">
        <w:rPr>
          <w:rFonts w:cs="Calibri"/>
          <w:snapToGrid/>
          <w:szCs w:val="24"/>
          <w:lang w:eastAsia="en-AU"/>
        </w:rPr>
        <w:t>r</w:t>
      </w:r>
      <w:r w:rsidR="00E0414B" w:rsidRPr="000526BE">
        <w:rPr>
          <w:rFonts w:cs="Calibri"/>
          <w:snapToGrid/>
          <w:szCs w:val="24"/>
          <w:lang w:eastAsia="en-AU"/>
        </w:rPr>
        <w:t>ed with the trastuzumab arm</w:t>
      </w:r>
      <w:r w:rsidR="00B455A8" w:rsidRPr="000526BE">
        <w:rPr>
          <w:rFonts w:cs="Calibri"/>
          <w:snapToGrid/>
          <w:szCs w:val="24"/>
          <w:lang w:eastAsia="en-AU"/>
        </w:rPr>
        <w:t xml:space="preserve"> (48.4% vs 19.4%</w:t>
      </w:r>
      <w:r w:rsidR="00E0414B" w:rsidRPr="000526BE">
        <w:rPr>
          <w:rFonts w:cs="Calibri"/>
          <w:snapToGrid/>
          <w:szCs w:val="24"/>
          <w:lang w:eastAsia="en-AU"/>
        </w:rPr>
        <w:t>, respectively</w:t>
      </w:r>
      <w:r w:rsidR="00B455A8" w:rsidRPr="000526BE">
        <w:rPr>
          <w:rFonts w:cs="Calibri"/>
          <w:snapToGrid/>
          <w:szCs w:val="24"/>
          <w:lang w:eastAsia="en-AU"/>
        </w:rPr>
        <w:t>). However</w:t>
      </w:r>
      <w:r w:rsidR="008205A7" w:rsidRPr="000526BE">
        <w:rPr>
          <w:rFonts w:cs="Calibri"/>
          <w:snapToGrid/>
          <w:szCs w:val="24"/>
          <w:lang w:eastAsia="en-AU"/>
        </w:rPr>
        <w:t>,</w:t>
      </w:r>
      <w:r w:rsidR="00B455A8" w:rsidRPr="000526BE">
        <w:rPr>
          <w:rFonts w:cs="Calibri"/>
          <w:snapToGrid/>
          <w:szCs w:val="24"/>
          <w:lang w:eastAsia="en-AU"/>
        </w:rPr>
        <w:t xml:space="preserve"> the ESC noted that neither T-DM1 </w:t>
      </w:r>
      <w:r w:rsidR="00081F44" w:rsidRPr="000526BE">
        <w:rPr>
          <w:rFonts w:cs="Calibri"/>
          <w:snapToGrid/>
          <w:szCs w:val="24"/>
          <w:lang w:eastAsia="en-AU"/>
        </w:rPr>
        <w:t>n</w:t>
      </w:r>
      <w:r w:rsidR="00B455A8" w:rsidRPr="000526BE">
        <w:rPr>
          <w:rFonts w:cs="Calibri"/>
          <w:snapToGrid/>
          <w:szCs w:val="24"/>
          <w:lang w:eastAsia="en-AU"/>
        </w:rPr>
        <w:t xml:space="preserve">or trastuzumab penetrate the blood brain barrier, therefore neither would be expected to prevent CNS recurrence. The ESC noted the </w:t>
      </w:r>
      <w:r w:rsidR="00E52374" w:rsidRPr="000526BE">
        <w:rPr>
          <w:rFonts w:cs="Calibri"/>
          <w:snapToGrid/>
          <w:szCs w:val="24"/>
          <w:lang w:eastAsia="en-AU"/>
        </w:rPr>
        <w:t xml:space="preserve">difference in </w:t>
      </w:r>
      <w:r w:rsidR="00B455A8" w:rsidRPr="000526BE">
        <w:rPr>
          <w:rFonts w:cs="Calibri"/>
          <w:snapToGrid/>
          <w:szCs w:val="24"/>
          <w:lang w:eastAsia="en-AU"/>
        </w:rPr>
        <w:t xml:space="preserve">distribution of sites of recurrence </w:t>
      </w:r>
      <w:r w:rsidR="00C453A2" w:rsidRPr="000526BE">
        <w:rPr>
          <w:rFonts w:cs="Calibri"/>
          <w:snapToGrid/>
          <w:szCs w:val="24"/>
          <w:lang w:eastAsia="en-AU"/>
        </w:rPr>
        <w:t xml:space="preserve">(as shown in Table </w:t>
      </w:r>
      <w:r w:rsidR="001A48D9">
        <w:rPr>
          <w:rFonts w:cs="Calibri"/>
          <w:snapToGrid/>
          <w:szCs w:val="24"/>
          <w:lang w:eastAsia="en-AU"/>
        </w:rPr>
        <w:t>6</w:t>
      </w:r>
      <w:r w:rsidR="00C453A2" w:rsidRPr="000526BE">
        <w:rPr>
          <w:rFonts w:cs="Calibri"/>
          <w:snapToGrid/>
          <w:szCs w:val="24"/>
          <w:lang w:eastAsia="en-AU"/>
        </w:rPr>
        <w:t xml:space="preserve">) </w:t>
      </w:r>
      <w:r w:rsidR="00E0414B" w:rsidRPr="000526BE">
        <w:rPr>
          <w:rFonts w:cs="Calibri"/>
          <w:snapToGrid/>
          <w:szCs w:val="24"/>
          <w:lang w:eastAsia="en-AU"/>
        </w:rPr>
        <w:t>suggests</w:t>
      </w:r>
      <w:r w:rsidR="00B455A8" w:rsidRPr="000526BE">
        <w:rPr>
          <w:rFonts w:cs="Calibri"/>
          <w:snapToGrid/>
          <w:szCs w:val="24"/>
          <w:lang w:eastAsia="en-AU"/>
        </w:rPr>
        <w:t xml:space="preserve"> that T-DM1</w:t>
      </w:r>
      <w:r w:rsidR="00C453A2" w:rsidRPr="000526BE">
        <w:rPr>
          <w:rFonts w:cs="Calibri"/>
          <w:snapToGrid/>
          <w:szCs w:val="24"/>
          <w:lang w:eastAsia="en-AU"/>
        </w:rPr>
        <w:t xml:space="preserve"> reduced the number of</w:t>
      </w:r>
      <w:r w:rsidR="00B455A8" w:rsidRPr="000526BE">
        <w:rPr>
          <w:rFonts w:cs="Calibri"/>
          <w:snapToGrid/>
          <w:szCs w:val="24"/>
          <w:lang w:eastAsia="en-AU"/>
        </w:rPr>
        <w:t xml:space="preserve"> </w:t>
      </w:r>
      <w:r w:rsidR="00E0414B" w:rsidRPr="000526BE">
        <w:rPr>
          <w:rFonts w:cs="Calibri"/>
          <w:snapToGrid/>
          <w:szCs w:val="24"/>
          <w:lang w:eastAsia="en-AU"/>
        </w:rPr>
        <w:t xml:space="preserve">metastases in other sites, including </w:t>
      </w:r>
      <w:r w:rsidR="00B455A8" w:rsidRPr="000526BE">
        <w:rPr>
          <w:rFonts w:cs="Calibri"/>
          <w:snapToGrid/>
          <w:szCs w:val="24"/>
          <w:lang w:eastAsia="en-AU"/>
        </w:rPr>
        <w:t>lung/liver</w:t>
      </w:r>
      <w:r w:rsidR="00E0414B" w:rsidRPr="000526BE">
        <w:rPr>
          <w:rFonts w:cs="Calibri"/>
          <w:snapToGrid/>
          <w:szCs w:val="24"/>
          <w:lang w:eastAsia="en-AU"/>
        </w:rPr>
        <w:t xml:space="preserve"> metastases,</w:t>
      </w:r>
      <w:r w:rsidR="00E52374" w:rsidRPr="000526BE">
        <w:rPr>
          <w:rFonts w:cs="Calibri"/>
          <w:snapToGrid/>
          <w:szCs w:val="24"/>
          <w:lang w:eastAsia="en-AU"/>
        </w:rPr>
        <w:t xml:space="preserve"> compared with trastuzumab</w:t>
      </w:r>
      <w:r w:rsidR="00E0414B" w:rsidRPr="000526BE">
        <w:rPr>
          <w:rFonts w:cs="Calibri"/>
          <w:snapToGrid/>
          <w:szCs w:val="24"/>
          <w:lang w:eastAsia="en-AU"/>
        </w:rPr>
        <w:t xml:space="preserve"> which it considered would be clinically significant</w:t>
      </w:r>
      <w:r w:rsidR="00C453A2" w:rsidRPr="000526BE">
        <w:rPr>
          <w:rFonts w:cs="Calibri"/>
          <w:snapToGrid/>
          <w:szCs w:val="24"/>
          <w:lang w:eastAsia="en-AU"/>
        </w:rPr>
        <w:t>.</w:t>
      </w:r>
      <w:r w:rsidR="00300CCA" w:rsidRPr="000526BE">
        <w:rPr>
          <w:rFonts w:cs="Calibri"/>
          <w:snapToGrid/>
          <w:szCs w:val="24"/>
          <w:lang w:eastAsia="en-AU"/>
        </w:rPr>
        <w:t xml:space="preserve"> </w:t>
      </w:r>
    </w:p>
    <w:p w:rsidR="002C3625" w:rsidRPr="000526BE" w:rsidRDefault="002C3625" w:rsidP="00A1314D">
      <w:pPr>
        <w:pStyle w:val="TableHeading0"/>
      </w:pPr>
      <w:r w:rsidRPr="000526BE">
        <w:t xml:space="preserve">Table </w:t>
      </w:r>
      <w:r w:rsidR="001A48D9">
        <w:t>5</w:t>
      </w:r>
      <w:r w:rsidRPr="000526BE">
        <w:t xml:space="preserve">: Summary of First Occurrence* of an iDFS Event: KATHERINE, ITT </w:t>
      </w:r>
    </w:p>
    <w:tbl>
      <w:tblPr>
        <w:tblStyle w:val="TableGrid"/>
        <w:tblW w:w="5000" w:type="pct"/>
        <w:tblLook w:val="04A0" w:firstRow="1" w:lastRow="0" w:firstColumn="1" w:lastColumn="0" w:noHBand="0" w:noVBand="1"/>
        <w:tblCaption w:val="Table 5: Summary of First Occurrence* of an iDFS Event: KATHERINE, ITT "/>
      </w:tblPr>
      <w:tblGrid>
        <w:gridCol w:w="2830"/>
        <w:gridCol w:w="3093"/>
        <w:gridCol w:w="3094"/>
      </w:tblGrid>
      <w:tr w:rsidR="002C3625" w:rsidRPr="000526BE" w:rsidTr="00C2794D">
        <w:trPr>
          <w:tblHeader/>
        </w:trPr>
        <w:tc>
          <w:tcPr>
            <w:tcW w:w="2830" w:type="dxa"/>
          </w:tcPr>
          <w:p w:rsidR="002C3625" w:rsidRPr="000526BE" w:rsidRDefault="002C3625" w:rsidP="00677CA0">
            <w:pPr>
              <w:pStyle w:val="TableText1"/>
              <w:spacing w:before="0" w:after="0"/>
              <w:rPr>
                <w:rFonts w:ascii="Arial Narrow" w:hAnsi="Arial Narrow"/>
                <w:b/>
              </w:rPr>
            </w:pPr>
          </w:p>
        </w:tc>
        <w:tc>
          <w:tcPr>
            <w:tcW w:w="3093" w:type="dxa"/>
          </w:tcPr>
          <w:p w:rsidR="002C3625" w:rsidRPr="000526BE" w:rsidRDefault="002C3625" w:rsidP="00677CA0">
            <w:pPr>
              <w:pStyle w:val="TableText1"/>
              <w:spacing w:before="0" w:after="0"/>
              <w:jc w:val="center"/>
              <w:rPr>
                <w:rFonts w:ascii="Arial Narrow" w:hAnsi="Arial Narrow"/>
                <w:b/>
              </w:rPr>
            </w:pPr>
            <w:r w:rsidRPr="000526BE">
              <w:rPr>
                <w:rFonts w:ascii="Arial Narrow" w:hAnsi="Arial Narrow"/>
                <w:b/>
              </w:rPr>
              <w:t>T-DM1</w:t>
            </w:r>
          </w:p>
        </w:tc>
        <w:tc>
          <w:tcPr>
            <w:tcW w:w="3094" w:type="dxa"/>
          </w:tcPr>
          <w:p w:rsidR="002C3625" w:rsidRPr="000526BE" w:rsidRDefault="002C3625" w:rsidP="00677CA0">
            <w:pPr>
              <w:pStyle w:val="TableText1"/>
              <w:spacing w:before="0" w:after="0"/>
              <w:jc w:val="center"/>
              <w:rPr>
                <w:rFonts w:ascii="Arial Narrow" w:hAnsi="Arial Narrow"/>
                <w:b/>
              </w:rPr>
            </w:pPr>
            <w:r w:rsidRPr="000526BE">
              <w:rPr>
                <w:rFonts w:ascii="Arial Narrow" w:hAnsi="Arial Narrow"/>
                <w:b/>
              </w:rPr>
              <w:t>Trastuzumab</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p>
        </w:tc>
        <w:tc>
          <w:tcPr>
            <w:tcW w:w="3093" w:type="dxa"/>
          </w:tcPr>
          <w:p w:rsidR="002C3625" w:rsidRPr="000526BE" w:rsidRDefault="002C3625" w:rsidP="00677CA0">
            <w:pPr>
              <w:pStyle w:val="TableText1"/>
              <w:spacing w:before="0" w:after="0"/>
              <w:jc w:val="center"/>
              <w:rPr>
                <w:rFonts w:ascii="Arial Narrow" w:hAnsi="Arial Narrow"/>
                <w:iCs/>
              </w:rPr>
            </w:pPr>
            <w:r w:rsidRPr="000526BE">
              <w:rPr>
                <w:rFonts w:ascii="Arial Narrow" w:hAnsi="Arial Narrow"/>
                <w:iCs/>
              </w:rPr>
              <w:t>n/N (%) per event type</w:t>
            </w:r>
          </w:p>
          <w:p w:rsidR="002C3625" w:rsidRPr="000526BE" w:rsidRDefault="002C3625" w:rsidP="00677CA0">
            <w:pPr>
              <w:pStyle w:val="TableText1"/>
              <w:spacing w:before="0" w:after="0"/>
              <w:jc w:val="center"/>
              <w:rPr>
                <w:rFonts w:ascii="Arial Narrow" w:hAnsi="Arial Narrow"/>
                <w:i/>
                <w:iCs/>
              </w:rPr>
            </w:pPr>
            <w:r w:rsidRPr="000526BE">
              <w:rPr>
                <w:rFonts w:ascii="Arial Narrow" w:hAnsi="Arial Narrow"/>
                <w:iCs/>
              </w:rPr>
              <w:t>N = 91</w:t>
            </w:r>
          </w:p>
        </w:tc>
        <w:tc>
          <w:tcPr>
            <w:tcW w:w="3094" w:type="dxa"/>
          </w:tcPr>
          <w:p w:rsidR="002C3625" w:rsidRPr="000526BE" w:rsidRDefault="002C3625" w:rsidP="00677CA0">
            <w:pPr>
              <w:pStyle w:val="TableText1"/>
              <w:spacing w:before="0" w:after="0"/>
              <w:jc w:val="center"/>
              <w:rPr>
                <w:rFonts w:ascii="Arial Narrow" w:hAnsi="Arial Narrow"/>
                <w:iCs/>
              </w:rPr>
            </w:pPr>
            <w:r w:rsidRPr="000526BE">
              <w:rPr>
                <w:rFonts w:ascii="Arial Narrow" w:hAnsi="Arial Narrow"/>
                <w:iCs/>
              </w:rPr>
              <w:t>n/N (%) per event type</w:t>
            </w:r>
          </w:p>
          <w:p w:rsidR="002C3625" w:rsidRPr="000526BE" w:rsidRDefault="002C3625" w:rsidP="00677CA0">
            <w:pPr>
              <w:pStyle w:val="TableText1"/>
              <w:spacing w:before="0" w:after="0"/>
              <w:jc w:val="center"/>
              <w:rPr>
                <w:rFonts w:ascii="Arial Narrow" w:hAnsi="Arial Narrow"/>
                <w:i/>
                <w:iCs/>
              </w:rPr>
            </w:pPr>
            <w:r w:rsidRPr="000526BE">
              <w:rPr>
                <w:rFonts w:ascii="Arial Narrow" w:hAnsi="Arial Narrow"/>
                <w:iCs/>
              </w:rPr>
              <w:t>N = 165</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Total</w:t>
            </w:r>
            <w:r w:rsidR="00C678E7" w:rsidRPr="000526BE">
              <w:rPr>
                <w:rFonts w:ascii="Arial Narrow" w:hAnsi="Arial Narrow"/>
              </w:rPr>
              <w:t xml:space="preserve"> patients with iDFS event</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91</w:t>
            </w:r>
            <w:r w:rsidR="00C2794D" w:rsidRPr="000526BE">
              <w:rPr>
                <w:rFonts w:ascii="Arial Narrow" w:hAnsi="Arial Narrow"/>
                <w:iCs/>
              </w:rPr>
              <w:t xml:space="preserve"> </w:t>
            </w:r>
            <w:r w:rsidRPr="000526BE">
              <w:rPr>
                <w:rFonts w:ascii="Arial Narrow" w:hAnsi="Arial Narrow"/>
                <w:iCs/>
              </w:rPr>
              <w:t>(100%)</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165</w:t>
            </w:r>
            <w:r w:rsidR="00C2794D" w:rsidRPr="000526BE">
              <w:rPr>
                <w:rFonts w:ascii="Arial Narrow" w:hAnsi="Arial Narrow"/>
                <w:iCs/>
              </w:rPr>
              <w:t xml:space="preserve"> </w:t>
            </w:r>
            <w:r w:rsidRPr="000526BE">
              <w:rPr>
                <w:rFonts w:ascii="Arial Narrow" w:hAnsi="Arial Narrow"/>
                <w:iCs/>
              </w:rPr>
              <w:t>(100%)</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Distant recurrence – non-CNS</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34</w:t>
            </w:r>
            <w:r w:rsidR="00C2794D" w:rsidRPr="000526BE">
              <w:rPr>
                <w:rFonts w:ascii="Arial Narrow" w:hAnsi="Arial Narrow"/>
                <w:iCs/>
              </w:rPr>
              <w:t xml:space="preserve"> </w:t>
            </w:r>
            <w:r w:rsidRPr="000526BE">
              <w:rPr>
                <w:rFonts w:ascii="Arial Narrow" w:hAnsi="Arial Narrow"/>
                <w:iCs/>
              </w:rPr>
              <w:t>(37.4%)</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86</w:t>
            </w:r>
            <w:r w:rsidR="00C2794D" w:rsidRPr="000526BE">
              <w:rPr>
                <w:rFonts w:ascii="Arial Narrow" w:hAnsi="Arial Narrow"/>
                <w:iCs/>
              </w:rPr>
              <w:t xml:space="preserve"> </w:t>
            </w:r>
            <w:r w:rsidRPr="000526BE">
              <w:rPr>
                <w:rFonts w:ascii="Arial Narrow" w:hAnsi="Arial Narrow"/>
                <w:iCs/>
              </w:rPr>
              <w:t>(52.1%)</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Distant recurrence – CNS</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44</w:t>
            </w:r>
            <w:r w:rsidR="00C2794D" w:rsidRPr="000526BE">
              <w:rPr>
                <w:rFonts w:ascii="Arial Narrow" w:hAnsi="Arial Narrow"/>
                <w:iCs/>
              </w:rPr>
              <w:t xml:space="preserve"> </w:t>
            </w:r>
            <w:r w:rsidRPr="000526BE">
              <w:rPr>
                <w:rFonts w:ascii="Arial Narrow" w:hAnsi="Arial Narrow"/>
                <w:iCs/>
              </w:rPr>
              <w:t>(48.4%)</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32</w:t>
            </w:r>
            <w:r w:rsidR="00C2794D" w:rsidRPr="000526BE">
              <w:rPr>
                <w:rFonts w:ascii="Arial Narrow" w:hAnsi="Arial Narrow"/>
                <w:iCs/>
              </w:rPr>
              <w:t xml:space="preserve"> </w:t>
            </w:r>
            <w:r w:rsidRPr="000526BE">
              <w:rPr>
                <w:rFonts w:ascii="Arial Narrow" w:hAnsi="Arial Narrow"/>
                <w:iCs/>
              </w:rPr>
              <w:t>(19.4%)</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Loco-regional recurrence</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8</w:t>
            </w:r>
            <w:r w:rsidR="00C2794D" w:rsidRPr="000526BE">
              <w:rPr>
                <w:rFonts w:ascii="Arial Narrow" w:hAnsi="Arial Narrow"/>
                <w:iCs/>
              </w:rPr>
              <w:t xml:space="preserve"> </w:t>
            </w:r>
            <w:r w:rsidRPr="000526BE">
              <w:rPr>
                <w:rFonts w:ascii="Arial Narrow" w:hAnsi="Arial Narrow"/>
                <w:iCs/>
              </w:rPr>
              <w:t>(8.8%)</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34</w:t>
            </w:r>
            <w:r w:rsidR="00C2794D" w:rsidRPr="000526BE">
              <w:rPr>
                <w:rFonts w:ascii="Arial Narrow" w:hAnsi="Arial Narrow"/>
                <w:iCs/>
              </w:rPr>
              <w:t xml:space="preserve"> </w:t>
            </w:r>
            <w:r w:rsidRPr="000526BE">
              <w:rPr>
                <w:rFonts w:ascii="Arial Narrow" w:hAnsi="Arial Narrow"/>
                <w:iCs/>
              </w:rPr>
              <w:t>(20.6%)</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Contralateral BC</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3</w:t>
            </w:r>
            <w:r w:rsidR="00C2794D" w:rsidRPr="000526BE">
              <w:rPr>
                <w:rFonts w:ascii="Arial Narrow" w:hAnsi="Arial Narrow"/>
                <w:iCs/>
              </w:rPr>
              <w:t xml:space="preserve"> </w:t>
            </w:r>
            <w:r w:rsidRPr="000526BE">
              <w:rPr>
                <w:rFonts w:ascii="Arial Narrow" w:hAnsi="Arial Narrow"/>
                <w:iCs/>
              </w:rPr>
              <w:t>(3.3%)</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10</w:t>
            </w:r>
            <w:r w:rsidR="00C2794D" w:rsidRPr="000526BE">
              <w:rPr>
                <w:rFonts w:ascii="Arial Narrow" w:hAnsi="Arial Narrow"/>
                <w:iCs/>
              </w:rPr>
              <w:t xml:space="preserve"> </w:t>
            </w:r>
            <w:r w:rsidRPr="000526BE">
              <w:rPr>
                <w:rFonts w:ascii="Arial Narrow" w:hAnsi="Arial Narrow"/>
                <w:iCs/>
              </w:rPr>
              <w:t>(6.1%)</w:t>
            </w:r>
          </w:p>
        </w:tc>
      </w:tr>
      <w:tr w:rsidR="002C3625" w:rsidRPr="000526BE" w:rsidTr="00C2794D">
        <w:tc>
          <w:tcPr>
            <w:tcW w:w="2830" w:type="dxa"/>
          </w:tcPr>
          <w:p w:rsidR="002C3625" w:rsidRPr="000526BE" w:rsidRDefault="002C3625" w:rsidP="00677CA0">
            <w:pPr>
              <w:pStyle w:val="TableText1"/>
              <w:spacing w:before="0" w:after="0"/>
              <w:rPr>
                <w:rFonts w:ascii="Arial Narrow" w:hAnsi="Arial Narrow"/>
              </w:rPr>
            </w:pPr>
            <w:r w:rsidRPr="000526BE">
              <w:rPr>
                <w:rFonts w:ascii="Arial Narrow" w:hAnsi="Arial Narrow"/>
              </w:rPr>
              <w:t>Death without prior event</w:t>
            </w:r>
          </w:p>
        </w:tc>
        <w:tc>
          <w:tcPr>
            <w:tcW w:w="3093"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2</w:t>
            </w:r>
            <w:r w:rsidR="00C2794D" w:rsidRPr="000526BE">
              <w:rPr>
                <w:rFonts w:ascii="Arial Narrow" w:hAnsi="Arial Narrow"/>
                <w:iCs/>
              </w:rPr>
              <w:t xml:space="preserve"> </w:t>
            </w:r>
            <w:r w:rsidRPr="000526BE">
              <w:rPr>
                <w:rFonts w:ascii="Arial Narrow" w:hAnsi="Arial Narrow"/>
                <w:iCs/>
              </w:rPr>
              <w:t>(2.2%)</w:t>
            </w:r>
          </w:p>
        </w:tc>
        <w:tc>
          <w:tcPr>
            <w:tcW w:w="3094" w:type="dxa"/>
          </w:tcPr>
          <w:p w:rsidR="002C3625" w:rsidRPr="000526BE" w:rsidRDefault="002C3625" w:rsidP="00C2794D">
            <w:pPr>
              <w:pStyle w:val="TableText1"/>
              <w:spacing w:before="0" w:after="0"/>
              <w:jc w:val="center"/>
              <w:rPr>
                <w:rFonts w:ascii="Arial Narrow" w:hAnsi="Arial Narrow"/>
                <w:iCs/>
              </w:rPr>
            </w:pPr>
            <w:r w:rsidRPr="000526BE">
              <w:rPr>
                <w:rFonts w:ascii="Arial Narrow" w:hAnsi="Arial Narrow"/>
                <w:iCs/>
              </w:rPr>
              <w:t>3</w:t>
            </w:r>
            <w:r w:rsidR="00C2794D" w:rsidRPr="000526BE">
              <w:rPr>
                <w:rFonts w:ascii="Arial Narrow" w:hAnsi="Arial Narrow"/>
                <w:iCs/>
              </w:rPr>
              <w:t xml:space="preserve"> </w:t>
            </w:r>
            <w:r w:rsidRPr="000526BE">
              <w:rPr>
                <w:rFonts w:ascii="Arial Narrow" w:hAnsi="Arial Narrow"/>
                <w:iCs/>
              </w:rPr>
              <w:t>(1.8%)</w:t>
            </w:r>
          </w:p>
        </w:tc>
      </w:tr>
    </w:tbl>
    <w:p w:rsidR="00B61A0B" w:rsidRPr="000526BE" w:rsidRDefault="00B61A0B" w:rsidP="00B61A0B">
      <w:pPr>
        <w:pStyle w:val="TableFooter"/>
        <w:rPr>
          <w:rFonts w:eastAsiaTheme="minorEastAsia"/>
          <w:snapToGrid/>
        </w:rPr>
      </w:pPr>
      <w:r w:rsidRPr="000526BE">
        <w:t xml:space="preserve">Abbreviations: </w:t>
      </w:r>
      <w:r w:rsidRPr="000526BE">
        <w:rPr>
          <w:rFonts w:eastAsiaTheme="minorEastAsia"/>
          <w:snapToGrid/>
        </w:rPr>
        <w:t xml:space="preserve">BC= breast cancer; CNS= central nervous system; iDFS= </w:t>
      </w:r>
      <w:r w:rsidR="00423FC6" w:rsidRPr="000526BE">
        <w:rPr>
          <w:rFonts w:eastAsiaTheme="minorEastAsia"/>
          <w:snapToGrid/>
        </w:rPr>
        <w:t>invasive disease-free</w:t>
      </w:r>
      <w:r w:rsidRPr="000526BE">
        <w:rPr>
          <w:rFonts w:eastAsiaTheme="minorEastAsia"/>
          <w:snapToGrid/>
        </w:rPr>
        <w:t xml:space="preserve"> survival; </w:t>
      </w:r>
      <w:r w:rsidRPr="000526BE">
        <w:t>n= number of participants reporting data; N= total participants in group; T-DM1= trastuzumab emtansine</w:t>
      </w:r>
    </w:p>
    <w:p w:rsidR="00B61A0B" w:rsidRPr="000526BE" w:rsidRDefault="00B61A0B" w:rsidP="00B61A0B">
      <w:pPr>
        <w:pStyle w:val="TableFooter"/>
        <w:rPr>
          <w:i/>
        </w:rPr>
      </w:pPr>
      <w:r w:rsidRPr="000526BE">
        <w:t>Source: Table 2.10, p54 of the submission</w:t>
      </w:r>
      <w:r w:rsidR="002C5D07" w:rsidRPr="000526BE">
        <w:t xml:space="preserve"> and percentages calculated during evaluation</w:t>
      </w:r>
      <w:r w:rsidRPr="000526BE">
        <w:t>.</w:t>
      </w:r>
      <w:r w:rsidRPr="000526BE">
        <w:rPr>
          <w:i/>
        </w:rPr>
        <w:t xml:space="preserve"> </w:t>
      </w:r>
    </w:p>
    <w:p w:rsidR="00B61A0B" w:rsidRPr="000526BE" w:rsidRDefault="00B61A0B" w:rsidP="00B61A0B">
      <w:pPr>
        <w:pStyle w:val="TableFooter"/>
      </w:pPr>
      <w:r w:rsidRPr="000526BE">
        <w:t>Note: *Patients who experience additional iDFS event(s) within 61 days of their 1st iDFS event are reported in the category according to the following hierarchy: [1] Distant recurrence; [2] Loco-regional recurrence; [3] Contralateral breast cancer; [4] Death without prior event.</w:t>
      </w:r>
    </w:p>
    <w:p w:rsidR="002700DF" w:rsidRPr="000526BE" w:rsidRDefault="002700DF" w:rsidP="002700DF">
      <w:pPr>
        <w:pStyle w:val="TableHeading0"/>
      </w:pPr>
    </w:p>
    <w:p w:rsidR="002700DF" w:rsidRPr="000526BE" w:rsidRDefault="002700DF" w:rsidP="00F03ED8">
      <w:pPr>
        <w:pStyle w:val="TableHeading0"/>
        <w:keepLines/>
      </w:pPr>
      <w:r w:rsidRPr="000526BE">
        <w:t xml:space="preserve">Table </w:t>
      </w:r>
      <w:r w:rsidR="001A48D9">
        <w:t>6</w:t>
      </w:r>
      <w:r w:rsidRPr="000526BE">
        <w:t xml:space="preserve">: Site of first distant recurrence: KATHERINE, ITT </w:t>
      </w:r>
    </w:p>
    <w:tbl>
      <w:tblPr>
        <w:tblStyle w:val="TableGrid"/>
        <w:tblW w:w="5000" w:type="pct"/>
        <w:tblLook w:val="04A0" w:firstRow="1" w:lastRow="0" w:firstColumn="1" w:lastColumn="0" w:noHBand="0" w:noVBand="1"/>
        <w:tblCaption w:val="Table 6: Site of first distant recurrence: KATHERINE, ITT "/>
      </w:tblPr>
      <w:tblGrid>
        <w:gridCol w:w="2830"/>
        <w:gridCol w:w="3093"/>
        <w:gridCol w:w="3094"/>
      </w:tblGrid>
      <w:tr w:rsidR="002700DF" w:rsidRPr="000526BE" w:rsidTr="00185874">
        <w:trPr>
          <w:tblHeader/>
        </w:trPr>
        <w:tc>
          <w:tcPr>
            <w:tcW w:w="2830" w:type="dxa"/>
          </w:tcPr>
          <w:p w:rsidR="002700DF" w:rsidRPr="000526BE" w:rsidRDefault="002700DF" w:rsidP="00F03ED8">
            <w:pPr>
              <w:pStyle w:val="TableText1"/>
              <w:keepNext/>
              <w:keepLines/>
              <w:spacing w:before="0" w:after="0"/>
              <w:rPr>
                <w:rFonts w:ascii="Arial Narrow" w:hAnsi="Arial Narrow"/>
                <w:b/>
              </w:rPr>
            </w:pPr>
          </w:p>
        </w:tc>
        <w:tc>
          <w:tcPr>
            <w:tcW w:w="3093" w:type="dxa"/>
          </w:tcPr>
          <w:p w:rsidR="002700DF" w:rsidRPr="000526BE" w:rsidRDefault="002700DF" w:rsidP="00F03ED8">
            <w:pPr>
              <w:pStyle w:val="TableText1"/>
              <w:keepNext/>
              <w:keepLines/>
              <w:spacing w:before="0" w:after="0"/>
              <w:jc w:val="center"/>
              <w:rPr>
                <w:rFonts w:ascii="Arial Narrow" w:hAnsi="Arial Narrow"/>
                <w:b/>
              </w:rPr>
            </w:pPr>
            <w:r w:rsidRPr="000526BE">
              <w:rPr>
                <w:rFonts w:ascii="Arial Narrow" w:hAnsi="Arial Narrow"/>
                <w:b/>
              </w:rPr>
              <w:t>T-DM1</w:t>
            </w:r>
          </w:p>
        </w:tc>
        <w:tc>
          <w:tcPr>
            <w:tcW w:w="3094" w:type="dxa"/>
          </w:tcPr>
          <w:p w:rsidR="002700DF" w:rsidRPr="000526BE" w:rsidRDefault="002700DF" w:rsidP="00F03ED8">
            <w:pPr>
              <w:pStyle w:val="TableText1"/>
              <w:keepNext/>
              <w:keepLines/>
              <w:spacing w:before="0" w:after="0"/>
              <w:jc w:val="center"/>
              <w:rPr>
                <w:rFonts w:ascii="Arial Narrow" w:hAnsi="Arial Narrow"/>
                <w:b/>
              </w:rPr>
            </w:pPr>
            <w:r w:rsidRPr="000526BE">
              <w:rPr>
                <w:rFonts w:ascii="Arial Narrow" w:hAnsi="Arial Narrow"/>
                <w:b/>
              </w:rPr>
              <w:t>Trastuzumab</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n/N (%) per event type</w:t>
            </w:r>
          </w:p>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N = 78</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n/N (%) per event type</w:t>
            </w:r>
          </w:p>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N = 121</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r w:rsidRPr="000526BE">
              <w:rPr>
                <w:rFonts w:ascii="Arial Narrow" w:hAnsi="Arial Narrow"/>
              </w:rPr>
              <w:t>CNS</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44 (56%)</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31 (26%)</w:t>
            </w:r>
          </w:p>
        </w:tc>
      </w:tr>
      <w:tr w:rsidR="002700DF" w:rsidRPr="000526BE" w:rsidTr="00185874">
        <w:tc>
          <w:tcPr>
            <w:tcW w:w="2830" w:type="dxa"/>
          </w:tcPr>
          <w:p w:rsidR="002700DF" w:rsidRPr="000526BE" w:rsidRDefault="002700DF" w:rsidP="00F03ED8">
            <w:pPr>
              <w:pStyle w:val="TableText1"/>
              <w:keepNext/>
              <w:keepLines/>
              <w:spacing w:before="0" w:after="0"/>
              <w:jc w:val="right"/>
              <w:rPr>
                <w:rFonts w:ascii="Arial Narrow" w:hAnsi="Arial Narrow"/>
              </w:rPr>
            </w:pPr>
            <w:r w:rsidRPr="000526BE">
              <w:rPr>
                <w:rFonts w:ascii="Arial Narrow" w:hAnsi="Arial Narrow"/>
              </w:rPr>
              <w:t>CNS only</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37 (47%)</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24 (20%)</w:t>
            </w:r>
          </w:p>
        </w:tc>
      </w:tr>
      <w:tr w:rsidR="002700DF" w:rsidRPr="000526BE" w:rsidTr="00185874">
        <w:tc>
          <w:tcPr>
            <w:tcW w:w="2830" w:type="dxa"/>
          </w:tcPr>
          <w:p w:rsidR="002700DF" w:rsidRPr="000526BE" w:rsidRDefault="002700DF" w:rsidP="00F03ED8">
            <w:pPr>
              <w:pStyle w:val="TableText1"/>
              <w:keepNext/>
              <w:keepLines/>
              <w:spacing w:before="0" w:after="0"/>
              <w:jc w:val="right"/>
              <w:rPr>
                <w:rFonts w:ascii="Arial Narrow" w:hAnsi="Arial Narrow"/>
              </w:rPr>
            </w:pPr>
            <w:r w:rsidRPr="000526BE">
              <w:rPr>
                <w:rFonts w:ascii="Arial Narrow" w:hAnsi="Arial Narrow"/>
              </w:rPr>
              <w:t>CNS and at least one other distant recurrence</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7 (9%)</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7 (6%)</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r w:rsidRPr="000526BE">
              <w:rPr>
                <w:rFonts w:ascii="Arial Narrow" w:hAnsi="Arial Narrow"/>
              </w:rPr>
              <w:t>Lung/liver</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22 (28%)</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50 (41%)</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r w:rsidRPr="000526BE">
              <w:rPr>
                <w:rFonts w:ascii="Arial Narrow" w:hAnsi="Arial Narrow"/>
              </w:rPr>
              <w:t>Bone/bone marrow</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8 (10%)</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27 (22%)</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r w:rsidRPr="000526BE">
              <w:rPr>
                <w:rFonts w:ascii="Arial Narrow" w:hAnsi="Arial Narrow"/>
              </w:rPr>
              <w:t>Skin, subcutaneous tissue, and lymph nodes</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3 (4%)</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11 (9%)</w:t>
            </w:r>
          </w:p>
        </w:tc>
      </w:tr>
      <w:tr w:rsidR="002700DF" w:rsidRPr="000526BE" w:rsidTr="00185874">
        <w:tc>
          <w:tcPr>
            <w:tcW w:w="2830" w:type="dxa"/>
          </w:tcPr>
          <w:p w:rsidR="002700DF" w:rsidRPr="000526BE" w:rsidRDefault="002700DF" w:rsidP="00F03ED8">
            <w:pPr>
              <w:pStyle w:val="TableText1"/>
              <w:keepNext/>
              <w:keepLines/>
              <w:spacing w:before="0" w:after="0"/>
              <w:rPr>
                <w:rFonts w:ascii="Arial Narrow" w:hAnsi="Arial Narrow"/>
              </w:rPr>
            </w:pPr>
            <w:r w:rsidRPr="000526BE">
              <w:rPr>
                <w:rFonts w:ascii="Arial Narrow" w:hAnsi="Arial Narrow"/>
              </w:rPr>
              <w:t>Other</w:t>
            </w:r>
          </w:p>
        </w:tc>
        <w:tc>
          <w:tcPr>
            <w:tcW w:w="3093"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1 (1%)</w:t>
            </w:r>
          </w:p>
        </w:tc>
        <w:tc>
          <w:tcPr>
            <w:tcW w:w="3094" w:type="dxa"/>
          </w:tcPr>
          <w:p w:rsidR="002700DF" w:rsidRPr="000526BE" w:rsidRDefault="002700DF" w:rsidP="00F03ED8">
            <w:pPr>
              <w:pStyle w:val="TableText1"/>
              <w:keepNext/>
              <w:keepLines/>
              <w:spacing w:before="0" w:after="0"/>
              <w:jc w:val="center"/>
              <w:rPr>
                <w:rFonts w:ascii="Arial Narrow" w:hAnsi="Arial Narrow"/>
                <w:iCs/>
              </w:rPr>
            </w:pPr>
            <w:r w:rsidRPr="000526BE">
              <w:rPr>
                <w:rFonts w:ascii="Arial Narrow" w:hAnsi="Arial Narrow"/>
                <w:iCs/>
              </w:rPr>
              <w:t>2 (2%)</w:t>
            </w:r>
          </w:p>
        </w:tc>
      </w:tr>
    </w:tbl>
    <w:p w:rsidR="002700DF" w:rsidRPr="000526BE" w:rsidRDefault="002700DF" w:rsidP="00F03ED8">
      <w:pPr>
        <w:pStyle w:val="TableFooter"/>
        <w:keepNext/>
        <w:keepLines/>
        <w:widowControl/>
        <w:rPr>
          <w:rFonts w:eastAsiaTheme="minorEastAsia"/>
          <w:snapToGrid/>
        </w:rPr>
      </w:pPr>
      <w:r w:rsidRPr="000526BE">
        <w:t xml:space="preserve">Abbreviations: </w:t>
      </w:r>
      <w:r w:rsidRPr="000526BE">
        <w:rPr>
          <w:rFonts w:eastAsiaTheme="minorEastAsia"/>
          <w:snapToGrid/>
        </w:rPr>
        <w:t xml:space="preserve">CNS= central nervous system; </w:t>
      </w:r>
      <w:r w:rsidRPr="000526BE">
        <w:t>n= number of participants reporting data; N= total participants in group; T-DM1= trastuzumab emtansine</w:t>
      </w:r>
    </w:p>
    <w:p w:rsidR="002700DF" w:rsidRPr="000526BE" w:rsidRDefault="002700DF" w:rsidP="00F03ED8">
      <w:pPr>
        <w:pStyle w:val="TableFooter"/>
        <w:keepNext/>
        <w:keepLines/>
        <w:widowControl/>
      </w:pPr>
      <w:r w:rsidRPr="000526BE">
        <w:t>Source: KATHERINE CSR p1093</w:t>
      </w:r>
      <w:r w:rsidR="006600BA" w:rsidRPr="000526BE">
        <w:t>,</w:t>
      </w:r>
      <w:r w:rsidRPr="000526BE">
        <w:t xml:space="preserve"> percentages are the proportion of those with distant recurrence</w:t>
      </w:r>
      <w:r w:rsidR="00B455A8" w:rsidRPr="000526BE">
        <w:t>,</w:t>
      </w:r>
      <w:r w:rsidRPr="000526BE">
        <w:t xml:space="preserve"> calculated during evaluation. </w:t>
      </w:r>
    </w:p>
    <w:p w:rsidR="00B61A0B" w:rsidRPr="000526BE" w:rsidRDefault="006600BA" w:rsidP="00F03ED8">
      <w:pPr>
        <w:pStyle w:val="TableFooter"/>
        <w:keepNext/>
        <w:keepLines/>
        <w:widowControl/>
      </w:pPr>
      <w:r w:rsidRPr="000526BE">
        <w:t>Note: Val</w:t>
      </w:r>
      <w:r w:rsidR="008B5E9C">
        <w:t>ues differ from those in Table 5</w:t>
      </w:r>
      <w:r w:rsidRPr="000526BE">
        <w:t xml:space="preserve">, possibly because it only included iDFS events within a 61 day window of the first iDFS event. </w:t>
      </w:r>
      <w:r w:rsidR="002700DF" w:rsidRPr="000526BE">
        <w:t xml:space="preserve">Patients who experience </w:t>
      </w:r>
      <w:r w:rsidR="00B455A8" w:rsidRPr="000526BE">
        <w:t>distant recurrence at more than one site at the time of first recurrence are counted</w:t>
      </w:r>
      <w:r w:rsidR="002700DF" w:rsidRPr="000526BE">
        <w:t xml:space="preserve"> in the category according to the following hierarchy: [1] </w:t>
      </w:r>
      <w:r w:rsidR="00B455A8" w:rsidRPr="000526BE">
        <w:t>CNS</w:t>
      </w:r>
      <w:r w:rsidR="002700DF" w:rsidRPr="000526BE">
        <w:t xml:space="preserve">; [2] </w:t>
      </w:r>
      <w:r w:rsidR="00B455A8" w:rsidRPr="000526BE">
        <w:t>lung/liver</w:t>
      </w:r>
      <w:r w:rsidR="002700DF" w:rsidRPr="000526BE">
        <w:t xml:space="preserve">; [3] </w:t>
      </w:r>
      <w:r w:rsidR="00B455A8" w:rsidRPr="000526BE">
        <w:t>bone/bone marrow; [4] Skin, subcutaneous tissue, and lymph nodes; [5] Other</w:t>
      </w:r>
      <w:r w:rsidR="00081F44" w:rsidRPr="000526BE">
        <w:t>.</w:t>
      </w:r>
      <w:r w:rsidRPr="000526BE">
        <w:t xml:space="preserve"> </w:t>
      </w:r>
    </w:p>
    <w:p w:rsidR="00993186" w:rsidRPr="000526BE" w:rsidRDefault="00993186" w:rsidP="00B61A0B">
      <w:pPr>
        <w:widowControl/>
        <w:ind w:left="720"/>
      </w:pPr>
    </w:p>
    <w:p w:rsidR="00B61A0B" w:rsidRPr="000526BE" w:rsidRDefault="00B61A0B" w:rsidP="00A2058D">
      <w:pPr>
        <w:pStyle w:val="ListParagraph"/>
        <w:widowControl/>
        <w:numPr>
          <w:ilvl w:val="1"/>
          <w:numId w:val="2"/>
        </w:numPr>
      </w:pPr>
      <w:r w:rsidRPr="000526BE">
        <w:rPr>
          <w:rFonts w:asciiTheme="minorHAnsi" w:hAnsiTheme="minorHAnsi" w:cstheme="minorHAnsi"/>
          <w:szCs w:val="24"/>
        </w:rPr>
        <w:t xml:space="preserve">The results of the secondary </w:t>
      </w:r>
      <w:r w:rsidR="003B3829" w:rsidRPr="000526BE">
        <w:rPr>
          <w:rFonts w:asciiTheme="minorHAnsi" w:hAnsiTheme="minorHAnsi" w:cstheme="minorHAnsi"/>
          <w:szCs w:val="24"/>
        </w:rPr>
        <w:t xml:space="preserve">outcomes </w:t>
      </w:r>
      <w:r w:rsidRPr="000526BE">
        <w:rPr>
          <w:rFonts w:asciiTheme="minorHAnsi" w:hAnsiTheme="minorHAnsi" w:cstheme="minorHAnsi"/>
          <w:szCs w:val="24"/>
        </w:rPr>
        <w:t xml:space="preserve">from KATHERINE are summarised in Table </w:t>
      </w:r>
      <w:r w:rsidR="001A48D9">
        <w:rPr>
          <w:rFonts w:asciiTheme="minorHAnsi" w:hAnsiTheme="minorHAnsi" w:cstheme="minorHAnsi"/>
          <w:szCs w:val="24"/>
        </w:rPr>
        <w:t>7</w:t>
      </w:r>
      <w:r w:rsidRPr="000526BE">
        <w:rPr>
          <w:rFonts w:asciiTheme="minorHAnsi" w:hAnsiTheme="minorHAnsi" w:cstheme="minorHAnsi"/>
          <w:szCs w:val="24"/>
        </w:rPr>
        <w:t xml:space="preserve">. </w:t>
      </w:r>
    </w:p>
    <w:p w:rsidR="00B61A0B" w:rsidRPr="000526BE" w:rsidRDefault="00B61A0B" w:rsidP="00B61A0B">
      <w:pPr>
        <w:pStyle w:val="TableHeading0"/>
      </w:pPr>
      <w:r w:rsidRPr="000526BE">
        <w:t xml:space="preserve">Table </w:t>
      </w:r>
      <w:r w:rsidR="001A48D9">
        <w:t>7</w:t>
      </w:r>
      <w:r w:rsidRPr="000526BE">
        <w:t xml:space="preserve">: Results of the KATHERINE secondary efficacy outcomes (ITT) </w:t>
      </w:r>
    </w:p>
    <w:tbl>
      <w:tblPr>
        <w:tblW w:w="5000" w:type="pct"/>
        <w:tblLook w:val="0000" w:firstRow="0" w:lastRow="0" w:firstColumn="0" w:lastColumn="0" w:noHBand="0" w:noVBand="0"/>
      </w:tblPr>
      <w:tblGrid>
        <w:gridCol w:w="1372"/>
        <w:gridCol w:w="1522"/>
        <w:gridCol w:w="1520"/>
        <w:gridCol w:w="1791"/>
        <w:gridCol w:w="1477"/>
        <w:gridCol w:w="1335"/>
      </w:tblGrid>
      <w:tr w:rsidR="00B61A0B" w:rsidRPr="000526BE" w:rsidTr="00DF73C1">
        <w:trPr>
          <w:trHeight w:val="229"/>
          <w:tblHeader/>
        </w:trPr>
        <w:tc>
          <w:tcPr>
            <w:tcW w:w="761" w:type="pct"/>
            <w:vMerge w:val="restart"/>
            <w:tcBorders>
              <w:top w:val="single" w:sz="4" w:space="0" w:color="auto"/>
              <w:left w:val="single" w:sz="4" w:space="0" w:color="auto"/>
              <w:right w:val="single" w:sz="4" w:space="0" w:color="auto"/>
            </w:tcBorders>
            <w:vAlign w:val="center"/>
          </w:tcPr>
          <w:p w:rsidR="00B61A0B" w:rsidRPr="000526BE" w:rsidRDefault="00B61A0B" w:rsidP="007A7D2F">
            <w:pPr>
              <w:pStyle w:val="ESTableText"/>
              <w:widowControl w:val="0"/>
              <w:spacing w:before="0" w:after="0"/>
              <w:rPr>
                <w:rFonts w:ascii="Arial Narrow" w:hAnsi="Arial Narrow"/>
                <w:b/>
              </w:rPr>
            </w:pPr>
            <w:r w:rsidRPr="000526BE">
              <w:rPr>
                <w:rFonts w:ascii="Arial Narrow" w:hAnsi="Arial Narrow"/>
                <w:b/>
              </w:rPr>
              <w:t>Outcome</w:t>
            </w:r>
          </w:p>
        </w:tc>
        <w:tc>
          <w:tcPr>
            <w:tcW w:w="1687" w:type="pct"/>
            <w:gridSpan w:val="2"/>
            <w:vMerge w:val="restart"/>
            <w:tcBorders>
              <w:top w:val="single" w:sz="4" w:space="0" w:color="auto"/>
              <w:left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Number of patients with event (%)</w:t>
            </w:r>
          </w:p>
        </w:tc>
        <w:tc>
          <w:tcPr>
            <w:tcW w:w="993" w:type="pct"/>
            <w:vMerge w:val="restart"/>
            <w:tcBorders>
              <w:top w:val="single" w:sz="4" w:space="0" w:color="auto"/>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iCs/>
              </w:rPr>
              <w:t xml:space="preserve">Risk Difference </w:t>
            </w:r>
            <w:r w:rsidRPr="000526BE">
              <w:rPr>
                <w:b/>
                <w:iCs/>
              </w:rPr>
              <w:t>(%)</w:t>
            </w:r>
            <w:r w:rsidRPr="000526BE">
              <w:rPr>
                <w:rFonts w:ascii="Arial Narrow" w:hAnsi="Arial Narrow"/>
                <w:b/>
                <w:iCs/>
              </w:rPr>
              <w:t xml:space="preserve"> (95% CI)^</w:t>
            </w:r>
          </w:p>
        </w:tc>
        <w:tc>
          <w:tcPr>
            <w:tcW w:w="819" w:type="pct"/>
            <w:vMerge w:val="restart"/>
            <w:tcBorders>
              <w:top w:val="single" w:sz="4" w:space="0" w:color="auto"/>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Hazard ratio</w:t>
            </w:r>
          </w:p>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(95% CI)</w:t>
            </w:r>
          </w:p>
        </w:tc>
        <w:tc>
          <w:tcPr>
            <w:tcW w:w="740" w:type="pct"/>
            <w:vMerge w:val="restart"/>
            <w:tcBorders>
              <w:top w:val="single" w:sz="4" w:space="0" w:color="auto"/>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p-value (log-rank)</w:t>
            </w:r>
          </w:p>
        </w:tc>
      </w:tr>
      <w:tr w:rsidR="00B61A0B" w:rsidRPr="000526BE" w:rsidTr="00DF73C1">
        <w:trPr>
          <w:trHeight w:val="229"/>
          <w:tblHeader/>
        </w:trPr>
        <w:tc>
          <w:tcPr>
            <w:tcW w:w="761"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rPr>
                <w:rFonts w:ascii="Arial Narrow" w:hAnsi="Arial Narrow"/>
                <w:b/>
              </w:rPr>
            </w:pPr>
          </w:p>
        </w:tc>
        <w:tc>
          <w:tcPr>
            <w:tcW w:w="1687" w:type="pct"/>
            <w:gridSpan w:val="2"/>
            <w:vMerge/>
            <w:tcBorders>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rPr>
            </w:pPr>
          </w:p>
        </w:tc>
        <w:tc>
          <w:tcPr>
            <w:tcW w:w="993"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i/>
                <w:iCs/>
              </w:rPr>
            </w:pPr>
          </w:p>
        </w:tc>
        <w:tc>
          <w:tcPr>
            <w:tcW w:w="819"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c>
          <w:tcPr>
            <w:tcW w:w="740"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r>
      <w:tr w:rsidR="00B61A0B" w:rsidRPr="000526BE" w:rsidTr="00DF73C1">
        <w:trPr>
          <w:trHeight w:val="229"/>
          <w:tblHeader/>
        </w:trPr>
        <w:tc>
          <w:tcPr>
            <w:tcW w:w="761" w:type="pct"/>
            <w:vMerge/>
            <w:tcBorders>
              <w:left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b/>
              </w:rPr>
            </w:pPr>
          </w:p>
        </w:tc>
        <w:tc>
          <w:tcPr>
            <w:tcW w:w="844" w:type="pct"/>
            <w:vMerge w:val="restar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T-DM1</w:t>
            </w:r>
          </w:p>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(N=743)</w:t>
            </w:r>
          </w:p>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n (%)</w:t>
            </w:r>
          </w:p>
        </w:tc>
        <w:tc>
          <w:tcPr>
            <w:tcW w:w="843" w:type="pct"/>
            <w:vMerge w:val="restart"/>
            <w:tcBorders>
              <w:top w:val="single" w:sz="4" w:space="0" w:color="auto"/>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Trastuzumab</w:t>
            </w:r>
          </w:p>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(N=743)</w:t>
            </w:r>
          </w:p>
          <w:p w:rsidR="00B61A0B" w:rsidRPr="000526BE" w:rsidRDefault="00B61A0B" w:rsidP="007A7D2F">
            <w:pPr>
              <w:pStyle w:val="ESTableText"/>
              <w:widowControl w:val="0"/>
              <w:spacing w:before="0" w:after="0"/>
              <w:jc w:val="center"/>
              <w:rPr>
                <w:rFonts w:ascii="Arial Narrow" w:hAnsi="Arial Narrow"/>
                <w:b/>
              </w:rPr>
            </w:pPr>
            <w:r w:rsidRPr="000526BE">
              <w:rPr>
                <w:rFonts w:ascii="Arial Narrow" w:hAnsi="Arial Narrow"/>
                <w:b/>
              </w:rPr>
              <w:t>n (%)</w:t>
            </w:r>
          </w:p>
        </w:tc>
        <w:tc>
          <w:tcPr>
            <w:tcW w:w="993"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i/>
                <w:iCs/>
              </w:rPr>
            </w:pPr>
          </w:p>
        </w:tc>
        <w:tc>
          <w:tcPr>
            <w:tcW w:w="819"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c>
          <w:tcPr>
            <w:tcW w:w="740" w:type="pct"/>
            <w:vMerge/>
            <w:tcBorders>
              <w:left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r>
      <w:tr w:rsidR="00B61A0B" w:rsidRPr="000526BE" w:rsidTr="00DF73C1">
        <w:trPr>
          <w:trHeight w:val="229"/>
          <w:tblHeader/>
        </w:trPr>
        <w:tc>
          <w:tcPr>
            <w:tcW w:w="761" w:type="pct"/>
            <w:vMerge/>
            <w:tcBorders>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b/>
              </w:rPr>
            </w:pPr>
          </w:p>
        </w:tc>
        <w:tc>
          <w:tcPr>
            <w:tcW w:w="844" w:type="pct"/>
            <w:vMerge/>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rPr>
            </w:pPr>
          </w:p>
        </w:tc>
        <w:tc>
          <w:tcPr>
            <w:tcW w:w="843" w:type="pct"/>
            <w:vMerge/>
            <w:tcBorders>
              <w:left w:val="single" w:sz="4" w:space="0" w:color="auto"/>
              <w:bottom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c>
          <w:tcPr>
            <w:tcW w:w="993" w:type="pct"/>
            <w:vMerge/>
            <w:tcBorders>
              <w:left w:val="single" w:sz="4" w:space="0" w:color="auto"/>
              <w:bottom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i/>
                <w:iCs/>
              </w:rPr>
            </w:pPr>
          </w:p>
        </w:tc>
        <w:tc>
          <w:tcPr>
            <w:tcW w:w="819" w:type="pct"/>
            <w:vMerge/>
            <w:tcBorders>
              <w:left w:val="single" w:sz="4" w:space="0" w:color="auto"/>
              <w:bottom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c>
          <w:tcPr>
            <w:tcW w:w="740" w:type="pct"/>
            <w:vMerge/>
            <w:tcBorders>
              <w:left w:val="single" w:sz="4" w:space="0" w:color="auto"/>
              <w:bottom w:val="single" w:sz="4" w:space="0" w:color="auto"/>
              <w:right w:val="single" w:sz="4" w:space="0" w:color="auto"/>
            </w:tcBorders>
            <w:vAlign w:val="center"/>
          </w:tcPr>
          <w:p w:rsidR="00B61A0B" w:rsidRPr="000526BE" w:rsidRDefault="00B61A0B" w:rsidP="007A7D2F">
            <w:pPr>
              <w:pStyle w:val="ESTableText"/>
              <w:widowControl w:val="0"/>
              <w:spacing w:before="0" w:after="0"/>
              <w:jc w:val="center"/>
              <w:rPr>
                <w:rFonts w:ascii="Arial Narrow" w:hAnsi="Arial Narrow"/>
                <w:b/>
              </w:rPr>
            </w:pPr>
          </w:p>
        </w:tc>
      </w:tr>
      <w:tr w:rsidR="00B61A0B" w:rsidRPr="000526BE" w:rsidTr="00DF73C1">
        <w:trPr>
          <w:trHeight w:val="20"/>
        </w:trPr>
        <w:tc>
          <w:tcPr>
            <w:tcW w:w="761"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rPr>
            </w:pPr>
            <w:r w:rsidRPr="000526BE">
              <w:rPr>
                <w:rFonts w:ascii="Arial Narrow" w:hAnsi="Arial Narrow"/>
              </w:rPr>
              <w:t>iDFS-SPNBC</w:t>
            </w:r>
          </w:p>
        </w:tc>
        <w:tc>
          <w:tcPr>
            <w:tcW w:w="844"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95 (12.8%)</w:t>
            </w:r>
          </w:p>
        </w:tc>
        <w:tc>
          <w:tcPr>
            <w:tcW w:w="843"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167 (22.5%)</w:t>
            </w:r>
          </w:p>
        </w:tc>
        <w:tc>
          <w:tcPr>
            <w:tcW w:w="993" w:type="pct"/>
            <w:tcBorders>
              <w:top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iCs/>
              </w:rPr>
            </w:pPr>
            <w:r w:rsidRPr="000526BE">
              <w:rPr>
                <w:rFonts w:ascii="Arial Narrow" w:hAnsi="Arial Narrow"/>
                <w:b/>
                <w:iCs/>
              </w:rPr>
              <w:t>-9.7 (-5.8, -13.5)</w:t>
            </w:r>
          </w:p>
        </w:tc>
        <w:tc>
          <w:tcPr>
            <w:tcW w:w="819"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bCs w:val="0"/>
              </w:rPr>
            </w:pPr>
            <w:r w:rsidRPr="000526BE">
              <w:rPr>
                <w:rFonts w:ascii="Arial Narrow" w:hAnsi="Arial Narrow"/>
                <w:b/>
                <w:bCs w:val="0"/>
              </w:rPr>
              <w:t>0.51 (0.40, 0.66)</w:t>
            </w:r>
          </w:p>
        </w:tc>
        <w:tc>
          <w:tcPr>
            <w:tcW w:w="740"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&lt; 0.0001</w:t>
            </w:r>
          </w:p>
        </w:tc>
      </w:tr>
      <w:tr w:rsidR="00B61A0B" w:rsidRPr="000526BE" w:rsidTr="00DF73C1">
        <w:trPr>
          <w:trHeight w:val="20"/>
        </w:trPr>
        <w:tc>
          <w:tcPr>
            <w:tcW w:w="761"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rPr>
            </w:pPr>
            <w:r w:rsidRPr="000526BE">
              <w:rPr>
                <w:rFonts w:ascii="Arial Narrow" w:hAnsi="Arial Narrow"/>
              </w:rPr>
              <w:t>DFS</w:t>
            </w:r>
          </w:p>
        </w:tc>
        <w:tc>
          <w:tcPr>
            <w:tcW w:w="844"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98 (13.2%)</w:t>
            </w:r>
          </w:p>
        </w:tc>
        <w:tc>
          <w:tcPr>
            <w:tcW w:w="843"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167 (22.5%)</w:t>
            </w:r>
          </w:p>
        </w:tc>
        <w:tc>
          <w:tcPr>
            <w:tcW w:w="993" w:type="pct"/>
            <w:tcBorders>
              <w:top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iCs/>
              </w:rPr>
            </w:pPr>
            <w:r w:rsidRPr="000526BE">
              <w:rPr>
                <w:rFonts w:ascii="Arial Narrow" w:hAnsi="Arial Narrow"/>
                <w:b/>
                <w:iCs/>
              </w:rPr>
              <w:t>-9.3 (-5.4, -13.2)</w:t>
            </w:r>
          </w:p>
        </w:tc>
        <w:tc>
          <w:tcPr>
            <w:tcW w:w="819"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bCs w:val="0"/>
              </w:rPr>
            </w:pPr>
            <w:r w:rsidRPr="000526BE">
              <w:rPr>
                <w:rFonts w:ascii="Arial Narrow" w:hAnsi="Arial Narrow"/>
                <w:b/>
                <w:bCs w:val="0"/>
              </w:rPr>
              <w:t>0.53 (0.41, 0.68)</w:t>
            </w:r>
          </w:p>
        </w:tc>
        <w:tc>
          <w:tcPr>
            <w:tcW w:w="740"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&lt; 0.0001</w:t>
            </w:r>
          </w:p>
        </w:tc>
      </w:tr>
      <w:tr w:rsidR="00B61A0B" w:rsidRPr="000526BE" w:rsidTr="00DF73C1">
        <w:trPr>
          <w:trHeight w:val="20"/>
        </w:trPr>
        <w:tc>
          <w:tcPr>
            <w:tcW w:w="761"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rPr>
            </w:pPr>
            <w:r w:rsidRPr="000526BE">
              <w:rPr>
                <w:rFonts w:ascii="Arial Narrow" w:hAnsi="Arial Narrow"/>
              </w:rPr>
              <w:t>OS</w:t>
            </w:r>
          </w:p>
        </w:tc>
        <w:tc>
          <w:tcPr>
            <w:tcW w:w="844"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42 (5.7%)</w:t>
            </w:r>
          </w:p>
        </w:tc>
        <w:tc>
          <w:tcPr>
            <w:tcW w:w="843"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56 (7.5%)</w:t>
            </w:r>
          </w:p>
        </w:tc>
        <w:tc>
          <w:tcPr>
            <w:tcW w:w="993" w:type="pct"/>
            <w:tcBorders>
              <w:top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iCs/>
              </w:rPr>
            </w:pPr>
            <w:r w:rsidRPr="000526BE">
              <w:rPr>
                <w:rFonts w:ascii="Arial Narrow" w:hAnsi="Arial Narrow"/>
                <w:iCs/>
              </w:rPr>
              <w:t>-1.9 (0.6, -4.4)</w:t>
            </w:r>
          </w:p>
        </w:tc>
        <w:tc>
          <w:tcPr>
            <w:tcW w:w="819"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0.70 (0.47, 1.05)</w:t>
            </w:r>
          </w:p>
        </w:tc>
        <w:tc>
          <w:tcPr>
            <w:tcW w:w="740"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i/>
                <w:iCs/>
              </w:rPr>
            </w:pPr>
            <w:r w:rsidRPr="000526BE">
              <w:rPr>
                <w:rFonts w:ascii="Arial Narrow" w:hAnsi="Arial Narrow"/>
              </w:rPr>
              <w:t>0.0848*</w:t>
            </w:r>
          </w:p>
        </w:tc>
      </w:tr>
      <w:tr w:rsidR="00B61A0B" w:rsidRPr="000526BE" w:rsidTr="00DF73C1">
        <w:trPr>
          <w:trHeight w:val="20"/>
        </w:trPr>
        <w:tc>
          <w:tcPr>
            <w:tcW w:w="761"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rPr>
                <w:rFonts w:ascii="Arial Narrow" w:hAnsi="Arial Narrow"/>
              </w:rPr>
            </w:pPr>
            <w:r w:rsidRPr="000526BE">
              <w:rPr>
                <w:rFonts w:ascii="Arial Narrow" w:hAnsi="Arial Narrow"/>
              </w:rPr>
              <w:t>DRFI</w:t>
            </w:r>
          </w:p>
        </w:tc>
        <w:tc>
          <w:tcPr>
            <w:tcW w:w="844"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78 (10.5%)</w:t>
            </w:r>
          </w:p>
        </w:tc>
        <w:tc>
          <w:tcPr>
            <w:tcW w:w="843"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rPr>
            </w:pPr>
            <w:r w:rsidRPr="000526BE">
              <w:rPr>
                <w:rFonts w:ascii="Arial Narrow" w:hAnsi="Arial Narrow"/>
              </w:rPr>
              <w:t>121 (16.3%)</w:t>
            </w:r>
          </w:p>
        </w:tc>
        <w:tc>
          <w:tcPr>
            <w:tcW w:w="993" w:type="pct"/>
            <w:tcBorders>
              <w:top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iCs/>
              </w:rPr>
            </w:pPr>
            <w:r w:rsidRPr="000526BE">
              <w:rPr>
                <w:rFonts w:ascii="Arial Narrow" w:hAnsi="Arial Narrow"/>
                <w:b/>
                <w:iCs/>
              </w:rPr>
              <w:t>-5.8 (-2.3, -9.2)</w:t>
            </w:r>
          </w:p>
        </w:tc>
        <w:tc>
          <w:tcPr>
            <w:tcW w:w="819"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b/>
                <w:bCs w:val="0"/>
              </w:rPr>
            </w:pPr>
            <w:r w:rsidRPr="000526BE">
              <w:rPr>
                <w:rFonts w:ascii="Arial Narrow" w:hAnsi="Arial Narrow"/>
                <w:b/>
                <w:bCs w:val="0"/>
              </w:rPr>
              <w:t>0.60 (0.45, 0.79)</w:t>
            </w:r>
          </w:p>
        </w:tc>
        <w:tc>
          <w:tcPr>
            <w:tcW w:w="740" w:type="pct"/>
            <w:tcBorders>
              <w:top w:val="single" w:sz="4" w:space="0" w:color="auto"/>
              <w:left w:val="single" w:sz="4" w:space="0" w:color="auto"/>
              <w:bottom w:val="single" w:sz="4" w:space="0" w:color="auto"/>
              <w:right w:val="single" w:sz="4" w:space="0" w:color="auto"/>
            </w:tcBorders>
          </w:tcPr>
          <w:p w:rsidR="00B61A0B" w:rsidRPr="000526BE" w:rsidRDefault="00B61A0B" w:rsidP="007A7D2F">
            <w:pPr>
              <w:pStyle w:val="ESTableText"/>
              <w:widowControl w:val="0"/>
              <w:spacing w:before="0" w:after="0"/>
              <w:jc w:val="center"/>
              <w:rPr>
                <w:rFonts w:ascii="Arial Narrow" w:hAnsi="Arial Narrow"/>
                <w:i/>
                <w:iCs/>
              </w:rPr>
            </w:pPr>
            <w:r w:rsidRPr="000526BE">
              <w:rPr>
                <w:rFonts w:ascii="Arial Narrow" w:hAnsi="Arial Narrow"/>
              </w:rPr>
              <w:t>0.0003</w:t>
            </w:r>
          </w:p>
        </w:tc>
      </w:tr>
    </w:tbl>
    <w:p w:rsidR="00B61A0B" w:rsidRPr="000526BE" w:rsidRDefault="00B61A0B" w:rsidP="00B61A0B">
      <w:pPr>
        <w:pStyle w:val="TableFooter"/>
      </w:pPr>
      <w:r w:rsidRPr="000526BE">
        <w:t>Abbreviations: CI= confidence interval; DFS= disease free survival; DRFI= distant relapse-free interval; iDFS= invasive disease-free survival; iDFS-SPNBC= invasive disease-free survival including second primary non-breast cancers; n= number of participants reporting data; N= total participants in group; OS= overall survival; T-DM1= trastuzumab emtansine</w:t>
      </w:r>
    </w:p>
    <w:p w:rsidR="00B61A0B" w:rsidRPr="000526BE" w:rsidRDefault="00B61A0B" w:rsidP="00B61A0B">
      <w:pPr>
        <w:pStyle w:val="TableFooter"/>
        <w:rPr>
          <w:i/>
          <w:iCs/>
        </w:rPr>
      </w:pPr>
      <w:r w:rsidRPr="000526BE">
        <w:t xml:space="preserve">Source: Table ES.4, p.6 of the submission. </w:t>
      </w:r>
    </w:p>
    <w:p w:rsidR="00B61A0B" w:rsidRPr="000526BE" w:rsidRDefault="00B61A0B" w:rsidP="00B61A0B">
      <w:pPr>
        <w:pStyle w:val="TableFooter"/>
        <w:rPr>
          <w:iCs/>
        </w:rPr>
      </w:pPr>
      <w:r w:rsidRPr="000526BE">
        <w:t xml:space="preserve">Notes: </w:t>
      </w:r>
      <w:r w:rsidRPr="000526BE">
        <w:rPr>
          <w:b/>
          <w:bCs/>
        </w:rPr>
        <w:t>Bold</w:t>
      </w:r>
      <w:r w:rsidRPr="000526BE">
        <w:t xml:space="preserve"> indicates results of statistical significance. *The OS data were immature at the clinical cut-off date (98 events total); the final OS analyses is planned 119 months (367 events) from the enrolment of first patient to data cut-off.</w:t>
      </w:r>
      <w:r w:rsidRPr="000526BE">
        <w:rPr>
          <w:iCs/>
        </w:rPr>
        <w:t xml:space="preserve"> </w:t>
      </w:r>
      <w:r w:rsidR="00D35C4A" w:rsidRPr="000526BE">
        <w:rPr>
          <w:iCs/>
        </w:rPr>
        <w:t>^</w:t>
      </w:r>
      <w:r w:rsidR="00136E6C" w:rsidRPr="000526BE">
        <w:rPr>
          <w:iCs/>
        </w:rPr>
        <w:t>Values calculated during the evaluation</w:t>
      </w:r>
      <w:r w:rsidR="00E45367" w:rsidRPr="000526BE">
        <w:rPr>
          <w:iCs/>
        </w:rPr>
        <w:t>.</w:t>
      </w:r>
    </w:p>
    <w:p w:rsidR="00B61A0B" w:rsidRPr="000526BE" w:rsidRDefault="00B61A0B" w:rsidP="00B61A0B">
      <w:pPr>
        <w:pStyle w:val="TableFooter"/>
        <w:rPr>
          <w:iCs/>
        </w:rPr>
      </w:pPr>
    </w:p>
    <w:p w:rsidR="00B61A0B" w:rsidRPr="000526BE" w:rsidRDefault="00B61A0B" w:rsidP="00A2058D">
      <w:pPr>
        <w:pStyle w:val="ListParagraph"/>
        <w:widowControl/>
        <w:numPr>
          <w:ilvl w:val="1"/>
          <w:numId w:val="2"/>
        </w:numPr>
      </w:pPr>
      <w:r w:rsidRPr="000526BE">
        <w:t xml:space="preserve">The submission reported that interim OS data were immature at the clinical cut-off date (25 July 2018, with 98 deaths reported; 42 in the T-DM1 arm and 56 in the trastuzumab arm). Final OS analyses are expected by </w:t>
      </w:r>
      <w:r w:rsidRPr="000526BE">
        <w:rPr>
          <w:iCs/>
        </w:rPr>
        <w:t>March</w:t>
      </w:r>
      <w:r w:rsidR="00497938" w:rsidRPr="000526BE">
        <w:rPr>
          <w:iCs/>
        </w:rPr>
        <w:t xml:space="preserve"> </w:t>
      </w:r>
      <w:r w:rsidRPr="000526BE">
        <w:rPr>
          <w:iCs/>
        </w:rPr>
        <w:t>2023</w:t>
      </w:r>
      <w:r w:rsidRPr="000526BE">
        <w:t xml:space="preserve"> after 119 months (367 events) from first patient enrolment (April 2013). The submission claimed that the OS analysis did not cross the early stopping boundary, but that the OS result was supportive of the iDFS analysis (unstratified HR = 0.70, 95% CI: 0.47, 1.05, p=0.0848; see Figure </w:t>
      </w:r>
      <w:r w:rsidR="00901F49" w:rsidRPr="000526BE">
        <w:t>3</w:t>
      </w:r>
      <w:r w:rsidRPr="000526BE">
        <w:t xml:space="preserve">). </w:t>
      </w:r>
      <w:r w:rsidRPr="000526BE">
        <w:rPr>
          <w:iCs/>
        </w:rPr>
        <w:t>Given the immaturity of the OS data, there was no statistically significant difference in OS between the treatment groups.</w:t>
      </w:r>
      <w:r w:rsidR="00704B64" w:rsidRPr="000526BE">
        <w:rPr>
          <w:iCs/>
        </w:rPr>
        <w:t xml:space="preserve"> </w:t>
      </w:r>
      <w:r w:rsidRPr="000526BE">
        <w:rPr>
          <w:iCs/>
        </w:rPr>
        <w:t xml:space="preserve"> </w:t>
      </w:r>
    </w:p>
    <w:p w:rsidR="00B61A0B" w:rsidRPr="000526BE" w:rsidRDefault="00B61A0B" w:rsidP="00B61A0B">
      <w:pPr>
        <w:pStyle w:val="Caption"/>
      </w:pPr>
      <w:r w:rsidRPr="000526BE">
        <w:t xml:space="preserve">Figure </w:t>
      </w:r>
      <w:r w:rsidR="00901F49" w:rsidRPr="000526BE">
        <w:t>3</w:t>
      </w:r>
      <w:r w:rsidRPr="000526BE">
        <w:t>: Kaplan-Meier Plot of Overall Survival; KATHERINE ITT</w:t>
      </w:r>
    </w:p>
    <w:p w:rsidR="00B61A0B" w:rsidRPr="000526BE" w:rsidRDefault="00B61A0B" w:rsidP="00B61A0B">
      <w:r w:rsidRPr="000526BE">
        <w:rPr>
          <w:noProof/>
          <w:lang w:eastAsia="en-AU"/>
        </w:rPr>
        <w:drawing>
          <wp:inline distT="0" distB="0" distL="0" distR="0" wp14:anchorId="2ECE6B51" wp14:editId="3CF625C9">
            <wp:extent cx="5822556" cy="3530010"/>
            <wp:effectExtent l="19050" t="19050" r="26035" b="13335"/>
            <wp:docPr id="2" name="Picture 2" title="Figure 3: Kaplan-Meier Plot of Overall Survival; KATHERIN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8520" cy="3539688"/>
                    </a:xfrm>
                    <a:prstGeom prst="rect">
                      <a:avLst/>
                    </a:prstGeom>
                    <a:ln>
                      <a:solidFill>
                        <a:schemeClr val="tx1"/>
                      </a:solidFill>
                    </a:ln>
                  </pic:spPr>
                </pic:pic>
              </a:graphicData>
            </a:graphic>
          </wp:inline>
        </w:drawing>
      </w:r>
    </w:p>
    <w:p w:rsidR="00B61A0B" w:rsidRPr="000526BE" w:rsidRDefault="00B61A0B" w:rsidP="00B61A0B">
      <w:pPr>
        <w:pStyle w:val="TableFooter"/>
      </w:pPr>
      <w:r w:rsidRPr="000526BE">
        <w:t>Abbreviations: CI= confidence intervals; iDFS= invasive disease-free survival; ITT= intent-to-treat patients; N= total number of patients in arm; p= p value.</w:t>
      </w:r>
    </w:p>
    <w:p w:rsidR="00B61A0B" w:rsidRPr="000526BE" w:rsidRDefault="00B61A0B" w:rsidP="00B61A0B">
      <w:pPr>
        <w:pStyle w:val="TableFooter"/>
      </w:pPr>
      <w:r w:rsidRPr="000526BE">
        <w:t>Source: Figure 2.4, p56 of the submission.</w:t>
      </w:r>
    </w:p>
    <w:p w:rsidR="00B61A0B" w:rsidRPr="000526BE" w:rsidRDefault="00B61A0B" w:rsidP="00B61A0B">
      <w:pPr>
        <w:pStyle w:val="TableFooter"/>
        <w:rPr>
          <w:i/>
          <w:iCs/>
        </w:rPr>
      </w:pPr>
    </w:p>
    <w:p w:rsidR="00B61A0B" w:rsidRPr="000526BE" w:rsidRDefault="00B61A0B" w:rsidP="00A2058D">
      <w:pPr>
        <w:pStyle w:val="ListParagraph"/>
        <w:widowControl/>
        <w:numPr>
          <w:ilvl w:val="1"/>
          <w:numId w:val="2"/>
        </w:numPr>
      </w:pPr>
      <w:r w:rsidRPr="000526BE">
        <w:t xml:space="preserve">The submission provided results of pre-specified subgroup analyses for efficacy outcomes conducted within KATHERINE. </w:t>
      </w:r>
      <w:r w:rsidRPr="000526BE">
        <w:rPr>
          <w:iCs/>
        </w:rPr>
        <w:t xml:space="preserve">The TGA CER noted that the clinical benefit of iDFS was demonstrable across the key subgroups, including those with hormone receptor-positive/negative HER2+ eBC, smaller volumes of residual invasive disease or Asian ethnicity (T-DM1 TGA CER, Section 8.1, p153). However, the subgroup </w:t>
      </w:r>
      <w:r w:rsidR="003A371C" w:rsidRPr="000526BE">
        <w:rPr>
          <w:iCs/>
        </w:rPr>
        <w:t xml:space="preserve">analyses </w:t>
      </w:r>
      <w:r w:rsidRPr="000526BE">
        <w:rPr>
          <w:iCs/>
        </w:rPr>
        <w:t xml:space="preserve">showed that </w:t>
      </w:r>
      <w:r w:rsidR="003B3829" w:rsidRPr="000526BE">
        <w:rPr>
          <w:iCs/>
        </w:rPr>
        <w:t xml:space="preserve">the </w:t>
      </w:r>
      <w:r w:rsidRPr="000526BE">
        <w:rPr>
          <w:iCs/>
        </w:rPr>
        <w:t>benefit was not statistically significant for patients aged ≥65 years or those treated with dual-targeted neoadjuvant therapy (i.e. pertuzumab)</w:t>
      </w:r>
      <w:r w:rsidR="003A371C" w:rsidRPr="000526BE">
        <w:rPr>
          <w:iCs/>
        </w:rPr>
        <w:t>; noting the similarity of the point estimates of effect and that the study may not have been powered to demonstrate these subgr</w:t>
      </w:r>
      <w:r w:rsidR="00C2794D" w:rsidRPr="000526BE">
        <w:rPr>
          <w:iCs/>
        </w:rPr>
        <w:t>o</w:t>
      </w:r>
      <w:r w:rsidR="003A371C" w:rsidRPr="000526BE">
        <w:rPr>
          <w:iCs/>
        </w:rPr>
        <w:t>up differences</w:t>
      </w:r>
      <w:r w:rsidRPr="000526BE">
        <w:rPr>
          <w:iCs/>
        </w:rPr>
        <w:t xml:space="preserve">. </w:t>
      </w:r>
      <w:r w:rsidR="00106F0C" w:rsidRPr="000526BE">
        <w:rPr>
          <w:iCs/>
        </w:rPr>
        <w:t>The ESC noted the low number of patients in the subgroup of patients over 65 years and considered that the subgroup analys</w:t>
      </w:r>
      <w:r w:rsidR="00EF1B08" w:rsidRPr="000526BE">
        <w:rPr>
          <w:iCs/>
        </w:rPr>
        <w:t>e</w:t>
      </w:r>
      <w:r w:rsidR="00106F0C" w:rsidRPr="000526BE">
        <w:rPr>
          <w:iCs/>
        </w:rPr>
        <w:t xml:space="preserve">s did not identify any </w:t>
      </w:r>
      <w:r w:rsidR="00706C80" w:rsidRPr="000526BE">
        <w:rPr>
          <w:iCs/>
        </w:rPr>
        <w:t>areas</w:t>
      </w:r>
      <w:r w:rsidR="00106F0C" w:rsidRPr="000526BE">
        <w:rPr>
          <w:iCs/>
        </w:rPr>
        <w:t xml:space="preserve"> of concern to suggest there are likely to be differences in effectiveness in Australian patients. </w:t>
      </w:r>
    </w:p>
    <w:p w:rsidR="00B61A0B" w:rsidRPr="000526BE" w:rsidRDefault="00B61A0B" w:rsidP="00A2058D">
      <w:pPr>
        <w:pStyle w:val="ListParagraph"/>
        <w:widowControl/>
        <w:numPr>
          <w:ilvl w:val="1"/>
          <w:numId w:val="2"/>
        </w:numPr>
      </w:pPr>
      <w:r w:rsidRPr="000526BE">
        <w:t xml:space="preserve">The submission reported health-related quality of life </w:t>
      </w:r>
      <w:r w:rsidR="003A03BD" w:rsidRPr="000526BE">
        <w:t xml:space="preserve">(HRQoL) </w:t>
      </w:r>
      <w:r w:rsidRPr="000526BE">
        <w:t xml:space="preserve">scores from EORTC QLQ-C30 and EORTC QLQ-BR23 questionnaires included in KATHERINE. Results from those questionnaires were similar between the two arms. However, when examined over the entire course of treatment, a higher proportion of patients in the T-DM1 arm experienced a clinically meaningful deterioration in role functioning, appetite loss, constipation, fatigue, nausea/vomiting, pain and systemic therapy side effects. In contrast, a lower proportion of patients in the T-DM1 arm had clinically meaningful deterioration in diarrhoea compared to the trastuzumab arm as reported in the QLQ-C30 questionnaire. </w:t>
      </w:r>
    </w:p>
    <w:p w:rsidR="00B61A0B" w:rsidRPr="000526BE" w:rsidRDefault="00B61A0B" w:rsidP="00DE37FE">
      <w:pPr>
        <w:pStyle w:val="Heading2"/>
        <w:spacing w:after="120"/>
        <w:rPr>
          <w:i w:val="0"/>
        </w:rPr>
      </w:pPr>
      <w:bookmarkStart w:id="10" w:name="_Toc19626595"/>
      <w:r w:rsidRPr="000526BE">
        <w:rPr>
          <w:i w:val="0"/>
        </w:rPr>
        <w:t>Comparative harms</w:t>
      </w:r>
      <w:bookmarkEnd w:id="10"/>
    </w:p>
    <w:p w:rsidR="00B61A0B" w:rsidRPr="000526BE" w:rsidRDefault="00B61A0B" w:rsidP="00A2058D">
      <w:pPr>
        <w:pStyle w:val="ListParagraph"/>
        <w:widowControl/>
        <w:numPr>
          <w:ilvl w:val="1"/>
          <w:numId w:val="2"/>
        </w:numPr>
        <w:rPr>
          <w:iCs/>
        </w:rPr>
      </w:pPr>
      <w:r w:rsidRPr="000526BE">
        <w:t xml:space="preserve">A summary of key adverse events (AEs) from KATHERINE is presented in Table </w:t>
      </w:r>
      <w:r w:rsidR="001A48D9">
        <w:t>8</w:t>
      </w:r>
      <w:r w:rsidRPr="000526BE">
        <w:t xml:space="preserve">. </w:t>
      </w:r>
      <w:r w:rsidRPr="000526BE">
        <w:rPr>
          <w:rFonts w:cs="Calibri"/>
          <w:iCs/>
          <w:snapToGrid/>
          <w:szCs w:val="24"/>
          <w:lang w:eastAsia="en-AU"/>
        </w:rPr>
        <w:t>There were 212 (28.5%) and 135 (18.2%) patients who discontinued planned study treatment from the T-DM1 and trastuzumab arms respectively. The primary reasons for treatment discontinuation were AEs (18.0% and 2.1%), withdrawal of consent (6.6% and 7.7%) and progressive disease (2.2% and 5.2%) in the T-DM1 and trastuzumab treatment arms respectively. A total of 71 patients (8.7%) switched from T-DM1 to trastuzumab.</w:t>
      </w:r>
    </w:p>
    <w:p w:rsidR="00B61A0B" w:rsidRPr="000526BE" w:rsidRDefault="00B61A0B" w:rsidP="00A2058D">
      <w:pPr>
        <w:pStyle w:val="ListParagraph"/>
        <w:widowControl/>
        <w:numPr>
          <w:ilvl w:val="1"/>
          <w:numId w:val="2"/>
        </w:numPr>
      </w:pPr>
      <w:r w:rsidRPr="000526BE">
        <w:t>The incidence of AEs (any grade) and Grade ≥ 3 AEs was higher with T-DM1 versus trastuzumab; 98.8% vs. 93.3% for any grade and 25.7% vs. 15.4% for Grade ≥ 3 in the safety evaluable population. Grade ≥ 3 AEs occurring in at least 1.6% of patients in either arm were: platelet count decreased (5.7% vs. 0.3%), hypertension (2.0% vs. 1.3%) and hepato</w:t>
      </w:r>
      <w:r w:rsidR="001F44ED" w:rsidRPr="000526BE">
        <w:t>to</w:t>
      </w:r>
      <w:r w:rsidRPr="000526BE">
        <w:t xml:space="preserve">xicity (1.6% vs. 0.4%) for T-DM1 and trastuzumab respectively. </w:t>
      </w:r>
      <w:r w:rsidRPr="000526BE">
        <w:rPr>
          <w:iCs/>
        </w:rPr>
        <w:t>As noted in the TGA CER (T-DM1 TGA CER, Section 8.2, p.154), adjuvant treatment with T-DM1 had an increased risk of toxicity compared with adjuvant trastuzumab due to the known toxicities of the maytansine conjugate of DM1 and a higher risk of long-term hepatic damage which was slow to resolve.</w:t>
      </w:r>
      <w:r w:rsidR="00DA522C" w:rsidRPr="000526BE">
        <w:rPr>
          <w:iCs/>
        </w:rPr>
        <w:t xml:space="preserve"> </w:t>
      </w:r>
    </w:p>
    <w:p w:rsidR="00B61A0B" w:rsidRPr="000526BE" w:rsidRDefault="00B61A0B" w:rsidP="00A2058D">
      <w:pPr>
        <w:pStyle w:val="ListParagraph"/>
        <w:widowControl/>
        <w:numPr>
          <w:ilvl w:val="1"/>
          <w:numId w:val="2"/>
        </w:numPr>
      </w:pPr>
      <w:r w:rsidRPr="000526BE">
        <w:t xml:space="preserve">The most commonly reported AEs leading to discontinuation in the T-DM1 arm were: platelet count decreased (4.2%), blood bilirubin increased (2.6%), ejection fraction decreased (1.2%), aspartate aminotransferase (AST) increased (1.6%), alanine aminotransferase (ALT) increased (1.5%) and peripheral sensory neuropathy (1.5%). </w:t>
      </w:r>
      <w:r w:rsidR="00DA522C" w:rsidRPr="000526BE">
        <w:rPr>
          <w:iCs/>
        </w:rPr>
        <w:t xml:space="preserve">The PBAC noted that the TGA delegate’s overview </w:t>
      </w:r>
      <w:r w:rsidR="00693747" w:rsidRPr="000526BE">
        <w:rPr>
          <w:iCs/>
        </w:rPr>
        <w:t>stat</w:t>
      </w:r>
      <w:r w:rsidR="00DA522C" w:rsidRPr="000526BE">
        <w:rPr>
          <w:iCs/>
        </w:rPr>
        <w:t>ed “treatment with trastuzumab emtansine requires more intensive monitoring than trastuzumab, particularly for haematological and hepatic abnormalities. Additional changes to the PI are warranted to support clinicians in managing the risks associated with this treatment”.</w:t>
      </w:r>
    </w:p>
    <w:p w:rsidR="00B61A0B" w:rsidRPr="000526BE" w:rsidRDefault="00B61A0B" w:rsidP="00A2058D">
      <w:pPr>
        <w:pStyle w:val="ListParagraph"/>
        <w:widowControl/>
        <w:numPr>
          <w:ilvl w:val="1"/>
          <w:numId w:val="2"/>
        </w:numPr>
      </w:pPr>
      <w:r w:rsidRPr="000526BE">
        <w:t>There was one fatal AE which was deemed related to the study drug by the investigator: intracranial haemorrhage in a patient receiving T-DM1.</w:t>
      </w:r>
    </w:p>
    <w:p w:rsidR="00B61A0B" w:rsidRPr="000526BE" w:rsidRDefault="00B61A0B" w:rsidP="006B66D7">
      <w:pPr>
        <w:pStyle w:val="TableHeading0"/>
        <w:keepLines/>
      </w:pPr>
      <w:r w:rsidRPr="000526BE">
        <w:t xml:space="preserve">Table </w:t>
      </w:r>
      <w:r w:rsidR="001A48D9">
        <w:t>8</w:t>
      </w:r>
      <w:r w:rsidRPr="000526BE">
        <w:t>: Summary of key adverse events in KATHERINE, safety-evaluable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4"/>
        <w:gridCol w:w="1549"/>
        <w:gridCol w:w="1705"/>
        <w:gridCol w:w="1859"/>
      </w:tblGrid>
      <w:tr w:rsidR="00B61A0B" w:rsidRPr="000526BE" w:rsidTr="00B26954">
        <w:trPr>
          <w:trHeight w:val="70"/>
          <w:tblHeader/>
        </w:trPr>
        <w:tc>
          <w:tcPr>
            <w:tcW w:w="3573" w:type="dxa"/>
            <w:vAlign w:val="center"/>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b/>
              </w:rPr>
              <w:t>Adverse event (AE)</w:t>
            </w:r>
          </w:p>
        </w:tc>
        <w:tc>
          <w:tcPr>
            <w:tcW w:w="1417" w:type="dxa"/>
          </w:tcPr>
          <w:p w:rsidR="00B61A0B" w:rsidRPr="000526BE" w:rsidRDefault="00B61A0B" w:rsidP="006B66D7">
            <w:pPr>
              <w:pStyle w:val="ESTableText"/>
              <w:keepNext/>
              <w:keepLines/>
              <w:spacing w:before="0" w:after="0"/>
              <w:jc w:val="center"/>
              <w:rPr>
                <w:rFonts w:ascii="Arial Narrow" w:hAnsi="Arial Narrow" w:cs="Arial"/>
                <w:b/>
              </w:rPr>
            </w:pPr>
            <w:r w:rsidRPr="000526BE">
              <w:rPr>
                <w:rFonts w:ascii="Arial Narrow" w:hAnsi="Arial Narrow" w:cs="Arial"/>
                <w:b/>
              </w:rPr>
              <w:t>T-DM1</w:t>
            </w:r>
            <w:r w:rsidRPr="000526BE">
              <w:rPr>
                <w:rFonts w:ascii="Arial Narrow" w:hAnsi="Arial Narrow" w:cs="Arial"/>
                <w:b/>
              </w:rPr>
              <w:br/>
              <w:t>n (%) (N=740)</w:t>
            </w:r>
          </w:p>
        </w:tc>
        <w:tc>
          <w:tcPr>
            <w:tcW w:w="1560" w:type="dxa"/>
            <w:vAlign w:val="center"/>
          </w:tcPr>
          <w:p w:rsidR="00B61A0B" w:rsidRPr="000526BE" w:rsidRDefault="00B61A0B" w:rsidP="006B66D7">
            <w:pPr>
              <w:pStyle w:val="ESTableText"/>
              <w:keepNext/>
              <w:keepLines/>
              <w:spacing w:before="0" w:after="0"/>
              <w:jc w:val="center"/>
              <w:rPr>
                <w:rFonts w:ascii="Arial Narrow" w:hAnsi="Arial Narrow" w:cs="Arial"/>
                <w:b/>
              </w:rPr>
            </w:pPr>
            <w:r w:rsidRPr="000526BE">
              <w:rPr>
                <w:rFonts w:ascii="Arial Narrow" w:hAnsi="Arial Narrow" w:cs="Arial"/>
                <w:b/>
              </w:rPr>
              <w:t>Trastuzumab</w:t>
            </w:r>
          </w:p>
          <w:p w:rsidR="00B61A0B" w:rsidRPr="000526BE" w:rsidRDefault="00B61A0B" w:rsidP="006B66D7">
            <w:pPr>
              <w:pStyle w:val="ESTableText"/>
              <w:keepNext/>
              <w:keepLines/>
              <w:spacing w:before="0" w:after="0"/>
              <w:jc w:val="center"/>
              <w:rPr>
                <w:rFonts w:ascii="Arial Narrow" w:hAnsi="Arial Narrow" w:cs="Arial"/>
                <w:b/>
              </w:rPr>
            </w:pPr>
            <w:r w:rsidRPr="000526BE">
              <w:rPr>
                <w:rFonts w:ascii="Arial Narrow" w:hAnsi="Arial Narrow" w:cs="Arial"/>
                <w:b/>
              </w:rPr>
              <w:t>n (%)</w:t>
            </w:r>
            <w:r w:rsidRPr="000526BE">
              <w:rPr>
                <w:rFonts w:ascii="Arial Narrow" w:hAnsi="Arial Narrow" w:cs="Arial"/>
                <w:b/>
              </w:rPr>
              <w:br/>
              <w:t>(N=720)</w:t>
            </w:r>
          </w:p>
        </w:tc>
        <w:tc>
          <w:tcPr>
            <w:tcW w:w="1701" w:type="dxa"/>
            <w:vAlign w:val="center"/>
          </w:tcPr>
          <w:p w:rsidR="00B61A0B" w:rsidRPr="000526BE" w:rsidRDefault="00B61A0B" w:rsidP="006B66D7">
            <w:pPr>
              <w:pStyle w:val="ESTableText"/>
              <w:keepNext/>
              <w:keepLines/>
              <w:spacing w:before="0" w:after="0"/>
              <w:jc w:val="center"/>
              <w:rPr>
                <w:rFonts w:ascii="Arial Narrow" w:hAnsi="Arial Narrow" w:cs="Arial"/>
                <w:b/>
              </w:rPr>
            </w:pPr>
            <w:r w:rsidRPr="000526BE">
              <w:rPr>
                <w:rFonts w:ascii="Arial Narrow" w:hAnsi="Arial Narrow" w:cs="Arial"/>
                <w:b/>
              </w:rPr>
              <w:t>RD (%)</w:t>
            </w:r>
          </w:p>
          <w:p w:rsidR="00B61A0B" w:rsidRPr="000526BE" w:rsidRDefault="00B61A0B" w:rsidP="006B66D7">
            <w:pPr>
              <w:pStyle w:val="ESTableText"/>
              <w:keepNext/>
              <w:keepLines/>
              <w:spacing w:before="0" w:after="0"/>
              <w:jc w:val="center"/>
              <w:rPr>
                <w:rFonts w:ascii="Arial Narrow" w:hAnsi="Arial Narrow" w:cs="Arial"/>
                <w:b/>
              </w:rPr>
            </w:pPr>
            <w:r w:rsidRPr="000526BE">
              <w:rPr>
                <w:rFonts w:ascii="Arial Narrow" w:hAnsi="Arial Narrow" w:cs="Arial"/>
                <w:b/>
              </w:rPr>
              <w:t>(95% CI)</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Any AE</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731 (98.8)</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672 (93.3)</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5.4 (3.5,7.4)</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Grade ≥ 3 AEs</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190 (25.7)</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111 (15.4)</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10.3 (6.2,14.4)</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Serious AEs</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94 (12.7)</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58 (8.1)</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4.7 (1.5, 7.8)</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 xml:space="preserve">AEs leading to discontinuation </w:t>
            </w:r>
            <w:r w:rsidRPr="000526BE">
              <w:rPr>
                <w:rFonts w:ascii="Arial Narrow" w:hAnsi="Arial Narrow" w:cs="Arial"/>
                <w:i/>
                <w:iCs/>
              </w:rPr>
              <w:t xml:space="preserve">of </w:t>
            </w:r>
            <w:r w:rsidRPr="000526BE">
              <w:rPr>
                <w:rFonts w:ascii="Arial Narrow" w:hAnsi="Arial Narrow" w:cs="Arial"/>
                <w:iCs/>
              </w:rPr>
              <w:t>trial drug</w:t>
            </w:r>
            <w:r w:rsidRPr="000526BE">
              <w:rPr>
                <w:rFonts w:ascii="Arial Narrow" w:hAnsi="Arial Narrow" w:cs="Arial"/>
                <w:i/>
                <w:iCs/>
              </w:rPr>
              <w:t>*</w:t>
            </w:r>
            <w:r w:rsidRPr="000526BE">
              <w:rPr>
                <w:rFonts w:ascii="Arial Narrow" w:hAnsi="Arial Narrow" w:cs="Arial"/>
              </w:rPr>
              <w:t xml:space="preserve">  </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133 (18.0)</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15 (2.1)</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15.9 (12.9, 18.9)</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AEs leading to dose modification/ interruption</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196 (26.5)</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37 (5.1)</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21.4 (17.8, 24.9)</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Treatment-related AEs* (any)</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641 (86.6)</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326 (45.3)</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41.3 (36.9, 45.7)</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Treatment-related serious AEs</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39 (5.3)</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8 (1.1)</w:t>
            </w:r>
          </w:p>
        </w:tc>
        <w:tc>
          <w:tcPr>
            <w:tcW w:w="1701" w:type="dxa"/>
          </w:tcPr>
          <w:p w:rsidR="00B61A0B" w:rsidRPr="000526BE" w:rsidRDefault="00B61A0B" w:rsidP="006B66D7">
            <w:pPr>
              <w:pStyle w:val="ESTableText"/>
              <w:keepNext/>
              <w:keepLines/>
              <w:spacing w:before="0" w:after="0"/>
              <w:jc w:val="center"/>
              <w:rPr>
                <w:rFonts w:ascii="Arial Narrow" w:hAnsi="Arial Narrow" w:cs="Arial"/>
                <w:b/>
                <w:bCs w:val="0"/>
              </w:rPr>
            </w:pPr>
            <w:r w:rsidRPr="000526BE">
              <w:rPr>
                <w:rFonts w:ascii="Arial Narrow" w:hAnsi="Arial Narrow" w:cs="Arial"/>
                <w:b/>
                <w:bCs w:val="0"/>
              </w:rPr>
              <w:t>4.2 (2.4, 5.9)</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 xml:space="preserve">AEs leading to death </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1 (0.1)</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 xml:space="preserve">0 (0) </w:t>
            </w:r>
          </w:p>
        </w:tc>
        <w:tc>
          <w:tcPr>
            <w:tcW w:w="1701"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0.14 (–0.24, 0.51)</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Total deaths</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42 (5.7)</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56 (7.8)</w:t>
            </w:r>
          </w:p>
        </w:tc>
        <w:tc>
          <w:tcPr>
            <w:tcW w:w="1701"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–2.1 (–5.0, 5.0)</w:t>
            </w:r>
          </w:p>
        </w:tc>
      </w:tr>
      <w:tr w:rsidR="00B61A0B" w:rsidRPr="000526BE" w:rsidTr="00B26954">
        <w:tc>
          <w:tcPr>
            <w:tcW w:w="3573" w:type="dxa"/>
          </w:tcPr>
          <w:p w:rsidR="00B61A0B" w:rsidRPr="000526BE" w:rsidRDefault="00B61A0B" w:rsidP="006B66D7">
            <w:pPr>
              <w:pStyle w:val="ESTableText"/>
              <w:keepNext/>
              <w:keepLines/>
              <w:spacing w:before="0" w:after="0"/>
              <w:rPr>
                <w:rFonts w:ascii="Arial Narrow" w:hAnsi="Arial Narrow" w:cs="Arial"/>
              </w:rPr>
            </w:pPr>
            <w:r w:rsidRPr="000526BE">
              <w:rPr>
                <w:rFonts w:ascii="Arial Narrow" w:hAnsi="Arial Narrow" w:cs="Arial"/>
              </w:rPr>
              <w:t>Treatment-related deaths</w:t>
            </w:r>
          </w:p>
        </w:tc>
        <w:tc>
          <w:tcPr>
            <w:tcW w:w="1417"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1 (0.1)</w:t>
            </w:r>
          </w:p>
        </w:tc>
        <w:tc>
          <w:tcPr>
            <w:tcW w:w="1560"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rPr>
              <w:t>0 (0)</w:t>
            </w:r>
          </w:p>
        </w:tc>
        <w:tc>
          <w:tcPr>
            <w:tcW w:w="1701" w:type="dxa"/>
          </w:tcPr>
          <w:p w:rsidR="00B61A0B" w:rsidRPr="000526BE" w:rsidRDefault="00B61A0B" w:rsidP="006B66D7">
            <w:pPr>
              <w:pStyle w:val="ESTableText"/>
              <w:keepNext/>
              <w:keepLines/>
              <w:spacing w:before="0" w:after="0"/>
              <w:jc w:val="center"/>
              <w:rPr>
                <w:rFonts w:ascii="Arial Narrow" w:hAnsi="Arial Narrow" w:cs="Arial"/>
              </w:rPr>
            </w:pPr>
            <w:r w:rsidRPr="000526BE">
              <w:rPr>
                <w:rFonts w:ascii="Arial Narrow" w:hAnsi="Arial Narrow" w:cs="Arial"/>
              </w:rPr>
              <w:t>0.14 (–0.24, 0.51)</w:t>
            </w:r>
          </w:p>
        </w:tc>
      </w:tr>
    </w:tbl>
    <w:p w:rsidR="00B61A0B" w:rsidRPr="000526BE" w:rsidRDefault="00B61A0B" w:rsidP="006B66D7">
      <w:pPr>
        <w:pStyle w:val="TableFooter"/>
        <w:keepNext/>
        <w:keepLines/>
        <w:widowControl/>
      </w:pPr>
      <w:r w:rsidRPr="000526BE">
        <w:t>Abbreviations: AE= adverse event; n= number of participants reporting data; N= total participants in group; RD= risk difference (numbers below zero favour T-DM1); RR= risk ratio (numbers below 1 favour T-DM1).</w:t>
      </w:r>
    </w:p>
    <w:p w:rsidR="00B61A0B" w:rsidRPr="000526BE" w:rsidRDefault="00B61A0B" w:rsidP="006B66D7">
      <w:pPr>
        <w:pStyle w:val="TableFooter"/>
        <w:keepNext/>
        <w:keepLines/>
        <w:widowControl/>
      </w:pPr>
      <w:r w:rsidRPr="000526BE">
        <w:t>Source: Table 2.12, p58 of the submission and Table 2 von Minchkwitz et al 2019.</w:t>
      </w:r>
    </w:p>
    <w:p w:rsidR="00B61A0B" w:rsidRPr="000526BE" w:rsidRDefault="00B61A0B" w:rsidP="006B66D7">
      <w:pPr>
        <w:pStyle w:val="TableFooter"/>
        <w:keepNext/>
        <w:keepLines/>
        <w:widowControl/>
        <w:spacing w:after="120"/>
      </w:pPr>
      <w:r w:rsidRPr="000526BE">
        <w:t xml:space="preserve">Notes:*only AEs related to T-DM1 were evaluated in the T-DM1 arm; ^ safety-evaluable population included all randomised patients who received any amount of study treatment (720 patients in the trastuzumab arm and 740 patients in the T-DM1 arm; </w:t>
      </w:r>
      <w:r w:rsidRPr="000526BE">
        <w:rPr>
          <w:b/>
          <w:bCs/>
        </w:rPr>
        <w:t>Bold</w:t>
      </w:r>
      <w:r w:rsidRPr="000526BE">
        <w:t xml:space="preserve"> represents statistically significant difference between arms; </w:t>
      </w:r>
      <w:r w:rsidRPr="000526BE">
        <w:rPr>
          <w:iCs/>
        </w:rPr>
        <w:t>the number of patients who switched from T-DM1 to trastuzumab due to AEs was not reported.</w:t>
      </w:r>
    </w:p>
    <w:p w:rsidR="00B61A0B" w:rsidRPr="000526BE" w:rsidRDefault="00B61A0B" w:rsidP="000C6F33">
      <w:pPr>
        <w:pStyle w:val="Heading2"/>
        <w:spacing w:before="120" w:after="120"/>
      </w:pPr>
      <w:bookmarkStart w:id="11" w:name="_Toc19626596"/>
      <w:r w:rsidRPr="000526BE">
        <w:t>Benefits/harms</w:t>
      </w:r>
      <w:bookmarkEnd w:id="11"/>
    </w:p>
    <w:p w:rsidR="00B61A0B" w:rsidRPr="000526BE" w:rsidRDefault="00B61A0B" w:rsidP="00A2058D">
      <w:pPr>
        <w:pStyle w:val="ListParagraph"/>
        <w:widowControl/>
        <w:numPr>
          <w:ilvl w:val="1"/>
          <w:numId w:val="2"/>
        </w:numPr>
        <w:spacing w:before="120" w:after="120"/>
      </w:pPr>
      <w:r w:rsidRPr="000526BE">
        <w:t xml:space="preserve">A summary of the comparative benefits and harms for T-DM1 versus trastuzumab is presented in Table </w:t>
      </w:r>
      <w:r w:rsidR="001A48D9">
        <w:t>9</w:t>
      </w:r>
      <w:r w:rsidRPr="000526BE">
        <w:t>.</w:t>
      </w:r>
    </w:p>
    <w:p w:rsidR="00B61A0B" w:rsidRPr="000526BE" w:rsidRDefault="00B61A0B" w:rsidP="006B66D7">
      <w:pPr>
        <w:pStyle w:val="TableHeading0"/>
        <w:keepLines/>
        <w:rPr>
          <w:rStyle w:val="CommentReference"/>
          <w:b/>
          <w:szCs w:val="22"/>
        </w:rPr>
      </w:pPr>
      <w:r w:rsidRPr="000526BE">
        <w:rPr>
          <w:rStyle w:val="CommentReference"/>
          <w:b/>
          <w:szCs w:val="22"/>
        </w:rPr>
        <w:t xml:space="preserve">Table </w:t>
      </w:r>
      <w:r w:rsidR="001A48D9">
        <w:rPr>
          <w:rStyle w:val="CommentReference"/>
          <w:b/>
          <w:szCs w:val="22"/>
        </w:rPr>
        <w:t>9</w:t>
      </w:r>
      <w:r w:rsidRPr="000526BE">
        <w:rPr>
          <w:rStyle w:val="CommentReference"/>
          <w:b/>
          <w:szCs w:val="22"/>
        </w:rPr>
        <w:t>: Summary of comparative benefits and harms for T-DM1 versus trastuzumab</w:t>
      </w:r>
    </w:p>
    <w:tbl>
      <w:tblPr>
        <w:tblStyle w:val="TableGrid"/>
        <w:tblW w:w="5000" w:type="pct"/>
        <w:tblCellMar>
          <w:left w:w="28" w:type="dxa"/>
          <w:right w:w="28" w:type="dxa"/>
        </w:tblCellMar>
        <w:tblLook w:val="04A0" w:firstRow="1" w:lastRow="0" w:firstColumn="1" w:lastColumn="0" w:noHBand="0" w:noVBand="1"/>
        <w:tblCaption w:val="Table 9: Summary of comparative benefits and harms for T-DM1 versus trastuzumab"/>
      </w:tblPr>
      <w:tblGrid>
        <w:gridCol w:w="2381"/>
        <w:gridCol w:w="1583"/>
        <w:gridCol w:w="1560"/>
        <w:gridCol w:w="1637"/>
        <w:gridCol w:w="1856"/>
      </w:tblGrid>
      <w:tr w:rsidR="00B61A0B" w:rsidRPr="000526BE" w:rsidTr="00F34E34">
        <w:trPr>
          <w:trHeight w:val="20"/>
          <w:tblHeader/>
        </w:trPr>
        <w:tc>
          <w:tcPr>
            <w:tcW w:w="5000" w:type="pct"/>
            <w:gridSpan w:val="5"/>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rPr>
                <w:szCs w:val="20"/>
                <w:lang w:eastAsia="en-AU"/>
              </w:rPr>
            </w:pPr>
            <w:r w:rsidRPr="000526BE">
              <w:rPr>
                <w:b/>
                <w:szCs w:val="20"/>
                <w:lang w:eastAsia="en-AU"/>
              </w:rPr>
              <w:t>Benefits</w:t>
            </w:r>
          </w:p>
        </w:tc>
      </w:tr>
      <w:tr w:rsidR="00B61A0B" w:rsidRPr="000526BE" w:rsidTr="00F34E34">
        <w:trPr>
          <w:trHeight w:val="20"/>
          <w:tblHeader/>
        </w:trPr>
        <w:tc>
          <w:tcPr>
            <w:tcW w:w="5000" w:type="pct"/>
            <w:gridSpan w:val="5"/>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rPr>
                <w:b/>
                <w:szCs w:val="20"/>
                <w:lang w:eastAsia="en-AU"/>
              </w:rPr>
            </w:pPr>
            <w:r w:rsidRPr="000526BE">
              <w:rPr>
                <w:b/>
                <w:szCs w:val="20"/>
                <w:lang w:eastAsia="en-AU"/>
              </w:rPr>
              <w:t>iDFS (median duration of follow up 41 months)</w:t>
            </w:r>
          </w:p>
        </w:tc>
      </w:tr>
      <w:tr w:rsidR="00B61A0B"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rPr>
                <w:b/>
                <w:szCs w:val="20"/>
                <w:lang w:eastAsia="en-AU"/>
              </w:rPr>
            </w:pPr>
            <w:r w:rsidRPr="000526BE">
              <w:rPr>
                <w:b/>
                <w:szCs w:val="20"/>
                <w:lang w:eastAsia="en-AU"/>
              </w:rPr>
              <w:t>Event</w:t>
            </w:r>
          </w:p>
        </w:tc>
        <w:tc>
          <w:tcPr>
            <w:tcW w:w="878" w:type="pct"/>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jc w:val="center"/>
              <w:rPr>
                <w:b/>
                <w:szCs w:val="20"/>
                <w:lang w:eastAsia="en-AU"/>
              </w:rPr>
            </w:pPr>
            <w:r w:rsidRPr="000526BE">
              <w:rPr>
                <w:b/>
                <w:szCs w:val="20"/>
                <w:lang w:eastAsia="en-AU"/>
              </w:rPr>
              <w:t>T-DM1</w:t>
            </w:r>
          </w:p>
        </w:tc>
        <w:tc>
          <w:tcPr>
            <w:tcW w:w="865" w:type="pct"/>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jc w:val="center"/>
              <w:rPr>
                <w:b/>
                <w:szCs w:val="20"/>
                <w:lang w:eastAsia="en-AU"/>
              </w:rPr>
            </w:pPr>
            <w:r w:rsidRPr="000526BE">
              <w:rPr>
                <w:b/>
                <w:szCs w:val="20"/>
                <w:lang w:eastAsia="en-AU"/>
              </w:rPr>
              <w:t>Trastuzumab</w:t>
            </w:r>
          </w:p>
        </w:tc>
        <w:tc>
          <w:tcPr>
            <w:tcW w:w="908" w:type="pct"/>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jc w:val="center"/>
              <w:rPr>
                <w:b/>
                <w:szCs w:val="20"/>
                <w:lang w:eastAsia="en-AU"/>
              </w:rPr>
            </w:pPr>
            <w:r w:rsidRPr="000526BE">
              <w:rPr>
                <w:b/>
                <w:szCs w:val="20"/>
                <w:lang w:eastAsia="en-AU"/>
              </w:rPr>
              <w:t>Absolute Difference</w:t>
            </w:r>
          </w:p>
        </w:tc>
        <w:tc>
          <w:tcPr>
            <w:tcW w:w="1029" w:type="pct"/>
            <w:tcBorders>
              <w:top w:val="single" w:sz="4" w:space="0" w:color="auto"/>
              <w:left w:val="single" w:sz="4" w:space="0" w:color="auto"/>
              <w:bottom w:val="single" w:sz="4" w:space="0" w:color="auto"/>
              <w:right w:val="single" w:sz="4" w:space="0" w:color="auto"/>
            </w:tcBorders>
            <w:hideMark/>
          </w:tcPr>
          <w:p w:rsidR="00B61A0B" w:rsidRPr="000526BE" w:rsidRDefault="00B61A0B" w:rsidP="006B66D7">
            <w:pPr>
              <w:pStyle w:val="TableText0"/>
              <w:keepLines/>
              <w:spacing w:before="0" w:after="0"/>
              <w:jc w:val="center"/>
              <w:rPr>
                <w:b/>
                <w:szCs w:val="20"/>
                <w:lang w:eastAsia="en-AU"/>
              </w:rPr>
            </w:pPr>
            <w:r w:rsidRPr="000526BE">
              <w:rPr>
                <w:b/>
                <w:szCs w:val="20"/>
                <w:lang w:eastAsia="en-AU"/>
              </w:rPr>
              <w:t>HR</w:t>
            </w:r>
            <w:r w:rsidR="00E10C84" w:rsidRPr="000526BE">
              <w:rPr>
                <w:b/>
                <w:szCs w:val="20"/>
                <w:lang w:eastAsia="en-AU"/>
              </w:rPr>
              <w:t>**</w:t>
            </w:r>
            <w:r w:rsidRPr="000526BE">
              <w:rPr>
                <w:b/>
                <w:szCs w:val="20"/>
                <w:lang w:eastAsia="en-AU"/>
              </w:rPr>
              <w:t xml:space="preserve"> (95% CI)</w:t>
            </w:r>
          </w:p>
        </w:tc>
      </w:tr>
      <w:tr w:rsidR="003E1E84" w:rsidRPr="000526BE" w:rsidTr="00F34E34">
        <w:trPr>
          <w:trHeight w:val="20"/>
          <w:tblHeader/>
        </w:trPr>
        <w:tc>
          <w:tcPr>
            <w:tcW w:w="5000" w:type="pct"/>
            <w:gridSpan w:val="5"/>
            <w:tcBorders>
              <w:top w:val="single" w:sz="4" w:space="0" w:color="auto"/>
              <w:left w:val="single" w:sz="4" w:space="0" w:color="auto"/>
              <w:bottom w:val="single" w:sz="4" w:space="0" w:color="auto"/>
              <w:right w:val="single" w:sz="4" w:space="0" w:color="auto"/>
            </w:tcBorders>
          </w:tcPr>
          <w:p w:rsidR="003E1E84" w:rsidRPr="000526BE" w:rsidRDefault="003E1E84" w:rsidP="006B66D7">
            <w:pPr>
              <w:pStyle w:val="TableText0"/>
              <w:keepLines/>
              <w:spacing w:before="0" w:after="0"/>
              <w:rPr>
                <w:b/>
                <w:bCs/>
                <w:szCs w:val="20"/>
                <w:lang w:eastAsia="en-AU"/>
              </w:rPr>
            </w:pPr>
            <w:r w:rsidRPr="000526BE">
              <w:rPr>
                <w:b/>
                <w:szCs w:val="20"/>
                <w:lang w:eastAsia="en-AU"/>
              </w:rPr>
              <w:t>iDFS (median duration of follow up 41 months)</w:t>
            </w:r>
          </w:p>
        </w:tc>
      </w:tr>
      <w:tr w:rsidR="000614D8"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hideMark/>
          </w:tcPr>
          <w:p w:rsidR="000614D8" w:rsidRPr="000526BE" w:rsidRDefault="000614D8" w:rsidP="006B66D7">
            <w:pPr>
              <w:keepNext/>
              <w:keepLines/>
              <w:widowControl/>
              <w:rPr>
                <w:rFonts w:ascii="Arial Narrow" w:hAnsi="Arial Narrow"/>
                <w:color w:val="000000"/>
                <w:sz w:val="20"/>
                <w:szCs w:val="20"/>
              </w:rPr>
            </w:pPr>
            <w:r w:rsidRPr="000526BE">
              <w:rPr>
                <w:rFonts w:ascii="Arial Narrow" w:hAnsi="Arial Narrow"/>
                <w:color w:val="000000"/>
                <w:sz w:val="20"/>
                <w:szCs w:val="20"/>
              </w:rPr>
              <w:t xml:space="preserve">iDFS, ITT population </w:t>
            </w:r>
          </w:p>
          <w:p w:rsidR="000614D8" w:rsidRPr="000526BE" w:rsidRDefault="000614D8" w:rsidP="006B66D7">
            <w:pPr>
              <w:pStyle w:val="TableText0"/>
              <w:keepLines/>
              <w:spacing w:before="0" w:after="0"/>
              <w:rPr>
                <w:szCs w:val="20"/>
                <w:lang w:eastAsia="en-AU"/>
              </w:rPr>
            </w:pPr>
            <w:r w:rsidRPr="000526BE">
              <w:rPr>
                <w:rFonts w:cs="Times New Roman"/>
                <w:szCs w:val="20"/>
                <w:lang w:eastAsia="en-AU"/>
              </w:rPr>
              <w:t>n/N (%)</w:t>
            </w:r>
            <w:r w:rsidRPr="000526BE">
              <w:rPr>
                <w:color w:val="000000"/>
                <w:szCs w:val="20"/>
              </w:rPr>
              <w:t xml:space="preserve"> </w:t>
            </w:r>
          </w:p>
        </w:tc>
        <w:tc>
          <w:tcPr>
            <w:tcW w:w="878" w:type="pct"/>
            <w:tcBorders>
              <w:top w:val="single" w:sz="4" w:space="0" w:color="auto"/>
              <w:left w:val="single" w:sz="4" w:space="0" w:color="auto"/>
              <w:bottom w:val="single" w:sz="4" w:space="0" w:color="auto"/>
              <w:right w:val="single" w:sz="4" w:space="0" w:color="auto"/>
            </w:tcBorders>
            <w:hideMark/>
          </w:tcPr>
          <w:p w:rsidR="000614D8" w:rsidRPr="000526BE" w:rsidRDefault="000614D8" w:rsidP="006B66D7">
            <w:pPr>
              <w:pStyle w:val="TableText0"/>
              <w:keepLines/>
              <w:spacing w:before="0" w:after="0"/>
              <w:jc w:val="center"/>
              <w:rPr>
                <w:szCs w:val="20"/>
                <w:lang w:eastAsia="en-AU"/>
              </w:rPr>
            </w:pPr>
            <w:r w:rsidRPr="000526BE">
              <w:rPr>
                <w:rFonts w:cs="Times New Roman"/>
                <w:szCs w:val="20"/>
                <w:lang w:eastAsia="en-AU"/>
              </w:rPr>
              <w:t>91/743 (12.2%)</w:t>
            </w:r>
          </w:p>
        </w:tc>
        <w:tc>
          <w:tcPr>
            <w:tcW w:w="865" w:type="pct"/>
            <w:tcBorders>
              <w:top w:val="single" w:sz="4" w:space="0" w:color="auto"/>
              <w:left w:val="single" w:sz="4" w:space="0" w:color="auto"/>
              <w:bottom w:val="single" w:sz="4" w:space="0" w:color="auto"/>
              <w:right w:val="single" w:sz="4" w:space="0" w:color="auto"/>
            </w:tcBorders>
            <w:hideMark/>
          </w:tcPr>
          <w:p w:rsidR="000614D8" w:rsidRPr="000526BE" w:rsidRDefault="000614D8" w:rsidP="006B66D7">
            <w:pPr>
              <w:pStyle w:val="TableText0"/>
              <w:keepLines/>
              <w:spacing w:before="0" w:after="0"/>
              <w:jc w:val="center"/>
              <w:rPr>
                <w:szCs w:val="20"/>
                <w:lang w:eastAsia="en-AU"/>
              </w:rPr>
            </w:pPr>
            <w:r w:rsidRPr="000526BE">
              <w:rPr>
                <w:rFonts w:cs="Times New Roman"/>
                <w:szCs w:val="20"/>
                <w:lang w:eastAsia="en-AU"/>
              </w:rPr>
              <w:t>165/743 (22.2%)</w:t>
            </w:r>
          </w:p>
        </w:tc>
        <w:tc>
          <w:tcPr>
            <w:tcW w:w="908" w:type="pct"/>
            <w:tcBorders>
              <w:top w:val="single" w:sz="4" w:space="0" w:color="auto"/>
              <w:left w:val="single" w:sz="4" w:space="0" w:color="auto"/>
              <w:bottom w:val="single" w:sz="4" w:space="0" w:color="auto"/>
              <w:right w:val="single" w:sz="4" w:space="0" w:color="auto"/>
            </w:tcBorders>
          </w:tcPr>
          <w:p w:rsidR="000614D8" w:rsidRPr="000526BE" w:rsidRDefault="000614D8" w:rsidP="006B66D7">
            <w:pPr>
              <w:pStyle w:val="TableText0"/>
              <w:keepLines/>
              <w:spacing w:before="0" w:after="0"/>
              <w:jc w:val="center"/>
              <w:rPr>
                <w:i/>
                <w:iCs/>
                <w:szCs w:val="20"/>
                <w:lang w:eastAsia="en-AU"/>
              </w:rPr>
            </w:pPr>
          </w:p>
        </w:tc>
        <w:tc>
          <w:tcPr>
            <w:tcW w:w="1029" w:type="pct"/>
            <w:vMerge w:val="restart"/>
            <w:tcBorders>
              <w:top w:val="single" w:sz="4" w:space="0" w:color="auto"/>
              <w:left w:val="single" w:sz="4" w:space="0" w:color="auto"/>
              <w:right w:val="single" w:sz="4" w:space="0" w:color="auto"/>
            </w:tcBorders>
            <w:hideMark/>
          </w:tcPr>
          <w:p w:rsidR="000614D8" w:rsidRPr="000526BE" w:rsidRDefault="000614D8" w:rsidP="006B66D7">
            <w:pPr>
              <w:pStyle w:val="TableText0"/>
              <w:keepLines/>
              <w:spacing w:before="0" w:after="0"/>
              <w:jc w:val="center"/>
              <w:rPr>
                <w:b/>
                <w:bCs/>
                <w:szCs w:val="20"/>
                <w:lang w:eastAsia="en-AU"/>
              </w:rPr>
            </w:pPr>
            <w:r w:rsidRPr="000526BE">
              <w:rPr>
                <w:b/>
                <w:bCs/>
                <w:szCs w:val="20"/>
                <w:lang w:eastAsia="en-AU"/>
              </w:rPr>
              <w:t>0.50 (0.39, 0.64)</w:t>
            </w:r>
          </w:p>
          <w:p w:rsidR="000614D8" w:rsidRPr="000526BE" w:rsidRDefault="000614D8" w:rsidP="006B66D7">
            <w:pPr>
              <w:pStyle w:val="TableText0"/>
              <w:keepLines/>
              <w:spacing w:before="0" w:after="0"/>
              <w:jc w:val="center"/>
              <w:rPr>
                <w:szCs w:val="20"/>
                <w:lang w:eastAsia="en-AU"/>
              </w:rPr>
            </w:pPr>
            <w:r w:rsidRPr="000526BE">
              <w:rPr>
                <w:b/>
                <w:bCs/>
                <w:szCs w:val="20"/>
                <w:lang w:eastAsia="en-AU"/>
              </w:rPr>
              <w:t>P&lt;0.0001)</w:t>
            </w:r>
          </w:p>
        </w:tc>
      </w:tr>
      <w:tr w:rsidR="000614D8"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tcPr>
          <w:p w:rsidR="000614D8" w:rsidRPr="000526BE" w:rsidRDefault="000614D8" w:rsidP="009F6ABD">
            <w:pPr>
              <w:keepNext/>
              <w:keepLines/>
              <w:widowControl/>
              <w:rPr>
                <w:rFonts w:ascii="Arial Narrow" w:hAnsi="Arial Narrow"/>
                <w:color w:val="000000"/>
                <w:sz w:val="20"/>
                <w:szCs w:val="20"/>
              </w:rPr>
            </w:pPr>
            <w:r w:rsidRPr="000526BE">
              <w:rPr>
                <w:rFonts w:ascii="Arial Narrow" w:hAnsi="Arial Narrow"/>
                <w:color w:val="000000"/>
                <w:sz w:val="20"/>
                <w:szCs w:val="20"/>
              </w:rPr>
              <w:t xml:space="preserve">3-year event-free iDFS rate*, ITT population </w:t>
            </w:r>
            <w:r w:rsidRPr="000526BE">
              <w:rPr>
                <w:rFonts w:ascii="Arial Narrow" w:hAnsi="Arial Narrow" w:cs="Times New Roman"/>
                <w:sz w:val="20"/>
                <w:szCs w:val="20"/>
                <w:lang w:eastAsia="en-AU"/>
              </w:rPr>
              <w:t>n/N (%)</w:t>
            </w:r>
          </w:p>
        </w:tc>
        <w:tc>
          <w:tcPr>
            <w:tcW w:w="878" w:type="pct"/>
            <w:tcBorders>
              <w:top w:val="single" w:sz="4" w:space="0" w:color="auto"/>
              <w:left w:val="single" w:sz="4" w:space="0" w:color="auto"/>
              <w:bottom w:val="single" w:sz="4" w:space="0" w:color="auto"/>
              <w:right w:val="single" w:sz="4" w:space="0" w:color="auto"/>
            </w:tcBorders>
          </w:tcPr>
          <w:p w:rsidR="000614D8" w:rsidRPr="000526BE" w:rsidRDefault="000614D8" w:rsidP="006B66D7">
            <w:pPr>
              <w:pStyle w:val="TableText0"/>
              <w:keepLines/>
              <w:spacing w:before="0" w:after="0"/>
              <w:jc w:val="center"/>
              <w:rPr>
                <w:szCs w:val="20"/>
              </w:rPr>
            </w:pPr>
            <w:r w:rsidRPr="000526BE">
              <w:rPr>
                <w:szCs w:val="20"/>
              </w:rPr>
              <w:t xml:space="preserve">88.27 </w:t>
            </w:r>
          </w:p>
          <w:p w:rsidR="000614D8" w:rsidRPr="000526BE" w:rsidRDefault="000614D8" w:rsidP="006B66D7">
            <w:pPr>
              <w:pStyle w:val="TableText0"/>
              <w:keepLines/>
              <w:spacing w:before="0" w:after="0"/>
              <w:jc w:val="center"/>
              <w:rPr>
                <w:rFonts w:cs="Times New Roman"/>
                <w:szCs w:val="20"/>
                <w:lang w:eastAsia="en-AU"/>
              </w:rPr>
            </w:pPr>
            <w:r w:rsidRPr="000526BE">
              <w:rPr>
                <w:szCs w:val="20"/>
              </w:rPr>
              <w:t>(85.81, 90.72)</w:t>
            </w:r>
          </w:p>
        </w:tc>
        <w:tc>
          <w:tcPr>
            <w:tcW w:w="865" w:type="pct"/>
            <w:tcBorders>
              <w:top w:val="single" w:sz="4" w:space="0" w:color="auto"/>
              <w:left w:val="single" w:sz="4" w:space="0" w:color="auto"/>
              <w:bottom w:val="single" w:sz="4" w:space="0" w:color="auto"/>
              <w:right w:val="single" w:sz="4" w:space="0" w:color="auto"/>
            </w:tcBorders>
          </w:tcPr>
          <w:p w:rsidR="000614D8" w:rsidRPr="000526BE" w:rsidRDefault="000614D8" w:rsidP="006B66D7">
            <w:pPr>
              <w:pStyle w:val="TableText0"/>
              <w:keepLines/>
              <w:spacing w:before="0" w:after="0"/>
              <w:jc w:val="center"/>
              <w:rPr>
                <w:szCs w:val="20"/>
              </w:rPr>
            </w:pPr>
            <w:r w:rsidRPr="000526BE">
              <w:rPr>
                <w:szCs w:val="20"/>
              </w:rPr>
              <w:t>77.02</w:t>
            </w:r>
          </w:p>
          <w:p w:rsidR="000614D8" w:rsidRPr="000526BE" w:rsidRDefault="000614D8" w:rsidP="006B66D7">
            <w:pPr>
              <w:pStyle w:val="TableText0"/>
              <w:keepLines/>
              <w:spacing w:before="0" w:after="0"/>
              <w:jc w:val="center"/>
              <w:rPr>
                <w:rFonts w:cs="Times New Roman"/>
                <w:szCs w:val="20"/>
                <w:lang w:eastAsia="en-AU"/>
              </w:rPr>
            </w:pPr>
            <w:r w:rsidRPr="000526BE">
              <w:rPr>
                <w:szCs w:val="20"/>
              </w:rPr>
              <w:t>(73.78. 80.26)</w:t>
            </w:r>
          </w:p>
        </w:tc>
        <w:tc>
          <w:tcPr>
            <w:tcW w:w="908" w:type="pct"/>
            <w:tcBorders>
              <w:top w:val="single" w:sz="4" w:space="0" w:color="auto"/>
              <w:left w:val="single" w:sz="4" w:space="0" w:color="auto"/>
              <w:bottom w:val="single" w:sz="4" w:space="0" w:color="auto"/>
              <w:right w:val="single" w:sz="4" w:space="0" w:color="auto"/>
            </w:tcBorders>
          </w:tcPr>
          <w:p w:rsidR="000614D8" w:rsidRPr="000526BE" w:rsidDel="009436FB" w:rsidRDefault="000614D8" w:rsidP="006B66D7">
            <w:pPr>
              <w:pStyle w:val="TableText0"/>
              <w:keepLines/>
              <w:spacing w:before="0" w:after="0"/>
              <w:jc w:val="center"/>
              <w:rPr>
                <w:iCs/>
                <w:szCs w:val="20"/>
                <w:lang w:eastAsia="en-AU"/>
              </w:rPr>
            </w:pPr>
            <w:r w:rsidRPr="000526BE">
              <w:rPr>
                <w:bCs/>
                <w:iCs/>
                <w:szCs w:val="20"/>
              </w:rPr>
              <w:t>11.25%</w:t>
            </w:r>
          </w:p>
        </w:tc>
        <w:tc>
          <w:tcPr>
            <w:tcW w:w="1029" w:type="pct"/>
            <w:vMerge/>
            <w:tcBorders>
              <w:left w:val="single" w:sz="4" w:space="0" w:color="auto"/>
              <w:bottom w:val="single" w:sz="4" w:space="0" w:color="auto"/>
              <w:right w:val="single" w:sz="4" w:space="0" w:color="auto"/>
            </w:tcBorders>
          </w:tcPr>
          <w:p w:rsidR="000614D8" w:rsidRPr="000526BE" w:rsidRDefault="000614D8" w:rsidP="006B66D7">
            <w:pPr>
              <w:pStyle w:val="TableText0"/>
              <w:keepLines/>
              <w:spacing w:before="0" w:after="0"/>
              <w:jc w:val="center"/>
              <w:rPr>
                <w:b/>
                <w:bCs/>
                <w:szCs w:val="20"/>
                <w:lang w:eastAsia="en-AU"/>
              </w:rPr>
            </w:pPr>
          </w:p>
        </w:tc>
      </w:tr>
      <w:tr w:rsidR="00B61A0B" w:rsidRPr="000526BE" w:rsidTr="00F34E34">
        <w:trPr>
          <w:trHeight w:val="20"/>
          <w:tblHeader/>
        </w:trPr>
        <w:tc>
          <w:tcPr>
            <w:tcW w:w="5000" w:type="pct"/>
            <w:gridSpan w:val="5"/>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rPr>
                <w:szCs w:val="20"/>
                <w:lang w:eastAsia="en-AU"/>
              </w:rPr>
            </w:pPr>
            <w:r w:rsidRPr="000526BE">
              <w:rPr>
                <w:b/>
                <w:szCs w:val="20"/>
                <w:lang w:eastAsia="en-AU"/>
              </w:rPr>
              <w:t>OS (median duration of follow up 41 months)</w:t>
            </w:r>
          </w:p>
        </w:tc>
      </w:tr>
      <w:tr w:rsidR="00051BFA"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keepNext/>
              <w:keepLines/>
              <w:widowControl/>
              <w:rPr>
                <w:rFonts w:ascii="Arial Narrow" w:hAnsi="Arial Narrow"/>
                <w:color w:val="000000"/>
                <w:sz w:val="20"/>
                <w:szCs w:val="20"/>
              </w:rPr>
            </w:pPr>
            <w:r w:rsidRPr="000526BE">
              <w:rPr>
                <w:rFonts w:ascii="Arial Narrow" w:hAnsi="Arial Narrow"/>
                <w:color w:val="000000"/>
                <w:sz w:val="20"/>
                <w:szCs w:val="20"/>
              </w:rPr>
              <w:t xml:space="preserve">Deaths, ITT population </w:t>
            </w:r>
          </w:p>
          <w:p w:rsidR="00051BFA" w:rsidRPr="000526BE" w:rsidRDefault="00051BFA" w:rsidP="006B66D7">
            <w:pPr>
              <w:pStyle w:val="TableText0"/>
              <w:keepLines/>
              <w:spacing w:before="0" w:after="0"/>
              <w:rPr>
                <w:szCs w:val="20"/>
                <w:lang w:eastAsia="en-AU"/>
              </w:rPr>
            </w:pPr>
            <w:r w:rsidRPr="000526BE">
              <w:rPr>
                <w:rFonts w:cs="Times New Roman"/>
                <w:szCs w:val="20"/>
                <w:lang w:eastAsia="en-AU"/>
              </w:rPr>
              <w:t>n/N (%)</w:t>
            </w:r>
            <w:r w:rsidRPr="000526BE">
              <w:rPr>
                <w:color w:val="000000"/>
                <w:szCs w:val="20"/>
              </w:rPr>
              <w:t xml:space="preserve"> </w:t>
            </w:r>
          </w:p>
        </w:tc>
        <w:tc>
          <w:tcPr>
            <w:tcW w:w="878"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lang w:eastAsia="en-AU"/>
              </w:rPr>
            </w:pPr>
            <w:r w:rsidRPr="000526BE">
              <w:rPr>
                <w:szCs w:val="20"/>
              </w:rPr>
              <w:t>42/743 (5.7%)</w:t>
            </w:r>
          </w:p>
        </w:tc>
        <w:tc>
          <w:tcPr>
            <w:tcW w:w="865"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lang w:eastAsia="en-AU"/>
              </w:rPr>
            </w:pPr>
            <w:r w:rsidRPr="000526BE">
              <w:rPr>
                <w:szCs w:val="20"/>
              </w:rPr>
              <w:t>56/743 (7.5%)</w:t>
            </w:r>
          </w:p>
        </w:tc>
        <w:tc>
          <w:tcPr>
            <w:tcW w:w="908"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lang w:eastAsia="en-AU"/>
              </w:rPr>
            </w:pPr>
          </w:p>
        </w:tc>
        <w:tc>
          <w:tcPr>
            <w:tcW w:w="1029" w:type="pct"/>
            <w:vMerge w:val="restart"/>
            <w:tcBorders>
              <w:top w:val="single" w:sz="4" w:space="0" w:color="auto"/>
              <w:left w:val="single" w:sz="4" w:space="0" w:color="auto"/>
              <w:right w:val="single" w:sz="4" w:space="0" w:color="auto"/>
            </w:tcBorders>
          </w:tcPr>
          <w:p w:rsidR="00051BFA" w:rsidRPr="000526BE" w:rsidRDefault="00051BFA" w:rsidP="006B66D7">
            <w:pPr>
              <w:pStyle w:val="TableText0"/>
              <w:keepLines/>
              <w:spacing w:before="0" w:after="0"/>
              <w:jc w:val="center"/>
              <w:rPr>
                <w:szCs w:val="20"/>
              </w:rPr>
            </w:pPr>
            <w:r w:rsidRPr="000526BE">
              <w:rPr>
                <w:szCs w:val="20"/>
              </w:rPr>
              <w:t>0.70 (0.47, 1.05)</w:t>
            </w:r>
          </w:p>
          <w:p w:rsidR="00051BFA" w:rsidRPr="000526BE" w:rsidRDefault="00051BFA" w:rsidP="006B66D7">
            <w:pPr>
              <w:pStyle w:val="ESTableText"/>
              <w:keepNext/>
              <w:keepLines/>
              <w:spacing w:before="0" w:after="0"/>
              <w:jc w:val="center"/>
              <w:rPr>
                <w:rFonts w:ascii="Arial Narrow" w:hAnsi="Arial Narrow"/>
                <w:lang w:eastAsia="en-AU"/>
              </w:rPr>
            </w:pPr>
            <w:r w:rsidRPr="000526BE">
              <w:rPr>
                <w:rFonts w:ascii="Arial Narrow" w:hAnsi="Arial Narrow"/>
              </w:rPr>
              <w:t>P=0.0848</w:t>
            </w:r>
            <w:r w:rsidRPr="000526BE">
              <w:rPr>
                <w:rFonts w:ascii="Arial Narrow" w:hAnsi="Arial Narrow"/>
                <w:vertAlign w:val="superscript"/>
              </w:rPr>
              <w:t>1</w:t>
            </w:r>
          </w:p>
        </w:tc>
      </w:tr>
      <w:tr w:rsidR="00051BFA"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tcPr>
          <w:p w:rsidR="00051BFA" w:rsidRPr="000526BE" w:rsidRDefault="00051BFA" w:rsidP="009F6ABD">
            <w:pPr>
              <w:keepNext/>
              <w:keepLines/>
              <w:widowControl/>
              <w:rPr>
                <w:rFonts w:ascii="Arial Narrow" w:hAnsi="Arial Narrow"/>
                <w:color w:val="000000"/>
                <w:sz w:val="20"/>
                <w:szCs w:val="20"/>
              </w:rPr>
            </w:pPr>
            <w:r w:rsidRPr="000526BE">
              <w:rPr>
                <w:rFonts w:ascii="Arial Narrow" w:hAnsi="Arial Narrow"/>
                <w:color w:val="000000"/>
                <w:sz w:val="20"/>
                <w:szCs w:val="20"/>
              </w:rPr>
              <w:t xml:space="preserve">5-year event-free death rate*, ITT population </w:t>
            </w:r>
            <w:r w:rsidRPr="000526BE">
              <w:rPr>
                <w:rFonts w:ascii="Arial Narrow" w:hAnsi="Arial Narrow" w:cs="Times New Roman"/>
                <w:sz w:val="20"/>
                <w:szCs w:val="20"/>
                <w:lang w:eastAsia="en-AU"/>
              </w:rPr>
              <w:t>n/N (%)</w:t>
            </w:r>
            <w:r w:rsidRPr="000526BE">
              <w:rPr>
                <w:rFonts w:ascii="Arial Narrow" w:hAnsi="Arial Narrow"/>
                <w:color w:val="000000"/>
                <w:sz w:val="20"/>
                <w:szCs w:val="20"/>
              </w:rPr>
              <w:t xml:space="preserve"> </w:t>
            </w:r>
          </w:p>
        </w:tc>
        <w:tc>
          <w:tcPr>
            <w:tcW w:w="878"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rPr>
            </w:pPr>
            <w:r w:rsidRPr="000526BE">
              <w:rPr>
                <w:szCs w:val="20"/>
              </w:rPr>
              <w:t>92.09</w:t>
            </w:r>
          </w:p>
          <w:p w:rsidR="00051BFA" w:rsidRPr="000526BE" w:rsidRDefault="00051BFA" w:rsidP="006B66D7">
            <w:pPr>
              <w:pStyle w:val="TableText0"/>
              <w:keepLines/>
              <w:spacing w:before="0" w:after="0"/>
              <w:jc w:val="center"/>
              <w:rPr>
                <w:szCs w:val="20"/>
              </w:rPr>
            </w:pPr>
            <w:r w:rsidRPr="000526BE">
              <w:rPr>
                <w:szCs w:val="20"/>
              </w:rPr>
              <w:t xml:space="preserve">(89.44, </w:t>
            </w:r>
            <w:r w:rsidR="009A4731" w:rsidRPr="000526BE">
              <w:rPr>
                <w:szCs w:val="20"/>
              </w:rPr>
              <w:t>94.74)</w:t>
            </w:r>
          </w:p>
        </w:tc>
        <w:tc>
          <w:tcPr>
            <w:tcW w:w="865"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rPr>
            </w:pPr>
            <w:r w:rsidRPr="000526BE">
              <w:rPr>
                <w:szCs w:val="20"/>
              </w:rPr>
              <w:t>86.79</w:t>
            </w:r>
          </w:p>
          <w:p w:rsidR="009A4731" w:rsidRPr="000526BE" w:rsidRDefault="009A4731" w:rsidP="006B66D7">
            <w:pPr>
              <w:pStyle w:val="TableText0"/>
              <w:keepLines/>
              <w:spacing w:before="0" w:after="0"/>
              <w:jc w:val="center"/>
              <w:rPr>
                <w:szCs w:val="20"/>
              </w:rPr>
            </w:pPr>
            <w:r w:rsidRPr="000526BE">
              <w:rPr>
                <w:szCs w:val="20"/>
              </w:rPr>
              <w:t>(80.95, 92.63)</w:t>
            </w:r>
          </w:p>
        </w:tc>
        <w:tc>
          <w:tcPr>
            <w:tcW w:w="908" w:type="pct"/>
            <w:tcBorders>
              <w:top w:val="single" w:sz="4" w:space="0" w:color="auto"/>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iCs/>
                <w:szCs w:val="20"/>
              </w:rPr>
            </w:pPr>
            <w:r w:rsidRPr="000526BE">
              <w:rPr>
                <w:iCs/>
                <w:szCs w:val="20"/>
              </w:rPr>
              <w:t>5.3%</w:t>
            </w:r>
          </w:p>
        </w:tc>
        <w:tc>
          <w:tcPr>
            <w:tcW w:w="1029" w:type="pct"/>
            <w:vMerge/>
            <w:tcBorders>
              <w:left w:val="single" w:sz="4" w:space="0" w:color="auto"/>
              <w:bottom w:val="single" w:sz="4" w:space="0" w:color="auto"/>
              <w:right w:val="single" w:sz="4" w:space="0" w:color="auto"/>
            </w:tcBorders>
          </w:tcPr>
          <w:p w:rsidR="00051BFA" w:rsidRPr="000526BE" w:rsidRDefault="00051BFA" w:rsidP="006B66D7">
            <w:pPr>
              <w:pStyle w:val="TableText0"/>
              <w:keepLines/>
              <w:spacing w:before="0" w:after="0"/>
              <w:jc w:val="center"/>
              <w:rPr>
                <w:szCs w:val="20"/>
              </w:rPr>
            </w:pPr>
          </w:p>
        </w:tc>
      </w:tr>
      <w:tr w:rsidR="00B61A0B" w:rsidRPr="000526BE" w:rsidTr="00F34E34">
        <w:trPr>
          <w:trHeight w:val="20"/>
          <w:tblHeader/>
        </w:trPr>
        <w:tc>
          <w:tcPr>
            <w:tcW w:w="5000" w:type="pct"/>
            <w:gridSpan w:val="5"/>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rPr>
                <w:b/>
                <w:bCs/>
                <w:szCs w:val="20"/>
                <w:lang w:eastAsia="en-AU"/>
              </w:rPr>
            </w:pPr>
            <w:r w:rsidRPr="000526BE">
              <w:rPr>
                <w:b/>
                <w:bCs/>
                <w:szCs w:val="20"/>
                <w:lang w:eastAsia="en-AU"/>
              </w:rPr>
              <w:t>DRFI (median duration of follow up 41 months)</w:t>
            </w:r>
          </w:p>
        </w:tc>
      </w:tr>
      <w:tr w:rsidR="00B61A0B" w:rsidRPr="000526BE" w:rsidTr="00F34E34">
        <w:trPr>
          <w:trHeight w:val="20"/>
          <w:tblHeader/>
        </w:trPr>
        <w:tc>
          <w:tcPr>
            <w:tcW w:w="1320" w:type="pct"/>
            <w:tcBorders>
              <w:top w:val="single" w:sz="4" w:space="0" w:color="auto"/>
              <w:left w:val="single" w:sz="4" w:space="0" w:color="auto"/>
              <w:bottom w:val="single" w:sz="4" w:space="0" w:color="auto"/>
              <w:right w:val="single" w:sz="4" w:space="0" w:color="auto"/>
            </w:tcBorders>
          </w:tcPr>
          <w:p w:rsidR="00B61A0B" w:rsidRPr="000526BE" w:rsidRDefault="00B61A0B" w:rsidP="006B66D7">
            <w:pPr>
              <w:keepNext/>
              <w:keepLines/>
              <w:widowControl/>
              <w:rPr>
                <w:rFonts w:ascii="Arial Narrow" w:hAnsi="Arial Narrow"/>
                <w:color w:val="000000"/>
                <w:sz w:val="20"/>
                <w:szCs w:val="20"/>
              </w:rPr>
            </w:pPr>
            <w:r w:rsidRPr="000526BE">
              <w:rPr>
                <w:rFonts w:ascii="Arial Narrow" w:hAnsi="Arial Narrow"/>
                <w:color w:val="000000"/>
                <w:sz w:val="20"/>
                <w:szCs w:val="20"/>
              </w:rPr>
              <w:t xml:space="preserve">DRFI, ITT population </w:t>
            </w:r>
          </w:p>
          <w:p w:rsidR="00B61A0B" w:rsidRPr="000526BE" w:rsidRDefault="00B61A0B" w:rsidP="006B66D7">
            <w:pPr>
              <w:pStyle w:val="TableText0"/>
              <w:keepLines/>
              <w:spacing w:before="0" w:after="0"/>
              <w:rPr>
                <w:szCs w:val="20"/>
                <w:lang w:eastAsia="en-AU"/>
              </w:rPr>
            </w:pPr>
            <w:r w:rsidRPr="000526BE">
              <w:rPr>
                <w:rFonts w:cs="Times New Roman"/>
                <w:szCs w:val="20"/>
                <w:lang w:eastAsia="en-AU"/>
              </w:rPr>
              <w:t>n/N (%)</w:t>
            </w:r>
            <w:r w:rsidRPr="000526BE">
              <w:rPr>
                <w:color w:val="000000"/>
                <w:szCs w:val="20"/>
              </w:rPr>
              <w:t xml:space="preserve"> </w:t>
            </w:r>
          </w:p>
        </w:tc>
        <w:tc>
          <w:tcPr>
            <w:tcW w:w="878" w:type="pct"/>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jc w:val="center"/>
              <w:rPr>
                <w:szCs w:val="20"/>
                <w:lang w:eastAsia="en-AU"/>
              </w:rPr>
            </w:pPr>
            <w:r w:rsidRPr="000526BE">
              <w:rPr>
                <w:szCs w:val="20"/>
              </w:rPr>
              <w:t>78/743 (10.5%)</w:t>
            </w:r>
          </w:p>
        </w:tc>
        <w:tc>
          <w:tcPr>
            <w:tcW w:w="865" w:type="pct"/>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jc w:val="center"/>
              <w:rPr>
                <w:szCs w:val="20"/>
                <w:lang w:eastAsia="en-AU"/>
              </w:rPr>
            </w:pPr>
            <w:r w:rsidRPr="000526BE">
              <w:rPr>
                <w:szCs w:val="20"/>
              </w:rPr>
              <w:t>121/743 (16.3%)</w:t>
            </w:r>
          </w:p>
        </w:tc>
        <w:tc>
          <w:tcPr>
            <w:tcW w:w="908" w:type="pct"/>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jc w:val="center"/>
              <w:rPr>
                <w:szCs w:val="20"/>
                <w:lang w:eastAsia="en-AU"/>
              </w:rPr>
            </w:pPr>
          </w:p>
        </w:tc>
        <w:tc>
          <w:tcPr>
            <w:tcW w:w="1029" w:type="pct"/>
            <w:tcBorders>
              <w:top w:val="single" w:sz="4" w:space="0" w:color="auto"/>
              <w:left w:val="single" w:sz="4" w:space="0" w:color="auto"/>
              <w:bottom w:val="single" w:sz="4" w:space="0" w:color="auto"/>
              <w:right w:val="single" w:sz="4" w:space="0" w:color="auto"/>
            </w:tcBorders>
          </w:tcPr>
          <w:p w:rsidR="00B61A0B" w:rsidRPr="000526BE" w:rsidRDefault="00B61A0B" w:rsidP="006B66D7">
            <w:pPr>
              <w:pStyle w:val="TableText0"/>
              <w:keepLines/>
              <w:spacing w:before="0" w:after="0"/>
              <w:jc w:val="center"/>
              <w:rPr>
                <w:b/>
                <w:bCs/>
                <w:szCs w:val="20"/>
              </w:rPr>
            </w:pPr>
            <w:r w:rsidRPr="000526BE">
              <w:rPr>
                <w:b/>
                <w:bCs/>
                <w:szCs w:val="20"/>
              </w:rPr>
              <w:t>0.60 (0.45, 0.79)</w:t>
            </w:r>
          </w:p>
          <w:p w:rsidR="00B61A0B" w:rsidRPr="000526BE" w:rsidRDefault="00B61A0B" w:rsidP="006B66D7">
            <w:pPr>
              <w:pStyle w:val="ESTableText"/>
              <w:keepNext/>
              <w:keepLines/>
              <w:spacing w:before="0" w:after="0"/>
              <w:jc w:val="center"/>
              <w:rPr>
                <w:rFonts w:ascii="Arial Narrow" w:hAnsi="Arial Narrow"/>
                <w:lang w:eastAsia="en-AU"/>
              </w:rPr>
            </w:pPr>
            <w:r w:rsidRPr="000526BE">
              <w:rPr>
                <w:rFonts w:ascii="Arial Narrow" w:hAnsi="Arial Narrow"/>
                <w:b/>
              </w:rPr>
              <w:t>P=0.0003</w:t>
            </w:r>
          </w:p>
        </w:tc>
      </w:tr>
    </w:tbl>
    <w:tbl>
      <w:tblPr>
        <w:tblW w:w="5000" w:type="pct"/>
        <w:tblLayout w:type="fixed"/>
        <w:tblCellMar>
          <w:left w:w="28" w:type="dxa"/>
          <w:right w:w="28" w:type="dxa"/>
        </w:tblCellMar>
        <w:tblLook w:val="04A0" w:firstRow="1" w:lastRow="0" w:firstColumn="1" w:lastColumn="0" w:noHBand="0" w:noVBand="1"/>
        <w:tblCaption w:val="Table 9: Summary of comparative benefits and harms for T-DM1 versus trastuzumab"/>
      </w:tblPr>
      <w:tblGrid>
        <w:gridCol w:w="1838"/>
        <w:gridCol w:w="1284"/>
        <w:gridCol w:w="1315"/>
        <w:gridCol w:w="1215"/>
        <w:gridCol w:w="866"/>
        <w:gridCol w:w="1134"/>
        <w:gridCol w:w="1365"/>
      </w:tblGrid>
      <w:tr w:rsidR="00B61A0B" w:rsidRPr="000526BE" w:rsidTr="009F6ABD">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rPr>
                <w:rFonts w:ascii="Arial Narrow" w:hAnsi="Arial Narrow"/>
                <w:b/>
                <w:color w:val="000000"/>
                <w:sz w:val="20"/>
                <w:szCs w:val="20"/>
                <w:vertAlign w:val="superscript"/>
              </w:rPr>
            </w:pPr>
            <w:r w:rsidRPr="000526BE">
              <w:rPr>
                <w:rFonts w:ascii="Arial Narrow" w:hAnsi="Arial Narrow"/>
                <w:b/>
                <w:color w:val="000000"/>
                <w:sz w:val="20"/>
                <w:szCs w:val="20"/>
              </w:rPr>
              <w:t>Harms (safety-evaluable set)</w:t>
            </w:r>
            <w:r w:rsidR="00854D02" w:rsidRPr="000526BE">
              <w:rPr>
                <w:rFonts w:ascii="Arial Narrow" w:hAnsi="Arial Narrow"/>
                <w:b/>
                <w:color w:val="000000"/>
                <w:sz w:val="20"/>
                <w:szCs w:val="20"/>
                <w:vertAlign w:val="superscript"/>
              </w:rPr>
              <w:t>$</w:t>
            </w:r>
          </w:p>
        </w:tc>
      </w:tr>
      <w:tr w:rsidR="00B61A0B" w:rsidRPr="000526BE" w:rsidTr="009F6ABD">
        <w:trPr>
          <w:trHeight w:val="7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rPr>
                <w:rFonts w:ascii="Arial Narrow" w:hAnsi="Arial Narrow"/>
                <w:b/>
                <w:color w:val="000000"/>
                <w:sz w:val="20"/>
                <w:szCs w:val="20"/>
              </w:rPr>
            </w:pP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T-DM1</w:t>
            </w:r>
          </w:p>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n/N (%)</w:t>
            </w:r>
          </w:p>
        </w:tc>
        <w:tc>
          <w:tcPr>
            <w:tcW w:w="7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Trastuzumab</w:t>
            </w:r>
          </w:p>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n/N (%)</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RR</w:t>
            </w:r>
          </w:p>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(95% CI)</w:t>
            </w:r>
          </w:p>
        </w:tc>
        <w:tc>
          <w:tcPr>
            <w:tcW w:w="11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Event rate/100 patients</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RD %</w:t>
            </w:r>
          </w:p>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(95% CI)</w:t>
            </w:r>
          </w:p>
        </w:tc>
      </w:tr>
      <w:tr w:rsidR="00B61A0B" w:rsidRPr="000526BE" w:rsidTr="009F6ABD">
        <w:trPr>
          <w:trHeight w:val="390"/>
        </w:trPr>
        <w:tc>
          <w:tcPr>
            <w:tcW w:w="10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rPr>
                <w:rFonts w:ascii="Arial Narrow" w:hAnsi="Arial Narrow"/>
                <w:b/>
                <w:color w:val="000000"/>
                <w:sz w:val="20"/>
                <w:szCs w:val="20"/>
              </w:rPr>
            </w:pPr>
          </w:p>
        </w:tc>
        <w:tc>
          <w:tcPr>
            <w:tcW w:w="7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p>
        </w:tc>
        <w:tc>
          <w:tcPr>
            <w:tcW w:w="7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p>
        </w:tc>
        <w:tc>
          <w:tcPr>
            <w:tcW w:w="6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T-DM1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r w:rsidRPr="000526BE">
              <w:rPr>
                <w:rFonts w:ascii="Arial Narrow" w:hAnsi="Arial Narrow"/>
                <w:b/>
                <w:color w:val="000000"/>
                <w:sz w:val="20"/>
                <w:szCs w:val="20"/>
              </w:rPr>
              <w:t>Trastuzumab</w:t>
            </w:r>
          </w:p>
        </w:tc>
        <w:tc>
          <w:tcPr>
            <w:tcW w:w="7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color w:val="000000"/>
                <w:sz w:val="20"/>
                <w:szCs w:val="20"/>
              </w:rPr>
            </w:pP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color w:val="000000"/>
                <w:sz w:val="20"/>
                <w:szCs w:val="20"/>
              </w:rPr>
            </w:pPr>
            <w:r w:rsidRPr="000526BE">
              <w:rPr>
                <w:rFonts w:ascii="Arial Narrow" w:hAnsi="Arial Narrow"/>
                <w:bCs/>
                <w:color w:val="000000"/>
                <w:sz w:val="20"/>
                <w:szCs w:val="20"/>
              </w:rPr>
              <w:t>Any AE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731/740</w:t>
            </w:r>
            <w:r w:rsidR="009F6ABD" w:rsidRPr="000526BE">
              <w:rPr>
                <w:rFonts w:ascii="Arial Narrow" w:hAnsi="Arial Narrow"/>
                <w:sz w:val="20"/>
                <w:szCs w:val="20"/>
              </w:rPr>
              <w:t xml:space="preserve"> </w:t>
            </w:r>
            <w:r w:rsidRPr="000526BE">
              <w:rPr>
                <w:rFonts w:ascii="Arial Narrow" w:hAnsi="Arial Narrow"/>
                <w:sz w:val="20"/>
                <w:szCs w:val="20"/>
              </w:rPr>
              <w:t>(98.8%)</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672/720</w:t>
            </w:r>
            <w:r w:rsidR="009F6ABD" w:rsidRPr="000526BE">
              <w:rPr>
                <w:rFonts w:ascii="Arial Narrow" w:hAnsi="Arial Narrow"/>
                <w:sz w:val="20"/>
                <w:szCs w:val="20"/>
              </w:rPr>
              <w:t xml:space="preserve"> </w:t>
            </w:r>
            <w:r w:rsidRPr="000526BE">
              <w:rPr>
                <w:rFonts w:ascii="Arial Narrow" w:hAnsi="Arial Narrow"/>
                <w:sz w:val="20"/>
                <w:szCs w:val="20"/>
              </w:rPr>
              <w:t>(93.3%)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1.06</w:t>
            </w:r>
          </w:p>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(1.04, 1.08)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98.8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93.3</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sz w:val="20"/>
                <w:szCs w:val="20"/>
              </w:rPr>
              <w:t>5.4 (3.5,7.4)</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color w:val="000000"/>
                <w:sz w:val="20"/>
                <w:szCs w:val="20"/>
              </w:rPr>
            </w:pPr>
            <w:r w:rsidRPr="000526BE">
              <w:rPr>
                <w:rFonts w:ascii="Arial Narrow" w:hAnsi="Arial Narrow"/>
                <w:bCs/>
                <w:color w:val="000000"/>
                <w:sz w:val="20"/>
                <w:szCs w:val="20"/>
              </w:rPr>
              <w:t>Grade ≥ 3 AE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190/740</w:t>
            </w:r>
            <w:r w:rsidR="009F6ABD" w:rsidRPr="000526BE">
              <w:rPr>
                <w:rFonts w:ascii="Arial Narrow" w:hAnsi="Arial Narrow"/>
                <w:color w:val="000000"/>
                <w:sz w:val="20"/>
                <w:szCs w:val="20"/>
              </w:rPr>
              <w:t xml:space="preserve"> </w:t>
            </w:r>
            <w:r w:rsidRPr="000526BE">
              <w:rPr>
                <w:rFonts w:ascii="Arial Narrow" w:hAnsi="Arial Narrow"/>
                <w:color w:val="000000"/>
                <w:sz w:val="20"/>
                <w:szCs w:val="20"/>
              </w:rPr>
              <w:t>(25.7%)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111/720 (15.4%)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1.67</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(1.35, 2.06)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25.7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15.4</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sz w:val="20"/>
                <w:szCs w:val="20"/>
              </w:rPr>
              <w:t>10.3</w:t>
            </w:r>
            <w:r w:rsidR="009F6ABD" w:rsidRPr="000526BE">
              <w:rPr>
                <w:rFonts w:ascii="Arial Narrow" w:hAnsi="Arial Narrow"/>
                <w:b/>
                <w:bCs/>
                <w:sz w:val="20"/>
                <w:szCs w:val="20"/>
              </w:rPr>
              <w:t xml:space="preserve"> (</w:t>
            </w:r>
            <w:r w:rsidRPr="000526BE">
              <w:rPr>
                <w:rFonts w:ascii="Arial Narrow" w:hAnsi="Arial Narrow"/>
                <w:b/>
                <w:bCs/>
                <w:sz w:val="20"/>
                <w:szCs w:val="20"/>
              </w:rPr>
              <w:t>6.2,14.4)</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color w:val="000000"/>
                <w:sz w:val="20"/>
                <w:szCs w:val="20"/>
              </w:rPr>
            </w:pPr>
            <w:r w:rsidRPr="000526BE">
              <w:rPr>
                <w:rFonts w:ascii="Arial Narrow" w:hAnsi="Arial Narrow"/>
                <w:bCs/>
                <w:color w:val="000000"/>
                <w:sz w:val="20"/>
                <w:szCs w:val="20"/>
              </w:rPr>
              <w:t>SAE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94/740</w:t>
            </w:r>
            <w:r w:rsidR="009F6ABD" w:rsidRPr="000526BE">
              <w:rPr>
                <w:rFonts w:ascii="Arial Narrow" w:hAnsi="Arial Narrow"/>
                <w:color w:val="000000"/>
                <w:sz w:val="20"/>
                <w:szCs w:val="20"/>
              </w:rPr>
              <w:t xml:space="preserve"> </w:t>
            </w:r>
            <w:r w:rsidRPr="000526BE">
              <w:rPr>
                <w:rFonts w:ascii="Arial Narrow" w:hAnsi="Arial Narrow"/>
                <w:color w:val="000000"/>
                <w:sz w:val="20"/>
                <w:szCs w:val="20"/>
              </w:rPr>
              <w:t>(12.7%)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58/720</w:t>
            </w:r>
            <w:r w:rsidR="009F6ABD" w:rsidRPr="000526BE">
              <w:rPr>
                <w:rFonts w:ascii="Arial Narrow" w:hAnsi="Arial Narrow"/>
                <w:color w:val="000000"/>
                <w:sz w:val="20"/>
                <w:szCs w:val="20"/>
              </w:rPr>
              <w:t xml:space="preserve"> </w:t>
            </w:r>
            <w:r w:rsidRPr="000526BE">
              <w:rPr>
                <w:rFonts w:ascii="Arial Narrow" w:hAnsi="Arial Narrow"/>
                <w:color w:val="000000"/>
                <w:sz w:val="20"/>
                <w:szCs w:val="20"/>
              </w:rPr>
              <w:t>(8.1%)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1.58</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(1.16, 2.15)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12.7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8.1</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sz w:val="20"/>
                <w:szCs w:val="20"/>
              </w:rPr>
              <w:t>4.7 (1.5, 7.8)</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left"/>
              <w:rPr>
                <w:rFonts w:ascii="Arial Narrow" w:hAnsi="Arial Narrow"/>
                <w:bCs/>
                <w:color w:val="000000"/>
                <w:sz w:val="20"/>
                <w:szCs w:val="20"/>
                <w:vertAlign w:val="superscript"/>
              </w:rPr>
            </w:pPr>
            <w:r w:rsidRPr="000526BE">
              <w:rPr>
                <w:rFonts w:ascii="Arial Narrow" w:hAnsi="Arial Narrow"/>
                <w:bCs/>
                <w:sz w:val="20"/>
                <w:szCs w:val="20"/>
              </w:rPr>
              <w:t>AEs leading to discontinuation</w:t>
            </w:r>
            <w:r w:rsidR="00854D02" w:rsidRPr="000526BE">
              <w:rPr>
                <w:rFonts w:ascii="Arial Narrow" w:hAnsi="Arial Narrow"/>
                <w:bCs/>
                <w:i/>
                <w:iCs/>
                <w:sz w:val="20"/>
                <w:szCs w:val="20"/>
                <w:vertAlign w:val="superscript"/>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133/740</w:t>
            </w:r>
            <w:r w:rsidR="009F6ABD" w:rsidRPr="000526BE">
              <w:rPr>
                <w:rFonts w:ascii="Arial Narrow" w:hAnsi="Arial Narrow"/>
                <w:sz w:val="20"/>
                <w:szCs w:val="20"/>
              </w:rPr>
              <w:t xml:space="preserve"> </w:t>
            </w:r>
            <w:r w:rsidRPr="000526BE">
              <w:rPr>
                <w:rFonts w:ascii="Arial Narrow" w:hAnsi="Arial Narrow"/>
                <w:sz w:val="20"/>
                <w:szCs w:val="20"/>
              </w:rPr>
              <w:t>(18.0%)</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15/720</w:t>
            </w:r>
            <w:r w:rsidR="009F6ABD" w:rsidRPr="000526BE">
              <w:rPr>
                <w:rFonts w:ascii="Arial Narrow" w:hAnsi="Arial Narrow"/>
                <w:sz w:val="20"/>
                <w:szCs w:val="20"/>
              </w:rPr>
              <w:t xml:space="preserve"> </w:t>
            </w:r>
            <w:r w:rsidRPr="000526BE">
              <w:rPr>
                <w:rFonts w:ascii="Arial Narrow" w:hAnsi="Arial Narrow"/>
                <w:sz w:val="20"/>
                <w:szCs w:val="20"/>
              </w:rPr>
              <w:t>(2.1%)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 xml:space="preserve">8.63 </w:t>
            </w:r>
          </w:p>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(5.11, 14.57)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18.0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2.1</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sz w:val="20"/>
                <w:szCs w:val="20"/>
              </w:rPr>
              <w:t>15.9 (12.9, 18.9)</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color w:val="000000"/>
                <w:sz w:val="20"/>
                <w:szCs w:val="20"/>
              </w:rPr>
            </w:pPr>
            <w:r w:rsidRPr="000526BE">
              <w:rPr>
                <w:rFonts w:ascii="Arial Narrow" w:hAnsi="Arial Narrow"/>
                <w:bCs/>
                <w:sz w:val="20"/>
                <w:szCs w:val="20"/>
              </w:rPr>
              <w:t>Treatment-related serious AEs</w:t>
            </w:r>
            <w:r w:rsidR="00854D02" w:rsidRPr="000526BE">
              <w:rPr>
                <w:rFonts w:ascii="Arial Narrow" w:hAnsi="Arial Narrow"/>
                <w:bCs/>
                <w:sz w:val="20"/>
                <w:szCs w:val="20"/>
              </w:rPr>
              <w:t>^</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641/740</w:t>
            </w:r>
            <w:r w:rsidR="009F6ABD" w:rsidRPr="000526BE">
              <w:rPr>
                <w:rFonts w:ascii="Arial Narrow" w:hAnsi="Arial Narrow"/>
                <w:sz w:val="20"/>
                <w:szCs w:val="20"/>
              </w:rPr>
              <w:t xml:space="preserve"> </w:t>
            </w:r>
            <w:r w:rsidRPr="000526BE">
              <w:rPr>
                <w:rFonts w:ascii="Arial Narrow" w:hAnsi="Arial Narrow"/>
                <w:sz w:val="20"/>
                <w:szCs w:val="20"/>
              </w:rPr>
              <w:t>(86.6%)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326/720</w:t>
            </w:r>
            <w:r w:rsidR="009F6ABD" w:rsidRPr="000526BE">
              <w:rPr>
                <w:rFonts w:ascii="Arial Narrow" w:hAnsi="Arial Narrow"/>
                <w:sz w:val="20"/>
                <w:szCs w:val="20"/>
              </w:rPr>
              <w:t xml:space="preserve"> </w:t>
            </w:r>
            <w:r w:rsidRPr="000526BE">
              <w:rPr>
                <w:rFonts w:ascii="Arial Narrow" w:hAnsi="Arial Narrow"/>
                <w:sz w:val="20"/>
                <w:szCs w:val="20"/>
              </w:rPr>
              <w:t>(45.3%)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 xml:space="preserve">1.91 </w:t>
            </w:r>
          </w:p>
          <w:p w:rsidR="00B61A0B" w:rsidRPr="000526BE" w:rsidRDefault="00B61A0B" w:rsidP="006B66D7">
            <w:pPr>
              <w:keepNext/>
              <w:keepLines/>
              <w:widowControl/>
              <w:jc w:val="center"/>
              <w:rPr>
                <w:rFonts w:ascii="Arial Narrow" w:hAnsi="Arial Narrow"/>
                <w:b/>
                <w:bCs/>
                <w:iCs/>
                <w:sz w:val="20"/>
                <w:szCs w:val="20"/>
              </w:rPr>
            </w:pPr>
            <w:r w:rsidRPr="000526BE">
              <w:rPr>
                <w:rFonts w:ascii="Arial Narrow" w:hAnsi="Arial Narrow"/>
                <w:b/>
                <w:bCs/>
                <w:iCs/>
                <w:sz w:val="20"/>
                <w:szCs w:val="20"/>
              </w:rPr>
              <w:t>(1.76, 2.08)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86.6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45.3</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sz w:val="20"/>
                <w:szCs w:val="20"/>
              </w:rPr>
              <w:t>4.2 (2.4, 5.9)</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color w:val="000000"/>
                <w:sz w:val="20"/>
                <w:szCs w:val="20"/>
              </w:rPr>
            </w:pPr>
            <w:r w:rsidRPr="000526BE">
              <w:rPr>
                <w:rFonts w:ascii="Arial Narrow" w:hAnsi="Arial Narrow"/>
                <w:bCs/>
                <w:color w:val="000000"/>
                <w:sz w:val="20"/>
                <w:szCs w:val="20"/>
              </w:rPr>
              <w:t xml:space="preserve">Grade ≥ 3 </w:t>
            </w:r>
            <w:r w:rsidRPr="000526BE">
              <w:rPr>
                <w:rFonts w:ascii="Arial Narrow" w:hAnsi="Arial Narrow"/>
                <w:bCs/>
                <w:sz w:val="20"/>
                <w:szCs w:val="20"/>
              </w:rPr>
              <w:t>platelet count decreased</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42/740 (5.7%)</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color w:val="000000"/>
                <w:sz w:val="20"/>
                <w:szCs w:val="20"/>
              </w:rPr>
              <w:t>2/720</w:t>
            </w:r>
            <w:r w:rsidR="009F6ABD" w:rsidRPr="000526BE">
              <w:rPr>
                <w:rFonts w:ascii="Arial Narrow" w:hAnsi="Arial Narrow"/>
                <w:color w:val="000000"/>
                <w:sz w:val="20"/>
                <w:szCs w:val="20"/>
              </w:rPr>
              <w:t xml:space="preserve"> </w:t>
            </w:r>
            <w:r w:rsidRPr="000526BE">
              <w:rPr>
                <w:rFonts w:ascii="Arial Narrow" w:hAnsi="Arial Narrow"/>
                <w:color w:val="000000"/>
                <w:sz w:val="20"/>
                <w:szCs w:val="20"/>
              </w:rPr>
              <w:t>(0.3%)</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 xml:space="preserve">20.43 </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(4.96, 84.09)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5.7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color w:val="000000"/>
                <w:sz w:val="20"/>
                <w:szCs w:val="20"/>
              </w:rPr>
            </w:pPr>
            <w:r w:rsidRPr="000526BE">
              <w:rPr>
                <w:rFonts w:ascii="Arial Narrow" w:hAnsi="Arial Narrow"/>
                <w:color w:val="000000"/>
                <w:sz w:val="20"/>
                <w:szCs w:val="20"/>
              </w:rPr>
              <w:t>0.3</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sz w:val="20"/>
                <w:szCs w:val="20"/>
              </w:rPr>
              <w:t>5.4 (3.7, 7.1)</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color w:val="000000"/>
                <w:sz w:val="20"/>
                <w:szCs w:val="20"/>
              </w:rPr>
              <w:t xml:space="preserve">Grade ≥ 3 </w:t>
            </w:r>
            <w:r w:rsidRPr="000526BE">
              <w:rPr>
                <w:rFonts w:ascii="Arial Narrow" w:hAnsi="Arial Narrow"/>
                <w:bCs/>
                <w:sz w:val="20"/>
                <w:szCs w:val="20"/>
              </w:rPr>
              <w:t>peripheral sensory neuropathy</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10/740</w:t>
            </w:r>
            <w:r w:rsidR="009F6ABD" w:rsidRPr="000526BE">
              <w:rPr>
                <w:rFonts w:ascii="Arial Narrow" w:hAnsi="Arial Narrow"/>
                <w:sz w:val="20"/>
                <w:szCs w:val="20"/>
              </w:rPr>
              <w:t xml:space="preserve"> </w:t>
            </w:r>
            <w:r w:rsidRPr="000526BE">
              <w:rPr>
                <w:rFonts w:ascii="Arial Narrow" w:hAnsi="Arial Narrow"/>
                <w:sz w:val="20"/>
                <w:szCs w:val="20"/>
              </w:rPr>
              <w:t>(1.4%)</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0/720</w:t>
            </w:r>
            <w:r w:rsidR="009F6ABD" w:rsidRPr="000526BE">
              <w:rPr>
                <w:rFonts w:ascii="Arial Narrow" w:hAnsi="Arial Narrow"/>
                <w:sz w:val="20"/>
                <w:szCs w:val="20"/>
              </w:rPr>
              <w:t xml:space="preserve"> </w:t>
            </w:r>
            <w:r w:rsidRPr="000526BE">
              <w:rPr>
                <w:rFonts w:ascii="Arial Narrow" w:hAnsi="Arial Narrow"/>
                <w:sz w:val="20"/>
                <w:szCs w:val="20"/>
              </w:rPr>
              <w:t>(0%)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20.43</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(1.20, 348.05)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pStyle w:val="TableText0"/>
              <w:keepLines/>
              <w:spacing w:before="0" w:after="0"/>
              <w:jc w:val="center"/>
            </w:pPr>
            <w:r w:rsidRPr="000526BE">
              <w:rPr>
                <w:b/>
                <w:bCs/>
                <w:iCs/>
                <w:szCs w:val="20"/>
              </w:rPr>
              <w:t>1.4 (0.5, 2.2)</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color w:val="000000"/>
                <w:sz w:val="20"/>
                <w:szCs w:val="20"/>
              </w:rPr>
              <w:t xml:space="preserve">Grade ≥ 3 </w:t>
            </w:r>
            <w:r w:rsidRPr="000526BE">
              <w:rPr>
                <w:rFonts w:ascii="Arial Narrow" w:hAnsi="Arial Narrow"/>
                <w:bCs/>
                <w:sz w:val="20"/>
                <w:szCs w:val="20"/>
              </w:rPr>
              <w:t>Hyperkalaemia</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9/740</w:t>
            </w:r>
            <w:r w:rsidR="009F6ABD" w:rsidRPr="000526BE">
              <w:rPr>
                <w:rFonts w:ascii="Arial Narrow" w:hAnsi="Arial Narrow"/>
                <w:sz w:val="20"/>
                <w:szCs w:val="20"/>
              </w:rPr>
              <w:t xml:space="preserve"> </w:t>
            </w:r>
            <w:r w:rsidRPr="000526BE">
              <w:rPr>
                <w:rFonts w:ascii="Arial Narrow" w:hAnsi="Arial Narrow"/>
                <w:sz w:val="20"/>
                <w:szCs w:val="20"/>
              </w:rPr>
              <w:t>(1.2%)</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1/720</w:t>
            </w:r>
            <w:r w:rsidR="009F6ABD" w:rsidRPr="000526BE">
              <w:rPr>
                <w:rFonts w:ascii="Arial Narrow" w:hAnsi="Arial Narrow"/>
                <w:sz w:val="20"/>
                <w:szCs w:val="20"/>
              </w:rPr>
              <w:t xml:space="preserve"> </w:t>
            </w:r>
            <w:r w:rsidRPr="000526BE">
              <w:rPr>
                <w:rFonts w:ascii="Arial Narrow" w:hAnsi="Arial Narrow"/>
                <w:sz w:val="20"/>
                <w:szCs w:val="20"/>
              </w:rPr>
              <w:t>(0.1%)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8.76</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(1.11, 68.94)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0.1</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sz w:val="20"/>
                <w:szCs w:val="20"/>
              </w:rPr>
              <w:t>1.1 (0.2, 1.9)</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color w:val="000000"/>
                <w:sz w:val="20"/>
                <w:szCs w:val="20"/>
              </w:rPr>
              <w:t xml:space="preserve">Grade ≥ 3 </w:t>
            </w:r>
            <w:r w:rsidRPr="000526BE">
              <w:rPr>
                <w:rFonts w:ascii="Arial Narrow" w:hAnsi="Arial Narrow"/>
                <w:bCs/>
                <w:sz w:val="20"/>
                <w:szCs w:val="20"/>
              </w:rPr>
              <w:t>Fatigue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8/740</w:t>
            </w:r>
            <w:r w:rsidR="009F6ABD" w:rsidRPr="000526BE">
              <w:rPr>
                <w:rFonts w:ascii="Arial Narrow" w:hAnsi="Arial Narrow"/>
                <w:sz w:val="20"/>
                <w:szCs w:val="20"/>
              </w:rPr>
              <w:t xml:space="preserve"> </w:t>
            </w:r>
            <w:r w:rsidRPr="000526BE">
              <w:rPr>
                <w:rFonts w:ascii="Arial Narrow" w:hAnsi="Arial Narrow"/>
                <w:sz w:val="20"/>
                <w:szCs w:val="20"/>
              </w:rPr>
              <w:t>(1.1%)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1/720</w:t>
            </w:r>
            <w:r w:rsidR="009F6ABD" w:rsidRPr="000526BE">
              <w:rPr>
                <w:rFonts w:ascii="Arial Narrow" w:hAnsi="Arial Narrow"/>
                <w:sz w:val="20"/>
                <w:szCs w:val="20"/>
              </w:rPr>
              <w:t xml:space="preserve"> </w:t>
            </w:r>
            <w:r w:rsidRPr="000526BE">
              <w:rPr>
                <w:rFonts w:ascii="Arial Narrow" w:hAnsi="Arial Narrow"/>
                <w:sz w:val="20"/>
                <w:szCs w:val="20"/>
              </w:rPr>
              <w:t>(0.1%)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iCs/>
                <w:color w:val="000000"/>
                <w:sz w:val="20"/>
                <w:szCs w:val="20"/>
              </w:rPr>
            </w:pPr>
            <w:r w:rsidRPr="000526BE">
              <w:rPr>
                <w:rFonts w:ascii="Arial Narrow" w:hAnsi="Arial Narrow"/>
                <w:iCs/>
                <w:color w:val="000000"/>
                <w:sz w:val="20"/>
                <w:szCs w:val="20"/>
              </w:rPr>
              <w:t>7.78</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iCs/>
                <w:color w:val="000000"/>
                <w:sz w:val="20"/>
                <w:szCs w:val="20"/>
              </w:rPr>
              <w:t>(0.98, 62.08</w:t>
            </w:r>
            <w:r w:rsidRPr="000526BE">
              <w:rPr>
                <w:rFonts w:ascii="Arial Narrow" w:hAnsi="Arial Narrow"/>
                <w:bCs/>
                <w:iCs/>
                <w:color w:val="000000"/>
                <w:sz w:val="20"/>
                <w:szCs w:val="20"/>
              </w:rPr>
              <w: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0.1</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sz w:val="20"/>
                <w:szCs w:val="20"/>
              </w:rPr>
              <w:t>0.9 (0.1, 1.7)</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color w:val="000000"/>
                <w:sz w:val="20"/>
                <w:szCs w:val="20"/>
              </w:rPr>
              <w:t xml:space="preserve">Grade ≥ 3 </w:t>
            </w:r>
            <w:r w:rsidRPr="000526BE">
              <w:rPr>
                <w:rFonts w:ascii="Arial Narrow" w:hAnsi="Arial Narrow"/>
                <w:bCs/>
                <w:sz w:val="20"/>
                <w:szCs w:val="20"/>
              </w:rPr>
              <w:t>Anaemia</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8/740</w:t>
            </w:r>
            <w:r w:rsidR="009F6ABD" w:rsidRPr="000526BE">
              <w:rPr>
                <w:rFonts w:ascii="Arial Narrow" w:hAnsi="Arial Narrow"/>
                <w:sz w:val="20"/>
                <w:szCs w:val="20"/>
              </w:rPr>
              <w:t xml:space="preserve"> </w:t>
            </w:r>
            <w:r w:rsidRPr="000526BE">
              <w:rPr>
                <w:rFonts w:ascii="Arial Narrow" w:hAnsi="Arial Narrow"/>
                <w:sz w:val="20"/>
                <w:szCs w:val="20"/>
              </w:rPr>
              <w:t>(1.1%)</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1/720</w:t>
            </w:r>
            <w:r w:rsidR="009F6ABD" w:rsidRPr="000526BE">
              <w:rPr>
                <w:rFonts w:ascii="Arial Narrow" w:hAnsi="Arial Narrow"/>
                <w:sz w:val="20"/>
                <w:szCs w:val="20"/>
              </w:rPr>
              <w:t xml:space="preserve"> </w:t>
            </w:r>
            <w:r w:rsidRPr="000526BE">
              <w:rPr>
                <w:rFonts w:ascii="Arial Narrow" w:hAnsi="Arial Narrow"/>
                <w:sz w:val="20"/>
                <w:szCs w:val="20"/>
              </w:rPr>
              <w:t>(0.1%)</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iCs/>
                <w:color w:val="000000"/>
                <w:sz w:val="20"/>
                <w:szCs w:val="20"/>
              </w:rPr>
            </w:pPr>
            <w:r w:rsidRPr="000526BE">
              <w:rPr>
                <w:rFonts w:ascii="Arial Narrow" w:hAnsi="Arial Narrow"/>
                <w:iCs/>
                <w:color w:val="000000"/>
                <w:sz w:val="20"/>
                <w:szCs w:val="20"/>
              </w:rPr>
              <w:t>7.78</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iCs/>
                <w:color w:val="000000"/>
                <w:sz w:val="20"/>
                <w:szCs w:val="20"/>
              </w:rPr>
              <w:t>(0.98, 62.08)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0.1</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sz w:val="20"/>
                <w:szCs w:val="20"/>
              </w:rPr>
              <w:t>0.9 (0.1, 1.7)</w:t>
            </w:r>
          </w:p>
        </w:tc>
      </w:tr>
      <w:tr w:rsidR="00B61A0B" w:rsidRPr="000526BE" w:rsidTr="009F6AB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color w:val="000000"/>
                <w:sz w:val="20"/>
                <w:szCs w:val="20"/>
              </w:rPr>
              <w:t xml:space="preserve">Grade ≥ 3 </w:t>
            </w:r>
            <w:r w:rsidRPr="000526BE">
              <w:rPr>
                <w:rFonts w:ascii="Arial Narrow" w:eastAsiaTheme="minorHAnsi" w:hAnsi="Arial Narrow" w:cs="Calibri"/>
                <w:bCs/>
                <w:snapToGrid/>
                <w:sz w:val="20"/>
                <w:szCs w:val="20"/>
              </w:rPr>
              <w:t>Hepatotoxicity</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12/740 (1.6%)</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3/720 (0.4%)</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3.89</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(1.10, 13.73)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0.4</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color w:val="000000"/>
                <w:sz w:val="20"/>
                <w:szCs w:val="20"/>
              </w:rPr>
              <w:t>1.2 (0.2, 2.2)</w:t>
            </w:r>
          </w:p>
        </w:tc>
      </w:tr>
      <w:tr w:rsidR="00B61A0B" w:rsidRPr="000526BE" w:rsidTr="002362D6">
        <w:trPr>
          <w:trHeight w:val="100"/>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left"/>
              <w:rPr>
                <w:rFonts w:ascii="Arial Narrow" w:hAnsi="Arial Narrow"/>
                <w:bCs/>
                <w:sz w:val="20"/>
                <w:szCs w:val="20"/>
              </w:rPr>
            </w:pPr>
            <w:r w:rsidRPr="000526BE">
              <w:rPr>
                <w:rFonts w:ascii="Arial Narrow" w:hAnsi="Arial Narrow"/>
                <w:bCs/>
                <w:sz w:val="20"/>
                <w:szCs w:val="20"/>
              </w:rPr>
              <w:t xml:space="preserve">SAE </w:t>
            </w:r>
            <w:r w:rsidRPr="000526BE">
              <w:rPr>
                <w:rFonts w:ascii="Arial Narrow" w:eastAsiaTheme="minorHAnsi" w:hAnsi="Arial Narrow" w:cs="Calibri"/>
                <w:bCs/>
                <w:iCs/>
                <w:snapToGrid/>
                <w:sz w:val="20"/>
                <w:szCs w:val="20"/>
              </w:rPr>
              <w:t>device related infections</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sz w:val="20"/>
                <w:szCs w:val="20"/>
              </w:rPr>
            </w:pPr>
            <w:r w:rsidRPr="000526BE">
              <w:rPr>
                <w:rFonts w:ascii="Arial Narrow" w:hAnsi="Arial Narrow"/>
                <w:sz w:val="20"/>
                <w:szCs w:val="20"/>
              </w:rPr>
              <w:t>6/740</w:t>
            </w:r>
            <w:r w:rsidR="009F6ABD" w:rsidRPr="000526BE">
              <w:rPr>
                <w:rFonts w:ascii="Arial Narrow" w:hAnsi="Arial Narrow"/>
                <w:sz w:val="20"/>
                <w:szCs w:val="20"/>
              </w:rPr>
              <w:t xml:space="preserve"> </w:t>
            </w:r>
            <w:r w:rsidRPr="000526BE">
              <w:rPr>
                <w:rFonts w:ascii="Arial Narrow" w:hAnsi="Arial Narrow"/>
                <w:sz w:val="20"/>
                <w:szCs w:val="20"/>
              </w:rPr>
              <w:t>(0.8%)</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2362D6">
            <w:pPr>
              <w:keepNext/>
              <w:keepLines/>
              <w:widowControl/>
              <w:jc w:val="center"/>
              <w:rPr>
                <w:rFonts w:ascii="Arial Narrow" w:hAnsi="Arial Narrow"/>
                <w:sz w:val="20"/>
                <w:szCs w:val="20"/>
              </w:rPr>
            </w:pPr>
            <w:r w:rsidRPr="000526BE">
              <w:rPr>
                <w:rFonts w:ascii="Arial Narrow" w:hAnsi="Arial Narrow"/>
                <w:sz w:val="20"/>
                <w:szCs w:val="20"/>
              </w:rPr>
              <w:t>0/720 (0%)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 xml:space="preserve">12.65 </w:t>
            </w:r>
          </w:p>
          <w:p w:rsidR="00B61A0B" w:rsidRPr="000526BE" w:rsidRDefault="00B61A0B" w:rsidP="006B66D7">
            <w:pPr>
              <w:keepNext/>
              <w:keepLines/>
              <w:widowControl/>
              <w:jc w:val="center"/>
              <w:rPr>
                <w:rFonts w:ascii="Arial Narrow" w:hAnsi="Arial Narrow"/>
                <w:b/>
                <w:bCs/>
                <w:iCs/>
                <w:color w:val="000000"/>
                <w:sz w:val="20"/>
                <w:szCs w:val="20"/>
              </w:rPr>
            </w:pPr>
            <w:r w:rsidRPr="000526BE">
              <w:rPr>
                <w:rFonts w:ascii="Arial Narrow" w:hAnsi="Arial Narrow"/>
                <w:b/>
                <w:bCs/>
                <w:iCs/>
                <w:color w:val="000000"/>
                <w:sz w:val="20"/>
                <w:szCs w:val="20"/>
              </w:rPr>
              <w:t>(0.71, 224.12)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6B66D7">
            <w:pPr>
              <w:keepNext/>
              <w:keepLines/>
              <w:widowControl/>
              <w:jc w:val="center"/>
              <w:rPr>
                <w:rFonts w:ascii="Arial Narrow" w:hAnsi="Arial Narrow"/>
                <w:sz w:val="20"/>
                <w:szCs w:val="20"/>
              </w:rPr>
            </w:pPr>
            <w:r w:rsidRPr="000526BE">
              <w:rPr>
                <w:rFonts w:ascii="Arial Narrow" w:hAnsi="Arial Narrow"/>
                <w:sz w:val="20"/>
                <w:szCs w:val="20"/>
              </w:rPr>
              <w:t>0</w:t>
            </w:r>
          </w:p>
        </w:tc>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B61A0B" w:rsidRPr="000526BE" w:rsidRDefault="00B61A0B" w:rsidP="009F6ABD">
            <w:pPr>
              <w:keepNext/>
              <w:keepLines/>
              <w:widowControl/>
              <w:jc w:val="center"/>
              <w:rPr>
                <w:rFonts w:ascii="Arial Narrow" w:hAnsi="Arial Narrow"/>
                <w:color w:val="000000"/>
                <w:sz w:val="20"/>
                <w:szCs w:val="20"/>
              </w:rPr>
            </w:pPr>
            <w:r w:rsidRPr="000526BE">
              <w:rPr>
                <w:rFonts w:ascii="Arial Narrow" w:hAnsi="Arial Narrow"/>
                <w:b/>
                <w:bCs/>
                <w:iCs/>
                <w:color w:val="000000"/>
                <w:sz w:val="20"/>
                <w:szCs w:val="20"/>
              </w:rPr>
              <w:t>0.8</w:t>
            </w:r>
            <w:r w:rsidR="009F6ABD" w:rsidRPr="000526BE">
              <w:rPr>
                <w:rFonts w:ascii="Arial Narrow" w:hAnsi="Arial Narrow"/>
                <w:b/>
                <w:bCs/>
                <w:iCs/>
                <w:color w:val="000000"/>
                <w:sz w:val="20"/>
                <w:szCs w:val="20"/>
              </w:rPr>
              <w:t xml:space="preserve"> </w:t>
            </w:r>
            <w:r w:rsidRPr="000526BE">
              <w:rPr>
                <w:rFonts w:ascii="Arial Narrow" w:hAnsi="Arial Narrow"/>
                <w:b/>
                <w:bCs/>
                <w:iCs/>
                <w:color w:val="000000"/>
                <w:sz w:val="20"/>
                <w:szCs w:val="20"/>
              </w:rPr>
              <w:t>(0.1, 1.5)</w:t>
            </w:r>
          </w:p>
        </w:tc>
      </w:tr>
    </w:tbl>
    <w:p w:rsidR="00C20B5C" w:rsidRPr="000526BE" w:rsidRDefault="00B61A0B" w:rsidP="006B66D7">
      <w:pPr>
        <w:pStyle w:val="TableFooter"/>
        <w:keepNext/>
        <w:keepLines/>
        <w:widowControl/>
      </w:pPr>
      <w:r w:rsidRPr="000526BE">
        <w:t xml:space="preserve">Abbreviations: CI= confidence interval; </w:t>
      </w:r>
      <w:r w:rsidR="00051BFA" w:rsidRPr="000526BE">
        <w:t xml:space="preserve">DF= disease free; </w:t>
      </w:r>
      <w:r w:rsidRPr="000526BE">
        <w:t>DFS= disease free survival; DRFI= distant relapse-free interval; iDFS= invasive disease-free survival; iDFS-SPNBC= invasive disease-free survival including second primary non-breast cancers; n= number of participants reporting data; N= total participants in group; OS= overall survival; SAE= serious adverse event; T-DM1= trastuzumab emtansine</w:t>
      </w:r>
    </w:p>
    <w:p w:rsidR="00B61A0B" w:rsidRPr="000526BE" w:rsidRDefault="00B61A0B" w:rsidP="006B66D7">
      <w:pPr>
        <w:pStyle w:val="TableFooter"/>
        <w:keepNext/>
        <w:keepLines/>
        <w:widowControl/>
        <w:rPr>
          <w:i/>
          <w:iCs/>
        </w:rPr>
      </w:pPr>
      <w:r w:rsidRPr="000526BE">
        <w:t xml:space="preserve">Source: Table ES.4, p.6 and Table 2.9, p53, </w:t>
      </w:r>
      <w:r w:rsidR="009A4731" w:rsidRPr="000526BE">
        <w:t xml:space="preserve">Table 2.11, p55, </w:t>
      </w:r>
      <w:r w:rsidRPr="000526BE">
        <w:t>Table 2.12, p58</w:t>
      </w:r>
      <w:r w:rsidR="009A4731" w:rsidRPr="000526BE">
        <w:t xml:space="preserve">, </w:t>
      </w:r>
      <w:r w:rsidRPr="000526BE">
        <w:rPr>
          <w:rFonts w:eastAsiaTheme="minorEastAsia"/>
          <w:snapToGrid/>
        </w:rPr>
        <w:t>Table 2.17, p61 of the submission</w:t>
      </w:r>
      <w:r w:rsidRPr="000526BE">
        <w:rPr>
          <w:rFonts w:eastAsiaTheme="minorEastAsia"/>
          <w:i/>
          <w:iCs/>
          <w:snapToGrid/>
        </w:rPr>
        <w:t>,</w:t>
      </w:r>
      <w:r w:rsidRPr="000526BE">
        <w:t xml:space="preserve"> Table 2 von Minchkwitz et al 2019 </w:t>
      </w:r>
      <w:r w:rsidRPr="000526BE">
        <w:rPr>
          <w:iCs/>
        </w:rPr>
        <w:t>and calculated during evaluation.</w:t>
      </w:r>
    </w:p>
    <w:p w:rsidR="00B61A0B" w:rsidRPr="000526BE" w:rsidRDefault="00B61A0B" w:rsidP="006B66D7">
      <w:pPr>
        <w:pStyle w:val="TableFooter"/>
        <w:keepNext/>
        <w:keepLines/>
        <w:widowControl/>
        <w:rPr>
          <w:color w:val="FF0000"/>
        </w:rPr>
      </w:pPr>
      <w:r w:rsidRPr="000526BE">
        <w:t>Notes:</w:t>
      </w:r>
      <w:r w:rsidRPr="000526BE">
        <w:rPr>
          <w:b/>
          <w:bCs/>
        </w:rPr>
        <w:t xml:space="preserve"> Bold</w:t>
      </w:r>
      <w:r w:rsidRPr="000526BE">
        <w:t xml:space="preserve"> indicates results of statistical significance. </w:t>
      </w:r>
      <w:r w:rsidR="00E10C84" w:rsidRPr="000526BE">
        <w:t xml:space="preserve">* 3-year and 5-year rates derived from Kaplan-Meier estimates; ** Estimated by Cox-regression. Due to stratum with &lt;5 patients, table presents unstratified analyses for all endpoints. </w:t>
      </w:r>
      <w:r w:rsidRPr="000526BE">
        <w:t xml:space="preserve">The OS data was immature at the clinical cut-off date (98 events total); the final OS analyses is planned 119 months (367 events) from the enrolment of first patient to data cut-off. </w:t>
      </w:r>
      <w:r w:rsidR="000C6F33" w:rsidRPr="000526BE">
        <w:br/>
      </w:r>
      <w:r w:rsidR="00854D02" w:rsidRPr="000526BE">
        <w:t>^</w:t>
      </w:r>
      <w:r w:rsidR="001F44ED" w:rsidRPr="000526BE">
        <w:t xml:space="preserve"> O</w:t>
      </w:r>
      <w:r w:rsidRPr="000526BE">
        <w:t>nly AEs related to T-DM1 were evaluated in the T-DM1 arm.</w:t>
      </w:r>
      <w:r w:rsidRPr="000526BE">
        <w:rPr>
          <w:i/>
          <w:iCs/>
        </w:rPr>
        <w:t xml:space="preserve"> </w:t>
      </w:r>
      <w:r w:rsidR="00854D02" w:rsidRPr="000526BE">
        <w:rPr>
          <w:iCs/>
          <w:vertAlign w:val="superscript"/>
        </w:rPr>
        <w:t>$</w:t>
      </w:r>
      <w:r w:rsidR="001F44ED" w:rsidRPr="000526BE">
        <w:rPr>
          <w:iCs/>
        </w:rPr>
        <w:t>S</w:t>
      </w:r>
      <w:r w:rsidRPr="000526BE">
        <w:rPr>
          <w:iCs/>
        </w:rPr>
        <w:t xml:space="preserve">afety-evaluable population included all randomised patients who received any amount of study treatment (720 patients in the trastuzumab arm and 740 patients in the T-DM1 arm. The number of patients who switched from T-DM1 to trastuzumab due to AEs was not reported. </w:t>
      </w:r>
      <w:r w:rsidR="00CB3901" w:rsidRPr="000526BE">
        <w:rPr>
          <w:iCs/>
        </w:rPr>
        <w:t>Absolute difference, relative ri</w:t>
      </w:r>
      <w:r w:rsidR="00262FAA" w:rsidRPr="000526BE">
        <w:rPr>
          <w:iCs/>
        </w:rPr>
        <w:t>sk</w:t>
      </w:r>
      <w:r w:rsidR="00CB3901" w:rsidRPr="000526BE">
        <w:rPr>
          <w:iCs/>
        </w:rPr>
        <w:t xml:space="preserve"> and risk difference values were </w:t>
      </w:r>
      <w:r w:rsidRPr="000526BE">
        <w:rPr>
          <w:iCs/>
        </w:rPr>
        <w:t>calculated during evaluation using RevMan version 5.3.</w:t>
      </w:r>
    </w:p>
    <w:p w:rsidR="00B61A0B" w:rsidRPr="000526BE" w:rsidRDefault="00B61A0B" w:rsidP="00A2058D">
      <w:pPr>
        <w:pStyle w:val="ListParagraph"/>
        <w:widowControl/>
        <w:numPr>
          <w:ilvl w:val="1"/>
          <w:numId w:val="2"/>
        </w:numPr>
        <w:spacing w:before="120" w:after="0"/>
        <w:rPr>
          <w:iCs/>
        </w:rPr>
      </w:pPr>
      <w:r w:rsidRPr="000526BE">
        <w:rPr>
          <w:iCs/>
        </w:rPr>
        <w:t>On the basis of direct evidence presented in the pivotal KATHERINE trial, for every 100 patients treated with T-DM1 in comparison to trastuzumab</w:t>
      </w:r>
      <w:r w:rsidR="00251A89" w:rsidRPr="000526BE">
        <w:rPr>
          <w:iCs/>
        </w:rPr>
        <w:t xml:space="preserve"> after three years (based on KM estimates)</w:t>
      </w:r>
      <w:r w:rsidRPr="000526BE">
        <w:rPr>
          <w:iCs/>
        </w:rPr>
        <w:t>:</w:t>
      </w:r>
    </w:p>
    <w:p w:rsidR="00B61A0B" w:rsidRPr="000526BE" w:rsidRDefault="00B61A0B" w:rsidP="00374ECB">
      <w:pPr>
        <w:pStyle w:val="ListParagraph"/>
        <w:widowControl/>
        <w:numPr>
          <w:ilvl w:val="1"/>
          <w:numId w:val="1"/>
        </w:numPr>
        <w:spacing w:after="0"/>
        <w:ind w:left="1100" w:hanging="380"/>
        <w:rPr>
          <w:iCs/>
        </w:rPr>
      </w:pPr>
      <w:r w:rsidRPr="000526BE">
        <w:rPr>
          <w:iCs/>
        </w:rPr>
        <w:t>Approximately 1</w:t>
      </w:r>
      <w:r w:rsidR="00251A89" w:rsidRPr="000526BE">
        <w:rPr>
          <w:iCs/>
        </w:rPr>
        <w:t>1</w:t>
      </w:r>
      <w:r w:rsidRPr="000526BE">
        <w:rPr>
          <w:iCs/>
        </w:rPr>
        <w:t xml:space="preserve"> additional patients would not experience recurrence (return of invasive disease). </w:t>
      </w:r>
    </w:p>
    <w:p w:rsidR="00B61A0B" w:rsidRPr="000526BE" w:rsidRDefault="00B61A0B" w:rsidP="00374ECB">
      <w:pPr>
        <w:pStyle w:val="ListParagraph"/>
        <w:widowControl/>
        <w:numPr>
          <w:ilvl w:val="1"/>
          <w:numId w:val="1"/>
        </w:numPr>
        <w:spacing w:after="0"/>
        <w:ind w:left="1100" w:hanging="380"/>
        <w:rPr>
          <w:iCs/>
        </w:rPr>
      </w:pPr>
      <w:r w:rsidRPr="000526BE">
        <w:rPr>
          <w:iCs/>
        </w:rPr>
        <w:t>Approximately 1</w:t>
      </w:r>
      <w:r w:rsidR="00251A89" w:rsidRPr="000526BE">
        <w:rPr>
          <w:iCs/>
        </w:rPr>
        <w:t>1</w:t>
      </w:r>
      <w:r w:rsidRPr="000526BE">
        <w:rPr>
          <w:iCs/>
        </w:rPr>
        <w:t xml:space="preserve"> additional patients would not experience locoregional recurrence (return of invasive disease including a second primary non-breast cancers). </w:t>
      </w:r>
    </w:p>
    <w:p w:rsidR="00B61A0B" w:rsidRPr="000526BE" w:rsidRDefault="00B61A0B" w:rsidP="00374ECB">
      <w:pPr>
        <w:pStyle w:val="ListParagraph"/>
        <w:widowControl/>
        <w:numPr>
          <w:ilvl w:val="1"/>
          <w:numId w:val="1"/>
        </w:numPr>
        <w:spacing w:after="0"/>
        <w:ind w:left="1100" w:hanging="380"/>
        <w:rPr>
          <w:iCs/>
        </w:rPr>
      </w:pPr>
      <w:r w:rsidRPr="000526BE">
        <w:rPr>
          <w:iCs/>
        </w:rPr>
        <w:t xml:space="preserve">Approximately </w:t>
      </w:r>
      <w:r w:rsidR="00251A89" w:rsidRPr="000526BE">
        <w:rPr>
          <w:iCs/>
        </w:rPr>
        <w:t>11</w:t>
      </w:r>
      <w:r w:rsidRPr="000526BE">
        <w:rPr>
          <w:iCs/>
        </w:rPr>
        <w:t xml:space="preserve"> additional patients would not experience distant recurrence. </w:t>
      </w:r>
    </w:p>
    <w:p w:rsidR="00251A89" w:rsidRPr="000526BE" w:rsidRDefault="00251A89" w:rsidP="00262FAA">
      <w:pPr>
        <w:widowControl/>
        <w:spacing w:before="120"/>
        <w:ind w:left="720"/>
        <w:rPr>
          <w:iCs/>
        </w:rPr>
      </w:pPr>
      <w:r w:rsidRPr="000526BE">
        <w:rPr>
          <w:iCs/>
        </w:rPr>
        <w:t>On the basis of direct evidence presented in the pivotal KATHERINE trial, for every 100 patients treated with T-DM1 in comparison to trastuzumab over a median duration of follow-up of 41 months:</w:t>
      </w:r>
    </w:p>
    <w:p w:rsidR="00B61A0B" w:rsidRPr="000526BE" w:rsidRDefault="00B61A0B" w:rsidP="00374ECB">
      <w:pPr>
        <w:pStyle w:val="ListParagraph"/>
        <w:widowControl/>
        <w:numPr>
          <w:ilvl w:val="1"/>
          <w:numId w:val="1"/>
        </w:numPr>
        <w:spacing w:after="0"/>
        <w:ind w:left="1100" w:hanging="380"/>
        <w:rPr>
          <w:iCs/>
        </w:rPr>
      </w:pPr>
      <w:r w:rsidRPr="000526BE">
        <w:rPr>
          <w:iCs/>
        </w:rPr>
        <w:t>Approximately 10 additional patients would experience a grade ≥3 AE</w:t>
      </w:r>
      <w:r w:rsidR="009A4731" w:rsidRPr="000526BE">
        <w:rPr>
          <w:iCs/>
        </w:rPr>
        <w:t>, including 5</w:t>
      </w:r>
      <w:r w:rsidR="00221F63" w:rsidRPr="000526BE">
        <w:rPr>
          <w:iCs/>
        </w:rPr>
        <w:t xml:space="preserve"> experiencing</w:t>
      </w:r>
      <w:r w:rsidR="009A4731" w:rsidRPr="000526BE">
        <w:rPr>
          <w:iCs/>
        </w:rPr>
        <w:t xml:space="preserve"> decreased platelet counts, 1 </w:t>
      </w:r>
      <w:r w:rsidR="00221F63" w:rsidRPr="000526BE">
        <w:rPr>
          <w:iCs/>
        </w:rPr>
        <w:t xml:space="preserve">experiencing </w:t>
      </w:r>
      <w:r w:rsidR="009A4731" w:rsidRPr="000526BE">
        <w:rPr>
          <w:iCs/>
        </w:rPr>
        <w:t>peripheral sensory neuropathy</w:t>
      </w:r>
      <w:r w:rsidR="00D00CC4" w:rsidRPr="000526BE">
        <w:rPr>
          <w:iCs/>
        </w:rPr>
        <w:t xml:space="preserve"> (a sensation of tingling/burning in the hands or feet)</w:t>
      </w:r>
      <w:r w:rsidR="009A4731" w:rsidRPr="000526BE">
        <w:rPr>
          <w:iCs/>
        </w:rPr>
        <w:t xml:space="preserve">, 1 </w:t>
      </w:r>
      <w:r w:rsidR="00221F63" w:rsidRPr="000526BE">
        <w:rPr>
          <w:iCs/>
        </w:rPr>
        <w:t xml:space="preserve">experiencing </w:t>
      </w:r>
      <w:r w:rsidR="009A4731" w:rsidRPr="000526BE">
        <w:rPr>
          <w:iCs/>
        </w:rPr>
        <w:t>hyperkalaemia, 1</w:t>
      </w:r>
      <w:r w:rsidR="00221F63" w:rsidRPr="000526BE">
        <w:rPr>
          <w:iCs/>
        </w:rPr>
        <w:t xml:space="preserve"> experiencing</w:t>
      </w:r>
      <w:r w:rsidR="009A4731" w:rsidRPr="000526BE">
        <w:rPr>
          <w:iCs/>
        </w:rPr>
        <w:t xml:space="preserve"> fatigue</w:t>
      </w:r>
      <w:r w:rsidR="00251A89" w:rsidRPr="000526BE">
        <w:rPr>
          <w:iCs/>
        </w:rPr>
        <w:t xml:space="preserve">, </w:t>
      </w:r>
      <w:r w:rsidR="009A4731" w:rsidRPr="000526BE">
        <w:rPr>
          <w:iCs/>
        </w:rPr>
        <w:t xml:space="preserve">1 </w:t>
      </w:r>
      <w:r w:rsidR="00221F63" w:rsidRPr="000526BE">
        <w:rPr>
          <w:iCs/>
        </w:rPr>
        <w:t xml:space="preserve">experiencing </w:t>
      </w:r>
      <w:r w:rsidR="009A4731" w:rsidRPr="000526BE">
        <w:rPr>
          <w:iCs/>
        </w:rPr>
        <w:t>anaemia</w:t>
      </w:r>
      <w:r w:rsidR="00251A89" w:rsidRPr="000526BE">
        <w:rPr>
          <w:iCs/>
        </w:rPr>
        <w:t xml:space="preserve"> and 1 experiencing hepato</w:t>
      </w:r>
      <w:r w:rsidR="001F44ED" w:rsidRPr="000526BE">
        <w:rPr>
          <w:iCs/>
        </w:rPr>
        <w:t>to</w:t>
      </w:r>
      <w:r w:rsidR="00251A89" w:rsidRPr="000526BE">
        <w:rPr>
          <w:iCs/>
        </w:rPr>
        <w:t>xicity</w:t>
      </w:r>
      <w:r w:rsidRPr="000526BE">
        <w:rPr>
          <w:iCs/>
        </w:rPr>
        <w:t>.</w:t>
      </w:r>
    </w:p>
    <w:p w:rsidR="00B61A0B" w:rsidRPr="000526BE" w:rsidRDefault="00B61A0B" w:rsidP="00374ECB">
      <w:pPr>
        <w:pStyle w:val="ListParagraph"/>
        <w:widowControl/>
        <w:numPr>
          <w:ilvl w:val="1"/>
          <w:numId w:val="1"/>
        </w:numPr>
        <w:spacing w:after="120"/>
        <w:ind w:left="1100" w:hanging="380"/>
        <w:rPr>
          <w:iCs/>
        </w:rPr>
      </w:pPr>
      <w:r w:rsidRPr="000526BE">
        <w:rPr>
          <w:iCs/>
        </w:rPr>
        <w:t>Approximately 5 additional patients would experience a</w:t>
      </w:r>
      <w:r w:rsidR="00D00CC4" w:rsidRPr="000526BE">
        <w:rPr>
          <w:iCs/>
        </w:rPr>
        <w:t>n</w:t>
      </w:r>
      <w:r w:rsidRPr="000526BE">
        <w:rPr>
          <w:iCs/>
        </w:rPr>
        <w:t xml:space="preserve"> SAE</w:t>
      </w:r>
      <w:r w:rsidR="009A4731" w:rsidRPr="000526BE">
        <w:rPr>
          <w:iCs/>
        </w:rPr>
        <w:t xml:space="preserve">, including 1 </w:t>
      </w:r>
      <w:r w:rsidR="00221F63" w:rsidRPr="000526BE">
        <w:rPr>
          <w:iCs/>
        </w:rPr>
        <w:t xml:space="preserve">experiencing a </w:t>
      </w:r>
      <w:r w:rsidR="009A4731" w:rsidRPr="000526BE">
        <w:rPr>
          <w:iCs/>
        </w:rPr>
        <w:t>device related infection</w:t>
      </w:r>
      <w:r w:rsidR="00D00CC4" w:rsidRPr="000526BE">
        <w:rPr>
          <w:iCs/>
        </w:rPr>
        <w:t xml:space="preserve"> (an infection at the site where the catheter is inserted for drug dosing)</w:t>
      </w:r>
      <w:r w:rsidRPr="000526BE">
        <w:rPr>
          <w:iCs/>
        </w:rPr>
        <w:t>.</w:t>
      </w:r>
    </w:p>
    <w:p w:rsidR="00B61A0B" w:rsidRPr="000526BE" w:rsidRDefault="00B61A0B" w:rsidP="000C6F33">
      <w:pPr>
        <w:pStyle w:val="Heading2"/>
        <w:spacing w:after="120"/>
      </w:pPr>
      <w:bookmarkStart w:id="12" w:name="_Toc19626597"/>
      <w:r w:rsidRPr="000526BE">
        <w:t>Clinical claim</w:t>
      </w:r>
      <w:bookmarkEnd w:id="12"/>
    </w:p>
    <w:p w:rsidR="00B61A0B" w:rsidRPr="000526BE" w:rsidRDefault="00B61A0B" w:rsidP="00A2058D">
      <w:pPr>
        <w:pStyle w:val="ListParagraph"/>
        <w:widowControl/>
        <w:numPr>
          <w:ilvl w:val="1"/>
          <w:numId w:val="2"/>
        </w:numPr>
      </w:pPr>
      <w:r w:rsidRPr="000526BE">
        <w:t xml:space="preserve">The submission described T-DM1 as superior in terms of effectiveness and inferior in terms of safety compared to trastuzumab. </w:t>
      </w:r>
      <w:r w:rsidRPr="000526BE">
        <w:rPr>
          <w:iCs/>
        </w:rPr>
        <w:t xml:space="preserve">The </w:t>
      </w:r>
      <w:r w:rsidR="00B03B02" w:rsidRPr="000526BE">
        <w:rPr>
          <w:iCs/>
        </w:rPr>
        <w:t xml:space="preserve">commentary considered that the </w:t>
      </w:r>
      <w:r w:rsidRPr="000526BE">
        <w:rPr>
          <w:iCs/>
        </w:rPr>
        <w:t>clinical claim was supported by the evidence with respect to iDFS, but not OS. Previously, the ESC noted that a statistically significant difference in iDFS is difficult to interpret in the absence of a difference in OS (Neratinib PSD, March 2019, paragraph 6.37)</w:t>
      </w:r>
      <w:r w:rsidR="00E72425" w:rsidRPr="000526BE">
        <w:rPr>
          <w:iCs/>
        </w:rPr>
        <w:t>;</w:t>
      </w:r>
      <w:r w:rsidR="00704B64" w:rsidRPr="000526BE">
        <w:rPr>
          <w:iCs/>
        </w:rPr>
        <w:t xml:space="preserve"> however the ESC noted that this was in the context of a poorer quality trial and a considerably smaller absolute benefit in iDFS</w:t>
      </w:r>
      <w:r w:rsidRPr="000526BE">
        <w:rPr>
          <w:iCs/>
        </w:rPr>
        <w:t>.</w:t>
      </w:r>
      <w:r w:rsidRPr="000526BE">
        <w:t xml:space="preserve"> </w:t>
      </w:r>
      <w:r w:rsidRPr="000526BE">
        <w:rPr>
          <w:iCs/>
        </w:rPr>
        <w:t xml:space="preserve">The TGA </w:t>
      </w:r>
      <w:r w:rsidR="00BA4FB9" w:rsidRPr="000526BE">
        <w:rPr>
          <w:iCs/>
        </w:rPr>
        <w:t xml:space="preserve">Delegate’s Overview </w:t>
      </w:r>
      <w:r w:rsidRPr="000526BE">
        <w:rPr>
          <w:iCs/>
        </w:rPr>
        <w:t xml:space="preserve">noted that longer term data were required to determine whether the observed improvement in iDFS translates into an OS benefit (T-DM1 TGA </w:t>
      </w:r>
      <w:r w:rsidR="00BA4FB9" w:rsidRPr="000526BE">
        <w:rPr>
          <w:iCs/>
        </w:rPr>
        <w:t>Delegate’s Overview</w:t>
      </w:r>
      <w:r w:rsidRPr="000526BE">
        <w:rPr>
          <w:iCs/>
        </w:rPr>
        <w:t>, p</w:t>
      </w:r>
      <w:r w:rsidR="00BA4FB9" w:rsidRPr="000526BE">
        <w:rPr>
          <w:iCs/>
        </w:rPr>
        <w:t>12</w:t>
      </w:r>
      <w:r w:rsidRPr="000526BE">
        <w:rPr>
          <w:iCs/>
        </w:rPr>
        <w:t xml:space="preserve">). While OS data were immature, </w:t>
      </w:r>
      <w:r w:rsidR="00DA522C" w:rsidRPr="000526BE">
        <w:rPr>
          <w:iCs/>
        </w:rPr>
        <w:t xml:space="preserve">the ESC considered that, </w:t>
      </w:r>
      <w:r w:rsidRPr="000526BE">
        <w:rPr>
          <w:iCs/>
        </w:rPr>
        <w:t>on balance</w:t>
      </w:r>
      <w:r w:rsidR="00DA522C" w:rsidRPr="000526BE">
        <w:rPr>
          <w:iCs/>
        </w:rPr>
        <w:t>,</w:t>
      </w:r>
      <w:r w:rsidRPr="000526BE">
        <w:rPr>
          <w:iCs/>
        </w:rPr>
        <w:t xml:space="preserve"> the data support a difference in favour of T</w:t>
      </w:r>
      <w:r w:rsidR="00221F63" w:rsidRPr="000526BE">
        <w:rPr>
          <w:iCs/>
        </w:rPr>
        <w:t>-</w:t>
      </w:r>
      <w:r w:rsidRPr="000526BE">
        <w:rPr>
          <w:iCs/>
        </w:rPr>
        <w:t>DM1.</w:t>
      </w:r>
      <w:r w:rsidRPr="000526BE">
        <w:t xml:space="preserve"> </w:t>
      </w:r>
      <w:r w:rsidR="00704B64" w:rsidRPr="000526BE">
        <w:t xml:space="preserve">The ESC agreed with the commentary that the clinical claim was supported with respect to iDFS and considered that a gain in OS is plausible but </w:t>
      </w:r>
      <w:r w:rsidR="00E72425" w:rsidRPr="000526BE">
        <w:t xml:space="preserve">is </w:t>
      </w:r>
      <w:r w:rsidR="00704B64" w:rsidRPr="000526BE">
        <w:t>of uncertain magnitude</w:t>
      </w:r>
      <w:r w:rsidR="000D5454" w:rsidRPr="000526BE">
        <w:t xml:space="preserve"> due to the immaturity of the data</w:t>
      </w:r>
      <w:r w:rsidR="00704B64" w:rsidRPr="000526BE">
        <w:t>.</w:t>
      </w:r>
      <w:r w:rsidRPr="000526BE">
        <w:t xml:space="preserve"> </w:t>
      </w:r>
    </w:p>
    <w:p w:rsidR="00B61A0B" w:rsidRPr="000526BE" w:rsidRDefault="00B61A0B" w:rsidP="00A2058D">
      <w:pPr>
        <w:pStyle w:val="ListParagraph"/>
        <w:widowControl/>
        <w:numPr>
          <w:ilvl w:val="1"/>
          <w:numId w:val="2"/>
        </w:numPr>
        <w:rPr>
          <w:iCs/>
        </w:rPr>
      </w:pPr>
      <w:r w:rsidRPr="000526BE">
        <w:t xml:space="preserve">The safety profile of T-DM1 in KATHERINE was consistent with prior experience with T-DM1 in mBC. The submission acknowledged the inferiority of T-DM1 relative to trastuzumab in terms of the higher incidence of Grade 3 or 4 TEAEs, TEAEs leading to discontinuation and TEAEs leading to dose reduction as would be expected, given its targeted cytotoxic component (DM1). The submission stated that adverse events were manageable with minimal impact on HRQoL. </w:t>
      </w:r>
      <w:r w:rsidRPr="000526BE">
        <w:rPr>
          <w:iCs/>
        </w:rPr>
        <w:t>It was appropriate to claim inferior safety</w:t>
      </w:r>
      <w:r w:rsidR="00AC7A80" w:rsidRPr="000526BE">
        <w:rPr>
          <w:iCs/>
        </w:rPr>
        <w:t>,</w:t>
      </w:r>
      <w:r w:rsidRPr="000526BE">
        <w:rPr>
          <w:iCs/>
        </w:rPr>
        <w:t xml:space="preserve"> however, </w:t>
      </w:r>
      <w:r w:rsidR="00162C52" w:rsidRPr="000526BE">
        <w:rPr>
          <w:iCs/>
        </w:rPr>
        <w:t>the ESC considered the claim of minimal</w:t>
      </w:r>
      <w:r w:rsidRPr="000526BE">
        <w:rPr>
          <w:iCs/>
        </w:rPr>
        <w:t xml:space="preserve"> impact on HRQoL </w:t>
      </w:r>
      <w:r w:rsidR="00162C52" w:rsidRPr="000526BE">
        <w:rPr>
          <w:iCs/>
        </w:rPr>
        <w:t>was not demonstrated in the submission</w:t>
      </w:r>
      <w:r w:rsidRPr="000526BE">
        <w:rPr>
          <w:iCs/>
        </w:rPr>
        <w:t xml:space="preserve">. Such a claim would have required an assessment of HRQoL according to the occurrence of AEs; this was not provided by the submission. </w:t>
      </w:r>
      <w:r w:rsidR="00162C52" w:rsidRPr="000526BE">
        <w:rPr>
          <w:iCs/>
        </w:rPr>
        <w:t xml:space="preserve">The ESC noted that over the course of treatment, patients in the T-DM1 group had clinically meaningful deterioration in some domains of HRQoL questionnaires (see paragraph </w:t>
      </w:r>
      <w:r w:rsidR="00162C52" w:rsidRPr="001E7F2B">
        <w:rPr>
          <w:iCs/>
        </w:rPr>
        <w:t>6.1</w:t>
      </w:r>
      <w:r w:rsidR="00231DA9" w:rsidRPr="001E7F2B">
        <w:rPr>
          <w:iCs/>
        </w:rPr>
        <w:t>6</w:t>
      </w:r>
      <w:r w:rsidR="00162C52" w:rsidRPr="001E7F2B">
        <w:rPr>
          <w:iCs/>
        </w:rPr>
        <w:t>). The</w:t>
      </w:r>
      <w:r w:rsidR="00162C52" w:rsidRPr="000526BE">
        <w:rPr>
          <w:iCs/>
        </w:rPr>
        <w:t xml:space="preserve"> PSCR noted that </w:t>
      </w:r>
      <w:r w:rsidR="00167EEE" w:rsidRPr="000526BE">
        <w:rPr>
          <w:iCs/>
        </w:rPr>
        <w:t>there were no differences between treatment arms in the overall HRQoL scores over the course of treatment.</w:t>
      </w:r>
      <w:r w:rsidR="00DA522C" w:rsidRPr="000526BE">
        <w:rPr>
          <w:iCs/>
        </w:rPr>
        <w:t xml:space="preserve"> </w:t>
      </w:r>
    </w:p>
    <w:p w:rsidR="00147D65" w:rsidRPr="000526BE" w:rsidRDefault="00147D65" w:rsidP="0085313D">
      <w:pPr>
        <w:pStyle w:val="ListParagraph"/>
        <w:widowControl/>
        <w:numPr>
          <w:ilvl w:val="1"/>
          <w:numId w:val="2"/>
        </w:numPr>
        <w:rPr>
          <w:iCs/>
        </w:rPr>
      </w:pPr>
      <w:r w:rsidRPr="000526BE">
        <w:rPr>
          <w:iCs/>
        </w:rPr>
        <w:t xml:space="preserve">The PBAC considered that the claim of superior comparative effectiveness in terms of iDFS was reasonable and adequately supported by the data. </w:t>
      </w:r>
      <w:r w:rsidR="00683D3B">
        <w:rPr>
          <w:iCs/>
        </w:rPr>
        <w:t>T</w:t>
      </w:r>
      <w:r w:rsidRPr="000526BE">
        <w:rPr>
          <w:iCs/>
        </w:rPr>
        <w:t xml:space="preserve">he PBAC </w:t>
      </w:r>
      <w:r w:rsidR="00683D3B">
        <w:rPr>
          <w:iCs/>
        </w:rPr>
        <w:t xml:space="preserve">also </w:t>
      </w:r>
      <w:r w:rsidR="00B03B02" w:rsidRPr="000526BE">
        <w:rPr>
          <w:iCs/>
        </w:rPr>
        <w:t>considered</w:t>
      </w:r>
      <w:r w:rsidRPr="000526BE">
        <w:rPr>
          <w:iCs/>
        </w:rPr>
        <w:t xml:space="preserve"> that </w:t>
      </w:r>
      <w:r w:rsidR="0085313D" w:rsidRPr="000526BE">
        <w:rPr>
          <w:iCs/>
        </w:rPr>
        <w:t>a gain in OS is plausible based on the KATHERINE trial but is of uncertain magnitude due to the immaturity of the data</w:t>
      </w:r>
      <w:r w:rsidRPr="000526BE">
        <w:rPr>
          <w:iCs/>
        </w:rPr>
        <w:t xml:space="preserve">. </w:t>
      </w:r>
    </w:p>
    <w:p w:rsidR="00147D65" w:rsidRPr="000526BE" w:rsidRDefault="00147D65" w:rsidP="00347ACE">
      <w:pPr>
        <w:pStyle w:val="ListParagraph"/>
        <w:widowControl/>
        <w:numPr>
          <w:ilvl w:val="1"/>
          <w:numId w:val="2"/>
        </w:numPr>
        <w:rPr>
          <w:iCs/>
        </w:rPr>
      </w:pPr>
      <w:r w:rsidRPr="000526BE">
        <w:rPr>
          <w:iCs/>
        </w:rPr>
        <w:t xml:space="preserve">The PBAC considered that the claim of inferior comparative safety was reasonable. The PBAC noted that the </w:t>
      </w:r>
      <w:r w:rsidR="002A62A3" w:rsidRPr="000526BE">
        <w:rPr>
          <w:iCs/>
        </w:rPr>
        <w:t>safety profile for</w:t>
      </w:r>
      <w:r w:rsidRPr="000526BE">
        <w:rPr>
          <w:iCs/>
        </w:rPr>
        <w:t xml:space="preserve"> T-DM1 is well documented as it has been used in the metastatic breast cancer treatment and considered it to be manageable.</w:t>
      </w:r>
      <w:r w:rsidR="00DA522C" w:rsidRPr="000526BE">
        <w:rPr>
          <w:iCs/>
        </w:rPr>
        <w:t xml:space="preserve"> The PBAC considered that the claim of minimal impact of HRQoL was not supported by the evidence</w:t>
      </w:r>
      <w:r w:rsidR="00AE6914" w:rsidRPr="000526BE">
        <w:rPr>
          <w:iCs/>
        </w:rPr>
        <w:t>, g</w:t>
      </w:r>
      <w:r w:rsidR="00AE6914" w:rsidRPr="000526BE">
        <w:t>iven the higher rates of adverse events in the T-DM1 arm</w:t>
      </w:r>
      <w:r w:rsidR="00AE6914" w:rsidRPr="000526BE">
        <w:rPr>
          <w:iCs/>
        </w:rPr>
        <w:t xml:space="preserve">. </w:t>
      </w:r>
      <w:r w:rsidR="00F52BE7" w:rsidRPr="000526BE">
        <w:rPr>
          <w:iCs/>
        </w:rPr>
        <w:t>Further, t</w:t>
      </w:r>
      <w:r w:rsidR="00AE6914" w:rsidRPr="000526BE">
        <w:rPr>
          <w:iCs/>
        </w:rPr>
        <w:t xml:space="preserve">he PBAC considered that the </w:t>
      </w:r>
      <w:r w:rsidR="00F52BE7" w:rsidRPr="000526BE">
        <w:rPr>
          <w:iCs/>
        </w:rPr>
        <w:t xml:space="preserve">use of </w:t>
      </w:r>
      <w:r w:rsidR="00AE6914" w:rsidRPr="000526BE">
        <w:t xml:space="preserve">EQ-5D-3L to capture quality of life is unlikely to be sufficiently sensitive. </w:t>
      </w:r>
    </w:p>
    <w:p w:rsidR="00B61A0B" w:rsidRPr="000526BE" w:rsidRDefault="00B61A0B" w:rsidP="00BF1459">
      <w:pPr>
        <w:pStyle w:val="Heading2"/>
        <w:spacing w:after="120"/>
      </w:pPr>
      <w:bookmarkStart w:id="13" w:name="_Toc19626598"/>
      <w:r w:rsidRPr="000526BE">
        <w:t>Economic analysis</w:t>
      </w:r>
      <w:bookmarkEnd w:id="13"/>
      <w:r w:rsidRPr="000526BE">
        <w:t xml:space="preserve"> </w:t>
      </w:r>
    </w:p>
    <w:p w:rsidR="00B61A0B" w:rsidRPr="000526BE" w:rsidRDefault="00B61A0B" w:rsidP="00A2058D">
      <w:pPr>
        <w:pStyle w:val="ListParagraph"/>
        <w:widowControl/>
        <w:numPr>
          <w:ilvl w:val="1"/>
          <w:numId w:val="2"/>
        </w:numPr>
      </w:pPr>
      <w:r w:rsidRPr="000526BE">
        <w:rPr>
          <w:rFonts w:cs="Calibri"/>
          <w:snapToGrid/>
          <w:szCs w:val="24"/>
          <w:lang w:eastAsia="en-AU"/>
        </w:rPr>
        <w:t>The submission presented a stepped economic evaluation based on KATHERINE and implemented a modelled cost-effectiveness analysis (CEA) and cost-utility analysis (CUA) for T-DM1 vs. trastuzumab. Health benefits were reported as life years gained (LYGs) and quality adjusted life years (QALYs) gained, respectively. The latest iDFS data were used for the economic analysis (cut-off 25</w:t>
      </w:r>
      <w:r w:rsidRPr="000526BE">
        <w:rPr>
          <w:rFonts w:cs="Calibri"/>
          <w:snapToGrid/>
          <w:szCs w:val="24"/>
          <w:vertAlign w:val="superscript"/>
          <w:lang w:eastAsia="en-AU"/>
        </w:rPr>
        <w:t>th</w:t>
      </w:r>
      <w:r w:rsidRPr="000526BE">
        <w:rPr>
          <w:rFonts w:cs="Calibri"/>
          <w:snapToGrid/>
          <w:szCs w:val="24"/>
          <w:lang w:eastAsia="en-AU"/>
        </w:rPr>
        <w:t xml:space="preserve"> July 2018). The key components of the economic evaluation comparing T-DM1 with trastuzum</w:t>
      </w:r>
      <w:r w:rsidR="001A48D9">
        <w:rPr>
          <w:rFonts w:cs="Calibri"/>
          <w:snapToGrid/>
          <w:szCs w:val="24"/>
          <w:lang w:eastAsia="en-AU"/>
        </w:rPr>
        <w:t>ab are summarised in Table 10</w:t>
      </w:r>
      <w:r w:rsidR="00081F44" w:rsidRPr="000526BE">
        <w:rPr>
          <w:rFonts w:cs="Calibri"/>
          <w:snapToGrid/>
          <w:szCs w:val="24"/>
          <w:lang w:eastAsia="en-AU"/>
        </w:rPr>
        <w:t>.</w:t>
      </w:r>
    </w:p>
    <w:p w:rsidR="00B61A0B" w:rsidRPr="000526BE" w:rsidRDefault="00B61A0B" w:rsidP="00EF283B">
      <w:pPr>
        <w:pStyle w:val="TableHeading0"/>
        <w:rPr>
          <w:rStyle w:val="CommentReference"/>
          <w:b/>
          <w:bCs w:val="0"/>
        </w:rPr>
      </w:pPr>
      <w:r w:rsidRPr="000526BE">
        <w:rPr>
          <w:rStyle w:val="CommentReference"/>
          <w:b/>
          <w:bCs w:val="0"/>
        </w:rPr>
        <w:t xml:space="preserve">Table </w:t>
      </w:r>
      <w:r w:rsidR="001A48D9">
        <w:rPr>
          <w:rStyle w:val="CommentReference"/>
          <w:b/>
          <w:bCs w:val="0"/>
        </w:rPr>
        <w:t>10</w:t>
      </w:r>
      <w:r w:rsidRPr="000526BE">
        <w:rPr>
          <w:rStyle w:val="CommentReference"/>
          <w:b/>
          <w:bCs w:val="0"/>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B61A0B" w:rsidRPr="000526BE" w:rsidTr="007A7D2F">
        <w:trPr>
          <w:tblHeader/>
        </w:trPr>
        <w:tc>
          <w:tcPr>
            <w:tcW w:w="1396" w:type="pct"/>
            <w:shd w:val="clear" w:color="auto" w:fill="auto"/>
            <w:vAlign w:val="center"/>
          </w:tcPr>
          <w:p w:rsidR="00B61A0B" w:rsidRPr="000526BE" w:rsidRDefault="00B61A0B" w:rsidP="00EF283B">
            <w:pPr>
              <w:pStyle w:val="Tabletext"/>
              <w:keepNext/>
              <w:rPr>
                <w:b/>
              </w:rPr>
            </w:pPr>
            <w:r w:rsidRPr="000526BE">
              <w:rPr>
                <w:b/>
              </w:rPr>
              <w:t>Component</w:t>
            </w:r>
          </w:p>
        </w:tc>
        <w:tc>
          <w:tcPr>
            <w:tcW w:w="3604" w:type="pct"/>
            <w:shd w:val="clear" w:color="auto" w:fill="auto"/>
            <w:vAlign w:val="center"/>
          </w:tcPr>
          <w:p w:rsidR="00B61A0B" w:rsidRPr="000526BE" w:rsidRDefault="00B61A0B" w:rsidP="00EF283B">
            <w:pPr>
              <w:pStyle w:val="Tabletext"/>
              <w:keepNext/>
              <w:jc w:val="center"/>
              <w:rPr>
                <w:b/>
              </w:rPr>
            </w:pPr>
            <w:r w:rsidRPr="000526BE">
              <w:rPr>
                <w:b/>
              </w:rPr>
              <w:t>Summary</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Time horizon</w:t>
            </w:r>
          </w:p>
        </w:tc>
        <w:tc>
          <w:tcPr>
            <w:tcW w:w="3604" w:type="pct"/>
            <w:shd w:val="clear" w:color="auto" w:fill="auto"/>
            <w:vAlign w:val="center"/>
          </w:tcPr>
          <w:p w:rsidR="00B61A0B" w:rsidRPr="000526BE" w:rsidRDefault="00B61A0B" w:rsidP="00EF283B">
            <w:pPr>
              <w:pStyle w:val="Tabletext"/>
              <w:keepNext/>
            </w:pPr>
            <w:r w:rsidRPr="000526BE">
              <w:t>40 years in the model base case versus 62.6 months in trial.</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Outcomes</w:t>
            </w:r>
          </w:p>
        </w:tc>
        <w:tc>
          <w:tcPr>
            <w:tcW w:w="3604" w:type="pct"/>
            <w:shd w:val="clear" w:color="auto" w:fill="auto"/>
            <w:vAlign w:val="center"/>
          </w:tcPr>
          <w:p w:rsidR="00B61A0B" w:rsidRPr="000526BE" w:rsidRDefault="00B61A0B" w:rsidP="00EF283B">
            <w:pPr>
              <w:pStyle w:val="Tabletext"/>
              <w:keepNext/>
            </w:pPr>
            <w:r w:rsidRPr="000526BE">
              <w:t>LYG, QALY</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Methods used to generate results</w:t>
            </w:r>
          </w:p>
        </w:tc>
        <w:tc>
          <w:tcPr>
            <w:tcW w:w="3604" w:type="pct"/>
            <w:shd w:val="clear" w:color="auto" w:fill="auto"/>
            <w:vAlign w:val="center"/>
          </w:tcPr>
          <w:p w:rsidR="00B61A0B" w:rsidRPr="000526BE" w:rsidRDefault="00B61A0B" w:rsidP="00EF283B">
            <w:pPr>
              <w:pStyle w:val="Tabletext"/>
              <w:keepNext/>
            </w:pPr>
            <w:r w:rsidRPr="000526BE">
              <w:t>Markov model, extrapolated from median point of follow-up from KATHERINE (41.2 months) using the exponential parametric function</w:t>
            </w:r>
            <w:r w:rsidR="008C03B0" w:rsidRPr="000526BE">
              <w:t xml:space="preserve"> applied to the iDFS data</w:t>
            </w:r>
            <w:r w:rsidRPr="000526BE">
              <w:t>.</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Health states</w:t>
            </w:r>
          </w:p>
        </w:tc>
        <w:tc>
          <w:tcPr>
            <w:tcW w:w="3604" w:type="pct"/>
            <w:shd w:val="clear" w:color="auto" w:fill="auto"/>
            <w:vAlign w:val="center"/>
          </w:tcPr>
          <w:p w:rsidR="00B61A0B" w:rsidRPr="000526BE" w:rsidRDefault="00B61A0B" w:rsidP="00EF283B">
            <w:pPr>
              <w:pStyle w:val="Tabletext"/>
              <w:keepNext/>
            </w:pPr>
            <w:r w:rsidRPr="000526BE">
              <w:t xml:space="preserve">Six health states: iDFS, locoregional recurrence, remission, distant recurrence (1st line mBC, 2nd line mBC), death.  </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Cycle length</w:t>
            </w:r>
          </w:p>
        </w:tc>
        <w:tc>
          <w:tcPr>
            <w:tcW w:w="3604" w:type="pct"/>
            <w:shd w:val="clear" w:color="auto" w:fill="auto"/>
            <w:vAlign w:val="center"/>
          </w:tcPr>
          <w:p w:rsidR="00B61A0B" w:rsidRPr="000526BE" w:rsidRDefault="00B61A0B" w:rsidP="00EF283B">
            <w:pPr>
              <w:pStyle w:val="Tabletext"/>
              <w:keepNext/>
            </w:pPr>
            <w:r w:rsidRPr="000526BE">
              <w:t>1 week</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Transition probabilities</w:t>
            </w:r>
          </w:p>
        </w:tc>
        <w:tc>
          <w:tcPr>
            <w:tcW w:w="3604" w:type="pct"/>
            <w:shd w:val="clear" w:color="auto" w:fill="auto"/>
            <w:vAlign w:val="center"/>
          </w:tcPr>
          <w:p w:rsidR="00B61A0B" w:rsidRPr="000526BE" w:rsidRDefault="00B61A0B" w:rsidP="00EF283B">
            <w:pPr>
              <w:pStyle w:val="Tabletext"/>
              <w:keepNext/>
            </w:pPr>
            <w:r w:rsidRPr="000526BE">
              <w:t>iDFS, locoregional recurrence, remission and death in the eBC setting sourced from KATHERINE. Progression and OS in the mBC setting sourced from CLEOPATRA and EMILIA. Distant recurrence from remission was based on a study reported by Hamilton (2015). Death also from ABS Life Tables.</w:t>
            </w:r>
          </w:p>
        </w:tc>
      </w:tr>
      <w:tr w:rsidR="00B61A0B" w:rsidRPr="000526BE" w:rsidTr="007A7D2F">
        <w:tc>
          <w:tcPr>
            <w:tcW w:w="1396" w:type="pct"/>
            <w:shd w:val="clear" w:color="auto" w:fill="auto"/>
            <w:vAlign w:val="center"/>
          </w:tcPr>
          <w:p w:rsidR="00B61A0B" w:rsidRPr="000526BE" w:rsidRDefault="00B61A0B" w:rsidP="00EF283B">
            <w:pPr>
              <w:pStyle w:val="Tabletext"/>
              <w:keepNext/>
            </w:pPr>
            <w:r w:rsidRPr="000526BE">
              <w:t>Utilities</w:t>
            </w:r>
          </w:p>
        </w:tc>
        <w:tc>
          <w:tcPr>
            <w:tcW w:w="3604" w:type="pct"/>
            <w:shd w:val="clear" w:color="auto" w:fill="auto"/>
            <w:vAlign w:val="center"/>
          </w:tcPr>
          <w:p w:rsidR="00B61A0B" w:rsidRPr="000526BE" w:rsidRDefault="00B61A0B" w:rsidP="00EF283B">
            <w:pPr>
              <w:pStyle w:val="Tabletext"/>
              <w:keepNext/>
            </w:pPr>
            <w:r w:rsidRPr="000526BE">
              <w:t>Derived from KATHERINE and literature (mBC from Lloyd 2006).</w:t>
            </w:r>
          </w:p>
        </w:tc>
      </w:tr>
    </w:tbl>
    <w:p w:rsidR="00B61A0B" w:rsidRPr="000526BE" w:rsidRDefault="00B61A0B" w:rsidP="00B61A0B">
      <w:pPr>
        <w:pStyle w:val="TableFooter"/>
      </w:pPr>
      <w:r w:rsidRPr="000526BE">
        <w:t xml:space="preserve">Abbreviations: ABS= Australian Bureau of Statistics; eBC= early breast cancer; iDFS= </w:t>
      </w:r>
      <w:r w:rsidR="00423FC6" w:rsidRPr="000526BE">
        <w:t>invasive disease-free</w:t>
      </w:r>
      <w:r w:rsidRPr="000526BE">
        <w:t xml:space="preserve"> survival; LYG= life year gained; mBC= metastatic breast cancer; OS= overall survival; QALY=quality adjusted life year.</w:t>
      </w:r>
    </w:p>
    <w:p w:rsidR="00B61A0B" w:rsidRPr="000526BE" w:rsidRDefault="00B61A0B" w:rsidP="00B61A0B">
      <w:pPr>
        <w:pStyle w:val="TableFooter"/>
      </w:pPr>
      <w:r w:rsidRPr="000526BE">
        <w:t xml:space="preserve">Source: Table 3.2, Table 3.9, p. 75-94 of the submission and Section 3.8.3, p. 104 of the submission. </w:t>
      </w:r>
    </w:p>
    <w:p w:rsidR="00B61A0B" w:rsidRPr="000526BE" w:rsidRDefault="00B61A0B" w:rsidP="00B61A0B">
      <w:pPr>
        <w:pStyle w:val="TableFooter"/>
      </w:pPr>
    </w:p>
    <w:p w:rsidR="00B61A0B" w:rsidRPr="000526BE" w:rsidRDefault="00B61A0B" w:rsidP="00A2058D">
      <w:pPr>
        <w:pStyle w:val="ListParagraph"/>
        <w:widowControl/>
        <w:numPr>
          <w:ilvl w:val="1"/>
          <w:numId w:val="2"/>
        </w:numPr>
      </w:pPr>
      <w:r w:rsidRPr="000526BE">
        <w:t xml:space="preserve">The submission subdivided both mBC health states into early and late recurrence to more accurately model the disease course of mBC. </w:t>
      </w:r>
      <w:r w:rsidRPr="000526BE">
        <w:rPr>
          <w:iCs/>
        </w:rPr>
        <w:t>This was appropriate.</w:t>
      </w:r>
      <w:r w:rsidRPr="000526BE">
        <w:t xml:space="preserve"> </w:t>
      </w:r>
    </w:p>
    <w:p w:rsidR="00B61A0B" w:rsidRPr="000526BE" w:rsidRDefault="00B61A0B" w:rsidP="00A2058D">
      <w:pPr>
        <w:pStyle w:val="ListParagraph"/>
        <w:widowControl/>
        <w:numPr>
          <w:ilvl w:val="1"/>
          <w:numId w:val="2"/>
        </w:numPr>
      </w:pPr>
      <w:r w:rsidRPr="000526BE">
        <w:t xml:space="preserve">The submission applied utilities for the mBC health states based on the utility algorithm published by Lloyd (2006). The submission justified its use of the algorithm on the basis that it was used for the 2014 trastuzumab/pertuzumab/T-DM1 mBC PBAC resubmission. </w:t>
      </w:r>
      <w:r w:rsidRPr="000526BE">
        <w:rPr>
          <w:iCs/>
        </w:rPr>
        <w:t>However</w:t>
      </w:r>
      <w:r w:rsidR="00BF5C9E" w:rsidRPr="000526BE">
        <w:rPr>
          <w:iCs/>
        </w:rPr>
        <w:t>,</w:t>
      </w:r>
      <w:r w:rsidRPr="000526BE">
        <w:rPr>
          <w:iCs/>
        </w:rPr>
        <w:t xml:space="preserve"> the submission did not provide its assumptions for the inputs used for the utility algorithm and the resulting values were lower than those used in the 2014 resubmission, most likely due to a different patient population. Utility values were an important driver of the ICER.</w:t>
      </w:r>
      <w:r w:rsidR="000D5454" w:rsidRPr="000526BE">
        <w:rPr>
          <w:iCs/>
        </w:rPr>
        <w:t xml:space="preserve"> </w:t>
      </w:r>
      <w:r w:rsidR="000D5454" w:rsidRPr="000526BE">
        <w:t xml:space="preserve">The ESC considered that the use of the EQ-5D-3L </w:t>
      </w:r>
      <w:r w:rsidR="001B5278" w:rsidRPr="000526BE">
        <w:t xml:space="preserve">data from the trial </w:t>
      </w:r>
      <w:r w:rsidR="000D5454" w:rsidRPr="000526BE">
        <w:t xml:space="preserve">to capture quality of life </w:t>
      </w:r>
      <w:r w:rsidR="001B5278" w:rsidRPr="000526BE">
        <w:t xml:space="preserve">for </w:t>
      </w:r>
      <w:r w:rsidR="00831A91" w:rsidRPr="000526BE">
        <w:t xml:space="preserve">the </w:t>
      </w:r>
      <w:r w:rsidR="001B5278" w:rsidRPr="000526BE">
        <w:t xml:space="preserve">iDFS (on and off treatment), locoregional recurrence and remission </w:t>
      </w:r>
      <w:r w:rsidR="00831A91" w:rsidRPr="000526BE">
        <w:t xml:space="preserve">health states </w:t>
      </w:r>
      <w:r w:rsidR="000D5454" w:rsidRPr="000526BE">
        <w:t xml:space="preserve">may not be appropriate as </w:t>
      </w:r>
      <w:r w:rsidR="00831A91" w:rsidRPr="000526BE">
        <w:t>th</w:t>
      </w:r>
      <w:r w:rsidR="000D5454" w:rsidRPr="000526BE">
        <w:t>is</w:t>
      </w:r>
      <w:r w:rsidR="00831A91" w:rsidRPr="000526BE">
        <w:t xml:space="preserve"> instrument is</w:t>
      </w:r>
      <w:r w:rsidR="000D5454" w:rsidRPr="000526BE">
        <w:t xml:space="preserve"> unlikely to be sufficiently sensitive. </w:t>
      </w:r>
      <w:r w:rsidR="00774842" w:rsidRPr="000526BE">
        <w:t>Further</w:t>
      </w:r>
      <w:r w:rsidR="004E59F6" w:rsidRPr="000526BE">
        <w:t xml:space="preserve">, the ESC noted that pooled utilities from both KATHERINE arms were applied to these health states. </w:t>
      </w:r>
      <w:r w:rsidR="001B5278" w:rsidRPr="000526BE">
        <w:t xml:space="preserve">The use of pooled data was not reasonable as T-DM1 patients had a wider range of HRQoL losses while on treatment, though the impact is likely to be small as mean scores across the arms were similar. </w:t>
      </w:r>
      <w:r w:rsidR="000D5454" w:rsidRPr="000526BE">
        <w:t>Given the higher rates of adverse events in the T-DM1 arm, using a more sensitive instrument would be likely to increase the ICER.</w:t>
      </w:r>
    </w:p>
    <w:p w:rsidR="00B61A0B" w:rsidRPr="000526BE" w:rsidRDefault="00B61A0B" w:rsidP="00EF283B">
      <w:pPr>
        <w:pStyle w:val="ListParagraph"/>
        <w:widowControl/>
        <w:numPr>
          <w:ilvl w:val="1"/>
          <w:numId w:val="2"/>
        </w:numPr>
      </w:pPr>
      <w:r w:rsidRPr="000526BE">
        <w:t xml:space="preserve">A summary of the key drivers of the model is shown in Table </w:t>
      </w:r>
      <w:r w:rsidR="001A48D9">
        <w:t>11</w:t>
      </w:r>
      <w:r w:rsidRPr="000526BE">
        <w:t>.</w:t>
      </w:r>
    </w:p>
    <w:p w:rsidR="00EF283B" w:rsidRPr="00EF283B" w:rsidRDefault="00EF283B" w:rsidP="00EF283B">
      <w:pPr>
        <w:pStyle w:val="TableFooter"/>
        <w:keepNext/>
        <w:rPr>
          <w:b/>
          <w:sz w:val="20"/>
          <w:szCs w:val="20"/>
        </w:rPr>
      </w:pPr>
      <w:r w:rsidRPr="00EF283B">
        <w:rPr>
          <w:b/>
          <w:sz w:val="20"/>
          <w:szCs w:val="20"/>
        </w:rPr>
        <w:t>Table 11: Key drivers of the model</w:t>
      </w:r>
    </w:p>
    <w:tbl>
      <w:tblPr>
        <w:tblStyle w:val="TableGrid"/>
        <w:tblW w:w="0" w:type="auto"/>
        <w:tblLook w:val="04A0" w:firstRow="1" w:lastRow="0" w:firstColumn="1" w:lastColumn="0" w:noHBand="0" w:noVBand="1"/>
        <w:tblCaption w:val="Table 11: Key drivers of the model"/>
      </w:tblPr>
      <w:tblGrid>
        <w:gridCol w:w="1555"/>
        <w:gridCol w:w="4252"/>
        <w:gridCol w:w="3210"/>
      </w:tblGrid>
      <w:tr w:rsidR="00EF283B" w:rsidTr="00F34E34">
        <w:trPr>
          <w:tblHeader/>
        </w:trPr>
        <w:tc>
          <w:tcPr>
            <w:tcW w:w="1555" w:type="dxa"/>
            <w:tcMar>
              <w:left w:w="28" w:type="dxa"/>
              <w:right w:w="28" w:type="dxa"/>
            </w:tcMar>
            <w:vAlign w:val="center"/>
          </w:tcPr>
          <w:p w:rsidR="00EF283B" w:rsidRPr="00EF283B" w:rsidRDefault="00EF283B" w:rsidP="00EF283B">
            <w:pPr>
              <w:pStyle w:val="TableFooter"/>
              <w:keepNext/>
              <w:rPr>
                <w:sz w:val="20"/>
                <w:szCs w:val="20"/>
              </w:rPr>
            </w:pPr>
            <w:r w:rsidRPr="00EF283B">
              <w:rPr>
                <w:b/>
                <w:sz w:val="20"/>
                <w:szCs w:val="20"/>
              </w:rPr>
              <w:t>Description</w:t>
            </w:r>
          </w:p>
        </w:tc>
        <w:tc>
          <w:tcPr>
            <w:tcW w:w="4252" w:type="dxa"/>
            <w:tcMar>
              <w:left w:w="28" w:type="dxa"/>
              <w:right w:w="28" w:type="dxa"/>
            </w:tcMar>
            <w:vAlign w:val="center"/>
          </w:tcPr>
          <w:p w:rsidR="00EF283B" w:rsidRPr="00EF283B" w:rsidRDefault="00EF283B" w:rsidP="00EF283B">
            <w:pPr>
              <w:pStyle w:val="TableFooter"/>
              <w:keepNext/>
              <w:rPr>
                <w:sz w:val="20"/>
                <w:szCs w:val="20"/>
              </w:rPr>
            </w:pPr>
            <w:r w:rsidRPr="00EF283B">
              <w:rPr>
                <w:b/>
                <w:sz w:val="20"/>
                <w:szCs w:val="20"/>
              </w:rPr>
              <w:t>Method/Value</w:t>
            </w:r>
          </w:p>
        </w:tc>
        <w:tc>
          <w:tcPr>
            <w:tcW w:w="3210" w:type="dxa"/>
            <w:tcMar>
              <w:left w:w="28" w:type="dxa"/>
              <w:right w:w="28" w:type="dxa"/>
            </w:tcMar>
            <w:vAlign w:val="center"/>
          </w:tcPr>
          <w:p w:rsidR="00EF283B" w:rsidRPr="00EF283B" w:rsidRDefault="00EF283B" w:rsidP="00EF283B">
            <w:pPr>
              <w:pStyle w:val="Tabletext"/>
              <w:keepNext/>
              <w:keepLines/>
              <w:jc w:val="center"/>
              <w:rPr>
                <w:b/>
                <w:szCs w:val="20"/>
              </w:rPr>
            </w:pPr>
            <w:r w:rsidRPr="00EF283B">
              <w:rPr>
                <w:b/>
                <w:szCs w:val="20"/>
              </w:rPr>
              <w:t>Impact</w:t>
            </w:r>
          </w:p>
          <w:p w:rsidR="00EF283B" w:rsidRPr="00EF283B" w:rsidRDefault="00EF283B" w:rsidP="00EF283B">
            <w:pPr>
              <w:pStyle w:val="TableFooter"/>
              <w:keepNext/>
              <w:jc w:val="center"/>
              <w:rPr>
                <w:sz w:val="20"/>
                <w:szCs w:val="20"/>
              </w:rPr>
            </w:pPr>
            <w:r w:rsidRPr="00EF283B">
              <w:rPr>
                <w:b/>
                <w:sz w:val="20"/>
                <w:szCs w:val="20"/>
              </w:rPr>
              <w:t xml:space="preserve">Base ICER: </w:t>
            </w:r>
            <w:r w:rsidRPr="00EF283B">
              <w:rPr>
                <w:b/>
                <w:iCs/>
                <w:sz w:val="20"/>
                <w:szCs w:val="20"/>
              </w:rPr>
              <w:t>$</w:t>
            </w:r>
            <w:r w:rsidR="00756F83">
              <w:rPr>
                <w:b/>
                <w:iCs/>
                <w:noProof/>
                <w:color w:val="000000"/>
                <w:sz w:val="20"/>
                <w:szCs w:val="20"/>
                <w:highlight w:val="black"/>
              </w:rPr>
              <w:t>'''''''''''</w:t>
            </w:r>
          </w:p>
        </w:tc>
      </w:tr>
      <w:tr w:rsidR="00EF283B" w:rsidTr="00F34E34">
        <w:trPr>
          <w:tblHeader/>
        </w:trPr>
        <w:tc>
          <w:tcPr>
            <w:tcW w:w="1555" w:type="dxa"/>
            <w:tcMar>
              <w:left w:w="28" w:type="dxa"/>
              <w:right w:w="28" w:type="dxa"/>
            </w:tcMar>
            <w:vAlign w:val="center"/>
          </w:tcPr>
          <w:p w:rsidR="00EF283B" w:rsidRPr="00EF283B" w:rsidRDefault="00EF283B" w:rsidP="00EF283B">
            <w:pPr>
              <w:pStyle w:val="TableFooter"/>
              <w:keepNext/>
              <w:rPr>
                <w:sz w:val="20"/>
                <w:szCs w:val="20"/>
              </w:rPr>
            </w:pPr>
            <w:r w:rsidRPr="00EF283B">
              <w:rPr>
                <w:sz w:val="20"/>
                <w:szCs w:val="20"/>
              </w:rPr>
              <w:t>Time horizon</w:t>
            </w:r>
          </w:p>
        </w:tc>
        <w:tc>
          <w:tcPr>
            <w:tcW w:w="4252" w:type="dxa"/>
            <w:tcMar>
              <w:left w:w="28" w:type="dxa"/>
              <w:right w:w="28" w:type="dxa"/>
            </w:tcMar>
            <w:vAlign w:val="center"/>
          </w:tcPr>
          <w:p w:rsidR="00EF283B" w:rsidRPr="00EF283B" w:rsidRDefault="00EF283B" w:rsidP="00EF283B">
            <w:pPr>
              <w:pStyle w:val="TableFooter"/>
              <w:keepNext/>
              <w:jc w:val="left"/>
              <w:rPr>
                <w:sz w:val="20"/>
                <w:szCs w:val="20"/>
              </w:rPr>
            </w:pPr>
            <w:r w:rsidRPr="00EF283B">
              <w:rPr>
                <w:sz w:val="20"/>
                <w:szCs w:val="20"/>
              </w:rPr>
              <w:t xml:space="preserve">Model adopted a 40-year time horizon. </w:t>
            </w:r>
            <w:r w:rsidRPr="00EF283B">
              <w:rPr>
                <w:iCs/>
                <w:sz w:val="20"/>
                <w:szCs w:val="20"/>
              </w:rPr>
              <w:t xml:space="preserve">This is relatively long given the median age at diagnosis with HER2+ eBC for women in Australia is 58.5 years (IPSOS 2018). </w:t>
            </w:r>
          </w:p>
        </w:tc>
        <w:tc>
          <w:tcPr>
            <w:tcW w:w="3210" w:type="dxa"/>
            <w:tcMar>
              <w:left w:w="28" w:type="dxa"/>
              <w:right w:w="28" w:type="dxa"/>
            </w:tcMar>
            <w:vAlign w:val="center"/>
          </w:tcPr>
          <w:p w:rsidR="00EF283B" w:rsidRPr="00EF283B" w:rsidRDefault="00EF283B" w:rsidP="00EF283B">
            <w:pPr>
              <w:pStyle w:val="Tabletext"/>
              <w:keepNext/>
              <w:keepLines/>
              <w:jc w:val="center"/>
              <w:rPr>
                <w:iCs/>
                <w:szCs w:val="20"/>
              </w:rPr>
            </w:pPr>
            <w:r w:rsidRPr="00EF283B">
              <w:rPr>
                <w:iCs/>
                <w:szCs w:val="20"/>
              </w:rPr>
              <w:t>Moderate, favours T-DM1</w:t>
            </w:r>
          </w:p>
          <w:p w:rsidR="00EF283B" w:rsidRPr="00EF283B" w:rsidRDefault="00EF283B" w:rsidP="00EF283B">
            <w:pPr>
              <w:pStyle w:val="TableFooter"/>
              <w:keepNext/>
              <w:jc w:val="center"/>
              <w:rPr>
                <w:sz w:val="20"/>
                <w:szCs w:val="20"/>
              </w:rPr>
            </w:pPr>
            <w:r w:rsidRPr="00EF283B">
              <w:rPr>
                <w:iCs/>
                <w:sz w:val="20"/>
                <w:szCs w:val="20"/>
              </w:rPr>
              <w:t>ICER:  20 years $</w:t>
            </w:r>
            <w:r w:rsidR="00756F83">
              <w:rPr>
                <w:iCs/>
                <w:noProof/>
                <w:color w:val="000000"/>
                <w:sz w:val="20"/>
                <w:szCs w:val="20"/>
                <w:highlight w:val="black"/>
              </w:rPr>
              <w:t>''''''''''''''''''</w:t>
            </w:r>
            <w:r w:rsidRPr="00EF283B">
              <w:rPr>
                <w:iCs/>
                <w:sz w:val="20"/>
                <w:szCs w:val="20"/>
              </w:rPr>
              <w:t>.</w:t>
            </w:r>
          </w:p>
        </w:tc>
      </w:tr>
      <w:tr w:rsidR="00EF283B" w:rsidTr="00F34E34">
        <w:trPr>
          <w:tblHeader/>
        </w:trPr>
        <w:tc>
          <w:tcPr>
            <w:tcW w:w="1555" w:type="dxa"/>
            <w:tcMar>
              <w:left w:w="28" w:type="dxa"/>
              <w:right w:w="28" w:type="dxa"/>
            </w:tcMar>
            <w:vAlign w:val="center"/>
          </w:tcPr>
          <w:p w:rsidR="00EF283B" w:rsidRPr="00EF283B" w:rsidRDefault="00EF283B" w:rsidP="00EF283B">
            <w:pPr>
              <w:pStyle w:val="Tabletext"/>
              <w:keepNext/>
              <w:keepLines/>
              <w:rPr>
                <w:szCs w:val="20"/>
              </w:rPr>
            </w:pPr>
            <w:r w:rsidRPr="00EF283B">
              <w:rPr>
                <w:szCs w:val="20"/>
              </w:rPr>
              <w:t xml:space="preserve">Extrapolation – </w:t>
            </w:r>
          </w:p>
          <w:p w:rsidR="00EF283B" w:rsidRPr="00EF283B" w:rsidRDefault="00EF283B" w:rsidP="00EF283B">
            <w:pPr>
              <w:pStyle w:val="TableFooter"/>
              <w:keepNext/>
              <w:jc w:val="left"/>
              <w:rPr>
                <w:sz w:val="20"/>
                <w:szCs w:val="20"/>
              </w:rPr>
            </w:pPr>
            <w:r w:rsidRPr="00EF283B">
              <w:rPr>
                <w:sz w:val="20"/>
                <w:szCs w:val="20"/>
              </w:rPr>
              <w:t>Time limited treatment effect and sustained remission adjustment</w:t>
            </w:r>
          </w:p>
        </w:tc>
        <w:tc>
          <w:tcPr>
            <w:tcW w:w="4252" w:type="dxa"/>
            <w:tcMar>
              <w:left w:w="28" w:type="dxa"/>
              <w:right w:w="28" w:type="dxa"/>
            </w:tcMar>
            <w:vAlign w:val="center"/>
          </w:tcPr>
          <w:p w:rsidR="00EF283B" w:rsidRPr="00EF283B" w:rsidRDefault="00EF283B" w:rsidP="00EF283B">
            <w:pPr>
              <w:pStyle w:val="Tabletext"/>
              <w:keepNext/>
              <w:keepLines/>
              <w:rPr>
                <w:szCs w:val="20"/>
              </w:rPr>
            </w:pPr>
            <w:r w:rsidRPr="00EF283B">
              <w:rPr>
                <w:szCs w:val="20"/>
              </w:rPr>
              <w:t xml:space="preserve">The submission extrapolated the treatment effect to 7 years, with linear convergence to an iDFS HR of 1 (null treatment effect) over a three-year period (until year 10) based on the HERA and BCIRG-006 study evidence. </w:t>
            </w:r>
          </w:p>
          <w:p w:rsidR="00EF283B" w:rsidRPr="00EF283B" w:rsidRDefault="00EF283B" w:rsidP="00EF283B">
            <w:pPr>
              <w:pStyle w:val="Tabletext"/>
              <w:keepNext/>
              <w:keepLines/>
              <w:rPr>
                <w:szCs w:val="20"/>
              </w:rPr>
            </w:pPr>
          </w:p>
          <w:p w:rsidR="00EF283B" w:rsidRPr="00EF283B" w:rsidRDefault="00EF283B" w:rsidP="00EF283B">
            <w:pPr>
              <w:pStyle w:val="TableFooter"/>
              <w:keepNext/>
              <w:jc w:val="left"/>
              <w:rPr>
                <w:sz w:val="20"/>
                <w:szCs w:val="20"/>
              </w:rPr>
            </w:pPr>
            <w:r w:rsidRPr="00EF283B">
              <w:rPr>
                <w:sz w:val="20"/>
                <w:szCs w:val="20"/>
              </w:rPr>
              <w:t xml:space="preserve">This evidence was also used to support the sustained remission adjustment (where risk of recurrence started to decrease at 42 months). </w:t>
            </w:r>
          </w:p>
        </w:tc>
        <w:tc>
          <w:tcPr>
            <w:tcW w:w="3210" w:type="dxa"/>
            <w:tcMar>
              <w:left w:w="28" w:type="dxa"/>
              <w:right w:w="28" w:type="dxa"/>
            </w:tcMar>
            <w:vAlign w:val="center"/>
          </w:tcPr>
          <w:p w:rsidR="00EF283B" w:rsidRPr="00EF283B" w:rsidRDefault="00EF283B" w:rsidP="00EF283B">
            <w:pPr>
              <w:pStyle w:val="Tabletext"/>
              <w:keepNext/>
              <w:keepLines/>
              <w:jc w:val="center"/>
              <w:rPr>
                <w:iCs/>
                <w:szCs w:val="20"/>
              </w:rPr>
            </w:pPr>
            <w:r w:rsidRPr="00EF283B">
              <w:rPr>
                <w:iCs/>
                <w:szCs w:val="20"/>
              </w:rPr>
              <w:t>Moderate, favours T-DM1</w:t>
            </w:r>
          </w:p>
          <w:p w:rsidR="00EF283B" w:rsidRPr="00EF283B" w:rsidRDefault="00EF283B" w:rsidP="00EF283B">
            <w:pPr>
              <w:pStyle w:val="Tabletext"/>
              <w:keepNext/>
              <w:keepLines/>
              <w:jc w:val="center"/>
              <w:rPr>
                <w:iCs/>
                <w:szCs w:val="20"/>
              </w:rPr>
            </w:pPr>
            <w:r w:rsidRPr="00EF283B">
              <w:rPr>
                <w:iCs/>
                <w:szCs w:val="20"/>
              </w:rPr>
              <w:t>ICER: Treatment effect starts decreasing at 41.2 months (median point of follow-up): $</w:t>
            </w:r>
            <w:r w:rsidR="00756F83">
              <w:rPr>
                <w:iCs/>
                <w:noProof/>
                <w:color w:val="000000"/>
                <w:szCs w:val="20"/>
                <w:highlight w:val="black"/>
              </w:rPr>
              <w:t>'''''''''''''''</w:t>
            </w:r>
          </w:p>
          <w:p w:rsidR="00EF283B" w:rsidRPr="00EF283B" w:rsidRDefault="00EF283B" w:rsidP="00EF283B">
            <w:pPr>
              <w:pStyle w:val="Tabletext"/>
              <w:keepNext/>
              <w:keepLines/>
              <w:jc w:val="center"/>
              <w:rPr>
                <w:iCs/>
                <w:szCs w:val="20"/>
              </w:rPr>
            </w:pPr>
          </w:p>
          <w:p w:rsidR="00EF283B" w:rsidRPr="00EF283B" w:rsidRDefault="00EF283B" w:rsidP="00EF283B">
            <w:pPr>
              <w:pStyle w:val="Tabletext"/>
              <w:keepNext/>
              <w:keepLines/>
              <w:jc w:val="center"/>
              <w:rPr>
                <w:iCs/>
                <w:szCs w:val="20"/>
              </w:rPr>
            </w:pPr>
            <w:r w:rsidRPr="00EF283B">
              <w:rPr>
                <w:iCs/>
                <w:szCs w:val="20"/>
              </w:rPr>
              <w:t>High, favours T-DM1</w:t>
            </w:r>
          </w:p>
          <w:p w:rsidR="00EF283B" w:rsidRPr="00EF283B" w:rsidRDefault="00EF283B" w:rsidP="00EF283B">
            <w:pPr>
              <w:pStyle w:val="TableFooter"/>
              <w:keepNext/>
              <w:jc w:val="center"/>
              <w:rPr>
                <w:sz w:val="20"/>
                <w:szCs w:val="20"/>
              </w:rPr>
            </w:pPr>
            <w:r w:rsidRPr="00EF283B">
              <w:rPr>
                <w:iCs/>
                <w:sz w:val="20"/>
                <w:szCs w:val="20"/>
              </w:rPr>
              <w:t>ICER: No sustained remission adjustment $</w:t>
            </w:r>
            <w:r w:rsidR="00756F83">
              <w:rPr>
                <w:iCs/>
                <w:noProof/>
                <w:color w:val="000000"/>
                <w:sz w:val="20"/>
                <w:szCs w:val="20"/>
                <w:highlight w:val="black"/>
              </w:rPr>
              <w:t>'''''''''''''''</w:t>
            </w:r>
          </w:p>
        </w:tc>
      </w:tr>
      <w:tr w:rsidR="00EF283B" w:rsidTr="00F34E34">
        <w:trPr>
          <w:tblHeader/>
        </w:trPr>
        <w:tc>
          <w:tcPr>
            <w:tcW w:w="1555" w:type="dxa"/>
            <w:tcMar>
              <w:left w:w="28" w:type="dxa"/>
              <w:right w:w="28" w:type="dxa"/>
            </w:tcMar>
            <w:vAlign w:val="center"/>
          </w:tcPr>
          <w:p w:rsidR="00EF283B" w:rsidRPr="00EF283B" w:rsidRDefault="00EF283B" w:rsidP="00EF283B">
            <w:pPr>
              <w:pStyle w:val="TableFooter"/>
              <w:keepNext/>
              <w:rPr>
                <w:sz w:val="20"/>
                <w:szCs w:val="20"/>
              </w:rPr>
            </w:pPr>
            <w:r w:rsidRPr="00EF283B">
              <w:rPr>
                <w:sz w:val="20"/>
                <w:szCs w:val="20"/>
              </w:rPr>
              <w:t>Utilities</w:t>
            </w:r>
          </w:p>
        </w:tc>
        <w:tc>
          <w:tcPr>
            <w:tcW w:w="4252" w:type="dxa"/>
            <w:tcMar>
              <w:left w:w="28" w:type="dxa"/>
              <w:right w:w="28" w:type="dxa"/>
            </w:tcMar>
          </w:tcPr>
          <w:p w:rsidR="00EF283B" w:rsidRPr="00EF283B" w:rsidRDefault="00EF283B" w:rsidP="00EF283B">
            <w:pPr>
              <w:pStyle w:val="Tabletext"/>
              <w:keepNext/>
              <w:keepLines/>
              <w:rPr>
                <w:iCs/>
                <w:szCs w:val="20"/>
              </w:rPr>
            </w:pPr>
            <w:r w:rsidRPr="00EF283B">
              <w:rPr>
                <w:szCs w:val="20"/>
              </w:rPr>
              <w:t xml:space="preserve">The model adopted utilities from KATHERINE for eBC and Lloyd (2006) for mBC. </w:t>
            </w:r>
            <w:r w:rsidRPr="00EF283B">
              <w:rPr>
                <w:iCs/>
                <w:szCs w:val="20"/>
              </w:rPr>
              <w:t>The submission assumed the utility was the same for a patient in the iDFS and locoregional recurrence states.</w:t>
            </w:r>
          </w:p>
          <w:p w:rsidR="00EF283B" w:rsidRPr="00EF283B" w:rsidRDefault="00EF283B" w:rsidP="00EF283B">
            <w:pPr>
              <w:pStyle w:val="Tabletext"/>
              <w:keepNext/>
              <w:keepLines/>
              <w:rPr>
                <w:iCs/>
                <w:szCs w:val="20"/>
              </w:rPr>
            </w:pPr>
          </w:p>
          <w:p w:rsidR="00EF283B" w:rsidRPr="00EF283B" w:rsidRDefault="00EF283B" w:rsidP="00EF283B">
            <w:pPr>
              <w:pStyle w:val="TableFooter"/>
              <w:keepNext/>
              <w:jc w:val="left"/>
              <w:rPr>
                <w:sz w:val="20"/>
                <w:szCs w:val="20"/>
              </w:rPr>
            </w:pPr>
            <w:r w:rsidRPr="00EF283B">
              <w:rPr>
                <w:iCs/>
                <w:sz w:val="20"/>
                <w:szCs w:val="20"/>
              </w:rPr>
              <w:t>The mBC utilities used in the model are lower than those used in 2014 (from Lloyd, 2006), most likely due to a different patient population.</w:t>
            </w:r>
          </w:p>
        </w:tc>
        <w:tc>
          <w:tcPr>
            <w:tcW w:w="3210" w:type="dxa"/>
            <w:tcMar>
              <w:left w:w="28" w:type="dxa"/>
              <w:right w:w="28" w:type="dxa"/>
            </w:tcMar>
          </w:tcPr>
          <w:p w:rsidR="00EF283B" w:rsidRPr="00EF283B" w:rsidRDefault="00EF283B" w:rsidP="00EF283B">
            <w:pPr>
              <w:pStyle w:val="Tabletext"/>
              <w:keepNext/>
              <w:keepLines/>
              <w:jc w:val="center"/>
              <w:rPr>
                <w:iCs/>
                <w:szCs w:val="20"/>
              </w:rPr>
            </w:pPr>
            <w:r w:rsidRPr="00EF283B">
              <w:rPr>
                <w:iCs/>
                <w:szCs w:val="20"/>
              </w:rPr>
              <w:t>Moderate, favours T-DM1</w:t>
            </w:r>
          </w:p>
          <w:p w:rsidR="00EF283B" w:rsidRPr="00EF283B" w:rsidRDefault="00EF283B" w:rsidP="00EF283B">
            <w:pPr>
              <w:pStyle w:val="Tabletext"/>
              <w:keepNext/>
              <w:keepLines/>
              <w:jc w:val="center"/>
              <w:rPr>
                <w:iCs/>
                <w:szCs w:val="20"/>
              </w:rPr>
            </w:pPr>
            <w:r w:rsidRPr="00EF283B">
              <w:rPr>
                <w:iCs/>
                <w:szCs w:val="20"/>
              </w:rPr>
              <w:t>ICER: $</w:t>
            </w:r>
            <w:r w:rsidR="00756F83">
              <w:rPr>
                <w:iCs/>
                <w:noProof/>
                <w:color w:val="000000"/>
                <w:szCs w:val="20"/>
                <w:highlight w:val="black"/>
              </w:rPr>
              <w:t>''''''''''''''''''</w:t>
            </w:r>
            <w:r w:rsidRPr="00EF283B">
              <w:rPr>
                <w:iCs/>
                <w:szCs w:val="20"/>
              </w:rPr>
              <w:t xml:space="preserve"> (utilities from Hedden 2012)</w:t>
            </w:r>
          </w:p>
          <w:p w:rsidR="00EF283B" w:rsidRDefault="00EF283B" w:rsidP="00F34E34">
            <w:pPr>
              <w:pStyle w:val="Tabletext"/>
              <w:keepNext/>
              <w:keepLines/>
              <w:rPr>
                <w:iCs/>
                <w:szCs w:val="20"/>
              </w:rPr>
            </w:pPr>
          </w:p>
          <w:p w:rsidR="00EF283B" w:rsidRPr="00EF283B" w:rsidRDefault="00EF283B" w:rsidP="00F34E34">
            <w:pPr>
              <w:pStyle w:val="Tabletext"/>
              <w:keepNext/>
              <w:keepLines/>
              <w:spacing w:before="240"/>
              <w:jc w:val="center"/>
              <w:rPr>
                <w:iCs/>
                <w:szCs w:val="20"/>
              </w:rPr>
            </w:pPr>
            <w:r w:rsidRPr="00EF283B">
              <w:rPr>
                <w:iCs/>
                <w:szCs w:val="20"/>
              </w:rPr>
              <w:t>Low, favours trastuzumab</w:t>
            </w:r>
          </w:p>
          <w:p w:rsidR="00EF283B" w:rsidRPr="00EF283B" w:rsidRDefault="00EF283B" w:rsidP="00EF283B">
            <w:pPr>
              <w:pStyle w:val="Tabletext"/>
              <w:keepNext/>
              <w:keepLines/>
              <w:jc w:val="center"/>
              <w:rPr>
                <w:iCs/>
                <w:szCs w:val="20"/>
              </w:rPr>
            </w:pPr>
            <w:r w:rsidRPr="00EF283B">
              <w:rPr>
                <w:iCs/>
                <w:szCs w:val="20"/>
              </w:rPr>
              <w:t>ICER: $</w:t>
            </w:r>
            <w:r w:rsidR="00756F83">
              <w:rPr>
                <w:iCs/>
                <w:noProof/>
                <w:color w:val="000000"/>
                <w:szCs w:val="20"/>
                <w:highlight w:val="black"/>
              </w:rPr>
              <w:t xml:space="preserve">'''''''''''' </w:t>
            </w:r>
            <w:r w:rsidRPr="00EF283B">
              <w:rPr>
                <w:iCs/>
                <w:szCs w:val="20"/>
              </w:rPr>
              <w:t>(utilities from Rautalin 2017)</w:t>
            </w:r>
          </w:p>
          <w:p w:rsidR="00EF283B" w:rsidRPr="00EF283B" w:rsidRDefault="00EF283B" w:rsidP="00EF283B">
            <w:pPr>
              <w:pStyle w:val="TableFooter"/>
              <w:keepNext/>
              <w:jc w:val="center"/>
              <w:rPr>
                <w:sz w:val="20"/>
                <w:szCs w:val="20"/>
              </w:rPr>
            </w:pPr>
            <w:r w:rsidRPr="00EF283B">
              <w:rPr>
                <w:iCs/>
                <w:sz w:val="20"/>
                <w:szCs w:val="20"/>
              </w:rPr>
              <w:t>ICER: $</w:t>
            </w:r>
            <w:r w:rsidR="00756F83">
              <w:rPr>
                <w:iCs/>
                <w:noProof/>
                <w:color w:val="000000"/>
                <w:sz w:val="20"/>
                <w:szCs w:val="20"/>
                <w:highlight w:val="black"/>
              </w:rPr>
              <w:t>''''''''''''''</w:t>
            </w:r>
            <w:r w:rsidRPr="00EF283B">
              <w:rPr>
                <w:iCs/>
                <w:sz w:val="20"/>
                <w:szCs w:val="20"/>
              </w:rPr>
              <w:t xml:space="preserve"> (utilities from Lidgren 2007</w:t>
            </w:r>
          </w:p>
        </w:tc>
      </w:tr>
    </w:tbl>
    <w:p w:rsidR="00EF283B" w:rsidRPr="000526BE" w:rsidRDefault="00EF283B" w:rsidP="00EF283B">
      <w:pPr>
        <w:pStyle w:val="TableFooter"/>
      </w:pPr>
      <w:r w:rsidRPr="000526BE">
        <w:t>Abbreviations: HR= hazard ratio; ICER= incremental cost effectiveness ratio; T-DM1= trastuzumab emtansine</w:t>
      </w:r>
    </w:p>
    <w:p w:rsidR="00EF283B" w:rsidRDefault="00EF283B" w:rsidP="00EF283B">
      <w:pPr>
        <w:pStyle w:val="TableFooter"/>
        <w:spacing w:after="120"/>
      </w:pPr>
      <w:r w:rsidRPr="000526BE">
        <w:t>Source: Table 3.2, p75 and Section 3.4.3 p87-92 of the submission.</w:t>
      </w:r>
    </w:p>
    <w:p w:rsidR="00EF283B" w:rsidRPr="000526BE" w:rsidRDefault="00EF283B" w:rsidP="00EF283B"/>
    <w:p w:rsidR="00B429C4" w:rsidRPr="000526BE" w:rsidRDefault="00B429C4" w:rsidP="00EF283B">
      <w:pPr>
        <w:pStyle w:val="ListParagraph"/>
        <w:widowControl/>
        <w:numPr>
          <w:ilvl w:val="1"/>
          <w:numId w:val="2"/>
        </w:numPr>
      </w:pPr>
      <w:r w:rsidRPr="000526BE">
        <w:t>The ESC noted that the model was driven by OS (extrapolated from iDFS) however there was no statistically significant OS benefit demonstrated in the KATHERINE trial and, as the data are immature, the magnitude of OS benefit remains uncertain.</w:t>
      </w:r>
    </w:p>
    <w:p w:rsidR="00DE64E2" w:rsidRPr="000526BE" w:rsidRDefault="00B61A0B" w:rsidP="00EF283B">
      <w:pPr>
        <w:pStyle w:val="ListParagraph"/>
        <w:widowControl/>
        <w:numPr>
          <w:ilvl w:val="1"/>
          <w:numId w:val="2"/>
        </w:numPr>
      </w:pPr>
      <w:r w:rsidRPr="000526BE">
        <w:t xml:space="preserve">The submission directly applied iDFS from KATHERINE in order to determine incremental differences in OS, </w:t>
      </w:r>
      <w:r w:rsidR="00D64B6F" w:rsidRPr="000526BE">
        <w:t xml:space="preserve">and </w:t>
      </w:r>
      <w:r w:rsidRPr="000526BE">
        <w:t xml:space="preserve">hence used iDFS as a surrogate </w:t>
      </w:r>
      <w:r w:rsidR="00FD6CAA" w:rsidRPr="000526BE">
        <w:t xml:space="preserve">for OS </w:t>
      </w:r>
      <w:r w:rsidRPr="000526BE">
        <w:t xml:space="preserve">since OS data from KATHERINE were immature. </w:t>
      </w:r>
      <w:r w:rsidRPr="000526BE">
        <w:rPr>
          <w:iCs/>
        </w:rPr>
        <w:t>However, the submission</w:t>
      </w:r>
      <w:r w:rsidR="00CA16F8" w:rsidRPr="000526BE">
        <w:rPr>
          <w:iCs/>
        </w:rPr>
        <w:t xml:space="preserve"> and PSCR</w:t>
      </w:r>
      <w:r w:rsidRPr="000526BE">
        <w:rPr>
          <w:iCs/>
        </w:rPr>
        <w:t xml:space="preserve"> did not address the requirements for supporting the use of surrogate outcomes</w:t>
      </w:r>
      <w:r w:rsidRPr="000526BE">
        <w:t>. The submission claimed that the PBAC previously recognised DFS as a surrogate endpoint for OS in the 2006 trastuzumab eBC submission</w:t>
      </w:r>
      <w:r w:rsidRPr="000526BE">
        <w:rPr>
          <w:iCs/>
        </w:rPr>
        <w:t xml:space="preserve"> (implied in trastuzumab PSD, July 2006, p6). </w:t>
      </w:r>
      <w:r w:rsidR="00CA16F8" w:rsidRPr="000526BE">
        <w:t>W</w:t>
      </w:r>
      <w:r w:rsidR="00CA16F8" w:rsidRPr="000526BE">
        <w:rPr>
          <w:iCs/>
        </w:rPr>
        <w:t xml:space="preserve">hile DFS may have previously been accepted as a surrogate for OS in the context of the use of exemestane for the treatment of eBC, the ESC noted that the surrogate framework requests that evidence be presented to support the application of previously established surrogate relationships in the context of the proposed medicine. </w:t>
      </w:r>
    </w:p>
    <w:p w:rsidR="00B61A0B" w:rsidRPr="000526BE" w:rsidRDefault="00B61A0B" w:rsidP="00A2058D">
      <w:pPr>
        <w:pStyle w:val="ListParagraph"/>
        <w:widowControl/>
        <w:numPr>
          <w:ilvl w:val="1"/>
          <w:numId w:val="2"/>
        </w:numPr>
      </w:pPr>
      <w:r w:rsidRPr="000526BE">
        <w:rPr>
          <w:iCs/>
        </w:rPr>
        <w:t xml:space="preserve">The submission subsequently used data from Hamilton 2015, EMILIA and CLEOPATRA to estimate the proportion of women experiencing distant disease and mortality from distant disease. Arguably, </w:t>
      </w:r>
      <w:r w:rsidR="002829C3" w:rsidRPr="000526BE">
        <w:rPr>
          <w:iCs/>
        </w:rPr>
        <w:t xml:space="preserve">the commentary noted </w:t>
      </w:r>
      <w:r w:rsidRPr="000526BE">
        <w:rPr>
          <w:iCs/>
        </w:rPr>
        <w:t xml:space="preserve">the key surrogacy relationship is defined by the link between distant recurrence and OS; the bulk of the modelled difference in recurrence events is due to distant disease. </w:t>
      </w:r>
      <w:r w:rsidR="00E94610" w:rsidRPr="000526BE">
        <w:rPr>
          <w:iCs/>
        </w:rPr>
        <w:t>The ESC noted t</w:t>
      </w:r>
      <w:r w:rsidRPr="000526BE">
        <w:rPr>
          <w:iCs/>
        </w:rPr>
        <w:t>here were significant transitivity issues between patients in Hamilton 2015, EMILIA and CLEOPATRA and the proposed patient population.</w:t>
      </w:r>
      <w:r w:rsidRPr="000526BE">
        <w:t xml:space="preserve"> </w:t>
      </w:r>
      <w:r w:rsidRPr="000526BE">
        <w:rPr>
          <w:iCs/>
        </w:rPr>
        <w:t>Patients in Hamilton 2015 did not receive any form of targeted therapy; patients in EMILIA were younger (53 vs 58.5 years) and a significantly smaller fraction received trastuzumab (16% vs. 100%) or endocrine therapy (41% vs. 81%) in the eBC setting; patients in CLEOPATRA were younger (54 vs. 58.5 years) and a significantly smaller fraction received prior trastuzumab (11% vs. 100%), endocrine therapy (25% vs. 81%) or taxane therapy (23% vs. 100%).</w:t>
      </w:r>
      <w:r w:rsidR="004874C7" w:rsidRPr="000526BE">
        <w:rPr>
          <w:iCs/>
        </w:rPr>
        <w:t xml:space="preserve"> </w:t>
      </w:r>
      <w:r w:rsidR="003007C2" w:rsidRPr="000526BE">
        <w:rPr>
          <w:iCs/>
        </w:rPr>
        <w:t xml:space="preserve">The ESC </w:t>
      </w:r>
      <w:r w:rsidR="00AA0828" w:rsidRPr="000526BE">
        <w:rPr>
          <w:iCs/>
        </w:rPr>
        <w:t xml:space="preserve">considered </w:t>
      </w:r>
      <w:r w:rsidR="003007C2" w:rsidRPr="000526BE">
        <w:rPr>
          <w:iCs/>
        </w:rPr>
        <w:t>that it was unclear how these transitivity issues affected the ICER</w:t>
      </w:r>
      <w:r w:rsidR="002636FB" w:rsidRPr="000526BE">
        <w:rPr>
          <w:iCs/>
        </w:rPr>
        <w:t>.</w:t>
      </w:r>
    </w:p>
    <w:p w:rsidR="001C65BD" w:rsidRPr="000526BE" w:rsidRDefault="001C65BD" w:rsidP="00A2058D">
      <w:pPr>
        <w:pStyle w:val="ListParagraph"/>
        <w:widowControl/>
        <w:numPr>
          <w:ilvl w:val="1"/>
          <w:numId w:val="2"/>
        </w:numPr>
      </w:pPr>
      <w:r w:rsidRPr="000526BE">
        <w:t>The submission extrapolated the treatment effect to 7 years, with linear convergence to an iDFS HR of 1 (null treatment effect) over a three-year period (until year 10)</w:t>
      </w:r>
      <w:r w:rsidR="00024AB4" w:rsidRPr="000526BE">
        <w:t xml:space="preserve"> based on the HERA and BCIRG-006 study evidence.</w:t>
      </w:r>
      <w:r w:rsidRPr="000526BE">
        <w:t xml:space="preserve"> The ESC questioned whether the annualised hazard rates from these studies supported </w:t>
      </w:r>
      <w:r w:rsidR="00D64B6F" w:rsidRPr="000526BE">
        <w:t xml:space="preserve">the </w:t>
      </w:r>
      <w:r w:rsidRPr="000526BE">
        <w:t>ongoing benefit</w:t>
      </w:r>
      <w:r w:rsidR="00B73B7D" w:rsidRPr="000526BE">
        <w:t xml:space="preserve"> </w:t>
      </w:r>
      <w:r w:rsidR="002A0855" w:rsidRPr="000526BE">
        <w:t>up to 10 years</w:t>
      </w:r>
      <w:r w:rsidR="00B73B7D" w:rsidRPr="000526BE">
        <w:t xml:space="preserve">, </w:t>
      </w:r>
      <w:r w:rsidR="002A0855" w:rsidRPr="000526BE">
        <w:t xml:space="preserve">but noted that </w:t>
      </w:r>
      <w:r w:rsidR="00B73B7D" w:rsidRPr="000526BE">
        <w:t xml:space="preserve">there was some evidence to support ongoing benefit beyond 5 years. </w:t>
      </w:r>
    </w:p>
    <w:p w:rsidR="001C65BD" w:rsidRPr="000526BE" w:rsidRDefault="00B73B7D" w:rsidP="00A2058D">
      <w:pPr>
        <w:pStyle w:val="ListParagraph"/>
        <w:widowControl/>
        <w:numPr>
          <w:ilvl w:val="1"/>
          <w:numId w:val="2"/>
        </w:numPr>
      </w:pPr>
      <w:r w:rsidRPr="000526BE">
        <w:rPr>
          <w:iCs/>
        </w:rPr>
        <w:t xml:space="preserve">The submission applied </w:t>
      </w:r>
      <w:r w:rsidR="009177E3" w:rsidRPr="000526BE">
        <w:rPr>
          <w:iCs/>
        </w:rPr>
        <w:t xml:space="preserve">a </w:t>
      </w:r>
      <w:r w:rsidRPr="000526BE">
        <w:rPr>
          <w:iCs/>
        </w:rPr>
        <w:t>sustained remission adjustment from the point of me</w:t>
      </w:r>
      <w:r w:rsidR="009177E3" w:rsidRPr="000526BE">
        <w:rPr>
          <w:iCs/>
        </w:rPr>
        <w:t>di</w:t>
      </w:r>
      <w:r w:rsidRPr="000526BE">
        <w:rPr>
          <w:iCs/>
        </w:rPr>
        <w:t>an follow-up (42 months)</w:t>
      </w:r>
      <w:r w:rsidR="00024AB4" w:rsidRPr="000526BE">
        <w:rPr>
          <w:iCs/>
        </w:rPr>
        <w:t xml:space="preserve">. </w:t>
      </w:r>
      <w:r w:rsidR="00825C7D" w:rsidRPr="000526BE">
        <w:rPr>
          <w:iCs/>
        </w:rPr>
        <w:t>After 42 months</w:t>
      </w:r>
      <w:r w:rsidRPr="000526BE">
        <w:rPr>
          <w:iCs/>
        </w:rPr>
        <w:t xml:space="preserve">, the proportion of patients </w:t>
      </w:r>
      <w:r w:rsidR="009B32CF" w:rsidRPr="000526BE">
        <w:rPr>
          <w:iCs/>
        </w:rPr>
        <w:t xml:space="preserve">in the remission health state who </w:t>
      </w:r>
      <w:r w:rsidRPr="000526BE">
        <w:rPr>
          <w:iCs/>
        </w:rPr>
        <w:t>achiev</w:t>
      </w:r>
      <w:r w:rsidR="009B32CF" w:rsidRPr="000526BE">
        <w:rPr>
          <w:iCs/>
        </w:rPr>
        <w:t>e</w:t>
      </w:r>
      <w:r w:rsidRPr="000526BE">
        <w:rPr>
          <w:iCs/>
        </w:rPr>
        <w:t xml:space="preserve"> sustained remission was linearly increased to the set maximum (95%) at ten years</w:t>
      </w:r>
      <w:r w:rsidR="00024AB4" w:rsidRPr="000526BE">
        <w:t xml:space="preserve"> based on the HERA and BCIRG-006 study evidence. </w:t>
      </w:r>
      <w:r w:rsidR="00165BBF" w:rsidRPr="000526BE">
        <w:rPr>
          <w:iCs/>
        </w:rPr>
        <w:t>Patients who achieved sustained remission are no longer at risk for a recurrence event and only experience risk of death as specified by the background mortality.</w:t>
      </w:r>
      <w:r w:rsidR="00165BBF" w:rsidRPr="000526BE">
        <w:t xml:space="preserve"> </w:t>
      </w:r>
      <w:r w:rsidR="00024AB4" w:rsidRPr="000526BE">
        <w:t xml:space="preserve">The commentary considered this to be questionable due to transitivity issues between patients in </w:t>
      </w:r>
      <w:r w:rsidR="00825C7D" w:rsidRPr="000526BE">
        <w:t xml:space="preserve">HERA and BCIRG-006 </w:t>
      </w:r>
      <w:r w:rsidR="00024AB4" w:rsidRPr="000526BE">
        <w:t>and the proposed patient population. Transitivity issues arose between these studies and KATHERINE predominantly due to patient age and prior therapies</w:t>
      </w:r>
      <w:r w:rsidRPr="000526BE">
        <w:rPr>
          <w:iCs/>
        </w:rPr>
        <w:t xml:space="preserve">. </w:t>
      </w:r>
      <w:r w:rsidR="00165BBF" w:rsidRPr="000526BE">
        <w:t>The ESC agreed with the commentary that the transitivity of HERA and BCIRG-006 may be an issue but noted it was difficult to quantify the impact of these differences.</w:t>
      </w:r>
      <w:r w:rsidRPr="000526BE">
        <w:rPr>
          <w:iCs/>
        </w:rPr>
        <w:t xml:space="preserve"> The ESC considered that based on data from HERA and BCIRG-006 </w:t>
      </w:r>
      <w:r w:rsidR="009B32CF" w:rsidRPr="000526BE">
        <w:rPr>
          <w:iCs/>
        </w:rPr>
        <w:t xml:space="preserve">an </w:t>
      </w:r>
      <w:r w:rsidRPr="000526BE">
        <w:rPr>
          <w:iCs/>
        </w:rPr>
        <w:t xml:space="preserve">adjustment may have been appropriate, however </w:t>
      </w:r>
      <w:r w:rsidR="001C65BD" w:rsidRPr="000526BE">
        <w:t xml:space="preserve">setting the maximum to 95% at ten years was optimistic. </w:t>
      </w:r>
      <w:r w:rsidR="00B429C4" w:rsidRPr="000526BE">
        <w:t>The PBAC agreed with the ESC that it was reasonable to assume some degree of sustained remission.</w:t>
      </w:r>
    </w:p>
    <w:p w:rsidR="00B429C4" w:rsidRPr="000526BE" w:rsidRDefault="00DE64E2" w:rsidP="00AE3552">
      <w:pPr>
        <w:pStyle w:val="ListParagraph"/>
        <w:widowControl/>
        <w:numPr>
          <w:ilvl w:val="1"/>
          <w:numId w:val="2"/>
        </w:numPr>
        <w:tabs>
          <w:tab w:val="left" w:pos="993"/>
        </w:tabs>
        <w:rPr>
          <w:iCs/>
        </w:rPr>
      </w:pPr>
      <w:r w:rsidRPr="000526BE">
        <w:rPr>
          <w:iCs/>
        </w:rPr>
        <w:t>The PBAC considered that t</w:t>
      </w:r>
      <w:r w:rsidR="00B429C4" w:rsidRPr="000526BE">
        <w:rPr>
          <w:iCs/>
        </w:rPr>
        <w:t xml:space="preserve">he time horizon applied (40 years) </w:t>
      </w:r>
      <w:r w:rsidRPr="000526BE">
        <w:rPr>
          <w:iCs/>
        </w:rPr>
        <w:t>was</w:t>
      </w:r>
      <w:r w:rsidR="00B429C4" w:rsidRPr="000526BE">
        <w:rPr>
          <w:iCs/>
        </w:rPr>
        <w:t xml:space="preserve"> inappropriate as the median age at diagnosis with HER2+ early breast cancer (eBC) for women in Australia is 58.5 years. </w:t>
      </w:r>
      <w:r w:rsidR="00AE3552" w:rsidRPr="000526BE">
        <w:t xml:space="preserve"> Further, t</w:t>
      </w:r>
      <w:r w:rsidR="00AE3552" w:rsidRPr="000526BE">
        <w:rPr>
          <w:iCs/>
        </w:rPr>
        <w:t>he model relied on an OS gain (extrapolated from iDFS) that was assumed to persist for 40 years despite the OS results from the KATHERINE trial being immature and not statistically significant. The PBAC considered that greater confidence in establishing cost</w:t>
      </w:r>
      <w:r w:rsidR="00231DA9" w:rsidRPr="000526BE">
        <w:rPr>
          <w:iCs/>
        </w:rPr>
        <w:t>-</w:t>
      </w:r>
      <w:r w:rsidR="00AE3552" w:rsidRPr="000526BE">
        <w:rPr>
          <w:iCs/>
        </w:rPr>
        <w:t>effectiveness would be derived by limiting the time horizon to 20 years, and noted this resulted in an ICER that was within an acceptable range (</w:t>
      </w:r>
      <w:r w:rsidR="003E79B2">
        <w:rPr>
          <w:iCs/>
        </w:rPr>
        <w:t xml:space="preserve">less than </w:t>
      </w:r>
      <w:r w:rsidR="00AE3552" w:rsidRPr="000526BE">
        <w:rPr>
          <w:iCs/>
        </w:rPr>
        <w:t>$</w:t>
      </w:r>
      <w:r w:rsidR="003E79B2">
        <w:rPr>
          <w:iCs/>
        </w:rPr>
        <w:t xml:space="preserve">15,000 </w:t>
      </w:r>
      <w:r w:rsidR="00AE3552" w:rsidRPr="000526BE">
        <w:rPr>
          <w:iCs/>
        </w:rPr>
        <w:t>per QALY).</w:t>
      </w:r>
    </w:p>
    <w:p w:rsidR="00501C60" w:rsidRPr="000526BE" w:rsidRDefault="00B61A0B" w:rsidP="00A2058D">
      <w:pPr>
        <w:pStyle w:val="ListParagraph"/>
        <w:widowControl/>
        <w:numPr>
          <w:ilvl w:val="1"/>
          <w:numId w:val="2"/>
        </w:numPr>
        <w:tabs>
          <w:tab w:val="left" w:pos="993"/>
        </w:tabs>
        <w:rPr>
          <w:rFonts w:ascii="Arial Narrow" w:eastAsiaTheme="minorHAnsi" w:hAnsi="Arial Narrow" w:cstheme="minorBidi"/>
          <w:b/>
          <w:sz w:val="20"/>
        </w:rPr>
      </w:pPr>
      <w:r w:rsidRPr="000526BE">
        <w:rPr>
          <w:iCs/>
        </w:rPr>
        <w:t xml:space="preserve">A stepped economic evaluation was presented in the submission (see Table </w:t>
      </w:r>
      <w:r w:rsidR="001A48D9">
        <w:rPr>
          <w:iCs/>
        </w:rPr>
        <w:t>12</w:t>
      </w:r>
      <w:r w:rsidRPr="000526BE">
        <w:rPr>
          <w:iCs/>
        </w:rPr>
        <w:t>). The submission presented Step 1 as a within trial analysis (62.6 months follow-up), Step 2 extrapolated to the time horizon of 40 years, Step 3 applied a time-limited treatment effect, Step 4 applied a sustained remission adjustment, Step</w:t>
      </w:r>
      <w:r w:rsidR="005F17DF" w:rsidRPr="000526BE">
        <w:rPr>
          <w:iCs/>
        </w:rPr>
        <w:t>s</w:t>
      </w:r>
      <w:r w:rsidRPr="000526BE">
        <w:rPr>
          <w:iCs/>
        </w:rPr>
        <w:t xml:space="preserve"> 5, 6 and 7 included medical resource use costs, AE costs and end-of-life costs and Step 8 applied HRQoL to transform LYs into QALYs. </w:t>
      </w:r>
    </w:p>
    <w:p w:rsidR="00501C60" w:rsidRPr="000526BE" w:rsidRDefault="00B61A0B" w:rsidP="00FF6326">
      <w:pPr>
        <w:pStyle w:val="ListParagraph"/>
        <w:widowControl/>
        <w:numPr>
          <w:ilvl w:val="1"/>
          <w:numId w:val="2"/>
        </w:numPr>
        <w:tabs>
          <w:tab w:val="left" w:pos="993"/>
        </w:tabs>
        <w:rPr>
          <w:rFonts w:ascii="Arial Narrow" w:eastAsiaTheme="minorHAnsi" w:hAnsi="Arial Narrow" w:cstheme="minorBidi"/>
          <w:b/>
          <w:sz w:val="20"/>
        </w:rPr>
      </w:pPr>
      <w:r w:rsidRPr="000526BE">
        <w:rPr>
          <w:iCs/>
        </w:rPr>
        <w:t xml:space="preserve">The </w:t>
      </w:r>
      <w:r w:rsidR="00501C60" w:rsidRPr="000526BE">
        <w:rPr>
          <w:iCs/>
        </w:rPr>
        <w:t xml:space="preserve">commentary noted that the </w:t>
      </w:r>
      <w:r w:rsidRPr="000526BE">
        <w:rPr>
          <w:iCs/>
        </w:rPr>
        <w:t xml:space="preserve">ICER increased to </w:t>
      </w:r>
      <w:r w:rsidR="003E79B2">
        <w:rPr>
          <w:iCs/>
        </w:rPr>
        <w:t xml:space="preserve">less than </w:t>
      </w:r>
      <w:r w:rsidRPr="000526BE">
        <w:rPr>
          <w:iCs/>
        </w:rPr>
        <w:t>$</w:t>
      </w:r>
      <w:r w:rsidR="003E79B2">
        <w:rPr>
          <w:iCs/>
        </w:rPr>
        <w:t>15,000/QALY</w:t>
      </w:r>
      <w:r w:rsidRPr="000526BE">
        <w:rPr>
          <w:iCs/>
        </w:rPr>
        <w:t xml:space="preserve"> when the </w:t>
      </w:r>
      <w:r w:rsidR="00501C60" w:rsidRPr="000526BE">
        <w:rPr>
          <w:iCs/>
        </w:rPr>
        <w:t xml:space="preserve">weighted price for </w:t>
      </w:r>
      <w:r w:rsidRPr="000526BE">
        <w:rPr>
          <w:iCs/>
        </w:rPr>
        <w:t xml:space="preserve">trastuzumab </w:t>
      </w:r>
      <w:r w:rsidR="00DB415A" w:rsidRPr="000526BE">
        <w:rPr>
          <w:iCs/>
        </w:rPr>
        <w:t>(including</w:t>
      </w:r>
      <w:r w:rsidR="0085313D" w:rsidRPr="000526BE">
        <w:rPr>
          <w:iCs/>
        </w:rPr>
        <w:t xml:space="preserve"> the prices for</w:t>
      </w:r>
      <w:r w:rsidR="00DB415A" w:rsidRPr="000526BE">
        <w:rPr>
          <w:iCs/>
        </w:rPr>
        <w:t xml:space="preserve"> mBC and gastric cancer) </w:t>
      </w:r>
      <w:r w:rsidR="00501C60" w:rsidRPr="000526BE">
        <w:rPr>
          <w:iCs/>
        </w:rPr>
        <w:t xml:space="preserve">was </w:t>
      </w:r>
      <w:r w:rsidRPr="000526BE">
        <w:rPr>
          <w:iCs/>
        </w:rPr>
        <w:t>applied to the Markov model</w:t>
      </w:r>
      <w:r w:rsidR="00501C60" w:rsidRPr="000526BE">
        <w:rPr>
          <w:iCs/>
        </w:rPr>
        <w:t xml:space="preserve"> in the eBC setting (corrected to</w:t>
      </w:r>
      <w:r w:rsidR="003E79B2">
        <w:rPr>
          <w:iCs/>
        </w:rPr>
        <w:t xml:space="preserve"> less than</w:t>
      </w:r>
      <w:r w:rsidR="00501C60" w:rsidRPr="000526BE">
        <w:rPr>
          <w:iCs/>
        </w:rPr>
        <w:t xml:space="preserve"> $</w:t>
      </w:r>
      <w:r w:rsidR="003E79B2">
        <w:rPr>
          <w:iCs/>
        </w:rPr>
        <w:t>15,000/QALY</w:t>
      </w:r>
      <w:r w:rsidR="00501C60" w:rsidRPr="000526BE">
        <w:rPr>
          <w:iCs/>
        </w:rPr>
        <w:t xml:space="preserve"> when the weighted price was applied in both the eBC and mBC settings in the model</w:t>
      </w:r>
      <w:r w:rsidR="00DD1365" w:rsidRPr="000526BE">
        <w:rPr>
          <w:iCs/>
        </w:rPr>
        <w:t>, as identified in the pre-PBAC response</w:t>
      </w:r>
      <w:r w:rsidR="00501C60" w:rsidRPr="000526BE">
        <w:rPr>
          <w:iCs/>
        </w:rPr>
        <w:t>)</w:t>
      </w:r>
      <w:r w:rsidRPr="000526BE">
        <w:rPr>
          <w:iCs/>
        </w:rPr>
        <w:t xml:space="preserve">. </w:t>
      </w:r>
      <w:r w:rsidR="00501C60" w:rsidRPr="000526BE">
        <w:rPr>
          <w:iCs/>
        </w:rPr>
        <w:t xml:space="preserve">The PBAC considered that </w:t>
      </w:r>
      <w:r w:rsidR="00DD1365" w:rsidRPr="000526BE">
        <w:rPr>
          <w:iCs/>
        </w:rPr>
        <w:t xml:space="preserve">using </w:t>
      </w:r>
      <w:r w:rsidR="00501C60" w:rsidRPr="000526BE">
        <w:rPr>
          <w:iCs/>
        </w:rPr>
        <w:t>the indication-specific price</w:t>
      </w:r>
      <w:r w:rsidR="00DD1365" w:rsidRPr="000526BE">
        <w:rPr>
          <w:iCs/>
        </w:rPr>
        <w:t>s</w:t>
      </w:r>
      <w:r w:rsidR="00501C60" w:rsidRPr="000526BE">
        <w:rPr>
          <w:iCs/>
        </w:rPr>
        <w:t xml:space="preserve"> for trastuzumab </w:t>
      </w:r>
      <w:r w:rsidR="00DD1365" w:rsidRPr="000526BE">
        <w:rPr>
          <w:iCs/>
        </w:rPr>
        <w:t xml:space="preserve">in eBC and mBC </w:t>
      </w:r>
      <w:r w:rsidR="00501C60" w:rsidRPr="000526BE">
        <w:rPr>
          <w:iCs/>
        </w:rPr>
        <w:t>was an appropriate approach</w:t>
      </w:r>
      <w:r w:rsidR="00DE64E2" w:rsidRPr="000526BE">
        <w:rPr>
          <w:iCs/>
        </w:rPr>
        <w:t xml:space="preserve"> in this case</w:t>
      </w:r>
      <w:r w:rsidR="00DD1365" w:rsidRPr="000526BE">
        <w:rPr>
          <w:iCs/>
        </w:rPr>
        <w:t xml:space="preserve">, in order to reflect the prices considered cost-effective in the relevant settings. The PBAC noted that the </w:t>
      </w:r>
      <w:r w:rsidR="003A7041" w:rsidRPr="000526BE">
        <w:rPr>
          <w:iCs/>
        </w:rPr>
        <w:t xml:space="preserve">base case </w:t>
      </w:r>
      <w:r w:rsidR="00DD1365" w:rsidRPr="000526BE">
        <w:rPr>
          <w:iCs/>
        </w:rPr>
        <w:t>ICER</w:t>
      </w:r>
      <w:r w:rsidR="00B85320" w:rsidRPr="000526BE">
        <w:rPr>
          <w:iCs/>
        </w:rPr>
        <w:t>, proposed in the pre-PBAC response</w:t>
      </w:r>
      <w:r w:rsidR="00DD1365" w:rsidRPr="000526BE">
        <w:rPr>
          <w:iCs/>
        </w:rPr>
        <w:t xml:space="preserve"> was</w:t>
      </w:r>
      <w:r w:rsidR="00CB3319">
        <w:rPr>
          <w:iCs/>
        </w:rPr>
        <w:t xml:space="preserve"> less than</w:t>
      </w:r>
      <w:r w:rsidR="00DD1365" w:rsidRPr="000526BE">
        <w:rPr>
          <w:iCs/>
        </w:rPr>
        <w:t xml:space="preserve"> $</w:t>
      </w:r>
      <w:r w:rsidR="00CB3319">
        <w:rPr>
          <w:iCs/>
        </w:rPr>
        <w:t>15,000/QALY</w:t>
      </w:r>
      <w:r w:rsidR="00DD1365" w:rsidRPr="000526BE">
        <w:rPr>
          <w:iCs/>
        </w:rPr>
        <w:t xml:space="preserve"> </w:t>
      </w:r>
      <w:r w:rsidR="003A7041" w:rsidRPr="000526BE">
        <w:rPr>
          <w:iCs/>
        </w:rPr>
        <w:t xml:space="preserve">using the indication-specific prices and </w:t>
      </w:r>
      <w:r w:rsidR="00DD1365" w:rsidRPr="000526BE">
        <w:rPr>
          <w:iCs/>
        </w:rPr>
        <w:t>updated dispensing fees and corrected MBS costs for IV administr</w:t>
      </w:r>
      <w:r w:rsidR="00FF6326">
        <w:rPr>
          <w:iCs/>
        </w:rPr>
        <w:t>ation and specialist visits.</w:t>
      </w:r>
    </w:p>
    <w:p w:rsidR="0051290A" w:rsidRPr="000526BE" w:rsidRDefault="0068698E" w:rsidP="00A2058D">
      <w:pPr>
        <w:pStyle w:val="ListParagraph"/>
        <w:widowControl/>
        <w:numPr>
          <w:ilvl w:val="1"/>
          <w:numId w:val="2"/>
        </w:numPr>
        <w:tabs>
          <w:tab w:val="left" w:pos="993"/>
        </w:tabs>
        <w:rPr>
          <w:rStyle w:val="CommentReference"/>
          <w:rFonts w:eastAsiaTheme="minorHAnsi" w:cstheme="minorBidi"/>
          <w:szCs w:val="22"/>
        </w:rPr>
      </w:pPr>
      <w:r w:rsidRPr="000526BE">
        <w:rPr>
          <w:iCs/>
        </w:rPr>
        <w:t>The ESC noted that the downstream costs represented significant cost offset</w:t>
      </w:r>
      <w:r w:rsidR="003D27C0" w:rsidRPr="000526BE">
        <w:rPr>
          <w:iCs/>
        </w:rPr>
        <w:t>s</w:t>
      </w:r>
      <w:r w:rsidRPr="000526BE">
        <w:rPr>
          <w:iCs/>
        </w:rPr>
        <w:t xml:space="preserve"> which were attributed to delayed or prevented recurrence. The ESC </w:t>
      </w:r>
      <w:r w:rsidR="009E410F" w:rsidRPr="000526BE">
        <w:rPr>
          <w:iCs/>
        </w:rPr>
        <w:t>noted that the unit costs appear reasonable but that these cost offsets relied on extrapolation of the iDFS</w:t>
      </w:r>
      <w:r w:rsidR="009B32CF" w:rsidRPr="000526BE">
        <w:rPr>
          <w:iCs/>
        </w:rPr>
        <w:t xml:space="preserve"> results</w:t>
      </w:r>
      <w:r w:rsidR="009E410F" w:rsidRPr="000526BE">
        <w:rPr>
          <w:iCs/>
        </w:rPr>
        <w:t>, and assumptions regarding the tapering of e</w:t>
      </w:r>
      <w:r w:rsidR="00910E0F" w:rsidRPr="000526BE">
        <w:rPr>
          <w:iCs/>
        </w:rPr>
        <w:t xml:space="preserve">ffect and reduced recurrence </w:t>
      </w:r>
      <w:r w:rsidR="000526BE" w:rsidRPr="000526BE">
        <w:rPr>
          <w:iCs/>
        </w:rPr>
        <w:t>hazard that</w:t>
      </w:r>
      <w:r w:rsidR="009E410F" w:rsidRPr="000526BE">
        <w:rPr>
          <w:iCs/>
        </w:rPr>
        <w:t xml:space="preserve"> introduced uncertainty</w:t>
      </w:r>
      <w:r w:rsidR="00910E0F" w:rsidRPr="000526BE">
        <w:rPr>
          <w:iCs/>
        </w:rPr>
        <w:t xml:space="preserve"> in the modelled outcomes and costs</w:t>
      </w:r>
      <w:r w:rsidR="00FF6326">
        <w:rPr>
          <w:iCs/>
        </w:rPr>
        <w:t>.</w:t>
      </w:r>
    </w:p>
    <w:p w:rsidR="00BC7E92" w:rsidRPr="000526BE" w:rsidRDefault="00BC7E92" w:rsidP="00BC7E92">
      <w:pPr>
        <w:pStyle w:val="TableHeading0"/>
        <w:keepLines/>
        <w:rPr>
          <w:rStyle w:val="CommentReference"/>
          <w:rFonts w:cstheme="minorHAnsi"/>
          <w:b/>
          <w:szCs w:val="20"/>
        </w:rPr>
      </w:pPr>
      <w:r w:rsidRPr="000526BE">
        <w:rPr>
          <w:rStyle w:val="CommentReference"/>
          <w:rFonts w:cstheme="minorHAnsi"/>
          <w:b/>
          <w:szCs w:val="20"/>
        </w:rPr>
        <w:t>Table 1</w:t>
      </w:r>
      <w:r w:rsidR="001A48D9">
        <w:rPr>
          <w:rStyle w:val="CommentReference"/>
          <w:rFonts w:cstheme="minorHAnsi"/>
          <w:b/>
          <w:szCs w:val="20"/>
        </w:rPr>
        <w:t>2</w:t>
      </w:r>
      <w:r w:rsidRPr="000526BE">
        <w:rPr>
          <w:rStyle w:val="CommentReference"/>
          <w:rFonts w:cstheme="minorHAnsi"/>
          <w:b/>
          <w:szCs w:val="20"/>
        </w:rPr>
        <w:t xml:space="preserve">: Results of the stepped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8"/>
        <w:gridCol w:w="69"/>
        <w:gridCol w:w="2451"/>
        <w:gridCol w:w="2298"/>
        <w:gridCol w:w="1511"/>
      </w:tblGrid>
      <w:tr w:rsidR="00BC7E92" w:rsidRPr="000526BE" w:rsidTr="00347ACE">
        <w:trPr>
          <w:tblHeader/>
        </w:trPr>
        <w:tc>
          <w:tcPr>
            <w:tcW w:w="1529" w:type="pct"/>
            <w:gridSpan w:val="2"/>
            <w:vAlign w:val="center"/>
          </w:tcPr>
          <w:p w:rsidR="00BC7E92" w:rsidRPr="000526BE" w:rsidRDefault="00BC7E92" w:rsidP="00347ACE">
            <w:pPr>
              <w:pStyle w:val="Tabletext"/>
              <w:keepNext/>
              <w:keepLines/>
              <w:rPr>
                <w:b/>
                <w:szCs w:val="20"/>
              </w:rPr>
            </w:pPr>
            <w:r w:rsidRPr="000526BE">
              <w:rPr>
                <w:b/>
                <w:szCs w:val="20"/>
              </w:rPr>
              <w:t>Step and component</w:t>
            </w:r>
          </w:p>
        </w:tc>
        <w:tc>
          <w:tcPr>
            <w:tcW w:w="1359" w:type="pct"/>
            <w:vAlign w:val="center"/>
          </w:tcPr>
          <w:p w:rsidR="00BC7E92" w:rsidRPr="000526BE" w:rsidRDefault="00BC7E92" w:rsidP="00347ACE">
            <w:pPr>
              <w:pStyle w:val="Tabletext"/>
              <w:keepNext/>
              <w:keepLines/>
              <w:jc w:val="center"/>
              <w:rPr>
                <w:b/>
                <w:szCs w:val="20"/>
              </w:rPr>
            </w:pPr>
            <w:r w:rsidRPr="000526BE">
              <w:rPr>
                <w:b/>
                <w:szCs w:val="20"/>
              </w:rPr>
              <w:t>T-DM1</w:t>
            </w:r>
          </w:p>
        </w:tc>
        <w:tc>
          <w:tcPr>
            <w:tcW w:w="1274" w:type="pct"/>
            <w:vAlign w:val="center"/>
          </w:tcPr>
          <w:p w:rsidR="00BC7E92" w:rsidRPr="000526BE" w:rsidRDefault="00BC7E92" w:rsidP="00347ACE">
            <w:pPr>
              <w:pStyle w:val="Tabletext"/>
              <w:keepNext/>
              <w:keepLines/>
              <w:jc w:val="center"/>
              <w:rPr>
                <w:b/>
                <w:szCs w:val="20"/>
              </w:rPr>
            </w:pPr>
            <w:r w:rsidRPr="000526BE">
              <w:rPr>
                <w:b/>
                <w:szCs w:val="20"/>
              </w:rPr>
              <w:t>Trastuzumab</w:t>
            </w:r>
          </w:p>
        </w:tc>
        <w:tc>
          <w:tcPr>
            <w:tcW w:w="838" w:type="pct"/>
            <w:vAlign w:val="center"/>
          </w:tcPr>
          <w:p w:rsidR="00BC7E92" w:rsidRPr="000526BE" w:rsidRDefault="00BC7E92" w:rsidP="00347ACE">
            <w:pPr>
              <w:pStyle w:val="Tabletext"/>
              <w:keepNext/>
              <w:keepLines/>
              <w:jc w:val="center"/>
              <w:rPr>
                <w:b/>
                <w:szCs w:val="20"/>
              </w:rPr>
            </w:pPr>
            <w:r w:rsidRPr="000526BE">
              <w:rPr>
                <w:b/>
                <w:szCs w:val="20"/>
              </w:rPr>
              <w:t>Increment</w:t>
            </w:r>
          </w:p>
        </w:tc>
      </w:tr>
      <w:tr w:rsidR="00BC7E92" w:rsidRPr="000526BE" w:rsidTr="00347ACE">
        <w:tc>
          <w:tcPr>
            <w:tcW w:w="5000" w:type="pct"/>
            <w:gridSpan w:val="5"/>
            <w:vAlign w:val="center"/>
          </w:tcPr>
          <w:p w:rsidR="00BC7E92" w:rsidRPr="000526BE" w:rsidRDefault="00BC7E92" w:rsidP="00347ACE">
            <w:pPr>
              <w:pStyle w:val="Tabletext"/>
              <w:keepNext/>
              <w:keepLines/>
              <w:rPr>
                <w:b/>
                <w:snapToGrid w:val="0"/>
                <w:szCs w:val="20"/>
              </w:rPr>
            </w:pPr>
            <w:r w:rsidRPr="000526BE">
              <w:rPr>
                <w:b/>
                <w:snapToGrid w:val="0"/>
                <w:szCs w:val="20"/>
              </w:rPr>
              <w:t>Step 1: trial-based costs and outcomes (5* year data)</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Costs</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LYG</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4.567</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4.488</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0.079</w:t>
            </w:r>
          </w:p>
        </w:tc>
      </w:tr>
      <w:tr w:rsidR="00BC7E92" w:rsidRPr="000526BE" w:rsidTr="00347ACE">
        <w:tc>
          <w:tcPr>
            <w:tcW w:w="4162" w:type="pct"/>
            <w:gridSpan w:val="4"/>
            <w:vAlign w:val="center"/>
          </w:tcPr>
          <w:p w:rsidR="00BC7E92" w:rsidRPr="000526BE" w:rsidRDefault="00BC7E92" w:rsidP="00347ACE">
            <w:pPr>
              <w:pStyle w:val="Tabletext"/>
              <w:keepNext/>
              <w:keepLines/>
              <w:rPr>
                <w:snapToGrid w:val="0"/>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napToGrid w:val="0"/>
                <w:szCs w:val="20"/>
              </w:rPr>
            </w:pPr>
            <w:r w:rsidRPr="000526BE">
              <w:rPr>
                <w:b/>
                <w:snapToGrid w:val="0"/>
                <w:szCs w:val="20"/>
              </w:rPr>
              <w:t xml:space="preserve">Step 2: </w:t>
            </w:r>
            <w:r w:rsidRPr="000526BE">
              <w:rPr>
                <w:b/>
                <w:szCs w:val="20"/>
              </w:rPr>
              <w:t>time horizon extrapolated to 40 years</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Costs</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LYG</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12.483</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10.874</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1.609</w:t>
            </w:r>
          </w:p>
        </w:tc>
      </w:tr>
      <w:tr w:rsidR="00BC7E92" w:rsidRPr="000526BE" w:rsidTr="00347ACE">
        <w:tc>
          <w:tcPr>
            <w:tcW w:w="4162" w:type="pct"/>
            <w:gridSpan w:val="4"/>
            <w:vAlign w:val="center"/>
          </w:tcPr>
          <w:p w:rsidR="00BC7E92" w:rsidRPr="000526BE" w:rsidRDefault="00BC7E92" w:rsidP="00347ACE">
            <w:pPr>
              <w:pStyle w:val="Tabletext"/>
              <w:keepNext/>
              <w:keepLines/>
              <w:rPr>
                <w:snapToGrid w:val="0"/>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napToGrid w:val="0"/>
                <w:szCs w:val="20"/>
              </w:rPr>
            </w:pPr>
            <w:r w:rsidRPr="000526BE">
              <w:rPr>
                <w:b/>
                <w:snapToGrid w:val="0"/>
                <w:szCs w:val="20"/>
              </w:rPr>
              <w:t>Step 3: Applying time limited treatment effect up to year 10</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Costs</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LYG</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11.810</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10.874</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0.935</w:t>
            </w:r>
          </w:p>
        </w:tc>
      </w:tr>
      <w:tr w:rsidR="00BC7E92" w:rsidRPr="000526BE" w:rsidTr="00347ACE">
        <w:tc>
          <w:tcPr>
            <w:tcW w:w="4162" w:type="pct"/>
            <w:gridSpan w:val="4"/>
            <w:vAlign w:val="center"/>
          </w:tcPr>
          <w:p w:rsidR="00BC7E92" w:rsidRPr="000526BE" w:rsidRDefault="00BC7E92" w:rsidP="00347ACE">
            <w:pPr>
              <w:pStyle w:val="Tabletext"/>
              <w:keepNext/>
              <w:keepLines/>
              <w:rPr>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napToGrid w:val="0"/>
                <w:szCs w:val="20"/>
              </w:rPr>
            </w:pPr>
            <w:r w:rsidRPr="000526BE">
              <w:rPr>
                <w:b/>
                <w:snapToGrid w:val="0"/>
                <w:szCs w:val="20"/>
              </w:rPr>
              <w:t xml:space="preserve">Step 4: </w:t>
            </w:r>
            <w:r w:rsidRPr="000526BE">
              <w:rPr>
                <w:b/>
                <w:szCs w:val="20"/>
              </w:rPr>
              <w:t>Applying sustained remission adjustment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Costs</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LYG</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13.229</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11.991</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1.239</w:t>
            </w:r>
          </w:p>
        </w:tc>
      </w:tr>
      <w:tr w:rsidR="00BC7E92" w:rsidRPr="000526BE" w:rsidTr="00347ACE">
        <w:tc>
          <w:tcPr>
            <w:tcW w:w="4162" w:type="pct"/>
            <w:gridSpan w:val="4"/>
            <w:vAlign w:val="center"/>
          </w:tcPr>
          <w:p w:rsidR="00BC7E92" w:rsidRPr="000526BE" w:rsidRDefault="00BC7E92" w:rsidP="00347ACE">
            <w:pPr>
              <w:pStyle w:val="Tabletext"/>
              <w:keepNext/>
              <w:keepLines/>
              <w:rPr>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napToGrid w:val="0"/>
                <w:szCs w:val="20"/>
              </w:rPr>
            </w:pPr>
            <w:r w:rsidRPr="000526BE">
              <w:rPr>
                <w:b/>
                <w:snapToGrid w:val="0"/>
                <w:szCs w:val="20"/>
              </w:rPr>
              <w:t xml:space="preserve">Step 5: </w:t>
            </w:r>
            <w:r w:rsidRPr="000526BE">
              <w:rPr>
                <w:b/>
                <w:szCs w:val="20"/>
              </w:rPr>
              <w:t>Incorporation of MRU costs</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Costs</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529" w:type="pct"/>
            <w:gridSpan w:val="2"/>
            <w:vAlign w:val="center"/>
          </w:tcPr>
          <w:p w:rsidR="00BC7E92" w:rsidRPr="000526BE" w:rsidRDefault="00BC7E92" w:rsidP="00347ACE">
            <w:pPr>
              <w:pStyle w:val="Tabletext"/>
              <w:keepNext/>
              <w:keepLines/>
              <w:rPr>
                <w:szCs w:val="20"/>
              </w:rPr>
            </w:pPr>
            <w:r w:rsidRPr="000526BE">
              <w:rPr>
                <w:szCs w:val="20"/>
              </w:rPr>
              <w:t>LYG</w:t>
            </w:r>
          </w:p>
        </w:tc>
        <w:tc>
          <w:tcPr>
            <w:tcW w:w="1359" w:type="pct"/>
          </w:tcPr>
          <w:p w:rsidR="00BC7E92" w:rsidRPr="000526BE" w:rsidRDefault="00BC7E92" w:rsidP="00347ACE">
            <w:pPr>
              <w:pStyle w:val="Tabletext"/>
              <w:keepNext/>
              <w:keepLines/>
              <w:jc w:val="center"/>
              <w:rPr>
                <w:color w:val="000000"/>
                <w:szCs w:val="20"/>
              </w:rPr>
            </w:pPr>
            <w:r w:rsidRPr="000526BE">
              <w:rPr>
                <w:color w:val="000000"/>
                <w:szCs w:val="20"/>
              </w:rPr>
              <w:t>13.229</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11.991</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1.239</w:t>
            </w:r>
          </w:p>
        </w:tc>
      </w:tr>
      <w:tr w:rsidR="00BC7E92" w:rsidRPr="000526BE" w:rsidTr="00347ACE">
        <w:tc>
          <w:tcPr>
            <w:tcW w:w="4162" w:type="pct"/>
            <w:gridSpan w:val="4"/>
            <w:vAlign w:val="center"/>
          </w:tcPr>
          <w:p w:rsidR="00BC7E92" w:rsidRPr="000526BE" w:rsidRDefault="00BC7E92" w:rsidP="00347ACE">
            <w:pPr>
              <w:pStyle w:val="Tabletext"/>
              <w:keepNext/>
              <w:keepLines/>
              <w:rPr>
                <w:bCs/>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zCs w:val="20"/>
              </w:rPr>
            </w:pPr>
            <w:r w:rsidRPr="000526BE">
              <w:rPr>
                <w:b/>
                <w:snapToGrid w:val="0"/>
                <w:szCs w:val="20"/>
              </w:rPr>
              <w:t xml:space="preserve">Step 6: </w:t>
            </w:r>
            <w:r w:rsidRPr="000526BE">
              <w:rPr>
                <w:b/>
                <w:szCs w:val="20"/>
              </w:rPr>
              <w:t>Incorporation of AE related costs</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Costs</w:t>
            </w:r>
          </w:p>
        </w:tc>
        <w:tc>
          <w:tcPr>
            <w:tcW w:w="1397" w:type="pct"/>
            <w:gridSpan w:val="2"/>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LYG</w:t>
            </w:r>
          </w:p>
        </w:tc>
        <w:tc>
          <w:tcPr>
            <w:tcW w:w="1397" w:type="pct"/>
            <w:gridSpan w:val="2"/>
          </w:tcPr>
          <w:p w:rsidR="00BC7E92" w:rsidRPr="000526BE" w:rsidRDefault="00BC7E92" w:rsidP="00347ACE">
            <w:pPr>
              <w:pStyle w:val="Tabletext"/>
              <w:keepNext/>
              <w:keepLines/>
              <w:jc w:val="center"/>
              <w:rPr>
                <w:color w:val="000000"/>
                <w:szCs w:val="20"/>
              </w:rPr>
            </w:pPr>
            <w:r w:rsidRPr="000526BE">
              <w:rPr>
                <w:color w:val="000000"/>
                <w:szCs w:val="20"/>
              </w:rPr>
              <w:t>13.229</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11.991</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1.239</w:t>
            </w:r>
          </w:p>
        </w:tc>
      </w:tr>
      <w:tr w:rsidR="00BC7E92" w:rsidRPr="000526BE" w:rsidTr="00347ACE">
        <w:tc>
          <w:tcPr>
            <w:tcW w:w="4162" w:type="pct"/>
            <w:gridSpan w:val="4"/>
            <w:vAlign w:val="center"/>
          </w:tcPr>
          <w:p w:rsidR="00BC7E92" w:rsidRPr="000526BE" w:rsidRDefault="00BC7E92" w:rsidP="00347ACE">
            <w:pPr>
              <w:pStyle w:val="Tabletext"/>
              <w:keepNext/>
              <w:keepLines/>
              <w:rPr>
                <w:bCs/>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zCs w:val="20"/>
              </w:rPr>
            </w:pPr>
            <w:r w:rsidRPr="000526BE">
              <w:rPr>
                <w:b/>
                <w:snapToGrid w:val="0"/>
                <w:szCs w:val="20"/>
              </w:rPr>
              <w:t xml:space="preserve">Step 7: </w:t>
            </w:r>
            <w:r w:rsidRPr="000526BE">
              <w:rPr>
                <w:b/>
                <w:szCs w:val="20"/>
              </w:rPr>
              <w:t>Inclusion of end of life costs</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Costs</w:t>
            </w:r>
          </w:p>
        </w:tc>
        <w:tc>
          <w:tcPr>
            <w:tcW w:w="1397" w:type="pct"/>
            <w:gridSpan w:val="2"/>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LYG</w:t>
            </w:r>
          </w:p>
        </w:tc>
        <w:tc>
          <w:tcPr>
            <w:tcW w:w="1397" w:type="pct"/>
            <w:gridSpan w:val="2"/>
          </w:tcPr>
          <w:p w:rsidR="00BC7E92" w:rsidRPr="000526BE" w:rsidRDefault="00BC7E92" w:rsidP="00347ACE">
            <w:pPr>
              <w:pStyle w:val="Tabletext"/>
              <w:keepNext/>
              <w:keepLines/>
              <w:jc w:val="center"/>
              <w:rPr>
                <w:color w:val="000000"/>
                <w:szCs w:val="20"/>
              </w:rPr>
            </w:pPr>
            <w:r w:rsidRPr="000526BE">
              <w:rPr>
                <w:color w:val="000000"/>
                <w:szCs w:val="20"/>
              </w:rPr>
              <w:t>13.229</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11.991</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1.239</w:t>
            </w:r>
          </w:p>
        </w:tc>
      </w:tr>
      <w:tr w:rsidR="00BC7E92" w:rsidRPr="000526BE" w:rsidTr="00347ACE">
        <w:tc>
          <w:tcPr>
            <w:tcW w:w="4162" w:type="pct"/>
            <w:gridSpan w:val="4"/>
            <w:vAlign w:val="center"/>
          </w:tcPr>
          <w:p w:rsidR="00BC7E92" w:rsidRPr="000526BE" w:rsidRDefault="00BC7E92" w:rsidP="00347ACE">
            <w:pPr>
              <w:pStyle w:val="Tabletext"/>
              <w:keepNext/>
              <w:keepLines/>
              <w:rPr>
                <w:bCs/>
                <w:szCs w:val="20"/>
              </w:rPr>
            </w:pPr>
            <w:r w:rsidRPr="000526BE">
              <w:rPr>
                <w:szCs w:val="20"/>
              </w:rPr>
              <w:t>Incremental cost/extra LYG gained</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r w:rsidR="00BC7E92" w:rsidRPr="000526BE" w:rsidTr="00347ACE">
        <w:tc>
          <w:tcPr>
            <w:tcW w:w="5000" w:type="pct"/>
            <w:gridSpan w:val="5"/>
            <w:vAlign w:val="center"/>
          </w:tcPr>
          <w:p w:rsidR="00BC7E92" w:rsidRPr="000526BE" w:rsidRDefault="00BC7E92" w:rsidP="00347ACE">
            <w:pPr>
              <w:pStyle w:val="Tabletext"/>
              <w:keepNext/>
              <w:keepLines/>
              <w:rPr>
                <w:b/>
                <w:szCs w:val="20"/>
              </w:rPr>
            </w:pPr>
            <w:r w:rsidRPr="000526BE">
              <w:rPr>
                <w:b/>
                <w:snapToGrid w:val="0"/>
                <w:szCs w:val="20"/>
              </w:rPr>
              <w:t xml:space="preserve">Step 8: </w:t>
            </w:r>
            <w:r w:rsidRPr="000526BE">
              <w:rPr>
                <w:b/>
                <w:szCs w:val="20"/>
              </w:rPr>
              <w:t>Incorporation of utility values to determine QALYs (base-case analysis)</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Costs</w:t>
            </w:r>
          </w:p>
        </w:tc>
        <w:tc>
          <w:tcPr>
            <w:tcW w:w="1397" w:type="pct"/>
            <w:gridSpan w:val="2"/>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1274"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c>
          <w:tcPr>
            <w:tcW w:w="838" w:type="pct"/>
          </w:tcPr>
          <w:p w:rsidR="00BC7E92" w:rsidRPr="000526BE" w:rsidRDefault="00BC7E92" w:rsidP="00347ACE">
            <w:pPr>
              <w:pStyle w:val="Tabletext"/>
              <w:keepNext/>
              <w:keepLines/>
              <w:jc w:val="center"/>
              <w:rPr>
                <w:color w:val="000000"/>
                <w:szCs w:val="20"/>
              </w:rPr>
            </w:pPr>
            <w:r w:rsidRPr="000526BE">
              <w:rPr>
                <w:color w:val="000000"/>
                <w:szCs w:val="20"/>
              </w:rPr>
              <w:t>$</w:t>
            </w:r>
            <w:r w:rsidR="00756F83">
              <w:rPr>
                <w:noProof/>
                <w:color w:val="000000"/>
                <w:szCs w:val="20"/>
                <w:highlight w:val="black"/>
              </w:rPr>
              <w:t>'''''''''''''''''</w:t>
            </w:r>
          </w:p>
        </w:tc>
      </w:tr>
      <w:tr w:rsidR="00BC7E92" w:rsidRPr="000526BE" w:rsidTr="00347ACE">
        <w:tc>
          <w:tcPr>
            <w:tcW w:w="1491" w:type="pct"/>
            <w:vAlign w:val="center"/>
          </w:tcPr>
          <w:p w:rsidR="00BC7E92" w:rsidRPr="000526BE" w:rsidRDefault="00BC7E92" w:rsidP="00347ACE">
            <w:pPr>
              <w:pStyle w:val="Tabletext"/>
              <w:keepNext/>
              <w:keepLines/>
              <w:rPr>
                <w:b/>
                <w:szCs w:val="20"/>
              </w:rPr>
            </w:pPr>
            <w:r w:rsidRPr="000526BE">
              <w:rPr>
                <w:szCs w:val="20"/>
              </w:rPr>
              <w:t>QALYs</w:t>
            </w:r>
          </w:p>
        </w:tc>
        <w:tc>
          <w:tcPr>
            <w:tcW w:w="1397" w:type="pct"/>
            <w:gridSpan w:val="2"/>
          </w:tcPr>
          <w:p w:rsidR="00BC7E92" w:rsidRPr="00756F83" w:rsidRDefault="00756F83" w:rsidP="00347ACE">
            <w:pPr>
              <w:pStyle w:val="Tabletext"/>
              <w:keepNext/>
              <w:keepLines/>
              <w:jc w:val="center"/>
              <w:rPr>
                <w:color w:val="000000"/>
                <w:szCs w:val="20"/>
                <w:highlight w:val="black"/>
              </w:rPr>
            </w:pPr>
            <w:r>
              <w:rPr>
                <w:noProof/>
                <w:color w:val="000000"/>
                <w:szCs w:val="20"/>
                <w:highlight w:val="black"/>
              </w:rPr>
              <w:t>'''''''''''''''''</w:t>
            </w:r>
          </w:p>
        </w:tc>
        <w:tc>
          <w:tcPr>
            <w:tcW w:w="1274" w:type="pct"/>
          </w:tcPr>
          <w:p w:rsidR="00BC7E92" w:rsidRPr="00756F83" w:rsidRDefault="00756F83" w:rsidP="00347ACE">
            <w:pPr>
              <w:pStyle w:val="Tabletext"/>
              <w:keepNext/>
              <w:keepLines/>
              <w:jc w:val="center"/>
              <w:rPr>
                <w:color w:val="000000"/>
                <w:szCs w:val="20"/>
                <w:highlight w:val="black"/>
              </w:rPr>
            </w:pPr>
            <w:r>
              <w:rPr>
                <w:noProof/>
                <w:color w:val="000000"/>
                <w:szCs w:val="20"/>
                <w:highlight w:val="black"/>
              </w:rPr>
              <w:t>'''''''''''''''</w:t>
            </w:r>
          </w:p>
        </w:tc>
        <w:tc>
          <w:tcPr>
            <w:tcW w:w="838" w:type="pct"/>
          </w:tcPr>
          <w:p w:rsidR="00BC7E92" w:rsidRPr="00756F83" w:rsidRDefault="00756F83" w:rsidP="00347ACE">
            <w:pPr>
              <w:pStyle w:val="Tabletext"/>
              <w:keepNext/>
              <w:keepLines/>
              <w:jc w:val="center"/>
              <w:rPr>
                <w:color w:val="000000"/>
                <w:szCs w:val="20"/>
                <w:highlight w:val="black"/>
              </w:rPr>
            </w:pPr>
            <w:r>
              <w:rPr>
                <w:noProof/>
                <w:color w:val="000000"/>
                <w:szCs w:val="20"/>
                <w:highlight w:val="black"/>
              </w:rPr>
              <w:t>''''''''''''''</w:t>
            </w:r>
          </w:p>
        </w:tc>
      </w:tr>
      <w:tr w:rsidR="00BC7E92" w:rsidRPr="000526BE" w:rsidTr="00347ACE">
        <w:tc>
          <w:tcPr>
            <w:tcW w:w="4162" w:type="pct"/>
            <w:gridSpan w:val="4"/>
            <w:vAlign w:val="center"/>
          </w:tcPr>
          <w:p w:rsidR="00BC7E92" w:rsidRPr="000526BE" w:rsidRDefault="00BC7E92" w:rsidP="00347ACE">
            <w:pPr>
              <w:pStyle w:val="Tabletext"/>
              <w:keepNext/>
              <w:keepLines/>
              <w:rPr>
                <w:bCs/>
                <w:szCs w:val="20"/>
              </w:rPr>
            </w:pPr>
            <w:r w:rsidRPr="000526BE">
              <w:rPr>
                <w:bCs/>
                <w:szCs w:val="20"/>
              </w:rPr>
              <w:t>Incremental cost/extra QALY gained (base case)</w:t>
            </w:r>
          </w:p>
        </w:tc>
        <w:tc>
          <w:tcPr>
            <w:tcW w:w="838" w:type="pct"/>
            <w:vAlign w:val="center"/>
          </w:tcPr>
          <w:p w:rsidR="00BC7E92" w:rsidRPr="000526BE" w:rsidRDefault="00BC7E92" w:rsidP="00347ACE">
            <w:pPr>
              <w:pStyle w:val="Tabletext"/>
              <w:keepNext/>
              <w:keepLines/>
              <w:jc w:val="center"/>
              <w:rPr>
                <w:bCs/>
                <w:szCs w:val="20"/>
              </w:rPr>
            </w:pPr>
            <w:r w:rsidRPr="000526BE">
              <w:rPr>
                <w:bCs/>
                <w:szCs w:val="20"/>
              </w:rPr>
              <w:t>$</w:t>
            </w:r>
            <w:r w:rsidR="00756F83">
              <w:rPr>
                <w:bCs/>
                <w:noProof/>
                <w:color w:val="000000"/>
                <w:szCs w:val="20"/>
                <w:highlight w:val="black"/>
              </w:rPr>
              <w:t>'''''''''''''''</w:t>
            </w:r>
          </w:p>
        </w:tc>
      </w:tr>
    </w:tbl>
    <w:p w:rsidR="00BC7E92" w:rsidRPr="000526BE" w:rsidRDefault="00BC7E92" w:rsidP="00BC7E92">
      <w:pPr>
        <w:rPr>
          <w:rFonts w:ascii="Arial Narrow" w:hAnsi="Arial Narrow" w:cs="Calibri"/>
          <w:bCs/>
          <w:sz w:val="18"/>
          <w:szCs w:val="18"/>
        </w:rPr>
      </w:pPr>
      <w:r w:rsidRPr="000526BE">
        <w:rPr>
          <w:rFonts w:ascii="Arial Narrow" w:hAnsi="Arial Narrow" w:cs="Calibri"/>
          <w:bCs/>
          <w:sz w:val="18"/>
          <w:szCs w:val="18"/>
        </w:rPr>
        <w:t xml:space="preserve">Source: </w:t>
      </w:r>
      <w:r w:rsidR="003A7041" w:rsidRPr="000526BE">
        <w:rPr>
          <w:rFonts w:ascii="Arial Narrow" w:hAnsi="Arial Narrow" w:cs="Calibri"/>
          <w:bCs/>
          <w:sz w:val="18"/>
          <w:szCs w:val="18"/>
        </w:rPr>
        <w:t>page 5, pre-PBAC response</w:t>
      </w:r>
    </w:p>
    <w:p w:rsidR="00BC7E92" w:rsidRPr="000526BE" w:rsidRDefault="00BC7E92" w:rsidP="00BC7E92">
      <w:pPr>
        <w:rPr>
          <w:rFonts w:ascii="Arial Narrow" w:hAnsi="Arial Narrow" w:cs="Calibri"/>
          <w:bCs/>
          <w:sz w:val="18"/>
          <w:szCs w:val="18"/>
        </w:rPr>
      </w:pPr>
      <w:r w:rsidRPr="000526BE">
        <w:rPr>
          <w:rFonts w:ascii="Arial Narrow" w:hAnsi="Arial Narrow" w:cs="Calibri"/>
          <w:bCs/>
          <w:sz w:val="18"/>
          <w:szCs w:val="18"/>
        </w:rPr>
        <w:t>Updates applied in economic evaluation.xlsx:</w:t>
      </w:r>
    </w:p>
    <w:p w:rsidR="00BC7E92" w:rsidRPr="000526BE" w:rsidRDefault="00BC7E92" w:rsidP="00BC7E92">
      <w:pPr>
        <w:rPr>
          <w:rFonts w:ascii="Arial Narrow" w:hAnsi="Arial Narrow" w:cs="Calibri"/>
          <w:bCs/>
          <w:sz w:val="18"/>
          <w:szCs w:val="18"/>
        </w:rPr>
      </w:pPr>
      <w:r w:rsidRPr="000526BE">
        <w:rPr>
          <w:rFonts w:ascii="Arial Narrow" w:hAnsi="Arial Narrow" w:cs="Calibri"/>
          <w:bCs/>
          <w:sz w:val="18"/>
          <w:szCs w:val="18"/>
        </w:rPr>
        <w:t>Updated trastuzumab ex-manufacturer price: eBC: 150mg: $</w:t>
      </w:r>
      <w:r w:rsidR="00756F83">
        <w:rPr>
          <w:rFonts w:ascii="Arial Narrow" w:hAnsi="Arial Narrow" w:cs="Calibri"/>
          <w:bCs/>
          <w:noProof/>
          <w:color w:val="000000"/>
          <w:sz w:val="18"/>
          <w:szCs w:val="18"/>
          <w:highlight w:val="black"/>
        </w:rPr>
        <w:t>'''''''''''''''</w:t>
      </w:r>
      <w:r w:rsidRPr="000526BE">
        <w:rPr>
          <w:rFonts w:ascii="Arial Narrow" w:hAnsi="Arial Narrow" w:cs="Calibri"/>
          <w:bCs/>
          <w:sz w:val="18"/>
          <w:szCs w:val="18"/>
        </w:rPr>
        <w:t>, 60mg: $</w:t>
      </w:r>
      <w:r w:rsidR="00756F83">
        <w:rPr>
          <w:rFonts w:ascii="Arial Narrow" w:hAnsi="Arial Narrow" w:cs="Calibri"/>
          <w:bCs/>
          <w:noProof/>
          <w:color w:val="000000"/>
          <w:sz w:val="18"/>
          <w:szCs w:val="18"/>
          <w:highlight w:val="black"/>
        </w:rPr>
        <w:t>'''''''''''''''''</w:t>
      </w:r>
      <w:r w:rsidRPr="000526BE">
        <w:rPr>
          <w:rFonts w:ascii="Arial Narrow" w:hAnsi="Arial Narrow" w:cs="Calibri"/>
          <w:bCs/>
          <w:sz w:val="18"/>
          <w:szCs w:val="18"/>
        </w:rPr>
        <w:t>; mBC: 150mg: $</w:t>
      </w:r>
      <w:r w:rsidR="00756F83">
        <w:rPr>
          <w:rFonts w:ascii="Arial Narrow" w:hAnsi="Arial Narrow" w:cs="Calibri"/>
          <w:bCs/>
          <w:noProof/>
          <w:color w:val="000000"/>
          <w:sz w:val="18"/>
          <w:szCs w:val="18"/>
          <w:highlight w:val="black"/>
        </w:rPr>
        <w:t>''''''''''''''''</w:t>
      </w:r>
      <w:r w:rsidRPr="000526BE">
        <w:rPr>
          <w:rFonts w:ascii="Arial Narrow" w:hAnsi="Arial Narrow" w:cs="Calibri"/>
          <w:bCs/>
          <w:sz w:val="18"/>
          <w:szCs w:val="18"/>
        </w:rPr>
        <w:t>, 60mg: $</w:t>
      </w:r>
      <w:r w:rsidR="00756F83">
        <w:rPr>
          <w:rFonts w:ascii="Arial Narrow" w:hAnsi="Arial Narrow" w:cs="Calibri"/>
          <w:bCs/>
          <w:noProof/>
          <w:color w:val="000000"/>
          <w:sz w:val="18"/>
          <w:szCs w:val="18"/>
          <w:highlight w:val="black"/>
        </w:rPr>
        <w:t>'''''''''''''''</w:t>
      </w:r>
    </w:p>
    <w:p w:rsidR="00BC7E92" w:rsidRPr="000526BE" w:rsidRDefault="00BC7E92" w:rsidP="00BC7E92">
      <w:pPr>
        <w:rPr>
          <w:rFonts w:ascii="Arial Narrow" w:hAnsi="Arial Narrow" w:cs="Calibri"/>
          <w:bCs/>
          <w:sz w:val="18"/>
          <w:szCs w:val="18"/>
        </w:rPr>
      </w:pPr>
      <w:r w:rsidRPr="000526BE">
        <w:rPr>
          <w:rFonts w:ascii="Arial Narrow" w:hAnsi="Arial Narrow" w:cs="Calibri"/>
          <w:bCs/>
          <w:sz w:val="18"/>
          <w:szCs w:val="18"/>
        </w:rPr>
        <w:t>Replaced MBS item 13918 with MBS item 13915 ($66.10)</w:t>
      </w:r>
    </w:p>
    <w:p w:rsidR="00BC7E92" w:rsidRPr="000526BE" w:rsidRDefault="00BC7E92" w:rsidP="00BC7E92">
      <w:pPr>
        <w:rPr>
          <w:rFonts w:ascii="Arial Narrow" w:hAnsi="Arial Narrow" w:cs="Calibri"/>
          <w:bCs/>
          <w:sz w:val="18"/>
          <w:szCs w:val="18"/>
        </w:rPr>
      </w:pPr>
      <w:r w:rsidRPr="000526BE">
        <w:rPr>
          <w:rFonts w:ascii="Arial Narrow" w:hAnsi="Arial Narrow" w:cs="Calibri"/>
          <w:bCs/>
          <w:sz w:val="18"/>
          <w:szCs w:val="18"/>
        </w:rPr>
        <w:t>Updated MBS item 105 to current fee: $44.35</w:t>
      </w:r>
    </w:p>
    <w:p w:rsidR="00BC7E92" w:rsidRDefault="00BC7E92" w:rsidP="00BC7E92">
      <w:pPr>
        <w:rPr>
          <w:rFonts w:ascii="Arial Narrow" w:hAnsi="Arial Narrow" w:cs="Calibri"/>
          <w:bCs/>
          <w:sz w:val="18"/>
          <w:szCs w:val="18"/>
        </w:rPr>
      </w:pPr>
      <w:r w:rsidRPr="000526BE">
        <w:rPr>
          <w:rFonts w:ascii="Arial Narrow" w:hAnsi="Arial Narrow" w:cs="Calibri"/>
          <w:bCs/>
          <w:sz w:val="18"/>
          <w:szCs w:val="18"/>
        </w:rPr>
        <w:t>Updated PBS fees to current amounts: Public: $85.06, Private: $124.82, Private for trastuzumab: $97.80</w:t>
      </w:r>
    </w:p>
    <w:p w:rsidR="008C27D3" w:rsidRPr="000526BE" w:rsidRDefault="008C27D3" w:rsidP="00BC7E92">
      <w:pPr>
        <w:rPr>
          <w:rFonts w:ascii="Arial Narrow" w:hAnsi="Arial Narrow" w:cs="Calibri"/>
          <w:bCs/>
          <w:sz w:val="18"/>
          <w:szCs w:val="18"/>
        </w:rPr>
      </w:pPr>
    </w:p>
    <w:p w:rsidR="00B61A0B" w:rsidRPr="000526BE" w:rsidRDefault="00B61A0B" w:rsidP="00A2058D">
      <w:pPr>
        <w:pStyle w:val="ListParagraph"/>
        <w:widowControl/>
        <w:numPr>
          <w:ilvl w:val="1"/>
          <w:numId w:val="2"/>
        </w:numPr>
      </w:pPr>
      <w:r w:rsidRPr="000526BE">
        <w:t xml:space="preserve">Traces for the model results are presented in Figure </w:t>
      </w:r>
      <w:r w:rsidR="00901F49" w:rsidRPr="000526BE">
        <w:t>4</w:t>
      </w:r>
      <w:r w:rsidRPr="000526BE">
        <w:t xml:space="preserve">. </w:t>
      </w:r>
      <w:r w:rsidRPr="000526BE">
        <w:rPr>
          <w:iCs/>
        </w:rPr>
        <w:t>Time spent in the iDFS health state is the key driver of the clinical benefit in the model.</w:t>
      </w:r>
      <w:r w:rsidRPr="000526BE">
        <w:t xml:space="preserve"> </w:t>
      </w:r>
    </w:p>
    <w:p w:rsidR="00B61A0B" w:rsidRPr="000526BE" w:rsidRDefault="00B61A0B" w:rsidP="00B61A0B">
      <w:pPr>
        <w:pStyle w:val="TableHeading0"/>
      </w:pPr>
      <w:r w:rsidRPr="000526BE">
        <w:t xml:space="preserve">Figure </w:t>
      </w:r>
      <w:r w:rsidR="00901F49" w:rsidRPr="000526BE">
        <w:t>4</w:t>
      </w:r>
      <w:r w:rsidRPr="000526BE">
        <w:t>: Modelled post-progression health states for patients treated with T</w:t>
      </w:r>
      <w:r w:rsidRPr="000526BE">
        <w:noBreakHyphen/>
        <w:t>DM1 and trastuzumab</w:t>
      </w:r>
    </w:p>
    <w:p w:rsidR="00B61A0B" w:rsidRPr="000526BE" w:rsidRDefault="00B61A0B" w:rsidP="00B61A0B">
      <w:r w:rsidRPr="000526BE">
        <w:rPr>
          <w:noProof/>
          <w:lang w:eastAsia="en-AU"/>
        </w:rPr>
        <w:drawing>
          <wp:inline distT="0" distB="0" distL="0" distR="0" wp14:anchorId="1E26C3CA" wp14:editId="63AEDBFC">
            <wp:extent cx="5762847" cy="2504094"/>
            <wp:effectExtent l="19050" t="19050" r="9525" b="10795"/>
            <wp:docPr id="6" name="Picture 6" title="Figure 4: Modelled post-progression health states for patients treated with T DM1 and trastu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1483" cy="2507846"/>
                    </a:xfrm>
                    <a:prstGeom prst="rect">
                      <a:avLst/>
                    </a:prstGeom>
                    <a:noFill/>
                    <a:ln>
                      <a:solidFill>
                        <a:schemeClr val="tx1"/>
                      </a:solidFill>
                    </a:ln>
                  </pic:spPr>
                </pic:pic>
              </a:graphicData>
            </a:graphic>
          </wp:inline>
        </w:drawing>
      </w:r>
    </w:p>
    <w:p w:rsidR="00B61A0B" w:rsidRPr="000526BE" w:rsidRDefault="00B61A0B" w:rsidP="00B61A0B">
      <w:pPr>
        <w:pStyle w:val="TableFooter"/>
      </w:pPr>
      <w:r w:rsidRPr="000526BE">
        <w:t xml:space="preserve">Abbreviations: mBC= metastatic breast cancer; T-DM1= trastuzumab emtansine </w:t>
      </w:r>
    </w:p>
    <w:p w:rsidR="000B19FC" w:rsidRPr="000526BE" w:rsidRDefault="00B61A0B" w:rsidP="00826E5B">
      <w:pPr>
        <w:spacing w:after="120"/>
        <w:rPr>
          <w:rFonts w:ascii="Arial Narrow" w:hAnsi="Arial Narrow"/>
          <w:sz w:val="18"/>
        </w:rPr>
      </w:pPr>
      <w:r w:rsidRPr="000526BE">
        <w:rPr>
          <w:rFonts w:ascii="Arial Narrow" w:hAnsi="Arial Narrow"/>
          <w:sz w:val="18"/>
        </w:rPr>
        <w:t xml:space="preserve">Source: Figure 3.12, p103 of the submission. </w:t>
      </w:r>
    </w:p>
    <w:p w:rsidR="000B19FC" w:rsidRPr="000526BE" w:rsidRDefault="000B19FC" w:rsidP="00A2058D">
      <w:pPr>
        <w:pStyle w:val="ListParagraph"/>
        <w:widowControl/>
        <w:numPr>
          <w:ilvl w:val="1"/>
          <w:numId w:val="2"/>
        </w:numPr>
      </w:pPr>
      <w:r w:rsidRPr="000526BE">
        <w:t xml:space="preserve">The submission presented Markov traces showing the proportion of patients in the iDFS health state and alive at any given time over the 40-year time horizon (Figure </w:t>
      </w:r>
      <w:r w:rsidR="00901F49" w:rsidRPr="000526BE">
        <w:t>5</w:t>
      </w:r>
      <w:r w:rsidRPr="000526BE">
        <w:t xml:space="preserve">). </w:t>
      </w:r>
    </w:p>
    <w:p w:rsidR="000B19FC" w:rsidRPr="000526BE" w:rsidRDefault="000B19FC" w:rsidP="000B19FC">
      <w:pPr>
        <w:pStyle w:val="TableHeading0"/>
      </w:pPr>
      <w:r w:rsidRPr="000526BE">
        <w:t xml:space="preserve">Figure </w:t>
      </w:r>
      <w:r w:rsidR="00901F49" w:rsidRPr="000526BE">
        <w:t>5</w:t>
      </w:r>
      <w:r w:rsidRPr="000526BE">
        <w:t>: Modelled iDFS and overall survival for patients treated with T-DM1 and trastuzumab</w:t>
      </w:r>
    </w:p>
    <w:p w:rsidR="005623B9" w:rsidRPr="000526BE" w:rsidRDefault="005623B9" w:rsidP="000B19FC">
      <w:pPr>
        <w:pStyle w:val="TableHeading0"/>
      </w:pPr>
      <w:r w:rsidRPr="000526BE">
        <w:rPr>
          <w:noProof/>
          <w:lang w:eastAsia="en-AU"/>
        </w:rPr>
        <w:drawing>
          <wp:inline distT="0" distB="0" distL="0" distR="0" wp14:anchorId="7EB187ED" wp14:editId="54458F34">
            <wp:extent cx="5810250" cy="3310255"/>
            <wp:effectExtent l="0" t="0" r="0" b="4445"/>
            <wp:docPr id="3" name="Picture 3" title="Figure 5: Modelled iDFS and overall survival for patients treated with T-DM1 and trastu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3310255"/>
                    </a:xfrm>
                    <a:prstGeom prst="rect">
                      <a:avLst/>
                    </a:prstGeom>
                    <a:noFill/>
                  </pic:spPr>
                </pic:pic>
              </a:graphicData>
            </a:graphic>
          </wp:inline>
        </w:drawing>
      </w:r>
    </w:p>
    <w:p w:rsidR="000B19FC" w:rsidRPr="000526BE" w:rsidRDefault="000B19FC" w:rsidP="000B19FC">
      <w:pPr>
        <w:pStyle w:val="TableFooter"/>
      </w:pPr>
      <w:r w:rsidRPr="000526BE">
        <w:t>Abbreviations: iDFS= invasive disease-free survival; KM= Kaplan Meier; OS= overall survival; T-DM1= trastuzumab emtansine.</w:t>
      </w:r>
    </w:p>
    <w:p w:rsidR="000B19FC" w:rsidRPr="000526BE" w:rsidRDefault="000B19FC" w:rsidP="00E31723">
      <w:pPr>
        <w:pStyle w:val="TableFooter"/>
        <w:spacing w:after="120"/>
      </w:pPr>
      <w:r w:rsidRPr="000526BE">
        <w:t xml:space="preserve">Source: Figure 3.11, p102 of the submission. </w:t>
      </w:r>
    </w:p>
    <w:p w:rsidR="009276C8" w:rsidRPr="000526BE" w:rsidRDefault="009276C8" w:rsidP="001C65BD">
      <w:pPr>
        <w:widowControl/>
        <w:rPr>
          <w:b/>
          <w:iCs/>
        </w:rPr>
      </w:pPr>
    </w:p>
    <w:p w:rsidR="00403162" w:rsidRPr="000526BE" w:rsidRDefault="00B61A0B" w:rsidP="00A2058D">
      <w:pPr>
        <w:pStyle w:val="ListParagraph"/>
        <w:widowControl/>
        <w:numPr>
          <w:ilvl w:val="1"/>
          <w:numId w:val="2"/>
        </w:numPr>
        <w:rPr>
          <w:iCs/>
        </w:rPr>
      </w:pPr>
      <w:r w:rsidRPr="000526BE">
        <w:t xml:space="preserve">The number of recurrence events and resulting number of recurrences avoided by substituting trastuzumab with T-DM1 for the trial duration and the time horizon of the economic evaluation are presented in Table </w:t>
      </w:r>
      <w:r w:rsidR="004E7837">
        <w:t>13</w:t>
      </w:r>
      <w:r w:rsidRPr="000526BE">
        <w:t>. These results indicate that while the model predicts a doubling in the recurrence events avoided over time</w:t>
      </w:r>
      <w:r w:rsidR="007F5F14" w:rsidRPr="000526BE">
        <w:t xml:space="preserve"> (40 years)</w:t>
      </w:r>
      <w:r w:rsidRPr="000526BE">
        <w:t>, the allocation of those events is weighted towards distant disease</w:t>
      </w:r>
      <w:r w:rsidR="000C7599" w:rsidRPr="000526BE">
        <w:t>; the base case</w:t>
      </w:r>
      <w:r w:rsidR="00AE5C20" w:rsidRPr="000526BE">
        <w:t xml:space="preserve"> ICER largely relies on avoiding distant recurrence in 16% of patients over a 40-year time horizon</w:t>
      </w:r>
      <w:r w:rsidRPr="000526BE">
        <w:t xml:space="preserve">. </w:t>
      </w:r>
      <w:r w:rsidR="00401F08" w:rsidRPr="000526BE">
        <w:rPr>
          <w:iCs/>
        </w:rPr>
        <w:t>Over the 40-year time horizon the model estimated that each patient</w:t>
      </w:r>
      <w:r w:rsidR="0075712F" w:rsidRPr="000526BE">
        <w:rPr>
          <w:iCs/>
        </w:rPr>
        <w:t xml:space="preserve"> treated with T-DM1 gained </w:t>
      </w:r>
      <w:r w:rsidR="00522854" w:rsidRPr="000526BE">
        <w:rPr>
          <w:iCs/>
        </w:rPr>
        <w:t>2.973</w:t>
      </w:r>
      <w:r w:rsidR="00401F08" w:rsidRPr="000526BE">
        <w:rPr>
          <w:iCs/>
        </w:rPr>
        <w:t xml:space="preserve"> life years</w:t>
      </w:r>
      <w:r w:rsidR="00522854" w:rsidRPr="000526BE">
        <w:rPr>
          <w:iCs/>
        </w:rPr>
        <w:t xml:space="preserve"> (297.3</w:t>
      </w:r>
      <w:r w:rsidR="0075712F" w:rsidRPr="000526BE">
        <w:rPr>
          <w:iCs/>
        </w:rPr>
        <w:t xml:space="preserve"> per 100 patients</w:t>
      </w:r>
      <w:r w:rsidR="00522854" w:rsidRPr="000526BE">
        <w:rPr>
          <w:iCs/>
        </w:rPr>
        <w:t>, undiscounted</w:t>
      </w:r>
      <w:r w:rsidR="0075712F" w:rsidRPr="000526BE">
        <w:rPr>
          <w:iCs/>
        </w:rPr>
        <w:t>)</w:t>
      </w:r>
      <w:r w:rsidR="00401F08" w:rsidRPr="000526BE">
        <w:rPr>
          <w:iCs/>
        </w:rPr>
        <w:t>. T</w:t>
      </w:r>
      <w:r w:rsidR="00522854" w:rsidRPr="000526BE">
        <w:rPr>
          <w:iCs/>
        </w:rPr>
        <w:t>hus, there were 12.1 (297.3</w:t>
      </w:r>
      <w:r w:rsidR="00401F08" w:rsidRPr="000526BE">
        <w:rPr>
          <w:iCs/>
        </w:rPr>
        <w:t>/24.5) life years gain</w:t>
      </w:r>
      <w:r w:rsidR="00522854" w:rsidRPr="000526BE">
        <w:rPr>
          <w:iCs/>
        </w:rPr>
        <w:t>ed per recurrence avoided or 18.7</w:t>
      </w:r>
      <w:r w:rsidR="00401F08" w:rsidRPr="000526BE">
        <w:rPr>
          <w:iCs/>
        </w:rPr>
        <w:t xml:space="preserve"> (</w:t>
      </w:r>
      <w:r w:rsidR="00522854" w:rsidRPr="000526BE">
        <w:rPr>
          <w:iCs/>
        </w:rPr>
        <w:t>297.3</w:t>
      </w:r>
      <w:r w:rsidR="00401F08" w:rsidRPr="000526BE">
        <w:rPr>
          <w:iCs/>
        </w:rPr>
        <w:t>/15.9) life years gained p</w:t>
      </w:r>
      <w:r w:rsidR="00C90979" w:rsidRPr="000526BE">
        <w:rPr>
          <w:iCs/>
        </w:rPr>
        <w:t xml:space="preserve">er distant recurrence avoided. </w:t>
      </w:r>
      <w:r w:rsidRPr="000526BE">
        <w:t>Since</w:t>
      </w:r>
      <w:r w:rsidRPr="000526BE">
        <w:rPr>
          <w:iCs/>
        </w:rPr>
        <w:t xml:space="preserve"> the occurrence of distant events relies on applying transitional probabilities from studies outside of KATHERINE to the KATHERINE trial, this increases the uncertainty associated with those estimates.</w:t>
      </w:r>
    </w:p>
    <w:p w:rsidR="00B61A0B" w:rsidRPr="000526BE" w:rsidRDefault="00B61A0B" w:rsidP="00B61A0B">
      <w:pPr>
        <w:pStyle w:val="TableHeading0"/>
      </w:pPr>
      <w:r w:rsidRPr="000526BE">
        <w:t xml:space="preserve">Table </w:t>
      </w:r>
      <w:r w:rsidR="00187A07" w:rsidRPr="000526BE">
        <w:t>1</w:t>
      </w:r>
      <w:r w:rsidR="004E7837">
        <w:t>3</w:t>
      </w:r>
      <w:r w:rsidRPr="000526BE">
        <w:t>: Recurrence events (undiscounted)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09"/>
        <w:gridCol w:w="1589"/>
        <w:gridCol w:w="1843"/>
        <w:gridCol w:w="2076"/>
      </w:tblGrid>
      <w:tr w:rsidR="00B61A0B" w:rsidRPr="000526BE" w:rsidTr="008502E0">
        <w:trPr>
          <w:tblHeader/>
        </w:trPr>
        <w:tc>
          <w:tcPr>
            <w:tcW w:w="1946" w:type="pct"/>
            <w:shd w:val="clear" w:color="auto" w:fill="auto"/>
            <w:vAlign w:val="center"/>
          </w:tcPr>
          <w:p w:rsidR="00B61A0B" w:rsidRPr="000526BE" w:rsidRDefault="00B61A0B" w:rsidP="007A7D2F">
            <w:pPr>
              <w:pStyle w:val="TableText1"/>
              <w:rPr>
                <w:rFonts w:ascii="Arial Narrow" w:hAnsi="Arial Narrow"/>
                <w:b/>
              </w:rPr>
            </w:pPr>
            <w:r w:rsidRPr="000526BE">
              <w:rPr>
                <w:rFonts w:ascii="Arial Narrow" w:hAnsi="Arial Narrow"/>
                <w:b/>
              </w:rPr>
              <w:t>Recurrence event</w:t>
            </w:r>
          </w:p>
        </w:tc>
        <w:tc>
          <w:tcPr>
            <w:tcW w:w="881" w:type="pct"/>
            <w:shd w:val="clear" w:color="auto" w:fill="auto"/>
            <w:vAlign w:val="center"/>
          </w:tcPr>
          <w:p w:rsidR="00B61A0B" w:rsidRPr="000526BE" w:rsidRDefault="00B61A0B" w:rsidP="007A7D2F">
            <w:pPr>
              <w:pStyle w:val="TableText1"/>
              <w:jc w:val="center"/>
              <w:rPr>
                <w:rFonts w:ascii="Arial Narrow" w:hAnsi="Arial Narrow"/>
                <w:b/>
              </w:rPr>
            </w:pPr>
            <w:r w:rsidRPr="000526BE">
              <w:rPr>
                <w:rFonts w:ascii="Arial Narrow" w:hAnsi="Arial Narrow"/>
                <w:b/>
              </w:rPr>
              <w:t>T</w:t>
            </w:r>
            <w:r w:rsidRPr="000526BE">
              <w:rPr>
                <w:rFonts w:ascii="Arial Narrow" w:hAnsi="Arial Narrow"/>
                <w:b/>
              </w:rPr>
              <w:noBreakHyphen/>
              <w:t>DM1</w:t>
            </w:r>
          </w:p>
        </w:tc>
        <w:tc>
          <w:tcPr>
            <w:tcW w:w="1022" w:type="pct"/>
            <w:shd w:val="clear" w:color="auto" w:fill="auto"/>
            <w:vAlign w:val="center"/>
          </w:tcPr>
          <w:p w:rsidR="00B61A0B" w:rsidRPr="000526BE" w:rsidRDefault="00B61A0B" w:rsidP="007A7D2F">
            <w:pPr>
              <w:pStyle w:val="TableText1"/>
              <w:jc w:val="center"/>
              <w:rPr>
                <w:rFonts w:ascii="Arial Narrow" w:hAnsi="Arial Narrow"/>
                <w:b/>
              </w:rPr>
            </w:pPr>
            <w:r w:rsidRPr="000526BE">
              <w:rPr>
                <w:rFonts w:ascii="Arial Narrow" w:hAnsi="Arial Narrow"/>
                <w:b/>
              </w:rPr>
              <w:t>Trastuzumab</w:t>
            </w:r>
          </w:p>
        </w:tc>
        <w:tc>
          <w:tcPr>
            <w:tcW w:w="1151" w:type="pct"/>
            <w:shd w:val="clear" w:color="auto" w:fill="auto"/>
            <w:vAlign w:val="center"/>
          </w:tcPr>
          <w:p w:rsidR="00B61A0B" w:rsidRPr="000526BE" w:rsidRDefault="00B61A0B" w:rsidP="007A7D2F">
            <w:pPr>
              <w:pStyle w:val="TableText1"/>
              <w:jc w:val="center"/>
              <w:rPr>
                <w:rFonts w:ascii="Arial Narrow" w:hAnsi="Arial Narrow"/>
                <w:b/>
              </w:rPr>
            </w:pPr>
            <w:r w:rsidRPr="000526BE">
              <w:rPr>
                <w:rFonts w:ascii="Arial Narrow" w:hAnsi="Arial Narrow"/>
                <w:b/>
              </w:rPr>
              <w:t>Incremental outcome (per 100 patients)</w:t>
            </w:r>
          </w:p>
        </w:tc>
      </w:tr>
      <w:tr w:rsidR="00F568EB" w:rsidRPr="000526BE" w:rsidTr="008502E0">
        <w:tblPrEx>
          <w:tblCellMar>
            <w:left w:w="28" w:type="dxa"/>
            <w:right w:w="28" w:type="dxa"/>
          </w:tblCellMar>
        </w:tblPrEx>
        <w:tc>
          <w:tcPr>
            <w:tcW w:w="1946" w:type="pct"/>
            <w:vAlign w:val="center"/>
          </w:tcPr>
          <w:p w:rsidR="00F568EB" w:rsidRPr="000526BE" w:rsidRDefault="00F568EB" w:rsidP="00F568EB">
            <w:pPr>
              <w:pStyle w:val="Tabletext"/>
            </w:pPr>
            <w:r w:rsidRPr="000526BE">
              <w:t>LYG</w:t>
            </w:r>
          </w:p>
        </w:tc>
        <w:tc>
          <w:tcPr>
            <w:tcW w:w="881" w:type="pct"/>
            <w:vAlign w:val="center"/>
          </w:tcPr>
          <w:p w:rsidR="00F568EB" w:rsidRPr="000526BE" w:rsidRDefault="00522854" w:rsidP="00F568EB">
            <w:pPr>
              <w:pStyle w:val="Tabletext"/>
              <w:jc w:val="center"/>
              <w:rPr>
                <w:color w:val="000000"/>
              </w:rPr>
            </w:pPr>
            <w:r w:rsidRPr="000526BE">
              <w:rPr>
                <w:color w:val="000000"/>
              </w:rPr>
              <w:t>23.797</w:t>
            </w:r>
          </w:p>
        </w:tc>
        <w:tc>
          <w:tcPr>
            <w:tcW w:w="1022" w:type="pct"/>
            <w:vAlign w:val="center"/>
          </w:tcPr>
          <w:p w:rsidR="00F568EB" w:rsidRPr="000526BE" w:rsidRDefault="00522854" w:rsidP="00F568EB">
            <w:pPr>
              <w:pStyle w:val="Tabletext"/>
              <w:jc w:val="center"/>
              <w:rPr>
                <w:color w:val="000000"/>
              </w:rPr>
            </w:pPr>
            <w:r w:rsidRPr="000526BE">
              <w:rPr>
                <w:color w:val="000000"/>
              </w:rPr>
              <w:t>20.824</w:t>
            </w:r>
          </w:p>
        </w:tc>
        <w:tc>
          <w:tcPr>
            <w:tcW w:w="1151" w:type="pct"/>
            <w:vAlign w:val="center"/>
          </w:tcPr>
          <w:p w:rsidR="00F568EB" w:rsidRPr="000526BE" w:rsidRDefault="00522854" w:rsidP="00F568EB">
            <w:pPr>
              <w:pStyle w:val="Tabletext"/>
              <w:jc w:val="center"/>
            </w:pPr>
            <w:r w:rsidRPr="000526BE">
              <w:t>2.973 (297.3 per 100 patients)</w:t>
            </w:r>
          </w:p>
        </w:tc>
      </w:tr>
      <w:tr w:rsidR="00B61A0B" w:rsidRPr="000526BE" w:rsidTr="008502E0">
        <w:tc>
          <w:tcPr>
            <w:tcW w:w="5000" w:type="pct"/>
            <w:gridSpan w:val="4"/>
            <w:shd w:val="clear" w:color="auto" w:fill="auto"/>
            <w:vAlign w:val="center"/>
          </w:tcPr>
          <w:p w:rsidR="00B61A0B" w:rsidRPr="000526BE" w:rsidRDefault="00B61A0B" w:rsidP="007A7D2F">
            <w:pPr>
              <w:pStyle w:val="TableText1"/>
              <w:rPr>
                <w:rFonts w:ascii="Arial Narrow" w:hAnsi="Arial Narrow"/>
                <w:b/>
              </w:rPr>
            </w:pPr>
            <w:r w:rsidRPr="000526BE">
              <w:rPr>
                <w:rFonts w:ascii="Arial Narrow" w:hAnsi="Arial Narrow"/>
                <w:b/>
              </w:rPr>
              <w:t xml:space="preserve">Total trial duration (62.6 months trial </w:t>
            </w:r>
            <w:r w:rsidRPr="000526BE">
              <w:rPr>
                <w:rFonts w:ascii="Arial Narrow" w:hAnsi="Arial Narrow"/>
                <w:b/>
                <w:iCs/>
              </w:rPr>
              <w:t>duration</w:t>
            </w:r>
            <w:r w:rsidRPr="000526BE">
              <w:rPr>
                <w:rFonts w:ascii="Arial Narrow" w:hAnsi="Arial Narrow"/>
                <w:b/>
                <w:i/>
                <w:iCs/>
              </w:rPr>
              <w:t>;</w:t>
            </w:r>
            <w:r w:rsidRPr="000526BE">
              <w:rPr>
                <w:rFonts w:ascii="Arial Narrow" w:hAnsi="Arial Narrow"/>
                <w:b/>
              </w:rPr>
              <w:t xml:space="preserve"> Step 1) </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Locoregional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2.0%</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7.3%</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–5.3</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Distant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14.2%</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20.9%</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–6.7</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Any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16.1%</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28.1%</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–12.0</w:t>
            </w:r>
          </w:p>
        </w:tc>
      </w:tr>
      <w:tr w:rsidR="00B61A0B" w:rsidRPr="000526BE" w:rsidTr="008502E0">
        <w:tc>
          <w:tcPr>
            <w:tcW w:w="5000" w:type="pct"/>
            <w:gridSpan w:val="4"/>
            <w:shd w:val="clear" w:color="auto" w:fill="auto"/>
            <w:vAlign w:val="center"/>
          </w:tcPr>
          <w:p w:rsidR="00B61A0B" w:rsidRPr="000526BE" w:rsidRDefault="00B61A0B" w:rsidP="007A7D2F">
            <w:pPr>
              <w:pStyle w:val="TableText1"/>
              <w:rPr>
                <w:rFonts w:ascii="Arial Narrow" w:hAnsi="Arial Narrow"/>
                <w:b/>
              </w:rPr>
            </w:pPr>
            <w:r w:rsidRPr="000526BE">
              <w:rPr>
                <w:rFonts w:ascii="Arial Narrow" w:hAnsi="Arial Narrow"/>
                <w:b/>
              </w:rPr>
              <w:t>Model time horizon (40 years; Step 8)</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Locoregional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3.3%</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11.8%</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–8.6</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Distant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25.7%</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41.7%</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–15.9</w:t>
            </w:r>
          </w:p>
        </w:tc>
      </w:tr>
      <w:tr w:rsidR="00B61A0B" w:rsidRPr="000526BE" w:rsidTr="008502E0">
        <w:tc>
          <w:tcPr>
            <w:tcW w:w="1946" w:type="pct"/>
            <w:shd w:val="clear" w:color="auto" w:fill="auto"/>
          </w:tcPr>
          <w:p w:rsidR="00B61A0B" w:rsidRPr="000526BE" w:rsidRDefault="00B61A0B" w:rsidP="007A7D2F">
            <w:pPr>
              <w:pStyle w:val="TableText1"/>
              <w:rPr>
                <w:rFonts w:ascii="Arial Narrow" w:hAnsi="Arial Narrow"/>
              </w:rPr>
            </w:pPr>
            <w:r w:rsidRPr="000526BE">
              <w:rPr>
                <w:rFonts w:ascii="Arial Narrow" w:hAnsi="Arial Narrow"/>
              </w:rPr>
              <w:t>Any recurrence</w:t>
            </w:r>
          </w:p>
        </w:tc>
        <w:tc>
          <w:tcPr>
            <w:tcW w:w="88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29.0%</w:t>
            </w:r>
          </w:p>
        </w:tc>
        <w:tc>
          <w:tcPr>
            <w:tcW w:w="1022"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53.5%</w:t>
            </w:r>
          </w:p>
        </w:tc>
        <w:tc>
          <w:tcPr>
            <w:tcW w:w="1151" w:type="pct"/>
            <w:shd w:val="clear" w:color="auto" w:fill="auto"/>
            <w:vAlign w:val="center"/>
          </w:tcPr>
          <w:p w:rsidR="00B61A0B" w:rsidRPr="000526BE" w:rsidRDefault="00B61A0B" w:rsidP="007A7D2F">
            <w:pPr>
              <w:pStyle w:val="TableText1"/>
              <w:jc w:val="center"/>
              <w:rPr>
                <w:rFonts w:ascii="Arial Narrow" w:hAnsi="Arial Narrow"/>
              </w:rPr>
            </w:pPr>
            <w:r w:rsidRPr="000526BE">
              <w:rPr>
                <w:rFonts w:ascii="Arial Narrow" w:hAnsi="Arial Narrow"/>
              </w:rPr>
              <w:t>–24.5</w:t>
            </w:r>
          </w:p>
        </w:tc>
      </w:tr>
    </w:tbl>
    <w:p w:rsidR="00B61A0B" w:rsidRPr="000526BE" w:rsidRDefault="00B61A0B" w:rsidP="00CA52C7">
      <w:pPr>
        <w:pStyle w:val="TableFooter"/>
      </w:pPr>
      <w:r w:rsidRPr="000526BE">
        <w:t xml:space="preserve">Abbreviations: </w:t>
      </w:r>
      <w:r w:rsidR="007F5F14" w:rsidRPr="000526BE">
        <w:t xml:space="preserve">LTG= life year gained; </w:t>
      </w:r>
      <w:r w:rsidRPr="000526BE">
        <w:t>T-DM1= trastuzumab emtansine</w:t>
      </w:r>
    </w:p>
    <w:p w:rsidR="00B61A0B" w:rsidRPr="000526BE" w:rsidRDefault="00B61A0B" w:rsidP="00055810">
      <w:pPr>
        <w:pStyle w:val="TableFooter"/>
        <w:spacing w:after="120"/>
      </w:pPr>
      <w:r w:rsidRPr="000526BE">
        <w:t xml:space="preserve">Source: Table 3.15, p103 of the submission. </w:t>
      </w:r>
    </w:p>
    <w:p w:rsidR="00B61A0B" w:rsidRPr="000526BE" w:rsidRDefault="00B61A0B" w:rsidP="00496585">
      <w:pPr>
        <w:pStyle w:val="ListParagraph"/>
        <w:widowControl/>
        <w:numPr>
          <w:ilvl w:val="1"/>
          <w:numId w:val="2"/>
        </w:numPr>
        <w:rPr>
          <w:iCs/>
        </w:rPr>
      </w:pPr>
      <w:r w:rsidRPr="000526BE">
        <w:t xml:space="preserve">Results of univariate and multivariate sensitivity analyses specified by the submission </w:t>
      </w:r>
      <w:r w:rsidRPr="000526BE">
        <w:rPr>
          <w:iCs/>
        </w:rPr>
        <w:t xml:space="preserve">and additional analyses conducted during the evaluation are presented in Table </w:t>
      </w:r>
      <w:r w:rsidR="00187A07" w:rsidRPr="000526BE">
        <w:rPr>
          <w:iCs/>
        </w:rPr>
        <w:t>1</w:t>
      </w:r>
      <w:r w:rsidR="004E7837">
        <w:rPr>
          <w:iCs/>
        </w:rPr>
        <w:t>4</w:t>
      </w:r>
      <w:r w:rsidRPr="000526BE">
        <w:rPr>
          <w:iCs/>
        </w:rPr>
        <w:t>. For the univariate analys</w:t>
      </w:r>
      <w:r w:rsidR="00B85320" w:rsidRPr="000526BE">
        <w:rPr>
          <w:iCs/>
        </w:rPr>
        <w:t>e</w:t>
      </w:r>
      <w:r w:rsidRPr="000526BE">
        <w:rPr>
          <w:iCs/>
        </w:rPr>
        <w:t>s conducted during</w:t>
      </w:r>
      <w:r w:rsidR="00391213" w:rsidRPr="000526BE">
        <w:rPr>
          <w:iCs/>
        </w:rPr>
        <w:t xml:space="preserve"> the</w:t>
      </w:r>
      <w:r w:rsidRPr="000526BE">
        <w:rPr>
          <w:iCs/>
        </w:rPr>
        <w:t xml:space="preserve"> evaluation</w:t>
      </w:r>
      <w:r w:rsidR="00CB6424" w:rsidRPr="000526BE">
        <w:rPr>
          <w:iCs/>
        </w:rPr>
        <w:t>,</w:t>
      </w:r>
      <w:r w:rsidRPr="000526BE">
        <w:rPr>
          <w:iCs/>
        </w:rPr>
        <w:t xml:space="preserve"> the ICER was most sensitive to reducing the time-horizon to 20 years (increased </w:t>
      </w:r>
      <w:r w:rsidR="00CB6424" w:rsidRPr="000526BE">
        <w:rPr>
          <w:iCs/>
        </w:rPr>
        <w:t>to</w:t>
      </w:r>
      <w:r w:rsidR="003E79B2">
        <w:rPr>
          <w:iCs/>
        </w:rPr>
        <w:t xml:space="preserve"> less than</w:t>
      </w:r>
      <w:r w:rsidR="00CB6424" w:rsidRPr="000526BE">
        <w:rPr>
          <w:iCs/>
        </w:rPr>
        <w:t xml:space="preserve"> $</w:t>
      </w:r>
      <w:r w:rsidR="003E79B2">
        <w:rPr>
          <w:iCs/>
        </w:rPr>
        <w:t>15,000/QALY</w:t>
      </w:r>
      <w:r w:rsidRPr="000526BE">
        <w:rPr>
          <w:iCs/>
        </w:rPr>
        <w:t>) and removing the sustained remission adjustment (increased</w:t>
      </w:r>
      <w:r w:rsidR="00444C0D" w:rsidRPr="000526BE">
        <w:rPr>
          <w:iCs/>
        </w:rPr>
        <w:t xml:space="preserve"> the ICER</w:t>
      </w:r>
      <w:r w:rsidRPr="000526BE">
        <w:rPr>
          <w:iCs/>
        </w:rPr>
        <w:t xml:space="preserve"> </w:t>
      </w:r>
      <w:r w:rsidR="00CB6424" w:rsidRPr="000526BE">
        <w:rPr>
          <w:iCs/>
        </w:rPr>
        <w:t>to $</w:t>
      </w:r>
      <w:r w:rsidR="003E79B2">
        <w:rPr>
          <w:iCs/>
        </w:rPr>
        <w:t>15,000/QALY - $45,000/QALY</w:t>
      </w:r>
      <w:r w:rsidRPr="000526BE">
        <w:rPr>
          <w:iCs/>
        </w:rPr>
        <w:t>).</w:t>
      </w:r>
      <w:r w:rsidR="00BF5C9E" w:rsidRPr="000526BE">
        <w:rPr>
          <w:iCs/>
        </w:rPr>
        <w:t xml:space="preserve"> </w:t>
      </w:r>
    </w:p>
    <w:p w:rsidR="00B61A0B" w:rsidRPr="000526BE" w:rsidRDefault="00B61A0B" w:rsidP="00A2058D">
      <w:pPr>
        <w:pStyle w:val="ListParagraph"/>
        <w:widowControl/>
        <w:numPr>
          <w:ilvl w:val="1"/>
          <w:numId w:val="2"/>
        </w:numPr>
        <w:rPr>
          <w:iCs/>
        </w:rPr>
      </w:pPr>
      <w:r w:rsidRPr="000526BE">
        <w:rPr>
          <w:iCs/>
        </w:rPr>
        <w:t>The multivariate analysis with a 20-year time horizon, no sustained remission adjustment and corrected transition probabilities had the largest impact on the ICER (increased to $</w:t>
      </w:r>
      <w:r w:rsidR="003E79B2">
        <w:rPr>
          <w:iCs/>
        </w:rPr>
        <w:t>15,000</w:t>
      </w:r>
      <w:r w:rsidR="00CF4284">
        <w:rPr>
          <w:iCs/>
        </w:rPr>
        <w:t xml:space="preserve"> - $45,000</w:t>
      </w:r>
      <w:r w:rsidRPr="000526BE">
        <w:rPr>
          <w:iCs/>
        </w:rPr>
        <w:t xml:space="preserve"> per QALY gained). </w:t>
      </w:r>
      <w:r w:rsidR="00444C0D" w:rsidRPr="000526BE">
        <w:rPr>
          <w:iCs/>
        </w:rPr>
        <w:t>The PBAC noted that for this relatively conservative multivariate analysis the ICER remained under $</w:t>
      </w:r>
      <w:r w:rsidR="003E79B2">
        <w:rPr>
          <w:iCs/>
        </w:rPr>
        <w:t>45,000</w:t>
      </w:r>
      <w:r w:rsidR="00444C0D" w:rsidRPr="000526BE">
        <w:rPr>
          <w:iCs/>
        </w:rPr>
        <w:t xml:space="preserve"> per QALY. </w:t>
      </w:r>
      <w:r w:rsidR="00033832" w:rsidRPr="000526BE">
        <w:rPr>
          <w:iCs/>
        </w:rPr>
        <w:t xml:space="preserve">The ESC noted that </w:t>
      </w:r>
      <w:r w:rsidR="00B330A6" w:rsidRPr="000526BE">
        <w:rPr>
          <w:iCs/>
        </w:rPr>
        <w:t xml:space="preserve">although </w:t>
      </w:r>
      <w:r w:rsidR="00033832" w:rsidRPr="000526BE">
        <w:rPr>
          <w:iCs/>
        </w:rPr>
        <w:t xml:space="preserve">some uncertainties remained, particularly around ongoing </w:t>
      </w:r>
      <w:r w:rsidR="00B330A6" w:rsidRPr="000526BE">
        <w:rPr>
          <w:iCs/>
        </w:rPr>
        <w:t xml:space="preserve">treatment </w:t>
      </w:r>
      <w:r w:rsidR="00033832" w:rsidRPr="000526BE">
        <w:rPr>
          <w:iCs/>
        </w:rPr>
        <w:t>effect</w:t>
      </w:r>
      <w:r w:rsidR="00B330A6" w:rsidRPr="000526BE">
        <w:rPr>
          <w:iCs/>
        </w:rPr>
        <w:t>s</w:t>
      </w:r>
      <w:r w:rsidR="00033832" w:rsidRPr="000526BE">
        <w:rPr>
          <w:iCs/>
        </w:rPr>
        <w:t xml:space="preserve"> and the sustained remission adjustment; </w:t>
      </w:r>
      <w:r w:rsidR="00B330A6" w:rsidRPr="000526BE">
        <w:rPr>
          <w:iCs/>
        </w:rPr>
        <w:t xml:space="preserve">the ESC </w:t>
      </w:r>
      <w:r w:rsidR="00033832" w:rsidRPr="000526BE">
        <w:rPr>
          <w:iCs/>
        </w:rPr>
        <w:t>considered the sensitivity analys</w:t>
      </w:r>
      <w:r w:rsidR="00910E0F" w:rsidRPr="000526BE">
        <w:rPr>
          <w:iCs/>
        </w:rPr>
        <w:t>e</w:t>
      </w:r>
      <w:r w:rsidR="00033832" w:rsidRPr="000526BE">
        <w:rPr>
          <w:iCs/>
        </w:rPr>
        <w:t xml:space="preserve">s </w:t>
      </w:r>
      <w:r w:rsidR="00F97DD0" w:rsidRPr="000526BE">
        <w:rPr>
          <w:iCs/>
        </w:rPr>
        <w:t xml:space="preserve">indicated that the model results </w:t>
      </w:r>
      <w:r w:rsidR="00033832" w:rsidRPr="000526BE">
        <w:rPr>
          <w:iCs/>
        </w:rPr>
        <w:t xml:space="preserve">were reasonable and </w:t>
      </w:r>
      <w:r w:rsidR="00910E0F" w:rsidRPr="000526BE">
        <w:rPr>
          <w:iCs/>
        </w:rPr>
        <w:t>fairly robust within plausible ranges of parameters</w:t>
      </w:r>
      <w:r w:rsidR="00033832" w:rsidRPr="000526BE">
        <w:rPr>
          <w:iCs/>
        </w:rPr>
        <w:t>.</w:t>
      </w:r>
    </w:p>
    <w:p w:rsidR="00B61A0B" w:rsidRPr="000526BE" w:rsidRDefault="00B61A0B" w:rsidP="002D53F3">
      <w:pPr>
        <w:pStyle w:val="TableHeading0"/>
        <w:keepLines/>
      </w:pPr>
      <w:r w:rsidRPr="000526BE">
        <w:t xml:space="preserve">Table </w:t>
      </w:r>
      <w:r w:rsidR="00187A07" w:rsidRPr="000526BE">
        <w:t>1</w:t>
      </w:r>
      <w:r w:rsidR="004E7837">
        <w:t>4</w:t>
      </w:r>
      <w:r w:rsidRPr="000526BE">
        <w:t>: Results of univariate and multivariate sensitivity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6"/>
        <w:gridCol w:w="2552"/>
        <w:gridCol w:w="1134"/>
        <w:gridCol w:w="1335"/>
        <w:gridCol w:w="1160"/>
      </w:tblGrid>
      <w:tr w:rsidR="002D53F3" w:rsidRPr="000526BE" w:rsidTr="00A51D35">
        <w:trPr>
          <w:cantSplit/>
          <w:tblHeader/>
        </w:trPr>
        <w:tc>
          <w:tcPr>
            <w:tcW w:w="1573" w:type="pct"/>
            <w:vMerge w:val="restart"/>
            <w:vAlign w:val="center"/>
          </w:tcPr>
          <w:p w:rsidR="002D53F3" w:rsidRPr="000526BE" w:rsidRDefault="002D53F3" w:rsidP="002D53F3">
            <w:pPr>
              <w:pStyle w:val="TableText1"/>
              <w:keepNext/>
              <w:keepLines/>
              <w:rPr>
                <w:rFonts w:ascii="Arial Narrow" w:hAnsi="Arial Narrow"/>
                <w:b/>
              </w:rPr>
            </w:pPr>
            <w:r w:rsidRPr="000526BE">
              <w:rPr>
                <w:rFonts w:ascii="Arial Narrow" w:hAnsi="Arial Narrow"/>
                <w:b/>
              </w:rPr>
              <w:t>Variable or assumption</w:t>
            </w:r>
          </w:p>
        </w:tc>
        <w:tc>
          <w:tcPr>
            <w:tcW w:w="1415" w:type="pct"/>
            <w:vMerge w:val="restart"/>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Base case value</w:t>
            </w:r>
          </w:p>
        </w:tc>
        <w:tc>
          <w:tcPr>
            <w:tcW w:w="2013" w:type="pct"/>
            <w:gridSpan w:val="3"/>
            <w:tcBorders>
              <w:bottom w:val="single" w:sz="4" w:space="0" w:color="auto"/>
            </w:tcBorders>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T-DM1 versus trastuzumab</w:t>
            </w:r>
          </w:p>
        </w:tc>
      </w:tr>
      <w:tr w:rsidR="00DB415A" w:rsidRPr="000526BE" w:rsidTr="00A51D35">
        <w:trPr>
          <w:cantSplit/>
          <w:tblHeader/>
        </w:trPr>
        <w:tc>
          <w:tcPr>
            <w:tcW w:w="1573" w:type="pct"/>
            <w:vMerge/>
            <w:tcBorders>
              <w:bottom w:val="single" w:sz="4" w:space="0" w:color="auto"/>
            </w:tcBorders>
            <w:vAlign w:val="center"/>
          </w:tcPr>
          <w:p w:rsidR="002D53F3" w:rsidRPr="000526BE" w:rsidRDefault="002D53F3" w:rsidP="002D53F3">
            <w:pPr>
              <w:pStyle w:val="TableText1"/>
              <w:keepNext/>
              <w:keepLines/>
              <w:rPr>
                <w:rFonts w:ascii="Arial Narrow" w:hAnsi="Arial Narrow"/>
                <w:b/>
              </w:rPr>
            </w:pPr>
          </w:p>
        </w:tc>
        <w:tc>
          <w:tcPr>
            <w:tcW w:w="1415" w:type="pct"/>
            <w:vMerge/>
            <w:tcBorders>
              <w:bottom w:val="single" w:sz="4" w:space="0" w:color="auto"/>
            </w:tcBorders>
            <w:vAlign w:val="center"/>
          </w:tcPr>
          <w:p w:rsidR="002D53F3" w:rsidRPr="000526BE" w:rsidRDefault="002D53F3" w:rsidP="002D53F3">
            <w:pPr>
              <w:pStyle w:val="TableText1"/>
              <w:keepNext/>
              <w:keepLines/>
              <w:jc w:val="center"/>
              <w:rPr>
                <w:rFonts w:ascii="Arial Narrow" w:hAnsi="Arial Narrow"/>
                <w:b/>
              </w:rPr>
            </w:pPr>
          </w:p>
        </w:tc>
        <w:tc>
          <w:tcPr>
            <w:tcW w:w="629" w:type="pct"/>
            <w:tcBorders>
              <w:bottom w:val="single" w:sz="4" w:space="0" w:color="auto"/>
            </w:tcBorders>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Incr cost</w:t>
            </w:r>
          </w:p>
        </w:tc>
        <w:tc>
          <w:tcPr>
            <w:tcW w:w="740" w:type="pct"/>
            <w:tcBorders>
              <w:bottom w:val="single" w:sz="4" w:space="0" w:color="auto"/>
            </w:tcBorders>
            <w:vAlign w:val="center"/>
          </w:tcPr>
          <w:p w:rsidR="002D53F3" w:rsidRPr="000526BE" w:rsidRDefault="000C2258" w:rsidP="002D53F3">
            <w:pPr>
              <w:pStyle w:val="TableText1"/>
              <w:keepNext/>
              <w:keepLines/>
              <w:jc w:val="center"/>
              <w:rPr>
                <w:rFonts w:ascii="Arial Narrow" w:hAnsi="Arial Narrow"/>
                <w:b/>
              </w:rPr>
            </w:pPr>
            <w:r w:rsidRPr="000526BE">
              <w:rPr>
                <w:rFonts w:ascii="Arial Narrow" w:hAnsi="Arial Narrow"/>
                <w:b/>
              </w:rPr>
              <w:t>Incr effectiveness</w:t>
            </w:r>
            <w:r w:rsidR="002D53F3" w:rsidRPr="000526BE">
              <w:rPr>
                <w:rFonts w:ascii="Arial Narrow" w:hAnsi="Arial Narrow"/>
                <w:b/>
              </w:rPr>
              <w:br/>
              <w:t>(QALYG)</w:t>
            </w:r>
          </w:p>
        </w:tc>
        <w:tc>
          <w:tcPr>
            <w:tcW w:w="643" w:type="pct"/>
            <w:tcBorders>
              <w:bottom w:val="single" w:sz="4" w:space="0" w:color="auto"/>
            </w:tcBorders>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ICER</w:t>
            </w:r>
            <w:r w:rsidRPr="000526BE">
              <w:rPr>
                <w:rFonts w:ascii="Arial Narrow" w:hAnsi="Arial Narrow"/>
                <w:b/>
              </w:rPr>
              <w:br/>
              <w:t>(per QALYG)</w:t>
            </w:r>
          </w:p>
        </w:tc>
      </w:tr>
      <w:tr w:rsidR="00DB415A" w:rsidRPr="000526BE" w:rsidTr="00A51D35">
        <w:trPr>
          <w:cantSplit/>
        </w:trPr>
        <w:tc>
          <w:tcPr>
            <w:tcW w:w="1573" w:type="pct"/>
            <w:tcBorders>
              <w:top w:val="single" w:sz="4" w:space="0" w:color="auto"/>
              <w:bottom w:val="single" w:sz="4" w:space="0" w:color="auto"/>
            </w:tcBorders>
            <w:shd w:val="clear" w:color="auto" w:fill="auto"/>
          </w:tcPr>
          <w:p w:rsidR="002D53F3" w:rsidRPr="000526BE" w:rsidRDefault="002D53F3" w:rsidP="002D53F3">
            <w:pPr>
              <w:pStyle w:val="TableText1"/>
              <w:keepNext/>
              <w:keepLines/>
              <w:rPr>
                <w:rFonts w:ascii="Arial Narrow" w:hAnsi="Arial Narrow"/>
                <w:b/>
              </w:rPr>
            </w:pPr>
            <w:r w:rsidRPr="000526BE">
              <w:rPr>
                <w:rFonts w:ascii="Arial Narrow" w:hAnsi="Arial Narrow"/>
                <w:b/>
              </w:rPr>
              <w:t>Base case</w:t>
            </w:r>
          </w:p>
        </w:tc>
        <w:tc>
          <w:tcPr>
            <w:tcW w:w="1415" w:type="pct"/>
            <w:tcBorders>
              <w:top w:val="single" w:sz="4" w:space="0" w:color="auto"/>
              <w:bottom w:val="single" w:sz="4" w:space="0" w:color="auto"/>
            </w:tcBorders>
            <w:shd w:val="clear" w:color="auto" w:fill="auto"/>
          </w:tcPr>
          <w:p w:rsidR="002D53F3" w:rsidRPr="000526BE" w:rsidRDefault="002D53F3" w:rsidP="002D53F3">
            <w:pPr>
              <w:pStyle w:val="TableText1"/>
              <w:keepNext/>
              <w:keepLines/>
              <w:rPr>
                <w:rFonts w:ascii="Arial Narrow" w:hAnsi="Arial Narrow"/>
                <w:b/>
              </w:rPr>
            </w:pPr>
          </w:p>
        </w:tc>
        <w:tc>
          <w:tcPr>
            <w:tcW w:w="629" w:type="pct"/>
            <w:tcBorders>
              <w:top w:val="single" w:sz="4" w:space="0" w:color="auto"/>
              <w:bottom w:val="single" w:sz="4" w:space="0" w:color="auto"/>
            </w:tcBorders>
            <w:shd w:val="clear" w:color="auto" w:fill="auto"/>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w:t>
            </w:r>
            <w:r w:rsidR="00756F83">
              <w:rPr>
                <w:rFonts w:ascii="Arial Narrow" w:hAnsi="Arial Narrow"/>
                <w:b/>
                <w:noProof/>
                <w:color w:val="000000"/>
                <w:highlight w:val="black"/>
              </w:rPr>
              <w:t>''''''''''''</w:t>
            </w:r>
          </w:p>
        </w:tc>
        <w:tc>
          <w:tcPr>
            <w:tcW w:w="740" w:type="pct"/>
            <w:tcBorders>
              <w:top w:val="single" w:sz="4" w:space="0" w:color="auto"/>
              <w:bottom w:val="single" w:sz="4" w:space="0" w:color="auto"/>
            </w:tcBorders>
            <w:shd w:val="clear" w:color="auto" w:fill="auto"/>
            <w:vAlign w:val="center"/>
          </w:tcPr>
          <w:p w:rsidR="002D53F3" w:rsidRPr="00756F83" w:rsidRDefault="00756F83" w:rsidP="002D53F3">
            <w:pPr>
              <w:pStyle w:val="TableText1"/>
              <w:keepNext/>
              <w:keepLines/>
              <w:jc w:val="center"/>
              <w:rPr>
                <w:rFonts w:ascii="Arial Narrow" w:hAnsi="Arial Narrow"/>
                <w:b/>
                <w:highlight w:val="black"/>
              </w:rPr>
            </w:pPr>
            <w:r>
              <w:rPr>
                <w:rFonts w:ascii="Arial Narrow" w:hAnsi="Arial Narrow"/>
                <w:b/>
                <w:noProof/>
                <w:color w:val="000000"/>
                <w:highlight w:val="black"/>
              </w:rPr>
              <w:t>''''''''''</w:t>
            </w:r>
          </w:p>
        </w:tc>
        <w:tc>
          <w:tcPr>
            <w:tcW w:w="643" w:type="pct"/>
            <w:tcBorders>
              <w:top w:val="single" w:sz="4" w:space="0" w:color="auto"/>
              <w:bottom w:val="single" w:sz="4" w:space="0" w:color="auto"/>
            </w:tcBorders>
            <w:shd w:val="clear" w:color="auto" w:fill="auto"/>
            <w:vAlign w:val="center"/>
          </w:tcPr>
          <w:p w:rsidR="002D53F3" w:rsidRPr="000526BE" w:rsidRDefault="002D53F3" w:rsidP="002D53F3">
            <w:pPr>
              <w:pStyle w:val="TableText1"/>
              <w:keepNext/>
              <w:keepLines/>
              <w:jc w:val="center"/>
              <w:rPr>
                <w:rFonts w:ascii="Arial Narrow" w:hAnsi="Arial Narrow"/>
                <w:b/>
              </w:rPr>
            </w:pPr>
            <w:r w:rsidRPr="000526BE">
              <w:rPr>
                <w:rFonts w:ascii="Arial Narrow" w:hAnsi="Arial Narrow"/>
                <w:b/>
              </w:rPr>
              <w:t>$</w:t>
            </w:r>
            <w:r w:rsidR="00756F83">
              <w:rPr>
                <w:rFonts w:ascii="Arial Narrow" w:hAnsi="Arial Narrow"/>
                <w:b/>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20-year time horizon</w:t>
            </w:r>
          </w:p>
        </w:tc>
        <w:tc>
          <w:tcPr>
            <w:tcW w:w="1415" w:type="pct"/>
          </w:tcPr>
          <w:p w:rsidR="002D53F3" w:rsidRPr="000526BE" w:rsidRDefault="002D53F3" w:rsidP="002D53F3">
            <w:pPr>
              <w:pStyle w:val="TableText1"/>
              <w:keepNext/>
              <w:keepLines/>
              <w:rPr>
                <w:rFonts w:ascii="Arial Narrow" w:hAnsi="Arial Narrow"/>
              </w:rPr>
            </w:pPr>
            <w:r w:rsidRPr="000526BE">
              <w:rPr>
                <w:rFonts w:ascii="Arial Narrow" w:hAnsi="Arial Narrow"/>
              </w:rPr>
              <w:t>40-year time horizon</w:t>
            </w: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Del="00CF7723" w:rsidTr="00A51D35">
        <w:trPr>
          <w:cantSplit/>
        </w:trPr>
        <w:tc>
          <w:tcPr>
            <w:tcW w:w="1573" w:type="pct"/>
          </w:tcPr>
          <w:p w:rsidR="002D53F3" w:rsidRPr="000526BE" w:rsidDel="00CF7723" w:rsidRDefault="002D53F3" w:rsidP="002D53F3">
            <w:pPr>
              <w:pStyle w:val="TableText1"/>
              <w:keepNext/>
              <w:keepLines/>
              <w:rPr>
                <w:rFonts w:ascii="Arial Narrow" w:hAnsi="Arial Narrow"/>
              </w:rPr>
            </w:pPr>
            <w:r w:rsidRPr="000526BE">
              <w:rPr>
                <w:rFonts w:ascii="Arial Narrow" w:hAnsi="Arial Narrow"/>
              </w:rPr>
              <w:t>Utilities from Rautalin (2017)</w:t>
            </w:r>
          </w:p>
        </w:tc>
        <w:tc>
          <w:tcPr>
            <w:tcW w:w="1415" w:type="pct"/>
            <w:vMerge w:val="restart"/>
          </w:tcPr>
          <w:p w:rsidR="002D53F3" w:rsidRPr="000526BE" w:rsidDel="00CF7723" w:rsidRDefault="002D53F3" w:rsidP="002D53F3">
            <w:pPr>
              <w:pStyle w:val="TableText1"/>
              <w:keepNext/>
              <w:keepLines/>
              <w:rPr>
                <w:rFonts w:ascii="Arial Narrow" w:hAnsi="Arial Narrow"/>
              </w:rPr>
            </w:pPr>
            <w:r w:rsidRPr="000526BE">
              <w:rPr>
                <w:rFonts w:ascii="Arial Narrow" w:hAnsi="Arial Narrow"/>
              </w:rPr>
              <w:t>Utilities from KATHERINE for eBC and Lloyd (2006) for mBC</w:t>
            </w:r>
          </w:p>
        </w:tc>
        <w:tc>
          <w:tcPr>
            <w:tcW w:w="629"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Del="00CF772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Del="00CF7723" w:rsidTr="00A51D35">
        <w:trPr>
          <w:cantSplit/>
        </w:trPr>
        <w:tc>
          <w:tcPr>
            <w:tcW w:w="1573" w:type="pct"/>
          </w:tcPr>
          <w:p w:rsidR="002D53F3" w:rsidRPr="000526BE" w:rsidDel="00CF7723" w:rsidRDefault="002D53F3" w:rsidP="002D53F3">
            <w:pPr>
              <w:pStyle w:val="TableText1"/>
              <w:keepNext/>
              <w:keepLines/>
              <w:rPr>
                <w:rFonts w:ascii="Arial Narrow" w:hAnsi="Arial Narrow"/>
              </w:rPr>
            </w:pPr>
            <w:r w:rsidRPr="000526BE">
              <w:rPr>
                <w:rFonts w:ascii="Arial Narrow" w:hAnsi="Arial Narrow"/>
              </w:rPr>
              <w:t>Utilities from Hedden (2012)</w:t>
            </w:r>
          </w:p>
        </w:tc>
        <w:tc>
          <w:tcPr>
            <w:tcW w:w="1415" w:type="pct"/>
            <w:vMerge/>
          </w:tcPr>
          <w:p w:rsidR="002D53F3" w:rsidRPr="000526BE" w:rsidDel="00CF7723" w:rsidRDefault="002D53F3" w:rsidP="002D53F3">
            <w:pPr>
              <w:pStyle w:val="TableText1"/>
              <w:keepNext/>
              <w:keepLines/>
              <w:rPr>
                <w:rFonts w:ascii="Arial Narrow" w:hAnsi="Arial Narrow"/>
              </w:rPr>
            </w:pPr>
          </w:p>
        </w:tc>
        <w:tc>
          <w:tcPr>
            <w:tcW w:w="629"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Del="00CF772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Del="00CF7723" w:rsidTr="00A51D35">
        <w:trPr>
          <w:cantSplit/>
        </w:trPr>
        <w:tc>
          <w:tcPr>
            <w:tcW w:w="1573" w:type="pct"/>
          </w:tcPr>
          <w:p w:rsidR="002D53F3" w:rsidRPr="000526BE" w:rsidDel="00CF7723" w:rsidRDefault="002D53F3" w:rsidP="002D53F3">
            <w:pPr>
              <w:pStyle w:val="TableText1"/>
              <w:keepNext/>
              <w:keepLines/>
              <w:rPr>
                <w:rFonts w:ascii="Arial Narrow" w:hAnsi="Arial Narrow"/>
              </w:rPr>
            </w:pPr>
            <w:r w:rsidRPr="000526BE">
              <w:rPr>
                <w:rFonts w:ascii="Arial Narrow" w:hAnsi="Arial Narrow"/>
              </w:rPr>
              <w:t>Utilities from Lidgren (2007)</w:t>
            </w:r>
          </w:p>
        </w:tc>
        <w:tc>
          <w:tcPr>
            <w:tcW w:w="1415" w:type="pct"/>
            <w:vMerge/>
          </w:tcPr>
          <w:p w:rsidR="002D53F3" w:rsidRPr="000526BE" w:rsidDel="00CF7723" w:rsidRDefault="002D53F3" w:rsidP="002D53F3">
            <w:pPr>
              <w:pStyle w:val="TableText1"/>
              <w:keepNext/>
              <w:keepLines/>
              <w:rPr>
                <w:rFonts w:ascii="Arial Narrow" w:hAnsi="Arial Narrow"/>
              </w:rPr>
            </w:pPr>
          </w:p>
        </w:tc>
        <w:tc>
          <w:tcPr>
            <w:tcW w:w="629"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Del="00CF772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Del="00CF7723"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TP = 0.0019</w:t>
            </w:r>
          </w:p>
          <w:p w:rsidR="002D53F3" w:rsidRPr="000526BE" w:rsidRDefault="002D53F3" w:rsidP="002D53F3">
            <w:pPr>
              <w:pStyle w:val="TableText1"/>
              <w:keepNext/>
              <w:keepLines/>
              <w:rPr>
                <w:rFonts w:ascii="Arial Narrow" w:hAnsi="Arial Narrow"/>
              </w:rPr>
            </w:pPr>
            <w:r w:rsidRPr="000526BE">
              <w:rPr>
                <w:rFonts w:ascii="Arial Narrow" w:hAnsi="Arial Narrow"/>
              </w:rPr>
              <w:t>Remission to 1st line mBC (based on median survival 7.0 years from Hamilton 2015)</w:t>
            </w:r>
          </w:p>
        </w:tc>
        <w:tc>
          <w:tcPr>
            <w:tcW w:w="1415" w:type="pct"/>
          </w:tcPr>
          <w:p w:rsidR="002D53F3" w:rsidRPr="000526BE" w:rsidRDefault="002D53F3" w:rsidP="002D53F3">
            <w:pPr>
              <w:pStyle w:val="TableText1"/>
              <w:keepNext/>
              <w:keepLines/>
              <w:rPr>
                <w:rFonts w:ascii="Arial Narrow" w:hAnsi="Arial Narrow"/>
              </w:rPr>
            </w:pPr>
            <w:r w:rsidRPr="000526BE">
              <w:rPr>
                <w:rFonts w:ascii="Arial Narrow" w:hAnsi="Arial Narrow"/>
              </w:rPr>
              <w:t>0.0017 (median survival of 7.6 years)</w:t>
            </w:r>
          </w:p>
          <w:p w:rsidR="002D53F3" w:rsidRPr="000526BE" w:rsidRDefault="002D53F3" w:rsidP="002D53F3">
            <w:pPr>
              <w:pStyle w:val="TableText1"/>
              <w:keepNext/>
              <w:keepLines/>
              <w:rPr>
                <w:rFonts w:ascii="Arial Narrow" w:hAnsi="Arial Narrow"/>
              </w:rPr>
            </w:pP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Treatment effect starts decreasing at 62.6 months (end of trial period)</w:t>
            </w:r>
          </w:p>
        </w:tc>
        <w:tc>
          <w:tcPr>
            <w:tcW w:w="1415" w:type="pct"/>
            <w:vMerge w:val="restart"/>
          </w:tcPr>
          <w:p w:rsidR="002D53F3" w:rsidRPr="000526BE" w:rsidRDefault="002D53F3" w:rsidP="002D53F3">
            <w:pPr>
              <w:pStyle w:val="TableText1"/>
              <w:keepNext/>
              <w:keepLines/>
              <w:rPr>
                <w:rFonts w:ascii="Arial Narrow" w:hAnsi="Arial Narrow"/>
              </w:rPr>
            </w:pPr>
            <w:r w:rsidRPr="000526BE">
              <w:rPr>
                <w:rFonts w:ascii="Arial Narrow" w:hAnsi="Arial Narrow"/>
              </w:rPr>
              <w:t>Treatment effect starts decreasing at 84 months to the null effect at 120 months.</w:t>
            </w: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Treatment effect starts decreasing at 41.2 months (median point of follow-up)</w:t>
            </w:r>
          </w:p>
        </w:tc>
        <w:tc>
          <w:tcPr>
            <w:tcW w:w="1415" w:type="pct"/>
            <w:vMerge/>
          </w:tcPr>
          <w:p w:rsidR="002D53F3" w:rsidRPr="000526BE" w:rsidRDefault="002D53F3" w:rsidP="002D53F3">
            <w:pPr>
              <w:pStyle w:val="TableText1"/>
              <w:keepNext/>
              <w:keepLines/>
              <w:rPr>
                <w:rFonts w:ascii="Arial Narrow" w:hAnsi="Arial Narrow"/>
              </w:rPr>
            </w:pP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 (max proportion achieving sustained remission 75%)</w:t>
            </w:r>
          </w:p>
        </w:tc>
        <w:tc>
          <w:tcPr>
            <w:tcW w:w="1415"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 (max proportion achieving sustained remission 95%)</w:t>
            </w: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 (risk of recurrence starts to decrease at 30 months)</w:t>
            </w:r>
          </w:p>
        </w:tc>
        <w:tc>
          <w:tcPr>
            <w:tcW w:w="1415"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 (risk of recurrence starts to decrease at 42 months)</w:t>
            </w: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0526BE" w:rsidRDefault="00756F83" w:rsidP="002D53F3">
            <w:pPr>
              <w:pStyle w:val="TableText1"/>
              <w:keepNext/>
              <w:keepLines/>
              <w:jc w:val="center"/>
              <w:rPr>
                <w:rFonts w:ascii="Arial Narrow" w:hAnsi="Arial Narrow"/>
              </w:rPr>
            </w:pPr>
            <w:r>
              <w:rPr>
                <w:rFonts w:ascii="Arial Narrow" w:hAnsi="Arial Narrow"/>
                <w:noProof/>
                <w:color w:val="000000"/>
                <w:highlight w:val="black"/>
              </w:rPr>
              <w:t>''''''''''''''</w:t>
            </w:r>
            <w:r w:rsidR="002D53F3" w:rsidRPr="000526BE">
              <w:rPr>
                <w:rFonts w:ascii="Arial Narrow" w:hAnsi="Arial Narrow"/>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 – remove</w:t>
            </w:r>
          </w:p>
        </w:tc>
        <w:tc>
          <w:tcPr>
            <w:tcW w:w="1415" w:type="pct"/>
          </w:tcPr>
          <w:p w:rsidR="002D53F3" w:rsidRPr="000526BE" w:rsidRDefault="002D53F3" w:rsidP="002D53F3">
            <w:pPr>
              <w:pStyle w:val="TableText1"/>
              <w:keepNext/>
              <w:keepLines/>
              <w:rPr>
                <w:rFonts w:ascii="Arial Narrow" w:hAnsi="Arial Narrow"/>
              </w:rPr>
            </w:pPr>
            <w:r w:rsidRPr="000526BE">
              <w:rPr>
                <w:rFonts w:ascii="Arial Narrow" w:hAnsi="Arial Narrow"/>
              </w:rPr>
              <w:t>Sustained remission adjustment</w:t>
            </w:r>
          </w:p>
        </w:tc>
        <w:tc>
          <w:tcPr>
            <w:tcW w:w="629"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c>
          <w:tcPr>
            <w:tcW w:w="740" w:type="pct"/>
            <w:vAlign w:val="center"/>
          </w:tcPr>
          <w:p w:rsidR="002D53F3" w:rsidRPr="00756F83" w:rsidRDefault="00756F83" w:rsidP="002D53F3">
            <w:pPr>
              <w:pStyle w:val="TableText1"/>
              <w:keepNext/>
              <w:keepLines/>
              <w:jc w:val="center"/>
              <w:rPr>
                <w:rFonts w:ascii="Arial Narrow" w:hAnsi="Arial Narrow"/>
                <w:highlight w:val="black"/>
              </w:rPr>
            </w:pPr>
            <w:r>
              <w:rPr>
                <w:rFonts w:ascii="Arial Narrow" w:hAnsi="Arial Narrow"/>
                <w:noProof/>
                <w:color w:val="000000"/>
                <w:highlight w:val="black"/>
              </w:rPr>
              <w:t>''''''''''''''</w:t>
            </w:r>
          </w:p>
        </w:tc>
        <w:tc>
          <w:tcPr>
            <w:tcW w:w="643" w:type="pct"/>
            <w:vAlign w:val="center"/>
          </w:tcPr>
          <w:p w:rsidR="002D53F3" w:rsidRPr="000526BE" w:rsidRDefault="002D53F3" w:rsidP="002D53F3">
            <w:pPr>
              <w:pStyle w:val="TableText1"/>
              <w:keepNext/>
              <w:keepLines/>
              <w:jc w:val="center"/>
              <w:rPr>
                <w:rFonts w:ascii="Arial Narrow" w:hAnsi="Arial Narrow"/>
              </w:rPr>
            </w:pPr>
            <w:r w:rsidRPr="000526BE">
              <w:rPr>
                <w:rFonts w:ascii="Arial Narrow" w:hAnsi="Arial Narrow"/>
              </w:rPr>
              <w:t>$</w:t>
            </w:r>
            <w:r w:rsidR="00756F83">
              <w:rPr>
                <w:rFonts w:ascii="Arial Narrow" w:hAnsi="Arial Narrow"/>
                <w:noProof/>
                <w:color w:val="000000"/>
                <w:highlight w:val="black"/>
              </w:rPr>
              <w:t>'''''''''''''''''</w:t>
            </w:r>
          </w:p>
        </w:tc>
      </w:tr>
      <w:tr w:rsidR="00DB415A" w:rsidRPr="000526BE" w:rsidTr="00A51D35">
        <w:trPr>
          <w:cantSplit/>
        </w:trPr>
        <w:tc>
          <w:tcPr>
            <w:tcW w:w="1573" w:type="pct"/>
          </w:tcPr>
          <w:p w:rsidR="002D53F3" w:rsidRPr="000526BE" w:rsidRDefault="002D53F3" w:rsidP="002D53F3">
            <w:pPr>
              <w:pStyle w:val="TableFooter"/>
              <w:keepNext/>
              <w:keepLines/>
              <w:rPr>
                <w:rFonts w:cs="Calibri"/>
                <w:bCs/>
                <w:snapToGrid/>
                <w:sz w:val="20"/>
                <w:szCs w:val="20"/>
                <w:lang w:eastAsia="zh-CN"/>
              </w:rPr>
            </w:pPr>
            <w:r w:rsidRPr="000526BE">
              <w:rPr>
                <w:rFonts w:cs="Calibri"/>
                <w:bCs/>
                <w:snapToGrid/>
                <w:sz w:val="20"/>
                <w:szCs w:val="20"/>
                <w:lang w:eastAsia="zh-CN"/>
              </w:rPr>
              <w:t xml:space="preserve">Multivariate: 20-year time horizon, TP = 0.0019, sustained remission adjustment 75%, risk of recurrence </w:t>
            </w:r>
            <w:r w:rsidR="00DB415A" w:rsidRPr="000526BE">
              <w:rPr>
                <w:rFonts w:cs="Calibri"/>
                <w:bCs/>
                <w:snapToGrid/>
                <w:sz w:val="20"/>
                <w:szCs w:val="20"/>
                <w:lang w:eastAsia="zh-CN"/>
              </w:rPr>
              <w:t>starts to decrease at 30 months</w:t>
            </w:r>
          </w:p>
        </w:tc>
        <w:tc>
          <w:tcPr>
            <w:tcW w:w="1415" w:type="pct"/>
          </w:tcPr>
          <w:p w:rsidR="002D53F3" w:rsidRPr="000526BE" w:rsidRDefault="002D53F3" w:rsidP="002D53F3">
            <w:pPr>
              <w:pStyle w:val="TableFooter"/>
              <w:keepNext/>
              <w:keepLines/>
              <w:rPr>
                <w:rFonts w:cs="Calibri"/>
                <w:bCs/>
                <w:snapToGrid/>
                <w:sz w:val="20"/>
                <w:szCs w:val="20"/>
                <w:lang w:eastAsia="zh-CN"/>
              </w:rPr>
            </w:pPr>
          </w:p>
        </w:tc>
        <w:tc>
          <w:tcPr>
            <w:tcW w:w="629" w:type="pct"/>
            <w:vAlign w:val="center"/>
          </w:tcPr>
          <w:p w:rsidR="002D53F3" w:rsidRPr="000526BE" w:rsidRDefault="002D53F3" w:rsidP="002D53F3">
            <w:pPr>
              <w:pStyle w:val="TableFooter"/>
              <w:keepNext/>
              <w:keepLines/>
              <w:jc w:val="center"/>
              <w:rPr>
                <w:rFonts w:cs="Calibri"/>
                <w:bCs/>
                <w:snapToGrid/>
                <w:sz w:val="20"/>
                <w:szCs w:val="20"/>
                <w:lang w:eastAsia="zh-CN"/>
              </w:rPr>
            </w:pPr>
            <w:r w:rsidRPr="000526BE">
              <w:rPr>
                <w:rFonts w:cs="Calibri"/>
                <w:bCs/>
                <w:snapToGrid/>
                <w:sz w:val="20"/>
                <w:szCs w:val="20"/>
                <w:lang w:eastAsia="zh-CN"/>
              </w:rPr>
              <w:t>$</w:t>
            </w:r>
            <w:r w:rsidR="00756F83">
              <w:rPr>
                <w:rFonts w:cs="Calibri"/>
                <w:bCs/>
                <w:noProof/>
                <w:snapToGrid/>
                <w:color w:val="000000"/>
                <w:sz w:val="20"/>
                <w:szCs w:val="20"/>
                <w:highlight w:val="black"/>
                <w:lang w:eastAsia="zh-CN"/>
              </w:rPr>
              <w:t>'''''''''''''''</w:t>
            </w:r>
          </w:p>
        </w:tc>
        <w:tc>
          <w:tcPr>
            <w:tcW w:w="740" w:type="pct"/>
            <w:vAlign w:val="center"/>
          </w:tcPr>
          <w:p w:rsidR="002D53F3" w:rsidRPr="00756F83" w:rsidRDefault="00756F83" w:rsidP="002D53F3">
            <w:pPr>
              <w:pStyle w:val="TableFooter"/>
              <w:keepNext/>
              <w:keepLines/>
              <w:jc w:val="center"/>
              <w:rPr>
                <w:rFonts w:cs="Calibri"/>
                <w:bCs/>
                <w:snapToGrid/>
                <w:sz w:val="20"/>
                <w:szCs w:val="20"/>
                <w:highlight w:val="black"/>
                <w:lang w:eastAsia="zh-CN"/>
              </w:rPr>
            </w:pPr>
            <w:r>
              <w:rPr>
                <w:rFonts w:cs="Calibri"/>
                <w:bCs/>
                <w:noProof/>
                <w:snapToGrid/>
                <w:color w:val="000000"/>
                <w:sz w:val="20"/>
                <w:szCs w:val="20"/>
                <w:highlight w:val="black"/>
                <w:lang w:eastAsia="zh-CN"/>
              </w:rPr>
              <w:t>'''''''''''''</w:t>
            </w:r>
          </w:p>
        </w:tc>
        <w:tc>
          <w:tcPr>
            <w:tcW w:w="643" w:type="pct"/>
            <w:vAlign w:val="center"/>
          </w:tcPr>
          <w:p w:rsidR="002D53F3" w:rsidRPr="000526BE" w:rsidRDefault="002D53F3" w:rsidP="002D53F3">
            <w:pPr>
              <w:pStyle w:val="TableFooter"/>
              <w:keepNext/>
              <w:keepLines/>
              <w:jc w:val="center"/>
              <w:rPr>
                <w:rFonts w:cs="Calibri"/>
                <w:bCs/>
                <w:snapToGrid/>
                <w:sz w:val="20"/>
                <w:szCs w:val="20"/>
                <w:lang w:eastAsia="zh-CN"/>
              </w:rPr>
            </w:pPr>
            <w:r w:rsidRPr="000526BE">
              <w:rPr>
                <w:rFonts w:cs="Calibri"/>
                <w:bCs/>
                <w:snapToGrid/>
                <w:sz w:val="20"/>
                <w:szCs w:val="20"/>
                <w:lang w:eastAsia="zh-CN"/>
              </w:rPr>
              <w:t>$</w:t>
            </w:r>
            <w:r w:rsidR="00756F83">
              <w:rPr>
                <w:rFonts w:cs="Calibri"/>
                <w:bCs/>
                <w:noProof/>
                <w:snapToGrid/>
                <w:color w:val="000000"/>
                <w:sz w:val="20"/>
                <w:szCs w:val="20"/>
                <w:highlight w:val="black"/>
                <w:lang w:eastAsia="zh-CN"/>
              </w:rPr>
              <w:t>''''''''''''''''</w:t>
            </w:r>
          </w:p>
        </w:tc>
      </w:tr>
      <w:tr w:rsidR="00DB415A" w:rsidRPr="000526BE" w:rsidTr="00A51D35">
        <w:trPr>
          <w:cantSplit/>
        </w:trPr>
        <w:tc>
          <w:tcPr>
            <w:tcW w:w="1573" w:type="pct"/>
          </w:tcPr>
          <w:p w:rsidR="002D53F3" w:rsidRPr="000526BE" w:rsidRDefault="002D53F3" w:rsidP="00A51D35">
            <w:pPr>
              <w:pStyle w:val="TableFooter"/>
              <w:keepNext/>
              <w:keepLines/>
              <w:jc w:val="left"/>
              <w:rPr>
                <w:rFonts w:cs="Calibri"/>
                <w:bCs/>
                <w:snapToGrid/>
                <w:sz w:val="20"/>
                <w:szCs w:val="20"/>
                <w:lang w:eastAsia="zh-CN"/>
              </w:rPr>
            </w:pPr>
            <w:r w:rsidRPr="000526BE">
              <w:rPr>
                <w:rFonts w:cs="Calibri"/>
                <w:bCs/>
                <w:snapToGrid/>
                <w:sz w:val="20"/>
                <w:szCs w:val="20"/>
                <w:lang w:eastAsia="zh-CN"/>
              </w:rPr>
              <w:t>Multivariate: 20-year time horizon, TP = 0.0019, no</w:t>
            </w:r>
            <w:r w:rsidR="00DB415A" w:rsidRPr="000526BE">
              <w:rPr>
                <w:rFonts w:cs="Calibri"/>
                <w:bCs/>
                <w:snapToGrid/>
                <w:sz w:val="20"/>
                <w:szCs w:val="20"/>
                <w:lang w:eastAsia="zh-CN"/>
              </w:rPr>
              <w:t xml:space="preserve"> sustained remission adjustment</w:t>
            </w:r>
          </w:p>
        </w:tc>
        <w:tc>
          <w:tcPr>
            <w:tcW w:w="1415" w:type="pct"/>
          </w:tcPr>
          <w:p w:rsidR="002D53F3" w:rsidRPr="000526BE" w:rsidRDefault="002D53F3" w:rsidP="002D53F3">
            <w:pPr>
              <w:pStyle w:val="TableFooter"/>
              <w:keepNext/>
              <w:keepLines/>
              <w:rPr>
                <w:rFonts w:cs="Calibri"/>
                <w:bCs/>
                <w:snapToGrid/>
                <w:sz w:val="20"/>
                <w:szCs w:val="20"/>
                <w:lang w:eastAsia="zh-CN"/>
              </w:rPr>
            </w:pPr>
          </w:p>
        </w:tc>
        <w:tc>
          <w:tcPr>
            <w:tcW w:w="629" w:type="pct"/>
            <w:vAlign w:val="center"/>
          </w:tcPr>
          <w:p w:rsidR="002D53F3" w:rsidRPr="000526BE" w:rsidRDefault="002D53F3" w:rsidP="002D53F3">
            <w:pPr>
              <w:pStyle w:val="TableFooter"/>
              <w:keepNext/>
              <w:keepLines/>
              <w:jc w:val="center"/>
              <w:rPr>
                <w:rFonts w:cs="Calibri"/>
                <w:bCs/>
                <w:snapToGrid/>
                <w:sz w:val="20"/>
                <w:szCs w:val="20"/>
                <w:lang w:eastAsia="zh-CN"/>
              </w:rPr>
            </w:pPr>
            <w:r w:rsidRPr="000526BE">
              <w:rPr>
                <w:rFonts w:cs="Calibri"/>
                <w:bCs/>
                <w:snapToGrid/>
                <w:sz w:val="20"/>
                <w:szCs w:val="20"/>
                <w:lang w:eastAsia="zh-CN"/>
              </w:rPr>
              <w:t>$</w:t>
            </w:r>
            <w:r w:rsidR="00756F83">
              <w:rPr>
                <w:rFonts w:cs="Calibri"/>
                <w:bCs/>
                <w:noProof/>
                <w:snapToGrid/>
                <w:color w:val="000000"/>
                <w:sz w:val="20"/>
                <w:szCs w:val="20"/>
                <w:highlight w:val="black"/>
                <w:lang w:eastAsia="zh-CN"/>
              </w:rPr>
              <w:t>'''''''''''''''''</w:t>
            </w:r>
          </w:p>
        </w:tc>
        <w:tc>
          <w:tcPr>
            <w:tcW w:w="740" w:type="pct"/>
            <w:vAlign w:val="center"/>
          </w:tcPr>
          <w:p w:rsidR="002D53F3" w:rsidRPr="00756F83" w:rsidRDefault="00756F83" w:rsidP="002D53F3">
            <w:pPr>
              <w:pStyle w:val="TableFooter"/>
              <w:keepNext/>
              <w:keepLines/>
              <w:jc w:val="center"/>
              <w:rPr>
                <w:rFonts w:cs="Calibri"/>
                <w:bCs/>
                <w:snapToGrid/>
                <w:sz w:val="20"/>
                <w:szCs w:val="20"/>
                <w:highlight w:val="black"/>
                <w:lang w:eastAsia="zh-CN"/>
              </w:rPr>
            </w:pPr>
            <w:r>
              <w:rPr>
                <w:rFonts w:cs="Calibri"/>
                <w:bCs/>
                <w:noProof/>
                <w:snapToGrid/>
                <w:color w:val="000000"/>
                <w:sz w:val="20"/>
                <w:szCs w:val="20"/>
                <w:highlight w:val="black"/>
                <w:lang w:eastAsia="zh-CN"/>
              </w:rPr>
              <w:t>'''''''''''''</w:t>
            </w:r>
          </w:p>
        </w:tc>
        <w:tc>
          <w:tcPr>
            <w:tcW w:w="643" w:type="pct"/>
            <w:vAlign w:val="center"/>
          </w:tcPr>
          <w:p w:rsidR="002D53F3" w:rsidRPr="000526BE" w:rsidRDefault="002D53F3" w:rsidP="002D53F3">
            <w:pPr>
              <w:pStyle w:val="TableFooter"/>
              <w:keepNext/>
              <w:keepLines/>
              <w:jc w:val="center"/>
              <w:rPr>
                <w:rFonts w:cs="Calibri"/>
                <w:bCs/>
                <w:snapToGrid/>
                <w:sz w:val="20"/>
                <w:szCs w:val="20"/>
                <w:lang w:eastAsia="zh-CN"/>
              </w:rPr>
            </w:pPr>
            <w:r w:rsidRPr="000526BE">
              <w:rPr>
                <w:rFonts w:cs="Calibri"/>
                <w:bCs/>
                <w:snapToGrid/>
                <w:sz w:val="20"/>
                <w:szCs w:val="20"/>
                <w:lang w:eastAsia="zh-CN"/>
              </w:rPr>
              <w:t>$</w:t>
            </w:r>
            <w:r w:rsidR="00756F83">
              <w:rPr>
                <w:rFonts w:cs="Calibri"/>
                <w:bCs/>
                <w:noProof/>
                <w:snapToGrid/>
                <w:color w:val="000000"/>
                <w:sz w:val="20"/>
                <w:szCs w:val="20"/>
                <w:highlight w:val="black"/>
                <w:lang w:eastAsia="zh-CN"/>
              </w:rPr>
              <w:t>''''''''''''''''</w:t>
            </w:r>
          </w:p>
        </w:tc>
      </w:tr>
    </w:tbl>
    <w:p w:rsidR="00B61A0B" w:rsidRPr="000526BE" w:rsidRDefault="00B61A0B" w:rsidP="002D53F3">
      <w:pPr>
        <w:pStyle w:val="TableFooter"/>
        <w:keepNext/>
        <w:keepLines/>
        <w:widowControl/>
      </w:pPr>
      <w:r w:rsidRPr="000526BE">
        <w:t xml:space="preserve">Abbreviations: eBC= early breast cancer; iDFS= </w:t>
      </w:r>
      <w:r w:rsidR="00423FC6" w:rsidRPr="000526BE">
        <w:t>invasive disease-free</w:t>
      </w:r>
      <w:r w:rsidRPr="000526BE">
        <w:t xml:space="preserve"> survival; ICER= incremental cost effectiveness ratio; Incr= incremental; ISH= in situ hybridization; IV= intravenous; mBC= metastatic breast cancer; MBS= Medicare Benefits Schedule; QALYG= quality adjusted life year gained; TP= transition probability. </w:t>
      </w:r>
    </w:p>
    <w:p w:rsidR="00BE0805" w:rsidRDefault="00B61A0B" w:rsidP="00EF283B">
      <w:pPr>
        <w:pStyle w:val="TableFooter"/>
        <w:keepNext/>
        <w:keepLines/>
        <w:widowControl/>
      </w:pPr>
      <w:r w:rsidRPr="000526BE">
        <w:t xml:space="preserve">Source: Table </w:t>
      </w:r>
      <w:r w:rsidR="002D53F3" w:rsidRPr="000526BE">
        <w:t>16, page 6 of pre-PBAC response</w:t>
      </w:r>
      <w:r w:rsidRPr="000526BE">
        <w:t>.</w:t>
      </w:r>
    </w:p>
    <w:p w:rsidR="00EF283B" w:rsidRDefault="00EF283B" w:rsidP="00EF283B"/>
    <w:p w:rsidR="008C27D3" w:rsidRDefault="008C27D3" w:rsidP="008C27D3">
      <w:pPr>
        <w:widowControl/>
      </w:pPr>
      <w:r>
        <w:t xml:space="preserve">The redacted table shows ICERS in the range of less than $15,000/QALY - $45,000/QALY. </w:t>
      </w:r>
    </w:p>
    <w:p w:rsidR="008C27D3" w:rsidRPr="000526BE" w:rsidRDefault="008C27D3" w:rsidP="00EF283B"/>
    <w:p w:rsidR="00B61A0B" w:rsidRPr="000526BE" w:rsidRDefault="00B61A0B" w:rsidP="0089578E">
      <w:pPr>
        <w:pStyle w:val="Heading2"/>
        <w:spacing w:after="120"/>
      </w:pPr>
      <w:bookmarkStart w:id="14" w:name="_Toc19626599"/>
      <w:r w:rsidRPr="000526BE">
        <w:t>Drug cost/patient/course</w:t>
      </w:r>
      <w:bookmarkEnd w:id="14"/>
    </w:p>
    <w:p w:rsidR="00B61A0B" w:rsidRPr="000526BE" w:rsidRDefault="00B61A0B" w:rsidP="003C58B9">
      <w:pPr>
        <w:pStyle w:val="ListParagraph"/>
        <w:keepNext/>
        <w:widowControl/>
        <w:numPr>
          <w:ilvl w:val="1"/>
          <w:numId w:val="2"/>
        </w:numPr>
      </w:pPr>
      <w:r w:rsidRPr="000526BE">
        <w:t>The submission reported a drug acquisition cost for a complete treatment course of 14 three-weekly cycles of T</w:t>
      </w:r>
      <w:r w:rsidR="00C83370" w:rsidRPr="000526BE">
        <w:t>-</w:t>
      </w:r>
      <w:r w:rsidRPr="000526BE">
        <w:t>DM1 of $</w:t>
      </w:r>
      <w:r w:rsidR="00756F83">
        <w:rPr>
          <w:noProof/>
          <w:color w:val="000000"/>
          <w:highlight w:val="black"/>
        </w:rPr>
        <w:t>''''''''''''</w:t>
      </w:r>
      <w:r w:rsidR="00AB6E98" w:rsidRPr="000526BE">
        <w:t xml:space="preserve"> </w:t>
      </w:r>
      <w:r w:rsidRPr="000526BE">
        <w:t>per patient</w:t>
      </w:r>
      <w:r w:rsidR="00AB6E98" w:rsidRPr="000526BE">
        <w:t xml:space="preserve"> (updated cost for a complete treatment course of 14 cycles taking into account PBS fees as of July 2019</w:t>
      </w:r>
      <w:r w:rsidR="00C34EE5" w:rsidRPr="000526BE">
        <w:t xml:space="preserve"> and using the weighted DPMA per administration across the public and private settings;</w:t>
      </w:r>
      <w:r w:rsidR="00AB6E98" w:rsidRPr="000526BE">
        <w:t xml:space="preserve"> $</w:t>
      </w:r>
      <w:r w:rsidR="00756F83">
        <w:rPr>
          <w:noProof/>
          <w:color w:val="000000"/>
          <w:highlight w:val="black"/>
        </w:rPr>
        <w:t>'''''''''''''''''</w:t>
      </w:r>
      <w:r w:rsidR="00AB6E98" w:rsidRPr="000526BE">
        <w:t xml:space="preserve"> × 14)</w:t>
      </w:r>
      <w:r w:rsidRPr="000526BE">
        <w:t xml:space="preserve">. </w:t>
      </w:r>
      <w:r w:rsidR="00C34EE5" w:rsidRPr="000526BE">
        <w:t xml:space="preserve">The average treatment duration in KATHERINE was 11.9 cycles, resulting in an average cost per patient of </w:t>
      </w:r>
      <w:r w:rsidR="00813B5D" w:rsidRPr="000526BE">
        <w:t>$</w:t>
      </w:r>
      <w:r w:rsidR="00756F83">
        <w:rPr>
          <w:noProof/>
          <w:color w:val="000000"/>
          <w:highlight w:val="black"/>
        </w:rPr>
        <w:t>''''''''''''</w:t>
      </w:r>
      <w:r w:rsidR="00813B5D" w:rsidRPr="000526BE">
        <w:t>.</w:t>
      </w:r>
      <w:r w:rsidRPr="000526BE">
        <w:rPr>
          <w:iCs/>
        </w:rPr>
        <w:t xml:space="preserve"> </w:t>
      </w:r>
      <w:r w:rsidR="00AB6E98" w:rsidRPr="000526BE">
        <w:rPr>
          <w:iCs/>
        </w:rPr>
        <w:t xml:space="preserve">The PBAC noted this cost </w:t>
      </w:r>
      <w:r w:rsidRPr="000526BE">
        <w:rPr>
          <w:iCs/>
        </w:rPr>
        <w:t>is significantly higher than the drug acquisition cost for a complete treatment course of 17 three-weekly cycles of trastuzumab of $</w:t>
      </w:r>
      <w:r w:rsidR="00756F83">
        <w:rPr>
          <w:iCs/>
          <w:noProof/>
          <w:color w:val="000000"/>
          <w:highlight w:val="black"/>
        </w:rPr>
        <w:t>''''''''''''''</w:t>
      </w:r>
      <w:r w:rsidRPr="000526BE">
        <w:rPr>
          <w:iCs/>
        </w:rPr>
        <w:t xml:space="preserve"> per average patient</w:t>
      </w:r>
      <w:r w:rsidR="00650F57" w:rsidRPr="000526BE">
        <w:rPr>
          <w:iCs/>
        </w:rPr>
        <w:t xml:space="preserve"> (see Table </w:t>
      </w:r>
      <w:r w:rsidR="00187A07" w:rsidRPr="000526BE">
        <w:rPr>
          <w:iCs/>
        </w:rPr>
        <w:t>1</w:t>
      </w:r>
      <w:r w:rsidR="004E7837">
        <w:rPr>
          <w:iCs/>
        </w:rPr>
        <w:t>5</w:t>
      </w:r>
      <w:r w:rsidR="00650F57" w:rsidRPr="000526BE">
        <w:rPr>
          <w:iCs/>
        </w:rPr>
        <w:t>)</w:t>
      </w:r>
      <w:r w:rsidRPr="000526BE">
        <w:rPr>
          <w:iCs/>
        </w:rPr>
        <w:t>.</w:t>
      </w:r>
    </w:p>
    <w:p w:rsidR="00B61A0B" w:rsidRPr="000526BE" w:rsidRDefault="00B61A0B" w:rsidP="00B61A0B">
      <w:pPr>
        <w:pStyle w:val="TableHeading0"/>
        <w:rPr>
          <w:rStyle w:val="CommentReference"/>
          <w:b/>
          <w:szCs w:val="22"/>
        </w:rPr>
      </w:pPr>
      <w:r w:rsidRPr="000526BE">
        <w:rPr>
          <w:rStyle w:val="CommentReference"/>
          <w:b/>
          <w:szCs w:val="22"/>
        </w:rPr>
        <w:t xml:space="preserve">Table </w:t>
      </w:r>
      <w:r w:rsidR="00187A07" w:rsidRPr="000526BE">
        <w:rPr>
          <w:rStyle w:val="CommentReference"/>
          <w:b/>
          <w:szCs w:val="22"/>
        </w:rPr>
        <w:t>1</w:t>
      </w:r>
      <w:r w:rsidR="004E7837">
        <w:rPr>
          <w:rStyle w:val="CommentReference"/>
          <w:b/>
          <w:szCs w:val="22"/>
        </w:rPr>
        <w:t>5</w:t>
      </w:r>
      <w:r w:rsidRPr="000526BE">
        <w:rPr>
          <w:rStyle w:val="CommentReference"/>
          <w:b/>
          <w:szCs w:val="22"/>
        </w:rPr>
        <w:t>: Drug cost per patient for proposed drug</w:t>
      </w:r>
      <w:r w:rsidR="00DA3C7A" w:rsidRPr="000526BE">
        <w:rPr>
          <w:rStyle w:val="CommentReference"/>
          <w:b/>
          <w:szCs w:val="22"/>
        </w:rPr>
        <w:t xml:space="preserve"> compared within trial (KATHERINE), Markov model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6"/>
        <w:gridCol w:w="2410"/>
        <w:gridCol w:w="1135"/>
        <w:gridCol w:w="2409"/>
        <w:gridCol w:w="1367"/>
      </w:tblGrid>
      <w:tr w:rsidR="00792F67" w:rsidRPr="000526BE" w:rsidTr="006D3835">
        <w:tc>
          <w:tcPr>
            <w:tcW w:w="940" w:type="pct"/>
            <w:shd w:val="clear" w:color="auto" w:fill="auto"/>
            <w:vAlign w:val="center"/>
          </w:tcPr>
          <w:p w:rsidR="00792F67" w:rsidRPr="000526BE" w:rsidRDefault="00792F67" w:rsidP="007A7D2F">
            <w:pPr>
              <w:keepNext/>
              <w:widowControl/>
              <w:jc w:val="left"/>
              <w:rPr>
                <w:rFonts w:ascii="Arial Narrow" w:hAnsi="Arial Narrow"/>
                <w:b/>
                <w:sz w:val="20"/>
                <w:szCs w:val="20"/>
              </w:rPr>
            </w:pPr>
          </w:p>
        </w:tc>
        <w:tc>
          <w:tcPr>
            <w:tcW w:w="1965" w:type="pct"/>
            <w:gridSpan w:val="2"/>
            <w:shd w:val="clear" w:color="auto" w:fill="auto"/>
            <w:vAlign w:val="center"/>
          </w:tcPr>
          <w:p w:rsidR="00792F67" w:rsidRPr="000526BE" w:rsidRDefault="00792F67" w:rsidP="007A7D2F">
            <w:pPr>
              <w:keepNext/>
              <w:widowControl/>
              <w:jc w:val="center"/>
              <w:rPr>
                <w:rFonts w:ascii="Arial Narrow" w:hAnsi="Arial Narrow"/>
                <w:b/>
                <w:sz w:val="20"/>
                <w:szCs w:val="20"/>
              </w:rPr>
            </w:pPr>
            <w:r w:rsidRPr="000526BE">
              <w:rPr>
                <w:rFonts w:ascii="Arial Narrow" w:hAnsi="Arial Narrow"/>
                <w:b/>
                <w:sz w:val="20"/>
                <w:szCs w:val="20"/>
              </w:rPr>
              <w:t>T-DM1</w:t>
            </w:r>
          </w:p>
        </w:tc>
        <w:tc>
          <w:tcPr>
            <w:tcW w:w="2094" w:type="pct"/>
            <w:gridSpan w:val="2"/>
            <w:shd w:val="clear" w:color="auto" w:fill="auto"/>
            <w:vAlign w:val="center"/>
          </w:tcPr>
          <w:p w:rsidR="00792F67" w:rsidRPr="000526BE" w:rsidRDefault="00792F67" w:rsidP="007A7D2F">
            <w:pPr>
              <w:keepNext/>
              <w:widowControl/>
              <w:jc w:val="center"/>
              <w:rPr>
                <w:rFonts w:ascii="Arial Narrow" w:hAnsi="Arial Narrow"/>
                <w:b/>
                <w:sz w:val="20"/>
                <w:szCs w:val="20"/>
              </w:rPr>
            </w:pPr>
            <w:r w:rsidRPr="000526BE">
              <w:rPr>
                <w:rFonts w:ascii="Arial Narrow" w:hAnsi="Arial Narrow"/>
                <w:b/>
                <w:sz w:val="20"/>
                <w:szCs w:val="20"/>
              </w:rPr>
              <w:t>Trastuzumab</w:t>
            </w:r>
          </w:p>
        </w:tc>
      </w:tr>
      <w:tr w:rsidR="00792F67" w:rsidRPr="000526BE" w:rsidTr="006D3835">
        <w:tc>
          <w:tcPr>
            <w:tcW w:w="940" w:type="pct"/>
            <w:shd w:val="clear" w:color="auto" w:fill="auto"/>
            <w:vAlign w:val="center"/>
          </w:tcPr>
          <w:p w:rsidR="00792F67" w:rsidRPr="000526BE" w:rsidRDefault="00792F67" w:rsidP="00BF71E6">
            <w:pPr>
              <w:keepNext/>
              <w:widowControl/>
              <w:jc w:val="left"/>
              <w:rPr>
                <w:rFonts w:ascii="Arial Narrow" w:hAnsi="Arial Narrow"/>
                <w:b/>
                <w:sz w:val="20"/>
                <w:szCs w:val="20"/>
              </w:rPr>
            </w:pPr>
          </w:p>
        </w:tc>
        <w:tc>
          <w:tcPr>
            <w:tcW w:w="1336" w:type="pct"/>
            <w:shd w:val="clear" w:color="auto" w:fill="auto"/>
            <w:vAlign w:val="center"/>
          </w:tcPr>
          <w:p w:rsidR="00792F67" w:rsidRPr="000526BE" w:rsidRDefault="00792F67" w:rsidP="006D3835">
            <w:pPr>
              <w:keepNext/>
              <w:widowControl/>
              <w:jc w:val="center"/>
              <w:rPr>
                <w:rFonts w:ascii="Arial Narrow" w:hAnsi="Arial Narrow"/>
                <w:b/>
                <w:sz w:val="20"/>
                <w:szCs w:val="20"/>
              </w:rPr>
            </w:pPr>
            <w:r w:rsidRPr="000526BE">
              <w:rPr>
                <w:rFonts w:ascii="Arial Narrow" w:hAnsi="Arial Narrow"/>
                <w:b/>
                <w:sz w:val="20"/>
                <w:szCs w:val="20"/>
              </w:rPr>
              <w:t>Within trial (62.6 months)</w:t>
            </w:r>
          </w:p>
          <w:p w:rsidR="00792F67" w:rsidRPr="000526BE" w:rsidRDefault="006D3835" w:rsidP="00C6123A">
            <w:pPr>
              <w:keepNext/>
              <w:widowControl/>
              <w:jc w:val="center"/>
              <w:rPr>
                <w:rFonts w:ascii="Arial Narrow" w:hAnsi="Arial Narrow"/>
                <w:b/>
                <w:sz w:val="20"/>
                <w:szCs w:val="20"/>
              </w:rPr>
            </w:pPr>
            <w:r w:rsidRPr="000526BE">
              <w:rPr>
                <w:rFonts w:ascii="Arial Narrow" w:hAnsi="Arial Narrow"/>
                <w:b/>
                <w:sz w:val="20"/>
                <w:szCs w:val="20"/>
              </w:rPr>
              <w:t>M</w:t>
            </w:r>
            <w:r w:rsidR="00792F67" w:rsidRPr="000526BE">
              <w:rPr>
                <w:rFonts w:ascii="Arial Narrow" w:hAnsi="Arial Narrow"/>
                <w:b/>
                <w:sz w:val="20"/>
                <w:szCs w:val="20"/>
              </w:rPr>
              <w:t>odel (40-yr time horizon)</w:t>
            </w:r>
          </w:p>
        </w:tc>
        <w:tc>
          <w:tcPr>
            <w:tcW w:w="629" w:type="pct"/>
            <w:shd w:val="clear" w:color="auto" w:fill="auto"/>
            <w:vAlign w:val="center"/>
          </w:tcPr>
          <w:p w:rsidR="00792F67" w:rsidRPr="000526BE" w:rsidRDefault="00792F67" w:rsidP="00C6123A">
            <w:pPr>
              <w:keepNext/>
              <w:widowControl/>
              <w:jc w:val="center"/>
              <w:rPr>
                <w:rFonts w:ascii="Arial Narrow" w:hAnsi="Arial Narrow"/>
                <w:b/>
                <w:sz w:val="20"/>
                <w:szCs w:val="20"/>
              </w:rPr>
            </w:pPr>
            <w:r w:rsidRPr="000526BE">
              <w:rPr>
                <w:rFonts w:ascii="Arial Narrow" w:hAnsi="Arial Narrow"/>
                <w:b/>
                <w:sz w:val="20"/>
                <w:szCs w:val="20"/>
              </w:rPr>
              <w:t>Financial estimates</w:t>
            </w:r>
          </w:p>
        </w:tc>
        <w:tc>
          <w:tcPr>
            <w:tcW w:w="1336" w:type="pct"/>
            <w:shd w:val="clear" w:color="auto" w:fill="auto"/>
            <w:vAlign w:val="center"/>
          </w:tcPr>
          <w:p w:rsidR="00792F67" w:rsidRPr="000526BE" w:rsidRDefault="00792F67" w:rsidP="00C6123A">
            <w:pPr>
              <w:keepNext/>
              <w:widowControl/>
              <w:jc w:val="center"/>
              <w:rPr>
                <w:rFonts w:ascii="Arial Narrow" w:hAnsi="Arial Narrow"/>
                <w:b/>
                <w:sz w:val="20"/>
                <w:szCs w:val="20"/>
              </w:rPr>
            </w:pPr>
            <w:r w:rsidRPr="000526BE">
              <w:rPr>
                <w:rFonts w:ascii="Arial Narrow" w:hAnsi="Arial Narrow"/>
                <w:b/>
                <w:sz w:val="20"/>
                <w:szCs w:val="20"/>
              </w:rPr>
              <w:t>Within trial</w:t>
            </w:r>
            <w:r w:rsidR="006D3835" w:rsidRPr="000526BE">
              <w:rPr>
                <w:rFonts w:ascii="Arial Narrow" w:hAnsi="Arial Narrow"/>
                <w:b/>
                <w:sz w:val="20"/>
                <w:szCs w:val="20"/>
              </w:rPr>
              <w:t xml:space="preserve"> </w:t>
            </w:r>
            <w:r w:rsidRPr="000526BE">
              <w:rPr>
                <w:rFonts w:ascii="Arial Narrow" w:hAnsi="Arial Narrow"/>
                <w:b/>
                <w:sz w:val="20"/>
                <w:szCs w:val="20"/>
              </w:rPr>
              <w:t>(62.6 months)</w:t>
            </w:r>
          </w:p>
          <w:p w:rsidR="00792F67" w:rsidRPr="000526BE" w:rsidRDefault="006D3835" w:rsidP="006D3835">
            <w:pPr>
              <w:keepNext/>
              <w:widowControl/>
              <w:jc w:val="center"/>
              <w:rPr>
                <w:rFonts w:ascii="Arial Narrow" w:hAnsi="Arial Narrow"/>
                <w:b/>
                <w:sz w:val="20"/>
                <w:szCs w:val="20"/>
              </w:rPr>
            </w:pPr>
            <w:r w:rsidRPr="000526BE">
              <w:rPr>
                <w:rFonts w:ascii="Arial Narrow" w:hAnsi="Arial Narrow"/>
                <w:b/>
                <w:sz w:val="20"/>
                <w:szCs w:val="20"/>
              </w:rPr>
              <w:t>M</w:t>
            </w:r>
            <w:r w:rsidR="00792F67" w:rsidRPr="000526BE">
              <w:rPr>
                <w:rFonts w:ascii="Arial Narrow" w:hAnsi="Arial Narrow"/>
                <w:b/>
                <w:sz w:val="20"/>
                <w:szCs w:val="20"/>
              </w:rPr>
              <w:t>odel (40-yr time horizon)</w:t>
            </w:r>
          </w:p>
        </w:tc>
        <w:tc>
          <w:tcPr>
            <w:tcW w:w="758" w:type="pct"/>
            <w:shd w:val="clear" w:color="auto" w:fill="auto"/>
            <w:vAlign w:val="center"/>
          </w:tcPr>
          <w:p w:rsidR="00792F67" w:rsidRPr="000526BE" w:rsidRDefault="00792F67" w:rsidP="00C6123A">
            <w:pPr>
              <w:keepNext/>
              <w:widowControl/>
              <w:jc w:val="center"/>
              <w:rPr>
                <w:rFonts w:ascii="Arial Narrow" w:hAnsi="Arial Narrow"/>
                <w:b/>
                <w:sz w:val="20"/>
                <w:szCs w:val="20"/>
              </w:rPr>
            </w:pPr>
            <w:r w:rsidRPr="000526BE">
              <w:rPr>
                <w:rFonts w:ascii="Arial Narrow" w:hAnsi="Arial Narrow"/>
                <w:b/>
                <w:sz w:val="20"/>
                <w:szCs w:val="20"/>
              </w:rPr>
              <w:t>Financial estimates</w:t>
            </w:r>
          </w:p>
        </w:tc>
      </w:tr>
      <w:tr w:rsidR="00792F67" w:rsidRPr="000526BE" w:rsidTr="006D3835">
        <w:tc>
          <w:tcPr>
            <w:tcW w:w="940" w:type="pct"/>
            <w:shd w:val="clear" w:color="auto" w:fill="auto"/>
            <w:vAlign w:val="center"/>
          </w:tcPr>
          <w:p w:rsidR="00792F67" w:rsidRPr="000526BE" w:rsidRDefault="00792F67" w:rsidP="00C6123A">
            <w:pPr>
              <w:keepNext/>
              <w:widowControl/>
              <w:jc w:val="left"/>
              <w:rPr>
                <w:rFonts w:ascii="Arial Narrow" w:hAnsi="Arial Narrow"/>
                <w:sz w:val="20"/>
                <w:szCs w:val="20"/>
              </w:rPr>
            </w:pPr>
            <w:r w:rsidRPr="000526BE">
              <w:rPr>
                <w:rFonts w:ascii="Arial Narrow" w:hAnsi="Arial Narrow"/>
                <w:sz w:val="20"/>
                <w:szCs w:val="20"/>
              </w:rPr>
              <w:t>Mean dose (mg/infusion)</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250.4</w:t>
            </w:r>
          </w:p>
        </w:tc>
        <w:tc>
          <w:tcPr>
            <w:tcW w:w="629"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250.4</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1</w:t>
            </w:r>
            <w:r w:rsidRPr="000526BE">
              <w:rPr>
                <w:rFonts w:ascii="Arial Narrow" w:hAnsi="Arial Narrow"/>
                <w:sz w:val="20"/>
                <w:szCs w:val="20"/>
                <w:vertAlign w:val="superscript"/>
              </w:rPr>
              <w:t>st</w:t>
            </w:r>
            <w:r w:rsidRPr="000526BE">
              <w:rPr>
                <w:rFonts w:ascii="Arial Narrow" w:hAnsi="Arial Narrow"/>
                <w:sz w:val="20"/>
                <w:szCs w:val="20"/>
              </w:rPr>
              <w:t xml:space="preserve"> cycle: 484.1</w:t>
            </w:r>
          </w:p>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2</w:t>
            </w:r>
            <w:r w:rsidRPr="000526BE">
              <w:rPr>
                <w:rFonts w:ascii="Arial Narrow" w:hAnsi="Arial Narrow"/>
                <w:sz w:val="20"/>
                <w:szCs w:val="20"/>
                <w:vertAlign w:val="superscript"/>
              </w:rPr>
              <w:t>nd</w:t>
            </w:r>
            <w:r w:rsidRPr="000526BE">
              <w:rPr>
                <w:rFonts w:ascii="Arial Narrow" w:hAnsi="Arial Narrow"/>
                <w:sz w:val="20"/>
                <w:szCs w:val="20"/>
              </w:rPr>
              <w:t>+ cycle: 432.3</w:t>
            </w:r>
          </w:p>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All cycles: 438.0</w:t>
            </w:r>
          </w:p>
        </w:tc>
        <w:tc>
          <w:tcPr>
            <w:tcW w:w="758"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447</w:t>
            </w:r>
          </w:p>
        </w:tc>
      </w:tr>
      <w:tr w:rsidR="00792F67" w:rsidRPr="000526BE" w:rsidTr="006D3835">
        <w:tc>
          <w:tcPr>
            <w:tcW w:w="940" w:type="pct"/>
            <w:shd w:val="clear" w:color="auto" w:fill="auto"/>
            <w:vAlign w:val="center"/>
          </w:tcPr>
          <w:p w:rsidR="00792F67" w:rsidRPr="000526BE" w:rsidRDefault="00792F67" w:rsidP="00C6123A">
            <w:pPr>
              <w:keepNext/>
              <w:widowControl/>
              <w:jc w:val="left"/>
              <w:rPr>
                <w:rFonts w:ascii="Arial Narrow" w:hAnsi="Arial Narrow"/>
                <w:sz w:val="20"/>
                <w:szCs w:val="20"/>
              </w:rPr>
            </w:pPr>
            <w:r w:rsidRPr="000526BE">
              <w:rPr>
                <w:rFonts w:ascii="Arial Narrow" w:hAnsi="Arial Narrow"/>
                <w:sz w:val="20"/>
                <w:szCs w:val="20"/>
              </w:rPr>
              <w:t xml:space="preserve">Mean duration </w:t>
            </w:r>
          </w:p>
          <w:p w:rsidR="00792F67" w:rsidRPr="000526BE" w:rsidRDefault="00792F67" w:rsidP="00C6123A">
            <w:pPr>
              <w:keepNext/>
              <w:widowControl/>
              <w:jc w:val="left"/>
              <w:rPr>
                <w:rFonts w:ascii="Arial Narrow" w:hAnsi="Arial Narrow"/>
                <w:sz w:val="20"/>
                <w:szCs w:val="20"/>
                <w:vertAlign w:val="superscript"/>
              </w:rPr>
            </w:pPr>
            <w:r w:rsidRPr="000526BE">
              <w:rPr>
                <w:rFonts w:ascii="Arial Narrow" w:hAnsi="Arial Narrow"/>
                <w:sz w:val="20"/>
                <w:szCs w:val="20"/>
              </w:rPr>
              <w:t>(3-weekly cycles)</w:t>
            </w:r>
            <w:r w:rsidR="00774842">
              <w:rPr>
                <w:rFonts w:ascii="Arial Narrow" w:hAnsi="Arial Narrow"/>
                <w:sz w:val="20"/>
                <w:szCs w:val="20"/>
                <w:vertAlign w:val="superscript"/>
              </w:rPr>
              <w:t>b</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11.9</w:t>
            </w:r>
          </w:p>
        </w:tc>
        <w:tc>
          <w:tcPr>
            <w:tcW w:w="629"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11.9</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12.7</w:t>
            </w:r>
          </w:p>
        </w:tc>
        <w:tc>
          <w:tcPr>
            <w:tcW w:w="758"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12.0</w:t>
            </w:r>
          </w:p>
        </w:tc>
      </w:tr>
      <w:tr w:rsidR="00792F67" w:rsidRPr="000526BE" w:rsidTr="006D3835">
        <w:tc>
          <w:tcPr>
            <w:tcW w:w="940" w:type="pct"/>
            <w:shd w:val="clear" w:color="auto" w:fill="auto"/>
            <w:vAlign w:val="center"/>
          </w:tcPr>
          <w:p w:rsidR="00792F67" w:rsidRPr="000526BE" w:rsidRDefault="00792F67" w:rsidP="00C6123A">
            <w:pPr>
              <w:keepNext/>
              <w:widowControl/>
              <w:jc w:val="left"/>
              <w:rPr>
                <w:rFonts w:ascii="Arial Narrow" w:hAnsi="Arial Narrow"/>
                <w:sz w:val="20"/>
                <w:szCs w:val="20"/>
              </w:rPr>
            </w:pPr>
            <w:r w:rsidRPr="000526BE">
              <w:rPr>
                <w:rFonts w:ascii="Arial Narrow" w:hAnsi="Arial Narrow"/>
                <w:sz w:val="20"/>
                <w:szCs w:val="20"/>
              </w:rPr>
              <w:t>Total mean administered (mg)</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2,970 (trial)</w:t>
            </w:r>
          </w:p>
          <w:p w:rsidR="00792F67" w:rsidRPr="000526BE" w:rsidRDefault="00792F67" w:rsidP="00C6123A">
            <w:pPr>
              <w:keepNext/>
              <w:widowControl/>
              <w:jc w:val="center"/>
              <w:rPr>
                <w:rFonts w:ascii="Arial Narrow" w:hAnsi="Arial Narrow"/>
                <w:iCs/>
                <w:sz w:val="20"/>
                <w:szCs w:val="20"/>
              </w:rPr>
            </w:pPr>
            <w:r w:rsidRPr="000526BE">
              <w:rPr>
                <w:rFonts w:ascii="Arial Narrow" w:hAnsi="Arial Narrow"/>
                <w:iCs/>
                <w:sz w:val="20"/>
                <w:szCs w:val="20"/>
              </w:rPr>
              <w:t>2,980</w:t>
            </w:r>
            <w:r w:rsidR="00774842">
              <w:rPr>
                <w:rFonts w:ascii="Arial Narrow" w:hAnsi="Arial Narrow"/>
                <w:iCs/>
                <w:sz w:val="20"/>
                <w:szCs w:val="20"/>
                <w:vertAlign w:val="superscript"/>
              </w:rPr>
              <w:t>c</w:t>
            </w:r>
            <w:r w:rsidRPr="000526BE">
              <w:rPr>
                <w:rFonts w:ascii="Arial Narrow" w:hAnsi="Arial Narrow"/>
                <w:iCs/>
                <w:sz w:val="20"/>
                <w:szCs w:val="20"/>
              </w:rPr>
              <w:t xml:space="preserve"> (trial and model analysis)</w:t>
            </w:r>
          </w:p>
        </w:tc>
        <w:tc>
          <w:tcPr>
            <w:tcW w:w="629"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2,980</w:t>
            </w:r>
            <w:r w:rsidR="00774842">
              <w:rPr>
                <w:rFonts w:ascii="Arial Narrow" w:hAnsi="Arial Narrow"/>
                <w:sz w:val="20"/>
                <w:szCs w:val="20"/>
                <w:vertAlign w:val="superscript"/>
              </w:rPr>
              <w:t>c</w:t>
            </w:r>
          </w:p>
        </w:tc>
        <w:tc>
          <w:tcPr>
            <w:tcW w:w="1336" w:type="pct"/>
            <w:shd w:val="clear" w:color="auto" w:fill="auto"/>
            <w:vAlign w:val="center"/>
          </w:tcPr>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5,546 (trial)</w:t>
            </w:r>
          </w:p>
          <w:p w:rsidR="00792F67" w:rsidRPr="000526BE" w:rsidRDefault="00792F67" w:rsidP="00C6123A">
            <w:pPr>
              <w:keepNext/>
              <w:widowControl/>
              <w:jc w:val="center"/>
              <w:rPr>
                <w:rFonts w:ascii="Arial Narrow" w:hAnsi="Arial Narrow"/>
                <w:sz w:val="20"/>
                <w:szCs w:val="20"/>
              </w:rPr>
            </w:pPr>
            <w:r w:rsidRPr="000526BE">
              <w:rPr>
                <w:rFonts w:ascii="Arial Narrow" w:hAnsi="Arial Narrow"/>
                <w:sz w:val="20"/>
                <w:szCs w:val="20"/>
              </w:rPr>
              <w:t>5,563</w:t>
            </w:r>
            <w:r w:rsidR="00774842">
              <w:rPr>
                <w:rFonts w:ascii="Arial Narrow" w:hAnsi="Arial Narrow"/>
                <w:sz w:val="20"/>
                <w:szCs w:val="20"/>
                <w:vertAlign w:val="superscript"/>
              </w:rPr>
              <w:t>d</w:t>
            </w:r>
            <w:r w:rsidRPr="000526BE">
              <w:rPr>
                <w:rFonts w:ascii="Arial Narrow" w:hAnsi="Arial Narrow"/>
                <w:sz w:val="20"/>
                <w:szCs w:val="20"/>
              </w:rPr>
              <w:t xml:space="preserve"> (trial and model analysis)</w:t>
            </w:r>
          </w:p>
        </w:tc>
        <w:tc>
          <w:tcPr>
            <w:tcW w:w="758" w:type="pct"/>
            <w:shd w:val="clear" w:color="auto" w:fill="auto"/>
            <w:vAlign w:val="center"/>
          </w:tcPr>
          <w:p w:rsidR="00792F67" w:rsidRPr="000526BE" w:rsidRDefault="00792F67" w:rsidP="00C6123A">
            <w:pPr>
              <w:keepNext/>
              <w:widowControl/>
              <w:jc w:val="center"/>
              <w:rPr>
                <w:rFonts w:ascii="Arial Narrow" w:hAnsi="Arial Narrow"/>
                <w:sz w:val="20"/>
                <w:szCs w:val="20"/>
                <w:vertAlign w:val="superscript"/>
              </w:rPr>
            </w:pPr>
            <w:r w:rsidRPr="000526BE">
              <w:rPr>
                <w:rFonts w:ascii="Arial Narrow" w:hAnsi="Arial Narrow"/>
                <w:sz w:val="20"/>
                <w:szCs w:val="20"/>
              </w:rPr>
              <w:t>5,364</w:t>
            </w:r>
            <w:r w:rsidRPr="000526BE">
              <w:rPr>
                <w:rFonts w:ascii="Arial Narrow" w:hAnsi="Arial Narrow"/>
                <w:sz w:val="20"/>
                <w:szCs w:val="20"/>
                <w:vertAlign w:val="superscript"/>
              </w:rPr>
              <w:t xml:space="preserve"> a,</w:t>
            </w:r>
            <w:r w:rsidR="00774842">
              <w:rPr>
                <w:rFonts w:ascii="Arial Narrow" w:hAnsi="Arial Narrow"/>
                <w:sz w:val="20"/>
                <w:szCs w:val="20"/>
                <w:vertAlign w:val="superscript"/>
              </w:rPr>
              <w:t>c</w:t>
            </w:r>
          </w:p>
        </w:tc>
      </w:tr>
      <w:tr w:rsidR="00792F67" w:rsidRPr="000526BE" w:rsidTr="006D3835">
        <w:tc>
          <w:tcPr>
            <w:tcW w:w="940" w:type="pct"/>
            <w:shd w:val="clear" w:color="auto" w:fill="auto"/>
            <w:vAlign w:val="center"/>
          </w:tcPr>
          <w:p w:rsidR="00792F67" w:rsidRPr="000526BE" w:rsidRDefault="00792F67" w:rsidP="00C6123A">
            <w:pPr>
              <w:keepNext/>
              <w:widowControl/>
              <w:jc w:val="left"/>
              <w:rPr>
                <w:rFonts w:ascii="Arial Narrow" w:hAnsi="Arial Narrow"/>
                <w:sz w:val="20"/>
                <w:szCs w:val="20"/>
                <w:vertAlign w:val="superscript"/>
              </w:rPr>
            </w:pPr>
            <w:r w:rsidRPr="000526BE">
              <w:rPr>
                <w:rFonts w:ascii="Arial Narrow" w:hAnsi="Arial Narrow"/>
                <w:sz w:val="20"/>
                <w:szCs w:val="20"/>
              </w:rPr>
              <w:t>Drug cost/patient/cycle</w:t>
            </w:r>
          </w:p>
        </w:tc>
        <w:tc>
          <w:tcPr>
            <w:tcW w:w="1336" w:type="pct"/>
            <w:shd w:val="clear" w:color="auto" w:fill="auto"/>
            <w:vAlign w:val="center"/>
          </w:tcPr>
          <w:p w:rsidR="00792F67" w:rsidRPr="000526BE" w:rsidRDefault="00792F67" w:rsidP="00C34EE5">
            <w:pPr>
              <w:keepNext/>
              <w:widowControl/>
              <w:jc w:val="center"/>
              <w:rPr>
                <w:rFonts w:ascii="Arial Narrow" w:hAnsi="Arial Narrow"/>
                <w:sz w:val="20"/>
                <w:szCs w:val="20"/>
              </w:rPr>
            </w:pPr>
            <w:r w:rsidRPr="000526BE">
              <w:rPr>
                <w:rFonts w:ascii="Arial Narrow" w:hAnsi="Arial Narrow"/>
                <w:sz w:val="20"/>
                <w:szCs w:val="20"/>
              </w:rPr>
              <w:t>$</w:t>
            </w:r>
            <w:r w:rsidR="00756F83">
              <w:rPr>
                <w:rFonts w:ascii="Arial Narrow" w:hAnsi="Arial Narrow"/>
                <w:noProof/>
                <w:color w:val="000000"/>
                <w:sz w:val="20"/>
                <w:szCs w:val="20"/>
                <w:highlight w:val="black"/>
              </w:rPr>
              <w:t>'''''''''''''''</w:t>
            </w:r>
          </w:p>
        </w:tc>
        <w:tc>
          <w:tcPr>
            <w:tcW w:w="629" w:type="pct"/>
            <w:shd w:val="clear" w:color="auto" w:fill="auto"/>
            <w:vAlign w:val="center"/>
          </w:tcPr>
          <w:p w:rsidR="00792F67" w:rsidRPr="000526BE" w:rsidRDefault="00792F67" w:rsidP="00C6123A">
            <w:pPr>
              <w:keepNext/>
              <w:widowControl/>
              <w:jc w:val="center"/>
              <w:rPr>
                <w:rFonts w:ascii="Arial Narrow" w:hAnsi="Arial Narrow"/>
                <w:sz w:val="20"/>
                <w:szCs w:val="20"/>
                <w:vertAlign w:val="superscript"/>
              </w:rPr>
            </w:pPr>
            <w:r w:rsidRPr="000526BE">
              <w:rPr>
                <w:rFonts w:ascii="Arial Narrow" w:hAnsi="Arial Narrow"/>
                <w:iCs/>
                <w:sz w:val="20"/>
                <w:szCs w:val="20"/>
              </w:rPr>
              <w:t>$</w:t>
            </w:r>
            <w:r w:rsidR="00756F83">
              <w:rPr>
                <w:rFonts w:ascii="Arial Narrow" w:hAnsi="Arial Narrow"/>
                <w:iCs/>
                <w:noProof/>
                <w:color w:val="000000"/>
                <w:sz w:val="20"/>
                <w:szCs w:val="20"/>
                <w:highlight w:val="black"/>
              </w:rPr>
              <w:t>''''''''''''''</w:t>
            </w:r>
          </w:p>
        </w:tc>
        <w:tc>
          <w:tcPr>
            <w:tcW w:w="1336" w:type="pct"/>
            <w:shd w:val="clear" w:color="auto" w:fill="auto"/>
            <w:vAlign w:val="center"/>
          </w:tcPr>
          <w:p w:rsidR="00792F67" w:rsidRPr="000526BE" w:rsidRDefault="00A65472" w:rsidP="00A51D35">
            <w:pPr>
              <w:keepNext/>
              <w:widowControl/>
              <w:jc w:val="center"/>
              <w:rPr>
                <w:rFonts w:ascii="Arial Narrow" w:hAnsi="Arial Narrow"/>
                <w:iCs/>
                <w:sz w:val="20"/>
                <w:szCs w:val="20"/>
              </w:rPr>
            </w:pPr>
            <w:r w:rsidRPr="000526BE">
              <w:rPr>
                <w:rFonts w:ascii="Arial Narrow" w:hAnsi="Arial Narrow"/>
                <w:sz w:val="20"/>
                <w:szCs w:val="20"/>
              </w:rPr>
              <w:t>1</w:t>
            </w:r>
            <w:r w:rsidR="00792F67" w:rsidRPr="000526BE">
              <w:rPr>
                <w:rFonts w:ascii="Arial Narrow" w:hAnsi="Arial Narrow"/>
                <w:sz w:val="20"/>
                <w:szCs w:val="20"/>
                <w:vertAlign w:val="superscript"/>
              </w:rPr>
              <w:t>st</w:t>
            </w:r>
            <w:r w:rsidR="00792F67" w:rsidRPr="000526BE">
              <w:rPr>
                <w:rFonts w:ascii="Arial Narrow" w:hAnsi="Arial Narrow"/>
                <w:sz w:val="20"/>
                <w:szCs w:val="20"/>
              </w:rPr>
              <w:t>: $</w:t>
            </w:r>
            <w:r w:rsidR="00756F83">
              <w:rPr>
                <w:rFonts w:ascii="Arial Narrow" w:hAnsi="Arial Narrow"/>
                <w:noProof/>
                <w:color w:val="000000"/>
                <w:sz w:val="20"/>
                <w:szCs w:val="20"/>
                <w:highlight w:val="black"/>
              </w:rPr>
              <w:t>'''''''''''''</w:t>
            </w:r>
            <w:r>
              <w:rPr>
                <w:rFonts w:ascii="Arial Narrow" w:hAnsi="Arial Narrow"/>
                <w:sz w:val="20"/>
                <w:szCs w:val="20"/>
              </w:rPr>
              <w:t xml:space="preserve"> </w:t>
            </w:r>
            <w:r w:rsidR="00792F67" w:rsidRPr="000526BE">
              <w:rPr>
                <w:rFonts w:ascii="Arial Narrow" w:hAnsi="Arial Narrow"/>
                <w:sz w:val="20"/>
                <w:szCs w:val="20"/>
              </w:rPr>
              <w:t>2</w:t>
            </w:r>
            <w:r w:rsidR="00792F67" w:rsidRPr="000526BE">
              <w:rPr>
                <w:rFonts w:ascii="Arial Narrow" w:hAnsi="Arial Narrow"/>
                <w:sz w:val="20"/>
                <w:szCs w:val="20"/>
                <w:vertAlign w:val="superscript"/>
              </w:rPr>
              <w:t>nd</w:t>
            </w:r>
            <w:r w:rsidR="00792F67" w:rsidRPr="000526BE">
              <w:rPr>
                <w:rFonts w:ascii="Arial Narrow" w:hAnsi="Arial Narrow"/>
                <w:sz w:val="20"/>
                <w:szCs w:val="20"/>
              </w:rPr>
              <w:t>+: $</w:t>
            </w:r>
            <w:r w:rsidR="00756F83">
              <w:rPr>
                <w:rFonts w:ascii="Arial Narrow" w:hAnsi="Arial Narrow"/>
                <w:noProof/>
                <w:color w:val="000000"/>
                <w:sz w:val="20"/>
                <w:szCs w:val="20"/>
                <w:highlight w:val="black"/>
              </w:rPr>
              <w:t>''''''''''''''</w:t>
            </w:r>
          </w:p>
        </w:tc>
        <w:tc>
          <w:tcPr>
            <w:tcW w:w="758" w:type="pct"/>
            <w:shd w:val="clear" w:color="auto" w:fill="auto"/>
            <w:vAlign w:val="center"/>
          </w:tcPr>
          <w:p w:rsidR="00792F67" w:rsidRPr="000526BE" w:rsidRDefault="00792F67" w:rsidP="00A51D35">
            <w:pPr>
              <w:keepNext/>
              <w:widowControl/>
              <w:jc w:val="center"/>
              <w:rPr>
                <w:rFonts w:ascii="Arial Narrow" w:hAnsi="Arial Narrow"/>
                <w:iCs/>
                <w:sz w:val="20"/>
                <w:szCs w:val="20"/>
              </w:rPr>
            </w:pPr>
            <w:r w:rsidRPr="000526BE">
              <w:rPr>
                <w:rFonts w:ascii="Arial Narrow" w:hAnsi="Arial Narrow"/>
                <w:sz w:val="20"/>
                <w:szCs w:val="20"/>
              </w:rPr>
              <w:t>$</w:t>
            </w:r>
            <w:r w:rsidR="00756F83">
              <w:rPr>
                <w:rFonts w:ascii="Arial Narrow" w:hAnsi="Arial Narrow"/>
                <w:noProof/>
                <w:color w:val="000000"/>
                <w:sz w:val="20"/>
                <w:szCs w:val="20"/>
                <w:highlight w:val="black"/>
              </w:rPr>
              <w:t>''''''''''''''</w:t>
            </w:r>
          </w:p>
        </w:tc>
      </w:tr>
      <w:tr w:rsidR="00792F67" w:rsidRPr="000526BE" w:rsidTr="006D3835">
        <w:tc>
          <w:tcPr>
            <w:tcW w:w="940" w:type="pct"/>
            <w:shd w:val="clear" w:color="auto" w:fill="auto"/>
            <w:vAlign w:val="center"/>
          </w:tcPr>
          <w:p w:rsidR="00792F67" w:rsidRPr="000526BE" w:rsidRDefault="00792F67" w:rsidP="00C6123A">
            <w:pPr>
              <w:keepNext/>
              <w:widowControl/>
              <w:jc w:val="left"/>
              <w:rPr>
                <w:rFonts w:ascii="Arial Narrow" w:hAnsi="Arial Narrow"/>
                <w:sz w:val="20"/>
                <w:szCs w:val="20"/>
              </w:rPr>
            </w:pPr>
            <w:r w:rsidRPr="000526BE">
              <w:rPr>
                <w:rFonts w:ascii="Arial Narrow" w:hAnsi="Arial Narrow"/>
                <w:sz w:val="20"/>
                <w:szCs w:val="20"/>
              </w:rPr>
              <w:t>Drug cost/patient/course</w:t>
            </w:r>
          </w:p>
        </w:tc>
        <w:tc>
          <w:tcPr>
            <w:tcW w:w="1336" w:type="pct"/>
            <w:shd w:val="clear" w:color="auto" w:fill="auto"/>
            <w:vAlign w:val="center"/>
          </w:tcPr>
          <w:p w:rsidR="00813B5D" w:rsidRPr="000526BE" w:rsidRDefault="00813B5D" w:rsidP="00A51D35">
            <w:pPr>
              <w:keepNext/>
              <w:widowControl/>
              <w:jc w:val="center"/>
              <w:rPr>
                <w:rFonts w:ascii="Arial Narrow" w:hAnsi="Arial Narrow"/>
                <w:sz w:val="20"/>
                <w:szCs w:val="20"/>
              </w:rPr>
            </w:pPr>
            <w:r w:rsidRPr="000526BE">
              <w:rPr>
                <w:rFonts w:ascii="Arial Narrow" w:hAnsi="Arial Narrow"/>
                <w:iCs/>
                <w:sz w:val="20"/>
                <w:szCs w:val="20"/>
              </w:rPr>
              <w:t>$</w:t>
            </w:r>
            <w:r w:rsidR="00756F83">
              <w:rPr>
                <w:rFonts w:ascii="Arial Narrow" w:hAnsi="Arial Narrow"/>
                <w:iCs/>
                <w:noProof/>
                <w:color w:val="000000"/>
                <w:sz w:val="20"/>
                <w:szCs w:val="20"/>
                <w:highlight w:val="black"/>
              </w:rPr>
              <w:t>'''''''''''''''''</w:t>
            </w:r>
            <w:r w:rsidR="00774842">
              <w:rPr>
                <w:rFonts w:ascii="Arial Narrow" w:hAnsi="Arial Narrow"/>
                <w:iCs/>
                <w:sz w:val="20"/>
                <w:szCs w:val="20"/>
                <w:vertAlign w:val="superscript"/>
              </w:rPr>
              <w:t>d</w:t>
            </w:r>
          </w:p>
        </w:tc>
        <w:tc>
          <w:tcPr>
            <w:tcW w:w="629" w:type="pct"/>
            <w:shd w:val="clear" w:color="auto" w:fill="auto"/>
            <w:vAlign w:val="center"/>
          </w:tcPr>
          <w:p w:rsidR="00792F67" w:rsidRPr="000526BE" w:rsidRDefault="00792F67" w:rsidP="00C6123A">
            <w:pPr>
              <w:keepNext/>
              <w:widowControl/>
              <w:jc w:val="center"/>
              <w:rPr>
                <w:rFonts w:ascii="Arial Narrow" w:hAnsi="Arial Narrow"/>
                <w:iCs/>
                <w:sz w:val="20"/>
                <w:szCs w:val="20"/>
              </w:rPr>
            </w:pPr>
            <w:r w:rsidRPr="000526BE">
              <w:rPr>
                <w:rFonts w:ascii="Arial Narrow" w:hAnsi="Arial Narrow"/>
                <w:iCs/>
                <w:sz w:val="20"/>
                <w:szCs w:val="20"/>
              </w:rPr>
              <w:t>$</w:t>
            </w:r>
            <w:r w:rsidR="00756F83">
              <w:rPr>
                <w:rFonts w:ascii="Arial Narrow" w:hAnsi="Arial Narrow"/>
                <w:iCs/>
                <w:noProof/>
                <w:color w:val="000000"/>
                <w:sz w:val="20"/>
                <w:szCs w:val="20"/>
                <w:highlight w:val="black"/>
              </w:rPr>
              <w:t>''''''''''''''''</w:t>
            </w:r>
            <w:r w:rsidR="00A51D35" w:rsidRPr="000526BE">
              <w:rPr>
                <w:rFonts w:ascii="Arial Narrow" w:hAnsi="Arial Narrow"/>
                <w:iCs/>
                <w:sz w:val="20"/>
                <w:szCs w:val="20"/>
                <w:vertAlign w:val="superscript"/>
              </w:rPr>
              <w:t>f</w:t>
            </w:r>
          </w:p>
        </w:tc>
        <w:tc>
          <w:tcPr>
            <w:tcW w:w="1336" w:type="pct"/>
            <w:shd w:val="clear" w:color="auto" w:fill="auto"/>
            <w:vAlign w:val="center"/>
          </w:tcPr>
          <w:p w:rsidR="00792F67" w:rsidRPr="000526BE" w:rsidRDefault="00792F67" w:rsidP="00A51D35">
            <w:pPr>
              <w:keepNext/>
              <w:widowControl/>
              <w:jc w:val="center"/>
              <w:rPr>
                <w:rFonts w:ascii="Arial Narrow" w:hAnsi="Arial Narrow"/>
                <w:iCs/>
                <w:sz w:val="20"/>
                <w:szCs w:val="20"/>
              </w:rPr>
            </w:pPr>
            <w:r w:rsidRPr="000526BE">
              <w:rPr>
                <w:rFonts w:ascii="Arial Narrow" w:hAnsi="Arial Narrow"/>
                <w:sz w:val="20"/>
                <w:szCs w:val="20"/>
              </w:rPr>
              <w:t>$</w:t>
            </w:r>
            <w:r w:rsidR="00756F83">
              <w:rPr>
                <w:rFonts w:ascii="Arial Narrow" w:hAnsi="Arial Narrow"/>
                <w:noProof/>
                <w:color w:val="000000"/>
                <w:sz w:val="20"/>
                <w:szCs w:val="20"/>
                <w:highlight w:val="black"/>
              </w:rPr>
              <w:t>'''''''''''''''</w:t>
            </w:r>
          </w:p>
        </w:tc>
        <w:tc>
          <w:tcPr>
            <w:tcW w:w="758" w:type="pct"/>
            <w:shd w:val="clear" w:color="auto" w:fill="auto"/>
            <w:vAlign w:val="center"/>
          </w:tcPr>
          <w:p w:rsidR="00792F67" w:rsidRPr="000526BE" w:rsidRDefault="00792F67" w:rsidP="00A51D35">
            <w:pPr>
              <w:keepNext/>
              <w:widowControl/>
              <w:jc w:val="center"/>
              <w:rPr>
                <w:rFonts w:ascii="Arial Narrow" w:hAnsi="Arial Narrow"/>
                <w:iCs/>
                <w:sz w:val="20"/>
                <w:szCs w:val="20"/>
              </w:rPr>
            </w:pPr>
            <w:r w:rsidRPr="000526BE">
              <w:rPr>
                <w:rFonts w:ascii="Arial Narrow" w:hAnsi="Arial Narrow"/>
                <w:iCs/>
                <w:sz w:val="20"/>
                <w:szCs w:val="20"/>
              </w:rPr>
              <w:t>$</w:t>
            </w:r>
            <w:r w:rsidR="00756F83">
              <w:rPr>
                <w:rFonts w:ascii="Arial Narrow" w:hAnsi="Arial Narrow"/>
                <w:iCs/>
                <w:noProof/>
                <w:color w:val="000000"/>
                <w:sz w:val="20"/>
                <w:szCs w:val="20"/>
                <w:highlight w:val="black"/>
              </w:rPr>
              <w:t>'''''''''''''''''</w:t>
            </w:r>
            <w:r w:rsidR="00A51D35" w:rsidRPr="000526BE">
              <w:rPr>
                <w:rFonts w:ascii="Arial Narrow" w:hAnsi="Arial Narrow"/>
                <w:iCs/>
                <w:sz w:val="20"/>
                <w:szCs w:val="20"/>
                <w:vertAlign w:val="superscript"/>
              </w:rPr>
              <w:t>f</w:t>
            </w:r>
          </w:p>
        </w:tc>
      </w:tr>
    </w:tbl>
    <w:p w:rsidR="00B61A0B" w:rsidRPr="000526BE" w:rsidRDefault="00B61A0B" w:rsidP="00B61A0B">
      <w:pPr>
        <w:pStyle w:val="TableFooter"/>
        <w:rPr>
          <w:iCs/>
        </w:rPr>
      </w:pPr>
      <w:r w:rsidRPr="000526BE">
        <w:rPr>
          <w:iCs/>
        </w:rPr>
        <w:t xml:space="preserve">Abbreviations: </w:t>
      </w:r>
      <w:r w:rsidR="007B5339" w:rsidRPr="000526BE">
        <w:rPr>
          <w:iCs/>
        </w:rPr>
        <w:t xml:space="preserve">mg= milligram; </w:t>
      </w:r>
      <w:r w:rsidRPr="000526BE">
        <w:rPr>
          <w:iCs/>
        </w:rPr>
        <w:t>T-DM1= trastuzumab emtansine</w:t>
      </w:r>
    </w:p>
    <w:p w:rsidR="0002194F" w:rsidRPr="000526BE" w:rsidRDefault="00B61A0B" w:rsidP="00B61A0B">
      <w:pPr>
        <w:pStyle w:val="TableFooter"/>
        <w:rPr>
          <w:iCs/>
        </w:rPr>
      </w:pPr>
      <w:r w:rsidRPr="000526BE">
        <w:rPr>
          <w:iCs/>
        </w:rPr>
        <w:t xml:space="preserve">Source: </w:t>
      </w:r>
      <w:r w:rsidR="00302317" w:rsidRPr="000526BE">
        <w:rPr>
          <w:iCs/>
        </w:rPr>
        <w:t xml:space="preserve">Section 3.6.1.2-3.6.1.3, p96-98, Section 4.2.1, p124 of the submission, </w:t>
      </w:r>
      <w:r w:rsidR="00A55014" w:rsidRPr="000526BE">
        <w:rPr>
          <w:iCs/>
        </w:rPr>
        <w:t xml:space="preserve">saf_cumdose_CSRINT_SE.xls workbook, ‘Results’ tab of the Economic Evaluation.xls </w:t>
      </w:r>
      <w:r w:rsidRPr="000526BE">
        <w:rPr>
          <w:iCs/>
        </w:rPr>
        <w:t xml:space="preserve">workbook, 3a and 3b </w:t>
      </w:r>
      <w:r w:rsidR="00A55014" w:rsidRPr="000526BE">
        <w:rPr>
          <w:iCs/>
        </w:rPr>
        <w:t xml:space="preserve">tabs </w:t>
      </w:r>
      <w:r w:rsidRPr="000526BE">
        <w:rPr>
          <w:iCs/>
        </w:rPr>
        <w:t xml:space="preserve">of the utilisation-and-cost-model. Italicised values </w:t>
      </w:r>
      <w:r w:rsidR="00A55014" w:rsidRPr="000526BE">
        <w:rPr>
          <w:iCs/>
        </w:rPr>
        <w:t xml:space="preserve">were </w:t>
      </w:r>
      <w:r w:rsidRPr="000526BE">
        <w:rPr>
          <w:iCs/>
        </w:rPr>
        <w:t>calculated</w:t>
      </w:r>
      <w:r w:rsidR="00A55014" w:rsidRPr="000526BE">
        <w:rPr>
          <w:iCs/>
        </w:rPr>
        <w:t xml:space="preserve"> during evaluation</w:t>
      </w:r>
      <w:r w:rsidRPr="000526BE">
        <w:rPr>
          <w:iCs/>
        </w:rPr>
        <w:t xml:space="preserve">. </w:t>
      </w:r>
      <w:r w:rsidR="00C6123A" w:rsidRPr="000526BE">
        <w:rPr>
          <w:iCs/>
        </w:rPr>
        <w:t>a</w:t>
      </w:r>
      <w:r w:rsidR="0002194F" w:rsidRPr="000526BE">
        <w:rPr>
          <w:iCs/>
        </w:rPr>
        <w:t xml:space="preserve"> average treatment cost</w:t>
      </w:r>
      <w:r w:rsidR="00AE5C20" w:rsidRPr="000526BE">
        <w:rPr>
          <w:iCs/>
        </w:rPr>
        <w:t>s</w:t>
      </w:r>
      <w:r w:rsidR="0002194F" w:rsidRPr="000526BE">
        <w:rPr>
          <w:iCs/>
        </w:rPr>
        <w:t xml:space="preserve"> </w:t>
      </w:r>
      <w:r w:rsidR="000041D3" w:rsidRPr="000526BE">
        <w:rPr>
          <w:iCs/>
        </w:rPr>
        <w:t>we</w:t>
      </w:r>
      <w:r w:rsidR="0002194F" w:rsidRPr="000526BE">
        <w:rPr>
          <w:iCs/>
        </w:rPr>
        <w:t xml:space="preserve">re </w:t>
      </w:r>
      <w:r w:rsidR="000041D3" w:rsidRPr="000526BE">
        <w:rPr>
          <w:iCs/>
        </w:rPr>
        <w:t xml:space="preserve">only </w:t>
      </w:r>
      <w:r w:rsidR="0002194F" w:rsidRPr="000526BE">
        <w:rPr>
          <w:iCs/>
        </w:rPr>
        <w:t xml:space="preserve">estimated based on cost of </w:t>
      </w:r>
      <w:r w:rsidR="000041D3" w:rsidRPr="000526BE">
        <w:rPr>
          <w:iCs/>
        </w:rPr>
        <w:t xml:space="preserve">trastuzumab </w:t>
      </w:r>
      <w:r w:rsidR="0002194F" w:rsidRPr="000526BE">
        <w:rPr>
          <w:iCs/>
        </w:rPr>
        <w:t>IV</w:t>
      </w:r>
      <w:r w:rsidR="000041D3" w:rsidRPr="000526BE">
        <w:rPr>
          <w:iCs/>
        </w:rPr>
        <w:t xml:space="preserve"> (did not consider the </w:t>
      </w:r>
      <w:r w:rsidR="0002194F" w:rsidRPr="000526BE">
        <w:rPr>
          <w:iCs/>
        </w:rPr>
        <w:t>subcutaneous (SC) form</w:t>
      </w:r>
      <w:r w:rsidR="000041D3" w:rsidRPr="000526BE">
        <w:rPr>
          <w:iCs/>
        </w:rPr>
        <w:t xml:space="preserve"> since it was c</w:t>
      </w:r>
      <w:r w:rsidR="0002194F" w:rsidRPr="000526BE">
        <w:rPr>
          <w:iCs/>
        </w:rPr>
        <w:t>ost-minimised to IV trastuzumab</w:t>
      </w:r>
      <w:r w:rsidR="000041D3" w:rsidRPr="000526BE">
        <w:rPr>
          <w:iCs/>
        </w:rPr>
        <w:t xml:space="preserve"> in 2015. </w:t>
      </w:r>
      <w:r w:rsidR="0002194F" w:rsidRPr="000526BE">
        <w:rPr>
          <w:iCs/>
        </w:rPr>
        <w:t xml:space="preserve"> </w:t>
      </w:r>
    </w:p>
    <w:p w:rsidR="00C6123A" w:rsidRPr="000526BE" w:rsidRDefault="00774842" w:rsidP="00C6123A">
      <w:pPr>
        <w:pStyle w:val="TableFooter"/>
        <w:rPr>
          <w:iCs/>
        </w:rPr>
      </w:pPr>
      <w:r>
        <w:rPr>
          <w:iCs/>
        </w:rPr>
        <w:t>b</w:t>
      </w:r>
      <w:r w:rsidR="00C6123A" w:rsidRPr="000526BE">
        <w:rPr>
          <w:iCs/>
        </w:rPr>
        <w:t xml:space="preserve"> mean number of 3-weekly cycles for planned study treatment (excludes patients who switched to trastuzumab). </w:t>
      </w:r>
    </w:p>
    <w:p w:rsidR="00B61A0B" w:rsidRDefault="00774842" w:rsidP="00B61A0B">
      <w:pPr>
        <w:pStyle w:val="TableFooter"/>
        <w:rPr>
          <w:iCs/>
        </w:rPr>
      </w:pPr>
      <w:r>
        <w:rPr>
          <w:iCs/>
        </w:rPr>
        <w:t>c</w:t>
      </w:r>
      <w:r w:rsidR="00B61A0B" w:rsidRPr="000526BE">
        <w:rPr>
          <w:iCs/>
        </w:rPr>
        <w:t xml:space="preserve"> calculated from mean dose </w:t>
      </w:r>
      <w:r w:rsidR="005177D3" w:rsidRPr="000526BE">
        <w:rPr>
          <w:iCs/>
        </w:rPr>
        <w:t>x number of cycles</w:t>
      </w:r>
      <w:r w:rsidR="00B61A0B" w:rsidRPr="000526BE">
        <w:rPr>
          <w:iCs/>
        </w:rPr>
        <w:t xml:space="preserve"> for comparison with trial cumulative actual dose</w:t>
      </w:r>
    </w:p>
    <w:p w:rsidR="00774842" w:rsidRPr="000526BE" w:rsidRDefault="00774842" w:rsidP="00B61A0B">
      <w:pPr>
        <w:pStyle w:val="TableFooter"/>
        <w:rPr>
          <w:iCs/>
        </w:rPr>
      </w:pPr>
      <w:r>
        <w:rPr>
          <w:iCs/>
        </w:rPr>
        <w:t xml:space="preserve">d </w:t>
      </w:r>
      <w:r w:rsidRPr="006F3B93">
        <w:rPr>
          <w:iCs/>
        </w:rPr>
        <w:t>calculated from mean dose x number of cycles for comparison with trial cumulative actual dose</w:t>
      </w:r>
    </w:p>
    <w:p w:rsidR="00B61A0B" w:rsidRPr="000526BE" w:rsidRDefault="00774842" w:rsidP="00B0387A">
      <w:pPr>
        <w:pStyle w:val="TableFooter"/>
        <w:spacing w:after="240"/>
        <w:rPr>
          <w:iCs/>
        </w:rPr>
      </w:pPr>
      <w:r>
        <w:rPr>
          <w:iCs/>
        </w:rPr>
        <w:t>e</w:t>
      </w:r>
      <w:r w:rsidR="00B61A0B" w:rsidRPr="000526BE">
        <w:rPr>
          <w:iCs/>
        </w:rPr>
        <w:t xml:space="preserve"> </w:t>
      </w:r>
      <w:r w:rsidR="004B311D" w:rsidRPr="000526BE">
        <w:rPr>
          <w:iCs/>
        </w:rPr>
        <w:t xml:space="preserve">calculated by multiplying </w:t>
      </w:r>
      <w:r w:rsidR="00B61A0B" w:rsidRPr="000526BE">
        <w:rPr>
          <w:iCs/>
        </w:rPr>
        <w:t xml:space="preserve">cost per </w:t>
      </w:r>
      <w:r w:rsidR="004B311D" w:rsidRPr="000526BE">
        <w:rPr>
          <w:iCs/>
        </w:rPr>
        <w:t>cycle x number of cycles</w:t>
      </w:r>
    </w:p>
    <w:p w:rsidR="00B61A0B" w:rsidRPr="000526BE" w:rsidRDefault="00B61A0B" w:rsidP="00B61A0B">
      <w:pPr>
        <w:pStyle w:val="Heading2"/>
      </w:pPr>
      <w:bookmarkStart w:id="15" w:name="_Toc19626600"/>
      <w:r w:rsidRPr="000526BE">
        <w:t>Estimated PBS usage &amp; financial implications</w:t>
      </w:r>
      <w:bookmarkEnd w:id="15"/>
    </w:p>
    <w:p w:rsidR="00B913DB" w:rsidRPr="000526BE" w:rsidRDefault="00B913DB" w:rsidP="00B913DB"/>
    <w:p w:rsidR="00AA2900" w:rsidRPr="000526BE" w:rsidRDefault="00A54F1C" w:rsidP="00A54F1C">
      <w:pPr>
        <w:pStyle w:val="ListParagraph"/>
        <w:widowControl/>
        <w:numPr>
          <w:ilvl w:val="1"/>
          <w:numId w:val="2"/>
        </w:numPr>
      </w:pPr>
      <w:r w:rsidRPr="000526BE">
        <w:t xml:space="preserve">This submission </w:t>
      </w:r>
      <w:r w:rsidR="00C407A2" w:rsidRPr="000526BE">
        <w:t xml:space="preserve">was </w:t>
      </w:r>
      <w:r w:rsidRPr="000526BE">
        <w:t xml:space="preserve">considered by DUSC. The submission </w:t>
      </w:r>
      <w:r w:rsidR="001B240A" w:rsidRPr="000526BE">
        <w:t xml:space="preserve">used </w:t>
      </w:r>
      <w:r w:rsidRPr="000526BE">
        <w:t xml:space="preserve">a modified market share approach incorporating additional market and clinical inputs to quantify the market for the proposed population. </w:t>
      </w:r>
      <w:r w:rsidRPr="000526BE">
        <w:rPr>
          <w:iCs/>
        </w:rPr>
        <w:t xml:space="preserve">This was reasonable given that utilisation details for a </w:t>
      </w:r>
      <w:r w:rsidR="001B240A" w:rsidRPr="000526BE">
        <w:rPr>
          <w:iCs/>
        </w:rPr>
        <w:t xml:space="preserve">full </w:t>
      </w:r>
      <w:r w:rsidRPr="000526BE">
        <w:rPr>
          <w:iCs/>
        </w:rPr>
        <w:t>market share approach cannot be obtained from current PBS descriptors for adjuvant eBC treatment following neoadjuvant therapy.</w:t>
      </w:r>
      <w:r w:rsidRPr="000526BE">
        <w:t xml:space="preserve"> The submission used the most recent 12 months of data available from Medicare Australia PBS Statistics to quantify the current market size and structure. </w:t>
      </w:r>
    </w:p>
    <w:p w:rsidR="00A54F1C" w:rsidRPr="000526BE" w:rsidRDefault="00AA2900" w:rsidP="00A54F1C">
      <w:pPr>
        <w:pStyle w:val="ListParagraph"/>
        <w:widowControl/>
        <w:numPr>
          <w:ilvl w:val="1"/>
          <w:numId w:val="2"/>
        </w:numPr>
      </w:pPr>
      <w:r w:rsidRPr="000526BE">
        <w:rPr>
          <w:iCs/>
        </w:rPr>
        <w:t>The submission did not provide an estimate of the number of grandfathered patients to be included and made no provision for grandfathered patients in the financial estimates.</w:t>
      </w:r>
      <w:r w:rsidRPr="000526BE">
        <w:t xml:space="preserve"> The PSCR stated that the number of grandfathered patients was not estimated in the submission since these numbers were implicitly included in the estimates derived from the market share approach. </w:t>
      </w:r>
      <w:r w:rsidR="00AD4321" w:rsidRPr="000526BE">
        <w:t xml:space="preserve">The DUSC agreed this was appropriate. </w:t>
      </w:r>
    </w:p>
    <w:p w:rsidR="00A54F1C" w:rsidRPr="000526BE" w:rsidRDefault="00A54F1C" w:rsidP="00A54F1C">
      <w:pPr>
        <w:pStyle w:val="ListParagraph"/>
        <w:widowControl/>
        <w:numPr>
          <w:ilvl w:val="1"/>
          <w:numId w:val="2"/>
        </w:numPr>
      </w:pPr>
      <w:r w:rsidRPr="000526BE">
        <w:t>The financial implications of listing adjuvant T-DM1</w:t>
      </w:r>
      <w:r w:rsidR="001B240A" w:rsidRPr="000526BE">
        <w:t>, as estimated in the submission,</w:t>
      </w:r>
      <w:r w:rsidRPr="000526BE">
        <w:t xml:space="preserve"> are presented in Table 1</w:t>
      </w:r>
      <w:r w:rsidR="004E7837">
        <w:t>6</w:t>
      </w:r>
      <w:r w:rsidRPr="000526BE">
        <w:t xml:space="preserve">. </w:t>
      </w:r>
      <w:r w:rsidRPr="000526BE">
        <w:rPr>
          <w:iCs/>
        </w:rPr>
        <w:t xml:space="preserve">The </w:t>
      </w:r>
      <w:r w:rsidR="001B240A" w:rsidRPr="000526BE">
        <w:rPr>
          <w:iCs/>
        </w:rPr>
        <w:t xml:space="preserve">submission </w:t>
      </w:r>
      <w:r w:rsidRPr="000526BE">
        <w:rPr>
          <w:iCs/>
        </w:rPr>
        <w:t xml:space="preserve">estimated </w:t>
      </w:r>
      <w:r w:rsidR="001B240A" w:rsidRPr="000526BE">
        <w:rPr>
          <w:iCs/>
        </w:rPr>
        <w:t xml:space="preserve">that the </w:t>
      </w:r>
      <w:r w:rsidRPr="000526BE">
        <w:rPr>
          <w:iCs/>
        </w:rPr>
        <w:t xml:space="preserve">total financial implications to the PBS/RPBS/MBS over the first 6 years </w:t>
      </w:r>
      <w:r w:rsidR="001B240A" w:rsidRPr="000526BE">
        <w:rPr>
          <w:iCs/>
        </w:rPr>
        <w:t>would be</w:t>
      </w:r>
      <w:r w:rsidRPr="000526BE">
        <w:rPr>
          <w:iCs/>
        </w:rPr>
        <w:t xml:space="preserve"> $</w:t>
      </w:r>
      <w:r w:rsidR="00AA71A5">
        <w:rPr>
          <w:iCs/>
        </w:rPr>
        <w:t>60 - $100</w:t>
      </w:r>
      <w:r w:rsidR="001B240A" w:rsidRPr="000526BE">
        <w:rPr>
          <w:iCs/>
        </w:rPr>
        <w:t xml:space="preserve"> million</w:t>
      </w:r>
      <w:r w:rsidRPr="000526BE">
        <w:rPr>
          <w:iCs/>
        </w:rPr>
        <w:t xml:space="preserve">. </w:t>
      </w:r>
    </w:p>
    <w:p w:rsidR="00A54F1C" w:rsidRPr="000526BE" w:rsidRDefault="00A54F1C" w:rsidP="00A54F1C">
      <w:r w:rsidRPr="000526BE">
        <w:rPr>
          <w:rStyle w:val="CommentReference"/>
        </w:rPr>
        <w:t>Table 1</w:t>
      </w:r>
      <w:r w:rsidR="004E7837">
        <w:rPr>
          <w:rStyle w:val="CommentReference"/>
        </w:rPr>
        <w:t>6</w:t>
      </w:r>
      <w:r w:rsidRPr="000526BE">
        <w:rPr>
          <w:rStyle w:val="CommentReference"/>
        </w:rPr>
        <w:t>: Estimated use and financial implications</w:t>
      </w:r>
      <w:r w:rsidR="001B240A" w:rsidRPr="000526BE">
        <w:rPr>
          <w:rStyle w:val="CommentReference"/>
        </w:rPr>
        <w:t xml:space="preserve"> (as presented in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7"/>
        <w:gridCol w:w="1167"/>
        <w:gridCol w:w="1167"/>
        <w:gridCol w:w="1167"/>
        <w:gridCol w:w="1167"/>
        <w:gridCol w:w="1167"/>
        <w:gridCol w:w="1165"/>
      </w:tblGrid>
      <w:tr w:rsidR="00A54F1C" w:rsidRPr="000526BE" w:rsidTr="00297070">
        <w:trPr>
          <w:tblHeader/>
        </w:trPr>
        <w:tc>
          <w:tcPr>
            <w:tcW w:w="1119" w:type="pct"/>
            <w:shd w:val="clear" w:color="auto" w:fill="auto"/>
            <w:vAlign w:val="center"/>
          </w:tcPr>
          <w:p w:rsidR="00A54F1C" w:rsidRPr="000526BE" w:rsidRDefault="00A54F1C" w:rsidP="00297070">
            <w:pPr>
              <w:pStyle w:val="Tabletext"/>
            </w:pPr>
          </w:p>
        </w:tc>
        <w:tc>
          <w:tcPr>
            <w:tcW w:w="647" w:type="pct"/>
            <w:shd w:val="clear" w:color="auto" w:fill="auto"/>
            <w:vAlign w:val="center"/>
          </w:tcPr>
          <w:p w:rsidR="00A54F1C" w:rsidRPr="000526BE" w:rsidRDefault="00A54F1C" w:rsidP="00297070">
            <w:pPr>
              <w:pStyle w:val="Tabletext"/>
              <w:jc w:val="center"/>
              <w:rPr>
                <w:b/>
              </w:rPr>
            </w:pPr>
            <w:r w:rsidRPr="000526BE">
              <w:rPr>
                <w:b/>
              </w:rPr>
              <w:t>Year 1</w:t>
            </w:r>
          </w:p>
        </w:tc>
        <w:tc>
          <w:tcPr>
            <w:tcW w:w="647" w:type="pct"/>
            <w:shd w:val="clear" w:color="auto" w:fill="auto"/>
            <w:vAlign w:val="center"/>
          </w:tcPr>
          <w:p w:rsidR="00A54F1C" w:rsidRPr="000526BE" w:rsidRDefault="00A54F1C" w:rsidP="00297070">
            <w:pPr>
              <w:pStyle w:val="Tabletext"/>
              <w:jc w:val="center"/>
              <w:rPr>
                <w:b/>
              </w:rPr>
            </w:pPr>
            <w:r w:rsidRPr="000526BE">
              <w:rPr>
                <w:b/>
              </w:rPr>
              <w:t>Year 2</w:t>
            </w:r>
          </w:p>
        </w:tc>
        <w:tc>
          <w:tcPr>
            <w:tcW w:w="647" w:type="pct"/>
            <w:shd w:val="clear" w:color="auto" w:fill="auto"/>
            <w:vAlign w:val="center"/>
          </w:tcPr>
          <w:p w:rsidR="00A54F1C" w:rsidRPr="000526BE" w:rsidRDefault="00A54F1C" w:rsidP="00297070">
            <w:pPr>
              <w:pStyle w:val="Tabletext"/>
              <w:jc w:val="center"/>
              <w:rPr>
                <w:b/>
              </w:rPr>
            </w:pPr>
            <w:r w:rsidRPr="000526BE">
              <w:rPr>
                <w:b/>
              </w:rPr>
              <w:t>Year 3</w:t>
            </w:r>
          </w:p>
        </w:tc>
        <w:tc>
          <w:tcPr>
            <w:tcW w:w="647" w:type="pct"/>
            <w:shd w:val="clear" w:color="auto" w:fill="auto"/>
            <w:vAlign w:val="center"/>
          </w:tcPr>
          <w:p w:rsidR="00A54F1C" w:rsidRPr="000526BE" w:rsidRDefault="00A54F1C" w:rsidP="00297070">
            <w:pPr>
              <w:pStyle w:val="Tabletext"/>
              <w:jc w:val="center"/>
              <w:rPr>
                <w:b/>
              </w:rPr>
            </w:pPr>
            <w:r w:rsidRPr="000526BE">
              <w:rPr>
                <w:b/>
              </w:rPr>
              <w:t>Year 4</w:t>
            </w:r>
          </w:p>
        </w:tc>
        <w:tc>
          <w:tcPr>
            <w:tcW w:w="647" w:type="pct"/>
            <w:shd w:val="clear" w:color="auto" w:fill="auto"/>
            <w:vAlign w:val="center"/>
          </w:tcPr>
          <w:p w:rsidR="00A54F1C" w:rsidRPr="000526BE" w:rsidRDefault="00A54F1C" w:rsidP="00297070">
            <w:pPr>
              <w:pStyle w:val="Tabletext"/>
              <w:jc w:val="center"/>
              <w:rPr>
                <w:b/>
              </w:rPr>
            </w:pPr>
            <w:r w:rsidRPr="000526BE">
              <w:rPr>
                <w:b/>
              </w:rPr>
              <w:t>Year 5</w:t>
            </w:r>
          </w:p>
        </w:tc>
        <w:tc>
          <w:tcPr>
            <w:tcW w:w="646" w:type="pct"/>
            <w:vAlign w:val="center"/>
          </w:tcPr>
          <w:p w:rsidR="00A54F1C" w:rsidRPr="000526BE" w:rsidRDefault="00A54F1C" w:rsidP="00297070">
            <w:pPr>
              <w:pStyle w:val="Tabletext"/>
              <w:jc w:val="center"/>
              <w:rPr>
                <w:b/>
              </w:rPr>
            </w:pPr>
            <w:r w:rsidRPr="000526BE">
              <w:rPr>
                <w:b/>
              </w:rPr>
              <w:t>Year 6</w:t>
            </w:r>
          </w:p>
        </w:tc>
      </w:tr>
      <w:tr w:rsidR="00A54F1C" w:rsidRPr="000526BE" w:rsidTr="00297070">
        <w:tc>
          <w:tcPr>
            <w:tcW w:w="5000" w:type="pct"/>
            <w:gridSpan w:val="7"/>
            <w:shd w:val="clear" w:color="auto" w:fill="auto"/>
            <w:vAlign w:val="center"/>
          </w:tcPr>
          <w:p w:rsidR="00A54F1C" w:rsidRPr="000526BE" w:rsidRDefault="00A54F1C" w:rsidP="00297070">
            <w:pPr>
              <w:pStyle w:val="Tabletext"/>
              <w:rPr>
                <w:b/>
                <w:bCs/>
              </w:rPr>
            </w:pPr>
            <w:r w:rsidRPr="000526BE">
              <w:rPr>
                <w:b/>
                <w:bCs/>
              </w:rPr>
              <w:t>Estimated extent of use</w:t>
            </w:r>
          </w:p>
        </w:tc>
      </w:tr>
      <w:tr w:rsidR="00A54F1C" w:rsidRPr="000526BE" w:rsidTr="00297070">
        <w:tc>
          <w:tcPr>
            <w:tcW w:w="1119" w:type="pct"/>
            <w:shd w:val="clear" w:color="auto" w:fill="auto"/>
            <w:vAlign w:val="center"/>
          </w:tcPr>
          <w:p w:rsidR="00A54F1C" w:rsidRPr="000526BE" w:rsidRDefault="00A54F1C" w:rsidP="00297070">
            <w:pPr>
              <w:pStyle w:val="Tabletext"/>
              <w:rPr>
                <w:rFonts w:ascii="Times" w:hAnsi="Times"/>
              </w:rPr>
            </w:pPr>
            <w:r w:rsidRPr="000526BE">
              <w:t>Number of scripts dispensed</w:t>
            </w:r>
            <w:r w:rsidRPr="000526BE">
              <w:rPr>
                <w:vertAlign w:val="superscript"/>
              </w:rPr>
              <w:t>*</w:t>
            </w:r>
          </w:p>
        </w:tc>
        <w:tc>
          <w:tcPr>
            <w:tcW w:w="647" w:type="pct"/>
            <w:shd w:val="clear" w:color="auto" w:fill="auto"/>
            <w:vAlign w:val="center"/>
          </w:tcPr>
          <w:p w:rsidR="00A54F1C" w:rsidRPr="00756F83" w:rsidRDefault="00756F83" w:rsidP="00297070">
            <w:pPr>
              <w:pStyle w:val="Tabletext"/>
              <w:jc w:val="center"/>
              <w:rPr>
                <w:bCs/>
                <w:highlight w:val="black"/>
              </w:rPr>
            </w:pPr>
            <w:r>
              <w:rPr>
                <w:bCs/>
                <w:noProof/>
                <w:color w:val="000000"/>
                <w:highlight w:val="black"/>
              </w:rPr>
              <w:t>''''''''''''</w:t>
            </w:r>
          </w:p>
        </w:tc>
        <w:tc>
          <w:tcPr>
            <w:tcW w:w="647" w:type="pct"/>
            <w:shd w:val="clear" w:color="auto" w:fill="auto"/>
            <w:vAlign w:val="center"/>
          </w:tcPr>
          <w:p w:rsidR="00A54F1C" w:rsidRPr="00756F83" w:rsidRDefault="00756F83" w:rsidP="00297070">
            <w:pPr>
              <w:pStyle w:val="Tabletext"/>
              <w:jc w:val="center"/>
              <w:rPr>
                <w:bCs/>
                <w:highlight w:val="black"/>
              </w:rPr>
            </w:pPr>
            <w:r>
              <w:rPr>
                <w:bCs/>
                <w:noProof/>
                <w:color w:val="000000"/>
                <w:highlight w:val="black"/>
              </w:rPr>
              <w:t>'''''''''''''</w:t>
            </w:r>
          </w:p>
        </w:tc>
        <w:tc>
          <w:tcPr>
            <w:tcW w:w="647" w:type="pct"/>
            <w:shd w:val="clear" w:color="auto" w:fill="auto"/>
            <w:vAlign w:val="center"/>
          </w:tcPr>
          <w:p w:rsidR="00A54F1C" w:rsidRPr="00756F83" w:rsidRDefault="00756F83" w:rsidP="00297070">
            <w:pPr>
              <w:pStyle w:val="Tabletext"/>
              <w:jc w:val="center"/>
              <w:rPr>
                <w:bCs/>
                <w:highlight w:val="black"/>
              </w:rPr>
            </w:pPr>
            <w:r>
              <w:rPr>
                <w:bCs/>
                <w:noProof/>
                <w:color w:val="000000"/>
                <w:highlight w:val="black"/>
              </w:rPr>
              <w:t>'''''''''''''''</w:t>
            </w:r>
          </w:p>
        </w:tc>
        <w:tc>
          <w:tcPr>
            <w:tcW w:w="647" w:type="pct"/>
            <w:shd w:val="clear" w:color="auto" w:fill="auto"/>
            <w:vAlign w:val="center"/>
          </w:tcPr>
          <w:p w:rsidR="00A54F1C" w:rsidRPr="00756F83" w:rsidRDefault="00756F83" w:rsidP="00297070">
            <w:pPr>
              <w:pStyle w:val="Tabletext"/>
              <w:jc w:val="center"/>
              <w:rPr>
                <w:bCs/>
                <w:highlight w:val="black"/>
              </w:rPr>
            </w:pPr>
            <w:r>
              <w:rPr>
                <w:bCs/>
                <w:noProof/>
                <w:color w:val="000000"/>
                <w:highlight w:val="black"/>
              </w:rPr>
              <w:t>'''''''''''''</w:t>
            </w:r>
          </w:p>
        </w:tc>
        <w:tc>
          <w:tcPr>
            <w:tcW w:w="647" w:type="pct"/>
            <w:shd w:val="clear" w:color="auto" w:fill="auto"/>
            <w:vAlign w:val="center"/>
          </w:tcPr>
          <w:p w:rsidR="00A54F1C" w:rsidRPr="00756F83" w:rsidRDefault="00756F83" w:rsidP="00297070">
            <w:pPr>
              <w:pStyle w:val="Tabletext"/>
              <w:jc w:val="center"/>
              <w:rPr>
                <w:bCs/>
                <w:highlight w:val="black"/>
              </w:rPr>
            </w:pPr>
            <w:r>
              <w:rPr>
                <w:bCs/>
                <w:noProof/>
                <w:color w:val="000000"/>
                <w:highlight w:val="black"/>
              </w:rPr>
              <w:t>''''''''''''''</w:t>
            </w:r>
          </w:p>
        </w:tc>
        <w:tc>
          <w:tcPr>
            <w:tcW w:w="646" w:type="pct"/>
            <w:vAlign w:val="center"/>
          </w:tcPr>
          <w:p w:rsidR="00A54F1C" w:rsidRPr="00756F83" w:rsidRDefault="00756F83" w:rsidP="00297070">
            <w:pPr>
              <w:pStyle w:val="Tabletext"/>
              <w:jc w:val="center"/>
              <w:rPr>
                <w:bCs/>
                <w:highlight w:val="black"/>
              </w:rPr>
            </w:pPr>
            <w:r>
              <w:rPr>
                <w:bCs/>
                <w:noProof/>
                <w:color w:val="000000"/>
                <w:highlight w:val="black"/>
              </w:rPr>
              <w:t>'''''''''''''</w:t>
            </w:r>
          </w:p>
        </w:tc>
      </w:tr>
      <w:tr w:rsidR="00A54F1C" w:rsidRPr="000526BE" w:rsidTr="00297070">
        <w:tc>
          <w:tcPr>
            <w:tcW w:w="5000" w:type="pct"/>
            <w:gridSpan w:val="7"/>
            <w:shd w:val="clear" w:color="auto" w:fill="auto"/>
            <w:vAlign w:val="center"/>
          </w:tcPr>
          <w:p w:rsidR="00A54F1C" w:rsidRPr="000526BE" w:rsidRDefault="00A54F1C" w:rsidP="00297070">
            <w:pPr>
              <w:pStyle w:val="Tabletext"/>
              <w:rPr>
                <w:b/>
                <w:bCs/>
              </w:rPr>
            </w:pPr>
            <w:r w:rsidRPr="000526BE">
              <w:rPr>
                <w:b/>
                <w:bCs/>
              </w:rPr>
              <w:t>Estimated financial implications of T-DM1</w:t>
            </w:r>
          </w:p>
        </w:tc>
      </w:tr>
      <w:tr w:rsidR="00A54F1C" w:rsidRPr="000526BE" w:rsidTr="00297070">
        <w:tc>
          <w:tcPr>
            <w:tcW w:w="1119" w:type="pct"/>
            <w:shd w:val="clear" w:color="auto" w:fill="auto"/>
            <w:vAlign w:val="center"/>
          </w:tcPr>
          <w:p w:rsidR="00A54F1C" w:rsidRPr="000526BE" w:rsidRDefault="00A54F1C" w:rsidP="00297070">
            <w:pPr>
              <w:pStyle w:val="Tabletext"/>
              <w:rPr>
                <w:rFonts w:ascii="Times" w:hAnsi="Times"/>
              </w:rPr>
            </w:pPr>
            <w:r w:rsidRPr="000526BE">
              <w:rPr>
                <w:sz w:val="19"/>
                <w:szCs w:val="19"/>
              </w:rPr>
              <w:t>Cost to PBS/RPBS</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6" w:type="pct"/>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vertAlign w:val="superscript"/>
              </w:rPr>
            </w:pPr>
            <w:r w:rsidRPr="000526BE">
              <w:rPr>
                <w:sz w:val="19"/>
                <w:szCs w:val="19"/>
              </w:rPr>
              <w:t>Copayments</w:t>
            </w:r>
            <w:r w:rsidRPr="000526BE">
              <w:rPr>
                <w:sz w:val="19"/>
                <w:szCs w:val="19"/>
                <w:vertAlign w:val="superscript"/>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6" w:type="pct"/>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Cost to PBS/RPBS less copayments</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6" w:type="pct"/>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r>
      <w:tr w:rsidR="00A54F1C" w:rsidRPr="000526BE" w:rsidTr="00297070">
        <w:tc>
          <w:tcPr>
            <w:tcW w:w="5000" w:type="pct"/>
            <w:gridSpan w:val="7"/>
            <w:shd w:val="clear" w:color="auto" w:fill="auto"/>
            <w:vAlign w:val="center"/>
          </w:tcPr>
          <w:p w:rsidR="00A54F1C" w:rsidRPr="000526BE" w:rsidRDefault="00A54F1C" w:rsidP="00297070">
            <w:pPr>
              <w:pStyle w:val="Tabletext"/>
              <w:rPr>
                <w:bCs/>
              </w:rPr>
            </w:pPr>
            <w:r w:rsidRPr="000526BE">
              <w:rPr>
                <w:b/>
                <w:bCs/>
              </w:rPr>
              <w:t>Estimated financial implications for trastuzumab</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Cost to PBS/RPBS</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6" w:type="pct"/>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Copayments</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7" w:type="pct"/>
            <w:shd w:val="clear" w:color="auto" w:fill="auto"/>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c>
          <w:tcPr>
            <w:tcW w:w="646" w:type="pct"/>
            <w:vAlign w:val="center"/>
          </w:tcPr>
          <w:p w:rsidR="00A54F1C" w:rsidRPr="000526BE" w:rsidRDefault="00A54F1C" w:rsidP="00297070">
            <w:pPr>
              <w:pStyle w:val="Tabletext"/>
              <w:jc w:val="center"/>
              <w:rPr>
                <w:bCs/>
              </w:rPr>
            </w:pPr>
            <w:r w:rsidRPr="000526BE">
              <w:rPr>
                <w:rFonts w:cs="Arial"/>
              </w:rPr>
              <w:t>-$</w:t>
            </w:r>
            <w:r w:rsidR="00756F83">
              <w:rPr>
                <w:rFonts w:cs="Arial"/>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Cost to PBS/RPBS less copayments</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7" w:type="pct"/>
            <w:shd w:val="clear" w:color="auto" w:fill="auto"/>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c>
          <w:tcPr>
            <w:tcW w:w="646" w:type="pct"/>
            <w:vAlign w:val="center"/>
          </w:tcPr>
          <w:p w:rsidR="00A54F1C" w:rsidRPr="000526BE" w:rsidRDefault="00A54F1C" w:rsidP="00D632CD">
            <w:pPr>
              <w:pStyle w:val="TableText1"/>
              <w:spacing w:before="0" w:after="0"/>
              <w:jc w:val="center"/>
              <w:rPr>
                <w:bCs w:val="0"/>
              </w:rPr>
            </w:pPr>
            <w:r w:rsidRPr="000526BE">
              <w:rPr>
                <w:rFonts w:ascii="Arial Narrow" w:hAnsi="Arial Narrow" w:cs="Arial"/>
              </w:rPr>
              <w:t>$</w:t>
            </w:r>
            <w:r w:rsidR="00756F83">
              <w:rPr>
                <w:rFonts w:ascii="Arial Narrow" w:hAnsi="Arial Narrow" w:cs="Arial"/>
                <w:noProof/>
                <w:color w:val="000000"/>
                <w:highlight w:val="black"/>
              </w:rPr>
              <w:t>'''''''''''''''''''''''</w:t>
            </w:r>
          </w:p>
        </w:tc>
      </w:tr>
      <w:tr w:rsidR="00A54F1C" w:rsidRPr="000526BE" w:rsidTr="00297070">
        <w:tc>
          <w:tcPr>
            <w:tcW w:w="5000" w:type="pct"/>
            <w:gridSpan w:val="7"/>
            <w:shd w:val="clear" w:color="auto" w:fill="auto"/>
            <w:vAlign w:val="center"/>
          </w:tcPr>
          <w:p w:rsidR="00A54F1C" w:rsidRPr="000526BE" w:rsidRDefault="00A54F1C" w:rsidP="00297070">
            <w:pPr>
              <w:pStyle w:val="Tabletext"/>
              <w:rPr>
                <w:b/>
                <w:bCs/>
              </w:rPr>
            </w:pPr>
            <w:r w:rsidRPr="000526BE">
              <w:rPr>
                <w:b/>
                <w:bCs/>
              </w:rPr>
              <w:t>Net financial implications no copayments</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Net cost to PBS/RPBS</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6" w:type="pct"/>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rFonts w:ascii="Times" w:hAnsi="Times"/>
              </w:rPr>
            </w:pPr>
            <w:r w:rsidRPr="000526BE">
              <w:rPr>
                <w:sz w:val="19"/>
                <w:szCs w:val="19"/>
              </w:rPr>
              <w:t>Net cost to MBS</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7" w:type="pct"/>
            <w:shd w:val="clear" w:color="auto" w:fill="auto"/>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c>
          <w:tcPr>
            <w:tcW w:w="646" w:type="pct"/>
          </w:tcPr>
          <w:p w:rsidR="00A54F1C" w:rsidRPr="000526BE" w:rsidRDefault="00A54F1C" w:rsidP="00D632CD">
            <w:pPr>
              <w:pStyle w:val="TableText1"/>
              <w:spacing w:before="0" w:after="0"/>
              <w:jc w:val="center"/>
              <w:rPr>
                <w:bCs w:val="0"/>
              </w:rPr>
            </w:pPr>
            <w:r w:rsidRPr="000526BE">
              <w:rPr>
                <w:rFonts w:ascii="Arial Narrow" w:hAnsi="Arial Narrow"/>
              </w:rPr>
              <w:t>$</w:t>
            </w:r>
            <w:r w:rsidR="00756F83">
              <w:rPr>
                <w:rFonts w:ascii="Arial Narrow" w:hAnsi="Arial Narrow"/>
                <w:noProof/>
                <w:color w:val="000000"/>
                <w:highlight w:val="black"/>
              </w:rPr>
              <w:t>'''''''''''''''''''</w:t>
            </w:r>
          </w:p>
        </w:tc>
      </w:tr>
      <w:tr w:rsidR="00A54F1C" w:rsidRPr="000526BE" w:rsidTr="00297070">
        <w:tc>
          <w:tcPr>
            <w:tcW w:w="1119" w:type="pct"/>
            <w:shd w:val="clear" w:color="auto" w:fill="auto"/>
            <w:vAlign w:val="center"/>
          </w:tcPr>
          <w:p w:rsidR="00A54F1C" w:rsidRPr="000526BE" w:rsidRDefault="00A54F1C" w:rsidP="00297070">
            <w:pPr>
              <w:pStyle w:val="Tabletext"/>
              <w:rPr>
                <w:sz w:val="19"/>
                <w:szCs w:val="19"/>
              </w:rPr>
            </w:pPr>
            <w:r w:rsidRPr="000526BE">
              <w:rPr>
                <w:sz w:val="19"/>
                <w:szCs w:val="19"/>
              </w:rPr>
              <w:t>Net cost to PBS/RPBS/MBS</w:t>
            </w:r>
          </w:p>
        </w:tc>
        <w:tc>
          <w:tcPr>
            <w:tcW w:w="647" w:type="pct"/>
            <w:shd w:val="clear" w:color="auto" w:fill="auto"/>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c>
          <w:tcPr>
            <w:tcW w:w="647" w:type="pct"/>
            <w:shd w:val="clear" w:color="auto" w:fill="auto"/>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c>
          <w:tcPr>
            <w:tcW w:w="647" w:type="pct"/>
            <w:shd w:val="clear" w:color="auto" w:fill="auto"/>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c>
          <w:tcPr>
            <w:tcW w:w="647" w:type="pct"/>
            <w:shd w:val="clear" w:color="auto" w:fill="auto"/>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c>
          <w:tcPr>
            <w:tcW w:w="647" w:type="pct"/>
            <w:shd w:val="clear" w:color="auto" w:fill="auto"/>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c>
          <w:tcPr>
            <w:tcW w:w="646" w:type="pct"/>
          </w:tcPr>
          <w:p w:rsidR="00A54F1C" w:rsidRPr="000526BE" w:rsidRDefault="00A54F1C" w:rsidP="00D632CD">
            <w:pPr>
              <w:widowControl/>
              <w:jc w:val="center"/>
              <w:rPr>
                <w:bCs/>
              </w:rPr>
            </w:pPr>
            <w:r w:rsidRPr="000526BE">
              <w:rPr>
                <w:rFonts w:ascii="Arial Narrow" w:hAnsi="Arial Narrow" w:cs="Calibri"/>
                <w:bCs/>
                <w:sz w:val="20"/>
                <w:szCs w:val="20"/>
                <w:lang w:eastAsia="zh-CN"/>
              </w:rPr>
              <w:t>$</w:t>
            </w:r>
            <w:r w:rsidR="00756F83">
              <w:rPr>
                <w:rFonts w:ascii="Arial Narrow" w:hAnsi="Arial Narrow" w:cs="Calibri"/>
                <w:bCs/>
                <w:noProof/>
                <w:color w:val="000000"/>
                <w:sz w:val="20"/>
                <w:szCs w:val="20"/>
                <w:highlight w:val="black"/>
                <w:lang w:eastAsia="zh-CN"/>
              </w:rPr>
              <w:t>'''''''''''''''''''''''''</w:t>
            </w:r>
          </w:p>
        </w:tc>
      </w:tr>
    </w:tbl>
    <w:p w:rsidR="00A54F1C" w:rsidRPr="000526BE" w:rsidDel="009E6FFB" w:rsidRDefault="00A54F1C" w:rsidP="00A54F1C">
      <w:pPr>
        <w:pStyle w:val="TableFooter"/>
      </w:pPr>
      <w:r w:rsidRPr="000526BE" w:rsidDel="009E6FFB">
        <w:t xml:space="preserve">Abbreviations: MBS= Medicare Benefits Schedule; PBS= Pharmaceutical Benefits Scheme; RPBS= Repatriation Pharmaceutical Benefits Scheme. </w:t>
      </w:r>
    </w:p>
    <w:p w:rsidR="00A54F1C" w:rsidRPr="000526BE" w:rsidDel="009E6FFB" w:rsidRDefault="00A54F1C" w:rsidP="00A54F1C">
      <w:pPr>
        <w:pStyle w:val="TableFooter"/>
        <w:rPr>
          <w:sz w:val="20"/>
          <w:szCs w:val="20"/>
        </w:rPr>
      </w:pPr>
      <w:r w:rsidRPr="000526BE" w:rsidDel="009E6FFB">
        <w:t xml:space="preserve">Source: Table 4.8. p138 and Table 4.12, p129 of </w:t>
      </w:r>
      <w:r w:rsidRPr="000526BE" w:rsidDel="009E6FFB">
        <w:rPr>
          <w:szCs w:val="18"/>
        </w:rPr>
        <w:t xml:space="preserve">the submission </w:t>
      </w:r>
      <w:r w:rsidRPr="000526BE" w:rsidDel="009E6FFB">
        <w:rPr>
          <w:iCs/>
          <w:szCs w:val="18"/>
        </w:rPr>
        <w:t xml:space="preserve">and calculated during evaluation from ‘4b. Displaced - PUB’, worksheets within the Utilisation and cost model.xlsx </w:t>
      </w:r>
    </w:p>
    <w:p w:rsidR="00A54F1C" w:rsidRPr="000526BE" w:rsidDel="009E6FFB" w:rsidRDefault="00A54F1C" w:rsidP="00B0387A">
      <w:pPr>
        <w:pStyle w:val="TableFooter"/>
        <w:tabs>
          <w:tab w:val="left" w:pos="142"/>
        </w:tabs>
        <w:spacing w:after="240"/>
        <w:rPr>
          <w:highlight w:val="green"/>
        </w:rPr>
      </w:pPr>
      <w:r w:rsidRPr="000526BE" w:rsidDel="009E6FFB">
        <w:t>Notes:</w:t>
      </w:r>
      <w:r w:rsidRPr="000526BE" w:rsidDel="009E6FFB">
        <w:rPr>
          <w:vertAlign w:val="superscript"/>
        </w:rPr>
        <w:t xml:space="preserve"> </w:t>
      </w:r>
      <w:r w:rsidRPr="000526BE" w:rsidDel="009E6FFB">
        <w:t xml:space="preserve">* Assuming a script equivalence of 1.0 between T-DM1 and trastuzumab. ** based on trastuzumab use currently. </w:t>
      </w:r>
    </w:p>
    <w:p w:rsidR="00D311F8" w:rsidRDefault="00BF7758" w:rsidP="00D311F8">
      <w:pPr>
        <w:widowControl/>
      </w:pPr>
      <w:r>
        <w:t xml:space="preserve">The redacted table shows that at Year 6 the estimated number of scripts was less than 10,000. </w:t>
      </w:r>
    </w:p>
    <w:p w:rsidR="00BF7758" w:rsidRDefault="00BF7758" w:rsidP="00D311F8">
      <w:pPr>
        <w:widowControl/>
      </w:pPr>
    </w:p>
    <w:p w:rsidR="005C4639" w:rsidRPr="000526BE" w:rsidRDefault="005C4639" w:rsidP="005C4639">
      <w:pPr>
        <w:pStyle w:val="ListParagraph"/>
        <w:widowControl/>
        <w:numPr>
          <w:ilvl w:val="1"/>
          <w:numId w:val="2"/>
        </w:numPr>
      </w:pPr>
      <w:r w:rsidRPr="000526BE">
        <w:t>DUSC considered the estimates presented in the submission to be overestimated in years 1 and 2, and underestimated in years 3 to 6. DUSC developed revised estimates</w:t>
      </w:r>
      <w:r w:rsidR="00F45EEC" w:rsidRPr="000526BE">
        <w:t xml:space="preserve"> applying the following assumptions</w:t>
      </w:r>
      <w:r w:rsidRPr="000526BE">
        <w:t>:</w:t>
      </w:r>
    </w:p>
    <w:p w:rsidR="00F45EEC" w:rsidRPr="000526BE" w:rsidRDefault="00F45EEC" w:rsidP="00025388">
      <w:pPr>
        <w:pStyle w:val="ListParagraph"/>
        <w:numPr>
          <w:ilvl w:val="0"/>
          <w:numId w:val="25"/>
        </w:numPr>
        <w:ind w:left="1037" w:hanging="357"/>
      </w:pPr>
      <w:r w:rsidRPr="000526BE">
        <w:t>The p</w:t>
      </w:r>
      <w:r w:rsidR="005C4639" w:rsidRPr="000526BE">
        <w:t xml:space="preserve">roportion of patients receiving neoadjuvant treatment </w:t>
      </w:r>
      <w:r w:rsidR="008218F2" w:rsidRPr="000526BE">
        <w:t xml:space="preserve">was </w:t>
      </w:r>
      <w:r w:rsidR="005C4639" w:rsidRPr="000526BE">
        <w:t xml:space="preserve">changed </w:t>
      </w:r>
      <w:r w:rsidR="00237945" w:rsidRPr="000526BE">
        <w:t>from 4</w:t>
      </w:r>
      <w:r w:rsidR="00DF269D" w:rsidRPr="000526BE">
        <w:t>6</w:t>
      </w:r>
      <w:r w:rsidR="00237945" w:rsidRPr="000526BE">
        <w:t xml:space="preserve">% in year 1 and up to 52% in year 6; to 27% in year 1 and </w:t>
      </w:r>
      <w:r w:rsidR="005C4639" w:rsidRPr="000526BE">
        <w:t xml:space="preserve">up to 75% in year 6. </w:t>
      </w:r>
      <w:r w:rsidRPr="000526BE">
        <w:t xml:space="preserve">DUSC considered that the assumption that 46% of patients receive neoadjuvant therapy in year 1 was inconsistent with the analysis of the full PBS data. DUSC commented that neoadjuvant therapy is becoming more common, and considered that over the next five years there may be a significant shift in the treatment algorithm to neoadjuvant therapy becoming standard of care for the majority of patients. DUSC estimated that the proportion of neoadjuvant therapy could increase to 75% by year 6. </w:t>
      </w:r>
      <w:r w:rsidR="008A2C31" w:rsidRPr="000526BE">
        <w:t xml:space="preserve">The Pre-PBAC response argued </w:t>
      </w:r>
      <w:r w:rsidR="00283156" w:rsidRPr="000526BE">
        <w:t>that</w:t>
      </w:r>
      <w:r w:rsidR="008A2C31" w:rsidRPr="000526BE">
        <w:t xml:space="preserve"> </w:t>
      </w:r>
      <w:r w:rsidR="00283156" w:rsidRPr="000526BE">
        <w:t xml:space="preserve">this </w:t>
      </w:r>
      <w:r w:rsidR="008A2C31" w:rsidRPr="000526BE">
        <w:t>was overestimated and unsubstantiated</w:t>
      </w:r>
      <w:r w:rsidR="00283156" w:rsidRPr="000526BE">
        <w:t>,</w:t>
      </w:r>
      <w:r w:rsidR="008A2C31" w:rsidRPr="000526BE">
        <w:t xml:space="preserve"> and maintained that 52% is the maximum proportion of patients </w:t>
      </w:r>
      <w:r w:rsidR="00025388" w:rsidRPr="000526BE">
        <w:t xml:space="preserve">who </w:t>
      </w:r>
      <w:r w:rsidR="008A2C31" w:rsidRPr="000526BE">
        <w:t xml:space="preserve">will receive neoadjuvant therapy as only patients with high risk eBC </w:t>
      </w:r>
      <w:r w:rsidR="0017391E" w:rsidRPr="000526BE">
        <w:t xml:space="preserve">(lymph node positive and/or tumour &gt;2cm) </w:t>
      </w:r>
      <w:r w:rsidR="008A2C31" w:rsidRPr="000526BE">
        <w:t xml:space="preserve">are likely to be suitable for neoadjuvant therapy. </w:t>
      </w:r>
      <w:r w:rsidRPr="000526BE">
        <w:t xml:space="preserve">The PBAC </w:t>
      </w:r>
      <w:r w:rsidR="00025388" w:rsidRPr="000526BE">
        <w:t>agreed with the pre-PBAC response and considered that the neoadjuvant treatment rate should be 27% in Year 1 increasing to 52% in year 3.</w:t>
      </w:r>
      <w:r w:rsidR="005C3AAE" w:rsidRPr="000526BE">
        <w:t xml:space="preserve"> </w:t>
      </w:r>
    </w:p>
    <w:p w:rsidR="005C4639" w:rsidRPr="000526BE" w:rsidRDefault="001114EE" w:rsidP="008964CF">
      <w:pPr>
        <w:pStyle w:val="ListParagraph"/>
        <w:numPr>
          <w:ilvl w:val="0"/>
          <w:numId w:val="25"/>
        </w:numPr>
        <w:ind w:left="1037" w:hanging="357"/>
      </w:pPr>
      <w:r w:rsidRPr="000526BE">
        <w:t xml:space="preserve">The proportion of patients self-funding </w:t>
      </w:r>
      <w:r w:rsidR="008F3FEB" w:rsidRPr="000526BE">
        <w:t xml:space="preserve">neoadjuvant </w:t>
      </w:r>
      <w:r w:rsidRPr="000526BE">
        <w:t xml:space="preserve">pertuzumab was revised from 40% to 20%. </w:t>
      </w:r>
      <w:r w:rsidR="0045657B" w:rsidRPr="000526BE">
        <w:t>The submission</w:t>
      </w:r>
      <w:r w:rsidR="008F3FEB" w:rsidRPr="000526BE">
        <w:t>’s</w:t>
      </w:r>
      <w:r w:rsidR="0045657B" w:rsidRPr="000526BE">
        <w:t xml:space="preserve"> estimate</w:t>
      </w:r>
      <w:r w:rsidR="008F3FEB" w:rsidRPr="000526BE">
        <w:t xml:space="preserve"> of </w:t>
      </w:r>
      <w:r w:rsidR="005C4639" w:rsidRPr="000526BE">
        <w:t xml:space="preserve">40% </w:t>
      </w:r>
      <w:r w:rsidR="008F3FEB" w:rsidRPr="000526BE">
        <w:t>was</w:t>
      </w:r>
      <w:r w:rsidR="005C4639" w:rsidRPr="000526BE">
        <w:t xml:space="preserve"> based on current enrolment in HER START (Roche medicines access program). This is significantly higher than the 18% of patients who received pertuzumab in KATHERINE. </w:t>
      </w:r>
      <w:r w:rsidRPr="000526BE">
        <w:t xml:space="preserve">DUSC considered there would be fewer patients willing to pay for pertuzumab once T-DM1 is PBS listed, and that the </w:t>
      </w:r>
      <w:r w:rsidR="00BA3E9C" w:rsidRPr="000526BE">
        <w:t>upper estimate of the proportion of patients using pertuzumab w</w:t>
      </w:r>
      <w:r w:rsidR="008F3FEB" w:rsidRPr="000526BE">
        <w:t>ould be</w:t>
      </w:r>
      <w:r w:rsidR="00BA3E9C" w:rsidRPr="000526BE">
        <w:t xml:space="preserve"> 20%</w:t>
      </w:r>
      <w:r w:rsidRPr="000526BE">
        <w:t xml:space="preserve">. </w:t>
      </w:r>
      <w:r w:rsidR="00714C8B" w:rsidRPr="000526BE">
        <w:t xml:space="preserve">The pre-PBAC response </w:t>
      </w:r>
      <w:r w:rsidR="00BA3E9C" w:rsidRPr="000526BE">
        <w:t xml:space="preserve">stated that </w:t>
      </w:r>
      <w:r w:rsidR="00714C8B" w:rsidRPr="000526BE">
        <w:t xml:space="preserve">the sponsor is seeking PBS listing of neoadjuvant pertuzumab at the March 2020 </w:t>
      </w:r>
      <w:r w:rsidR="001B1180" w:rsidRPr="000526BE">
        <w:t xml:space="preserve">PBAC </w:t>
      </w:r>
      <w:r w:rsidR="00714C8B" w:rsidRPr="000526BE">
        <w:t>meeting</w:t>
      </w:r>
      <w:r w:rsidR="001B1180" w:rsidRPr="000526BE">
        <w:t>, which, if recommended,</w:t>
      </w:r>
      <w:r w:rsidR="00B00865" w:rsidRPr="000526BE">
        <w:t xml:space="preserve"> would increase use of pertuzumab compared with the current self-funded arrangement</w:t>
      </w:r>
      <w:r w:rsidR="00714C8B" w:rsidRPr="000526BE">
        <w:t>.</w:t>
      </w:r>
      <w:r w:rsidR="00B00865" w:rsidRPr="000526BE">
        <w:t xml:space="preserve"> The pre-PBAC response presented two sets of utilisation estimates: one assuming neoadjuvant pertuzumab</w:t>
      </w:r>
      <w:r w:rsidR="00714C8B" w:rsidRPr="000526BE">
        <w:t xml:space="preserve"> </w:t>
      </w:r>
      <w:r w:rsidR="00B00865" w:rsidRPr="000526BE">
        <w:t xml:space="preserve">is PBS-listed; and one reflecting the current funding scenario where neoadjuvant pertuzumab is not PBS-listed, which assumed 20% of patients use neoadjuvant pertuzumab in line with the DUSC advice. </w:t>
      </w:r>
      <w:r w:rsidR="00714C8B" w:rsidRPr="000526BE">
        <w:t>The PBAC considered that it would be appropriate to assume no PBS subsidy of pertuzumab</w:t>
      </w:r>
      <w:r w:rsidRPr="000526BE">
        <w:t xml:space="preserve"> in the financial estimates</w:t>
      </w:r>
      <w:r w:rsidR="00D476DA" w:rsidRPr="000526BE">
        <w:t xml:space="preserve"> (given this reflects the current funding situation)</w:t>
      </w:r>
      <w:r w:rsidR="00062C61">
        <w:t>.</w:t>
      </w:r>
    </w:p>
    <w:p w:rsidR="005C4639" w:rsidRPr="000526BE" w:rsidRDefault="00800F9C" w:rsidP="008964CF">
      <w:pPr>
        <w:pStyle w:val="ListParagraph"/>
        <w:numPr>
          <w:ilvl w:val="0"/>
          <w:numId w:val="25"/>
        </w:numPr>
        <w:ind w:left="1037" w:hanging="357"/>
      </w:pPr>
      <w:r w:rsidRPr="000526BE">
        <w:t>For patients not treated with neoadjuvant pertuzumab, t</w:t>
      </w:r>
      <w:r w:rsidR="00066ADD" w:rsidRPr="000526BE">
        <w:t>he p</w:t>
      </w:r>
      <w:r w:rsidR="005C4639" w:rsidRPr="000526BE">
        <w:t xml:space="preserve">roportion of patients with residual disease </w:t>
      </w:r>
      <w:r w:rsidR="001114EE" w:rsidRPr="000526BE">
        <w:t xml:space="preserve">was </w:t>
      </w:r>
      <w:r w:rsidR="005C4639" w:rsidRPr="000526BE">
        <w:t xml:space="preserve">changed </w:t>
      </w:r>
      <w:r w:rsidR="001B4A83" w:rsidRPr="000526BE">
        <w:t xml:space="preserve">from 78.5% </w:t>
      </w:r>
      <w:r w:rsidR="005C4639" w:rsidRPr="000526BE">
        <w:t xml:space="preserve">to 50%. The commentary noted that residual disease rates (1 – pCR rates) were based on a phase II RCT (NEOSPHERE, Gianni 2012) that assessed chemotherapy plus trastuzumab (78.5%) and chemotherapy plus trastuzumab and pertuzumab (60.7%). There were significant transitivity issues between NEOSPHERE patients and the proposed patient population. Patients in NEOSPHERE had either early, inflammatory or locally advanced HER2+ BC which means only 29% were node negative, compared to 46 – 69% of the proposed population. </w:t>
      </w:r>
      <w:r w:rsidR="00D905BE" w:rsidRPr="000526BE">
        <w:t xml:space="preserve">DUSC </w:t>
      </w:r>
      <w:r w:rsidR="004D5FA1" w:rsidRPr="000526BE">
        <w:t>considered</w:t>
      </w:r>
      <w:r w:rsidR="00D905BE" w:rsidRPr="000526BE">
        <w:t xml:space="preserve"> that the NEOSPHERE trial was not suitable for benchmarking </w:t>
      </w:r>
      <w:r w:rsidR="001B4A83" w:rsidRPr="000526BE">
        <w:t xml:space="preserve">pCR rates as patients in this trial were not treated with neoadjuvant anthracyclines. DUSC noted that the pCR in </w:t>
      </w:r>
      <w:r w:rsidR="005C3AAE" w:rsidRPr="000526BE">
        <w:t xml:space="preserve">patients treated with chemotherapy plus trastuzumab in </w:t>
      </w:r>
      <w:r w:rsidR="001B4A83" w:rsidRPr="000526BE">
        <w:t xml:space="preserve">NEOSPHERE was well below </w:t>
      </w:r>
      <w:r w:rsidR="001D5AA0" w:rsidRPr="000526BE">
        <w:t xml:space="preserve">the </w:t>
      </w:r>
      <w:r w:rsidR="001B4A83" w:rsidRPr="000526BE">
        <w:t>pCR from multiple studies that included treatment with anthracycline plus taxane plus trastuzumab</w:t>
      </w:r>
      <w:r w:rsidR="00066ADD" w:rsidRPr="000526BE">
        <w:rPr>
          <w:rStyle w:val="FootnoteReference"/>
        </w:rPr>
        <w:footnoteReference w:id="3"/>
      </w:r>
      <w:r w:rsidR="00066ADD" w:rsidRPr="000526BE">
        <w:rPr>
          <w:vertAlign w:val="superscript"/>
        </w:rPr>
        <w:t>,</w:t>
      </w:r>
      <w:r w:rsidR="00066ADD" w:rsidRPr="000526BE">
        <w:rPr>
          <w:rStyle w:val="FootnoteReference"/>
        </w:rPr>
        <w:footnoteReference w:id="4"/>
      </w:r>
      <w:r w:rsidR="00066ADD" w:rsidRPr="000526BE">
        <w:rPr>
          <w:vertAlign w:val="superscript"/>
        </w:rPr>
        <w:t>,</w:t>
      </w:r>
      <w:r w:rsidR="00066ADD" w:rsidRPr="000526BE">
        <w:rPr>
          <w:rStyle w:val="FootnoteReference"/>
        </w:rPr>
        <w:footnoteReference w:id="5"/>
      </w:r>
      <w:r w:rsidR="001B4A83" w:rsidRPr="000526BE">
        <w:t xml:space="preserve"> and therefore considered the estimated residual disease rate of 78.5% is likely overestimated, and is likely to be closer to 50%.</w:t>
      </w:r>
      <w:r w:rsidR="001114EE" w:rsidRPr="000526BE">
        <w:t xml:space="preserve"> </w:t>
      </w:r>
      <w:r w:rsidRPr="000526BE">
        <w:t xml:space="preserve">The pre-PBAC response </w:t>
      </w:r>
      <w:r w:rsidR="008F3FEB" w:rsidRPr="000526BE">
        <w:t xml:space="preserve">and PBAC </w:t>
      </w:r>
      <w:r w:rsidRPr="000526BE">
        <w:t>accepted this amendment as proposed by DUSC.</w:t>
      </w:r>
    </w:p>
    <w:p w:rsidR="001D5AA0" w:rsidRPr="000526BE" w:rsidRDefault="00800F9C" w:rsidP="008964CF">
      <w:pPr>
        <w:pStyle w:val="ListParagraph"/>
        <w:numPr>
          <w:ilvl w:val="0"/>
          <w:numId w:val="25"/>
        </w:numPr>
        <w:ind w:left="1037" w:hanging="357"/>
      </w:pPr>
      <w:r w:rsidRPr="000526BE">
        <w:t>For patients treated with neoadjuvant pertuzumab, DUSC considered that the proportion of patients with residual disease should be kept at 60.7%, as estimated in the submission. However, the pre-PBAC response stated that a residual disease rate of 33% should have been used based on the PERSIA</w:t>
      </w:r>
      <w:r w:rsidR="00C70A8E" w:rsidRPr="000526BE">
        <w:t xml:space="preserve"> and TRYPHAENA trials.</w:t>
      </w:r>
      <w:r w:rsidR="00C70A8E" w:rsidRPr="000526BE">
        <w:rPr>
          <w:rStyle w:val="FootnoteReference"/>
        </w:rPr>
        <w:footnoteReference w:id="6"/>
      </w:r>
      <w:r w:rsidR="00C70A8E" w:rsidRPr="000526BE">
        <w:rPr>
          <w:vertAlign w:val="superscript"/>
        </w:rPr>
        <w:t>,</w:t>
      </w:r>
      <w:r w:rsidR="00C70A8E" w:rsidRPr="000526BE">
        <w:rPr>
          <w:rStyle w:val="FootnoteReference"/>
        </w:rPr>
        <w:footnoteReference w:id="7"/>
      </w:r>
      <w:r w:rsidR="00C70A8E" w:rsidRPr="000526BE">
        <w:rPr>
          <w:vertAlign w:val="superscript"/>
        </w:rPr>
        <w:t xml:space="preserve"> </w:t>
      </w:r>
      <w:r w:rsidR="00C70A8E" w:rsidRPr="000526BE">
        <w:t xml:space="preserve">The PBAC considered the rate used in the pre-PBAC response (residual disease rate of 33% for patients treated with neoadjuvant pertuzumab) </w:t>
      </w:r>
      <w:r w:rsidR="00DC3756">
        <w:t xml:space="preserve">may be a reasonable estimate.  However, the PBAC also noted that there is uncertainty in the pCR rate with </w:t>
      </w:r>
      <w:r w:rsidR="00314CE7">
        <w:t xml:space="preserve">neoadjuvant </w:t>
      </w:r>
      <w:r w:rsidR="00DC3756">
        <w:t>pertuzumab since there are different neoadjuvant chemotherapy regimens being used in different trials</w:t>
      </w:r>
      <w:r w:rsidR="00314CE7">
        <w:t xml:space="preserve">. The PBAC noted </w:t>
      </w:r>
      <w:r w:rsidR="00DC3756">
        <w:t xml:space="preserve">that </w:t>
      </w:r>
      <w:r w:rsidR="00314CE7">
        <w:t xml:space="preserve">evaluation of </w:t>
      </w:r>
      <w:r w:rsidR="00DC3756">
        <w:t xml:space="preserve">this rate was </w:t>
      </w:r>
      <w:r w:rsidR="00314CE7">
        <w:t xml:space="preserve">not conducted as part of </w:t>
      </w:r>
      <w:r w:rsidR="00DC3756">
        <w:t xml:space="preserve">this submission. </w:t>
      </w:r>
    </w:p>
    <w:p w:rsidR="008964CF" w:rsidRPr="000526BE" w:rsidRDefault="00066ADD" w:rsidP="008964CF">
      <w:pPr>
        <w:pStyle w:val="ListParagraph"/>
        <w:numPr>
          <w:ilvl w:val="0"/>
          <w:numId w:val="25"/>
        </w:numPr>
        <w:ind w:left="1037" w:hanging="357"/>
      </w:pPr>
      <w:r w:rsidRPr="000526BE">
        <w:t>The u</w:t>
      </w:r>
      <w:r w:rsidR="005C4639" w:rsidRPr="000526BE">
        <w:t xml:space="preserve">ptake </w:t>
      </w:r>
      <w:r w:rsidRPr="000526BE">
        <w:t xml:space="preserve">was </w:t>
      </w:r>
      <w:r w:rsidR="005C4639" w:rsidRPr="000526BE">
        <w:t>changed</w:t>
      </w:r>
      <w:r w:rsidR="00237945" w:rsidRPr="000526BE">
        <w:t xml:space="preserve"> from 70% in </w:t>
      </w:r>
      <w:r w:rsidR="00336B1F" w:rsidRPr="000526BE">
        <w:t>all years</w:t>
      </w:r>
      <w:r w:rsidR="00237945" w:rsidRPr="000526BE">
        <w:t xml:space="preserve"> in the submission;</w:t>
      </w:r>
      <w:r w:rsidR="005C4639" w:rsidRPr="000526BE">
        <w:t xml:space="preserve"> to 70% in year 1 increasing to 95% in year 4. </w:t>
      </w:r>
      <w:r w:rsidR="005C3AAE" w:rsidRPr="000526BE">
        <w:t xml:space="preserve">DUSC considered that </w:t>
      </w:r>
      <w:r w:rsidR="00C70A8E" w:rsidRPr="000526BE">
        <w:t>among</w:t>
      </w:r>
      <w:r w:rsidR="005C3AAE" w:rsidRPr="000526BE">
        <w:t xml:space="preserve"> patients who have proceeded with neoadjuvant treatment, the uptake of T-DM1 is likely to be higher than 70%. The </w:t>
      </w:r>
      <w:r w:rsidR="00C70A8E" w:rsidRPr="000526BE">
        <w:t xml:space="preserve">pre-PBAC response and </w:t>
      </w:r>
      <w:r w:rsidR="005C3AAE" w:rsidRPr="000526BE">
        <w:t xml:space="preserve">PBAC agreed with DUSC that uptake is likely to be </w:t>
      </w:r>
      <w:r w:rsidR="00C70A8E" w:rsidRPr="000526BE">
        <w:t>70% in year 1 increasing to 95% in year 4</w:t>
      </w:r>
      <w:r w:rsidR="005C3AAE" w:rsidRPr="000526BE">
        <w:t xml:space="preserve">. </w:t>
      </w:r>
    </w:p>
    <w:p w:rsidR="005C4639" w:rsidRPr="000526BE" w:rsidRDefault="00C70A8E" w:rsidP="00CD27FC">
      <w:pPr>
        <w:pStyle w:val="ListParagraph"/>
        <w:widowControl/>
        <w:numPr>
          <w:ilvl w:val="1"/>
          <w:numId w:val="2"/>
        </w:numPr>
      </w:pPr>
      <w:r w:rsidRPr="000526BE">
        <w:t xml:space="preserve">DUSC considered that </w:t>
      </w:r>
      <w:r w:rsidR="00CD27FC" w:rsidRPr="000526BE">
        <w:t xml:space="preserve">MBS </w:t>
      </w:r>
      <w:r w:rsidR="005C4639" w:rsidRPr="000526BE">
        <w:t xml:space="preserve">costs </w:t>
      </w:r>
      <w:r w:rsidRPr="000526BE">
        <w:t xml:space="preserve">should be included </w:t>
      </w:r>
      <w:r w:rsidR="00CD27FC" w:rsidRPr="000526BE">
        <w:t xml:space="preserve">for T-DM1 as local protocols (EviQ) and the KATHERINE trial mandated three weekly blood tests (FBC, EUC, LFT), while trastuzumab does not require blood test monitoring. </w:t>
      </w:r>
      <w:r w:rsidRPr="000526BE">
        <w:t xml:space="preserve">The pre-PBAC response </w:t>
      </w:r>
      <w:r w:rsidR="00CD27FC" w:rsidRPr="000526BE">
        <w:t xml:space="preserve">and PBAC </w:t>
      </w:r>
      <w:r w:rsidRPr="000526BE">
        <w:t xml:space="preserve">accepted </w:t>
      </w:r>
      <w:r w:rsidR="00CD27FC" w:rsidRPr="000526BE">
        <w:t xml:space="preserve">that these MBS costs should be included. </w:t>
      </w:r>
      <w:r w:rsidR="005C4639" w:rsidRPr="000526BE">
        <w:t>DUSC commented that the other assumptions in the submission, such as the dosage, number of cycles per patient and the annual growth rate were reasonable.</w:t>
      </w:r>
    </w:p>
    <w:p w:rsidR="00483D6C" w:rsidRPr="000526BE" w:rsidRDefault="00670455" w:rsidP="00CD27FC">
      <w:pPr>
        <w:pStyle w:val="ListParagraph"/>
        <w:widowControl/>
        <w:numPr>
          <w:ilvl w:val="1"/>
          <w:numId w:val="2"/>
        </w:numPr>
      </w:pPr>
      <w:r w:rsidRPr="000526BE">
        <w:t>Table 1</w:t>
      </w:r>
      <w:r w:rsidR="004E7837">
        <w:t>7</w:t>
      </w:r>
      <w:r w:rsidRPr="000526BE">
        <w:t xml:space="preserve"> summarised</w:t>
      </w:r>
      <w:r w:rsidR="00483D6C" w:rsidRPr="000526BE">
        <w:t xml:space="preserve"> the changed assumptions proposed by the pre-PBAC response and agreed by the PBAC</w:t>
      </w:r>
      <w:r w:rsidRPr="000526BE">
        <w:t>.</w:t>
      </w:r>
    </w:p>
    <w:p w:rsidR="00670455" w:rsidRPr="000526BE" w:rsidRDefault="00670455" w:rsidP="00336B1F">
      <w:pPr>
        <w:pStyle w:val="TableHeadingRow"/>
        <w:keepLines/>
      </w:pPr>
      <w:r w:rsidRPr="000526BE">
        <w:t>Table 1</w:t>
      </w:r>
      <w:r w:rsidR="004E7837">
        <w:t>7</w:t>
      </w:r>
      <w:r w:rsidRPr="000526BE">
        <w:t>: Summary of assumption changes</w:t>
      </w:r>
    </w:p>
    <w:tbl>
      <w:tblPr>
        <w:tblStyle w:val="TableGrid"/>
        <w:tblW w:w="5000" w:type="pct"/>
        <w:tblLook w:val="04A0" w:firstRow="1" w:lastRow="0" w:firstColumn="1" w:lastColumn="0" w:noHBand="0" w:noVBand="1"/>
        <w:tblCaption w:val="Table 17: Summary of assumption changes"/>
      </w:tblPr>
      <w:tblGrid>
        <w:gridCol w:w="1914"/>
        <w:gridCol w:w="1420"/>
        <w:gridCol w:w="1422"/>
        <w:gridCol w:w="1419"/>
        <w:gridCol w:w="1421"/>
        <w:gridCol w:w="1421"/>
      </w:tblGrid>
      <w:tr w:rsidR="00670455" w:rsidRPr="000526BE" w:rsidTr="00F34E34">
        <w:trPr>
          <w:trHeight w:val="285"/>
          <w:tblHeader/>
        </w:trPr>
        <w:tc>
          <w:tcPr>
            <w:tcW w:w="1061"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 xml:space="preserve">Assumption </w:t>
            </w:r>
          </w:p>
          <w:p w:rsidR="00670455" w:rsidRPr="000526BE" w:rsidRDefault="00670455" w:rsidP="00336B1F">
            <w:pPr>
              <w:pStyle w:val="TableText1left"/>
              <w:keepNext/>
              <w:keepLines/>
              <w:spacing w:before="0" w:after="0"/>
              <w:rPr>
                <w:rFonts w:ascii="Arial Narrow" w:hAnsi="Arial Narrow" w:cstheme="minorHAnsi"/>
                <w:b/>
                <w:lang w:val="en-AU"/>
              </w:rPr>
            </w:pPr>
          </w:p>
        </w:tc>
        <w:tc>
          <w:tcPr>
            <w:tcW w:w="787"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Neoadjuvant treatment rate</w:t>
            </w:r>
          </w:p>
          <w:p w:rsidR="00670455" w:rsidRPr="000526BE" w:rsidRDefault="00670455" w:rsidP="00336B1F">
            <w:pPr>
              <w:pStyle w:val="TableText1left"/>
              <w:keepNext/>
              <w:keepLines/>
              <w:spacing w:before="0" w:after="0"/>
              <w:rPr>
                <w:rFonts w:ascii="Arial Narrow" w:hAnsi="Arial Narrow" w:cstheme="minorHAnsi"/>
                <w:b/>
                <w:lang w:val="en-AU"/>
              </w:rPr>
            </w:pPr>
          </w:p>
        </w:tc>
        <w:tc>
          <w:tcPr>
            <w:tcW w:w="788"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Neoadjuvant P+H treatment rate</w:t>
            </w:r>
          </w:p>
        </w:tc>
        <w:tc>
          <w:tcPr>
            <w:tcW w:w="787"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Residual disease rate (1-pCR)</w:t>
            </w:r>
          </w:p>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H+Chemo</w:t>
            </w:r>
          </w:p>
        </w:tc>
        <w:tc>
          <w:tcPr>
            <w:tcW w:w="788"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Residual disease rate (1-pCR)</w:t>
            </w:r>
          </w:p>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P+H+Chemo</w:t>
            </w:r>
          </w:p>
        </w:tc>
        <w:tc>
          <w:tcPr>
            <w:tcW w:w="788" w:type="pct"/>
          </w:tcPr>
          <w:p w:rsidR="00670455" w:rsidRPr="000526BE" w:rsidRDefault="00670455" w:rsidP="00336B1F">
            <w:pPr>
              <w:pStyle w:val="TableText1left"/>
              <w:keepNext/>
              <w:keepLines/>
              <w:spacing w:before="0" w:after="0"/>
              <w:rPr>
                <w:rFonts w:ascii="Arial Narrow" w:hAnsi="Arial Narrow" w:cstheme="minorHAnsi"/>
                <w:b/>
                <w:lang w:val="en-AU"/>
              </w:rPr>
            </w:pPr>
            <w:r w:rsidRPr="000526BE">
              <w:rPr>
                <w:rFonts w:ascii="Arial Narrow" w:hAnsi="Arial Narrow" w:cstheme="minorHAnsi"/>
                <w:b/>
                <w:lang w:val="en-AU"/>
              </w:rPr>
              <w:t>Treatment uptake rate</w:t>
            </w:r>
          </w:p>
        </w:tc>
      </w:tr>
      <w:tr w:rsidR="00670455" w:rsidRPr="000526BE" w:rsidTr="00F34E34">
        <w:trPr>
          <w:trHeight w:val="285"/>
          <w:tblHeader/>
        </w:trPr>
        <w:tc>
          <w:tcPr>
            <w:tcW w:w="1061" w:type="pct"/>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Submission</w:t>
            </w:r>
          </w:p>
        </w:tc>
        <w:tc>
          <w:tcPr>
            <w:tcW w:w="787" w:type="pct"/>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4</w:t>
            </w:r>
            <w:r w:rsidR="00025388" w:rsidRPr="000526BE">
              <w:rPr>
                <w:rFonts w:ascii="Arial Narrow" w:hAnsi="Arial Narrow" w:cstheme="minorHAnsi"/>
                <w:lang w:val="en-AU"/>
              </w:rPr>
              <w:t>6</w:t>
            </w:r>
            <w:r w:rsidRPr="000526BE">
              <w:rPr>
                <w:rFonts w:ascii="Arial Narrow" w:hAnsi="Arial Narrow" w:cstheme="minorHAnsi"/>
                <w:lang w:val="en-AU"/>
              </w:rPr>
              <w:t>% to 52%</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40%</w:t>
            </w:r>
          </w:p>
        </w:tc>
        <w:tc>
          <w:tcPr>
            <w:tcW w:w="787"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79%</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61%</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70%</w:t>
            </w:r>
          </w:p>
        </w:tc>
      </w:tr>
      <w:tr w:rsidR="00670455" w:rsidRPr="000526BE" w:rsidTr="00F34E34">
        <w:trPr>
          <w:trHeight w:val="285"/>
          <w:tblHeader/>
        </w:trPr>
        <w:tc>
          <w:tcPr>
            <w:tcW w:w="1061" w:type="pct"/>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DUSC proposal</w:t>
            </w:r>
          </w:p>
        </w:tc>
        <w:tc>
          <w:tcPr>
            <w:tcW w:w="787"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27% to 75%</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20%</w:t>
            </w:r>
          </w:p>
        </w:tc>
        <w:tc>
          <w:tcPr>
            <w:tcW w:w="787"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50%</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61%</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70% to 95%</w:t>
            </w:r>
          </w:p>
        </w:tc>
      </w:tr>
      <w:tr w:rsidR="00670455" w:rsidRPr="000526BE" w:rsidTr="00F34E34">
        <w:trPr>
          <w:trHeight w:val="285"/>
          <w:tblHeader/>
        </w:trPr>
        <w:tc>
          <w:tcPr>
            <w:tcW w:w="1061" w:type="pct"/>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Pre-PBAC and PBAC</w:t>
            </w:r>
          </w:p>
        </w:tc>
        <w:tc>
          <w:tcPr>
            <w:tcW w:w="787"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27% to 52%</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vertAlign w:val="superscript"/>
                <w:lang w:val="en-AU"/>
              </w:rPr>
            </w:pPr>
            <w:r w:rsidRPr="000526BE">
              <w:rPr>
                <w:rFonts w:ascii="Arial Narrow" w:hAnsi="Arial Narrow" w:cstheme="minorHAnsi"/>
                <w:lang w:val="en-AU"/>
              </w:rPr>
              <w:t xml:space="preserve">20% </w:t>
            </w:r>
            <w:r w:rsidRPr="000526BE">
              <w:rPr>
                <w:rFonts w:ascii="Arial Narrow" w:hAnsi="Arial Narrow" w:cstheme="minorHAnsi"/>
                <w:vertAlign w:val="superscript"/>
                <w:lang w:val="en-AU"/>
              </w:rPr>
              <w:t>a</w:t>
            </w:r>
          </w:p>
        </w:tc>
        <w:tc>
          <w:tcPr>
            <w:tcW w:w="787"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50%</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color w:val="FF0000"/>
                <w:lang w:val="en-AU"/>
              </w:rPr>
            </w:pPr>
            <w:r w:rsidRPr="000526BE">
              <w:rPr>
                <w:rFonts w:ascii="Arial Narrow" w:hAnsi="Arial Narrow" w:cstheme="minorHAnsi"/>
                <w:lang w:val="en-AU"/>
              </w:rPr>
              <w:t>33%</w:t>
            </w:r>
          </w:p>
        </w:tc>
        <w:tc>
          <w:tcPr>
            <w:tcW w:w="788" w:type="pct"/>
            <w:shd w:val="clear" w:color="auto" w:fill="auto"/>
          </w:tcPr>
          <w:p w:rsidR="00670455" w:rsidRPr="000526BE" w:rsidRDefault="00670455" w:rsidP="00336B1F">
            <w:pPr>
              <w:pStyle w:val="TableText1left"/>
              <w:keepNext/>
              <w:keepLines/>
              <w:spacing w:before="0" w:after="0"/>
              <w:rPr>
                <w:rFonts w:ascii="Arial Narrow" w:hAnsi="Arial Narrow" w:cstheme="minorHAnsi"/>
                <w:lang w:val="en-AU"/>
              </w:rPr>
            </w:pPr>
            <w:r w:rsidRPr="000526BE">
              <w:rPr>
                <w:rFonts w:ascii="Arial Narrow" w:hAnsi="Arial Narrow" w:cstheme="minorHAnsi"/>
                <w:lang w:val="en-AU"/>
              </w:rPr>
              <w:t>70% to 95%</w:t>
            </w:r>
          </w:p>
        </w:tc>
      </w:tr>
    </w:tbl>
    <w:p w:rsidR="00670455" w:rsidRPr="000526BE" w:rsidRDefault="00670455" w:rsidP="00336B1F">
      <w:pPr>
        <w:pStyle w:val="TableNotes"/>
        <w:keepNext/>
        <w:keepLines/>
        <w:rPr>
          <w:rFonts w:ascii="Arial Narrow" w:hAnsi="Arial Narrow"/>
        </w:rPr>
      </w:pPr>
      <w:r w:rsidRPr="000526BE">
        <w:rPr>
          <w:rFonts w:ascii="Arial Narrow" w:hAnsi="Arial Narrow"/>
        </w:rPr>
        <w:t xml:space="preserve">Source: </w:t>
      </w:r>
      <w:r w:rsidR="00B0387A" w:rsidRPr="000526BE">
        <w:rPr>
          <w:rFonts w:ascii="Arial Narrow" w:hAnsi="Arial Narrow"/>
        </w:rPr>
        <w:t xml:space="preserve">Table 1, p2 of </w:t>
      </w:r>
      <w:r w:rsidRPr="000526BE">
        <w:rPr>
          <w:rFonts w:ascii="Arial Narrow" w:hAnsi="Arial Narrow"/>
        </w:rPr>
        <w:t xml:space="preserve">Pre-PBAC </w:t>
      </w:r>
      <w:r w:rsidR="00B0387A" w:rsidRPr="000526BE">
        <w:rPr>
          <w:rFonts w:ascii="Arial Narrow" w:hAnsi="Arial Narrow"/>
        </w:rPr>
        <w:t>response</w:t>
      </w:r>
    </w:p>
    <w:p w:rsidR="00670455" w:rsidRPr="000526BE" w:rsidRDefault="00670455" w:rsidP="00336B1F">
      <w:pPr>
        <w:keepNext/>
        <w:keepLines/>
        <w:spacing w:after="240"/>
        <w:rPr>
          <w:rFonts w:ascii="Arial Narrow" w:hAnsi="Arial Narrow"/>
          <w:sz w:val="18"/>
          <w:szCs w:val="18"/>
        </w:rPr>
      </w:pPr>
      <w:r w:rsidRPr="000526BE">
        <w:rPr>
          <w:rFonts w:ascii="Arial Narrow" w:hAnsi="Arial Narrow"/>
          <w:sz w:val="18"/>
          <w:szCs w:val="18"/>
          <w:vertAlign w:val="superscript"/>
        </w:rPr>
        <w:t xml:space="preserve">a </w:t>
      </w:r>
      <w:r w:rsidRPr="000526BE">
        <w:rPr>
          <w:rFonts w:ascii="Arial Narrow" w:hAnsi="Arial Narrow"/>
          <w:sz w:val="18"/>
          <w:szCs w:val="18"/>
        </w:rPr>
        <w:t>Scenario where pertuzumab is not PBS-subsidised</w:t>
      </w:r>
      <w:r w:rsidR="00B0387A" w:rsidRPr="000526BE">
        <w:rPr>
          <w:rFonts w:ascii="Arial Narrow" w:hAnsi="Arial Narrow"/>
          <w:sz w:val="18"/>
          <w:szCs w:val="18"/>
        </w:rPr>
        <w:t>, per footnote to Table 2 of the pre-PBAC response</w:t>
      </w:r>
    </w:p>
    <w:p w:rsidR="00AD4321" w:rsidRPr="000526BE" w:rsidRDefault="00670455" w:rsidP="00670455">
      <w:pPr>
        <w:pStyle w:val="ListParagraph"/>
        <w:numPr>
          <w:ilvl w:val="1"/>
          <w:numId w:val="2"/>
        </w:numPr>
      </w:pPr>
      <w:r w:rsidRPr="000526BE">
        <w:t xml:space="preserve">Table </w:t>
      </w:r>
      <w:r w:rsidR="004E7837">
        <w:t>18</w:t>
      </w:r>
      <w:r w:rsidRPr="000526BE">
        <w:t xml:space="preserve"> summarises the estimated use and financial implications proposed by </w:t>
      </w:r>
      <w:r w:rsidR="00B0387A" w:rsidRPr="000526BE">
        <w:t xml:space="preserve">the </w:t>
      </w:r>
      <w:r w:rsidRPr="000526BE">
        <w:t>pre-PBAC response and agreed by PBAC (however, the PBAC considered that further cost-offsets are required, as di</w:t>
      </w:r>
      <w:r w:rsidR="00D77E4F" w:rsidRPr="000526BE">
        <w:t>s</w:t>
      </w:r>
      <w:r w:rsidRPr="000526BE">
        <w:t>cussed below).</w:t>
      </w:r>
    </w:p>
    <w:p w:rsidR="00670455" w:rsidRPr="000526BE" w:rsidRDefault="004E7837" w:rsidP="00B0387A">
      <w:pPr>
        <w:pStyle w:val="PBACHeading1"/>
        <w:keepNext/>
        <w:keepLines/>
        <w:numPr>
          <w:ilvl w:val="0"/>
          <w:numId w:val="0"/>
        </w:numPr>
        <w:rPr>
          <w:rFonts w:ascii="Arial Narrow" w:hAnsi="Arial Narrow" w:cs="Arial Narrow"/>
          <w:bCs/>
          <w:snapToGrid/>
          <w:sz w:val="20"/>
        </w:rPr>
      </w:pPr>
      <w:r>
        <w:rPr>
          <w:rFonts w:ascii="Arial Narrow" w:hAnsi="Arial Narrow" w:cs="Arial Narrow"/>
          <w:bCs/>
          <w:snapToGrid/>
          <w:sz w:val="20"/>
        </w:rPr>
        <w:t>Table 18</w:t>
      </w:r>
      <w:r w:rsidR="00670455" w:rsidRPr="000526BE">
        <w:rPr>
          <w:rFonts w:ascii="Arial Narrow" w:hAnsi="Arial Narrow" w:cs="Arial Narrow"/>
          <w:bCs/>
          <w:snapToGrid/>
          <w:sz w:val="20"/>
        </w:rPr>
        <w:t>: Estimated use and financial implications proposed by pre-PBAC response and agreed by PBAC</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21"/>
        <w:gridCol w:w="1124"/>
        <w:gridCol w:w="1169"/>
        <w:gridCol w:w="1088"/>
        <w:gridCol w:w="1169"/>
        <w:gridCol w:w="1110"/>
      </w:tblGrid>
      <w:tr w:rsidR="00670455" w:rsidRPr="000526BE" w:rsidTr="00374ECB">
        <w:trPr>
          <w:trHeight w:val="315"/>
        </w:trPr>
        <w:tc>
          <w:tcPr>
            <w:tcW w:w="2410" w:type="dxa"/>
            <w:shd w:val="clear" w:color="auto" w:fill="auto"/>
            <w:vAlign w:val="center"/>
            <w:hideMark/>
          </w:tcPr>
          <w:p w:rsidR="00670455" w:rsidRPr="000526BE" w:rsidRDefault="00670455" w:rsidP="00B0387A">
            <w:pPr>
              <w:keepNext/>
              <w:keepLines/>
              <w:jc w:val="left"/>
              <w:rPr>
                <w:rFonts w:ascii="Arial Narrow" w:hAnsi="Arial Narrow"/>
                <w:snapToGrid/>
                <w:color w:val="000000"/>
                <w:sz w:val="20"/>
                <w:szCs w:val="20"/>
                <w:lang w:eastAsia="en-AU"/>
              </w:rPr>
            </w:pPr>
            <w:r w:rsidRPr="000526BE">
              <w:rPr>
                <w:rFonts w:ascii="Arial Narrow" w:hAnsi="Arial Narrow"/>
                <w:snapToGrid/>
                <w:color w:val="000000"/>
                <w:sz w:val="20"/>
                <w:szCs w:val="20"/>
                <w:lang w:eastAsia="en-AU"/>
              </w:rPr>
              <w:t> </w:t>
            </w:r>
          </w:p>
        </w:tc>
        <w:tc>
          <w:tcPr>
            <w:tcW w:w="1134"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1</w:t>
            </w:r>
          </w:p>
        </w:tc>
        <w:tc>
          <w:tcPr>
            <w:tcW w:w="1134"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2</w:t>
            </w:r>
          </w:p>
        </w:tc>
        <w:tc>
          <w:tcPr>
            <w:tcW w:w="1134"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3</w:t>
            </w:r>
          </w:p>
        </w:tc>
        <w:tc>
          <w:tcPr>
            <w:tcW w:w="1093"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4</w:t>
            </w:r>
          </w:p>
        </w:tc>
        <w:tc>
          <w:tcPr>
            <w:tcW w:w="1083"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5</w:t>
            </w:r>
          </w:p>
        </w:tc>
        <w:tc>
          <w:tcPr>
            <w:tcW w:w="1083" w:type="dxa"/>
            <w:shd w:val="clear" w:color="auto" w:fill="auto"/>
            <w:vAlign w:val="center"/>
            <w:hideMark/>
          </w:tcPr>
          <w:p w:rsidR="00670455" w:rsidRPr="000526BE" w:rsidRDefault="00670455" w:rsidP="00B0387A">
            <w:pPr>
              <w:keepNext/>
              <w:keepLines/>
              <w:jc w:val="center"/>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Year 6</w:t>
            </w:r>
          </w:p>
        </w:tc>
      </w:tr>
      <w:tr w:rsidR="00670455" w:rsidRPr="000526BE" w:rsidTr="00374ECB">
        <w:trPr>
          <w:trHeight w:val="315"/>
        </w:trPr>
        <w:tc>
          <w:tcPr>
            <w:tcW w:w="9071" w:type="dxa"/>
            <w:gridSpan w:val="7"/>
            <w:shd w:val="clear" w:color="auto" w:fill="auto"/>
            <w:vAlign w:val="center"/>
            <w:hideMark/>
          </w:tcPr>
          <w:p w:rsidR="00670455" w:rsidRPr="000526BE" w:rsidRDefault="00670455" w:rsidP="00B0387A">
            <w:pPr>
              <w:keepNext/>
              <w:keepLines/>
              <w:jc w:val="left"/>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Estimated financial implications of T-DM1</w:t>
            </w:r>
          </w:p>
        </w:tc>
      </w:tr>
      <w:tr w:rsidR="00B0387A" w:rsidRPr="000526BE" w:rsidTr="00374ECB">
        <w:trPr>
          <w:trHeight w:val="525"/>
        </w:trPr>
        <w:tc>
          <w:tcPr>
            <w:tcW w:w="2410" w:type="dxa"/>
            <w:shd w:val="clear" w:color="auto" w:fill="auto"/>
            <w:vAlign w:val="center"/>
            <w:hideMark/>
          </w:tcPr>
          <w:p w:rsidR="00B0387A" w:rsidRPr="000526BE" w:rsidRDefault="00B0387A" w:rsidP="00B0387A">
            <w:pPr>
              <w:keepNext/>
              <w:keepLines/>
              <w:jc w:val="left"/>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Cost to PBS/RPBS less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93" w:type="dxa"/>
            <w:tcBorders>
              <w:top w:val="single" w:sz="4" w:space="0" w:color="auto"/>
              <w:left w:val="nil"/>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auto"/>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r>
      <w:tr w:rsidR="00670455" w:rsidRPr="000526BE" w:rsidTr="00374ECB">
        <w:trPr>
          <w:trHeight w:val="315"/>
        </w:trPr>
        <w:tc>
          <w:tcPr>
            <w:tcW w:w="9071" w:type="dxa"/>
            <w:gridSpan w:val="7"/>
            <w:shd w:val="clear" w:color="auto" w:fill="auto"/>
            <w:vAlign w:val="center"/>
            <w:hideMark/>
          </w:tcPr>
          <w:p w:rsidR="00670455" w:rsidRPr="000526BE" w:rsidRDefault="00670455" w:rsidP="008F3FEB">
            <w:pPr>
              <w:keepNext/>
              <w:keepLines/>
              <w:jc w:val="left"/>
              <w:rPr>
                <w:rFonts w:ascii="Arial Narrow" w:hAnsi="Arial Narrow"/>
                <w:b/>
                <w:bCs/>
                <w:snapToGrid/>
                <w:color w:val="000000"/>
                <w:sz w:val="20"/>
                <w:szCs w:val="20"/>
                <w:lang w:eastAsia="en-AU"/>
              </w:rPr>
            </w:pPr>
            <w:r w:rsidRPr="000526BE">
              <w:rPr>
                <w:rFonts w:ascii="Arial Narrow" w:hAnsi="Arial Narrow"/>
                <w:b/>
                <w:bCs/>
                <w:snapToGrid/>
                <w:color w:val="000000"/>
                <w:sz w:val="20"/>
                <w:szCs w:val="20"/>
                <w:lang w:eastAsia="en-AU"/>
              </w:rPr>
              <w:t>Estimated financial implications for trastuzumab (comparator subs</w:t>
            </w:r>
            <w:r w:rsidR="008F3FEB" w:rsidRPr="000526BE">
              <w:rPr>
                <w:rFonts w:ascii="Arial Narrow" w:hAnsi="Arial Narrow"/>
                <w:b/>
                <w:bCs/>
                <w:snapToGrid/>
                <w:color w:val="000000"/>
                <w:sz w:val="20"/>
                <w:szCs w:val="20"/>
                <w:lang w:eastAsia="en-AU"/>
              </w:rPr>
              <w:t>t</w:t>
            </w:r>
            <w:r w:rsidRPr="000526BE">
              <w:rPr>
                <w:rFonts w:ascii="Arial Narrow" w:hAnsi="Arial Narrow"/>
                <w:b/>
                <w:bCs/>
                <w:snapToGrid/>
                <w:color w:val="000000"/>
                <w:sz w:val="20"/>
                <w:szCs w:val="20"/>
                <w:lang w:eastAsia="en-AU"/>
              </w:rPr>
              <w:t>itution costs only, does not account for cost-offsets for reduced use of trastuzumab in mBC)</w:t>
            </w:r>
          </w:p>
        </w:tc>
      </w:tr>
      <w:tr w:rsidR="00B0387A" w:rsidRPr="000526BE" w:rsidTr="00374ECB">
        <w:trPr>
          <w:trHeight w:val="300"/>
        </w:trPr>
        <w:tc>
          <w:tcPr>
            <w:tcW w:w="2410" w:type="dxa"/>
            <w:shd w:val="clear" w:color="auto" w:fill="auto"/>
            <w:vAlign w:val="center"/>
          </w:tcPr>
          <w:p w:rsidR="00B0387A" w:rsidRPr="000526BE" w:rsidRDefault="00B0387A" w:rsidP="00B0387A">
            <w:pPr>
              <w:keepNext/>
              <w:keepLines/>
              <w:jc w:val="left"/>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Cost to PBS/RPBS less copayments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9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r>
      <w:tr w:rsidR="00670455" w:rsidRPr="000526BE" w:rsidTr="00374ECB">
        <w:trPr>
          <w:trHeight w:val="300"/>
        </w:trPr>
        <w:tc>
          <w:tcPr>
            <w:tcW w:w="9071" w:type="dxa"/>
            <w:gridSpan w:val="7"/>
            <w:shd w:val="clear" w:color="auto" w:fill="auto"/>
            <w:vAlign w:val="center"/>
          </w:tcPr>
          <w:p w:rsidR="00670455" w:rsidRPr="000526BE" w:rsidRDefault="00670455" w:rsidP="00B0387A">
            <w:pPr>
              <w:keepNext/>
              <w:keepLines/>
              <w:jc w:val="left"/>
              <w:rPr>
                <w:rFonts w:ascii="Arial Narrow" w:hAnsi="Arial Narrow"/>
                <w:b/>
                <w:snapToGrid/>
                <w:color w:val="000000"/>
                <w:sz w:val="20"/>
                <w:szCs w:val="20"/>
                <w:lang w:eastAsia="en-AU"/>
              </w:rPr>
            </w:pPr>
            <w:r w:rsidRPr="000526BE">
              <w:rPr>
                <w:rFonts w:ascii="Arial Narrow" w:hAnsi="Arial Narrow"/>
                <w:b/>
                <w:sz w:val="20"/>
                <w:szCs w:val="20"/>
              </w:rPr>
              <w:t>Net financial implications no copayments</w:t>
            </w:r>
          </w:p>
        </w:tc>
      </w:tr>
      <w:tr w:rsidR="00B0387A" w:rsidRPr="000526BE" w:rsidTr="00374ECB">
        <w:trPr>
          <w:trHeight w:val="300"/>
        </w:trPr>
        <w:tc>
          <w:tcPr>
            <w:tcW w:w="2410" w:type="dxa"/>
            <w:shd w:val="clear" w:color="auto" w:fill="auto"/>
            <w:vAlign w:val="center"/>
          </w:tcPr>
          <w:p w:rsidR="00B0387A" w:rsidRPr="000526BE" w:rsidRDefault="00B0387A" w:rsidP="00B0387A">
            <w:pPr>
              <w:keepNext/>
              <w:keepLines/>
              <w:jc w:val="left"/>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Net cost to PBS/RPBS</w:t>
            </w:r>
          </w:p>
        </w:tc>
        <w:tc>
          <w:tcPr>
            <w:tcW w:w="1134"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93"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r>
      <w:tr w:rsidR="00B0387A" w:rsidRPr="000526BE" w:rsidTr="00374ECB">
        <w:trPr>
          <w:trHeight w:val="300"/>
        </w:trPr>
        <w:tc>
          <w:tcPr>
            <w:tcW w:w="2410" w:type="dxa"/>
            <w:shd w:val="clear" w:color="auto" w:fill="auto"/>
            <w:vAlign w:val="center"/>
          </w:tcPr>
          <w:p w:rsidR="00B0387A" w:rsidRPr="000526BE" w:rsidRDefault="00B0387A" w:rsidP="00B0387A">
            <w:pPr>
              <w:keepNext/>
              <w:keepLines/>
              <w:jc w:val="left"/>
              <w:rPr>
                <w:rFonts w:ascii="Arial Narrow" w:hAnsi="Arial Narrow"/>
                <w:snapToGrid/>
                <w:color w:val="000000"/>
                <w:sz w:val="19"/>
                <w:szCs w:val="19"/>
                <w:vertAlign w:val="superscript"/>
                <w:lang w:eastAsia="en-AU"/>
              </w:rPr>
            </w:pPr>
            <w:r w:rsidRPr="000526BE">
              <w:rPr>
                <w:rFonts w:ascii="Arial Narrow" w:hAnsi="Arial Narrow"/>
                <w:snapToGrid/>
                <w:color w:val="000000"/>
                <w:sz w:val="19"/>
                <w:szCs w:val="19"/>
                <w:lang w:eastAsia="en-AU"/>
              </w:rPr>
              <w:t xml:space="preserve">Net cost to MBS/PBS/RPBS </w:t>
            </w:r>
            <w:r w:rsidRPr="000526BE">
              <w:rPr>
                <w:rFonts w:ascii="Arial Narrow" w:hAnsi="Arial Narrow"/>
                <w:snapToGrid/>
                <w:color w:val="000000"/>
                <w:sz w:val="19"/>
                <w:szCs w:val="19"/>
                <w:vertAlign w:val="superscript"/>
                <w:lang w:eastAsia="en-AU"/>
              </w:rPr>
              <w:t>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9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c>
          <w:tcPr>
            <w:tcW w:w="1083" w:type="dxa"/>
            <w:tcBorders>
              <w:top w:val="single" w:sz="4" w:space="0" w:color="auto"/>
              <w:left w:val="nil"/>
              <w:bottom w:val="single" w:sz="4" w:space="0" w:color="auto"/>
              <w:right w:val="single" w:sz="4" w:space="0" w:color="auto"/>
            </w:tcBorders>
            <w:shd w:val="clear" w:color="auto" w:fill="FFFFFF" w:themeFill="background1"/>
            <w:vAlign w:val="center"/>
          </w:tcPr>
          <w:p w:rsidR="00B0387A" w:rsidRPr="000526BE" w:rsidRDefault="00B0387A" w:rsidP="00B0387A">
            <w:pPr>
              <w:keepNext/>
              <w:keepLines/>
              <w:jc w:val="center"/>
              <w:rPr>
                <w:rFonts w:ascii="Arial Narrow" w:hAnsi="Arial Narrow"/>
                <w:snapToGrid/>
                <w:color w:val="000000"/>
                <w:sz w:val="19"/>
                <w:szCs w:val="19"/>
                <w:lang w:eastAsia="en-AU"/>
              </w:rPr>
            </w:pPr>
            <w:r w:rsidRPr="000526BE">
              <w:rPr>
                <w:rFonts w:ascii="Arial Narrow" w:hAnsi="Arial Narrow"/>
                <w:snapToGrid/>
                <w:color w:val="000000"/>
                <w:sz w:val="19"/>
                <w:szCs w:val="19"/>
                <w:lang w:eastAsia="en-AU"/>
              </w:rPr>
              <w:t>$</w:t>
            </w:r>
            <w:r w:rsidR="00756F83">
              <w:rPr>
                <w:rFonts w:ascii="Arial Narrow" w:hAnsi="Arial Narrow"/>
                <w:noProof/>
                <w:snapToGrid/>
                <w:color w:val="000000"/>
                <w:sz w:val="19"/>
                <w:szCs w:val="19"/>
                <w:highlight w:val="black"/>
                <w:lang w:eastAsia="en-AU"/>
              </w:rPr>
              <w:t>'''''''''''''''''''''''''</w:t>
            </w:r>
            <w:r w:rsidRPr="000526BE">
              <w:rPr>
                <w:rFonts w:ascii="Arial Narrow" w:hAnsi="Arial Narrow"/>
                <w:snapToGrid/>
                <w:color w:val="000000"/>
                <w:sz w:val="19"/>
                <w:szCs w:val="19"/>
                <w:lang w:eastAsia="en-AU"/>
              </w:rPr>
              <w:t xml:space="preserve"> </w:t>
            </w:r>
          </w:p>
        </w:tc>
      </w:tr>
    </w:tbl>
    <w:p w:rsidR="00B0387A" w:rsidRPr="000526BE" w:rsidRDefault="00B0387A" w:rsidP="00B0387A">
      <w:pPr>
        <w:pStyle w:val="TableNotes"/>
        <w:rPr>
          <w:rFonts w:ascii="Arial Narrow" w:hAnsi="Arial Narrow"/>
        </w:rPr>
      </w:pPr>
      <w:r w:rsidRPr="000526BE">
        <w:rPr>
          <w:rFonts w:ascii="Arial Narrow" w:hAnsi="Arial Narrow"/>
        </w:rPr>
        <w:t>Source: Table 2, p2 of Pre-PBAC response and revised Utilisation and cost model</w:t>
      </w:r>
    </w:p>
    <w:p w:rsidR="00B0387A" w:rsidRPr="000526BE" w:rsidRDefault="00B0387A" w:rsidP="00B0387A">
      <w:pPr>
        <w:rPr>
          <w:rFonts w:ascii="Arial Narrow" w:hAnsi="Arial Narrow"/>
          <w:sz w:val="18"/>
          <w:szCs w:val="18"/>
        </w:rPr>
      </w:pPr>
      <w:r w:rsidRPr="000526BE">
        <w:rPr>
          <w:rFonts w:ascii="Arial Narrow" w:hAnsi="Arial Narrow"/>
          <w:sz w:val="18"/>
          <w:szCs w:val="18"/>
          <w:vertAlign w:val="superscript"/>
        </w:rPr>
        <w:t xml:space="preserve">a </w:t>
      </w:r>
      <w:r w:rsidRPr="000526BE">
        <w:rPr>
          <w:rFonts w:ascii="Arial Narrow" w:hAnsi="Arial Narrow"/>
          <w:sz w:val="18"/>
          <w:szCs w:val="18"/>
        </w:rPr>
        <w:t>Scenario where pertuzumab is not PBS-subsidised, per footnote to Table 2 of the pre-PBAC response (‘Market model’ worksheet Row 18 was changed to 20%)</w:t>
      </w:r>
    </w:p>
    <w:p w:rsidR="00B0387A" w:rsidRPr="000526BE" w:rsidRDefault="00B0387A" w:rsidP="00B0387A">
      <w:pPr>
        <w:spacing w:after="240"/>
        <w:rPr>
          <w:rFonts w:ascii="Arial Narrow" w:hAnsi="Arial Narrow"/>
          <w:sz w:val="18"/>
          <w:szCs w:val="18"/>
        </w:rPr>
      </w:pPr>
      <w:r w:rsidRPr="000526BE">
        <w:rPr>
          <w:rFonts w:ascii="Arial Narrow" w:hAnsi="Arial Narrow"/>
          <w:sz w:val="18"/>
          <w:szCs w:val="18"/>
          <w:vertAlign w:val="superscript"/>
        </w:rPr>
        <w:t xml:space="preserve">b </w:t>
      </w:r>
      <w:r w:rsidRPr="000526BE">
        <w:rPr>
          <w:rFonts w:ascii="Arial Narrow" w:hAnsi="Arial Narrow"/>
          <w:sz w:val="18"/>
          <w:szCs w:val="18"/>
        </w:rPr>
        <w:t>‘8. Net cost to Govt’ worksheet Row 17 was amended to reference '6. Net changes - MBS'!C77</w:t>
      </w:r>
    </w:p>
    <w:p w:rsidR="00923974" w:rsidRDefault="00923974" w:rsidP="00870AE9">
      <w:pPr>
        <w:widowControl/>
      </w:pPr>
      <w:r>
        <w:t xml:space="preserve">The redacted table shows that at Year 6 the estimated net cost to the PBS/RPBS was $10 - $20 million. </w:t>
      </w:r>
    </w:p>
    <w:p w:rsidR="00923974" w:rsidRPr="00923974" w:rsidRDefault="00923974" w:rsidP="00923974">
      <w:pPr>
        <w:widowControl/>
        <w:rPr>
          <w:iCs/>
        </w:rPr>
      </w:pPr>
    </w:p>
    <w:p w:rsidR="00692560" w:rsidRPr="000526BE" w:rsidRDefault="001E3EFF" w:rsidP="00411ADD">
      <w:pPr>
        <w:pStyle w:val="ListParagraph"/>
        <w:widowControl/>
        <w:numPr>
          <w:ilvl w:val="1"/>
          <w:numId w:val="2"/>
        </w:numPr>
        <w:rPr>
          <w:iCs/>
        </w:rPr>
      </w:pPr>
      <w:r w:rsidRPr="000526BE">
        <w:t xml:space="preserve">The PBAC noted that cost offsets </w:t>
      </w:r>
      <w:r w:rsidR="00A92E0E" w:rsidRPr="000526BE">
        <w:t xml:space="preserve">(for pertuzumab, trastuzumab and T-DM1) </w:t>
      </w:r>
      <w:r w:rsidRPr="000526BE">
        <w:t xml:space="preserve">were included in the economic model for subsequent treatments due to </w:t>
      </w:r>
      <w:r w:rsidR="00A92E0E" w:rsidRPr="000526BE">
        <w:t xml:space="preserve">a </w:t>
      </w:r>
      <w:r w:rsidRPr="000526BE">
        <w:t xml:space="preserve">reduction </w:t>
      </w:r>
      <w:r w:rsidR="00A92E0E" w:rsidRPr="000526BE">
        <w:t xml:space="preserve">in </w:t>
      </w:r>
      <w:r w:rsidRPr="000526BE">
        <w:t>metastatic disease</w:t>
      </w:r>
      <w:r w:rsidR="00A92E0E" w:rsidRPr="000526BE">
        <w:t>, including</w:t>
      </w:r>
      <w:r w:rsidRPr="000526BE">
        <w:t xml:space="preserve"> within the first 6 years. However, the</w:t>
      </w:r>
      <w:r w:rsidR="00DE199B" w:rsidRPr="000526BE">
        <w:t>se</w:t>
      </w:r>
      <w:r w:rsidRPr="000526BE">
        <w:t xml:space="preserve"> cost offsets were not included in the financial estimates. </w:t>
      </w:r>
      <w:r w:rsidR="003B3C19" w:rsidRPr="000526BE">
        <w:t>The PBAC noted that most recurrences occur within 5 years after adjuvant therapy, the vast majority being distant recurrences</w:t>
      </w:r>
      <w:r w:rsidR="00C6409E" w:rsidRPr="000526BE">
        <w:t xml:space="preserve">, as shown in the HERA </w:t>
      </w:r>
      <w:r w:rsidR="007E3DDF">
        <w:t xml:space="preserve">and KATHERINE </w:t>
      </w:r>
      <w:r w:rsidR="00C6409E" w:rsidRPr="000526BE">
        <w:t>trial</w:t>
      </w:r>
      <w:r w:rsidR="007E3DDF">
        <w:t>s</w:t>
      </w:r>
      <w:r w:rsidR="003B3C19" w:rsidRPr="000526BE">
        <w:t xml:space="preserve">. For patients treated with trastuzumab and pertuzumab in the first line mBC setting the median PFS from CLEOPATRA was 18.7 months. As such, the PBAC considered that most patients with recurrence would progress to second-line treatment with T-DM1 within 6 years after adjuvant therapy. </w:t>
      </w:r>
      <w:r w:rsidR="00A92E0E" w:rsidRPr="000526BE">
        <w:t xml:space="preserve">The PBAC considered that cost offsets for pertuzumab, trastuzumab and T-DM1 should be included in the financial estimates consistent with the cost offsets estimated in the economic model. </w:t>
      </w:r>
    </w:p>
    <w:p w:rsidR="00A54F1C" w:rsidRPr="000526BE" w:rsidRDefault="00A54F1C" w:rsidP="00692560">
      <w:pPr>
        <w:pStyle w:val="Heading2"/>
      </w:pPr>
      <w:bookmarkStart w:id="16" w:name="_Toc19626601"/>
      <w:r w:rsidRPr="000526BE">
        <w:t>Quality Use of Medicines</w:t>
      </w:r>
      <w:bookmarkEnd w:id="16"/>
    </w:p>
    <w:p w:rsidR="00A54F1C" w:rsidRPr="000526BE" w:rsidRDefault="00A54F1C" w:rsidP="00A04F7D">
      <w:pPr>
        <w:pStyle w:val="ListParagraph"/>
        <w:widowControl/>
        <w:numPr>
          <w:ilvl w:val="1"/>
          <w:numId w:val="2"/>
        </w:numPr>
      </w:pPr>
      <w:r w:rsidRPr="000526BE">
        <w:t>The submission did not present a discussion of the quality use of medicines associated with the listing of T-DM1.</w:t>
      </w:r>
      <w:r w:rsidR="00A04F7D" w:rsidRPr="000526BE">
        <w:t xml:space="preserve"> </w:t>
      </w:r>
    </w:p>
    <w:p w:rsidR="00A54F1C" w:rsidRPr="000526BE" w:rsidRDefault="00A54F1C" w:rsidP="00A54F1C">
      <w:pPr>
        <w:pStyle w:val="Heading2"/>
      </w:pPr>
      <w:bookmarkStart w:id="17" w:name="_Toc19626602"/>
      <w:r w:rsidRPr="000526BE">
        <w:t>Financial Management – Risk Sharing Arrangements</w:t>
      </w:r>
      <w:bookmarkEnd w:id="17"/>
    </w:p>
    <w:p w:rsidR="00A04F7D" w:rsidRPr="000526BE" w:rsidRDefault="00A54F1C" w:rsidP="007A7EF7">
      <w:pPr>
        <w:pStyle w:val="ListParagraph"/>
        <w:widowControl/>
        <w:numPr>
          <w:ilvl w:val="1"/>
          <w:numId w:val="2"/>
        </w:numPr>
        <w:rPr>
          <w:rFonts w:eastAsia="Calibri"/>
        </w:rPr>
      </w:pPr>
      <w:r w:rsidRPr="000526BE">
        <w:rPr>
          <w:iCs/>
        </w:rPr>
        <w:t>The submission did not propose any risk sharing arrangements</w:t>
      </w:r>
      <w:r w:rsidR="0036312F" w:rsidRPr="000526BE">
        <w:rPr>
          <w:iCs/>
        </w:rPr>
        <w:t xml:space="preserve"> (RSA)</w:t>
      </w:r>
      <w:r w:rsidRPr="000526BE">
        <w:rPr>
          <w:iCs/>
        </w:rPr>
        <w:t xml:space="preserve">. There are caps in place for pertuzumab and T-DM1. The pertuzumab cap is being consistently exceeded (by approximately </w:t>
      </w:r>
      <w:r w:rsidR="00756F83">
        <w:rPr>
          <w:iCs/>
          <w:noProof/>
          <w:color w:val="000000"/>
          <w:highlight w:val="black"/>
        </w:rPr>
        <w:t>'''''</w:t>
      </w:r>
      <w:r w:rsidR="00111A32" w:rsidRPr="000526BE">
        <w:rPr>
          <w:iCs/>
        </w:rPr>
        <w:t>%</w:t>
      </w:r>
      <w:r w:rsidRPr="000526BE">
        <w:rPr>
          <w:iCs/>
        </w:rPr>
        <w:t xml:space="preserve"> in the most recent deed year), but the T-DM1 caps are not being reached.</w:t>
      </w:r>
      <w:r w:rsidR="0036312F" w:rsidRPr="000526BE">
        <w:rPr>
          <w:iCs/>
        </w:rPr>
        <w:t xml:space="preserve"> The PBAC </w:t>
      </w:r>
      <w:r w:rsidR="00DE199B" w:rsidRPr="000526BE">
        <w:rPr>
          <w:iCs/>
        </w:rPr>
        <w:t>consider</w:t>
      </w:r>
      <w:r w:rsidR="00420041" w:rsidRPr="000526BE">
        <w:rPr>
          <w:iCs/>
        </w:rPr>
        <w:t xml:space="preserve">ed </w:t>
      </w:r>
      <w:r w:rsidR="0036312F" w:rsidRPr="000526BE">
        <w:rPr>
          <w:iCs/>
        </w:rPr>
        <w:t xml:space="preserve">that </w:t>
      </w:r>
      <w:r w:rsidR="00784D55" w:rsidRPr="000526BE">
        <w:rPr>
          <w:iCs/>
        </w:rPr>
        <w:t xml:space="preserve">an RSA </w:t>
      </w:r>
      <w:r w:rsidR="007F2E58" w:rsidRPr="000526BE">
        <w:rPr>
          <w:iCs/>
        </w:rPr>
        <w:t xml:space="preserve">would be required </w:t>
      </w:r>
      <w:r w:rsidR="00784D55" w:rsidRPr="000526BE">
        <w:rPr>
          <w:iCs/>
        </w:rPr>
        <w:t>to manage the uncertainties with the financial estimates</w:t>
      </w:r>
      <w:r w:rsidR="00CE520E" w:rsidRPr="000526BE">
        <w:rPr>
          <w:iCs/>
        </w:rPr>
        <w:t xml:space="preserve">, with </w:t>
      </w:r>
      <w:r w:rsidR="00756F83">
        <w:rPr>
          <w:iCs/>
          <w:noProof/>
          <w:color w:val="000000"/>
          <w:highlight w:val="black"/>
        </w:rPr>
        <w:t>'''''''</w:t>
      </w:r>
      <w:r w:rsidR="00CE520E" w:rsidRPr="00870AE9">
        <w:rPr>
          <w:iCs/>
        </w:rPr>
        <w:t>%</w:t>
      </w:r>
      <w:r w:rsidR="00CE520E" w:rsidRPr="000526BE">
        <w:rPr>
          <w:iCs/>
        </w:rPr>
        <w:t xml:space="preserve"> rebates beyond estimated use. The PBAC noted that the cost-effectiveness analysis assumed cost offsets for reduced use of T</w:t>
      </w:r>
      <w:r w:rsidR="00692560" w:rsidRPr="000526BE">
        <w:rPr>
          <w:iCs/>
        </w:rPr>
        <w:t>-</w:t>
      </w:r>
      <w:r w:rsidR="00CE520E" w:rsidRPr="000526BE">
        <w:rPr>
          <w:iCs/>
        </w:rPr>
        <w:t>DM1</w:t>
      </w:r>
      <w:r w:rsidR="00DE199B" w:rsidRPr="000526BE">
        <w:rPr>
          <w:iCs/>
        </w:rPr>
        <w:t xml:space="preserve"> and pertuzumab</w:t>
      </w:r>
      <w:r w:rsidR="00CE520E" w:rsidRPr="000526BE">
        <w:rPr>
          <w:iCs/>
        </w:rPr>
        <w:t xml:space="preserve"> in the mBC setting due to fewer patients progressing to metastatic disease. </w:t>
      </w:r>
      <w:r w:rsidR="007A7EF7" w:rsidRPr="000526BE">
        <w:rPr>
          <w:iCs/>
        </w:rPr>
        <w:t>To ensure the modelled cost-offsets are realised, the PBAC considered that it would be appropriate to reduce the T-DM1 and pertuzumab expenditure caps in the mBC setting. The PBAC considered the assumptions and outputs from the economic model for subsequent treatments were appropriate to determine the reduction in the mBC expenditure caps required.</w:t>
      </w:r>
    </w:p>
    <w:p w:rsidR="00481564" w:rsidRPr="000526BE" w:rsidRDefault="00481564" w:rsidP="00A04F7D">
      <w:pPr>
        <w:pStyle w:val="ListParagraph"/>
        <w:widowControl/>
        <w:rPr>
          <w:rFonts w:eastAsia="Calibri"/>
          <w:i/>
        </w:rPr>
      </w:pPr>
      <w:r w:rsidRPr="000526BE">
        <w:rPr>
          <w:rFonts w:asciiTheme="minorHAnsi" w:hAnsiTheme="minorHAnsi"/>
          <w:i/>
        </w:rPr>
        <w:t>For more detail on PBAC’s view, see section 7 PBAC outcome.</w:t>
      </w:r>
    </w:p>
    <w:p w:rsidR="00A54F1C" w:rsidRPr="000526BE" w:rsidRDefault="00A54F1C" w:rsidP="00A54F1C">
      <w:pPr>
        <w:keepNext/>
        <w:numPr>
          <w:ilvl w:val="0"/>
          <w:numId w:val="2"/>
        </w:numPr>
        <w:spacing w:before="240" w:after="120"/>
        <w:outlineLvl w:val="0"/>
        <w:rPr>
          <w:rFonts w:asciiTheme="minorHAnsi" w:hAnsiTheme="minorHAnsi"/>
          <w:b/>
          <w:bCs/>
          <w:sz w:val="32"/>
        </w:rPr>
      </w:pPr>
      <w:r w:rsidRPr="000526BE">
        <w:rPr>
          <w:rFonts w:asciiTheme="minorHAnsi" w:hAnsiTheme="minorHAnsi"/>
          <w:b/>
          <w:bCs/>
          <w:sz w:val="32"/>
        </w:rPr>
        <w:t>PBAC Outcome</w:t>
      </w:r>
    </w:p>
    <w:p w:rsidR="00A54F1C" w:rsidRPr="000526BE" w:rsidRDefault="00A54F1C" w:rsidP="00F64484">
      <w:pPr>
        <w:numPr>
          <w:ilvl w:val="1"/>
          <w:numId w:val="2"/>
        </w:numPr>
        <w:spacing w:after="120"/>
        <w:rPr>
          <w:rFonts w:asciiTheme="minorHAnsi" w:hAnsiTheme="minorHAnsi"/>
          <w:bCs/>
        </w:rPr>
      </w:pPr>
      <w:r w:rsidRPr="000526BE">
        <w:rPr>
          <w:rFonts w:asciiTheme="minorHAnsi" w:hAnsiTheme="minorHAnsi"/>
          <w:bCs/>
        </w:rPr>
        <w:t xml:space="preserve">The PBAC recommended the listing of </w:t>
      </w:r>
      <w:r w:rsidR="004D18E6" w:rsidRPr="000526BE">
        <w:rPr>
          <w:rFonts w:asciiTheme="minorHAnsi" w:hAnsiTheme="minorHAnsi"/>
          <w:bCs/>
        </w:rPr>
        <w:t xml:space="preserve">T-DM1 for the treatment of adjuvant therapy of patients with </w:t>
      </w:r>
      <w:r w:rsidR="00F94428" w:rsidRPr="000526BE">
        <w:rPr>
          <w:rFonts w:asciiTheme="minorHAnsi" w:hAnsiTheme="minorHAnsi"/>
          <w:bCs/>
        </w:rPr>
        <w:t>HER2</w:t>
      </w:r>
      <w:r w:rsidR="004D18E6" w:rsidRPr="000526BE">
        <w:rPr>
          <w:rFonts w:asciiTheme="minorHAnsi" w:hAnsiTheme="minorHAnsi"/>
          <w:bCs/>
        </w:rPr>
        <w:t xml:space="preserve"> positive </w:t>
      </w:r>
      <w:r w:rsidR="00F94428" w:rsidRPr="000526BE">
        <w:rPr>
          <w:rFonts w:asciiTheme="minorHAnsi" w:hAnsiTheme="minorHAnsi"/>
          <w:bCs/>
        </w:rPr>
        <w:t>eBC</w:t>
      </w:r>
      <w:r w:rsidR="004D18E6" w:rsidRPr="000526BE">
        <w:rPr>
          <w:rFonts w:asciiTheme="minorHAnsi" w:hAnsiTheme="minorHAnsi"/>
          <w:bCs/>
        </w:rPr>
        <w:t xml:space="preserve"> with residual disease following HER2-targeted neoadjuvant therapy that included trastuzumab and taxane-based chemotherapy.</w:t>
      </w:r>
      <w:r w:rsidRPr="000526BE">
        <w:rPr>
          <w:rFonts w:asciiTheme="minorHAnsi" w:hAnsiTheme="minorHAnsi"/>
          <w:bCs/>
        </w:rPr>
        <w:t xml:space="preserve"> </w:t>
      </w:r>
      <w:r w:rsidR="00972BFC" w:rsidRPr="000526BE">
        <w:rPr>
          <w:rFonts w:asciiTheme="minorHAnsi" w:hAnsiTheme="minorHAnsi"/>
          <w:bCs/>
        </w:rPr>
        <w:t>The PBAC acknowledged the high clinical need</w:t>
      </w:r>
      <w:r w:rsidR="00F60F52" w:rsidRPr="000526BE">
        <w:rPr>
          <w:rFonts w:asciiTheme="minorHAnsi" w:hAnsiTheme="minorHAnsi"/>
          <w:bCs/>
        </w:rPr>
        <w:t xml:space="preserve"> of</w:t>
      </w:r>
      <w:r w:rsidR="00972BFC" w:rsidRPr="000526BE">
        <w:rPr>
          <w:rFonts w:asciiTheme="minorHAnsi" w:hAnsiTheme="minorHAnsi"/>
          <w:bCs/>
        </w:rPr>
        <w:t xml:space="preserve"> </w:t>
      </w:r>
      <w:r w:rsidR="00A23BF7" w:rsidRPr="000526BE">
        <w:rPr>
          <w:rFonts w:asciiTheme="minorHAnsi" w:hAnsiTheme="minorHAnsi"/>
          <w:bCs/>
        </w:rPr>
        <w:t xml:space="preserve">patients in this population. </w:t>
      </w:r>
      <w:r w:rsidRPr="000526BE">
        <w:rPr>
          <w:rFonts w:asciiTheme="minorHAnsi" w:hAnsiTheme="minorHAnsi"/>
          <w:bCs/>
        </w:rPr>
        <w:t xml:space="preserve">The PBAC is satisfied that </w:t>
      </w:r>
      <w:r w:rsidR="004D18E6" w:rsidRPr="000526BE">
        <w:rPr>
          <w:rFonts w:asciiTheme="minorHAnsi" w:hAnsiTheme="minorHAnsi"/>
          <w:bCs/>
        </w:rPr>
        <w:t>T-DM1</w:t>
      </w:r>
      <w:r w:rsidRPr="000526BE">
        <w:rPr>
          <w:rFonts w:asciiTheme="minorHAnsi" w:hAnsiTheme="minorHAnsi"/>
          <w:bCs/>
        </w:rPr>
        <w:t xml:space="preserve"> provides, for some pati</w:t>
      </w:r>
      <w:r w:rsidR="00F64484" w:rsidRPr="000526BE">
        <w:rPr>
          <w:rFonts w:asciiTheme="minorHAnsi" w:hAnsiTheme="minorHAnsi"/>
          <w:bCs/>
        </w:rPr>
        <w:t>ents, a significant improvement</w:t>
      </w:r>
      <w:r w:rsidR="00ED54F4" w:rsidRPr="000526BE">
        <w:rPr>
          <w:rFonts w:asciiTheme="minorHAnsi" w:hAnsiTheme="minorHAnsi"/>
          <w:bCs/>
        </w:rPr>
        <w:t xml:space="preserve"> in</w:t>
      </w:r>
      <w:r w:rsidR="00F64484" w:rsidRPr="000526BE">
        <w:rPr>
          <w:rFonts w:asciiTheme="minorHAnsi" w:hAnsiTheme="minorHAnsi"/>
          <w:bCs/>
        </w:rPr>
        <w:t xml:space="preserve"> </w:t>
      </w:r>
      <w:r w:rsidR="00F94428" w:rsidRPr="000526BE">
        <w:rPr>
          <w:rFonts w:asciiTheme="minorHAnsi" w:hAnsiTheme="minorHAnsi"/>
          <w:bCs/>
        </w:rPr>
        <w:t>iDFS</w:t>
      </w:r>
      <w:r w:rsidR="00F64484" w:rsidRPr="000526BE">
        <w:rPr>
          <w:rFonts w:asciiTheme="minorHAnsi" w:hAnsiTheme="minorHAnsi"/>
          <w:bCs/>
        </w:rPr>
        <w:t xml:space="preserve"> </w:t>
      </w:r>
      <w:r w:rsidRPr="000526BE">
        <w:rPr>
          <w:rFonts w:asciiTheme="minorHAnsi" w:hAnsiTheme="minorHAnsi"/>
          <w:bCs/>
        </w:rPr>
        <w:t xml:space="preserve">over </w:t>
      </w:r>
      <w:r w:rsidR="004D18E6" w:rsidRPr="000526BE">
        <w:rPr>
          <w:rFonts w:asciiTheme="minorHAnsi" w:hAnsiTheme="minorHAnsi"/>
          <w:bCs/>
        </w:rPr>
        <w:t>trastuzumab</w:t>
      </w:r>
      <w:r w:rsidRPr="000526BE">
        <w:rPr>
          <w:rFonts w:asciiTheme="minorHAnsi" w:hAnsiTheme="minorHAnsi"/>
          <w:bCs/>
        </w:rPr>
        <w:t>.</w:t>
      </w:r>
      <w:r w:rsidR="00F64484" w:rsidRPr="000526BE">
        <w:rPr>
          <w:rFonts w:asciiTheme="minorHAnsi" w:hAnsiTheme="minorHAnsi"/>
          <w:bCs/>
        </w:rPr>
        <w:t xml:space="preserve"> </w:t>
      </w:r>
      <w:r w:rsidR="00463079" w:rsidRPr="000526BE">
        <w:rPr>
          <w:rFonts w:asciiTheme="minorHAnsi" w:hAnsiTheme="minorHAnsi"/>
          <w:bCs/>
        </w:rPr>
        <w:t xml:space="preserve">Although the data for </w:t>
      </w:r>
      <w:r w:rsidR="00F94428" w:rsidRPr="000526BE">
        <w:rPr>
          <w:rFonts w:asciiTheme="minorHAnsi" w:hAnsiTheme="minorHAnsi"/>
          <w:bCs/>
        </w:rPr>
        <w:t>OS</w:t>
      </w:r>
      <w:r w:rsidR="00463079" w:rsidRPr="000526BE">
        <w:rPr>
          <w:rFonts w:asciiTheme="minorHAnsi" w:hAnsiTheme="minorHAnsi"/>
          <w:bCs/>
        </w:rPr>
        <w:t xml:space="preserve"> w</w:t>
      </w:r>
      <w:r w:rsidR="002637F2" w:rsidRPr="000526BE">
        <w:rPr>
          <w:rFonts w:asciiTheme="minorHAnsi" w:hAnsiTheme="minorHAnsi"/>
          <w:bCs/>
        </w:rPr>
        <w:t>ere</w:t>
      </w:r>
      <w:r w:rsidR="00463079" w:rsidRPr="000526BE">
        <w:rPr>
          <w:rFonts w:asciiTheme="minorHAnsi" w:hAnsiTheme="minorHAnsi"/>
          <w:bCs/>
        </w:rPr>
        <w:t xml:space="preserve"> immature, the PBAC considered that there was moderate certainty that th</w:t>
      </w:r>
      <w:r w:rsidR="00813B5D" w:rsidRPr="000526BE">
        <w:rPr>
          <w:rFonts w:asciiTheme="minorHAnsi" w:hAnsiTheme="minorHAnsi"/>
          <w:bCs/>
        </w:rPr>
        <w:t>e iDFS results</w:t>
      </w:r>
      <w:r w:rsidR="00463079" w:rsidRPr="000526BE">
        <w:rPr>
          <w:rFonts w:asciiTheme="minorHAnsi" w:hAnsiTheme="minorHAnsi"/>
          <w:bCs/>
        </w:rPr>
        <w:t xml:space="preserve"> would translate into OS benefits based on the KATHERINE trial data. </w:t>
      </w:r>
      <w:r w:rsidR="00F64484" w:rsidRPr="000526BE">
        <w:rPr>
          <w:rFonts w:asciiTheme="minorHAnsi" w:hAnsiTheme="minorHAnsi"/>
          <w:bCs/>
        </w:rPr>
        <w:t xml:space="preserve">The PBAC’s recommendation for listing was based on, among other matters, its assessment that the cost-effectiveness of T-DM1 over trastuzumab </w:t>
      </w:r>
      <w:r w:rsidR="00A23BF7" w:rsidRPr="000526BE">
        <w:rPr>
          <w:rFonts w:asciiTheme="minorHAnsi" w:hAnsiTheme="minorHAnsi"/>
          <w:bCs/>
        </w:rPr>
        <w:t>was within an acceptable range.</w:t>
      </w:r>
    </w:p>
    <w:p w:rsidR="008E5061" w:rsidRPr="000526BE" w:rsidRDefault="00ED54F4" w:rsidP="00340FC6">
      <w:pPr>
        <w:numPr>
          <w:ilvl w:val="1"/>
          <w:numId w:val="2"/>
        </w:numPr>
        <w:spacing w:after="120"/>
        <w:rPr>
          <w:rFonts w:asciiTheme="minorHAnsi" w:hAnsiTheme="minorHAnsi"/>
          <w:bCs/>
        </w:rPr>
      </w:pPr>
      <w:r w:rsidRPr="000526BE">
        <w:rPr>
          <w:rFonts w:asciiTheme="minorHAnsi" w:hAnsiTheme="minorHAnsi"/>
          <w:bCs/>
        </w:rPr>
        <w:t>The PBAC acknowledged there was a high c</w:t>
      </w:r>
      <w:r w:rsidR="00A54F1C" w:rsidRPr="000526BE">
        <w:rPr>
          <w:rFonts w:asciiTheme="minorHAnsi" w:hAnsiTheme="minorHAnsi"/>
          <w:bCs/>
        </w:rPr>
        <w:t xml:space="preserve">linical need </w:t>
      </w:r>
      <w:r w:rsidRPr="000526BE">
        <w:rPr>
          <w:rFonts w:asciiTheme="minorHAnsi" w:hAnsiTheme="minorHAnsi"/>
          <w:bCs/>
        </w:rPr>
        <w:t xml:space="preserve">for T-DM1 as adjuvant treatment for the requested patient group who were at a higher risk of recurrence. </w:t>
      </w:r>
      <w:r w:rsidR="00E26B12" w:rsidRPr="000526BE">
        <w:rPr>
          <w:rFonts w:asciiTheme="minorHAnsi" w:hAnsiTheme="minorHAnsi"/>
          <w:bCs/>
        </w:rPr>
        <w:t>The PBAC acknowledged the consumer comments noting the</w:t>
      </w:r>
      <w:r w:rsidR="000D2E6D" w:rsidRPr="000526BE">
        <w:rPr>
          <w:rFonts w:asciiTheme="minorHAnsi" w:hAnsiTheme="minorHAnsi"/>
          <w:bCs/>
        </w:rPr>
        <w:t>y</w:t>
      </w:r>
      <w:r w:rsidR="00E26B12" w:rsidRPr="000526BE">
        <w:rPr>
          <w:rFonts w:asciiTheme="minorHAnsi" w:hAnsiTheme="minorHAnsi"/>
          <w:bCs/>
        </w:rPr>
        <w:t xml:space="preserve"> were</w:t>
      </w:r>
      <w:r w:rsidR="00FA69AA" w:rsidRPr="000526BE">
        <w:rPr>
          <w:rFonts w:asciiTheme="minorHAnsi" w:hAnsiTheme="minorHAnsi"/>
          <w:bCs/>
        </w:rPr>
        <w:t xml:space="preserve"> highly</w:t>
      </w:r>
      <w:r w:rsidR="00E26B12" w:rsidRPr="000526BE">
        <w:rPr>
          <w:rFonts w:asciiTheme="minorHAnsi" w:hAnsiTheme="minorHAnsi"/>
          <w:bCs/>
        </w:rPr>
        <w:t xml:space="preserve"> supportive of </w:t>
      </w:r>
      <w:r w:rsidR="00163E61" w:rsidRPr="000526BE">
        <w:rPr>
          <w:rFonts w:asciiTheme="minorHAnsi" w:hAnsiTheme="minorHAnsi"/>
          <w:bCs/>
        </w:rPr>
        <w:t xml:space="preserve">the evidence provided in the submission. The comments noted that </w:t>
      </w:r>
      <w:r w:rsidR="00B71653" w:rsidRPr="000526BE">
        <w:rPr>
          <w:rFonts w:asciiTheme="minorHAnsi" w:hAnsiTheme="minorHAnsi"/>
          <w:bCs/>
        </w:rPr>
        <w:t xml:space="preserve">the KATHERINE trial provided support for </w:t>
      </w:r>
      <w:r w:rsidR="000D2E6D" w:rsidRPr="000526BE">
        <w:rPr>
          <w:rFonts w:asciiTheme="minorHAnsi" w:hAnsiTheme="minorHAnsi"/>
          <w:bCs/>
        </w:rPr>
        <w:t xml:space="preserve">including </w:t>
      </w:r>
      <w:r w:rsidR="00163E61" w:rsidRPr="000526BE">
        <w:rPr>
          <w:rFonts w:asciiTheme="minorHAnsi" w:hAnsiTheme="minorHAnsi"/>
          <w:bCs/>
        </w:rPr>
        <w:t xml:space="preserve">T-DM1 </w:t>
      </w:r>
      <w:r w:rsidR="000D2E6D" w:rsidRPr="000526BE">
        <w:rPr>
          <w:rFonts w:asciiTheme="minorHAnsi" w:hAnsiTheme="minorHAnsi"/>
          <w:bCs/>
        </w:rPr>
        <w:t>as a</w:t>
      </w:r>
      <w:r w:rsidR="00B71653" w:rsidRPr="000526BE">
        <w:rPr>
          <w:rFonts w:asciiTheme="minorHAnsi" w:hAnsiTheme="minorHAnsi"/>
          <w:bCs/>
        </w:rPr>
        <w:t xml:space="preserve"> new standard of care in patients with residual invasive breast cancer following neoadjuvant therapy</w:t>
      </w:r>
      <w:r w:rsidR="00163E61" w:rsidRPr="000526BE">
        <w:rPr>
          <w:rFonts w:asciiTheme="minorHAnsi" w:hAnsiTheme="minorHAnsi"/>
          <w:bCs/>
        </w:rPr>
        <w:t>.</w:t>
      </w:r>
    </w:p>
    <w:p w:rsidR="009E3DBC" w:rsidRPr="000526BE" w:rsidRDefault="00E75907" w:rsidP="00A00AD4">
      <w:pPr>
        <w:numPr>
          <w:ilvl w:val="1"/>
          <w:numId w:val="2"/>
        </w:numPr>
        <w:spacing w:after="120"/>
        <w:rPr>
          <w:rFonts w:asciiTheme="minorHAnsi" w:hAnsiTheme="minorHAnsi"/>
          <w:bCs/>
        </w:rPr>
      </w:pPr>
      <w:r w:rsidRPr="000526BE">
        <w:rPr>
          <w:rFonts w:asciiTheme="minorHAnsi" w:hAnsiTheme="minorHAnsi"/>
          <w:bCs/>
        </w:rPr>
        <w:t xml:space="preserve">The PBAC considered that the proposed clinical place for T-DM1 was appropriate and was consistent with the KATHERINE trial. </w:t>
      </w:r>
      <w:r w:rsidR="003D368B" w:rsidRPr="000526BE">
        <w:rPr>
          <w:rFonts w:asciiTheme="minorHAnsi" w:hAnsiTheme="minorHAnsi"/>
          <w:bCs/>
        </w:rPr>
        <w:t xml:space="preserve">The PBAC noted that the </w:t>
      </w:r>
      <w:r w:rsidR="007E3DDF">
        <w:rPr>
          <w:rFonts w:asciiTheme="minorHAnsi" w:hAnsiTheme="minorHAnsi"/>
          <w:bCs/>
        </w:rPr>
        <w:t xml:space="preserve">availability of </w:t>
      </w:r>
      <w:r w:rsidR="003D368B" w:rsidRPr="000526BE">
        <w:rPr>
          <w:rFonts w:asciiTheme="minorHAnsi" w:hAnsiTheme="minorHAnsi"/>
          <w:bCs/>
        </w:rPr>
        <w:t xml:space="preserve">T-DM1 in the adjuvant setting would change the treatment algorithm and improve patient outcomes. The PBAC considered that any future submissions for therapies for HER2+ eBC would need to account for the availability and efficacy of T-DM1 and demonstrate benefit in a treatment algorithm that includes T-DM1. </w:t>
      </w:r>
    </w:p>
    <w:p w:rsidR="00433DB4" w:rsidRPr="000526BE" w:rsidRDefault="00433DB4" w:rsidP="00825FD2">
      <w:pPr>
        <w:numPr>
          <w:ilvl w:val="1"/>
          <w:numId w:val="2"/>
        </w:numPr>
        <w:spacing w:after="120"/>
        <w:rPr>
          <w:rFonts w:asciiTheme="minorHAnsi" w:hAnsiTheme="minorHAnsi"/>
          <w:bCs/>
        </w:rPr>
      </w:pPr>
      <w:r w:rsidRPr="000526BE">
        <w:rPr>
          <w:rFonts w:asciiTheme="minorHAnsi" w:hAnsiTheme="minorHAnsi"/>
          <w:bCs/>
        </w:rPr>
        <w:t>The PBAC recommended the following for the listing for T-DM1 for adjuvant treatment:</w:t>
      </w:r>
    </w:p>
    <w:p w:rsidR="009D468E" w:rsidRPr="000526BE" w:rsidRDefault="005C5A04" w:rsidP="00374ECB">
      <w:pPr>
        <w:pStyle w:val="ListParagraph"/>
        <w:numPr>
          <w:ilvl w:val="0"/>
          <w:numId w:val="20"/>
        </w:numPr>
        <w:spacing w:after="120"/>
        <w:ind w:left="1077" w:hanging="357"/>
        <w:rPr>
          <w:rFonts w:asciiTheme="minorHAnsi" w:hAnsiTheme="minorHAnsi"/>
          <w:bCs/>
        </w:rPr>
      </w:pPr>
      <w:r w:rsidRPr="000526BE">
        <w:t>The PBAC agreed with the sponsor</w:t>
      </w:r>
      <w:r w:rsidR="001D38DE">
        <w:t>’</w:t>
      </w:r>
      <w:r w:rsidRPr="000526BE">
        <w:t xml:space="preserve">s proposed restriction that </w:t>
      </w:r>
      <w:r w:rsidR="00425336" w:rsidRPr="000526BE">
        <w:t xml:space="preserve">use of T-DM1 </w:t>
      </w:r>
      <w:r w:rsidR="001B703D" w:rsidRPr="000526BE">
        <w:t xml:space="preserve">should be </w:t>
      </w:r>
      <w:r w:rsidR="00425336" w:rsidRPr="000526BE">
        <w:t xml:space="preserve">restricted to </w:t>
      </w:r>
      <w:r w:rsidR="00425336" w:rsidRPr="000526BE">
        <w:rPr>
          <w:szCs w:val="20"/>
        </w:rPr>
        <w:t>not more than 42 weeks (14 cycles) of combined PBS-subsidised and non-PBS-subsidised therapy</w:t>
      </w:r>
      <w:r w:rsidRPr="000526BE">
        <w:rPr>
          <w:szCs w:val="20"/>
        </w:rPr>
        <w:t xml:space="preserve"> in the eBC setting</w:t>
      </w:r>
      <w:r w:rsidR="00425336" w:rsidRPr="000526BE">
        <w:rPr>
          <w:szCs w:val="20"/>
        </w:rPr>
        <w:t xml:space="preserve">. </w:t>
      </w:r>
    </w:p>
    <w:p w:rsidR="009D468E" w:rsidRPr="000526BE" w:rsidRDefault="009D468E"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bCs/>
        </w:rPr>
        <w:t>The initial restriction</w:t>
      </w:r>
      <w:r w:rsidR="005C5A04" w:rsidRPr="000526BE">
        <w:rPr>
          <w:rFonts w:asciiTheme="minorHAnsi" w:hAnsiTheme="minorHAnsi"/>
          <w:bCs/>
        </w:rPr>
        <w:t>s</w:t>
      </w:r>
      <w:r w:rsidRPr="000526BE">
        <w:rPr>
          <w:rFonts w:asciiTheme="minorHAnsi" w:hAnsiTheme="minorHAnsi"/>
          <w:bCs/>
        </w:rPr>
        <w:t xml:space="preserve"> should be Authority Required (Written) listing</w:t>
      </w:r>
      <w:r w:rsidR="005C5A04" w:rsidRPr="000526BE">
        <w:rPr>
          <w:rFonts w:asciiTheme="minorHAnsi" w:hAnsiTheme="minorHAnsi"/>
          <w:bCs/>
        </w:rPr>
        <w:t>s</w:t>
      </w:r>
      <w:r w:rsidRPr="000526BE">
        <w:rPr>
          <w:rFonts w:asciiTheme="minorHAnsi" w:hAnsiTheme="minorHAnsi"/>
          <w:bCs/>
        </w:rPr>
        <w:t xml:space="preserve"> under the Section 100 Efficient Funding of Chemotherapy program to align with the current listings for T-DM1. The continuing restriction should be an Authority Required (Telephone) listing under the Section 100 Efficient Funding of Chemotherapy program </w:t>
      </w:r>
      <w:r w:rsidR="000D2E6D" w:rsidRPr="000526BE">
        <w:rPr>
          <w:rFonts w:asciiTheme="minorHAnsi" w:hAnsiTheme="minorHAnsi"/>
          <w:bCs/>
        </w:rPr>
        <w:t xml:space="preserve">in order to </w:t>
      </w:r>
      <w:r w:rsidR="00F9458B" w:rsidRPr="000526BE">
        <w:rPr>
          <w:rFonts w:asciiTheme="minorHAnsi" w:hAnsiTheme="minorHAnsi"/>
          <w:bCs/>
        </w:rPr>
        <w:t xml:space="preserve">ensure no more than the maximum number of cycles are used </w:t>
      </w:r>
      <w:r w:rsidRPr="000526BE">
        <w:rPr>
          <w:rFonts w:asciiTheme="minorHAnsi" w:hAnsiTheme="minorHAnsi"/>
          <w:bCs/>
        </w:rPr>
        <w:t>g</w:t>
      </w:r>
      <w:r w:rsidRPr="000526BE">
        <w:rPr>
          <w:rFonts w:asciiTheme="minorHAnsi" w:hAnsiTheme="minorHAnsi" w:cstheme="minorHAnsi"/>
        </w:rPr>
        <w:t>iven the much higher cost of treatment compared to trastuzumab</w:t>
      </w:r>
      <w:r w:rsidR="00FC22B3" w:rsidRPr="000526BE">
        <w:rPr>
          <w:rFonts w:asciiTheme="minorHAnsi" w:hAnsiTheme="minorHAnsi" w:cstheme="minorHAnsi"/>
        </w:rPr>
        <w:t>.</w:t>
      </w:r>
    </w:p>
    <w:p w:rsidR="0056095E" w:rsidRPr="000526BE" w:rsidRDefault="0056095E"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bCs/>
        </w:rPr>
        <w:t xml:space="preserve">Treatment with adjuvant T-DM1 should be restricted to patients who have undergone surgery </w:t>
      </w:r>
      <w:r w:rsidR="000D2E6D" w:rsidRPr="000526BE">
        <w:rPr>
          <w:rFonts w:asciiTheme="minorHAnsi" w:hAnsiTheme="minorHAnsi"/>
          <w:bCs/>
        </w:rPr>
        <w:t xml:space="preserve">within </w:t>
      </w:r>
      <w:r w:rsidRPr="000526BE">
        <w:rPr>
          <w:rFonts w:asciiTheme="minorHAnsi" w:hAnsiTheme="minorHAnsi"/>
          <w:bCs/>
        </w:rPr>
        <w:t xml:space="preserve">12 weeks before starting T-DM1 treatment. Therefore, a clinical criterion to the effect of ‘Patient must have undergone surgery </w:t>
      </w:r>
      <w:r w:rsidR="000D2E6D" w:rsidRPr="000526BE">
        <w:rPr>
          <w:rFonts w:asciiTheme="minorHAnsi" w:hAnsiTheme="minorHAnsi"/>
          <w:bCs/>
        </w:rPr>
        <w:t xml:space="preserve">within </w:t>
      </w:r>
      <w:r w:rsidRPr="000526BE">
        <w:rPr>
          <w:rFonts w:asciiTheme="minorHAnsi" w:hAnsiTheme="minorHAnsi"/>
          <w:bCs/>
        </w:rPr>
        <w:t xml:space="preserve">12 weeks </w:t>
      </w:r>
      <w:r w:rsidR="003C19B7">
        <w:rPr>
          <w:rFonts w:asciiTheme="minorHAnsi" w:hAnsiTheme="minorHAnsi"/>
          <w:bCs/>
        </w:rPr>
        <w:t xml:space="preserve">within </w:t>
      </w:r>
      <w:r w:rsidRPr="000526BE">
        <w:rPr>
          <w:rFonts w:asciiTheme="minorHAnsi" w:hAnsiTheme="minorHAnsi"/>
          <w:bCs/>
        </w:rPr>
        <w:t>starting therapy’ should be added to the restriction.</w:t>
      </w:r>
    </w:p>
    <w:p w:rsidR="00433DB4" w:rsidRPr="000526BE" w:rsidRDefault="007437AE"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bCs/>
        </w:rPr>
        <w:t xml:space="preserve">Given a patient meets the criterion that they have completed neoadjuvant therapy that included trastuzumab and a taxane-based chemotherapy, HER2 status </w:t>
      </w:r>
      <w:r w:rsidR="00F94428" w:rsidRPr="000526BE">
        <w:rPr>
          <w:rFonts w:asciiTheme="minorHAnsi" w:hAnsiTheme="minorHAnsi"/>
          <w:bCs/>
        </w:rPr>
        <w:t>will have</w:t>
      </w:r>
      <w:r w:rsidRPr="000526BE">
        <w:rPr>
          <w:rFonts w:asciiTheme="minorHAnsi" w:hAnsiTheme="minorHAnsi"/>
          <w:bCs/>
        </w:rPr>
        <w:t xml:space="preserve"> already been established. Therefore, t</w:t>
      </w:r>
      <w:r w:rsidR="00433DB4" w:rsidRPr="000526BE">
        <w:rPr>
          <w:rFonts w:asciiTheme="minorHAnsi" w:hAnsiTheme="minorHAnsi"/>
          <w:bCs/>
        </w:rPr>
        <w:t xml:space="preserve">he </w:t>
      </w:r>
      <w:r w:rsidRPr="000526BE">
        <w:rPr>
          <w:rFonts w:asciiTheme="minorHAnsi" w:hAnsiTheme="minorHAnsi"/>
          <w:bCs/>
        </w:rPr>
        <w:t xml:space="preserve">following </w:t>
      </w:r>
      <w:r w:rsidR="00433DB4" w:rsidRPr="000526BE">
        <w:rPr>
          <w:rFonts w:asciiTheme="minorHAnsi" w:hAnsiTheme="minorHAnsi"/>
          <w:bCs/>
        </w:rPr>
        <w:t xml:space="preserve">clinical criterion </w:t>
      </w:r>
      <w:r w:rsidRPr="000526BE">
        <w:rPr>
          <w:rFonts w:asciiTheme="minorHAnsi" w:hAnsiTheme="minorHAnsi"/>
          <w:bCs/>
        </w:rPr>
        <w:t xml:space="preserve">does not need to be included in the initial restriction: </w:t>
      </w:r>
      <w:r w:rsidR="00E1223D" w:rsidRPr="000526BE">
        <w:rPr>
          <w:rFonts w:asciiTheme="minorHAnsi" w:hAnsiTheme="minorHAnsi"/>
          <w:bCs/>
        </w:rPr>
        <w:t>‘HER2 positivity must be demonstrated by in situ hybridisation (ISH)’</w:t>
      </w:r>
      <w:r w:rsidRPr="000526BE">
        <w:rPr>
          <w:rFonts w:asciiTheme="minorHAnsi" w:hAnsiTheme="minorHAnsi"/>
          <w:bCs/>
        </w:rPr>
        <w:t>.</w:t>
      </w:r>
    </w:p>
    <w:p w:rsidR="0056095E" w:rsidRPr="000526BE" w:rsidRDefault="0056095E"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bCs/>
        </w:rPr>
        <w:t>Given there are no other anti-HER2 therapies</w:t>
      </w:r>
      <w:r w:rsidR="007E3DDF">
        <w:rPr>
          <w:rFonts w:asciiTheme="minorHAnsi" w:hAnsiTheme="minorHAnsi"/>
          <w:bCs/>
        </w:rPr>
        <w:t xml:space="preserve"> apart from trastuzumab</w:t>
      </w:r>
      <w:r w:rsidRPr="000526BE">
        <w:rPr>
          <w:rFonts w:asciiTheme="minorHAnsi" w:hAnsiTheme="minorHAnsi"/>
          <w:bCs/>
        </w:rPr>
        <w:t xml:space="preserve"> currently listed for adjuvant treatment of HER2 positive early breast cancer, the clinical criterion ‘The treatment must be the sole PBS-subsidised anti-HER-2 therapy’ could </w:t>
      </w:r>
      <w:r w:rsidR="008A735C" w:rsidRPr="000526BE">
        <w:rPr>
          <w:rFonts w:asciiTheme="minorHAnsi" w:hAnsiTheme="minorHAnsi"/>
          <w:bCs/>
        </w:rPr>
        <w:t>be removed from the restriction</w:t>
      </w:r>
      <w:r w:rsidRPr="000526BE">
        <w:rPr>
          <w:rFonts w:asciiTheme="minorHAnsi" w:hAnsiTheme="minorHAnsi"/>
          <w:bCs/>
        </w:rPr>
        <w:t>.</w:t>
      </w:r>
    </w:p>
    <w:p w:rsidR="00032E20" w:rsidRPr="000526BE" w:rsidRDefault="00032E20"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cstheme="minorHAnsi"/>
        </w:rPr>
        <w:t xml:space="preserve">The PBAC considered previously that the requirement for cardiac function testing once every three months no longer contributed to determining patient eligibility for ongoing PBS-subsidised treatment with anti-HER2 therapies and advised removing this requirement was appropriate. </w:t>
      </w:r>
      <w:r w:rsidR="008A735C" w:rsidRPr="000526BE">
        <w:rPr>
          <w:rFonts w:asciiTheme="minorHAnsi" w:hAnsiTheme="minorHAnsi" w:cstheme="minorHAnsi"/>
        </w:rPr>
        <w:t xml:space="preserve">The PBAC accepted the removal of </w:t>
      </w:r>
      <w:r w:rsidR="00314CE7">
        <w:rPr>
          <w:rFonts w:asciiTheme="minorHAnsi" w:hAnsiTheme="minorHAnsi" w:cstheme="minorHAnsi"/>
        </w:rPr>
        <w:t xml:space="preserve">the </w:t>
      </w:r>
      <w:r w:rsidR="008A735C" w:rsidRPr="000526BE">
        <w:rPr>
          <w:rFonts w:asciiTheme="minorHAnsi" w:hAnsiTheme="minorHAnsi" w:cstheme="minorHAnsi"/>
        </w:rPr>
        <w:t xml:space="preserve">testing </w:t>
      </w:r>
      <w:r w:rsidR="00E1223D" w:rsidRPr="000526BE">
        <w:rPr>
          <w:rFonts w:asciiTheme="minorHAnsi" w:hAnsiTheme="minorHAnsi" w:cstheme="minorHAnsi"/>
        </w:rPr>
        <w:t xml:space="preserve">requirement </w:t>
      </w:r>
      <w:r w:rsidR="00314CE7">
        <w:rPr>
          <w:rFonts w:asciiTheme="minorHAnsi" w:hAnsiTheme="minorHAnsi" w:cstheme="minorHAnsi"/>
        </w:rPr>
        <w:t>from</w:t>
      </w:r>
      <w:r w:rsidR="00E1223D" w:rsidRPr="000526BE">
        <w:rPr>
          <w:rFonts w:asciiTheme="minorHAnsi" w:hAnsiTheme="minorHAnsi" w:cstheme="minorHAnsi"/>
        </w:rPr>
        <w:t xml:space="preserve"> the </w:t>
      </w:r>
      <w:r w:rsidR="007A5B26">
        <w:rPr>
          <w:rFonts w:asciiTheme="minorHAnsi" w:hAnsiTheme="minorHAnsi" w:cstheme="minorHAnsi"/>
        </w:rPr>
        <w:t>prescribing instructions.</w:t>
      </w:r>
    </w:p>
    <w:p w:rsidR="005C5A04" w:rsidRPr="00FC156D" w:rsidRDefault="005C5A04" w:rsidP="00374ECB">
      <w:pPr>
        <w:pStyle w:val="ListParagraph"/>
        <w:numPr>
          <w:ilvl w:val="0"/>
          <w:numId w:val="20"/>
        </w:numPr>
        <w:spacing w:after="120"/>
        <w:ind w:left="1077" w:hanging="357"/>
        <w:rPr>
          <w:rFonts w:asciiTheme="minorHAnsi" w:hAnsiTheme="minorHAnsi"/>
          <w:bCs/>
          <w:color w:val="FF0000"/>
        </w:rPr>
      </w:pPr>
      <w:r w:rsidRPr="000526BE">
        <w:rPr>
          <w:rFonts w:asciiTheme="minorHAnsi" w:hAnsiTheme="minorHAnsi"/>
          <w:bCs/>
        </w:rPr>
        <w:t xml:space="preserve">The PBAC considered it would be appropriate for </w:t>
      </w:r>
      <w:r w:rsidR="00547A7A" w:rsidRPr="000526BE">
        <w:rPr>
          <w:rFonts w:asciiTheme="minorHAnsi" w:hAnsiTheme="minorHAnsi"/>
          <w:bCs/>
        </w:rPr>
        <w:t>grandfathered</w:t>
      </w:r>
      <w:r w:rsidRPr="000526BE">
        <w:rPr>
          <w:rFonts w:asciiTheme="minorHAnsi" w:hAnsiTheme="minorHAnsi"/>
          <w:bCs/>
        </w:rPr>
        <w:t xml:space="preserve"> patients to access T-DM1,</w:t>
      </w:r>
      <w:r w:rsidR="00FC156D">
        <w:rPr>
          <w:rFonts w:asciiTheme="minorHAnsi" w:hAnsiTheme="minorHAnsi"/>
          <w:bCs/>
        </w:rPr>
        <w:t xml:space="preserve"> providing the T-DM1 had been commenced within 12 weeks of surgery</w:t>
      </w:r>
      <w:r w:rsidR="00E2082C">
        <w:rPr>
          <w:rFonts w:asciiTheme="minorHAnsi" w:hAnsiTheme="minorHAnsi"/>
          <w:bCs/>
        </w:rPr>
        <w:t>, and that total non-PBS and PBS therapy was limited to 14 cycles</w:t>
      </w:r>
      <w:r w:rsidR="00FC156D">
        <w:rPr>
          <w:rFonts w:asciiTheme="minorHAnsi" w:hAnsiTheme="minorHAnsi"/>
          <w:bCs/>
        </w:rPr>
        <w:t xml:space="preserve">. </w:t>
      </w:r>
      <w:r w:rsidR="008F4D63">
        <w:rPr>
          <w:rFonts w:asciiTheme="minorHAnsi" w:hAnsiTheme="minorHAnsi"/>
          <w:bCs/>
        </w:rPr>
        <w:t xml:space="preserve">The PBAC noted that grandfathered patients would be eligible for treatment under the initial restriction at first, </w:t>
      </w:r>
      <w:r w:rsidR="008442BA">
        <w:rPr>
          <w:rFonts w:asciiTheme="minorHAnsi" w:hAnsiTheme="minorHAnsi"/>
          <w:bCs/>
        </w:rPr>
        <w:t>following which they would</w:t>
      </w:r>
      <w:r w:rsidR="008F4D63">
        <w:rPr>
          <w:rFonts w:asciiTheme="minorHAnsi" w:hAnsiTheme="minorHAnsi"/>
          <w:bCs/>
        </w:rPr>
        <w:t xml:space="preserve"> be eligible for treatment under the continuing restriction.</w:t>
      </w:r>
      <w:r w:rsidRPr="000526BE">
        <w:rPr>
          <w:rFonts w:asciiTheme="minorHAnsi" w:hAnsiTheme="minorHAnsi"/>
          <w:bCs/>
        </w:rPr>
        <w:t xml:space="preserve"> </w:t>
      </w:r>
    </w:p>
    <w:p w:rsidR="00D8286A" w:rsidRPr="000526BE" w:rsidRDefault="00D8286A" w:rsidP="00374ECB">
      <w:pPr>
        <w:pStyle w:val="ListParagraph"/>
        <w:numPr>
          <w:ilvl w:val="0"/>
          <w:numId w:val="20"/>
        </w:numPr>
        <w:spacing w:after="120"/>
        <w:ind w:left="1077" w:hanging="357"/>
        <w:rPr>
          <w:rFonts w:asciiTheme="minorHAnsi" w:hAnsiTheme="minorHAnsi"/>
          <w:bCs/>
        </w:rPr>
      </w:pPr>
      <w:r w:rsidRPr="000526BE">
        <w:rPr>
          <w:rFonts w:asciiTheme="minorHAnsi" w:hAnsiTheme="minorHAnsi"/>
          <w:bCs/>
        </w:rPr>
        <w:t xml:space="preserve">The PBAC considered it would be appropriate for patients to be allowed to switch to trastuzumab </w:t>
      </w:r>
      <w:r w:rsidR="00FC156D">
        <w:rPr>
          <w:rFonts w:asciiTheme="minorHAnsi" w:hAnsiTheme="minorHAnsi"/>
          <w:bCs/>
        </w:rPr>
        <w:t>if</w:t>
      </w:r>
      <w:r w:rsidRPr="000526BE">
        <w:rPr>
          <w:rFonts w:asciiTheme="minorHAnsi" w:hAnsiTheme="minorHAnsi"/>
          <w:bCs/>
        </w:rPr>
        <w:t xml:space="preserve"> </w:t>
      </w:r>
      <w:r w:rsidR="00F94428" w:rsidRPr="000526BE">
        <w:rPr>
          <w:rFonts w:asciiTheme="minorHAnsi" w:hAnsiTheme="minorHAnsi"/>
          <w:bCs/>
        </w:rPr>
        <w:t xml:space="preserve">they are </w:t>
      </w:r>
      <w:r w:rsidRPr="000526BE">
        <w:rPr>
          <w:rFonts w:asciiTheme="minorHAnsi" w:hAnsiTheme="minorHAnsi"/>
          <w:bCs/>
        </w:rPr>
        <w:t>unable to tolerate T-DM1.</w:t>
      </w:r>
      <w:r w:rsidR="003D7654">
        <w:rPr>
          <w:rFonts w:asciiTheme="minorHAnsi" w:hAnsiTheme="minorHAnsi"/>
          <w:bCs/>
        </w:rPr>
        <w:t xml:space="preserve"> </w:t>
      </w:r>
      <w:r w:rsidR="005158E9">
        <w:rPr>
          <w:rFonts w:asciiTheme="minorHAnsi" w:hAnsiTheme="minorHAnsi"/>
          <w:bCs/>
        </w:rPr>
        <w:t>The PBAC considered a</w:t>
      </w:r>
      <w:r w:rsidR="003D7654">
        <w:rPr>
          <w:rFonts w:asciiTheme="minorHAnsi" w:hAnsiTheme="minorHAnsi"/>
          <w:bCs/>
        </w:rPr>
        <w:t xml:space="preserve"> restriction flow-on to trastuzumab for early breast cancer </w:t>
      </w:r>
      <w:r w:rsidR="005158E9">
        <w:rPr>
          <w:rFonts w:asciiTheme="minorHAnsi" w:hAnsiTheme="minorHAnsi"/>
          <w:bCs/>
        </w:rPr>
        <w:t xml:space="preserve">should be applied </w:t>
      </w:r>
      <w:r w:rsidR="003D7654">
        <w:rPr>
          <w:rFonts w:asciiTheme="minorHAnsi" w:hAnsiTheme="minorHAnsi"/>
          <w:bCs/>
        </w:rPr>
        <w:t xml:space="preserve">to ensure that </w:t>
      </w:r>
      <w:r w:rsidR="003D7654" w:rsidRPr="003D7654">
        <w:t xml:space="preserve">trastuzumab therapy </w:t>
      </w:r>
      <w:r w:rsidR="003D7654">
        <w:t xml:space="preserve">does not </w:t>
      </w:r>
      <w:r w:rsidR="003D7654" w:rsidRPr="003D7654">
        <w:t xml:space="preserve">exceed </w:t>
      </w:r>
      <w:r w:rsidR="001E7F2B">
        <w:t xml:space="preserve">a combined </w:t>
      </w:r>
      <w:r w:rsidR="00C917A3">
        <w:t xml:space="preserve">duration of </w:t>
      </w:r>
      <w:r w:rsidR="003D7654" w:rsidRPr="003D7654">
        <w:t xml:space="preserve">52 weeks </w:t>
      </w:r>
      <w:r w:rsidR="001E7F2B">
        <w:t xml:space="preserve">of therapy </w:t>
      </w:r>
      <w:r w:rsidR="003D7654">
        <w:t>if switching from T-DM1.</w:t>
      </w:r>
    </w:p>
    <w:p w:rsidR="00A54F1C" w:rsidRPr="000526BE" w:rsidRDefault="00B3416A" w:rsidP="002562DD">
      <w:pPr>
        <w:numPr>
          <w:ilvl w:val="1"/>
          <w:numId w:val="2"/>
        </w:numPr>
        <w:spacing w:after="120"/>
        <w:rPr>
          <w:rFonts w:asciiTheme="minorHAnsi" w:hAnsiTheme="minorHAnsi"/>
          <w:bCs/>
        </w:rPr>
      </w:pPr>
      <w:r w:rsidRPr="000526BE">
        <w:rPr>
          <w:rFonts w:asciiTheme="minorHAnsi" w:hAnsiTheme="minorHAnsi"/>
          <w:bCs/>
        </w:rPr>
        <w:t>The PBAC accepted trastuzumab as the nominated c</w:t>
      </w:r>
      <w:r w:rsidR="00FC1919" w:rsidRPr="000526BE">
        <w:rPr>
          <w:rFonts w:asciiTheme="minorHAnsi" w:hAnsiTheme="minorHAnsi"/>
          <w:bCs/>
        </w:rPr>
        <w:t xml:space="preserve">omparator </w:t>
      </w:r>
      <w:r w:rsidR="002562DD" w:rsidRPr="000526BE">
        <w:rPr>
          <w:rFonts w:asciiTheme="minorHAnsi" w:hAnsiTheme="minorHAnsi"/>
          <w:bCs/>
        </w:rPr>
        <w:t>on the basis that trastuzumab is the standard of care (SoC) for the adjuvant treatment of HER2+ eBC following neoadjuvant therapy.</w:t>
      </w:r>
    </w:p>
    <w:p w:rsidR="005F71EA" w:rsidRPr="000526BE" w:rsidRDefault="005F71EA" w:rsidP="00A54F1C">
      <w:pPr>
        <w:numPr>
          <w:ilvl w:val="1"/>
          <w:numId w:val="2"/>
        </w:numPr>
        <w:spacing w:after="120"/>
        <w:rPr>
          <w:rFonts w:asciiTheme="minorHAnsi" w:hAnsiTheme="minorHAnsi"/>
          <w:bCs/>
        </w:rPr>
      </w:pPr>
      <w:r w:rsidRPr="000526BE">
        <w:rPr>
          <w:rFonts w:asciiTheme="minorHAnsi" w:hAnsiTheme="minorHAnsi"/>
          <w:bCs/>
        </w:rPr>
        <w:t xml:space="preserve">The submission was based on </w:t>
      </w:r>
      <w:r w:rsidRPr="000526BE">
        <w:rPr>
          <w:rFonts w:cs="Calibri"/>
          <w:snapToGrid/>
          <w:szCs w:val="24"/>
          <w:lang w:eastAsia="en-AU"/>
        </w:rPr>
        <w:t xml:space="preserve">one head-to-head randomised controlled trial (RCT), KATHERINE, comparing T-DM1 to trastuzumab. </w:t>
      </w:r>
      <w:r w:rsidRPr="000526BE">
        <w:rPr>
          <w:rFonts w:asciiTheme="minorHAnsi" w:hAnsiTheme="minorHAnsi"/>
          <w:bCs/>
        </w:rPr>
        <w:t xml:space="preserve">The PBAC considered </w:t>
      </w:r>
      <w:r w:rsidRPr="000526BE">
        <w:t>that the clinical evidence</w:t>
      </w:r>
      <w:r w:rsidR="00142FCF" w:rsidRPr="000526BE">
        <w:t xml:space="preserve"> </w:t>
      </w:r>
      <w:r w:rsidR="00746405" w:rsidRPr="000526BE">
        <w:t>provided</w:t>
      </w:r>
      <w:r w:rsidRPr="000526BE">
        <w:t xml:space="preserve"> was reliable as the KATHERINE trial was a well-conducted trial with a low risk of bias and an appropriate sample size. </w:t>
      </w:r>
      <w:r w:rsidR="00B43646" w:rsidRPr="000526BE">
        <w:t>The PBAC considered that the clinical data from the trial w</w:t>
      </w:r>
      <w:r w:rsidR="009700DF" w:rsidRPr="000526BE">
        <w:t>ere</w:t>
      </w:r>
      <w:r w:rsidR="00B43646" w:rsidRPr="000526BE">
        <w:t xml:space="preserve"> clearly presented in the submission.</w:t>
      </w:r>
    </w:p>
    <w:p w:rsidR="0038753F" w:rsidRPr="000526BE" w:rsidRDefault="00011067" w:rsidP="00B430EA">
      <w:pPr>
        <w:numPr>
          <w:ilvl w:val="1"/>
          <w:numId w:val="2"/>
        </w:numPr>
        <w:spacing w:after="120"/>
        <w:rPr>
          <w:rFonts w:asciiTheme="minorHAnsi" w:hAnsiTheme="minorHAnsi"/>
          <w:bCs/>
        </w:rPr>
      </w:pPr>
      <w:r w:rsidRPr="000526BE">
        <w:rPr>
          <w:rFonts w:asciiTheme="minorHAnsi" w:hAnsiTheme="minorHAnsi"/>
          <w:bCs/>
        </w:rPr>
        <w:t xml:space="preserve">The primary outcome of the KATHERINE trial was iDFS. </w:t>
      </w:r>
      <w:r w:rsidR="005F71EA" w:rsidRPr="000526BE">
        <w:rPr>
          <w:rFonts w:asciiTheme="minorHAnsi" w:hAnsiTheme="minorHAnsi"/>
          <w:bCs/>
        </w:rPr>
        <w:t xml:space="preserve">The PBAC </w:t>
      </w:r>
      <w:r w:rsidR="004E6463" w:rsidRPr="000526BE">
        <w:rPr>
          <w:rFonts w:asciiTheme="minorHAnsi" w:hAnsiTheme="minorHAnsi"/>
          <w:bCs/>
        </w:rPr>
        <w:t>considered that</w:t>
      </w:r>
      <w:r w:rsidR="005F71EA" w:rsidRPr="000526BE">
        <w:rPr>
          <w:rFonts w:asciiTheme="minorHAnsi" w:hAnsiTheme="minorHAnsi"/>
          <w:bCs/>
        </w:rPr>
        <w:t xml:space="preserve"> </w:t>
      </w:r>
      <w:r w:rsidR="004E6463" w:rsidRPr="000526BE">
        <w:rPr>
          <w:rFonts w:asciiTheme="minorHAnsi" w:hAnsiTheme="minorHAnsi"/>
          <w:bCs/>
        </w:rPr>
        <w:t xml:space="preserve">the claim that T-DM1 was superior to trastuzumab in terms of comparative effectiveness </w:t>
      </w:r>
      <w:r w:rsidR="00B43646" w:rsidRPr="000526BE">
        <w:rPr>
          <w:rFonts w:asciiTheme="minorHAnsi" w:hAnsiTheme="minorHAnsi"/>
          <w:bCs/>
        </w:rPr>
        <w:t>was</w:t>
      </w:r>
      <w:r w:rsidR="004E6463" w:rsidRPr="000526BE">
        <w:rPr>
          <w:rFonts w:asciiTheme="minorHAnsi" w:hAnsiTheme="minorHAnsi"/>
          <w:bCs/>
        </w:rPr>
        <w:t xml:space="preserve"> reasonable</w:t>
      </w:r>
      <w:r w:rsidRPr="000526BE">
        <w:rPr>
          <w:rFonts w:asciiTheme="minorHAnsi" w:hAnsiTheme="minorHAnsi"/>
          <w:bCs/>
        </w:rPr>
        <w:t xml:space="preserve"> </w:t>
      </w:r>
      <w:r w:rsidR="004E6463" w:rsidRPr="000526BE">
        <w:t>with respect to iDFS</w:t>
      </w:r>
      <w:r w:rsidR="00874BB7" w:rsidRPr="000526BE">
        <w:t>.</w:t>
      </w:r>
      <w:r w:rsidR="00B430EA" w:rsidRPr="000526BE">
        <w:t xml:space="preserve"> The </w:t>
      </w:r>
      <w:r w:rsidR="0038753F" w:rsidRPr="000526BE">
        <w:t xml:space="preserve">PBAC considered the 50% </w:t>
      </w:r>
      <w:r w:rsidR="0038753F" w:rsidRPr="000526BE">
        <w:rPr>
          <w:rFonts w:cs="Calibri"/>
          <w:snapToGrid/>
          <w:szCs w:val="24"/>
          <w:lang w:eastAsia="en-AU"/>
        </w:rPr>
        <w:t xml:space="preserve">reduction in the risk of recurrence or death in the T-DM1 treatment group, which was </w:t>
      </w:r>
      <w:r w:rsidR="0038753F" w:rsidRPr="000526BE">
        <w:rPr>
          <w:rFonts w:cs="Calibri"/>
          <w:iCs/>
          <w:snapToGrid/>
          <w:szCs w:val="24"/>
          <w:lang w:eastAsia="en-AU"/>
        </w:rPr>
        <w:t xml:space="preserve">statistically significant in favour of T-DM1 with HR=0.50 (95% CI: 0.39, 0.64; p=&lt;0.0001), </w:t>
      </w:r>
      <w:r w:rsidR="0038753F" w:rsidRPr="000526BE">
        <w:rPr>
          <w:rFonts w:cs="Calibri"/>
          <w:snapToGrid/>
          <w:szCs w:val="24"/>
          <w:lang w:eastAsia="en-AU"/>
        </w:rPr>
        <w:t>was clinically meaningful</w:t>
      </w:r>
      <w:r w:rsidR="00B43646" w:rsidRPr="000526BE">
        <w:rPr>
          <w:rFonts w:cs="Calibri"/>
          <w:snapToGrid/>
          <w:szCs w:val="24"/>
          <w:lang w:eastAsia="en-AU"/>
        </w:rPr>
        <w:t>.</w:t>
      </w:r>
      <w:r w:rsidR="0038753F" w:rsidRPr="000526BE">
        <w:rPr>
          <w:rFonts w:cs="Calibri"/>
          <w:snapToGrid/>
          <w:szCs w:val="24"/>
          <w:lang w:eastAsia="en-AU"/>
        </w:rPr>
        <w:t xml:space="preserve"> </w:t>
      </w:r>
      <w:r w:rsidR="00340FC6" w:rsidRPr="000526BE">
        <w:t xml:space="preserve">The PBAC also noted the iDFS benefits of T-DM1 </w:t>
      </w:r>
      <w:r w:rsidR="006E3385" w:rsidRPr="000526BE">
        <w:t xml:space="preserve">were demonstrated </w:t>
      </w:r>
      <w:r w:rsidR="00340FC6" w:rsidRPr="000526BE">
        <w:t xml:space="preserve">across different subgroups, regardless of ER </w:t>
      </w:r>
      <w:r w:rsidR="006E3385" w:rsidRPr="000526BE">
        <w:t>status,</w:t>
      </w:r>
      <w:r w:rsidR="00340FC6" w:rsidRPr="000526BE">
        <w:t xml:space="preserve"> nodal status</w:t>
      </w:r>
      <w:r w:rsidR="006E3385" w:rsidRPr="000526BE">
        <w:t xml:space="preserve">, or </w:t>
      </w:r>
      <w:r w:rsidR="003F0B9C" w:rsidRPr="000526BE">
        <w:t xml:space="preserve">whether </w:t>
      </w:r>
      <w:r w:rsidR="00340FC6" w:rsidRPr="000526BE">
        <w:t xml:space="preserve">neoadjuvant </w:t>
      </w:r>
      <w:r w:rsidR="003F0B9C" w:rsidRPr="000526BE">
        <w:t xml:space="preserve">therapy comprised </w:t>
      </w:r>
      <w:r w:rsidR="00340FC6" w:rsidRPr="000526BE">
        <w:t>HER2 monotherapy (trastuzumab alone) versus doublet HER2 therapy (trastuzumab + a</w:t>
      </w:r>
      <w:r w:rsidR="00FC5C5A" w:rsidRPr="000526BE">
        <w:t>dditional HER2-directed agents</w:t>
      </w:r>
      <w:r w:rsidR="00340FC6" w:rsidRPr="000526BE">
        <w:t xml:space="preserve">). </w:t>
      </w:r>
    </w:p>
    <w:p w:rsidR="00B430EA" w:rsidRPr="000526BE" w:rsidRDefault="00C6409E" w:rsidP="00347ACE">
      <w:pPr>
        <w:numPr>
          <w:ilvl w:val="1"/>
          <w:numId w:val="2"/>
        </w:numPr>
        <w:spacing w:after="120"/>
        <w:rPr>
          <w:rFonts w:asciiTheme="minorHAnsi" w:hAnsiTheme="minorHAnsi"/>
          <w:bCs/>
        </w:rPr>
      </w:pPr>
      <w:r w:rsidRPr="000526BE">
        <w:t xml:space="preserve">The PBAC noted that OS, which was a secondary outcome, was not statistically significant (HR = 0.70 (95% CI: 0.47, 1.05)), but considered this was likely due to the immaturity of the trial data with respect to this outcome (6.6% of patients across both arms had died at the data-cut reported in the submission). The PBAC considered that a gain in OS is plausible given the strong iDFS results reported in the well-conducted trial and considered there was a moderate level of certainty around the OS benefits. However, the PBAC considered </w:t>
      </w:r>
      <w:r w:rsidR="00FC156D">
        <w:t>any</w:t>
      </w:r>
      <w:r w:rsidRPr="000526BE">
        <w:t xml:space="preserve"> OS gain was of uncertain magnitude given the lack of statistically significant OS results. </w:t>
      </w:r>
    </w:p>
    <w:p w:rsidR="005F71EA" w:rsidRPr="000526BE" w:rsidRDefault="00B430EA" w:rsidP="00B430EA">
      <w:pPr>
        <w:numPr>
          <w:ilvl w:val="1"/>
          <w:numId w:val="2"/>
        </w:numPr>
        <w:spacing w:after="120"/>
        <w:rPr>
          <w:rFonts w:asciiTheme="minorHAnsi" w:hAnsiTheme="minorHAnsi"/>
          <w:bCs/>
        </w:rPr>
      </w:pPr>
      <w:r w:rsidRPr="000526BE">
        <w:rPr>
          <w:rFonts w:asciiTheme="minorHAnsi" w:hAnsiTheme="minorHAnsi"/>
          <w:bCs/>
        </w:rPr>
        <w:t>The PBAC noted that</w:t>
      </w:r>
      <w:r w:rsidRPr="000526BE">
        <w:t xml:space="preserve"> </w:t>
      </w:r>
      <w:r w:rsidR="00FC156D">
        <w:t xml:space="preserve">although distant recurrences </w:t>
      </w:r>
      <w:r w:rsidR="00B80E46">
        <w:t xml:space="preserve">overall </w:t>
      </w:r>
      <w:r w:rsidR="00FC156D">
        <w:t>occurred</w:t>
      </w:r>
      <w:r w:rsidR="00B80E46">
        <w:t xml:space="preserve"> less frequently</w:t>
      </w:r>
      <w:r w:rsidR="00FC156D">
        <w:t xml:space="preserve"> in the T-DM1 arm compared with the trastuzumab arm</w:t>
      </w:r>
      <w:r w:rsidR="00B80E46">
        <w:t>,</w:t>
      </w:r>
      <w:r w:rsidR="00FC156D">
        <w:t xml:space="preserve"> </w:t>
      </w:r>
      <w:r w:rsidRPr="000526BE">
        <w:rPr>
          <w:rFonts w:asciiTheme="minorHAnsi" w:hAnsiTheme="minorHAnsi"/>
          <w:bCs/>
        </w:rPr>
        <w:t xml:space="preserve">a higher proportion of distant recurrences occurred in the CNS </w:t>
      </w:r>
      <w:r w:rsidR="00B80E46">
        <w:rPr>
          <w:rFonts w:asciiTheme="minorHAnsi" w:hAnsiTheme="minorHAnsi"/>
          <w:bCs/>
        </w:rPr>
        <w:t xml:space="preserve">relative to other non-CNS sites </w:t>
      </w:r>
      <w:r w:rsidRPr="000526BE">
        <w:rPr>
          <w:rFonts w:asciiTheme="minorHAnsi" w:hAnsiTheme="minorHAnsi"/>
          <w:bCs/>
        </w:rPr>
        <w:t>in the T-DM1 arm compared with the trastuzumab arm</w:t>
      </w:r>
      <w:r w:rsidR="00B80E46">
        <w:rPr>
          <w:rFonts w:asciiTheme="minorHAnsi" w:hAnsiTheme="minorHAnsi"/>
          <w:bCs/>
        </w:rPr>
        <w:t xml:space="preserve">. </w:t>
      </w:r>
    </w:p>
    <w:p w:rsidR="003A3DEA" w:rsidRPr="000526BE" w:rsidRDefault="003A3DEA" w:rsidP="003A3DEA">
      <w:pPr>
        <w:numPr>
          <w:ilvl w:val="1"/>
          <w:numId w:val="2"/>
        </w:numPr>
        <w:spacing w:after="120"/>
        <w:rPr>
          <w:rFonts w:asciiTheme="minorHAnsi" w:hAnsiTheme="minorHAnsi"/>
          <w:bCs/>
        </w:rPr>
      </w:pPr>
      <w:r w:rsidRPr="000526BE">
        <w:rPr>
          <w:rFonts w:asciiTheme="minorHAnsi" w:hAnsiTheme="minorHAnsi"/>
          <w:bCs/>
        </w:rPr>
        <w:t xml:space="preserve">The PBAC considered that the claim of inferior comparative safety compared with trastuzumab was reasonable. The PBAC noted that a higher incidence of AEs leading to treatment discontinuation was reported in the T-DM1 arm (n=133; 18.0%) versus the trastuzumab arm (n=15; 2.1%). </w:t>
      </w:r>
      <w:r w:rsidR="009F0D47" w:rsidRPr="000526BE">
        <w:rPr>
          <w:rFonts w:asciiTheme="minorHAnsi" w:hAnsiTheme="minorHAnsi"/>
          <w:bCs/>
        </w:rPr>
        <w:t>However,</w:t>
      </w:r>
      <w:r w:rsidRPr="000526BE">
        <w:rPr>
          <w:rFonts w:asciiTheme="minorHAnsi" w:hAnsiTheme="minorHAnsi"/>
          <w:bCs/>
        </w:rPr>
        <w:t xml:space="preserve"> the PBAC noted that the safety profile for T-DM1 is well documented as it </w:t>
      </w:r>
      <w:r w:rsidR="00B80E46">
        <w:rPr>
          <w:rFonts w:asciiTheme="minorHAnsi" w:hAnsiTheme="minorHAnsi"/>
          <w:bCs/>
        </w:rPr>
        <w:t xml:space="preserve">is </w:t>
      </w:r>
      <w:r w:rsidRPr="000526BE">
        <w:rPr>
          <w:rFonts w:asciiTheme="minorHAnsi" w:hAnsiTheme="minorHAnsi"/>
          <w:bCs/>
        </w:rPr>
        <w:t xml:space="preserve">used in metastatic breast cancer and considered </w:t>
      </w:r>
      <w:r w:rsidR="00F137A7" w:rsidRPr="000526BE">
        <w:rPr>
          <w:rFonts w:asciiTheme="minorHAnsi" w:hAnsiTheme="minorHAnsi"/>
          <w:bCs/>
        </w:rPr>
        <w:t>the AEs</w:t>
      </w:r>
      <w:r w:rsidRPr="000526BE">
        <w:rPr>
          <w:rFonts w:asciiTheme="minorHAnsi" w:hAnsiTheme="minorHAnsi"/>
          <w:bCs/>
        </w:rPr>
        <w:t xml:space="preserve"> to be manageable. The PBAC considered that the claim of minimal impact o</w:t>
      </w:r>
      <w:r w:rsidR="00F137A7" w:rsidRPr="000526BE">
        <w:rPr>
          <w:rFonts w:asciiTheme="minorHAnsi" w:hAnsiTheme="minorHAnsi"/>
          <w:bCs/>
        </w:rPr>
        <w:t>n</w:t>
      </w:r>
      <w:r w:rsidRPr="000526BE">
        <w:rPr>
          <w:rFonts w:asciiTheme="minorHAnsi" w:hAnsiTheme="minorHAnsi"/>
          <w:bCs/>
        </w:rPr>
        <w:t xml:space="preserve"> HRQoL was not supported by the evidence, given the higher rates of adverse events in the T-DM1 arm. </w:t>
      </w:r>
    </w:p>
    <w:p w:rsidR="006075C2" w:rsidRPr="000526BE" w:rsidRDefault="00B83563" w:rsidP="0085313D">
      <w:pPr>
        <w:numPr>
          <w:ilvl w:val="1"/>
          <w:numId w:val="2"/>
        </w:numPr>
        <w:spacing w:after="120"/>
        <w:rPr>
          <w:rFonts w:asciiTheme="minorHAnsi" w:hAnsiTheme="minorHAnsi"/>
          <w:bCs/>
        </w:rPr>
      </w:pPr>
      <w:r w:rsidRPr="000526BE">
        <w:rPr>
          <w:rFonts w:asciiTheme="minorHAnsi" w:hAnsiTheme="minorHAnsi"/>
          <w:bCs/>
        </w:rPr>
        <w:t>The</w:t>
      </w:r>
      <w:r w:rsidR="00D4733B" w:rsidRPr="000526BE">
        <w:rPr>
          <w:rFonts w:asciiTheme="minorHAnsi" w:hAnsiTheme="minorHAnsi"/>
          <w:bCs/>
        </w:rPr>
        <w:t xml:space="preserve"> PBAC noted the </w:t>
      </w:r>
      <w:r w:rsidRPr="000526BE">
        <w:rPr>
          <w:rFonts w:asciiTheme="minorHAnsi" w:hAnsiTheme="minorHAnsi"/>
          <w:bCs/>
        </w:rPr>
        <w:t>submission presented a stepped economic evaluation based on KATHERINE and implemented a modelled cost-utility analysis (CUA) for T-DM1 v</w:t>
      </w:r>
      <w:r w:rsidR="00D77E4F" w:rsidRPr="000526BE">
        <w:rPr>
          <w:rFonts w:asciiTheme="minorHAnsi" w:hAnsiTheme="minorHAnsi"/>
          <w:bCs/>
        </w:rPr>
        <w:t>ersus</w:t>
      </w:r>
      <w:r w:rsidRPr="000526BE">
        <w:rPr>
          <w:rFonts w:asciiTheme="minorHAnsi" w:hAnsiTheme="minorHAnsi"/>
          <w:bCs/>
        </w:rPr>
        <w:t xml:space="preserve"> trastuzumab. </w:t>
      </w:r>
      <w:r w:rsidR="001171DF" w:rsidRPr="000526BE">
        <w:rPr>
          <w:rFonts w:asciiTheme="minorHAnsi" w:hAnsiTheme="minorHAnsi"/>
          <w:bCs/>
        </w:rPr>
        <w:t xml:space="preserve">The PBAC considered the economic model </w:t>
      </w:r>
      <w:r w:rsidR="006075C2" w:rsidRPr="000526BE">
        <w:rPr>
          <w:rFonts w:asciiTheme="minorHAnsi" w:hAnsiTheme="minorHAnsi"/>
          <w:bCs/>
        </w:rPr>
        <w:t xml:space="preserve">structure </w:t>
      </w:r>
      <w:r w:rsidR="001171DF" w:rsidRPr="000526BE">
        <w:rPr>
          <w:rFonts w:asciiTheme="minorHAnsi" w:hAnsiTheme="minorHAnsi"/>
          <w:bCs/>
        </w:rPr>
        <w:t>presented was acceptable.</w:t>
      </w:r>
      <w:r w:rsidR="00411ADD" w:rsidRPr="000526BE">
        <w:rPr>
          <w:rFonts w:asciiTheme="minorHAnsi" w:hAnsiTheme="minorHAnsi"/>
          <w:bCs/>
        </w:rPr>
        <w:t xml:space="preserve"> The PBAC considered that the economic evaluation was clearly presented in the submission.</w:t>
      </w:r>
    </w:p>
    <w:p w:rsidR="00F241E2" w:rsidRPr="000526BE" w:rsidRDefault="008A6D56" w:rsidP="008C4A39">
      <w:pPr>
        <w:pStyle w:val="ListParagraph"/>
        <w:widowControl/>
        <w:numPr>
          <w:ilvl w:val="1"/>
          <w:numId w:val="2"/>
        </w:numPr>
        <w:tabs>
          <w:tab w:val="left" w:pos="993"/>
        </w:tabs>
        <w:spacing w:after="120"/>
        <w:rPr>
          <w:rFonts w:asciiTheme="minorHAnsi" w:hAnsiTheme="minorHAnsi"/>
          <w:bCs/>
        </w:rPr>
      </w:pPr>
      <w:r w:rsidRPr="000526BE">
        <w:rPr>
          <w:iCs/>
        </w:rPr>
        <w:t>The PBAC noted that the base case ICER</w:t>
      </w:r>
      <w:r w:rsidR="00160795" w:rsidRPr="000526BE">
        <w:rPr>
          <w:iCs/>
        </w:rPr>
        <w:t>, as proposed in the pre-PBAC response,</w:t>
      </w:r>
      <w:r w:rsidRPr="000526BE">
        <w:rPr>
          <w:iCs/>
        </w:rPr>
        <w:t xml:space="preserve"> was </w:t>
      </w:r>
      <w:r w:rsidR="003E79B2">
        <w:rPr>
          <w:iCs/>
        </w:rPr>
        <w:t xml:space="preserve">less than </w:t>
      </w:r>
      <w:r w:rsidRPr="000526BE">
        <w:rPr>
          <w:iCs/>
        </w:rPr>
        <w:t>$</w:t>
      </w:r>
      <w:r w:rsidR="003E79B2">
        <w:rPr>
          <w:iCs/>
        </w:rPr>
        <w:t>15,000</w:t>
      </w:r>
      <w:r w:rsidRPr="000526BE">
        <w:rPr>
          <w:iCs/>
        </w:rPr>
        <w:t xml:space="preserve"> per QALY gained. </w:t>
      </w:r>
      <w:r w:rsidR="00272409" w:rsidRPr="000526BE">
        <w:rPr>
          <w:iCs/>
        </w:rPr>
        <w:t>However, t</w:t>
      </w:r>
      <w:r w:rsidR="00F241E2" w:rsidRPr="000526BE">
        <w:rPr>
          <w:rFonts w:asciiTheme="minorHAnsi" w:hAnsiTheme="minorHAnsi"/>
          <w:bCs/>
        </w:rPr>
        <w:t xml:space="preserve">he PBAC considered the 40 year time horizon </w:t>
      </w:r>
      <w:r w:rsidR="00272409" w:rsidRPr="000526BE">
        <w:rPr>
          <w:rFonts w:asciiTheme="minorHAnsi" w:hAnsiTheme="minorHAnsi"/>
          <w:bCs/>
        </w:rPr>
        <w:t xml:space="preserve">used </w:t>
      </w:r>
      <w:r w:rsidR="00F241E2" w:rsidRPr="000526BE">
        <w:rPr>
          <w:rFonts w:asciiTheme="minorHAnsi" w:hAnsiTheme="minorHAnsi"/>
          <w:bCs/>
        </w:rPr>
        <w:t>in the submission</w:t>
      </w:r>
      <w:r w:rsidR="00272409" w:rsidRPr="000526BE">
        <w:rPr>
          <w:rFonts w:asciiTheme="minorHAnsi" w:hAnsiTheme="minorHAnsi"/>
          <w:bCs/>
        </w:rPr>
        <w:t xml:space="preserve"> base case</w:t>
      </w:r>
      <w:r w:rsidR="00F241E2" w:rsidRPr="000526BE">
        <w:rPr>
          <w:rFonts w:asciiTheme="minorHAnsi" w:hAnsiTheme="minorHAnsi"/>
          <w:bCs/>
        </w:rPr>
        <w:t xml:space="preserve"> </w:t>
      </w:r>
      <w:r w:rsidR="00160795" w:rsidRPr="000526BE">
        <w:rPr>
          <w:rFonts w:asciiTheme="minorHAnsi" w:hAnsiTheme="minorHAnsi"/>
          <w:bCs/>
        </w:rPr>
        <w:t>was</w:t>
      </w:r>
      <w:r w:rsidR="00F241E2" w:rsidRPr="000526BE">
        <w:rPr>
          <w:rFonts w:asciiTheme="minorHAnsi" w:hAnsiTheme="minorHAnsi"/>
          <w:bCs/>
        </w:rPr>
        <w:t xml:space="preserve"> </w:t>
      </w:r>
      <w:r w:rsidR="00160795" w:rsidRPr="000526BE">
        <w:rPr>
          <w:rFonts w:asciiTheme="minorHAnsi" w:hAnsiTheme="minorHAnsi"/>
          <w:bCs/>
        </w:rPr>
        <w:t>not appropriate</w:t>
      </w:r>
      <w:r w:rsidR="00F241E2" w:rsidRPr="000526BE">
        <w:rPr>
          <w:rFonts w:asciiTheme="minorHAnsi" w:hAnsiTheme="minorHAnsi"/>
          <w:bCs/>
        </w:rPr>
        <w:t xml:space="preserve"> given that most women would be older than 45 years at diagnosis and </w:t>
      </w:r>
      <w:r w:rsidR="00C862A5" w:rsidRPr="000526BE">
        <w:rPr>
          <w:rFonts w:asciiTheme="minorHAnsi" w:hAnsiTheme="minorHAnsi"/>
          <w:bCs/>
        </w:rPr>
        <w:t>because</w:t>
      </w:r>
      <w:r w:rsidR="00272409" w:rsidRPr="000526BE">
        <w:rPr>
          <w:rFonts w:asciiTheme="minorHAnsi" w:hAnsiTheme="minorHAnsi"/>
          <w:bCs/>
        </w:rPr>
        <w:t xml:space="preserve"> the</w:t>
      </w:r>
      <w:r w:rsidR="008C4A39" w:rsidRPr="000526BE">
        <w:rPr>
          <w:rFonts w:asciiTheme="minorHAnsi" w:hAnsiTheme="minorHAnsi"/>
          <w:bCs/>
        </w:rPr>
        <w:t xml:space="preserve"> model</w:t>
      </w:r>
      <w:r w:rsidR="00272409" w:rsidRPr="000526BE">
        <w:rPr>
          <w:rFonts w:asciiTheme="minorHAnsi" w:hAnsiTheme="minorHAnsi"/>
          <w:bCs/>
        </w:rPr>
        <w:t xml:space="preserve"> </w:t>
      </w:r>
      <w:r w:rsidR="00160795" w:rsidRPr="000526BE">
        <w:rPr>
          <w:rFonts w:asciiTheme="minorHAnsi" w:hAnsiTheme="minorHAnsi"/>
          <w:bCs/>
        </w:rPr>
        <w:t>reli</w:t>
      </w:r>
      <w:r w:rsidR="008C4A39" w:rsidRPr="000526BE">
        <w:rPr>
          <w:rFonts w:asciiTheme="minorHAnsi" w:hAnsiTheme="minorHAnsi"/>
          <w:bCs/>
        </w:rPr>
        <w:t>ed</w:t>
      </w:r>
      <w:r w:rsidR="00160795" w:rsidRPr="000526BE">
        <w:rPr>
          <w:rFonts w:asciiTheme="minorHAnsi" w:hAnsiTheme="minorHAnsi"/>
          <w:bCs/>
        </w:rPr>
        <w:t xml:space="preserve"> on </w:t>
      </w:r>
      <w:r w:rsidR="008C4A39" w:rsidRPr="000526BE">
        <w:rPr>
          <w:rFonts w:asciiTheme="minorHAnsi" w:hAnsiTheme="minorHAnsi"/>
          <w:bCs/>
        </w:rPr>
        <w:t>an OS gain</w:t>
      </w:r>
      <w:r w:rsidR="006237B3" w:rsidRPr="000526BE">
        <w:rPr>
          <w:rFonts w:asciiTheme="minorHAnsi" w:hAnsiTheme="minorHAnsi"/>
          <w:bCs/>
        </w:rPr>
        <w:t xml:space="preserve"> (extrapolated from iDFS) </w:t>
      </w:r>
      <w:r w:rsidR="008C4A39" w:rsidRPr="000526BE">
        <w:rPr>
          <w:rFonts w:asciiTheme="minorHAnsi" w:hAnsiTheme="minorHAnsi"/>
          <w:bCs/>
        </w:rPr>
        <w:t>t</w:t>
      </w:r>
      <w:r w:rsidR="006237B3" w:rsidRPr="000526BE">
        <w:rPr>
          <w:rFonts w:asciiTheme="minorHAnsi" w:hAnsiTheme="minorHAnsi"/>
          <w:bCs/>
        </w:rPr>
        <w:t>hat was assumed to persist for</w:t>
      </w:r>
      <w:r w:rsidR="008C4A39" w:rsidRPr="000526BE">
        <w:rPr>
          <w:rFonts w:asciiTheme="minorHAnsi" w:hAnsiTheme="minorHAnsi"/>
          <w:bCs/>
        </w:rPr>
        <w:t xml:space="preserve"> 40 years despite the OS results from the KATHERINE trial being immature and not statistically significant.</w:t>
      </w:r>
      <w:r w:rsidR="00160795" w:rsidRPr="000526BE">
        <w:rPr>
          <w:rFonts w:asciiTheme="minorHAnsi" w:hAnsiTheme="minorHAnsi"/>
          <w:bCs/>
        </w:rPr>
        <w:t xml:space="preserve"> The PBAC considered that greater confidence in establishing cost</w:t>
      </w:r>
      <w:r w:rsidR="00C862A5" w:rsidRPr="000526BE">
        <w:rPr>
          <w:rFonts w:asciiTheme="minorHAnsi" w:hAnsiTheme="minorHAnsi"/>
          <w:bCs/>
        </w:rPr>
        <w:t>-</w:t>
      </w:r>
      <w:r w:rsidR="00160795" w:rsidRPr="000526BE">
        <w:rPr>
          <w:rFonts w:asciiTheme="minorHAnsi" w:hAnsiTheme="minorHAnsi"/>
          <w:bCs/>
        </w:rPr>
        <w:t>effectiveness would be derived by limiting the time horizon to 20 years, and noted this resulted in an ICER that was within an acceptable range ($</w:t>
      </w:r>
      <w:r w:rsidR="003E79B2">
        <w:rPr>
          <w:rFonts w:asciiTheme="minorHAnsi" w:hAnsiTheme="minorHAnsi"/>
          <w:bCs/>
        </w:rPr>
        <w:t>15,000</w:t>
      </w:r>
      <w:r w:rsidR="00160795" w:rsidRPr="000526BE">
        <w:rPr>
          <w:rFonts w:asciiTheme="minorHAnsi" w:hAnsiTheme="minorHAnsi"/>
          <w:bCs/>
        </w:rPr>
        <w:t xml:space="preserve"> per QALY). </w:t>
      </w:r>
    </w:p>
    <w:p w:rsidR="00F2367C" w:rsidRPr="000526BE" w:rsidRDefault="006075C2" w:rsidP="008C4A39">
      <w:pPr>
        <w:numPr>
          <w:ilvl w:val="1"/>
          <w:numId w:val="2"/>
        </w:numPr>
        <w:spacing w:after="120"/>
      </w:pPr>
      <w:r w:rsidRPr="000526BE">
        <w:rPr>
          <w:iCs/>
        </w:rPr>
        <w:t xml:space="preserve">The </w:t>
      </w:r>
      <w:r w:rsidR="003C7643" w:rsidRPr="000526BE">
        <w:rPr>
          <w:iCs/>
        </w:rPr>
        <w:t xml:space="preserve">PBAC noted that a </w:t>
      </w:r>
      <w:r w:rsidRPr="000526BE">
        <w:rPr>
          <w:iCs/>
        </w:rPr>
        <w:t xml:space="preserve">multivariate analysis </w:t>
      </w:r>
      <w:r w:rsidR="003C7643" w:rsidRPr="000526BE">
        <w:rPr>
          <w:iCs/>
        </w:rPr>
        <w:t xml:space="preserve">was conducted using a </w:t>
      </w:r>
      <w:r w:rsidRPr="000526BE">
        <w:rPr>
          <w:iCs/>
        </w:rPr>
        <w:t xml:space="preserve">20-year time horizon, </w:t>
      </w:r>
      <w:r w:rsidR="003C7643" w:rsidRPr="000526BE">
        <w:rPr>
          <w:iCs/>
        </w:rPr>
        <w:t xml:space="preserve">assuming </w:t>
      </w:r>
      <w:r w:rsidRPr="000526BE">
        <w:rPr>
          <w:iCs/>
        </w:rPr>
        <w:t xml:space="preserve">no sustained remission adjustment and corrected transition probabilities </w:t>
      </w:r>
      <w:r w:rsidR="005E3373" w:rsidRPr="000526BE">
        <w:rPr>
          <w:iCs/>
        </w:rPr>
        <w:t>for remission to first line mBC</w:t>
      </w:r>
      <w:r w:rsidR="00272409" w:rsidRPr="000526BE">
        <w:rPr>
          <w:iCs/>
        </w:rPr>
        <w:t>.</w:t>
      </w:r>
      <w:r w:rsidR="005E3373" w:rsidRPr="000526BE">
        <w:rPr>
          <w:iCs/>
        </w:rPr>
        <w:t xml:space="preserve"> </w:t>
      </w:r>
      <w:r w:rsidRPr="000526BE">
        <w:rPr>
          <w:iCs/>
        </w:rPr>
        <w:t xml:space="preserve">The PBAC noted that for this relatively conservative multivariate analysis the ICER remained </w:t>
      </w:r>
      <w:r w:rsidR="00272409" w:rsidRPr="000526BE">
        <w:rPr>
          <w:rFonts w:asciiTheme="minorHAnsi" w:hAnsiTheme="minorHAnsi"/>
          <w:bCs/>
        </w:rPr>
        <w:t xml:space="preserve">within an acceptable </w:t>
      </w:r>
      <w:r w:rsidR="006237B3" w:rsidRPr="000526BE">
        <w:rPr>
          <w:iCs/>
        </w:rPr>
        <w:t>range (ICER of $</w:t>
      </w:r>
      <w:r w:rsidR="003E79B2">
        <w:rPr>
          <w:iCs/>
        </w:rPr>
        <w:t>15,000 - $45,000</w:t>
      </w:r>
      <w:r w:rsidR="006237B3" w:rsidRPr="000526BE">
        <w:rPr>
          <w:iCs/>
        </w:rPr>
        <w:t xml:space="preserve"> per QALY</w:t>
      </w:r>
      <w:r w:rsidR="006237B3" w:rsidRPr="000526BE">
        <w:rPr>
          <w:rFonts w:asciiTheme="minorHAnsi" w:hAnsiTheme="minorHAnsi"/>
          <w:bCs/>
        </w:rPr>
        <w:t>)</w:t>
      </w:r>
      <w:r w:rsidRPr="000526BE">
        <w:rPr>
          <w:iCs/>
        </w:rPr>
        <w:t xml:space="preserve">. </w:t>
      </w:r>
      <w:r w:rsidRPr="000526BE">
        <w:rPr>
          <w:rFonts w:asciiTheme="minorHAnsi" w:hAnsiTheme="minorHAnsi"/>
          <w:bCs/>
        </w:rPr>
        <w:t xml:space="preserve">The PBAC </w:t>
      </w:r>
      <w:r w:rsidR="008C4A39" w:rsidRPr="000526BE">
        <w:rPr>
          <w:rFonts w:asciiTheme="minorHAnsi" w:hAnsiTheme="minorHAnsi"/>
          <w:bCs/>
        </w:rPr>
        <w:t>noted and agreed with the other issues with the model as raised by the commentary and the ESC</w:t>
      </w:r>
      <w:r w:rsidR="008C4A39" w:rsidRPr="000526BE">
        <w:t xml:space="preserve"> </w:t>
      </w:r>
      <w:r w:rsidR="008C4A39" w:rsidRPr="000526BE">
        <w:rPr>
          <w:rFonts w:asciiTheme="minorHAnsi" w:hAnsiTheme="minorHAnsi"/>
          <w:bCs/>
        </w:rPr>
        <w:t xml:space="preserve">(as outlined in the ‘Economic analysis’ section), but </w:t>
      </w:r>
      <w:r w:rsidR="00272409" w:rsidRPr="000526BE">
        <w:rPr>
          <w:rFonts w:asciiTheme="minorHAnsi" w:hAnsiTheme="minorHAnsi"/>
          <w:bCs/>
        </w:rPr>
        <w:t>considered</w:t>
      </w:r>
      <w:r w:rsidRPr="000526BE">
        <w:rPr>
          <w:rFonts w:asciiTheme="minorHAnsi" w:hAnsiTheme="minorHAnsi"/>
          <w:bCs/>
        </w:rPr>
        <w:t xml:space="preserve"> </w:t>
      </w:r>
      <w:r w:rsidR="006237B3" w:rsidRPr="000526BE">
        <w:rPr>
          <w:rFonts w:asciiTheme="minorHAnsi" w:hAnsiTheme="minorHAnsi"/>
          <w:bCs/>
        </w:rPr>
        <w:t>th</w:t>
      </w:r>
      <w:r w:rsidR="003F0B9C" w:rsidRPr="000526BE">
        <w:rPr>
          <w:rFonts w:asciiTheme="minorHAnsi" w:hAnsiTheme="minorHAnsi"/>
          <w:bCs/>
        </w:rPr>
        <w:t>at if these were corrected, the ICER would remain within an acceptable range. T</w:t>
      </w:r>
      <w:r w:rsidRPr="000526BE">
        <w:rPr>
          <w:rFonts w:asciiTheme="minorHAnsi" w:hAnsiTheme="minorHAnsi"/>
          <w:bCs/>
        </w:rPr>
        <w:t xml:space="preserve">he sensitivity analyses indicated that the model results were reasonable and fairly robust within plausible ranges of parameters. </w:t>
      </w:r>
    </w:p>
    <w:p w:rsidR="00D80475" w:rsidRPr="000526BE" w:rsidRDefault="00D10130" w:rsidP="00D80475">
      <w:pPr>
        <w:numPr>
          <w:ilvl w:val="1"/>
          <w:numId w:val="2"/>
        </w:numPr>
        <w:spacing w:after="120"/>
      </w:pPr>
      <w:r w:rsidRPr="000526BE">
        <w:t xml:space="preserve">The PBAC considered that the estimated PBS population was likely overestimated in the submission. </w:t>
      </w:r>
      <w:r w:rsidR="00A45556" w:rsidRPr="000526BE">
        <w:t xml:space="preserve">The PBAC considered the changes to the financial estimates that were proposed by </w:t>
      </w:r>
      <w:r w:rsidR="003F0B9C" w:rsidRPr="000526BE">
        <w:t>the pre-PBAC response (in the scenario without neoadjuvant pertuzumab listed</w:t>
      </w:r>
      <w:r w:rsidR="00D77E4F" w:rsidRPr="000526BE">
        <w:t>, which reflects the current funding situation</w:t>
      </w:r>
      <w:r w:rsidR="003F0B9C" w:rsidRPr="000526BE">
        <w:t>)</w:t>
      </w:r>
      <w:r w:rsidR="003F0B9C" w:rsidRPr="000526BE" w:rsidDel="003F0B9C">
        <w:t xml:space="preserve"> </w:t>
      </w:r>
      <w:r w:rsidR="00A45556" w:rsidRPr="000526BE">
        <w:t>were reasonable</w:t>
      </w:r>
      <w:r w:rsidR="005E3373" w:rsidRPr="000526BE">
        <w:t>,</w:t>
      </w:r>
      <w:r w:rsidR="00A45556" w:rsidRPr="000526BE">
        <w:t xml:space="preserve"> including</w:t>
      </w:r>
      <w:r w:rsidR="00E371E1" w:rsidRPr="000526BE">
        <w:t xml:space="preserve"> revising the rate of HER2 targeted neoadjuvant treatment, </w:t>
      </w:r>
      <w:r w:rsidR="003D76E2" w:rsidRPr="000526BE">
        <w:t>use of neoadjuvant pertuzumab, re</w:t>
      </w:r>
      <w:r w:rsidR="002365C7" w:rsidRPr="000526BE">
        <w:t>si</w:t>
      </w:r>
      <w:r w:rsidR="003D76E2" w:rsidRPr="000526BE">
        <w:t xml:space="preserve">dual disease rates and </w:t>
      </w:r>
      <w:r w:rsidR="00E371E1" w:rsidRPr="000526BE">
        <w:t xml:space="preserve">treatment uptake </w:t>
      </w:r>
      <w:r w:rsidR="003D76E2" w:rsidRPr="000526BE">
        <w:t>as outlined in Table 19</w:t>
      </w:r>
      <w:r w:rsidR="00E371E1" w:rsidRPr="000526BE">
        <w:t>.</w:t>
      </w:r>
      <w:r w:rsidR="002365C7" w:rsidRPr="000526BE">
        <w:t xml:space="preserve"> </w:t>
      </w:r>
    </w:p>
    <w:p w:rsidR="001B240A" w:rsidRPr="000526BE" w:rsidRDefault="001B240A" w:rsidP="001B240A">
      <w:pPr>
        <w:pStyle w:val="ListParagraph"/>
        <w:widowControl/>
        <w:numPr>
          <w:ilvl w:val="1"/>
          <w:numId w:val="2"/>
        </w:numPr>
        <w:rPr>
          <w:iCs/>
        </w:rPr>
      </w:pPr>
      <w:r w:rsidRPr="000526BE">
        <w:t>The PBAC noted that cost offsets (for pertuzumab, trastuzumab and T-DM1) were included in the economic model for subsequent treatments due to a reduction in rates of metastatic disease, including within the first 6 years. However, the</w:t>
      </w:r>
      <w:r w:rsidR="00DE199B" w:rsidRPr="000526BE">
        <w:t>se</w:t>
      </w:r>
      <w:r w:rsidRPr="000526BE">
        <w:t xml:space="preserve"> cost offsets were not included in the financial estimates. The PBAC considered that the clinical data in eBC </w:t>
      </w:r>
      <w:r w:rsidR="00B80E46">
        <w:t xml:space="preserve">and mBC </w:t>
      </w:r>
      <w:r w:rsidRPr="000526BE">
        <w:t xml:space="preserve">indicates that most patients with recurrence would progress to second-line treatment with T-DM1 within 6 years after adjuvant therapy. </w:t>
      </w:r>
      <w:r w:rsidR="00A92E0E" w:rsidRPr="000526BE">
        <w:t>T</w:t>
      </w:r>
      <w:r w:rsidRPr="000526BE">
        <w:t xml:space="preserve">he PBAC considered that cost offsets for pertuzumab, trastuzumab and T-DM1 should be included in the financial estimates consistent with the </w:t>
      </w:r>
      <w:r w:rsidR="00A92E0E" w:rsidRPr="000526BE">
        <w:t xml:space="preserve">level of cost offsets </w:t>
      </w:r>
      <w:r w:rsidRPr="000526BE">
        <w:t xml:space="preserve">estimated in the economic model. </w:t>
      </w:r>
    </w:p>
    <w:p w:rsidR="003B1962" w:rsidRPr="000526BE" w:rsidRDefault="00953848" w:rsidP="008040A2">
      <w:pPr>
        <w:numPr>
          <w:ilvl w:val="1"/>
          <w:numId w:val="2"/>
        </w:numPr>
        <w:spacing w:after="120"/>
      </w:pPr>
      <w:r w:rsidRPr="000526BE">
        <w:t xml:space="preserve">The PBAC </w:t>
      </w:r>
      <w:r w:rsidR="00D476DA" w:rsidRPr="000526BE">
        <w:t xml:space="preserve">considered </w:t>
      </w:r>
      <w:r w:rsidR="009E3DBC" w:rsidRPr="000526BE">
        <w:t xml:space="preserve">that there is uncertainty with regard to several assumptions </w:t>
      </w:r>
      <w:r w:rsidR="008040A2" w:rsidRPr="000526BE">
        <w:t>appli</w:t>
      </w:r>
      <w:r w:rsidR="009E3DBC" w:rsidRPr="000526BE">
        <w:t>ed in the financial estimates</w:t>
      </w:r>
      <w:r w:rsidR="00D476DA" w:rsidRPr="000526BE">
        <w:t xml:space="preserve">, and </w:t>
      </w:r>
      <w:r w:rsidR="009E3DBC" w:rsidRPr="000526BE">
        <w:t xml:space="preserve">considered that an RSA </w:t>
      </w:r>
      <w:r w:rsidR="006E7800" w:rsidRPr="000526BE">
        <w:t xml:space="preserve">based on the updated financial estimates </w:t>
      </w:r>
      <w:r w:rsidR="007C5753" w:rsidRPr="000526BE">
        <w:t xml:space="preserve">with </w:t>
      </w:r>
      <w:r w:rsidR="00756F83">
        <w:rPr>
          <w:noProof/>
          <w:color w:val="000000"/>
          <w:highlight w:val="black"/>
        </w:rPr>
        <w:t>'''''''</w:t>
      </w:r>
      <w:r w:rsidR="00D16502" w:rsidRPr="000526BE">
        <w:t>%</w:t>
      </w:r>
      <w:r w:rsidR="007C5753" w:rsidRPr="000526BE">
        <w:t xml:space="preserve"> rebate beyond </w:t>
      </w:r>
      <w:r w:rsidR="008040A2" w:rsidRPr="000526BE">
        <w:t xml:space="preserve">the </w:t>
      </w:r>
      <w:r w:rsidR="007C5753" w:rsidRPr="000526BE">
        <w:t xml:space="preserve">caps </w:t>
      </w:r>
      <w:r w:rsidR="009E3DBC" w:rsidRPr="000526BE">
        <w:t xml:space="preserve">would be </w:t>
      </w:r>
      <w:r w:rsidR="00D476DA" w:rsidRPr="000526BE">
        <w:t>required</w:t>
      </w:r>
      <w:r w:rsidR="009E3DBC" w:rsidRPr="000526BE">
        <w:t xml:space="preserve"> to address </w:t>
      </w:r>
      <w:r w:rsidR="00D476DA" w:rsidRPr="000526BE">
        <w:t xml:space="preserve">these </w:t>
      </w:r>
      <w:r w:rsidR="009E3DBC" w:rsidRPr="000526BE">
        <w:t>uncertaint</w:t>
      </w:r>
      <w:r w:rsidR="00D476DA" w:rsidRPr="000526BE">
        <w:t xml:space="preserve">ies. </w:t>
      </w:r>
      <w:r w:rsidR="009E3DBC" w:rsidRPr="000526BE">
        <w:t xml:space="preserve">The PBAC noted </w:t>
      </w:r>
      <w:r w:rsidRPr="000526BE">
        <w:t xml:space="preserve">that there </w:t>
      </w:r>
      <w:r w:rsidR="00D476DA" w:rsidRPr="000526BE">
        <w:t>are</w:t>
      </w:r>
      <w:r w:rsidRPr="000526BE">
        <w:t xml:space="preserve"> cap</w:t>
      </w:r>
      <w:r w:rsidR="00D476DA" w:rsidRPr="000526BE">
        <w:t>s</w:t>
      </w:r>
      <w:r w:rsidRPr="000526BE">
        <w:t xml:space="preserve"> in place for T-DM1 </w:t>
      </w:r>
      <w:r w:rsidR="00D476DA" w:rsidRPr="000526BE">
        <w:t xml:space="preserve">and pertuzumab </w:t>
      </w:r>
      <w:r w:rsidRPr="000526BE">
        <w:t xml:space="preserve">in the metastatic setting. </w:t>
      </w:r>
      <w:r w:rsidR="008040A2" w:rsidRPr="000526BE">
        <w:t>As noted above, the cost-effectiveness analysis assumed cost offsets for reduced use of T-DM1 and pertuzumab in the mBC setting due to fewer patients progressing to metastatic disease. To ensure the modelled cost-offsets are realised, the PBAC considered that it would be appropriate to reduce the T-DM1 and pertuzumab expenditure caps in the mBC setting</w:t>
      </w:r>
      <w:r w:rsidR="006E7800" w:rsidRPr="000526BE">
        <w:t xml:space="preserve"> in line with any </w:t>
      </w:r>
      <w:r w:rsidR="00DD2289" w:rsidRPr="000526BE">
        <w:t>amended</w:t>
      </w:r>
      <w:r w:rsidR="006E7800" w:rsidRPr="000526BE">
        <w:t xml:space="preserve"> financial estimates for T-DM1</w:t>
      </w:r>
      <w:r w:rsidR="008040A2" w:rsidRPr="000526BE">
        <w:t>. The PBAC considered the assumptions and outputs from the economic model for subsequent treatments were appropriate to determine the reduction in the mBC expenditure caps required.</w:t>
      </w:r>
    </w:p>
    <w:p w:rsidR="00352397" w:rsidRPr="000526BE" w:rsidRDefault="00352397" w:rsidP="00352397">
      <w:pPr>
        <w:numPr>
          <w:ilvl w:val="1"/>
          <w:numId w:val="2"/>
        </w:numPr>
        <w:spacing w:after="120"/>
        <w:rPr>
          <w:rFonts w:asciiTheme="minorHAnsi" w:hAnsiTheme="minorHAnsi"/>
          <w:bCs/>
        </w:rPr>
      </w:pPr>
      <w:r w:rsidRPr="000526BE">
        <w:rPr>
          <w:rFonts w:asciiTheme="minorHAnsi" w:hAnsiTheme="minorHAnsi"/>
          <w:bCs/>
        </w:rPr>
        <w:t xml:space="preserve">Under section 101(3BA) of the </w:t>
      </w:r>
      <w:r w:rsidRPr="000526BE">
        <w:rPr>
          <w:rFonts w:asciiTheme="minorHAnsi" w:hAnsiTheme="minorHAnsi"/>
          <w:bCs/>
          <w:i/>
        </w:rPr>
        <w:t>National Health Act 1953</w:t>
      </w:r>
      <w:r w:rsidRPr="000526BE">
        <w:rPr>
          <w:rFonts w:asciiTheme="minorHAnsi" w:hAnsiTheme="minorHAnsi"/>
          <w:bCs/>
        </w:rPr>
        <w:t xml:space="preserve">, the PBAC recommended that T-DM1 should not be treated as interchangeable on an individual patient basis with any other drugs. </w:t>
      </w:r>
    </w:p>
    <w:p w:rsidR="00352397" w:rsidRPr="000526BE" w:rsidRDefault="00352397" w:rsidP="00352397">
      <w:pPr>
        <w:numPr>
          <w:ilvl w:val="1"/>
          <w:numId w:val="2"/>
        </w:numPr>
        <w:spacing w:after="120"/>
        <w:rPr>
          <w:rFonts w:asciiTheme="minorHAnsi" w:hAnsiTheme="minorHAnsi"/>
          <w:bCs/>
        </w:rPr>
      </w:pPr>
      <w:r w:rsidRPr="000526BE">
        <w:rPr>
          <w:rFonts w:asciiTheme="minorHAnsi" w:hAnsiTheme="minorHAnsi"/>
          <w:bCs/>
        </w:rPr>
        <w:t xml:space="preserve">The PBAC advised that T-DM1 is not suitable for prescribing by nurse practitioners as antineoplastic agents are currently considered to be out of scope for prescribing by nurse practitioners. </w:t>
      </w:r>
    </w:p>
    <w:p w:rsidR="00352397" w:rsidRPr="000526BE" w:rsidRDefault="00352397" w:rsidP="00352397">
      <w:pPr>
        <w:numPr>
          <w:ilvl w:val="1"/>
          <w:numId w:val="2"/>
        </w:numPr>
        <w:spacing w:after="120"/>
        <w:rPr>
          <w:rFonts w:asciiTheme="minorHAnsi" w:hAnsiTheme="minorHAnsi"/>
          <w:bCs/>
        </w:rPr>
      </w:pPr>
      <w:r w:rsidRPr="000526BE">
        <w:rPr>
          <w:rFonts w:asciiTheme="minorHAnsi" w:hAnsiTheme="minorHAnsi"/>
          <w:bCs/>
        </w:rPr>
        <w:t>The PBAC recommended that the Early Supply Rule should not apply as it currently does not apply to Section 100 Efficient Funding of Chemotherapy listings.</w:t>
      </w:r>
    </w:p>
    <w:p w:rsidR="00352397" w:rsidRPr="000526BE" w:rsidRDefault="00352397" w:rsidP="00352397">
      <w:pPr>
        <w:numPr>
          <w:ilvl w:val="1"/>
          <w:numId w:val="2"/>
        </w:numPr>
        <w:spacing w:after="120"/>
        <w:rPr>
          <w:rFonts w:asciiTheme="minorHAnsi" w:hAnsiTheme="minorHAnsi"/>
          <w:bCs/>
        </w:rPr>
      </w:pPr>
      <w:r w:rsidRPr="000526BE">
        <w:rPr>
          <w:rFonts w:asciiTheme="minorHAnsi" w:hAnsiTheme="minorHAnsi"/>
          <w:bCs/>
        </w:rPr>
        <w:t xml:space="preserve">The PBAC found that the criteria prescribed by the </w:t>
      </w:r>
      <w:r w:rsidRPr="000526BE">
        <w:rPr>
          <w:rFonts w:asciiTheme="minorHAnsi" w:hAnsiTheme="minorHAnsi"/>
          <w:bCs/>
          <w:i/>
        </w:rPr>
        <w:t>National Health (Pharmaceuticals and Vaccines – Cost Recovery) Regulations 2009</w:t>
      </w:r>
      <w:r w:rsidRPr="000526BE">
        <w:rPr>
          <w:rFonts w:asciiTheme="minorHAnsi" w:hAnsiTheme="minorHAnsi"/>
          <w:bCs/>
        </w:rPr>
        <w:t xml:space="preserve"> for Pricing Pathway A were met. Specifically the PBAC found that in the circumstances of its recommendation for T-DM1:</w:t>
      </w:r>
    </w:p>
    <w:p w:rsidR="00352397" w:rsidRPr="000526BE" w:rsidRDefault="00352397" w:rsidP="00352397">
      <w:pPr>
        <w:pStyle w:val="ListParagraph"/>
        <w:numPr>
          <w:ilvl w:val="0"/>
          <w:numId w:val="21"/>
        </w:numPr>
        <w:spacing w:after="120"/>
        <w:rPr>
          <w:rFonts w:asciiTheme="minorHAnsi" w:hAnsiTheme="minorHAnsi"/>
          <w:bCs/>
        </w:rPr>
      </w:pPr>
      <w:r w:rsidRPr="000526BE">
        <w:rPr>
          <w:rFonts w:asciiTheme="minorHAnsi" w:hAnsiTheme="minorHAnsi"/>
          <w:bCs/>
        </w:rPr>
        <w:t xml:space="preserve">The treatment is expected to provide a substantial and clinically relevant improvement in efficacy, over alternative therapies, </w:t>
      </w:r>
      <w:r w:rsidRPr="00157DED">
        <w:rPr>
          <w:rFonts w:asciiTheme="minorHAnsi" w:hAnsiTheme="minorHAnsi"/>
          <w:bCs/>
        </w:rPr>
        <w:t>on the basis of iDFS as outlined in paragraph</w:t>
      </w:r>
      <w:r w:rsidR="000B492F" w:rsidRPr="00157DED">
        <w:rPr>
          <w:rFonts w:asciiTheme="minorHAnsi" w:hAnsiTheme="minorHAnsi"/>
          <w:bCs/>
        </w:rPr>
        <w:t xml:space="preserve"> 6.</w:t>
      </w:r>
      <w:r w:rsidR="009160BF" w:rsidRPr="00157DED">
        <w:rPr>
          <w:rFonts w:asciiTheme="minorHAnsi" w:hAnsiTheme="minorHAnsi"/>
          <w:bCs/>
        </w:rPr>
        <w:t>11</w:t>
      </w:r>
      <w:r w:rsidRPr="00157DED">
        <w:rPr>
          <w:rFonts w:asciiTheme="minorHAnsi" w:hAnsiTheme="minorHAnsi"/>
          <w:bCs/>
        </w:rPr>
        <w:t>;</w:t>
      </w:r>
      <w:r w:rsidRPr="000526BE">
        <w:rPr>
          <w:rFonts w:asciiTheme="minorHAnsi" w:hAnsiTheme="minorHAnsi"/>
          <w:bCs/>
        </w:rPr>
        <w:t xml:space="preserve"> </w:t>
      </w:r>
    </w:p>
    <w:p w:rsidR="00352397" w:rsidRPr="000526BE" w:rsidRDefault="00352397" w:rsidP="00352397">
      <w:pPr>
        <w:pStyle w:val="ListParagraph"/>
        <w:numPr>
          <w:ilvl w:val="0"/>
          <w:numId w:val="21"/>
        </w:numPr>
        <w:spacing w:after="120"/>
        <w:rPr>
          <w:rFonts w:asciiTheme="minorHAnsi" w:hAnsiTheme="minorHAnsi"/>
          <w:bCs/>
        </w:rPr>
      </w:pPr>
      <w:r w:rsidRPr="000526BE">
        <w:rPr>
          <w:rFonts w:asciiTheme="minorHAnsi" w:hAnsiTheme="minorHAnsi"/>
          <w:bCs/>
        </w:rPr>
        <w:t>The treatment is expected to address a high and urgent unmet clinical need in the population at high risk of disease recurrence;</w:t>
      </w:r>
    </w:p>
    <w:p w:rsidR="00352397" w:rsidRPr="000526BE" w:rsidRDefault="00352397" w:rsidP="00352397">
      <w:pPr>
        <w:pStyle w:val="ListParagraph"/>
        <w:numPr>
          <w:ilvl w:val="0"/>
          <w:numId w:val="21"/>
        </w:numPr>
        <w:spacing w:after="120"/>
        <w:rPr>
          <w:rFonts w:asciiTheme="minorHAnsi" w:hAnsiTheme="minorHAnsi"/>
          <w:bCs/>
        </w:rPr>
      </w:pPr>
      <w:r w:rsidRPr="000526BE">
        <w:rPr>
          <w:rFonts w:asciiTheme="minorHAnsi" w:hAnsiTheme="minorHAnsi"/>
          <w:bCs/>
        </w:rPr>
        <w:t>It would be in the public interest for the subsequent pricing application to be progressed under Pricing Pathway A on the basis of the preceding findings.</w:t>
      </w:r>
    </w:p>
    <w:p w:rsidR="00352397" w:rsidRPr="000526BE" w:rsidRDefault="00352397" w:rsidP="00352397">
      <w:pPr>
        <w:numPr>
          <w:ilvl w:val="1"/>
          <w:numId w:val="2"/>
        </w:numPr>
        <w:spacing w:after="120"/>
        <w:rPr>
          <w:rFonts w:asciiTheme="minorHAnsi" w:hAnsiTheme="minorHAnsi"/>
          <w:bCs/>
          <w:i/>
        </w:rPr>
      </w:pPr>
      <w:r w:rsidRPr="000526BE">
        <w:rPr>
          <w:rFonts w:asciiTheme="minorHAnsi" w:hAnsiTheme="minorHAnsi"/>
          <w:bCs/>
        </w:rPr>
        <w:t>The PBAC noted that this submission is not eligible for an Independent Review because it received a positive recommendation.</w:t>
      </w:r>
    </w:p>
    <w:p w:rsidR="00352397" w:rsidRPr="000526BE" w:rsidRDefault="00352397" w:rsidP="00352397">
      <w:pPr>
        <w:spacing w:after="240"/>
        <w:contextualSpacing/>
        <w:rPr>
          <w:rFonts w:asciiTheme="minorHAnsi" w:hAnsiTheme="minorHAnsi"/>
          <w:bCs/>
        </w:rPr>
      </w:pPr>
    </w:p>
    <w:p w:rsidR="00A54F1C" w:rsidRPr="000526BE" w:rsidRDefault="00A54F1C" w:rsidP="00A54F1C">
      <w:pPr>
        <w:spacing w:before="240"/>
        <w:rPr>
          <w:rFonts w:asciiTheme="minorHAnsi" w:hAnsiTheme="minorHAnsi"/>
          <w:b/>
          <w:bCs/>
        </w:rPr>
      </w:pPr>
      <w:r w:rsidRPr="000526BE">
        <w:rPr>
          <w:rFonts w:asciiTheme="minorHAnsi" w:hAnsiTheme="minorHAnsi"/>
          <w:b/>
          <w:bCs/>
        </w:rPr>
        <w:t>Outcome:</w:t>
      </w:r>
    </w:p>
    <w:p w:rsidR="00A54F1C" w:rsidRPr="00374ECB" w:rsidRDefault="00352397" w:rsidP="00A54F1C">
      <w:pPr>
        <w:rPr>
          <w:rFonts w:asciiTheme="minorHAnsi" w:hAnsiTheme="minorHAnsi"/>
          <w:bCs/>
        </w:rPr>
      </w:pPr>
      <w:r w:rsidRPr="000526BE">
        <w:rPr>
          <w:rFonts w:asciiTheme="minorHAnsi" w:hAnsiTheme="minorHAnsi"/>
          <w:bCs/>
        </w:rPr>
        <w:t>Recommended</w:t>
      </w:r>
    </w:p>
    <w:p w:rsidR="00A54F1C" w:rsidRPr="000526BE" w:rsidRDefault="00A54F1C" w:rsidP="00A54F1C">
      <w:pPr>
        <w:numPr>
          <w:ilvl w:val="0"/>
          <w:numId w:val="2"/>
        </w:numPr>
        <w:spacing w:before="240" w:after="120"/>
        <w:outlineLvl w:val="0"/>
        <w:rPr>
          <w:rFonts w:asciiTheme="minorHAnsi" w:hAnsiTheme="minorHAnsi"/>
          <w:b/>
          <w:bCs/>
          <w:i/>
          <w:sz w:val="32"/>
        </w:rPr>
      </w:pPr>
      <w:r w:rsidRPr="000526BE">
        <w:rPr>
          <w:rFonts w:asciiTheme="minorHAnsi" w:hAnsiTheme="minorHAnsi"/>
          <w:b/>
          <w:bCs/>
          <w:sz w:val="32"/>
        </w:rPr>
        <w:t>Recommended listing</w:t>
      </w:r>
    </w:p>
    <w:p w:rsidR="005E4175" w:rsidRDefault="00A54F1C" w:rsidP="005E4175">
      <w:pPr>
        <w:numPr>
          <w:ilvl w:val="1"/>
          <w:numId w:val="2"/>
        </w:numPr>
        <w:rPr>
          <w:rFonts w:asciiTheme="minorHAnsi" w:hAnsiTheme="minorHAnsi"/>
          <w:b/>
          <w:bCs/>
        </w:rPr>
      </w:pPr>
      <w:r w:rsidRPr="000526BE">
        <w:rPr>
          <w:rFonts w:asciiTheme="minorHAnsi" w:hAnsiTheme="minorHAnsi"/>
          <w:bCs/>
        </w:rPr>
        <w:t xml:space="preserve">Add </w:t>
      </w:r>
      <w:r w:rsidR="00635DAB">
        <w:rPr>
          <w:rFonts w:asciiTheme="minorHAnsi" w:hAnsiTheme="minorHAnsi"/>
          <w:bCs/>
        </w:rPr>
        <w:t>new items for new indication for trastuzumab emtansine</w:t>
      </w:r>
      <w:r w:rsidRPr="000526BE">
        <w:rPr>
          <w:rFonts w:asciiTheme="minorHAnsi" w:hAnsiTheme="minorHAnsi"/>
          <w:bCs/>
        </w:rPr>
        <w:t>:</w:t>
      </w:r>
    </w:p>
    <w:p w:rsidR="005E4175" w:rsidRPr="005E4175" w:rsidRDefault="005E4175" w:rsidP="005E4175">
      <w:pPr>
        <w:rPr>
          <w:rFonts w:asciiTheme="minorHAnsi" w:hAnsiTheme="minorHAnsi"/>
          <w:b/>
          <w:bCs/>
        </w:rPr>
      </w:pPr>
    </w:p>
    <w:tbl>
      <w:tblPr>
        <w:tblW w:w="5000" w:type="pct"/>
        <w:tblLook w:val="0000" w:firstRow="0" w:lastRow="0" w:firstColumn="0" w:lastColumn="0" w:noHBand="0" w:noVBand="0"/>
      </w:tblPr>
      <w:tblGrid>
        <w:gridCol w:w="3475"/>
        <w:gridCol w:w="1345"/>
        <w:gridCol w:w="1275"/>
        <w:gridCol w:w="991"/>
        <w:gridCol w:w="1941"/>
      </w:tblGrid>
      <w:tr w:rsidR="00B552D4" w:rsidRPr="00E575A0" w:rsidTr="00374ECB">
        <w:trPr>
          <w:cantSplit/>
          <w:trHeight w:val="212"/>
        </w:trPr>
        <w:tc>
          <w:tcPr>
            <w:tcW w:w="1925" w:type="pct"/>
            <w:tcBorders>
              <w:bottom w:val="single" w:sz="4" w:space="0" w:color="auto"/>
            </w:tcBorders>
          </w:tcPr>
          <w:p w:rsidR="00B552D4" w:rsidRPr="001B1D3E" w:rsidRDefault="00B552D4" w:rsidP="00387C88">
            <w:pPr>
              <w:keepNext/>
              <w:ind w:left="-108"/>
              <w:rPr>
                <w:rFonts w:ascii="Arial Narrow" w:hAnsi="Arial Narrow" w:cstheme="minorHAnsi"/>
                <w:b/>
                <w:sz w:val="20"/>
                <w:szCs w:val="18"/>
              </w:rPr>
            </w:pPr>
            <w:r w:rsidRPr="001B1D3E">
              <w:rPr>
                <w:rFonts w:ascii="Arial Narrow" w:hAnsi="Arial Narrow" w:cstheme="minorHAnsi"/>
                <w:b/>
                <w:sz w:val="20"/>
                <w:szCs w:val="18"/>
              </w:rPr>
              <w:t>Name, manner of administration</w:t>
            </w:r>
          </w:p>
        </w:tc>
        <w:tc>
          <w:tcPr>
            <w:tcW w:w="745" w:type="pct"/>
            <w:tcBorders>
              <w:bottom w:val="single" w:sz="4" w:space="0" w:color="auto"/>
            </w:tcBorders>
          </w:tcPr>
          <w:p w:rsidR="00B552D4" w:rsidRPr="001B1D3E" w:rsidRDefault="00B552D4" w:rsidP="00387C88">
            <w:pPr>
              <w:keepNext/>
              <w:ind w:left="-108"/>
              <w:jc w:val="center"/>
              <w:rPr>
                <w:rFonts w:ascii="Arial Narrow" w:hAnsi="Arial Narrow" w:cstheme="minorHAnsi"/>
                <w:b/>
                <w:sz w:val="20"/>
                <w:szCs w:val="18"/>
              </w:rPr>
            </w:pPr>
            <w:r w:rsidRPr="001B1D3E">
              <w:rPr>
                <w:rFonts w:ascii="Arial Narrow" w:hAnsi="Arial Narrow" w:cstheme="minorHAnsi"/>
                <w:b/>
                <w:sz w:val="20"/>
                <w:szCs w:val="18"/>
              </w:rPr>
              <w:t>PBS item code</w:t>
            </w:r>
          </w:p>
        </w:tc>
        <w:tc>
          <w:tcPr>
            <w:tcW w:w="706" w:type="pct"/>
            <w:tcBorders>
              <w:bottom w:val="single" w:sz="4" w:space="0" w:color="auto"/>
            </w:tcBorders>
          </w:tcPr>
          <w:p w:rsidR="00B552D4" w:rsidRPr="001B1D3E" w:rsidRDefault="00B552D4" w:rsidP="00387C88">
            <w:pPr>
              <w:keepNext/>
              <w:ind w:left="-108"/>
              <w:jc w:val="center"/>
              <w:rPr>
                <w:rFonts w:ascii="Arial Narrow" w:hAnsi="Arial Narrow" w:cstheme="minorHAnsi"/>
                <w:b/>
                <w:sz w:val="20"/>
                <w:szCs w:val="18"/>
              </w:rPr>
            </w:pPr>
            <w:r w:rsidRPr="001B1D3E">
              <w:rPr>
                <w:rFonts w:ascii="Arial Narrow" w:hAnsi="Arial Narrow" w:cstheme="minorHAnsi"/>
                <w:b/>
                <w:sz w:val="20"/>
                <w:szCs w:val="18"/>
              </w:rPr>
              <w:t>Max. Amount</w:t>
            </w:r>
          </w:p>
        </w:tc>
        <w:tc>
          <w:tcPr>
            <w:tcW w:w="549" w:type="pct"/>
            <w:tcBorders>
              <w:bottom w:val="single" w:sz="4" w:space="0" w:color="auto"/>
            </w:tcBorders>
          </w:tcPr>
          <w:p w:rsidR="00B552D4" w:rsidRPr="001B1D3E" w:rsidRDefault="00B552D4" w:rsidP="00387C88">
            <w:pPr>
              <w:keepNext/>
              <w:ind w:left="-108"/>
              <w:jc w:val="center"/>
              <w:rPr>
                <w:rFonts w:ascii="Arial Narrow" w:hAnsi="Arial Narrow" w:cstheme="minorHAnsi"/>
                <w:b/>
                <w:sz w:val="20"/>
                <w:szCs w:val="18"/>
              </w:rPr>
            </w:pPr>
            <w:r w:rsidRPr="001B1D3E">
              <w:rPr>
                <w:rFonts w:ascii="Arial Narrow" w:hAnsi="Arial Narrow" w:cstheme="minorHAnsi"/>
                <w:b/>
                <w:sz w:val="20"/>
                <w:szCs w:val="18"/>
              </w:rPr>
              <w:t>№.of Rpts</w:t>
            </w:r>
          </w:p>
        </w:tc>
        <w:tc>
          <w:tcPr>
            <w:tcW w:w="1075" w:type="pct"/>
            <w:tcBorders>
              <w:bottom w:val="single" w:sz="4" w:space="0" w:color="auto"/>
            </w:tcBorders>
          </w:tcPr>
          <w:p w:rsidR="00B552D4" w:rsidRPr="001B1D3E" w:rsidRDefault="00B552D4" w:rsidP="00387C88">
            <w:pPr>
              <w:keepNext/>
              <w:rPr>
                <w:rFonts w:ascii="Arial Narrow" w:hAnsi="Arial Narrow" w:cstheme="minorHAnsi"/>
                <w:b/>
                <w:sz w:val="20"/>
                <w:szCs w:val="18"/>
              </w:rPr>
            </w:pPr>
            <w:r w:rsidRPr="001B1D3E">
              <w:rPr>
                <w:rFonts w:ascii="Arial Narrow" w:hAnsi="Arial Narrow" w:cstheme="minorHAnsi"/>
                <w:b/>
                <w:sz w:val="20"/>
                <w:szCs w:val="18"/>
              </w:rPr>
              <w:t>Manufacturer</w:t>
            </w:r>
          </w:p>
        </w:tc>
      </w:tr>
      <w:tr w:rsidR="00B552D4" w:rsidRPr="00E575A0" w:rsidTr="00374ECB">
        <w:trPr>
          <w:cantSplit/>
          <w:trHeight w:val="577"/>
        </w:trPr>
        <w:tc>
          <w:tcPr>
            <w:tcW w:w="1925" w:type="pct"/>
          </w:tcPr>
          <w:p w:rsidR="00B552D4" w:rsidRPr="001B1D3E" w:rsidRDefault="00B552D4" w:rsidP="00387C88">
            <w:pPr>
              <w:keepNext/>
              <w:spacing w:before="40" w:after="40"/>
              <w:rPr>
                <w:rFonts w:ascii="Arial Narrow" w:hAnsi="Arial Narrow" w:cstheme="minorHAnsi"/>
                <w:sz w:val="20"/>
                <w:szCs w:val="18"/>
              </w:rPr>
            </w:pPr>
            <w:r w:rsidRPr="001B1D3E">
              <w:rPr>
                <w:rFonts w:ascii="Arial Narrow" w:hAnsi="Arial Narrow" w:cstheme="minorHAnsi"/>
                <w:caps/>
                <w:sz w:val="20"/>
                <w:szCs w:val="18"/>
              </w:rPr>
              <w:t>Trastuzumab emtansine</w:t>
            </w:r>
            <w:r w:rsidRPr="001B1D3E">
              <w:rPr>
                <w:rFonts w:ascii="Arial Narrow" w:hAnsi="Arial Narrow" w:cstheme="minorHAnsi"/>
                <w:sz w:val="20"/>
                <w:szCs w:val="18"/>
              </w:rPr>
              <w:t xml:space="preserve"> </w:t>
            </w:r>
          </w:p>
          <w:p w:rsidR="00B552D4" w:rsidRPr="001B1D3E" w:rsidRDefault="00B552D4" w:rsidP="00387C88">
            <w:pPr>
              <w:keepNext/>
              <w:spacing w:before="40" w:after="40"/>
              <w:rPr>
                <w:rFonts w:ascii="Arial Narrow" w:hAnsi="Arial Narrow" w:cstheme="minorHAnsi"/>
                <w:sz w:val="20"/>
                <w:szCs w:val="18"/>
              </w:rPr>
            </w:pPr>
            <w:r w:rsidRPr="001B1D3E">
              <w:rPr>
                <w:rFonts w:ascii="Arial Narrow" w:hAnsi="Arial Narrow" w:cstheme="minorHAnsi"/>
                <w:sz w:val="20"/>
                <w:szCs w:val="18"/>
              </w:rPr>
              <w:t>Injection</w:t>
            </w:r>
          </w:p>
        </w:tc>
        <w:tc>
          <w:tcPr>
            <w:tcW w:w="745" w:type="pct"/>
          </w:tcPr>
          <w:p w:rsidR="00B552D4" w:rsidRPr="001B1D3E" w:rsidRDefault="00B552D4" w:rsidP="00387C88">
            <w:pPr>
              <w:keepNext/>
              <w:rPr>
                <w:rFonts w:ascii="Arial Narrow" w:hAnsi="Arial Narrow" w:cstheme="minorHAnsi"/>
                <w:sz w:val="20"/>
                <w:szCs w:val="18"/>
              </w:rPr>
            </w:pPr>
          </w:p>
          <w:p w:rsidR="00B552D4" w:rsidRPr="001B1D3E" w:rsidRDefault="00B552D4" w:rsidP="00387C88">
            <w:pPr>
              <w:keepNext/>
              <w:ind w:left="-108"/>
              <w:jc w:val="center"/>
              <w:rPr>
                <w:rFonts w:ascii="Arial Narrow" w:hAnsi="Arial Narrow" w:cstheme="minorHAnsi"/>
                <w:sz w:val="20"/>
                <w:szCs w:val="18"/>
              </w:rPr>
            </w:pPr>
            <w:r w:rsidRPr="001B1D3E">
              <w:rPr>
                <w:rFonts w:ascii="Arial Narrow" w:hAnsi="Arial Narrow" w:cstheme="minorHAnsi"/>
                <w:sz w:val="20"/>
                <w:szCs w:val="18"/>
              </w:rPr>
              <w:t>NEW (Public)</w:t>
            </w:r>
          </w:p>
          <w:p w:rsidR="00B552D4" w:rsidRPr="001B1D3E" w:rsidRDefault="00B552D4" w:rsidP="00387C88">
            <w:pPr>
              <w:keepNext/>
              <w:ind w:left="-108"/>
              <w:jc w:val="center"/>
              <w:rPr>
                <w:rFonts w:ascii="Arial Narrow" w:hAnsi="Arial Narrow" w:cstheme="minorHAnsi"/>
                <w:sz w:val="20"/>
                <w:szCs w:val="18"/>
              </w:rPr>
            </w:pPr>
            <w:r w:rsidRPr="001B1D3E">
              <w:rPr>
                <w:rFonts w:ascii="Arial Narrow" w:hAnsi="Arial Narrow" w:cstheme="minorHAnsi"/>
                <w:sz w:val="20"/>
                <w:szCs w:val="18"/>
              </w:rPr>
              <w:t>NEW (Private)</w:t>
            </w:r>
          </w:p>
        </w:tc>
        <w:tc>
          <w:tcPr>
            <w:tcW w:w="706" w:type="pct"/>
            <w:vAlign w:val="center"/>
          </w:tcPr>
          <w:p w:rsidR="00B552D4" w:rsidRPr="001B1D3E" w:rsidRDefault="00B552D4" w:rsidP="00387C88">
            <w:pPr>
              <w:keepNext/>
              <w:jc w:val="center"/>
              <w:rPr>
                <w:rFonts w:ascii="Arial Narrow" w:hAnsi="Arial Narrow" w:cstheme="minorHAnsi"/>
                <w:sz w:val="20"/>
                <w:szCs w:val="18"/>
              </w:rPr>
            </w:pPr>
            <w:r w:rsidRPr="001B1D3E">
              <w:rPr>
                <w:rFonts w:ascii="Arial Narrow" w:hAnsi="Arial Narrow" w:cstheme="minorHAnsi"/>
                <w:sz w:val="20"/>
                <w:szCs w:val="18"/>
              </w:rPr>
              <w:t>450 mg</w:t>
            </w:r>
          </w:p>
        </w:tc>
        <w:tc>
          <w:tcPr>
            <w:tcW w:w="549" w:type="pct"/>
            <w:vAlign w:val="center"/>
          </w:tcPr>
          <w:p w:rsidR="00B552D4" w:rsidRPr="001B1D3E" w:rsidRDefault="00B552D4" w:rsidP="00387C88">
            <w:pPr>
              <w:keepNext/>
              <w:ind w:left="-108"/>
              <w:jc w:val="center"/>
              <w:rPr>
                <w:rFonts w:ascii="Arial Narrow" w:hAnsi="Arial Narrow" w:cstheme="minorHAnsi"/>
                <w:sz w:val="20"/>
                <w:szCs w:val="18"/>
              </w:rPr>
            </w:pPr>
            <w:r w:rsidRPr="001B1D3E">
              <w:rPr>
                <w:rFonts w:ascii="Arial Narrow" w:hAnsi="Arial Narrow" w:cstheme="minorHAnsi"/>
                <w:sz w:val="20"/>
                <w:szCs w:val="18"/>
              </w:rPr>
              <w:t>6</w:t>
            </w:r>
          </w:p>
        </w:tc>
        <w:tc>
          <w:tcPr>
            <w:tcW w:w="1075" w:type="pct"/>
            <w:vAlign w:val="center"/>
          </w:tcPr>
          <w:p w:rsidR="00B552D4" w:rsidRPr="001B1D3E" w:rsidRDefault="00B552D4" w:rsidP="00387C88">
            <w:pPr>
              <w:keepNext/>
              <w:rPr>
                <w:rFonts w:ascii="Arial Narrow" w:hAnsi="Arial Narrow" w:cstheme="minorHAnsi"/>
                <w:sz w:val="20"/>
                <w:szCs w:val="18"/>
              </w:rPr>
            </w:pPr>
          </w:p>
        </w:tc>
      </w:tr>
      <w:tr w:rsidR="00B552D4" w:rsidRPr="00E575A0" w:rsidTr="005E4175">
        <w:trPr>
          <w:cantSplit/>
          <w:trHeight w:val="201"/>
        </w:trPr>
        <w:tc>
          <w:tcPr>
            <w:tcW w:w="5000" w:type="pct"/>
            <w:gridSpan w:val="5"/>
          </w:tcPr>
          <w:p w:rsidR="00B552D4" w:rsidRPr="001B1D3E" w:rsidRDefault="00B552D4" w:rsidP="00387C88">
            <w:pPr>
              <w:keepNext/>
              <w:rPr>
                <w:rFonts w:ascii="Arial Narrow" w:hAnsi="Arial Narrow" w:cstheme="minorHAnsi"/>
                <w:b/>
                <w:sz w:val="20"/>
                <w:szCs w:val="18"/>
              </w:rPr>
            </w:pPr>
            <w:r w:rsidRPr="001B1D3E">
              <w:rPr>
                <w:rFonts w:ascii="Arial Narrow" w:hAnsi="Arial Narrow" w:cstheme="minorHAnsi"/>
                <w:b/>
                <w:sz w:val="20"/>
                <w:szCs w:val="18"/>
              </w:rPr>
              <w:t>Available brands</w:t>
            </w:r>
          </w:p>
        </w:tc>
      </w:tr>
      <w:tr w:rsidR="00B552D4" w:rsidRPr="00E575A0" w:rsidTr="00374ECB">
        <w:trPr>
          <w:cantSplit/>
          <w:trHeight w:val="1028"/>
        </w:trPr>
        <w:tc>
          <w:tcPr>
            <w:tcW w:w="2670" w:type="pct"/>
            <w:gridSpan w:val="2"/>
          </w:tcPr>
          <w:p w:rsidR="00B552D4" w:rsidRPr="001B1D3E" w:rsidRDefault="00B552D4" w:rsidP="00387C88">
            <w:pPr>
              <w:keepNext/>
              <w:spacing w:before="40" w:after="40"/>
              <w:rPr>
                <w:rFonts w:ascii="Arial Narrow" w:hAnsi="Arial Narrow" w:cstheme="minorHAnsi"/>
                <w:sz w:val="20"/>
                <w:szCs w:val="18"/>
              </w:rPr>
            </w:pPr>
            <w:r w:rsidRPr="001B1D3E">
              <w:rPr>
                <w:rFonts w:ascii="Arial Narrow" w:hAnsi="Arial Narrow" w:cstheme="minorHAnsi"/>
                <w:sz w:val="20"/>
                <w:szCs w:val="18"/>
              </w:rPr>
              <w:t>Kadcyla</w:t>
            </w:r>
          </w:p>
          <w:p w:rsidR="00B552D4" w:rsidRPr="001B1D3E" w:rsidRDefault="00B552D4" w:rsidP="00387C88">
            <w:pPr>
              <w:keepNext/>
              <w:spacing w:before="40" w:after="40"/>
              <w:rPr>
                <w:rFonts w:ascii="Arial Narrow" w:hAnsi="Arial Narrow" w:cstheme="minorHAnsi"/>
                <w:sz w:val="20"/>
                <w:szCs w:val="18"/>
              </w:rPr>
            </w:pPr>
            <w:r w:rsidRPr="001B1D3E">
              <w:rPr>
                <w:rFonts w:ascii="Arial Narrow" w:hAnsi="Arial Narrow" w:cstheme="minorHAnsi"/>
                <w:sz w:val="20"/>
                <w:szCs w:val="18"/>
              </w:rPr>
              <w:t>(trastuzumab emtansine 100 mg injection, 1 vial)</w:t>
            </w:r>
          </w:p>
          <w:p w:rsidR="00B552D4" w:rsidRPr="001B1D3E" w:rsidRDefault="00B552D4" w:rsidP="00387C88">
            <w:pPr>
              <w:keepNext/>
              <w:spacing w:before="40" w:after="40"/>
              <w:rPr>
                <w:rFonts w:ascii="Arial Narrow" w:hAnsi="Arial Narrow" w:cstheme="minorHAnsi"/>
                <w:sz w:val="20"/>
                <w:szCs w:val="18"/>
              </w:rPr>
            </w:pPr>
            <w:r w:rsidRPr="001B1D3E">
              <w:rPr>
                <w:rFonts w:ascii="Arial Narrow" w:hAnsi="Arial Narrow" w:cstheme="minorHAnsi"/>
                <w:sz w:val="20"/>
                <w:szCs w:val="18"/>
              </w:rPr>
              <w:t xml:space="preserve">Kadycyla </w:t>
            </w:r>
          </w:p>
          <w:p w:rsidR="00B552D4" w:rsidRPr="001B1D3E" w:rsidRDefault="00B552D4" w:rsidP="00387C88">
            <w:pPr>
              <w:keepNext/>
              <w:rPr>
                <w:rFonts w:ascii="Arial Narrow" w:hAnsi="Arial Narrow" w:cstheme="minorHAnsi"/>
                <w:sz w:val="20"/>
                <w:szCs w:val="18"/>
              </w:rPr>
            </w:pPr>
            <w:r w:rsidRPr="001B1D3E">
              <w:rPr>
                <w:rFonts w:ascii="Arial Narrow" w:hAnsi="Arial Narrow" w:cstheme="minorHAnsi"/>
                <w:sz w:val="20"/>
                <w:szCs w:val="18"/>
              </w:rPr>
              <w:t>(trastuzumab emtansine160 mg injection, 1 vial)</w:t>
            </w:r>
          </w:p>
        </w:tc>
        <w:tc>
          <w:tcPr>
            <w:tcW w:w="706" w:type="pct"/>
            <w:vAlign w:val="center"/>
          </w:tcPr>
          <w:p w:rsidR="00B552D4" w:rsidRPr="001B1D3E" w:rsidRDefault="00B552D4" w:rsidP="00387C88">
            <w:pPr>
              <w:keepNext/>
              <w:ind w:left="-108"/>
              <w:jc w:val="center"/>
              <w:rPr>
                <w:rFonts w:ascii="Arial Narrow" w:hAnsi="Arial Narrow" w:cstheme="minorHAnsi"/>
                <w:sz w:val="20"/>
                <w:szCs w:val="18"/>
              </w:rPr>
            </w:pPr>
          </w:p>
        </w:tc>
        <w:tc>
          <w:tcPr>
            <w:tcW w:w="549" w:type="pct"/>
            <w:vAlign w:val="center"/>
          </w:tcPr>
          <w:p w:rsidR="00B552D4" w:rsidRPr="001B1D3E" w:rsidRDefault="00B552D4" w:rsidP="00387C88">
            <w:pPr>
              <w:keepNext/>
              <w:ind w:left="-108"/>
              <w:jc w:val="center"/>
              <w:rPr>
                <w:rFonts w:ascii="Arial Narrow" w:hAnsi="Arial Narrow" w:cstheme="minorHAnsi"/>
                <w:sz w:val="20"/>
                <w:szCs w:val="18"/>
              </w:rPr>
            </w:pPr>
          </w:p>
        </w:tc>
        <w:tc>
          <w:tcPr>
            <w:tcW w:w="1075" w:type="pct"/>
            <w:vAlign w:val="center"/>
          </w:tcPr>
          <w:p w:rsidR="00B552D4" w:rsidRPr="001B1D3E" w:rsidRDefault="00B552D4" w:rsidP="00387C88">
            <w:pPr>
              <w:keepNext/>
              <w:rPr>
                <w:rFonts w:ascii="Arial Narrow" w:hAnsi="Arial Narrow" w:cstheme="minorHAnsi"/>
                <w:sz w:val="20"/>
                <w:szCs w:val="18"/>
              </w:rPr>
            </w:pPr>
            <w:r w:rsidRPr="001B1D3E">
              <w:rPr>
                <w:rFonts w:ascii="Arial Narrow" w:hAnsi="Arial Narrow" w:cstheme="minorHAnsi"/>
                <w:sz w:val="20"/>
                <w:szCs w:val="18"/>
              </w:rPr>
              <w:t>Roche Products Pty Ltd</w:t>
            </w:r>
          </w:p>
        </w:tc>
      </w:tr>
    </w:tbl>
    <w:p w:rsidR="00B552D4" w:rsidRDefault="00B552D4">
      <w:pPr>
        <w:rPr>
          <w:sz w:val="28"/>
        </w:rPr>
      </w:pPr>
    </w:p>
    <w:p w:rsidR="00B552D4" w:rsidRDefault="00B552D4">
      <w:pPr>
        <w:rPr>
          <w:rFonts w:ascii="Arial Narrow" w:hAnsi="Arial Narrow"/>
          <w:b/>
          <w:sz w:val="20"/>
          <w:szCs w:val="18"/>
          <w:lang w:val="en-GB"/>
        </w:rPr>
      </w:pPr>
      <w:r w:rsidRPr="00881F99">
        <w:rPr>
          <w:rFonts w:ascii="Arial Narrow" w:hAnsi="Arial Narrow"/>
          <w:b/>
          <w:sz w:val="20"/>
          <w:szCs w:val="18"/>
          <w:lang w:val="en-GB"/>
        </w:rPr>
        <w:t>Initial treatment - Restriction Summary [new] / ToC: [new]</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8223"/>
      </w:tblGrid>
      <w:tr w:rsidR="004F0604" w:rsidRPr="00E575A0" w:rsidTr="00774842">
        <w:tc>
          <w:tcPr>
            <w:tcW w:w="536" w:type="pct"/>
            <w:vAlign w:val="center"/>
          </w:tcPr>
          <w:p w:rsidR="004F0604" w:rsidRPr="004F0604" w:rsidRDefault="004F0604" w:rsidP="00774842">
            <w:pPr>
              <w:jc w:val="center"/>
              <w:rPr>
                <w:rFonts w:ascii="Arial Narrow" w:hAnsi="Arial Narrow"/>
                <w:b/>
                <w:sz w:val="20"/>
                <w:szCs w:val="20"/>
              </w:rPr>
            </w:pPr>
            <w:r w:rsidRPr="004F0604">
              <w:rPr>
                <w:rFonts w:ascii="Arial Narrow" w:hAnsi="Arial Narrow"/>
                <w:b/>
                <w:sz w:val="20"/>
                <w:szCs w:val="20"/>
              </w:rPr>
              <w:t>Concept ID</w:t>
            </w:r>
          </w:p>
        </w:tc>
        <w:tc>
          <w:tcPr>
            <w:tcW w:w="4464" w:type="pct"/>
            <w:tcBorders>
              <w:top w:val="single" w:sz="4" w:space="0" w:color="auto"/>
              <w:left w:val="single" w:sz="4" w:space="0" w:color="auto"/>
              <w:bottom w:val="single" w:sz="4" w:space="0" w:color="auto"/>
              <w:right w:val="single" w:sz="4" w:space="0" w:color="auto"/>
            </w:tcBorders>
          </w:tcPr>
          <w:p w:rsidR="004F0604" w:rsidRPr="004F0604" w:rsidRDefault="004F0604" w:rsidP="00774842">
            <w:pPr>
              <w:rPr>
                <w:rFonts w:ascii="Arial Narrow" w:hAnsi="Arial Narrow" w:cstheme="minorHAnsi"/>
                <w:bCs/>
                <w:sz w:val="20"/>
                <w:szCs w:val="20"/>
              </w:rPr>
            </w:pPr>
            <w:r w:rsidRPr="004F0604">
              <w:rPr>
                <w:rFonts w:ascii="Arial Narrow" w:hAnsi="Arial Narrow" w:cstheme="minorHAnsi"/>
                <w:b/>
                <w:bCs/>
                <w:sz w:val="20"/>
                <w:szCs w:val="20"/>
              </w:rPr>
              <w:t>Category/Program:</w:t>
            </w:r>
            <w:r w:rsidRPr="004F0604">
              <w:rPr>
                <w:rFonts w:ascii="Arial Narrow" w:hAnsi="Arial Narrow" w:cstheme="minorHAnsi"/>
                <w:bCs/>
                <w:sz w:val="20"/>
                <w:szCs w:val="20"/>
              </w:rPr>
              <w:t xml:space="preserve">  Section 100 – Efficient Funding of Chemotherapy; Public/Private Hospital</w:t>
            </w:r>
          </w:p>
        </w:tc>
      </w:tr>
      <w:tr w:rsidR="004F0604" w:rsidRPr="00E575A0" w:rsidTr="00774842">
        <w:trPr>
          <w:trHeight w:val="460"/>
        </w:trPr>
        <w:tc>
          <w:tcPr>
            <w:tcW w:w="536" w:type="pct"/>
            <w:vAlign w:val="center"/>
          </w:tcPr>
          <w:p w:rsidR="004F0604" w:rsidRPr="004F0604" w:rsidRDefault="004F0604" w:rsidP="00774842">
            <w:pPr>
              <w:jc w:val="center"/>
              <w:rPr>
                <w:rFonts w:ascii="Arial Narrow" w:hAnsi="Arial Narrow"/>
                <w:sz w:val="20"/>
                <w:szCs w:val="20"/>
              </w:rPr>
            </w:pPr>
          </w:p>
        </w:tc>
        <w:tc>
          <w:tcPr>
            <w:tcW w:w="4464" w:type="pct"/>
            <w:tcBorders>
              <w:top w:val="single" w:sz="4" w:space="0" w:color="auto"/>
              <w:left w:val="single" w:sz="4" w:space="0" w:color="auto"/>
              <w:bottom w:val="single" w:sz="4" w:space="0" w:color="auto"/>
              <w:right w:val="single" w:sz="4" w:space="0" w:color="auto"/>
            </w:tcBorders>
          </w:tcPr>
          <w:p w:rsidR="004F0604" w:rsidRPr="004F0604" w:rsidRDefault="004F0604" w:rsidP="00774842">
            <w:pPr>
              <w:rPr>
                <w:rFonts w:ascii="Arial Narrow" w:hAnsi="Arial Narrow" w:cstheme="minorHAnsi"/>
                <w:b/>
                <w:sz w:val="20"/>
                <w:szCs w:val="20"/>
              </w:rPr>
            </w:pPr>
            <w:r w:rsidRPr="004F0604">
              <w:rPr>
                <w:rFonts w:ascii="Arial Narrow" w:hAnsi="Arial Narrow" w:cstheme="minorHAnsi"/>
                <w:b/>
                <w:sz w:val="20"/>
                <w:szCs w:val="20"/>
              </w:rPr>
              <w:t>Prescriber type:</w:t>
            </w:r>
          </w:p>
          <w:p w:rsidR="004F0604" w:rsidRPr="004F0604" w:rsidRDefault="004F0604" w:rsidP="00774842">
            <w:pPr>
              <w:rPr>
                <w:rFonts w:ascii="Arial Narrow" w:hAnsi="Arial Narrow" w:cstheme="minorHAnsi"/>
                <w:sz w:val="20"/>
                <w:szCs w:val="20"/>
              </w:rPr>
            </w:pPr>
            <w:r w:rsidRPr="004F0604">
              <w:rPr>
                <w:rFonts w:ascii="Arial Narrow" w:hAnsi="Arial Narrow" w:cstheme="minorHAnsi"/>
                <w:sz w:val="20"/>
                <w:szCs w:val="20"/>
              </w:rPr>
              <w:fldChar w:fldCharType="begin">
                <w:ffData>
                  <w:name w:val="Check1"/>
                  <w:enabled/>
                  <w:calcOnExit w:val="0"/>
                  <w:checkBox>
                    <w:sizeAuto/>
                    <w:default w:val="0"/>
                  </w:checkBox>
                </w:ffData>
              </w:fldChar>
            </w:r>
            <w:r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4F0604">
              <w:rPr>
                <w:rFonts w:ascii="Arial Narrow" w:hAnsi="Arial Narrow" w:cstheme="minorHAnsi"/>
                <w:sz w:val="20"/>
                <w:szCs w:val="20"/>
              </w:rPr>
              <w:fldChar w:fldCharType="end"/>
            </w:r>
            <w:r w:rsidR="00F34E34">
              <w:rPr>
                <w:rFonts w:ascii="Arial Narrow" w:hAnsi="Arial Narrow" w:cstheme="minorHAnsi"/>
                <w:sz w:val="20"/>
                <w:szCs w:val="20"/>
              </w:rPr>
              <w:t xml:space="preserve"> Dental </w:t>
            </w:r>
            <w:r w:rsidRPr="004F0604">
              <w:rPr>
                <w:rFonts w:ascii="Arial Narrow" w:hAnsi="Arial Narrow" w:cstheme="minorHAnsi"/>
                <w:sz w:val="20"/>
                <w:szCs w:val="20"/>
              </w:rPr>
              <w:fldChar w:fldCharType="begin">
                <w:ffData>
                  <w:name w:val=""/>
                  <w:enabled/>
                  <w:calcOnExit w:val="0"/>
                  <w:checkBox>
                    <w:sizeAuto/>
                    <w:default w:val="1"/>
                  </w:checkBox>
                </w:ffData>
              </w:fldChar>
            </w:r>
            <w:r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4F0604">
              <w:rPr>
                <w:rFonts w:ascii="Arial Narrow" w:hAnsi="Arial Narrow" w:cstheme="minorHAnsi"/>
                <w:sz w:val="20"/>
                <w:szCs w:val="20"/>
              </w:rPr>
              <w:fldChar w:fldCharType="end"/>
            </w:r>
            <w:r w:rsidRPr="004F0604">
              <w:rPr>
                <w:rFonts w:ascii="Arial Narrow" w:hAnsi="Arial Narrow" w:cstheme="minorHAnsi"/>
                <w:sz w:val="20"/>
                <w:szCs w:val="20"/>
              </w:rPr>
              <w:t xml:space="preserve"> Medical Practitioners  </w:t>
            </w:r>
            <w:r w:rsidRPr="004F0604">
              <w:rPr>
                <w:rFonts w:ascii="Arial Narrow" w:hAnsi="Arial Narrow" w:cstheme="minorHAnsi"/>
                <w:sz w:val="20"/>
                <w:szCs w:val="20"/>
              </w:rPr>
              <w:fldChar w:fldCharType="begin">
                <w:ffData>
                  <w:name w:val="Check3"/>
                  <w:enabled/>
                  <w:calcOnExit w:val="0"/>
                  <w:checkBox>
                    <w:sizeAuto/>
                    <w:default w:val="0"/>
                  </w:checkBox>
                </w:ffData>
              </w:fldChar>
            </w:r>
            <w:r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4F0604">
              <w:rPr>
                <w:rFonts w:ascii="Arial Narrow" w:hAnsi="Arial Narrow" w:cstheme="minorHAnsi"/>
                <w:sz w:val="20"/>
                <w:szCs w:val="20"/>
              </w:rPr>
              <w:fldChar w:fldCharType="end"/>
            </w:r>
            <w:r w:rsidRPr="004F0604">
              <w:rPr>
                <w:rFonts w:ascii="Arial Narrow" w:hAnsi="Arial Narrow" w:cstheme="minorHAnsi"/>
                <w:sz w:val="20"/>
                <w:szCs w:val="20"/>
              </w:rPr>
              <w:t xml:space="preserve"> Nurse practitioners  </w:t>
            </w:r>
            <w:r w:rsidRPr="004F0604">
              <w:rPr>
                <w:rFonts w:ascii="Arial Narrow" w:hAnsi="Arial Narrow" w:cstheme="minorHAnsi"/>
                <w:sz w:val="20"/>
                <w:szCs w:val="20"/>
              </w:rPr>
              <w:fldChar w:fldCharType="begin">
                <w:ffData>
                  <w:name w:val=""/>
                  <w:enabled/>
                  <w:calcOnExit w:val="0"/>
                  <w:checkBox>
                    <w:sizeAuto/>
                    <w:default w:val="0"/>
                  </w:checkBox>
                </w:ffData>
              </w:fldChar>
            </w:r>
            <w:r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4F0604">
              <w:rPr>
                <w:rFonts w:ascii="Arial Narrow" w:hAnsi="Arial Narrow" w:cstheme="minorHAnsi"/>
                <w:sz w:val="20"/>
                <w:szCs w:val="20"/>
              </w:rPr>
              <w:fldChar w:fldCharType="end"/>
            </w:r>
            <w:r w:rsidRPr="004F0604">
              <w:rPr>
                <w:rFonts w:ascii="Arial Narrow" w:hAnsi="Arial Narrow" w:cstheme="minorHAnsi"/>
                <w:sz w:val="20"/>
                <w:szCs w:val="20"/>
              </w:rPr>
              <w:t xml:space="preserve"> Optometrists  </w:t>
            </w:r>
            <w:r w:rsidRPr="004F0604">
              <w:rPr>
                <w:rFonts w:ascii="Arial Narrow" w:hAnsi="Arial Narrow" w:cstheme="minorHAnsi"/>
                <w:sz w:val="20"/>
                <w:szCs w:val="20"/>
              </w:rPr>
              <w:fldChar w:fldCharType="begin">
                <w:ffData>
                  <w:name w:val="Check5"/>
                  <w:enabled/>
                  <w:calcOnExit w:val="0"/>
                  <w:checkBox>
                    <w:sizeAuto/>
                    <w:default w:val="0"/>
                  </w:checkBox>
                </w:ffData>
              </w:fldChar>
            </w:r>
            <w:r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Pr="004F0604">
              <w:rPr>
                <w:rFonts w:ascii="Arial Narrow" w:hAnsi="Arial Narrow" w:cstheme="minorHAnsi"/>
                <w:sz w:val="20"/>
                <w:szCs w:val="20"/>
              </w:rPr>
              <w:fldChar w:fldCharType="end"/>
            </w:r>
            <w:r w:rsidRPr="004F0604">
              <w:rPr>
                <w:rFonts w:ascii="Arial Narrow" w:hAnsi="Arial Narrow" w:cstheme="minorHAnsi"/>
                <w:sz w:val="20"/>
                <w:szCs w:val="20"/>
              </w:rPr>
              <w:t xml:space="preserve"> Midwives</w:t>
            </w:r>
          </w:p>
        </w:tc>
      </w:tr>
      <w:tr w:rsidR="004F0604" w:rsidRPr="00E575A0"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lang w:eastAsia="en-AU"/>
              </w:rPr>
            </w:pPr>
            <w:r w:rsidRPr="004F0604">
              <w:rPr>
                <w:rFonts w:ascii="Arial Narrow" w:hAnsi="Arial Narrow"/>
                <w:b/>
                <w:sz w:val="20"/>
                <w:szCs w:val="20"/>
                <w:lang w:eastAsia="en-AU"/>
              </w:rPr>
              <w:t>Restriction Level / Method:</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Check1"/>
                  <w:enabled/>
                  <w:calcOnExit w:val="0"/>
                  <w:checkBox>
                    <w:sizeAuto/>
                    <w:default w:val="0"/>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Restricted benefit</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
                  <w:enabled/>
                  <w:calcOnExit w:val="0"/>
                  <w:checkBox>
                    <w:sizeAuto/>
                    <w:default w:val="1"/>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Authority Required - In Writing</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Check3"/>
                  <w:enabled/>
                  <w:calcOnExit w:val="0"/>
                  <w:checkBox>
                    <w:sizeAuto/>
                    <w:default w:val="0"/>
                  </w:checkBox>
                </w:ffData>
              </w:fldChar>
            </w:r>
            <w:bookmarkStart w:id="18" w:name="Check3"/>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bookmarkEnd w:id="18"/>
            <w:r w:rsidRPr="004F0604">
              <w:rPr>
                <w:rFonts w:ascii="Arial Narrow" w:hAnsi="Arial Narrow"/>
                <w:sz w:val="20"/>
                <w:szCs w:val="20"/>
                <w:lang w:eastAsia="en-AU"/>
              </w:rPr>
              <w:t>Authority Required – Telephone/Emergency/Electronic</w:t>
            </w:r>
          </w:p>
          <w:p w:rsidR="004F0604" w:rsidRPr="004F0604" w:rsidRDefault="004F0604" w:rsidP="00774842">
            <w:pPr>
              <w:rPr>
                <w:rFonts w:ascii="Arial Narrow" w:hAnsi="Arial Narrow"/>
                <w:b/>
                <w:bCs/>
                <w:sz w:val="20"/>
                <w:szCs w:val="20"/>
              </w:rPr>
            </w:pPr>
            <w:r w:rsidRPr="004F0604">
              <w:rPr>
                <w:rFonts w:ascii="Arial Narrow" w:hAnsi="Arial Narrow"/>
                <w:sz w:val="20"/>
                <w:szCs w:val="20"/>
                <w:lang w:eastAsia="en-AU"/>
              </w:rPr>
              <w:fldChar w:fldCharType="begin">
                <w:ffData>
                  <w:name w:val="Check5"/>
                  <w:enabled/>
                  <w:calcOnExit w:val="0"/>
                  <w:checkBox>
                    <w:sizeAuto/>
                    <w:default w:val="0"/>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Streamlined</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14726</w:t>
            </w:r>
          </w:p>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CAR</w:t>
            </w:r>
          </w:p>
          <w:p w:rsidR="004F0604" w:rsidRPr="004F0604" w:rsidRDefault="004F0604" w:rsidP="00774842">
            <w:pPr>
              <w:jc w:val="center"/>
              <w:rPr>
                <w:rFonts w:ascii="Arial Narrow" w:hAnsi="Arial Narrow"/>
                <w:vanish/>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Administrative Advice:</w:t>
            </w:r>
          </w:p>
          <w:p w:rsidR="004F0604" w:rsidRPr="004F0604" w:rsidRDefault="004F0604" w:rsidP="00774842">
            <w:pPr>
              <w:rPr>
                <w:rFonts w:ascii="Arial Narrow" w:hAnsi="Arial Narrow"/>
                <w:sz w:val="20"/>
                <w:szCs w:val="20"/>
              </w:rPr>
            </w:pPr>
            <w:r w:rsidRPr="004F0604">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tc>
      </w:tr>
      <w:tr w:rsidR="004F0604" w:rsidRPr="00E575A0" w:rsidTr="00774842">
        <w:tc>
          <w:tcPr>
            <w:tcW w:w="536" w:type="pc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24626</w:t>
            </w: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b/>
                <w:bCs/>
                <w:sz w:val="20"/>
                <w:szCs w:val="20"/>
              </w:rPr>
              <w:t>Administrative Advice:</w:t>
            </w:r>
          </w:p>
          <w:p w:rsidR="004F0604" w:rsidRPr="004F0604" w:rsidRDefault="004F0604" w:rsidP="00774842">
            <w:pPr>
              <w:rPr>
                <w:rFonts w:ascii="Arial Narrow" w:hAnsi="Arial Narrow"/>
                <w:bCs/>
                <w:sz w:val="20"/>
                <w:szCs w:val="20"/>
              </w:rPr>
            </w:pPr>
            <w:r w:rsidRPr="004F0604">
              <w:rPr>
                <w:rFonts w:ascii="Arial Narrow" w:hAnsi="Arial Narrow"/>
                <w:bCs/>
                <w:sz w:val="20"/>
                <w:szCs w:val="20"/>
              </w:rPr>
              <w:t>Increased maximum quantity will be authorised where a patient's weight is greater than 125 kg.</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7607</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Administrative Advice:</w:t>
            </w:r>
            <w:r w:rsidRPr="004F0604">
              <w:rPr>
                <w:rFonts w:ascii="Arial Narrow" w:hAnsi="Arial Narrow"/>
                <w:sz w:val="20"/>
                <w:szCs w:val="20"/>
              </w:rPr>
              <w:t xml:space="preserve"> No increase in the maximum number of repeats may be authorised.</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7754</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Indication:</w:t>
            </w:r>
            <w:r w:rsidRPr="004F0604">
              <w:rPr>
                <w:rFonts w:ascii="Arial Narrow" w:hAnsi="Arial Narrow"/>
                <w:sz w:val="20"/>
                <w:szCs w:val="20"/>
              </w:rPr>
              <w:t xml:space="preserve"> Early HER2 positive breast cancer</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Treatment Phase:</w:t>
            </w:r>
            <w:r w:rsidRPr="004F0604">
              <w:rPr>
                <w:rFonts w:ascii="Arial Narrow" w:hAnsi="Arial Narrow"/>
                <w:sz w:val="20"/>
                <w:szCs w:val="20"/>
              </w:rPr>
              <w:t xml:space="preserve"> Initial adjuvant treatment</w:t>
            </w:r>
          </w:p>
        </w:tc>
      </w:tr>
      <w:tr w:rsidR="004F0604" w:rsidRPr="00E575A0"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E575A0" w:rsidTr="00774842">
        <w:tc>
          <w:tcPr>
            <w:tcW w:w="536" w:type="pct"/>
            <w:vMerge w:val="restar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new</w:t>
            </w: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E575A0" w:rsidTr="00774842">
        <w:tc>
          <w:tcPr>
            <w:tcW w:w="536" w:type="pct"/>
            <w:vMerge/>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sz w:val="20"/>
                <w:szCs w:val="20"/>
              </w:rPr>
              <w:t>The treatment must commence within 12 weeks of surgery</w:t>
            </w:r>
            <w:r w:rsidRPr="004F0604">
              <w:rPr>
                <w:sz w:val="20"/>
                <w:szCs w:val="20"/>
              </w:rPr>
              <w:t xml:space="preserve"> </w:t>
            </w:r>
            <w:r w:rsidRPr="004F0604">
              <w:rPr>
                <w:rFonts w:ascii="Arial Narrow" w:hAnsi="Arial Narrow"/>
                <w:sz w:val="20"/>
                <w:szCs w:val="20"/>
              </w:rPr>
              <w:t>or an Authority application made within 12 weeks of surgery; OR</w:t>
            </w:r>
          </w:p>
        </w:tc>
      </w:tr>
      <w:tr w:rsidR="004F0604" w:rsidRPr="00E575A0" w:rsidTr="00774842">
        <w:tc>
          <w:tcPr>
            <w:tcW w:w="536" w:type="pct"/>
            <w:vMerge/>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sz w:val="20"/>
                <w:szCs w:val="20"/>
              </w:rPr>
              <w:t>The treatment must have commenced within 12 weeks of surgery if non-PBS subsidised treatment commenced prior to [1 Month 20XX – insert listing date here] and the patient must not have progressive disease</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E575A0" w:rsidTr="00774842">
        <w:trPr>
          <w:trHeight w:val="267"/>
        </w:trPr>
        <w:tc>
          <w:tcPr>
            <w:tcW w:w="536" w:type="pct"/>
            <w:vMerge w:val="restar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new</w:t>
            </w: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b/>
                <w:bCs/>
                <w:sz w:val="20"/>
                <w:szCs w:val="20"/>
              </w:rPr>
              <w:t>Clinical criteria:</w:t>
            </w:r>
          </w:p>
        </w:tc>
      </w:tr>
      <w:tr w:rsidR="004F0604" w:rsidRPr="00E575A0" w:rsidTr="00774842">
        <w:tc>
          <w:tcPr>
            <w:tcW w:w="536" w:type="pct"/>
            <w:vMerge/>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cs="Calibri"/>
                <w:bCs/>
                <w:sz w:val="20"/>
                <w:szCs w:val="20"/>
              </w:rPr>
              <w:t>Patient must have evidence of residual invasive cancer, as demonstrated by a pathology report, in the breast and/or axillary lymph nodes following completion of surgery</w:t>
            </w:r>
          </w:p>
        </w:tc>
      </w:tr>
      <w:tr w:rsidR="004F0604" w:rsidRPr="00E575A0"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E575A0" w:rsidTr="00774842">
        <w:tc>
          <w:tcPr>
            <w:tcW w:w="536" w:type="pct"/>
            <w:vMerge w:val="restar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new</w:t>
            </w: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b/>
                <w:bCs/>
                <w:sz w:val="20"/>
                <w:szCs w:val="20"/>
              </w:rPr>
              <w:t>Clinical criteria:</w:t>
            </w:r>
          </w:p>
        </w:tc>
      </w:tr>
      <w:tr w:rsidR="004F0604" w:rsidRPr="00E575A0" w:rsidTr="00774842">
        <w:tc>
          <w:tcPr>
            <w:tcW w:w="536" w:type="pct"/>
            <w:vMerge/>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bCs/>
                <w:sz w:val="20"/>
                <w:szCs w:val="20"/>
              </w:rPr>
            </w:pPr>
            <w:r w:rsidRPr="004F0604">
              <w:rPr>
                <w:rFonts w:ascii="Arial Narrow" w:hAnsi="Arial Narrow"/>
                <w:bCs/>
                <w:sz w:val="20"/>
                <w:szCs w:val="20"/>
              </w:rPr>
              <w:t>Patient must have completed systemic neoadjuvant therapy that included trastuzumab and taxane-based chemotherapy prior to surgery</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7745</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7744</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sz w:val="20"/>
                <w:szCs w:val="20"/>
              </w:rPr>
              <w:t>The treatment must not be used in a patient with a left ventricular ejection fraction (LVEF) of less than 45% and/or with symptomatic heart failure</w:t>
            </w:r>
          </w:p>
        </w:tc>
      </w:tr>
      <w:tr w:rsidR="004F0604" w:rsidRPr="00E575A0"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E575A0" w:rsidTr="00774842">
        <w:tc>
          <w:tcPr>
            <w:tcW w:w="536" w:type="pct"/>
            <w:vMerge w:val="restar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 xml:space="preserve">New </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E575A0" w:rsidTr="00774842">
        <w:trPr>
          <w:trHeight w:val="499"/>
        </w:trPr>
        <w:tc>
          <w:tcPr>
            <w:tcW w:w="536" w:type="pct"/>
            <w:vMerge/>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sz w:val="20"/>
                <w:szCs w:val="20"/>
              </w:rPr>
              <w:t>Patient must not receive more than 42 weeks (14 cycles) of combined PBS-subsidised and non-PBS-subsidised therapy with this drug under both the initial and continuing adjuvant treatment restriction combined</w:t>
            </w:r>
          </w:p>
        </w:tc>
      </w:tr>
      <w:tr w:rsidR="004F0604" w:rsidRPr="00E575A0" w:rsidTr="00D87000">
        <w:trPr>
          <w:trHeight w:val="1424"/>
        </w:trPr>
        <w:tc>
          <w:tcPr>
            <w:tcW w:w="536" w:type="pc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new</w:t>
            </w:r>
          </w:p>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FULL</w:t>
            </w:r>
          </w:p>
        </w:tc>
        <w:tc>
          <w:tcPr>
            <w:tcW w:w="4464" w:type="pct"/>
            <w:vAlign w:val="center"/>
          </w:tcPr>
          <w:p w:rsidR="004F0604" w:rsidRPr="004F0604" w:rsidRDefault="004F0604" w:rsidP="00774842">
            <w:pPr>
              <w:rPr>
                <w:rFonts w:ascii="Arial Narrow" w:hAnsi="Arial Narrow"/>
                <w:b/>
                <w:sz w:val="20"/>
                <w:szCs w:val="20"/>
              </w:rPr>
            </w:pPr>
            <w:r w:rsidRPr="004F0604">
              <w:rPr>
                <w:rFonts w:ascii="Arial Narrow" w:hAnsi="Arial Narrow"/>
                <w:b/>
                <w:sz w:val="20"/>
                <w:szCs w:val="20"/>
              </w:rPr>
              <w:t>Prescribing Instructions:</w:t>
            </w:r>
          </w:p>
          <w:p w:rsidR="004F0604" w:rsidRPr="004F0604" w:rsidRDefault="004F0604" w:rsidP="00774842">
            <w:pPr>
              <w:rPr>
                <w:rFonts w:ascii="Arial Narrow" w:hAnsi="Arial Narrow"/>
                <w:sz w:val="20"/>
                <w:szCs w:val="20"/>
              </w:rPr>
            </w:pPr>
            <w:r w:rsidRPr="004F0604">
              <w:rPr>
                <w:rFonts w:ascii="Arial Narrow" w:hAnsi="Arial Narrow"/>
                <w:sz w:val="20"/>
                <w:szCs w:val="20"/>
              </w:rPr>
              <w:t>Authority applications for initial treatment must be made in writing and must include:</w:t>
            </w:r>
          </w:p>
          <w:p w:rsidR="004F0604" w:rsidRPr="004F0604" w:rsidRDefault="004F0604" w:rsidP="00774842">
            <w:pPr>
              <w:rPr>
                <w:rFonts w:ascii="Arial Narrow" w:hAnsi="Arial Narrow"/>
                <w:sz w:val="20"/>
                <w:szCs w:val="20"/>
              </w:rPr>
            </w:pPr>
            <w:r w:rsidRPr="004F0604">
              <w:rPr>
                <w:rFonts w:ascii="Arial Narrow" w:hAnsi="Arial Narrow"/>
                <w:sz w:val="20"/>
                <w:szCs w:val="20"/>
              </w:rPr>
              <w:t>(a) a completed authority prescription form; and</w:t>
            </w:r>
          </w:p>
          <w:p w:rsidR="004F0604" w:rsidRPr="004F0604" w:rsidRDefault="004F0604" w:rsidP="00774842">
            <w:pPr>
              <w:rPr>
                <w:rFonts w:ascii="Arial Narrow" w:hAnsi="Arial Narrow"/>
                <w:sz w:val="20"/>
                <w:szCs w:val="20"/>
              </w:rPr>
            </w:pPr>
            <w:r w:rsidRPr="004F0604">
              <w:rPr>
                <w:rFonts w:ascii="Arial Narrow" w:hAnsi="Arial Narrow"/>
                <w:sz w:val="20"/>
                <w:szCs w:val="20"/>
              </w:rPr>
              <w:t>(b) a completed Early Breast Cancer - PBS Supporting Information Form which includes details from</w:t>
            </w:r>
            <w:r w:rsidRPr="004F0604">
              <w:rPr>
                <w:rFonts w:ascii="Arial Narrow" w:hAnsi="Arial Narrow"/>
                <w:i/>
                <w:sz w:val="20"/>
                <w:szCs w:val="20"/>
              </w:rPr>
              <w:t xml:space="preserve"> </w:t>
            </w:r>
            <w:r w:rsidRPr="004F0604">
              <w:rPr>
                <w:rFonts w:ascii="Arial Narrow" w:hAnsi="Arial Narrow"/>
                <w:sz w:val="20"/>
                <w:szCs w:val="20"/>
              </w:rPr>
              <w:t>the pathology report from an approved pathology authority demonstrating evidence of residual invasive carcinoma in the breast and/or axillary lymph nodes following completion of surgery.</w:t>
            </w:r>
          </w:p>
        </w:tc>
      </w:tr>
      <w:tr w:rsidR="004F0604" w:rsidRPr="00E575A0" w:rsidTr="00774842">
        <w:tc>
          <w:tcPr>
            <w:tcW w:w="536" w:type="pc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7753</w:t>
            </w:r>
          </w:p>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CAR</w:t>
            </w: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b/>
                <w:bCs/>
                <w:sz w:val="20"/>
                <w:szCs w:val="20"/>
              </w:rPr>
              <w:t>Administrative Advice:</w:t>
            </w:r>
          </w:p>
          <w:p w:rsidR="004F0604" w:rsidRPr="004F0604" w:rsidRDefault="004F0604" w:rsidP="00774842">
            <w:pPr>
              <w:spacing w:before="20" w:after="20"/>
              <w:rPr>
                <w:rFonts w:ascii="Arial Narrow" w:hAnsi="Arial Narrow" w:cs="Calibri"/>
                <w:bCs/>
                <w:sz w:val="20"/>
                <w:szCs w:val="20"/>
              </w:rPr>
            </w:pPr>
            <w:r w:rsidRPr="004F0604">
              <w:rPr>
                <w:rFonts w:ascii="Arial Narrow" w:hAnsi="Arial Narrow" w:cs="Calibri"/>
                <w:bCs/>
                <w:sz w:val="20"/>
                <w:szCs w:val="20"/>
              </w:rPr>
              <w:t xml:space="preserve">Any queries concerning the arrangements to prescribe may be directed to the Department of Human Services on 1800 700 270 (hours of operation 8 a.m. to 5 p.m. EST Monday to Friday). </w:t>
            </w:r>
          </w:p>
          <w:p w:rsidR="004F0604" w:rsidRPr="004F0604" w:rsidRDefault="004F0604" w:rsidP="00774842">
            <w:pPr>
              <w:spacing w:before="20" w:after="20"/>
              <w:rPr>
                <w:rFonts w:ascii="Arial Narrow" w:hAnsi="Arial Narrow" w:cs="Calibri"/>
                <w:bCs/>
                <w:sz w:val="20"/>
                <w:szCs w:val="20"/>
              </w:rPr>
            </w:pPr>
          </w:p>
          <w:p w:rsidR="004F0604" w:rsidRPr="003B6139" w:rsidRDefault="004F0604" w:rsidP="00774842">
            <w:pPr>
              <w:spacing w:before="20" w:after="20"/>
              <w:rPr>
                <w:rFonts w:ascii="Arial Narrow" w:hAnsi="Arial Narrow" w:cs="Calibri"/>
                <w:bCs/>
                <w:sz w:val="20"/>
                <w:szCs w:val="20"/>
              </w:rPr>
            </w:pPr>
            <w:r w:rsidRPr="004F0604">
              <w:rPr>
                <w:rFonts w:ascii="Arial Narrow" w:hAnsi="Arial Narrow" w:cs="Calibri"/>
                <w:bCs/>
                <w:sz w:val="20"/>
                <w:szCs w:val="20"/>
              </w:rPr>
              <w:t xml:space="preserve">Prescribing information (including </w:t>
            </w:r>
            <w:r w:rsidRPr="003B6139">
              <w:rPr>
                <w:rFonts w:ascii="Arial Narrow" w:hAnsi="Arial Narrow" w:cs="Calibri"/>
                <w:bCs/>
                <w:sz w:val="20"/>
                <w:szCs w:val="20"/>
              </w:rPr>
              <w:t xml:space="preserve">Authority Application forms and other relevant documentation as applicable) is available on the Department of Human Services website at </w:t>
            </w:r>
            <w:r w:rsidRPr="00756F83">
              <w:rPr>
                <w:rFonts w:ascii="Arial Narrow" w:hAnsi="Arial Narrow" w:cs="Calibri"/>
                <w:bCs/>
                <w:sz w:val="20"/>
                <w:szCs w:val="20"/>
              </w:rPr>
              <w:t>www.humanservices.gov.au</w:t>
            </w:r>
          </w:p>
          <w:p w:rsidR="004F0604" w:rsidRPr="003B6139" w:rsidRDefault="004F0604" w:rsidP="00774842">
            <w:pPr>
              <w:spacing w:before="20" w:after="20"/>
              <w:rPr>
                <w:rFonts w:ascii="Arial Narrow" w:hAnsi="Arial Narrow" w:cs="Calibri"/>
                <w:bCs/>
                <w:sz w:val="20"/>
                <w:szCs w:val="20"/>
              </w:rPr>
            </w:pPr>
          </w:p>
          <w:p w:rsidR="004F0604" w:rsidRPr="003B6139" w:rsidRDefault="004F0604" w:rsidP="00774842">
            <w:pPr>
              <w:spacing w:before="20" w:after="20"/>
              <w:rPr>
                <w:rFonts w:ascii="Arial Narrow" w:hAnsi="Arial Narrow" w:cs="Calibri"/>
                <w:bCs/>
                <w:sz w:val="20"/>
                <w:szCs w:val="20"/>
              </w:rPr>
            </w:pPr>
            <w:r w:rsidRPr="003B6139">
              <w:rPr>
                <w:rFonts w:ascii="Arial Narrow" w:hAnsi="Arial Narrow" w:cs="Calibri"/>
                <w:bCs/>
                <w:sz w:val="20"/>
                <w:szCs w:val="20"/>
              </w:rPr>
              <w:t xml:space="preserve">Applications for authority to prescribe should be forwarded to: </w:t>
            </w:r>
          </w:p>
          <w:p w:rsidR="004F0604" w:rsidRPr="003B6139" w:rsidRDefault="004F0604" w:rsidP="00774842">
            <w:pPr>
              <w:spacing w:before="20" w:after="20"/>
              <w:rPr>
                <w:rFonts w:ascii="Arial Narrow" w:hAnsi="Arial Narrow" w:cs="Calibri"/>
                <w:bCs/>
                <w:sz w:val="20"/>
                <w:szCs w:val="20"/>
              </w:rPr>
            </w:pPr>
            <w:r w:rsidRPr="003B6139">
              <w:rPr>
                <w:rFonts w:ascii="Arial Narrow" w:hAnsi="Arial Narrow" w:cs="Calibri"/>
                <w:bCs/>
                <w:sz w:val="20"/>
                <w:szCs w:val="20"/>
              </w:rPr>
              <w:t>Department of Human Services</w:t>
            </w:r>
          </w:p>
          <w:p w:rsidR="004F0604" w:rsidRPr="003B6139" w:rsidRDefault="004F0604" w:rsidP="00774842">
            <w:pPr>
              <w:spacing w:before="20" w:after="20"/>
              <w:rPr>
                <w:rFonts w:ascii="Arial Narrow" w:hAnsi="Arial Narrow" w:cs="Calibri"/>
                <w:bCs/>
                <w:sz w:val="20"/>
                <w:szCs w:val="20"/>
              </w:rPr>
            </w:pPr>
            <w:r w:rsidRPr="003B6139">
              <w:rPr>
                <w:rFonts w:ascii="Arial Narrow" w:hAnsi="Arial Narrow" w:cs="Calibri"/>
                <w:bCs/>
                <w:sz w:val="20"/>
                <w:szCs w:val="20"/>
              </w:rPr>
              <w:t xml:space="preserve">Complex Drugs </w:t>
            </w:r>
          </w:p>
          <w:p w:rsidR="004F0604" w:rsidRPr="004F0604" w:rsidRDefault="004F0604" w:rsidP="00774842">
            <w:pPr>
              <w:spacing w:before="20" w:after="20"/>
              <w:rPr>
                <w:rFonts w:ascii="Arial Narrow" w:hAnsi="Arial Narrow" w:cs="Calibri"/>
                <w:bCs/>
                <w:sz w:val="20"/>
                <w:szCs w:val="20"/>
              </w:rPr>
            </w:pPr>
            <w:r w:rsidRPr="004F0604">
              <w:rPr>
                <w:rFonts w:ascii="Arial Narrow" w:hAnsi="Arial Narrow" w:cs="Calibri"/>
                <w:bCs/>
                <w:sz w:val="20"/>
                <w:szCs w:val="20"/>
              </w:rPr>
              <w:t xml:space="preserve">Reply Paid 9826 </w:t>
            </w:r>
          </w:p>
          <w:p w:rsidR="004F0604" w:rsidRPr="004F0604" w:rsidRDefault="004F0604" w:rsidP="00774842">
            <w:pPr>
              <w:rPr>
                <w:rFonts w:ascii="Arial Narrow" w:hAnsi="Arial Narrow"/>
                <w:b/>
                <w:bCs/>
                <w:sz w:val="20"/>
                <w:szCs w:val="20"/>
              </w:rPr>
            </w:pPr>
            <w:r w:rsidRPr="004F0604">
              <w:rPr>
                <w:rFonts w:ascii="Arial Narrow" w:hAnsi="Arial Narrow" w:cs="Calibri"/>
                <w:bCs/>
                <w:sz w:val="20"/>
                <w:szCs w:val="20"/>
              </w:rPr>
              <w:t>HOBART TAS 7001</w:t>
            </w:r>
          </w:p>
        </w:tc>
      </w:tr>
    </w:tbl>
    <w:p w:rsidR="004F0604" w:rsidRDefault="004F0604" w:rsidP="004F0604"/>
    <w:p w:rsidR="004F0604" w:rsidRPr="004F0604" w:rsidRDefault="004F0604" w:rsidP="004F0604">
      <w:pPr>
        <w:rPr>
          <w:rFonts w:ascii="Arial Narrow" w:hAnsi="Arial Narrow"/>
          <w:b/>
          <w:sz w:val="20"/>
          <w:szCs w:val="20"/>
        </w:rPr>
      </w:pPr>
      <w:r w:rsidRPr="004F0604">
        <w:rPr>
          <w:rFonts w:ascii="Arial Narrow" w:hAnsi="Arial Narrow"/>
          <w:b/>
          <w:sz w:val="20"/>
          <w:szCs w:val="20"/>
        </w:rPr>
        <w:t>Continuing treatment - Restriction Summary [new] / ToC: [new]</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8223"/>
      </w:tblGrid>
      <w:tr w:rsidR="004F0604" w:rsidRPr="004F0604" w:rsidTr="00774842">
        <w:tc>
          <w:tcPr>
            <w:tcW w:w="536" w:type="pct"/>
            <w:vAlign w:val="center"/>
          </w:tcPr>
          <w:p w:rsidR="004F0604" w:rsidRPr="004F0604" w:rsidRDefault="004F0604" w:rsidP="00774842">
            <w:pPr>
              <w:jc w:val="center"/>
              <w:rPr>
                <w:rFonts w:ascii="Arial Narrow" w:hAnsi="Arial Narrow"/>
                <w:b/>
                <w:sz w:val="20"/>
                <w:szCs w:val="20"/>
              </w:rPr>
            </w:pPr>
            <w:r w:rsidRPr="004F0604">
              <w:rPr>
                <w:rFonts w:ascii="Arial Narrow" w:hAnsi="Arial Narrow"/>
                <w:b/>
                <w:sz w:val="20"/>
                <w:szCs w:val="20"/>
              </w:rPr>
              <w:t>Concept ID</w:t>
            </w:r>
          </w:p>
        </w:tc>
        <w:tc>
          <w:tcPr>
            <w:tcW w:w="4464" w:type="pct"/>
            <w:tcBorders>
              <w:top w:val="single" w:sz="4" w:space="0" w:color="auto"/>
              <w:left w:val="single" w:sz="4" w:space="0" w:color="auto"/>
              <w:bottom w:val="single" w:sz="4" w:space="0" w:color="auto"/>
              <w:right w:val="single" w:sz="4" w:space="0" w:color="auto"/>
            </w:tcBorders>
          </w:tcPr>
          <w:p w:rsidR="004F0604" w:rsidRPr="004F0604" w:rsidRDefault="004F0604" w:rsidP="00774842">
            <w:pPr>
              <w:rPr>
                <w:rFonts w:ascii="Arial Narrow" w:hAnsi="Arial Narrow" w:cstheme="minorHAnsi"/>
                <w:bCs/>
                <w:sz w:val="20"/>
                <w:szCs w:val="20"/>
              </w:rPr>
            </w:pPr>
            <w:r w:rsidRPr="004F0604">
              <w:rPr>
                <w:rFonts w:ascii="Arial Narrow" w:hAnsi="Arial Narrow" w:cstheme="minorHAnsi"/>
                <w:b/>
                <w:bCs/>
                <w:sz w:val="20"/>
                <w:szCs w:val="20"/>
              </w:rPr>
              <w:t>Category/Program:</w:t>
            </w:r>
            <w:r w:rsidRPr="004F0604">
              <w:rPr>
                <w:rFonts w:ascii="Arial Narrow" w:hAnsi="Arial Narrow" w:cstheme="minorHAnsi"/>
                <w:bCs/>
                <w:sz w:val="20"/>
                <w:szCs w:val="20"/>
              </w:rPr>
              <w:t xml:space="preserve">  Section 100 – Efficient Funding of Chemotherapy; Public/Private Hospital</w:t>
            </w:r>
          </w:p>
        </w:tc>
      </w:tr>
      <w:tr w:rsidR="004F0604" w:rsidRPr="004F0604"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tcBorders>
              <w:top w:val="single" w:sz="4" w:space="0" w:color="auto"/>
              <w:left w:val="single" w:sz="4" w:space="0" w:color="auto"/>
              <w:bottom w:val="single" w:sz="4" w:space="0" w:color="auto"/>
              <w:right w:val="single" w:sz="4" w:space="0" w:color="auto"/>
            </w:tcBorders>
          </w:tcPr>
          <w:p w:rsidR="004F0604" w:rsidRPr="004F0604" w:rsidRDefault="00F34E34" w:rsidP="00774842">
            <w:pPr>
              <w:rPr>
                <w:rFonts w:ascii="Arial Narrow" w:hAnsi="Arial Narrow" w:cstheme="minorHAnsi"/>
                <w:b/>
                <w:sz w:val="20"/>
                <w:szCs w:val="20"/>
              </w:rPr>
            </w:pPr>
            <w:r>
              <w:rPr>
                <w:rFonts w:ascii="Arial Narrow" w:hAnsi="Arial Narrow" w:cstheme="minorHAnsi"/>
                <w:b/>
                <w:sz w:val="20"/>
                <w:szCs w:val="20"/>
              </w:rPr>
              <w:t xml:space="preserve">Prescriber type: </w:t>
            </w:r>
            <w:r w:rsidR="004F0604" w:rsidRPr="004F0604">
              <w:rPr>
                <w:rFonts w:ascii="Arial Narrow" w:hAnsi="Arial Narrow" w:cstheme="minorHAnsi"/>
                <w:sz w:val="20"/>
                <w:szCs w:val="20"/>
              </w:rPr>
              <w:fldChar w:fldCharType="begin">
                <w:ffData>
                  <w:name w:val="Check1"/>
                  <w:enabled/>
                  <w:calcOnExit w:val="0"/>
                  <w:checkBox>
                    <w:sizeAuto/>
                    <w:default w:val="0"/>
                  </w:checkBox>
                </w:ffData>
              </w:fldChar>
            </w:r>
            <w:r w:rsidR="004F0604"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004F0604" w:rsidRPr="004F0604">
              <w:rPr>
                <w:rFonts w:ascii="Arial Narrow" w:hAnsi="Arial Narrow" w:cstheme="minorHAnsi"/>
                <w:sz w:val="20"/>
                <w:szCs w:val="20"/>
              </w:rPr>
              <w:fldChar w:fldCharType="end"/>
            </w:r>
            <w:r>
              <w:rPr>
                <w:rFonts w:ascii="Arial Narrow" w:hAnsi="Arial Narrow" w:cstheme="minorHAnsi"/>
                <w:sz w:val="20"/>
                <w:szCs w:val="20"/>
              </w:rPr>
              <w:t xml:space="preserve"> Dental </w:t>
            </w:r>
            <w:r w:rsidR="004F0604" w:rsidRPr="004F0604">
              <w:rPr>
                <w:rFonts w:ascii="Arial Narrow" w:hAnsi="Arial Narrow" w:cstheme="minorHAnsi"/>
                <w:sz w:val="20"/>
                <w:szCs w:val="20"/>
              </w:rPr>
              <w:fldChar w:fldCharType="begin">
                <w:ffData>
                  <w:name w:val=""/>
                  <w:enabled/>
                  <w:calcOnExit w:val="0"/>
                  <w:checkBox>
                    <w:sizeAuto/>
                    <w:default w:val="1"/>
                  </w:checkBox>
                </w:ffData>
              </w:fldChar>
            </w:r>
            <w:r w:rsidR="004F0604"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004F0604" w:rsidRPr="004F0604">
              <w:rPr>
                <w:rFonts w:ascii="Arial Narrow" w:hAnsi="Arial Narrow" w:cstheme="minorHAnsi"/>
                <w:sz w:val="20"/>
                <w:szCs w:val="20"/>
              </w:rPr>
              <w:fldChar w:fldCharType="end"/>
            </w:r>
            <w:r w:rsidR="004F0604" w:rsidRPr="004F0604">
              <w:rPr>
                <w:rFonts w:ascii="Arial Narrow" w:hAnsi="Arial Narrow" w:cstheme="minorHAnsi"/>
                <w:sz w:val="20"/>
                <w:szCs w:val="20"/>
              </w:rPr>
              <w:t xml:space="preserve"> Medical Practitioners  </w:t>
            </w:r>
            <w:r w:rsidR="004F0604" w:rsidRPr="004F0604">
              <w:rPr>
                <w:rFonts w:ascii="Arial Narrow" w:hAnsi="Arial Narrow" w:cstheme="minorHAnsi"/>
                <w:sz w:val="20"/>
                <w:szCs w:val="20"/>
              </w:rPr>
              <w:fldChar w:fldCharType="begin">
                <w:ffData>
                  <w:name w:val="Check3"/>
                  <w:enabled/>
                  <w:calcOnExit w:val="0"/>
                  <w:checkBox>
                    <w:sizeAuto/>
                    <w:default w:val="0"/>
                  </w:checkBox>
                </w:ffData>
              </w:fldChar>
            </w:r>
            <w:r w:rsidR="004F0604"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004F0604" w:rsidRPr="004F0604">
              <w:rPr>
                <w:rFonts w:ascii="Arial Narrow" w:hAnsi="Arial Narrow" w:cstheme="minorHAnsi"/>
                <w:sz w:val="20"/>
                <w:szCs w:val="20"/>
              </w:rPr>
              <w:fldChar w:fldCharType="end"/>
            </w:r>
            <w:r w:rsidR="004F0604" w:rsidRPr="004F0604">
              <w:rPr>
                <w:rFonts w:ascii="Arial Narrow" w:hAnsi="Arial Narrow" w:cstheme="minorHAnsi"/>
                <w:sz w:val="20"/>
                <w:szCs w:val="20"/>
              </w:rPr>
              <w:t xml:space="preserve"> Nurse practitioners  </w:t>
            </w:r>
            <w:r w:rsidR="004F0604" w:rsidRPr="004F0604">
              <w:rPr>
                <w:rFonts w:ascii="Arial Narrow" w:hAnsi="Arial Narrow" w:cstheme="minorHAnsi"/>
                <w:sz w:val="20"/>
                <w:szCs w:val="20"/>
              </w:rPr>
              <w:fldChar w:fldCharType="begin">
                <w:ffData>
                  <w:name w:val=""/>
                  <w:enabled/>
                  <w:calcOnExit w:val="0"/>
                  <w:checkBox>
                    <w:sizeAuto/>
                    <w:default w:val="0"/>
                  </w:checkBox>
                </w:ffData>
              </w:fldChar>
            </w:r>
            <w:r w:rsidR="004F0604"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004F0604" w:rsidRPr="004F0604">
              <w:rPr>
                <w:rFonts w:ascii="Arial Narrow" w:hAnsi="Arial Narrow" w:cstheme="minorHAnsi"/>
                <w:sz w:val="20"/>
                <w:szCs w:val="20"/>
              </w:rPr>
              <w:fldChar w:fldCharType="end"/>
            </w:r>
            <w:r w:rsidR="004F0604" w:rsidRPr="004F0604">
              <w:rPr>
                <w:rFonts w:ascii="Arial Narrow" w:hAnsi="Arial Narrow" w:cstheme="minorHAnsi"/>
                <w:sz w:val="20"/>
                <w:szCs w:val="20"/>
              </w:rPr>
              <w:t xml:space="preserve"> Optometrists  </w:t>
            </w:r>
            <w:r w:rsidR="004F0604" w:rsidRPr="004F0604">
              <w:rPr>
                <w:rFonts w:ascii="Arial Narrow" w:hAnsi="Arial Narrow" w:cstheme="minorHAnsi"/>
                <w:sz w:val="20"/>
                <w:szCs w:val="20"/>
              </w:rPr>
              <w:fldChar w:fldCharType="begin">
                <w:ffData>
                  <w:name w:val="Check5"/>
                  <w:enabled/>
                  <w:calcOnExit w:val="0"/>
                  <w:checkBox>
                    <w:sizeAuto/>
                    <w:default w:val="0"/>
                  </w:checkBox>
                </w:ffData>
              </w:fldChar>
            </w:r>
            <w:r w:rsidR="004F0604" w:rsidRPr="004F0604">
              <w:rPr>
                <w:rFonts w:ascii="Arial Narrow" w:hAnsi="Arial Narrow" w:cstheme="minorHAnsi"/>
                <w:sz w:val="20"/>
                <w:szCs w:val="20"/>
              </w:rPr>
              <w:instrText xml:space="preserve"> FORMCHECKBOX </w:instrText>
            </w:r>
            <w:r w:rsidR="00756F83">
              <w:rPr>
                <w:rFonts w:ascii="Arial Narrow" w:hAnsi="Arial Narrow" w:cstheme="minorHAnsi"/>
                <w:sz w:val="20"/>
                <w:szCs w:val="20"/>
              </w:rPr>
            </w:r>
            <w:r w:rsidR="00756F83">
              <w:rPr>
                <w:rFonts w:ascii="Arial Narrow" w:hAnsi="Arial Narrow" w:cstheme="minorHAnsi"/>
                <w:sz w:val="20"/>
                <w:szCs w:val="20"/>
              </w:rPr>
              <w:fldChar w:fldCharType="separate"/>
            </w:r>
            <w:r w:rsidR="004F0604" w:rsidRPr="004F0604">
              <w:rPr>
                <w:rFonts w:ascii="Arial Narrow" w:hAnsi="Arial Narrow" w:cstheme="minorHAnsi"/>
                <w:sz w:val="20"/>
                <w:szCs w:val="20"/>
              </w:rPr>
              <w:fldChar w:fldCharType="end"/>
            </w:r>
            <w:r w:rsidR="004F0604" w:rsidRPr="004F0604">
              <w:rPr>
                <w:rFonts w:ascii="Arial Narrow" w:hAnsi="Arial Narrow" w:cstheme="minorHAnsi"/>
                <w:sz w:val="20"/>
                <w:szCs w:val="20"/>
              </w:rPr>
              <w:t xml:space="preserve"> Midwives</w:t>
            </w:r>
          </w:p>
        </w:tc>
      </w:tr>
      <w:tr w:rsidR="004F0604" w:rsidRPr="004F0604"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lang w:eastAsia="en-AU"/>
              </w:rPr>
            </w:pPr>
            <w:r w:rsidRPr="004F0604">
              <w:rPr>
                <w:rFonts w:ascii="Arial Narrow" w:hAnsi="Arial Narrow"/>
                <w:b/>
                <w:sz w:val="20"/>
                <w:szCs w:val="20"/>
                <w:lang w:eastAsia="en-AU"/>
              </w:rPr>
              <w:t>Restriction Level / Method:</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Check1"/>
                  <w:enabled/>
                  <w:calcOnExit w:val="0"/>
                  <w:checkBox>
                    <w:sizeAuto/>
                    <w:default w:val="0"/>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Restricted benefit</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
                  <w:enabled/>
                  <w:calcOnExit w:val="0"/>
                  <w:checkBox>
                    <w:sizeAuto/>
                    <w:default w:val="0"/>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Authority Required - In Writing</w:t>
            </w:r>
          </w:p>
          <w:p w:rsidR="004F0604" w:rsidRPr="004F0604" w:rsidRDefault="004F0604" w:rsidP="00774842">
            <w:pPr>
              <w:rPr>
                <w:rFonts w:ascii="Arial Narrow" w:hAnsi="Arial Narrow"/>
                <w:sz w:val="20"/>
                <w:szCs w:val="20"/>
                <w:lang w:eastAsia="en-AU"/>
              </w:rPr>
            </w:pPr>
            <w:r w:rsidRPr="004F0604">
              <w:rPr>
                <w:rFonts w:ascii="Arial Narrow" w:hAnsi="Arial Narrow"/>
                <w:sz w:val="20"/>
                <w:szCs w:val="20"/>
                <w:lang w:eastAsia="en-AU"/>
              </w:rPr>
              <w:fldChar w:fldCharType="begin">
                <w:ffData>
                  <w:name w:val=""/>
                  <w:enabled/>
                  <w:calcOnExit w:val="0"/>
                  <w:checkBox>
                    <w:sizeAuto/>
                    <w:default w:val="1"/>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Authority Required – Telephone/Emergency/Electronic</w:t>
            </w:r>
          </w:p>
          <w:p w:rsidR="004F0604" w:rsidRPr="004F0604" w:rsidRDefault="004F0604" w:rsidP="00774842">
            <w:pPr>
              <w:rPr>
                <w:rFonts w:ascii="Arial Narrow" w:hAnsi="Arial Narrow"/>
                <w:b/>
                <w:bCs/>
                <w:sz w:val="20"/>
                <w:szCs w:val="20"/>
              </w:rPr>
            </w:pPr>
            <w:r w:rsidRPr="004F0604">
              <w:rPr>
                <w:rFonts w:ascii="Arial Narrow" w:hAnsi="Arial Narrow"/>
                <w:sz w:val="20"/>
                <w:szCs w:val="20"/>
                <w:lang w:eastAsia="en-AU"/>
              </w:rPr>
              <w:fldChar w:fldCharType="begin">
                <w:ffData>
                  <w:name w:val="Check5"/>
                  <w:enabled/>
                  <w:calcOnExit w:val="0"/>
                  <w:checkBox>
                    <w:sizeAuto/>
                    <w:default w:val="0"/>
                  </w:checkBox>
                </w:ffData>
              </w:fldChar>
            </w:r>
            <w:r w:rsidRPr="004F0604">
              <w:rPr>
                <w:rFonts w:ascii="Arial Narrow" w:hAnsi="Arial Narrow"/>
                <w:sz w:val="20"/>
                <w:szCs w:val="20"/>
                <w:lang w:eastAsia="en-AU"/>
              </w:rPr>
              <w:instrText xml:space="preserve"> FORMCHECKBOX </w:instrText>
            </w:r>
            <w:r w:rsidR="00756F83">
              <w:rPr>
                <w:rFonts w:ascii="Arial Narrow" w:hAnsi="Arial Narrow"/>
                <w:sz w:val="20"/>
                <w:szCs w:val="20"/>
                <w:lang w:eastAsia="en-AU"/>
              </w:rPr>
            </w:r>
            <w:r w:rsidR="00756F83">
              <w:rPr>
                <w:rFonts w:ascii="Arial Narrow" w:hAnsi="Arial Narrow"/>
                <w:sz w:val="20"/>
                <w:szCs w:val="20"/>
                <w:lang w:eastAsia="en-AU"/>
              </w:rPr>
              <w:fldChar w:fldCharType="separate"/>
            </w:r>
            <w:r w:rsidRPr="004F0604">
              <w:rPr>
                <w:rFonts w:ascii="Arial Narrow" w:hAnsi="Arial Narrow"/>
                <w:sz w:val="20"/>
                <w:szCs w:val="20"/>
                <w:lang w:eastAsia="en-AU"/>
              </w:rPr>
              <w:fldChar w:fldCharType="end"/>
            </w:r>
            <w:r w:rsidRPr="004F0604">
              <w:rPr>
                <w:rFonts w:ascii="Arial Narrow" w:hAnsi="Arial Narrow"/>
                <w:sz w:val="20"/>
                <w:szCs w:val="20"/>
                <w:lang w:eastAsia="en-AU"/>
              </w:rPr>
              <w:t>Streamlined</w:t>
            </w:r>
          </w:p>
        </w:tc>
      </w:tr>
      <w:tr w:rsidR="004F0604" w:rsidRPr="004F0604" w:rsidTr="00774842">
        <w:tc>
          <w:tcPr>
            <w:tcW w:w="536" w:type="pc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24626</w:t>
            </w:r>
          </w:p>
        </w:tc>
        <w:tc>
          <w:tcPr>
            <w:tcW w:w="4464" w:type="pct"/>
            <w:vAlign w:val="center"/>
          </w:tcPr>
          <w:p w:rsidR="004F0604" w:rsidRPr="004F0604" w:rsidRDefault="004F0604" w:rsidP="00774842">
            <w:pPr>
              <w:rPr>
                <w:rFonts w:ascii="Arial Narrow" w:hAnsi="Arial Narrow"/>
                <w:b/>
                <w:bCs/>
                <w:sz w:val="20"/>
                <w:szCs w:val="20"/>
              </w:rPr>
            </w:pPr>
            <w:r w:rsidRPr="004F0604">
              <w:rPr>
                <w:rFonts w:ascii="Arial Narrow" w:hAnsi="Arial Narrow"/>
                <w:b/>
                <w:bCs/>
                <w:sz w:val="20"/>
                <w:szCs w:val="20"/>
              </w:rPr>
              <w:t>Administrative Advice:</w:t>
            </w:r>
          </w:p>
          <w:p w:rsidR="004F0604" w:rsidRPr="004F0604" w:rsidRDefault="004F0604" w:rsidP="00774842">
            <w:pPr>
              <w:rPr>
                <w:rFonts w:ascii="Arial Narrow" w:hAnsi="Arial Narrow"/>
                <w:b/>
                <w:bCs/>
                <w:sz w:val="20"/>
                <w:szCs w:val="20"/>
              </w:rPr>
            </w:pPr>
            <w:r w:rsidRPr="004F0604">
              <w:rPr>
                <w:rFonts w:ascii="Arial Narrow" w:hAnsi="Arial Narrow"/>
                <w:bCs/>
                <w:sz w:val="20"/>
                <w:szCs w:val="20"/>
              </w:rPr>
              <w:t>Increased maximum quantity will be authorised where a patient's weight is greater than 125 kg.</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7607</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Administrative Advice:</w:t>
            </w:r>
            <w:r w:rsidRPr="004F0604">
              <w:rPr>
                <w:rFonts w:ascii="Arial Narrow" w:hAnsi="Arial Narrow"/>
                <w:sz w:val="20"/>
                <w:szCs w:val="20"/>
              </w:rPr>
              <w:t xml:space="preserve"> No increase in the maximum number of repeats may be authorised.</w:t>
            </w:r>
          </w:p>
        </w:tc>
      </w:tr>
      <w:tr w:rsidR="004F0604" w:rsidRPr="004F0604" w:rsidTr="00774842">
        <w:tc>
          <w:tcPr>
            <w:tcW w:w="536" w:type="pc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7754</w:t>
            </w: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Indication:</w:t>
            </w:r>
            <w:r w:rsidRPr="004F0604">
              <w:rPr>
                <w:rFonts w:ascii="Arial Narrow" w:hAnsi="Arial Narrow"/>
                <w:sz w:val="20"/>
                <w:szCs w:val="20"/>
              </w:rPr>
              <w:t xml:space="preserve"> Early HER2 positive breast cancer</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Treatment Phase:</w:t>
            </w:r>
            <w:r w:rsidRPr="004F0604">
              <w:rPr>
                <w:rFonts w:ascii="Arial Narrow" w:hAnsi="Arial Narrow"/>
                <w:sz w:val="20"/>
                <w:szCs w:val="20"/>
              </w:rPr>
              <w:t xml:space="preserve"> Continuing adjuvant treatment</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10972</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10971</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sz w:val="20"/>
                <w:szCs w:val="20"/>
              </w:rPr>
              <w:t>Patient must have previously been issued with an authority prescription for this drug for this condition</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4F0604" w:rsidTr="003B6139">
        <w:tc>
          <w:tcPr>
            <w:tcW w:w="536" w:type="pct"/>
            <w:shd w:val="clear" w:color="auto" w:fill="auto"/>
            <w:vAlign w:val="center"/>
            <w:hideMark/>
          </w:tcPr>
          <w:p w:rsidR="004F0604" w:rsidRPr="003B6139" w:rsidRDefault="004F0604" w:rsidP="00774842">
            <w:pPr>
              <w:jc w:val="center"/>
              <w:rPr>
                <w:rFonts w:ascii="Arial Narrow" w:hAnsi="Arial Narrow"/>
                <w:sz w:val="20"/>
                <w:szCs w:val="20"/>
              </w:rPr>
            </w:pPr>
            <w:r w:rsidRPr="003B6139">
              <w:rPr>
                <w:rFonts w:ascii="Arial Narrow" w:hAnsi="Arial Narrow"/>
                <w:sz w:val="20"/>
                <w:szCs w:val="20"/>
              </w:rPr>
              <w:t>11485</w:t>
            </w:r>
          </w:p>
        </w:tc>
        <w:tc>
          <w:tcPr>
            <w:tcW w:w="4464" w:type="pct"/>
            <w:shd w:val="clear" w:color="auto" w:fill="auto"/>
            <w:vAlign w:val="center"/>
            <w:hideMark/>
          </w:tcPr>
          <w:p w:rsidR="004F0604" w:rsidRPr="003B6139" w:rsidRDefault="004F0604" w:rsidP="003B6139">
            <w:pPr>
              <w:rPr>
                <w:rFonts w:ascii="Arial Narrow" w:hAnsi="Arial Narrow"/>
                <w:color w:val="FF00FF"/>
                <w:sz w:val="20"/>
                <w:szCs w:val="20"/>
              </w:rPr>
            </w:pPr>
            <w:r w:rsidRPr="003B6139">
              <w:rPr>
                <w:rFonts w:ascii="Arial Narrow" w:hAnsi="Arial Narrow"/>
                <w:b/>
                <w:bCs/>
                <w:sz w:val="20"/>
                <w:szCs w:val="20"/>
              </w:rPr>
              <w:t>Clinical criteria:</w:t>
            </w:r>
          </w:p>
        </w:tc>
      </w:tr>
      <w:tr w:rsidR="004F0604" w:rsidRPr="004F0604" w:rsidTr="003B6139">
        <w:tc>
          <w:tcPr>
            <w:tcW w:w="536" w:type="pct"/>
            <w:shd w:val="clear" w:color="auto" w:fill="auto"/>
            <w:vAlign w:val="center"/>
            <w:hideMark/>
          </w:tcPr>
          <w:p w:rsidR="004F0604" w:rsidRPr="003B6139" w:rsidRDefault="004F0604" w:rsidP="00774842">
            <w:pPr>
              <w:jc w:val="center"/>
              <w:rPr>
                <w:rFonts w:ascii="Arial Narrow" w:hAnsi="Arial Narrow"/>
                <w:sz w:val="20"/>
                <w:szCs w:val="20"/>
              </w:rPr>
            </w:pPr>
            <w:r w:rsidRPr="003B6139">
              <w:rPr>
                <w:rFonts w:ascii="Arial Narrow" w:hAnsi="Arial Narrow"/>
                <w:sz w:val="20"/>
                <w:szCs w:val="20"/>
              </w:rPr>
              <w:t>11484</w:t>
            </w:r>
          </w:p>
        </w:tc>
        <w:tc>
          <w:tcPr>
            <w:tcW w:w="4464" w:type="pct"/>
            <w:shd w:val="clear" w:color="auto" w:fill="auto"/>
            <w:vAlign w:val="center"/>
            <w:hideMark/>
          </w:tcPr>
          <w:p w:rsidR="004F0604" w:rsidRPr="003B6139" w:rsidRDefault="004F0604" w:rsidP="00774842">
            <w:pPr>
              <w:rPr>
                <w:rFonts w:ascii="Arial Narrow" w:hAnsi="Arial Narrow"/>
                <w:sz w:val="20"/>
                <w:szCs w:val="20"/>
              </w:rPr>
            </w:pPr>
            <w:r w:rsidRPr="003B6139">
              <w:rPr>
                <w:rFonts w:ascii="Arial Narrow" w:hAnsi="Arial Narrow"/>
                <w:sz w:val="20"/>
                <w:szCs w:val="20"/>
              </w:rPr>
              <w:t>Patient must not receive PBS-subsidised treatment with this drug if progressive disease develops while on this drug</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7745</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7744</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sz w:val="20"/>
                <w:szCs w:val="20"/>
              </w:rPr>
              <w:t>The treatment must not be used in a patient with a left ventricular ejection fraction (LVEF) of less than 45% and/or with symptomatic heart failure</w:t>
            </w:r>
          </w:p>
        </w:tc>
      </w:tr>
      <w:tr w:rsidR="004F0604" w:rsidRPr="004F0604" w:rsidTr="00774842">
        <w:tc>
          <w:tcPr>
            <w:tcW w:w="536" w:type="pct"/>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AND</w:t>
            </w:r>
          </w:p>
        </w:tc>
      </w:tr>
      <w:tr w:rsidR="004F0604" w:rsidRPr="004F0604" w:rsidTr="00774842">
        <w:tc>
          <w:tcPr>
            <w:tcW w:w="536" w:type="pct"/>
            <w:vMerge w:val="restart"/>
            <w:vAlign w:val="center"/>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New (2)</w:t>
            </w: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b/>
                <w:bCs/>
                <w:sz w:val="20"/>
                <w:szCs w:val="20"/>
              </w:rPr>
              <w:t>Clinical criteria:</w:t>
            </w:r>
          </w:p>
        </w:tc>
      </w:tr>
      <w:tr w:rsidR="004F0604" w:rsidRPr="004F0604" w:rsidTr="00774842">
        <w:trPr>
          <w:trHeight w:val="486"/>
        </w:trPr>
        <w:tc>
          <w:tcPr>
            <w:tcW w:w="536" w:type="pct"/>
            <w:vMerge/>
            <w:vAlign w:val="center"/>
          </w:tcPr>
          <w:p w:rsidR="004F0604" w:rsidRPr="004F0604" w:rsidRDefault="004F0604" w:rsidP="00774842">
            <w:pPr>
              <w:jc w:val="center"/>
              <w:rPr>
                <w:rFonts w:ascii="Arial Narrow" w:hAnsi="Arial Narrow"/>
                <w:sz w:val="20"/>
                <w:szCs w:val="20"/>
              </w:rPr>
            </w:pPr>
          </w:p>
        </w:tc>
        <w:tc>
          <w:tcPr>
            <w:tcW w:w="4464" w:type="pct"/>
            <w:vAlign w:val="center"/>
          </w:tcPr>
          <w:p w:rsidR="004F0604" w:rsidRPr="004F0604" w:rsidRDefault="004F0604" w:rsidP="00774842">
            <w:pPr>
              <w:rPr>
                <w:rFonts w:ascii="Arial Narrow" w:hAnsi="Arial Narrow"/>
                <w:sz w:val="20"/>
                <w:szCs w:val="20"/>
              </w:rPr>
            </w:pPr>
            <w:r w:rsidRPr="004F0604">
              <w:rPr>
                <w:rFonts w:ascii="Arial Narrow" w:hAnsi="Arial Narrow"/>
                <w:sz w:val="20"/>
                <w:szCs w:val="20"/>
              </w:rPr>
              <w:t>Patient must not receive more than 42 weeks (14 cycles) of combined PBS-subsidised and non-PBS-subsidised therapy with this drug under the initial, grandfathering and continuing adjuvant treatment restrictions combined</w:t>
            </w:r>
          </w:p>
        </w:tc>
      </w:tr>
      <w:tr w:rsidR="004F0604" w:rsidRPr="004F0604" w:rsidTr="00774842">
        <w:tc>
          <w:tcPr>
            <w:tcW w:w="536" w:type="pct"/>
            <w:vAlign w:val="center"/>
            <w:hideMark/>
          </w:tcPr>
          <w:p w:rsidR="004F0604" w:rsidRPr="004F0604" w:rsidRDefault="004F0604" w:rsidP="00774842">
            <w:pPr>
              <w:jc w:val="center"/>
              <w:rPr>
                <w:rFonts w:ascii="Arial Narrow" w:hAnsi="Arial Narrow"/>
                <w:sz w:val="20"/>
                <w:szCs w:val="20"/>
              </w:rPr>
            </w:pPr>
            <w:r w:rsidRPr="004F0604">
              <w:rPr>
                <w:rFonts w:ascii="Arial Narrow" w:hAnsi="Arial Narrow"/>
                <w:sz w:val="20"/>
                <w:szCs w:val="20"/>
              </w:rPr>
              <w:t>14726</w:t>
            </w:r>
          </w:p>
          <w:p w:rsidR="004F0604" w:rsidRPr="004F0604" w:rsidRDefault="004F0604" w:rsidP="00774842">
            <w:pPr>
              <w:jc w:val="center"/>
              <w:rPr>
                <w:rFonts w:ascii="Arial Narrow" w:hAnsi="Arial Narrow"/>
                <w:vanish/>
                <w:sz w:val="20"/>
                <w:szCs w:val="20"/>
              </w:rPr>
            </w:pPr>
            <w:r w:rsidRPr="004F0604">
              <w:rPr>
                <w:rFonts w:ascii="Arial Narrow" w:hAnsi="Arial Narrow"/>
                <w:vanish/>
                <w:sz w:val="20"/>
                <w:szCs w:val="20"/>
              </w:rPr>
              <w:t>CAR</w:t>
            </w:r>
          </w:p>
        </w:tc>
        <w:tc>
          <w:tcPr>
            <w:tcW w:w="4464" w:type="pct"/>
            <w:vAlign w:val="center"/>
            <w:hideMark/>
          </w:tcPr>
          <w:p w:rsidR="004F0604" w:rsidRPr="004F0604" w:rsidRDefault="004F0604" w:rsidP="00774842">
            <w:pPr>
              <w:rPr>
                <w:rFonts w:ascii="Arial Narrow" w:hAnsi="Arial Narrow"/>
                <w:sz w:val="20"/>
                <w:szCs w:val="20"/>
              </w:rPr>
            </w:pPr>
            <w:r w:rsidRPr="004F0604">
              <w:rPr>
                <w:rFonts w:ascii="Arial Narrow" w:hAnsi="Arial Narrow"/>
                <w:b/>
                <w:bCs/>
                <w:sz w:val="20"/>
                <w:szCs w:val="20"/>
              </w:rPr>
              <w:t>Administrative Advice:</w:t>
            </w:r>
          </w:p>
          <w:p w:rsidR="004F0604" w:rsidRPr="004F0604" w:rsidRDefault="004F0604" w:rsidP="00774842">
            <w:pPr>
              <w:rPr>
                <w:rFonts w:ascii="Arial Narrow" w:hAnsi="Arial Narrow"/>
                <w:sz w:val="20"/>
                <w:szCs w:val="20"/>
              </w:rPr>
            </w:pPr>
            <w:r w:rsidRPr="004F0604">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tc>
      </w:tr>
    </w:tbl>
    <w:p w:rsidR="006049AC" w:rsidRDefault="006049AC">
      <w:pPr>
        <w:widowControl/>
        <w:jc w:val="left"/>
      </w:pPr>
    </w:p>
    <w:p w:rsidR="00684B28" w:rsidRPr="000526BE" w:rsidRDefault="00684B28" w:rsidP="00684B28">
      <w:pPr>
        <w:numPr>
          <w:ilvl w:val="1"/>
          <w:numId w:val="2"/>
        </w:numPr>
        <w:rPr>
          <w:i/>
        </w:rPr>
      </w:pPr>
      <w:r w:rsidRPr="000526BE">
        <w:rPr>
          <w:i/>
        </w:rPr>
        <w:t>Flow-on changes to trastuzumab emtansine in metastatic breast cancer</w:t>
      </w:r>
      <w:r w:rsidR="00233F17">
        <w:rPr>
          <w:i/>
        </w:rPr>
        <w:t xml:space="preserve"> (continuing treatment only)</w:t>
      </w:r>
      <w:r w:rsidRPr="000526BE">
        <w:rPr>
          <w:i/>
        </w:rPr>
        <w:t>:</w:t>
      </w:r>
    </w:p>
    <w:p w:rsidR="00684B28" w:rsidRPr="00D87000" w:rsidRDefault="00684B28" w:rsidP="00684B28">
      <w:pPr>
        <w:rPr>
          <w:sz w:val="28"/>
        </w:rPr>
      </w:pPr>
    </w:p>
    <w:p w:rsidR="00684B28" w:rsidRPr="00D87000" w:rsidRDefault="00684B28" w:rsidP="00684B28">
      <w:pPr>
        <w:rPr>
          <w:rFonts w:ascii="Arial Narrow" w:hAnsi="Arial Narrow"/>
          <w:b/>
          <w:sz w:val="20"/>
          <w:szCs w:val="18"/>
        </w:rPr>
      </w:pPr>
      <w:r w:rsidRPr="00D87000">
        <w:rPr>
          <w:rFonts w:ascii="Arial Narrow" w:hAnsi="Arial Narrow"/>
          <w:b/>
          <w:sz w:val="20"/>
          <w:szCs w:val="18"/>
        </w:rPr>
        <w:t>Restriction Summary 9576 / ToC: 9359: Authority Required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8316"/>
      </w:tblGrid>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7606</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Administrative Advice:</w:t>
            </w:r>
          </w:p>
          <w:p w:rsidR="00684B28" w:rsidRPr="00424146" w:rsidRDefault="00684B28" w:rsidP="00387C88">
            <w:pPr>
              <w:rPr>
                <w:rFonts w:ascii="Arial Narrow" w:hAnsi="Arial Narrow"/>
                <w:sz w:val="20"/>
                <w:szCs w:val="20"/>
              </w:rPr>
            </w:pPr>
            <w:r w:rsidRPr="00424146">
              <w:rPr>
                <w:rFonts w:ascii="Arial Narrow" w:hAnsi="Arial Narrow"/>
                <w:sz w:val="20"/>
                <w:szCs w:val="20"/>
              </w:rPr>
              <w:t>No increase in the maximum quantity or number of units may be authorised.</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7607</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Administrative Advice:</w:t>
            </w:r>
          </w:p>
          <w:p w:rsidR="00684B28" w:rsidRPr="00424146" w:rsidRDefault="00684B28" w:rsidP="00387C88">
            <w:pPr>
              <w:rPr>
                <w:rFonts w:ascii="Arial Narrow" w:hAnsi="Arial Narrow"/>
                <w:sz w:val="20"/>
                <w:szCs w:val="20"/>
              </w:rPr>
            </w:pPr>
            <w:r w:rsidRPr="00424146">
              <w:rPr>
                <w:rFonts w:ascii="Arial Narrow" w:hAnsi="Arial Narrow"/>
                <w:sz w:val="20"/>
                <w:szCs w:val="20"/>
              </w:rPr>
              <w:t>No increase in the maximum number of repeats may be authorised.</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14661</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Indication:</w:t>
            </w:r>
            <w:r w:rsidRPr="00424146">
              <w:rPr>
                <w:rFonts w:ascii="Arial Narrow" w:hAnsi="Arial Narrow"/>
                <w:sz w:val="20"/>
                <w:szCs w:val="20"/>
              </w:rPr>
              <w:t xml:space="preserve"> Metastatic (Stage IV) HER2 positive breast cancer</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Treatment Phase:</w:t>
            </w:r>
            <w:r w:rsidRPr="00424146">
              <w:rPr>
                <w:rFonts w:ascii="Arial Narrow" w:hAnsi="Arial Narrow"/>
                <w:sz w:val="20"/>
                <w:szCs w:val="20"/>
              </w:rPr>
              <w:t xml:space="preserve"> Continuing treatment</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10972</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Clinical criteria:</w:t>
            </w:r>
          </w:p>
        </w:tc>
      </w:tr>
      <w:tr w:rsidR="00684B28" w:rsidRPr="000526BE" w:rsidTr="00387C88">
        <w:tc>
          <w:tcPr>
            <w:tcW w:w="414" w:type="pct"/>
            <w:vAlign w:val="center"/>
            <w:hideMark/>
          </w:tcPr>
          <w:p w:rsidR="00684B28" w:rsidRPr="00424146" w:rsidRDefault="00684B28" w:rsidP="00387C88">
            <w:pPr>
              <w:jc w:val="center"/>
              <w:rPr>
                <w:rFonts w:ascii="Arial Narrow" w:hAnsi="Arial Narrow"/>
                <w:color w:val="FF00FF"/>
                <w:sz w:val="20"/>
                <w:szCs w:val="20"/>
              </w:rPr>
            </w:pPr>
            <w:r w:rsidRPr="00424146">
              <w:rPr>
                <w:rFonts w:ascii="Arial Narrow" w:hAnsi="Arial Narrow"/>
                <w:color w:val="FF00FF"/>
                <w:sz w:val="20"/>
                <w:szCs w:val="20"/>
              </w:rPr>
              <w:t>edit</w:t>
            </w:r>
          </w:p>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10971</w:t>
            </w:r>
          </w:p>
        </w:tc>
        <w:tc>
          <w:tcPr>
            <w:tcW w:w="4586" w:type="pct"/>
            <w:vAlign w:val="center"/>
            <w:hideMark/>
          </w:tcPr>
          <w:p w:rsidR="00684B28" w:rsidRPr="00424146" w:rsidRDefault="00684B28" w:rsidP="00387C88">
            <w:pPr>
              <w:rPr>
                <w:rFonts w:ascii="Arial Narrow" w:hAnsi="Arial Narrow"/>
                <w:i/>
                <w:sz w:val="20"/>
                <w:szCs w:val="20"/>
              </w:rPr>
            </w:pPr>
            <w:r w:rsidRPr="00424146">
              <w:rPr>
                <w:rFonts w:ascii="Arial Narrow" w:hAnsi="Arial Narrow"/>
                <w:sz w:val="20"/>
                <w:szCs w:val="20"/>
              </w:rPr>
              <w:t xml:space="preserve">Patient must have previously been issued with an authority prescription for this drug for </w:t>
            </w:r>
            <w:r w:rsidRPr="00424146">
              <w:rPr>
                <w:rFonts w:ascii="Arial Narrow" w:hAnsi="Arial Narrow"/>
                <w:strike/>
                <w:sz w:val="20"/>
                <w:szCs w:val="20"/>
              </w:rPr>
              <w:t>this condition</w:t>
            </w:r>
            <w:r w:rsidRPr="00424146">
              <w:rPr>
                <w:rFonts w:ascii="Arial Narrow" w:hAnsi="Arial Narrow"/>
                <w:sz w:val="20"/>
                <w:szCs w:val="20"/>
              </w:rPr>
              <w:t xml:space="preserve"> </w:t>
            </w:r>
            <w:r w:rsidRPr="00424146">
              <w:rPr>
                <w:rFonts w:ascii="Arial Narrow" w:hAnsi="Arial Narrow"/>
                <w:i/>
                <w:sz w:val="20"/>
                <w:szCs w:val="20"/>
              </w:rPr>
              <w:t>metastatic (Stage IV) HER2 positive breast cancer</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AND</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11485</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Clinical criteria:</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11484</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sz w:val="20"/>
                <w:szCs w:val="20"/>
              </w:rPr>
              <w:t>Patient must not receive PBS-subsidised treatment with this drug if progressive disease develops while on this drug</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AND</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7910</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Clinical criteria:</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7909</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sz w:val="20"/>
                <w:szCs w:val="20"/>
              </w:rPr>
              <w:t>The treatment must be as monotherapy</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AND</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7745</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Clinical criteria:</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7744</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sz w:val="20"/>
                <w:szCs w:val="20"/>
              </w:rPr>
              <w:t>The treatment must not be used in a patient with a left ventricular ejection fraction (LVEF) of less than 45% and/or with symptomatic heart failure</w:t>
            </w:r>
          </w:p>
        </w:tc>
      </w:tr>
      <w:tr w:rsidR="00684B28" w:rsidRPr="000526BE" w:rsidTr="00387C88">
        <w:tc>
          <w:tcPr>
            <w:tcW w:w="414" w:type="pct"/>
            <w:vAlign w:val="center"/>
            <w:hideMark/>
          </w:tcPr>
          <w:p w:rsidR="00684B28" w:rsidRPr="00424146" w:rsidRDefault="00684B28" w:rsidP="00387C88">
            <w:pPr>
              <w:jc w:val="center"/>
              <w:rPr>
                <w:rFonts w:ascii="Arial Narrow" w:hAnsi="Arial Narrow"/>
                <w:color w:val="FF00FF"/>
                <w:sz w:val="20"/>
                <w:szCs w:val="20"/>
              </w:rPr>
            </w:pPr>
            <w:r w:rsidRPr="00424146">
              <w:rPr>
                <w:rFonts w:ascii="Arial Narrow" w:hAnsi="Arial Narrow"/>
                <w:color w:val="FF00FF"/>
                <w:sz w:val="20"/>
                <w:szCs w:val="20"/>
              </w:rPr>
              <w:t>edit</w:t>
            </w:r>
          </w:p>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24515</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Prescribing Instructions:</w:t>
            </w:r>
          </w:p>
          <w:p w:rsidR="00684B28" w:rsidRPr="00424146" w:rsidRDefault="00684B28" w:rsidP="00387C88">
            <w:pPr>
              <w:rPr>
                <w:rFonts w:ascii="Arial Narrow" w:hAnsi="Arial Narrow"/>
                <w:sz w:val="20"/>
                <w:szCs w:val="20"/>
              </w:rPr>
            </w:pPr>
            <w:r w:rsidRPr="00424146">
              <w:rPr>
                <w:rFonts w:ascii="Arial Narrow" w:hAnsi="Arial Narrow"/>
                <w:sz w:val="20"/>
                <w:szCs w:val="20"/>
              </w:rPr>
              <w:t>A patient who has progressive disease when treated with this drug is no longer eligible for PBS-subsidised treatment with this drug.</w:t>
            </w:r>
          </w:p>
          <w:p w:rsidR="00684B28" w:rsidRPr="00424146" w:rsidRDefault="00684B28" w:rsidP="00AB2828">
            <w:pPr>
              <w:rPr>
                <w:rFonts w:ascii="Arial Narrow" w:hAnsi="Arial Narrow"/>
                <w:sz w:val="20"/>
                <w:szCs w:val="20"/>
              </w:rPr>
            </w:pPr>
            <w:r w:rsidRPr="00424146">
              <w:rPr>
                <w:rFonts w:ascii="Arial Narrow" w:hAnsi="Arial Narrow"/>
                <w:sz w:val="20"/>
                <w:szCs w:val="20"/>
              </w:rPr>
              <w:t>The treatment must not exceed a lifetime total of one continuous course</w:t>
            </w:r>
            <w:r w:rsidR="00C80073" w:rsidRPr="00424146">
              <w:rPr>
                <w:rFonts w:ascii="Arial Narrow" w:hAnsi="Arial Narrow"/>
                <w:sz w:val="20"/>
                <w:szCs w:val="20"/>
              </w:rPr>
              <w:t xml:space="preserve"> </w:t>
            </w:r>
            <w:r w:rsidR="00C80073" w:rsidRPr="00424146">
              <w:rPr>
                <w:rFonts w:ascii="Arial Narrow" w:hAnsi="Arial Narrow"/>
                <w:i/>
                <w:sz w:val="20"/>
                <w:szCs w:val="20"/>
              </w:rPr>
              <w:t>for metastatic (Stage IV) HER2 positive breast cancer</w:t>
            </w:r>
            <w:r w:rsidRPr="00424146">
              <w:rPr>
                <w:rFonts w:ascii="Arial Narrow" w:hAnsi="Arial Narrow"/>
                <w:sz w:val="20"/>
                <w:szCs w:val="20"/>
              </w:rPr>
              <w:t>.</w:t>
            </w:r>
          </w:p>
        </w:tc>
      </w:tr>
      <w:tr w:rsidR="00684B28" w:rsidRPr="000526BE" w:rsidTr="00387C88">
        <w:tc>
          <w:tcPr>
            <w:tcW w:w="414" w:type="pct"/>
            <w:vAlign w:val="center"/>
            <w:hideMark/>
          </w:tcPr>
          <w:p w:rsidR="00684B28" w:rsidRPr="00424146" w:rsidRDefault="00684B28" w:rsidP="00387C88">
            <w:pPr>
              <w:jc w:val="center"/>
              <w:rPr>
                <w:rFonts w:ascii="Arial Narrow" w:hAnsi="Arial Narrow"/>
                <w:sz w:val="20"/>
                <w:szCs w:val="20"/>
              </w:rPr>
            </w:pPr>
            <w:r w:rsidRPr="00424146">
              <w:rPr>
                <w:rFonts w:ascii="Arial Narrow" w:hAnsi="Arial Narrow"/>
                <w:sz w:val="20"/>
                <w:szCs w:val="20"/>
              </w:rPr>
              <w:t>14726</w:t>
            </w:r>
          </w:p>
          <w:p w:rsidR="00684B28" w:rsidRPr="00424146" w:rsidRDefault="00684B28" w:rsidP="00387C88">
            <w:pPr>
              <w:jc w:val="center"/>
              <w:rPr>
                <w:rFonts w:ascii="Arial Narrow" w:hAnsi="Arial Narrow"/>
                <w:vanish/>
                <w:sz w:val="20"/>
                <w:szCs w:val="20"/>
              </w:rPr>
            </w:pPr>
            <w:r w:rsidRPr="00424146">
              <w:rPr>
                <w:rFonts w:ascii="Arial Narrow" w:hAnsi="Arial Narrow"/>
                <w:vanish/>
                <w:sz w:val="20"/>
                <w:szCs w:val="20"/>
              </w:rPr>
              <w:t>CAR</w:t>
            </w:r>
          </w:p>
        </w:tc>
        <w:tc>
          <w:tcPr>
            <w:tcW w:w="4586" w:type="pct"/>
            <w:vAlign w:val="center"/>
            <w:hideMark/>
          </w:tcPr>
          <w:p w:rsidR="00684B28" w:rsidRPr="00424146" w:rsidRDefault="00684B28" w:rsidP="00387C88">
            <w:pPr>
              <w:rPr>
                <w:rFonts w:ascii="Arial Narrow" w:hAnsi="Arial Narrow"/>
                <w:sz w:val="20"/>
                <w:szCs w:val="20"/>
              </w:rPr>
            </w:pPr>
            <w:r w:rsidRPr="00424146">
              <w:rPr>
                <w:rFonts w:ascii="Arial Narrow" w:hAnsi="Arial Narrow"/>
                <w:b/>
                <w:bCs/>
                <w:sz w:val="20"/>
                <w:szCs w:val="20"/>
              </w:rPr>
              <w:t>Administrative Advice:</w:t>
            </w:r>
          </w:p>
          <w:p w:rsidR="00684B28" w:rsidRPr="00424146" w:rsidRDefault="00684B28" w:rsidP="00387C88">
            <w:pPr>
              <w:rPr>
                <w:rFonts w:ascii="Arial Narrow" w:hAnsi="Arial Narrow"/>
                <w:sz w:val="20"/>
                <w:szCs w:val="20"/>
              </w:rPr>
            </w:pPr>
            <w:r w:rsidRPr="00424146">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tc>
      </w:tr>
    </w:tbl>
    <w:p w:rsidR="00684B28" w:rsidRDefault="00684B28" w:rsidP="007C4AAB">
      <w:pPr>
        <w:widowControl/>
        <w:spacing w:after="120"/>
      </w:pPr>
    </w:p>
    <w:p w:rsidR="005C714B" w:rsidRDefault="005C714B" w:rsidP="005C714B">
      <w:pPr>
        <w:numPr>
          <w:ilvl w:val="1"/>
          <w:numId w:val="2"/>
        </w:numPr>
      </w:pPr>
      <w:r w:rsidRPr="00D35FA4">
        <w:rPr>
          <w:rFonts w:asciiTheme="minorHAnsi" w:hAnsiTheme="minorHAnsi" w:cstheme="minorHAnsi"/>
          <w:i/>
        </w:rPr>
        <w:t>Amend concept ID 7747 in line with</w:t>
      </w:r>
      <w:r>
        <w:rPr>
          <w:rFonts w:asciiTheme="minorHAnsi" w:hAnsiTheme="minorHAnsi" w:cstheme="minorHAnsi"/>
          <w:i/>
        </w:rPr>
        <w:t xml:space="preserve"> the last dot-</w:t>
      </w:r>
      <w:r w:rsidRPr="00D35FA4">
        <w:rPr>
          <w:rFonts w:asciiTheme="minorHAnsi" w:hAnsiTheme="minorHAnsi" w:cstheme="minorHAnsi"/>
          <w:i/>
        </w:rPr>
        <w:t>point of paragraph 7.4 of the minutes, for the following restriction summaries</w:t>
      </w:r>
      <w:r w:rsidRPr="00F43313">
        <w:t>:</w:t>
      </w:r>
    </w:p>
    <w:p w:rsidR="005C714B" w:rsidRDefault="005C714B" w:rsidP="005C714B">
      <w:pPr>
        <w:rPr>
          <w:rFonts w:ascii="Arial Narrow" w:hAnsi="Arial Narrow"/>
          <w:b/>
          <w:sz w:val="18"/>
          <w:szCs w:val="18"/>
        </w:rPr>
      </w:pPr>
    </w:p>
    <w:p w:rsidR="005C714B" w:rsidRPr="005C714B" w:rsidRDefault="005C714B" w:rsidP="005C714B">
      <w:pPr>
        <w:rPr>
          <w:rFonts w:ascii="Arial Narrow" w:hAnsi="Arial Narrow"/>
          <w:b/>
          <w:sz w:val="20"/>
          <w:szCs w:val="20"/>
        </w:rPr>
      </w:pPr>
      <w:r w:rsidRPr="005C714B">
        <w:rPr>
          <w:rFonts w:ascii="Arial Narrow" w:hAnsi="Arial Narrow"/>
          <w:b/>
          <w:sz w:val="20"/>
          <w:szCs w:val="20"/>
        </w:rPr>
        <w:t>Initial treatment (weekly regimen) Restriction Summary 9355 / ToC: 9356: Authority Required: Streamlined (shown below)</w:t>
      </w:r>
    </w:p>
    <w:p w:rsidR="005C714B" w:rsidRPr="005C714B" w:rsidRDefault="005C714B" w:rsidP="005C714B">
      <w:pPr>
        <w:rPr>
          <w:rFonts w:ascii="Arial Narrow" w:hAnsi="Arial Narrow"/>
          <w:b/>
          <w:sz w:val="20"/>
          <w:szCs w:val="20"/>
        </w:rPr>
      </w:pPr>
      <w:r w:rsidRPr="005C714B">
        <w:rPr>
          <w:rFonts w:ascii="Arial Narrow" w:hAnsi="Arial Narrow"/>
          <w:b/>
          <w:sz w:val="20"/>
          <w:szCs w:val="20"/>
        </w:rPr>
        <w:t>Continuing treatment (weekly regimen) Restriction Summary 9575 / ToC: 9628: Authority Required: Streamlined</w:t>
      </w:r>
    </w:p>
    <w:p w:rsidR="005C714B" w:rsidRPr="005C714B" w:rsidRDefault="005C714B" w:rsidP="005C714B">
      <w:pPr>
        <w:rPr>
          <w:rFonts w:ascii="Arial Narrow" w:hAnsi="Arial Narrow"/>
          <w:b/>
          <w:sz w:val="20"/>
          <w:szCs w:val="20"/>
        </w:rPr>
      </w:pPr>
      <w:r w:rsidRPr="005C714B">
        <w:rPr>
          <w:rFonts w:ascii="Arial Narrow" w:hAnsi="Arial Narrow"/>
          <w:b/>
          <w:sz w:val="20"/>
          <w:szCs w:val="20"/>
        </w:rPr>
        <w:t>Initial treatment (3 weekly regimen) Restriction Summary 9352 / ToC: 9354: Authority Required: Streamlined</w:t>
      </w:r>
    </w:p>
    <w:p w:rsidR="005C714B" w:rsidRPr="005C714B" w:rsidRDefault="005C714B" w:rsidP="005C714B">
      <w:pPr>
        <w:rPr>
          <w:rFonts w:ascii="Arial Narrow" w:hAnsi="Arial Narrow"/>
          <w:b/>
          <w:sz w:val="20"/>
          <w:szCs w:val="20"/>
        </w:rPr>
      </w:pPr>
      <w:r w:rsidRPr="005C714B">
        <w:rPr>
          <w:rFonts w:ascii="Arial Narrow" w:hAnsi="Arial Narrow"/>
          <w:b/>
          <w:sz w:val="20"/>
          <w:szCs w:val="20"/>
        </w:rPr>
        <w:t>Continuing treatment (3 weekly regimen) Restriction Summary 9572 / ToC: 9461: Authority Required: Streamlined</w:t>
      </w:r>
    </w:p>
    <w:p w:rsidR="005C714B" w:rsidRPr="005C714B" w:rsidRDefault="005C714B" w:rsidP="005C714B">
      <w:pPr>
        <w:rPr>
          <w:rFonts w:ascii="Arial Narrow" w:hAnsi="Arial Narrow"/>
          <w:b/>
          <w:sz w:val="20"/>
          <w:szCs w:val="20"/>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8223"/>
      </w:tblGrid>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24626</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Administrative Advice:</w:t>
            </w:r>
          </w:p>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Increased maximum quantity will be authorised where a patient's weight is greater than 125 kg.</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23973</w:t>
            </w:r>
          </w:p>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noProof/>
                <w:color w:val="333333"/>
                <w:sz w:val="20"/>
                <w:szCs w:val="20"/>
                <w:lang w:eastAsia="en-AU"/>
              </w:rPr>
              <w:t>CAR</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Administrative Advice:</w:t>
            </w:r>
          </w:p>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Authority applications for increased quantities/ repeats (where relevant) may be made by telephone to the Department of Human Services on 1800 700 270 (hours of operation 8 a.m. to 5 p.m. EST Monday to Friday).</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7754</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Indication:</w:t>
            </w:r>
            <w:r w:rsidRPr="005C714B">
              <w:rPr>
                <w:rFonts w:ascii="Arial Narrow" w:hAnsi="Arial Narrow"/>
                <w:color w:val="333333"/>
                <w:sz w:val="20"/>
                <w:szCs w:val="20"/>
                <w:lang w:eastAsia="en-AU"/>
              </w:rPr>
              <w:t xml:space="preserve"> Early HER2 positive breast cancer</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Treatment Phase:</w:t>
            </w:r>
            <w:r w:rsidRPr="005C714B">
              <w:rPr>
                <w:rFonts w:ascii="Arial Narrow" w:hAnsi="Arial Narrow"/>
                <w:color w:val="333333"/>
                <w:sz w:val="20"/>
                <w:szCs w:val="20"/>
                <w:lang w:eastAsia="en-AU"/>
              </w:rPr>
              <w:t xml:space="preserve"> Initial treatment (weekly regimen)</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24648</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Clinical criteria:</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24647</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Patient must have undergone surgery (adjuvant) or be preparing for surgery (neoadjuvant)</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AND</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7745</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Clinical criteria:</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7744</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The treatment must not be used in a patient with a left ventricular ejection fraction (LVEF) of less than 45% and/or with symptomatic heart failure</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AND</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7747</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Clinical criteria:</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FF00FF"/>
                <w:sz w:val="20"/>
                <w:szCs w:val="20"/>
                <w:lang w:eastAsia="en-AU"/>
              </w:rPr>
            </w:pPr>
            <w:r w:rsidRPr="005C714B">
              <w:rPr>
                <w:rFonts w:ascii="Arial Narrow" w:hAnsi="Arial Narrow"/>
                <w:color w:val="FF00FF"/>
                <w:sz w:val="20"/>
                <w:szCs w:val="20"/>
                <w:lang w:eastAsia="en-AU"/>
              </w:rPr>
              <w:t>edit</w:t>
            </w:r>
          </w:p>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7746</w:t>
            </w:r>
          </w:p>
        </w:tc>
        <w:tc>
          <w:tcPr>
            <w:tcW w:w="4464" w:type="pct"/>
            <w:vAlign w:val="center"/>
            <w:hideMark/>
          </w:tcPr>
          <w:p w:rsidR="005C714B" w:rsidRPr="005C714B" w:rsidRDefault="005C714B" w:rsidP="00774842">
            <w:pPr>
              <w:rPr>
                <w:rFonts w:ascii="Arial Narrow" w:hAnsi="Arial Narrow"/>
                <w:i/>
                <w:color w:val="333333"/>
                <w:sz w:val="20"/>
                <w:szCs w:val="20"/>
                <w:lang w:eastAsia="en-AU"/>
              </w:rPr>
            </w:pPr>
            <w:r w:rsidRPr="005C714B">
              <w:rPr>
                <w:rFonts w:ascii="Arial Narrow" w:hAnsi="Arial Narrow"/>
                <w:color w:val="333333"/>
                <w:sz w:val="20"/>
                <w:szCs w:val="20"/>
                <w:lang w:eastAsia="en-AU"/>
              </w:rPr>
              <w:t>Patient must not receive more than 52 weeks of combined PBS-subsidised and non-PBS-subsidised therapy</w:t>
            </w:r>
            <w:r w:rsidRPr="005C714B">
              <w:rPr>
                <w:rFonts w:ascii="Arial Narrow" w:hAnsi="Arial Narrow"/>
                <w:i/>
                <w:color w:val="333333"/>
                <w:sz w:val="20"/>
                <w:szCs w:val="20"/>
                <w:lang w:eastAsia="en-AU"/>
              </w:rPr>
              <w:t>; OR</w:t>
            </w:r>
          </w:p>
        </w:tc>
      </w:tr>
      <w:tr w:rsidR="005C714B" w:rsidRPr="005C714B" w:rsidTr="00774842">
        <w:tc>
          <w:tcPr>
            <w:tcW w:w="536" w:type="pct"/>
            <w:vAlign w:val="center"/>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FF00FF"/>
                <w:sz w:val="20"/>
                <w:szCs w:val="20"/>
                <w:lang w:eastAsia="en-AU"/>
              </w:rPr>
              <w:t>insert</w:t>
            </w:r>
          </w:p>
        </w:tc>
        <w:tc>
          <w:tcPr>
            <w:tcW w:w="4464" w:type="pct"/>
            <w:vAlign w:val="center"/>
          </w:tcPr>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Patient must not receive more than 52 weeks of combined trastuzumab and trastuzumab emtansine therapy if adjuvant trastuzumab emtansine therapy has been discontinued due to intolerance.</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7749</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Prescribing Instructions:</w:t>
            </w:r>
          </w:p>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HER2 positivity must be demonstrated by in situ hybridisation (ISH).</w:t>
            </w:r>
          </w:p>
        </w:tc>
      </w:tr>
      <w:tr w:rsidR="005C714B" w:rsidRPr="005C714B" w:rsidTr="00774842">
        <w:tc>
          <w:tcPr>
            <w:tcW w:w="536" w:type="pct"/>
            <w:vAlign w:val="center"/>
            <w:hideMark/>
          </w:tcPr>
          <w:p w:rsidR="005C714B" w:rsidRPr="005C714B" w:rsidRDefault="005C714B" w:rsidP="00774842">
            <w:pPr>
              <w:jc w:val="center"/>
              <w:rPr>
                <w:rFonts w:ascii="Arial Narrow" w:hAnsi="Arial Narrow"/>
                <w:color w:val="333333"/>
                <w:sz w:val="20"/>
                <w:szCs w:val="20"/>
                <w:lang w:eastAsia="en-AU"/>
              </w:rPr>
            </w:pPr>
            <w:r w:rsidRPr="005C714B">
              <w:rPr>
                <w:rFonts w:ascii="Arial Narrow" w:hAnsi="Arial Narrow"/>
                <w:color w:val="333333"/>
                <w:sz w:val="20"/>
                <w:szCs w:val="20"/>
                <w:lang w:eastAsia="en-AU"/>
              </w:rPr>
              <w:t>24636</w:t>
            </w:r>
          </w:p>
        </w:tc>
        <w:tc>
          <w:tcPr>
            <w:tcW w:w="4464" w:type="pct"/>
            <w:vAlign w:val="center"/>
            <w:hideMark/>
          </w:tcPr>
          <w:p w:rsidR="005C714B" w:rsidRPr="005C714B" w:rsidRDefault="005C714B" w:rsidP="00774842">
            <w:pPr>
              <w:rPr>
                <w:rFonts w:ascii="Arial Narrow" w:hAnsi="Arial Narrow"/>
                <w:color w:val="333333"/>
                <w:sz w:val="20"/>
                <w:szCs w:val="20"/>
                <w:lang w:eastAsia="en-AU"/>
              </w:rPr>
            </w:pPr>
            <w:r w:rsidRPr="005C714B">
              <w:rPr>
                <w:rFonts w:ascii="Arial Narrow" w:hAnsi="Arial Narrow"/>
                <w:b/>
                <w:bCs/>
                <w:color w:val="333333"/>
                <w:sz w:val="20"/>
                <w:szCs w:val="20"/>
                <w:lang w:eastAsia="en-AU"/>
              </w:rPr>
              <w:t>Prescribing Instructions:</w:t>
            </w:r>
          </w:p>
          <w:p w:rsidR="005C714B" w:rsidRPr="005C714B" w:rsidRDefault="005C714B" w:rsidP="00774842">
            <w:pPr>
              <w:rPr>
                <w:rFonts w:ascii="Arial Narrow" w:hAnsi="Arial Narrow"/>
                <w:color w:val="333333"/>
                <w:sz w:val="20"/>
                <w:szCs w:val="20"/>
                <w:lang w:eastAsia="en-AU"/>
              </w:rPr>
            </w:pPr>
            <w:r w:rsidRPr="005C714B">
              <w:rPr>
                <w:rFonts w:ascii="Arial Narrow" w:hAnsi="Arial Narrow"/>
                <w:color w:val="333333"/>
                <w:sz w:val="20"/>
                <w:szCs w:val="20"/>
                <w:lang w:eastAsia="en-AU"/>
              </w:rPr>
              <w:t>Cardiac function must be tested by echocardiography (ECHO) or multigated acquisition (MUGA), prior to initiating treatment with this drug for this condition.</w:t>
            </w:r>
          </w:p>
        </w:tc>
      </w:tr>
    </w:tbl>
    <w:p w:rsidR="005C714B" w:rsidRPr="000526BE" w:rsidRDefault="005C714B" w:rsidP="007C4AAB">
      <w:pPr>
        <w:widowControl/>
        <w:spacing w:after="120"/>
      </w:pPr>
    </w:p>
    <w:p w:rsidR="007C4AAB" w:rsidRPr="000526BE" w:rsidRDefault="007C4AAB" w:rsidP="00A26FB1">
      <w:pPr>
        <w:numPr>
          <w:ilvl w:val="1"/>
          <w:numId w:val="2"/>
        </w:numPr>
        <w:rPr>
          <w:i/>
        </w:rPr>
      </w:pPr>
      <w:r w:rsidRPr="000526BE">
        <w:rPr>
          <w:i/>
        </w:rPr>
        <w:t>Flow-on changes to pertuzumab in metastatic breast cancer:</w:t>
      </w:r>
    </w:p>
    <w:p w:rsidR="007C4AAB" w:rsidRPr="000526BE" w:rsidRDefault="007C4AAB" w:rsidP="007C4AAB">
      <w:pPr>
        <w:rPr>
          <w:i/>
        </w:rPr>
      </w:pPr>
    </w:p>
    <w:p w:rsidR="007C4AAB" w:rsidRPr="00424146" w:rsidRDefault="007C4AAB" w:rsidP="007C4AAB">
      <w:pPr>
        <w:rPr>
          <w:rFonts w:ascii="Arial Narrow" w:hAnsi="Arial Narrow"/>
          <w:b/>
          <w:sz w:val="20"/>
          <w:szCs w:val="18"/>
        </w:rPr>
      </w:pPr>
      <w:r w:rsidRPr="00424146">
        <w:rPr>
          <w:rFonts w:ascii="Arial Narrow" w:hAnsi="Arial Narrow"/>
          <w:b/>
          <w:sz w:val="20"/>
          <w:szCs w:val="18"/>
        </w:rPr>
        <w:t>Restriction Summary 9546 / ToC: 9516: Authority Required</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8365"/>
      </w:tblGrid>
      <w:tr w:rsidR="007C4AAB" w:rsidRPr="000526BE" w:rsidTr="007F47EC">
        <w:tc>
          <w:tcPr>
            <w:tcW w:w="390" w:type="pct"/>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7606</w:t>
            </w:r>
          </w:p>
        </w:tc>
        <w:tc>
          <w:tcPr>
            <w:tcW w:w="4610" w:type="pct"/>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Administrative Advice:</w:t>
            </w:r>
            <w:r w:rsidRPr="00424146">
              <w:rPr>
                <w:rFonts w:ascii="Arial Narrow" w:hAnsi="Arial Narrow"/>
                <w:sz w:val="20"/>
                <w:szCs w:val="20"/>
              </w:rPr>
              <w:t xml:space="preserve"> No increase in the maximum quantity or number of units may be authorised.</w:t>
            </w:r>
          </w:p>
        </w:tc>
      </w:tr>
      <w:tr w:rsidR="007C4AAB" w:rsidRPr="000526BE" w:rsidTr="007F47EC">
        <w:tc>
          <w:tcPr>
            <w:tcW w:w="390" w:type="pct"/>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7607</w:t>
            </w:r>
          </w:p>
        </w:tc>
        <w:tc>
          <w:tcPr>
            <w:tcW w:w="4610" w:type="pct"/>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Administrative Advice:</w:t>
            </w:r>
            <w:r w:rsidRPr="00424146">
              <w:rPr>
                <w:rFonts w:ascii="Arial Narrow" w:hAnsi="Arial Narrow"/>
                <w:sz w:val="20"/>
                <w:szCs w:val="20"/>
              </w:rPr>
              <w:t xml:space="preserve"> No increase in the maximum number of repeats may be authorised.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14661</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Indication:</w:t>
            </w:r>
            <w:r w:rsidRPr="00424146">
              <w:rPr>
                <w:rFonts w:ascii="Arial Narrow" w:hAnsi="Arial Narrow"/>
                <w:sz w:val="20"/>
                <w:szCs w:val="20"/>
              </w:rPr>
              <w:t xml:space="preserve"> Metastatic (Stage IV) HER2 positive breast cancer</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Treatment Phase:</w:t>
            </w:r>
            <w:r w:rsidRPr="00424146">
              <w:rPr>
                <w:rFonts w:ascii="Arial Narrow" w:hAnsi="Arial Narrow"/>
                <w:sz w:val="20"/>
                <w:szCs w:val="20"/>
              </w:rPr>
              <w:t xml:space="preserve"> Initial treatment</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14665</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14664</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Patient must have evidence of human epidermal growth factor receptor 2 (HER2) gene amplification as demonstrated by in situ hybridisation (ISH) either in the primary tumour or a metastatic lesion</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10859</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10858</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Patient must have a WHO performance status of 0 or 1</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14667</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color w:val="FF00FF"/>
                <w:sz w:val="20"/>
                <w:szCs w:val="20"/>
              </w:rPr>
            </w:pPr>
            <w:r w:rsidRPr="00424146">
              <w:rPr>
                <w:rFonts w:ascii="Arial Narrow" w:hAnsi="Arial Narrow"/>
                <w:color w:val="FF00FF"/>
                <w:sz w:val="20"/>
                <w:szCs w:val="20"/>
              </w:rPr>
              <w:t>edit</w:t>
            </w:r>
          </w:p>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14666</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 xml:space="preserve">Patient must not have received prior anti-HER2 therapy for </w:t>
            </w:r>
            <w:r w:rsidRPr="00424146">
              <w:rPr>
                <w:rFonts w:ascii="Arial Narrow" w:hAnsi="Arial Narrow"/>
                <w:strike/>
                <w:sz w:val="20"/>
                <w:szCs w:val="20"/>
              </w:rPr>
              <w:t>this condition</w:t>
            </w:r>
            <w:r w:rsidRPr="00424146">
              <w:rPr>
                <w:rFonts w:ascii="Arial Narrow" w:hAnsi="Arial Narrow"/>
                <w:sz w:val="20"/>
                <w:szCs w:val="20"/>
              </w:rPr>
              <w:t xml:space="preserve"> </w:t>
            </w:r>
            <w:r w:rsidRPr="00424146">
              <w:rPr>
                <w:rFonts w:ascii="Arial Narrow" w:hAnsi="Arial Narrow"/>
                <w:i/>
                <w:sz w:val="20"/>
                <w:szCs w:val="20"/>
              </w:rPr>
              <w:t>metastatic (Stage IV) HER2 breast cancer</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14669</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color w:val="FF00FF"/>
                <w:sz w:val="20"/>
                <w:szCs w:val="20"/>
              </w:rPr>
            </w:pPr>
            <w:r w:rsidRPr="00424146">
              <w:rPr>
                <w:rFonts w:ascii="Arial Narrow" w:hAnsi="Arial Narrow"/>
                <w:color w:val="FF00FF"/>
                <w:sz w:val="20"/>
                <w:szCs w:val="20"/>
              </w:rPr>
              <w:t>edit</w:t>
            </w:r>
          </w:p>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14668</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i/>
                <w:sz w:val="20"/>
                <w:szCs w:val="20"/>
              </w:rPr>
            </w:pPr>
            <w:r w:rsidRPr="00424146">
              <w:rPr>
                <w:rFonts w:ascii="Arial Narrow" w:hAnsi="Arial Narrow"/>
                <w:sz w:val="20"/>
                <w:szCs w:val="20"/>
              </w:rPr>
              <w:t xml:space="preserve">Patient must not have received prior chemotherapy for </w:t>
            </w:r>
            <w:r w:rsidRPr="00424146">
              <w:rPr>
                <w:rFonts w:ascii="Arial Narrow" w:hAnsi="Arial Narrow"/>
                <w:strike/>
                <w:sz w:val="20"/>
                <w:szCs w:val="20"/>
              </w:rPr>
              <w:t>this condition</w:t>
            </w:r>
            <w:r w:rsidRPr="00424146">
              <w:rPr>
                <w:rFonts w:ascii="Arial Narrow" w:hAnsi="Arial Narrow"/>
                <w:sz w:val="20"/>
                <w:szCs w:val="20"/>
              </w:rPr>
              <w:t xml:space="preserve"> </w:t>
            </w:r>
            <w:r w:rsidRPr="00424146">
              <w:rPr>
                <w:rFonts w:ascii="Arial Narrow" w:hAnsi="Arial Narrow"/>
                <w:i/>
                <w:sz w:val="20"/>
                <w:szCs w:val="20"/>
              </w:rPr>
              <w:t>metastatic (Stage IV) HER2 breast cancer</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14671</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14670</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The treatment must be in combination with trastuzumab and a taxane</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14673</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14672</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The treatment must not be in combination with nab-paclitaxel</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AND</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7745</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Clinical criteria:</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7744</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sz w:val="20"/>
                <w:szCs w:val="20"/>
              </w:rPr>
              <w:t>The treatment must not be used in a patient with a left ventricular ejection fraction (LVEF) of less than 45% and/or with symptomatic heart failure</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24514</w:t>
            </w:r>
          </w:p>
          <w:p w:rsidR="007C4AAB" w:rsidRPr="00424146" w:rsidRDefault="007C4AAB" w:rsidP="007F47EC">
            <w:pPr>
              <w:jc w:val="center"/>
              <w:rPr>
                <w:rFonts w:ascii="Arial Narrow" w:hAnsi="Arial Narrow"/>
                <w:vanish/>
                <w:sz w:val="20"/>
                <w:szCs w:val="20"/>
              </w:rPr>
            </w:pPr>
            <w:r w:rsidRPr="00424146">
              <w:rPr>
                <w:rFonts w:ascii="Arial Narrow" w:hAnsi="Arial Narrow"/>
                <w:vanish/>
                <w:sz w:val="20"/>
                <w:szCs w:val="20"/>
              </w:rPr>
              <w:t>FULL</w:t>
            </w:r>
          </w:p>
          <w:p w:rsidR="007C4AAB" w:rsidRPr="00424146" w:rsidRDefault="007C4AAB" w:rsidP="007F47EC">
            <w:pPr>
              <w:jc w:val="center"/>
              <w:rPr>
                <w:rFonts w:ascii="Arial Narrow" w:hAnsi="Arial Narrow"/>
                <w:vanish/>
                <w:sz w:val="20"/>
                <w:szCs w:val="20"/>
              </w:rPr>
            </w:pP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Prescribing Instructions:</w:t>
            </w:r>
          </w:p>
          <w:p w:rsidR="007C4AAB" w:rsidRPr="00424146" w:rsidRDefault="007C4AAB" w:rsidP="007F47EC">
            <w:pPr>
              <w:rPr>
                <w:rFonts w:ascii="Arial Narrow" w:hAnsi="Arial Narrow"/>
                <w:sz w:val="20"/>
                <w:szCs w:val="20"/>
              </w:rPr>
            </w:pPr>
            <w:r w:rsidRPr="00424146">
              <w:rPr>
                <w:rFonts w:ascii="Arial Narrow" w:hAnsi="Arial Narrow"/>
                <w:sz w:val="20"/>
                <w:szCs w:val="20"/>
              </w:rPr>
              <w:t>Authority applications for initial treatment must be made in writing and must include:</w:t>
            </w:r>
          </w:p>
          <w:p w:rsidR="007C4AAB" w:rsidRPr="00424146" w:rsidRDefault="007C4AAB" w:rsidP="007F47EC">
            <w:pPr>
              <w:rPr>
                <w:rFonts w:ascii="Arial Narrow" w:hAnsi="Arial Narrow"/>
                <w:sz w:val="20"/>
                <w:szCs w:val="20"/>
              </w:rPr>
            </w:pPr>
            <w:r w:rsidRPr="00424146">
              <w:rPr>
                <w:rFonts w:ascii="Arial Narrow" w:hAnsi="Arial Narrow"/>
                <w:sz w:val="20"/>
                <w:szCs w:val="20"/>
              </w:rPr>
              <w:t>(a) a completed authority prescription form; and</w:t>
            </w:r>
          </w:p>
          <w:p w:rsidR="007C4AAB" w:rsidRPr="00424146" w:rsidRDefault="007C4AAB" w:rsidP="007F47EC">
            <w:pPr>
              <w:rPr>
                <w:rFonts w:ascii="Arial Narrow" w:hAnsi="Arial Narrow"/>
                <w:sz w:val="20"/>
                <w:szCs w:val="20"/>
              </w:rPr>
            </w:pPr>
            <w:r w:rsidRPr="00424146">
              <w:rPr>
                <w:rFonts w:ascii="Arial Narrow" w:hAnsi="Arial Narrow"/>
                <w:sz w:val="20"/>
                <w:szCs w:val="20"/>
              </w:rPr>
              <w:t>(b) a completed Late stage metastatic breast cancer Initial PBS authority application form which includes a copy of the pathology report from an Approved Pathology Authority confirming evidence of HER2 gene amplification in the primary tumour or a metastatic lesion by in situ hybridisation (ISH) and tick a box to state the person has Stage IV disease.</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24537</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Prescribing Instructions:</w:t>
            </w:r>
          </w:p>
          <w:p w:rsidR="007C4AAB" w:rsidRPr="00424146" w:rsidRDefault="007C4AAB" w:rsidP="007F47EC">
            <w:pPr>
              <w:rPr>
                <w:rFonts w:ascii="Arial Narrow" w:hAnsi="Arial Narrow"/>
                <w:sz w:val="20"/>
                <w:szCs w:val="20"/>
              </w:rPr>
            </w:pPr>
            <w:r w:rsidRPr="00424146">
              <w:rPr>
                <w:rFonts w:ascii="Arial Narrow" w:hAnsi="Arial Narrow"/>
                <w:sz w:val="20"/>
                <w:szCs w:val="20"/>
              </w:rPr>
              <w:t>Cardiac function must be tested by echocardiography (ECHO) or multigated acquisition (MUGA), prior to seeking the initial authority approval.</w:t>
            </w:r>
          </w:p>
        </w:tc>
      </w:tr>
      <w:tr w:rsidR="007C4AAB" w:rsidRPr="000526BE" w:rsidTr="007F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jc w:val="center"/>
              <w:rPr>
                <w:rFonts w:ascii="Arial Narrow" w:hAnsi="Arial Narrow"/>
                <w:sz w:val="20"/>
                <w:szCs w:val="20"/>
              </w:rPr>
            </w:pPr>
            <w:r w:rsidRPr="00424146">
              <w:rPr>
                <w:rFonts w:ascii="Arial Narrow" w:hAnsi="Arial Narrow"/>
                <w:sz w:val="20"/>
                <w:szCs w:val="20"/>
              </w:rPr>
              <w:t>7753</w:t>
            </w:r>
          </w:p>
          <w:p w:rsidR="007C4AAB" w:rsidRPr="00424146" w:rsidRDefault="007C4AAB" w:rsidP="007F47EC">
            <w:pPr>
              <w:jc w:val="center"/>
              <w:rPr>
                <w:rFonts w:ascii="Arial Narrow" w:hAnsi="Arial Narrow"/>
                <w:vanish/>
                <w:sz w:val="20"/>
                <w:szCs w:val="20"/>
              </w:rPr>
            </w:pPr>
            <w:r w:rsidRPr="00424146">
              <w:rPr>
                <w:rFonts w:ascii="Arial Narrow" w:hAnsi="Arial Narrow"/>
                <w:vanish/>
                <w:sz w:val="20"/>
                <w:szCs w:val="20"/>
              </w:rPr>
              <w:t>CAR</w:t>
            </w:r>
          </w:p>
        </w:tc>
        <w:tc>
          <w:tcPr>
            <w:tcW w:w="4610" w:type="pct"/>
            <w:tcBorders>
              <w:top w:val="single" w:sz="4" w:space="0" w:color="auto"/>
              <w:left w:val="single" w:sz="4" w:space="0" w:color="auto"/>
              <w:bottom w:val="single" w:sz="4" w:space="0" w:color="auto"/>
              <w:right w:val="single" w:sz="4" w:space="0" w:color="auto"/>
            </w:tcBorders>
            <w:vAlign w:val="center"/>
            <w:hideMark/>
          </w:tcPr>
          <w:p w:rsidR="007C4AAB" w:rsidRPr="00424146" w:rsidRDefault="007C4AAB" w:rsidP="007F47EC">
            <w:pPr>
              <w:rPr>
                <w:rFonts w:ascii="Arial Narrow" w:hAnsi="Arial Narrow"/>
                <w:sz w:val="20"/>
                <w:szCs w:val="20"/>
              </w:rPr>
            </w:pPr>
            <w:r w:rsidRPr="00424146">
              <w:rPr>
                <w:rFonts w:ascii="Arial Narrow" w:hAnsi="Arial Narrow"/>
                <w:b/>
                <w:bCs/>
                <w:sz w:val="20"/>
                <w:szCs w:val="20"/>
              </w:rPr>
              <w:t>Administrative Advice:</w:t>
            </w:r>
          </w:p>
          <w:p w:rsidR="007C4AAB" w:rsidRPr="00424146" w:rsidRDefault="007C4AAB" w:rsidP="007F47EC">
            <w:pPr>
              <w:rPr>
                <w:rFonts w:ascii="Arial Narrow" w:hAnsi="Arial Narrow"/>
                <w:sz w:val="20"/>
                <w:szCs w:val="20"/>
              </w:rPr>
            </w:pPr>
            <w:r w:rsidRPr="00424146">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7C4AAB" w:rsidRPr="00424146" w:rsidRDefault="007C4AAB" w:rsidP="007F47EC">
            <w:pPr>
              <w:rPr>
                <w:rFonts w:ascii="Arial Narrow" w:hAnsi="Arial Narrow"/>
                <w:sz w:val="20"/>
                <w:szCs w:val="20"/>
              </w:rPr>
            </w:pPr>
            <w:r w:rsidRPr="00424146">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C4AAB" w:rsidRPr="00424146" w:rsidRDefault="007C4AAB" w:rsidP="007F47EC">
            <w:pPr>
              <w:rPr>
                <w:rFonts w:ascii="Arial Narrow" w:hAnsi="Arial Narrow"/>
                <w:sz w:val="20"/>
                <w:szCs w:val="20"/>
              </w:rPr>
            </w:pPr>
            <w:r w:rsidRPr="00424146">
              <w:rPr>
                <w:rFonts w:ascii="Arial Narrow" w:hAnsi="Arial Narrow"/>
                <w:sz w:val="20"/>
                <w:szCs w:val="20"/>
              </w:rPr>
              <w:t xml:space="preserve">Applications for authority to prescribe should be forwarded to: </w:t>
            </w:r>
          </w:p>
          <w:p w:rsidR="007C4AAB" w:rsidRPr="00424146" w:rsidRDefault="007C4AAB" w:rsidP="007F47EC">
            <w:pPr>
              <w:rPr>
                <w:rFonts w:ascii="Arial Narrow" w:hAnsi="Arial Narrow"/>
                <w:sz w:val="20"/>
                <w:szCs w:val="20"/>
              </w:rPr>
            </w:pPr>
            <w:r w:rsidRPr="00424146">
              <w:rPr>
                <w:rFonts w:ascii="Arial Narrow" w:hAnsi="Arial Narrow"/>
                <w:sz w:val="20"/>
                <w:szCs w:val="20"/>
              </w:rPr>
              <w:t>Department of Human Services</w:t>
            </w:r>
          </w:p>
          <w:p w:rsidR="007C4AAB" w:rsidRPr="00424146" w:rsidRDefault="007C4AAB" w:rsidP="007F47EC">
            <w:pPr>
              <w:rPr>
                <w:rFonts w:ascii="Arial Narrow" w:hAnsi="Arial Narrow"/>
                <w:sz w:val="20"/>
                <w:szCs w:val="20"/>
              </w:rPr>
            </w:pPr>
            <w:r w:rsidRPr="00424146">
              <w:rPr>
                <w:rFonts w:ascii="Arial Narrow" w:hAnsi="Arial Narrow"/>
                <w:sz w:val="20"/>
                <w:szCs w:val="20"/>
              </w:rPr>
              <w:t xml:space="preserve">Complex Drugs </w:t>
            </w:r>
          </w:p>
          <w:p w:rsidR="007C4AAB" w:rsidRPr="00424146" w:rsidRDefault="007C4AAB" w:rsidP="007F47EC">
            <w:pPr>
              <w:rPr>
                <w:rFonts w:ascii="Arial Narrow" w:hAnsi="Arial Narrow"/>
                <w:sz w:val="20"/>
                <w:szCs w:val="20"/>
              </w:rPr>
            </w:pPr>
            <w:r w:rsidRPr="00424146">
              <w:rPr>
                <w:rFonts w:ascii="Arial Narrow" w:hAnsi="Arial Narrow"/>
                <w:sz w:val="20"/>
                <w:szCs w:val="20"/>
              </w:rPr>
              <w:t xml:space="preserve">Reply Paid 9826 </w:t>
            </w:r>
          </w:p>
          <w:p w:rsidR="007C4AAB" w:rsidRPr="00424146" w:rsidRDefault="007C4AAB" w:rsidP="007F47EC">
            <w:pPr>
              <w:rPr>
                <w:rFonts w:ascii="Arial Narrow" w:hAnsi="Arial Narrow"/>
                <w:sz w:val="20"/>
                <w:szCs w:val="20"/>
              </w:rPr>
            </w:pPr>
            <w:r w:rsidRPr="00424146">
              <w:rPr>
                <w:rFonts w:ascii="Arial Narrow" w:hAnsi="Arial Narrow"/>
                <w:sz w:val="20"/>
                <w:szCs w:val="20"/>
              </w:rPr>
              <w:t>HOBART TAS 7001</w:t>
            </w:r>
          </w:p>
        </w:tc>
      </w:tr>
    </w:tbl>
    <w:p w:rsidR="007C4AAB" w:rsidRPr="000526BE" w:rsidRDefault="007C4AAB" w:rsidP="007C4AAB"/>
    <w:p w:rsidR="007C4AAB" w:rsidRPr="00424146" w:rsidRDefault="007C4AAB" w:rsidP="00A26FB1">
      <w:pPr>
        <w:numPr>
          <w:ilvl w:val="1"/>
          <w:numId w:val="2"/>
        </w:numPr>
        <w:rPr>
          <w:i/>
        </w:rPr>
      </w:pPr>
      <w:r w:rsidRPr="00424146">
        <w:rPr>
          <w:i/>
        </w:rPr>
        <w:t>Delete the following pertuzumab grandfathering restriction that is now more than 12 months old:</w:t>
      </w:r>
    </w:p>
    <w:p w:rsidR="007C4AAB" w:rsidRPr="000526BE" w:rsidRDefault="007C4AAB" w:rsidP="007C4AAB"/>
    <w:p w:rsidR="007C4AAB" w:rsidRPr="00424146" w:rsidRDefault="007C4AAB" w:rsidP="007C4AAB">
      <w:pPr>
        <w:rPr>
          <w:rFonts w:ascii="Arial Narrow" w:hAnsi="Arial Narrow"/>
          <w:b/>
          <w:sz w:val="20"/>
          <w:szCs w:val="20"/>
        </w:rPr>
      </w:pPr>
      <w:r w:rsidRPr="00424146">
        <w:rPr>
          <w:rFonts w:ascii="Arial Narrow" w:hAnsi="Arial Narrow"/>
          <w:b/>
          <w:sz w:val="20"/>
          <w:szCs w:val="20"/>
        </w:rPr>
        <w:t>Restriction Summary 9581 / ToC: 9517: Authority Required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8316"/>
      </w:tblGrid>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7606</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Administrative Advice:</w:t>
            </w:r>
            <w:r w:rsidRPr="00424146">
              <w:rPr>
                <w:rFonts w:ascii="Arial Narrow" w:hAnsi="Arial Narrow"/>
                <w:strike/>
                <w:sz w:val="20"/>
                <w:szCs w:val="20"/>
              </w:rPr>
              <w:t xml:space="preserve">  No increase in the maximum quantity or number of units may be authorised.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7607</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Administrative Advice:</w:t>
            </w:r>
            <w:r w:rsidRPr="00424146">
              <w:rPr>
                <w:rFonts w:ascii="Arial Narrow" w:hAnsi="Arial Narrow"/>
                <w:strike/>
                <w:sz w:val="20"/>
                <w:szCs w:val="20"/>
              </w:rPr>
              <w:t xml:space="preserve"> No increase in the maximum number of repeats may be authorised.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14765</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Indication:</w:t>
            </w:r>
            <w:r w:rsidRPr="00424146">
              <w:rPr>
                <w:rFonts w:ascii="Arial Narrow" w:hAnsi="Arial Narrow"/>
                <w:strike/>
                <w:sz w:val="20"/>
                <w:szCs w:val="20"/>
              </w:rPr>
              <w:t xml:space="preserve"> HER2 positive breast cancer</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Treatment Phase:</w:t>
            </w:r>
            <w:r w:rsidRPr="00424146">
              <w:rPr>
                <w:rFonts w:ascii="Arial Narrow" w:hAnsi="Arial Narrow"/>
                <w:strike/>
                <w:sz w:val="20"/>
                <w:szCs w:val="20"/>
              </w:rPr>
              <w:t xml:space="preserve"> Grandfathering treatment</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14768</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Clinical criteria:</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14766</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Patient must have previously received non-PBS-subsidised treatment with this drug for this condition before 1 July 2015; or</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14767</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Patient must have received non-PBS-subsidised trastuzumab for this condition before 1 July 2015</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AND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14770</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Clinical criteria:</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14769</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Patient must not have received non-PBS-subsidised treatment with trastuzumab for this condition before 1 July 2014</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AND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14772</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Clinical criteria:</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14771</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Patient must not have received prior therapy with trastuzumab emtansine or lapatinib for this condition</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AND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14716</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Clinical criteria:</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14715</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The treatment must be in combination with trastuzumab</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AND</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7745</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Clinical criteria:</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7744</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The treatment must not be used in a patient with a left ventricular ejection fraction (LVEF) of less than 45% and/or with symptomatic heart failure</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24511</w:t>
            </w:r>
          </w:p>
          <w:p w:rsidR="007C4AAB" w:rsidRPr="00424146" w:rsidRDefault="007C4AAB" w:rsidP="007F47EC">
            <w:pPr>
              <w:jc w:val="center"/>
              <w:rPr>
                <w:rFonts w:ascii="Arial Narrow" w:hAnsi="Arial Narrow"/>
                <w:strike/>
                <w:vanish/>
                <w:sz w:val="20"/>
                <w:szCs w:val="20"/>
              </w:rPr>
            </w:pPr>
            <w:r w:rsidRPr="00424146">
              <w:rPr>
                <w:rFonts w:ascii="Arial Narrow" w:hAnsi="Arial Narrow"/>
                <w:strike/>
                <w:vanish/>
                <w:sz w:val="20"/>
                <w:szCs w:val="20"/>
              </w:rPr>
              <w:t>FULL</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Prescribing Instructions:</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Authority applications for treatment must be made in writing and must include a completed authority prescription form.</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24536</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Prescribing Instructions:</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Cardiac function must be tested by echocardiography (ECHO) or multigated acquisition (MUGA) during treatment.</w:t>
            </w:r>
          </w:p>
        </w:tc>
      </w:tr>
      <w:tr w:rsidR="007C4AAB" w:rsidRPr="00424146" w:rsidTr="007F47EC">
        <w:tc>
          <w:tcPr>
            <w:tcW w:w="414" w:type="pct"/>
            <w:vAlign w:val="center"/>
            <w:hideMark/>
          </w:tcPr>
          <w:p w:rsidR="007C4AAB" w:rsidRPr="00424146" w:rsidRDefault="007C4AAB" w:rsidP="007F47EC">
            <w:pPr>
              <w:jc w:val="center"/>
              <w:rPr>
                <w:rFonts w:ascii="Arial Narrow" w:hAnsi="Arial Narrow"/>
                <w:strike/>
                <w:sz w:val="20"/>
                <w:szCs w:val="20"/>
              </w:rPr>
            </w:pPr>
            <w:r w:rsidRPr="00424146">
              <w:rPr>
                <w:rFonts w:ascii="Arial Narrow" w:hAnsi="Arial Narrow"/>
                <w:strike/>
                <w:sz w:val="20"/>
                <w:szCs w:val="20"/>
              </w:rPr>
              <w:t>7753</w:t>
            </w:r>
          </w:p>
          <w:p w:rsidR="007C4AAB" w:rsidRPr="00424146" w:rsidRDefault="007C4AAB" w:rsidP="007F47EC">
            <w:pPr>
              <w:jc w:val="center"/>
              <w:rPr>
                <w:rFonts w:ascii="Arial Narrow" w:hAnsi="Arial Narrow"/>
                <w:strike/>
                <w:vanish/>
                <w:sz w:val="20"/>
                <w:szCs w:val="20"/>
              </w:rPr>
            </w:pPr>
            <w:r w:rsidRPr="00424146">
              <w:rPr>
                <w:rFonts w:ascii="Arial Narrow" w:hAnsi="Arial Narrow"/>
                <w:strike/>
                <w:vanish/>
                <w:sz w:val="20"/>
                <w:szCs w:val="20"/>
              </w:rPr>
              <w:t>CAR</w:t>
            </w:r>
          </w:p>
        </w:tc>
        <w:tc>
          <w:tcPr>
            <w:tcW w:w="4586" w:type="pct"/>
            <w:vAlign w:val="center"/>
            <w:hideMark/>
          </w:tcPr>
          <w:p w:rsidR="007C4AAB" w:rsidRPr="00424146" w:rsidRDefault="007C4AAB" w:rsidP="007F47EC">
            <w:pPr>
              <w:rPr>
                <w:rFonts w:ascii="Arial Narrow" w:hAnsi="Arial Narrow"/>
                <w:strike/>
                <w:sz w:val="20"/>
                <w:szCs w:val="20"/>
              </w:rPr>
            </w:pPr>
            <w:r w:rsidRPr="00424146">
              <w:rPr>
                <w:rFonts w:ascii="Arial Narrow" w:hAnsi="Arial Narrow"/>
                <w:b/>
                <w:bCs/>
                <w:strike/>
                <w:sz w:val="20"/>
                <w:szCs w:val="20"/>
              </w:rPr>
              <w:t>Administrative Advice:</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 xml:space="preserve">Any queries concerning the arrangements to prescribe may be directed to the Department of Human Services on 1800 700 270 (hours of operation 8 a.m. to 5 p.m. EST Monday to Friday). </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Prescribing information (including Authority Application forms and other relevant documentation as applicable) is available on the Department of Human Services website at www.humanservices.gov.au</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 xml:space="preserve">Applications for authority to prescribe should be forwarded to: </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Department of Human Services</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 xml:space="preserve">Complex Drugs </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 xml:space="preserve">Reply Paid 9826 </w:t>
            </w:r>
          </w:p>
          <w:p w:rsidR="007C4AAB" w:rsidRPr="00424146" w:rsidRDefault="007C4AAB" w:rsidP="007F47EC">
            <w:pPr>
              <w:rPr>
                <w:rFonts w:ascii="Arial Narrow" w:hAnsi="Arial Narrow"/>
                <w:strike/>
                <w:sz w:val="20"/>
                <w:szCs w:val="20"/>
              </w:rPr>
            </w:pPr>
            <w:r w:rsidRPr="00424146">
              <w:rPr>
                <w:rFonts w:ascii="Arial Narrow" w:hAnsi="Arial Narrow"/>
                <w:strike/>
                <w:sz w:val="20"/>
                <w:szCs w:val="20"/>
              </w:rPr>
              <w:t>HOBART TAS 7001</w:t>
            </w:r>
          </w:p>
        </w:tc>
      </w:tr>
    </w:tbl>
    <w:p w:rsidR="007C4AAB" w:rsidRPr="000526BE" w:rsidRDefault="007C4AAB" w:rsidP="007C4AAB"/>
    <w:p w:rsidR="00162E1B" w:rsidRDefault="00601B0E" w:rsidP="00B34B07">
      <w:r w:rsidRPr="007152ED">
        <w:rPr>
          <w:bCs/>
          <w:i/>
          <w:iCs/>
        </w:rPr>
        <w:t>These restrictions may be subject to further review. Should there be any changes made to the restriction the Sponsor will be informed.</w:t>
      </w:r>
      <w:bookmarkEnd w:id="0"/>
    </w:p>
    <w:p w:rsidR="007152ED" w:rsidRDefault="007152ED" w:rsidP="007152ED">
      <w:pPr>
        <w:numPr>
          <w:ilvl w:val="0"/>
          <w:numId w:val="2"/>
        </w:numPr>
        <w:spacing w:before="240" w:after="120"/>
        <w:outlineLvl w:val="0"/>
        <w:rPr>
          <w:rFonts w:asciiTheme="minorHAnsi" w:hAnsiTheme="minorHAnsi"/>
          <w:b/>
          <w:bCs/>
          <w:sz w:val="32"/>
        </w:rPr>
      </w:pPr>
      <w:r>
        <w:rPr>
          <w:rFonts w:asciiTheme="minorHAnsi" w:hAnsiTheme="minorHAnsi"/>
          <w:b/>
          <w:bCs/>
          <w:sz w:val="32"/>
        </w:rPr>
        <w:t>Context for Decision</w:t>
      </w:r>
    </w:p>
    <w:p w:rsidR="004C065A" w:rsidRPr="004C065A" w:rsidRDefault="004C065A" w:rsidP="004C065A">
      <w:pPr>
        <w:rPr>
          <w:rFonts w:asciiTheme="minorHAnsi" w:eastAsiaTheme="minorHAnsi" w:hAnsiTheme="minorHAnsi"/>
          <w:bCs/>
          <w:snapToGrid/>
        </w:rPr>
      </w:pPr>
      <w:r w:rsidRPr="004C065A">
        <w:rPr>
          <w:rFonts w:asciiTheme="minorHAnsi" w:eastAsiaTheme="minorHAnsi" w:hAnsiTheme="minorHAnsi"/>
          <w:bCs/>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152ED" w:rsidRPr="007152ED" w:rsidRDefault="007152ED" w:rsidP="007152ED">
      <w:pPr>
        <w:numPr>
          <w:ilvl w:val="0"/>
          <w:numId w:val="2"/>
        </w:numPr>
        <w:spacing w:before="240" w:after="120"/>
        <w:outlineLvl w:val="0"/>
        <w:rPr>
          <w:rFonts w:asciiTheme="minorHAnsi" w:hAnsiTheme="minorHAnsi"/>
          <w:b/>
          <w:bCs/>
          <w:sz w:val="32"/>
        </w:rPr>
      </w:pPr>
      <w:r w:rsidRPr="007152ED">
        <w:rPr>
          <w:rFonts w:asciiTheme="minorHAnsi" w:hAnsiTheme="minorHAnsi"/>
          <w:b/>
          <w:bCs/>
          <w:sz w:val="32"/>
        </w:rPr>
        <w:t>Sponsor’s Comment</w:t>
      </w:r>
    </w:p>
    <w:p w:rsidR="007152ED" w:rsidRPr="000526BE" w:rsidRDefault="001F58F8" w:rsidP="00B34B07">
      <w:r>
        <w:rPr>
          <w:rFonts w:asciiTheme="minorHAnsi" w:eastAsiaTheme="minorHAnsi" w:hAnsiTheme="minorHAnsi"/>
          <w:bCs/>
          <w:snapToGrid/>
        </w:rPr>
        <w:t xml:space="preserve">Roche welcomes the PBAC’s decision to recommend T-DM1 </w:t>
      </w:r>
      <w:r w:rsidRPr="00A86B54">
        <w:rPr>
          <w:rFonts w:asciiTheme="minorHAnsi" w:eastAsiaTheme="minorHAnsi" w:hAnsiTheme="minorHAnsi"/>
          <w:bCs/>
          <w:snapToGrid/>
        </w:rPr>
        <w:t xml:space="preserve">for adjuvant therapy of patients with </w:t>
      </w:r>
      <w:r>
        <w:rPr>
          <w:rFonts w:asciiTheme="minorHAnsi" w:eastAsiaTheme="minorHAnsi" w:hAnsiTheme="minorHAnsi"/>
          <w:bCs/>
          <w:snapToGrid/>
        </w:rPr>
        <w:t>HER2</w:t>
      </w:r>
      <w:r w:rsidRPr="00A86B54">
        <w:rPr>
          <w:rFonts w:asciiTheme="minorHAnsi" w:eastAsiaTheme="minorHAnsi" w:hAnsiTheme="minorHAnsi"/>
          <w:bCs/>
          <w:snapToGrid/>
        </w:rPr>
        <w:t xml:space="preserve"> positive </w:t>
      </w:r>
      <w:r>
        <w:rPr>
          <w:rFonts w:asciiTheme="minorHAnsi" w:eastAsiaTheme="minorHAnsi" w:hAnsiTheme="minorHAnsi"/>
          <w:bCs/>
          <w:snapToGrid/>
        </w:rPr>
        <w:t>eBC</w:t>
      </w:r>
      <w:r w:rsidRPr="00A86B54">
        <w:rPr>
          <w:rFonts w:asciiTheme="minorHAnsi" w:eastAsiaTheme="minorHAnsi" w:hAnsiTheme="minorHAnsi"/>
          <w:bCs/>
          <w:snapToGrid/>
        </w:rPr>
        <w:t xml:space="preserve"> with residual disease following HER2-targeted neoadjuvant therapy</w:t>
      </w:r>
      <w:r>
        <w:rPr>
          <w:rFonts w:asciiTheme="minorHAnsi" w:eastAsiaTheme="minorHAnsi" w:hAnsiTheme="minorHAnsi"/>
          <w:bCs/>
          <w:snapToGrid/>
        </w:rPr>
        <w:t>. Roche is working with the Department of Health towards a PBS listing at the earliest opportunity</w:t>
      </w:r>
      <w:r w:rsidRPr="00A86B54">
        <w:t xml:space="preserve"> </w:t>
      </w:r>
      <w:r w:rsidRPr="00A86B54">
        <w:rPr>
          <w:rFonts w:asciiTheme="minorHAnsi" w:eastAsiaTheme="minorHAnsi" w:hAnsiTheme="minorHAnsi"/>
          <w:bCs/>
          <w:snapToGrid/>
        </w:rPr>
        <w:t>under Pricing Pathway A</w:t>
      </w:r>
      <w:r w:rsidRPr="007152ED">
        <w:rPr>
          <w:rFonts w:asciiTheme="minorHAnsi" w:eastAsiaTheme="minorHAnsi" w:hAnsiTheme="minorHAnsi"/>
          <w:bCs/>
          <w:snapToGrid/>
        </w:rPr>
        <w:t>.</w:t>
      </w:r>
    </w:p>
    <w:sectPr w:rsidR="007152ED" w:rsidRPr="000526BE" w:rsidSect="007D3DB8">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83" w:rsidRDefault="00756F83" w:rsidP="00124A51">
      <w:r>
        <w:separator/>
      </w:r>
    </w:p>
    <w:p w:rsidR="00756F83" w:rsidRDefault="00756F83"/>
  </w:endnote>
  <w:endnote w:type="continuationSeparator" w:id="0">
    <w:p w:rsidR="00756F83" w:rsidRDefault="00756F83" w:rsidP="00124A51">
      <w:r>
        <w:continuationSeparator/>
      </w:r>
    </w:p>
    <w:p w:rsidR="00756F83" w:rsidRDefault="00756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93" w:rsidRDefault="00D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12085"/>
      <w:docPartObj>
        <w:docPartGallery w:val="Page Numbers (Bottom of Page)"/>
        <w:docPartUnique/>
      </w:docPartObj>
    </w:sdtPr>
    <w:sdtEndPr>
      <w:rPr>
        <w:noProof/>
      </w:rPr>
    </w:sdtEndPr>
    <w:sdtContent>
      <w:p w:rsidR="007F7ABB" w:rsidRDefault="007F7ABB">
        <w:pPr>
          <w:pStyle w:val="Footer"/>
          <w:jc w:val="center"/>
        </w:pPr>
      </w:p>
      <w:p w:rsidR="007F7ABB" w:rsidRDefault="007F7ABB">
        <w:pPr>
          <w:pStyle w:val="Footer"/>
          <w:jc w:val="center"/>
        </w:pPr>
        <w:r w:rsidRPr="00774842">
          <w:rPr>
            <w:b/>
          </w:rPr>
          <w:fldChar w:fldCharType="begin"/>
        </w:r>
        <w:r w:rsidRPr="00774842">
          <w:rPr>
            <w:b/>
          </w:rPr>
          <w:instrText xml:space="preserve"> PAGE   \* MERGEFORMAT </w:instrText>
        </w:r>
        <w:r w:rsidRPr="00774842">
          <w:rPr>
            <w:b/>
          </w:rPr>
          <w:fldChar w:fldCharType="separate"/>
        </w:r>
        <w:r w:rsidR="00756F83">
          <w:rPr>
            <w:b/>
            <w:noProof/>
          </w:rPr>
          <w:t>1</w:t>
        </w:r>
        <w:r w:rsidRPr="00774842">
          <w:rPr>
            <w:b/>
            <w:noProof/>
          </w:rPr>
          <w:fldChar w:fldCharType="end"/>
        </w:r>
      </w:p>
    </w:sdtContent>
  </w:sdt>
  <w:p w:rsidR="007F7ABB" w:rsidRPr="00280AFA" w:rsidRDefault="007F7ABB" w:rsidP="00280AFA">
    <w:pPr>
      <w:contextualSpacing/>
      <w:jc w:val="center"/>
      <w:rPr>
        <w:rFonts w:ascii="Arial" w:hAnsi="Arial"/>
        <w:bCs/>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93" w:rsidRDefault="00D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83" w:rsidRDefault="00756F83" w:rsidP="00124A51">
      <w:r>
        <w:separator/>
      </w:r>
    </w:p>
    <w:p w:rsidR="00756F83" w:rsidRDefault="00756F83"/>
  </w:footnote>
  <w:footnote w:type="continuationSeparator" w:id="0">
    <w:p w:rsidR="00756F83" w:rsidRDefault="00756F83" w:rsidP="00124A51">
      <w:r>
        <w:continuationSeparator/>
      </w:r>
    </w:p>
    <w:p w:rsidR="00756F83" w:rsidRDefault="00756F83"/>
  </w:footnote>
  <w:footnote w:id="1">
    <w:p w:rsidR="007F7ABB" w:rsidRDefault="007F7ABB" w:rsidP="00B61A0B">
      <w:pPr>
        <w:pStyle w:val="FootnoteText"/>
      </w:pPr>
      <w:r w:rsidRPr="00DD0F58">
        <w:rPr>
          <w:sz w:val="18"/>
          <w:szCs w:val="18"/>
          <w:vertAlign w:val="superscript"/>
        </w:rPr>
        <w:footnoteRef/>
      </w:r>
      <w:r w:rsidRPr="00DD0F58">
        <w:rPr>
          <w:sz w:val="18"/>
          <w:szCs w:val="18"/>
          <w:vertAlign w:val="superscript"/>
        </w:rPr>
        <w:t xml:space="preserve"> </w:t>
      </w:r>
      <w:r w:rsidRPr="00DD0F58">
        <w:rPr>
          <w:sz w:val="18"/>
          <w:szCs w:val="18"/>
        </w:rPr>
        <w:t xml:space="preserve">Spring L, et al: Pathological complete response after neoadjuvant chemotherapy and impact on breast cancer recurrence and survival, stratified by breast cancer subtypes and adjuvant chemotherapy usage. 2018 San Antonio Breast Cancer Symposium. </w:t>
      </w:r>
      <w:hyperlink r:id="rId1" w:tgtFrame="_blank" w:history="1">
        <w:r w:rsidRPr="00DD0F58">
          <w:rPr>
            <w:sz w:val="18"/>
            <w:szCs w:val="18"/>
          </w:rPr>
          <w:t>Abstract GS2-03</w:t>
        </w:r>
      </w:hyperlink>
      <w:r w:rsidRPr="00DD0F58">
        <w:rPr>
          <w:sz w:val="18"/>
          <w:szCs w:val="18"/>
        </w:rPr>
        <w:t>. Presented December 5, 2018.</w:t>
      </w:r>
    </w:p>
  </w:footnote>
  <w:footnote w:id="2">
    <w:p w:rsidR="007F7ABB" w:rsidRDefault="007F7ABB">
      <w:pPr>
        <w:pStyle w:val="FootnoteText"/>
      </w:pPr>
      <w:r>
        <w:rPr>
          <w:rStyle w:val="FootnoteReference"/>
        </w:rPr>
        <w:footnoteRef/>
      </w:r>
      <w:r>
        <w:t xml:space="preserve"> </w:t>
      </w:r>
      <w:r>
        <w:rPr>
          <w:sz w:val="18"/>
          <w:szCs w:val="18"/>
        </w:rPr>
        <w:t>Cherny NI, Dafni U, Bogaerts J, et al: ESMO-Magnitude of Clinical Benefit Scale version 1.1. Annals of Oncology 28:2340-2366, 2017</w:t>
      </w:r>
    </w:p>
  </w:footnote>
  <w:footnote w:id="3">
    <w:p w:rsidR="007F7ABB" w:rsidRPr="00C70A8E" w:rsidRDefault="007F7ABB">
      <w:pPr>
        <w:pStyle w:val="FootnoteText"/>
        <w:rPr>
          <w:rFonts w:ascii="Arial Narrow" w:hAnsi="Arial Narrow"/>
        </w:rPr>
      </w:pPr>
      <w:r>
        <w:rPr>
          <w:rStyle w:val="FootnoteReference"/>
        </w:rPr>
        <w:footnoteRef/>
      </w:r>
      <w:r>
        <w:t xml:space="preserve"> </w:t>
      </w:r>
      <w:r w:rsidRPr="00C70A8E">
        <w:rPr>
          <w:rFonts w:ascii="Arial Narrow" w:hAnsi="Arial Narrow"/>
        </w:rPr>
        <w:t>Buzdar AU et al. Fluorouracil, epirubicin, and cyclophosphamide (FEC-75) followed by paclitaxel plus trastuzumab versus paclitaxel plus trastuzumab followed by FEC-75 plus trastuzumab as neoadjuvant treatment for patients with HER2-positive breast cancer (Z1041): a randomised, controlled, phase 3 trial. Lancet Oncol. 2013;14(13):1317. Epub 2013 Nov 13.</w:t>
      </w:r>
    </w:p>
  </w:footnote>
  <w:footnote w:id="4">
    <w:p w:rsidR="007F7ABB" w:rsidRPr="00C70A8E" w:rsidRDefault="007F7ABB">
      <w:pPr>
        <w:pStyle w:val="FootnoteText"/>
        <w:rPr>
          <w:rFonts w:ascii="Arial Narrow" w:hAnsi="Arial Narrow"/>
        </w:rPr>
      </w:pPr>
      <w:r w:rsidRPr="00C70A8E">
        <w:rPr>
          <w:rStyle w:val="FootnoteReference"/>
          <w:rFonts w:ascii="Arial Narrow" w:hAnsi="Arial Narrow"/>
        </w:rPr>
        <w:footnoteRef/>
      </w:r>
      <w:r w:rsidRPr="00C70A8E">
        <w:rPr>
          <w:rFonts w:ascii="Arial Narrow" w:hAnsi="Arial Narrow"/>
        </w:rPr>
        <w:t xml:space="preserve"> Robidoux A, et al. Lapatinib as a component of neoadjuvant therapy for HER2-positive operable breast cancer (NSABP protocol B-41): an open-label, randomised phase 3 trial. Lancet Oncol. 2013 Nov;14(12):1183-92. Epub 2013 Oct 4.</w:t>
      </w:r>
    </w:p>
  </w:footnote>
  <w:footnote w:id="5">
    <w:p w:rsidR="007F7ABB" w:rsidRPr="00C70A8E" w:rsidRDefault="007F7ABB">
      <w:pPr>
        <w:pStyle w:val="FootnoteText"/>
        <w:rPr>
          <w:rFonts w:ascii="Arial Narrow" w:hAnsi="Arial Narrow"/>
        </w:rPr>
      </w:pPr>
      <w:r w:rsidRPr="00C70A8E">
        <w:rPr>
          <w:rStyle w:val="FootnoteReference"/>
          <w:rFonts w:ascii="Arial Narrow" w:hAnsi="Arial Narrow"/>
        </w:rPr>
        <w:footnoteRef/>
      </w:r>
      <w:r w:rsidRPr="00C70A8E">
        <w:rPr>
          <w:rFonts w:ascii="Arial Narrow" w:hAnsi="Arial Narrow"/>
        </w:rPr>
        <w:t xml:space="preserve"> Untch M et al. Lapatinib versus trastuzumab in combination with neoadjuvant anthracycline-taxane-based chemotherapy (GeparQuinto, GBG 44): a randomised phase 3 trial. Lancet Oncol. 2012 Feb;13(2):135-44. Epub 2012 Jan 17. </w:t>
      </w:r>
    </w:p>
  </w:footnote>
  <w:footnote w:id="6">
    <w:p w:rsidR="007F7ABB" w:rsidRDefault="007F7ABB">
      <w:pPr>
        <w:pStyle w:val="FootnoteText"/>
      </w:pPr>
      <w:r w:rsidRPr="00C70A8E">
        <w:rPr>
          <w:rStyle w:val="FootnoteReference"/>
          <w:rFonts w:ascii="Arial Narrow" w:hAnsi="Arial Narrow"/>
        </w:rPr>
        <w:footnoteRef/>
      </w:r>
      <w:r w:rsidRPr="00C70A8E">
        <w:rPr>
          <w:rFonts w:ascii="Arial Narrow" w:hAnsi="Arial Narrow"/>
        </w:rPr>
        <w:t xml:space="preserve"> Lok. Pertuzumab Study for HER2-Positive Non-Metastatic Breast Cancer in the Neoadjuvant Setting in Australia: Interim Analysis. San Antonio Breast Cancer Symposium. 2019.</w:t>
      </w:r>
    </w:p>
  </w:footnote>
  <w:footnote w:id="7">
    <w:p w:rsidR="007F7ABB" w:rsidRDefault="007F7ABB">
      <w:pPr>
        <w:pStyle w:val="FootnoteText"/>
      </w:pPr>
      <w:r>
        <w:rPr>
          <w:rStyle w:val="FootnoteReference"/>
        </w:rPr>
        <w:footnoteRef/>
      </w:r>
      <w:r w:rsidRPr="00C70A8E">
        <w:rPr>
          <w:rFonts w:ascii="Arial Narrow" w:hAnsi="Arial Narrow"/>
        </w:rPr>
        <w:t xml:space="preserve"> Schneeweiss A, Chia S, Hickish T, et al. Pertuzumab plus trastuzumab in combination with standard neoadjuvant anthracycline-containing and anthracycline-free chemotherapy regimens in patients with HER2-positive early breast cancer: a randomized phase II cardiac safety study (TRYPHAENA). Ann Oncol. 2013;24(9):2278-84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93" w:rsidRDefault="00D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BB" w:rsidRPr="00774842" w:rsidRDefault="007F7ABB" w:rsidP="00774842">
    <w:pPr>
      <w:pStyle w:val="Header"/>
      <w:jc w:val="center"/>
      <w:rPr>
        <w:i/>
      </w:rPr>
    </w:pPr>
    <w:r>
      <w:rPr>
        <w:i/>
      </w:rPr>
      <w:t>Public Summary Document</w:t>
    </w:r>
    <w:r w:rsidRPr="00774842">
      <w:rPr>
        <w:i/>
      </w:rPr>
      <w:t xml:space="preserve"> – November 2019 PBAC Meeting</w:t>
    </w:r>
  </w:p>
  <w:p w:rsidR="007F7ABB" w:rsidRDefault="007F7A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F93" w:rsidRDefault="00D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2DE4CE5A"/>
    <w:lvl w:ilvl="0" w:tplc="04090001">
      <w:start w:val="1"/>
      <w:numFmt w:val="bullet"/>
      <w:lvlText w:val=""/>
      <w:lvlJc w:val="left"/>
      <w:pPr>
        <w:ind w:left="720" w:hanging="360"/>
      </w:pPr>
      <w:rPr>
        <w:rFonts w:ascii="Symbol" w:hAnsi="Symbol" w:hint="default"/>
      </w:rPr>
    </w:lvl>
    <w:lvl w:ilvl="1" w:tplc="751C53A6">
      <w:start w:val="15"/>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6484B"/>
    <w:multiLevelType w:val="multilevel"/>
    <w:tmpl w:val="4BBE1BE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1424B0"/>
    <w:multiLevelType w:val="hybridMultilevel"/>
    <w:tmpl w:val="C390E9FC"/>
    <w:lvl w:ilvl="0" w:tplc="F6AE1562">
      <w:start w:val="1"/>
      <w:numFmt w:val="decimal"/>
      <w:pStyle w:val="Heading1"/>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626AF6DA"/>
    <w:lvl w:ilvl="0" w:tplc="9642D852">
      <w:start w:val="1"/>
      <w:numFmt w:val="decimal"/>
      <w:lvlText w:val="%1."/>
      <w:lvlJc w:val="left"/>
      <w:pPr>
        <w:ind w:left="502"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C2A9D"/>
    <w:multiLevelType w:val="hybridMultilevel"/>
    <w:tmpl w:val="90EC1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B2096B"/>
    <w:multiLevelType w:val="hybridMultilevel"/>
    <w:tmpl w:val="C4023C92"/>
    <w:lvl w:ilvl="0" w:tplc="DC509962">
      <w:start w:val="4"/>
      <w:numFmt w:val="bullet"/>
      <w:lvlText w:val="-"/>
      <w:lvlJc w:val="left"/>
      <w:pPr>
        <w:ind w:left="1080" w:hanging="360"/>
      </w:pPr>
      <w:rPr>
        <w:rFonts w:ascii="Calibri" w:eastAsia="Times New Roman" w:hAnsi="Calibri" w:cs="Calibri" w:hint="default"/>
        <w:color w:val="3366F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12158"/>
    <w:multiLevelType w:val="hybridMultilevel"/>
    <w:tmpl w:val="E1003D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B9C6444"/>
    <w:multiLevelType w:val="hybridMultilevel"/>
    <w:tmpl w:val="83583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B8376C"/>
    <w:multiLevelType w:val="hybridMultilevel"/>
    <w:tmpl w:val="D470609A"/>
    <w:lvl w:ilvl="0" w:tplc="9160BBDA">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9"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7B6A57"/>
    <w:multiLevelType w:val="hybridMultilevel"/>
    <w:tmpl w:val="65CE0F6C"/>
    <w:lvl w:ilvl="0" w:tplc="5A6431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84D033C"/>
    <w:multiLevelType w:val="multilevel"/>
    <w:tmpl w:val="9350DE9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5F16AB"/>
    <w:multiLevelType w:val="hybridMultilevel"/>
    <w:tmpl w:val="A8D0C056"/>
    <w:lvl w:ilvl="0" w:tplc="5FB4142C">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A3630C4"/>
    <w:multiLevelType w:val="multilevel"/>
    <w:tmpl w:val="206AF3A8"/>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1"/>
  </w:num>
  <w:num w:numId="3">
    <w:abstractNumId w:val="14"/>
  </w:num>
  <w:num w:numId="4">
    <w:abstractNumId w:val="5"/>
  </w:num>
  <w:num w:numId="5">
    <w:abstractNumId w:val="10"/>
  </w:num>
  <w:num w:numId="6">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8"/>
  </w:num>
  <w:num w:numId="10">
    <w:abstractNumId w:val="2"/>
  </w:num>
  <w:num w:numId="11">
    <w:abstractNumId w:val="13"/>
  </w:num>
  <w:num w:numId="12">
    <w:abstractNumId w:val="11"/>
  </w:num>
  <w:num w:numId="13">
    <w:abstractNumId w:val="19"/>
  </w:num>
  <w:num w:numId="14">
    <w:abstractNumId w:val="17"/>
  </w:num>
  <w:num w:numId="15">
    <w:abstractNumId w:val="3"/>
  </w:num>
  <w:num w:numId="16">
    <w:abstractNumId w:val="0"/>
  </w:num>
  <w:num w:numId="17">
    <w:abstractNumId w:val="9"/>
  </w:num>
  <w:num w:numId="18">
    <w:abstractNumId w:val="12"/>
  </w:num>
  <w:num w:numId="19">
    <w:abstractNumId w:val="7"/>
  </w:num>
  <w:num w:numId="20">
    <w:abstractNumId w:val="22"/>
  </w:num>
  <w:num w:numId="21">
    <w:abstractNumId w:val="20"/>
  </w:num>
  <w:num w:numId="22">
    <w:abstractNumId w:val="4"/>
  </w:num>
  <w:num w:numId="23">
    <w:abstractNumId w:val="23"/>
  </w:num>
  <w:num w:numId="24">
    <w:abstractNumId w:val="15"/>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AU" w:vendorID="64" w:dllVersion="131078" w:nlCheck="1" w:checkStyle="1"/>
  <w:activeWritingStyle w:appName="MSWord" w:lang="en-GB" w:vendorID="64" w:dllVersion="131078" w:nlCheck="1" w:checkStyle="1"/>
  <w:activeWritingStyle w:appName="MSWord" w:lang="es-CL" w:vendorID="64" w:dllVersion="131078" w:nlCheck="1" w:checkStyle="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BC4"/>
    <w:rsid w:val="0000110B"/>
    <w:rsid w:val="00001249"/>
    <w:rsid w:val="00003391"/>
    <w:rsid w:val="00003499"/>
    <w:rsid w:val="000039B7"/>
    <w:rsid w:val="000041D3"/>
    <w:rsid w:val="000041F3"/>
    <w:rsid w:val="00007440"/>
    <w:rsid w:val="00010A0D"/>
    <w:rsid w:val="00011067"/>
    <w:rsid w:val="000113F7"/>
    <w:rsid w:val="00013247"/>
    <w:rsid w:val="00015886"/>
    <w:rsid w:val="0001620B"/>
    <w:rsid w:val="000162EF"/>
    <w:rsid w:val="000168AB"/>
    <w:rsid w:val="00016EEB"/>
    <w:rsid w:val="000172C0"/>
    <w:rsid w:val="0002056B"/>
    <w:rsid w:val="0002113D"/>
    <w:rsid w:val="000214F0"/>
    <w:rsid w:val="0002194F"/>
    <w:rsid w:val="00021A55"/>
    <w:rsid w:val="0002225F"/>
    <w:rsid w:val="00022714"/>
    <w:rsid w:val="00023043"/>
    <w:rsid w:val="00023763"/>
    <w:rsid w:val="00024944"/>
    <w:rsid w:val="00024A25"/>
    <w:rsid w:val="00024AB4"/>
    <w:rsid w:val="00024E8F"/>
    <w:rsid w:val="00025388"/>
    <w:rsid w:val="000260E2"/>
    <w:rsid w:val="00026BF2"/>
    <w:rsid w:val="00026EE3"/>
    <w:rsid w:val="00027BE3"/>
    <w:rsid w:val="00030514"/>
    <w:rsid w:val="00030B1B"/>
    <w:rsid w:val="00030BC8"/>
    <w:rsid w:val="0003123A"/>
    <w:rsid w:val="0003151B"/>
    <w:rsid w:val="00032E20"/>
    <w:rsid w:val="00033832"/>
    <w:rsid w:val="00033863"/>
    <w:rsid w:val="00033C72"/>
    <w:rsid w:val="00034519"/>
    <w:rsid w:val="00035DC0"/>
    <w:rsid w:val="0003603B"/>
    <w:rsid w:val="00036829"/>
    <w:rsid w:val="00037E0F"/>
    <w:rsid w:val="00037FC8"/>
    <w:rsid w:val="00040895"/>
    <w:rsid w:val="00040D47"/>
    <w:rsid w:val="000417DB"/>
    <w:rsid w:val="00041EE3"/>
    <w:rsid w:val="000426E7"/>
    <w:rsid w:val="00043C37"/>
    <w:rsid w:val="00044E9B"/>
    <w:rsid w:val="00044FF8"/>
    <w:rsid w:val="00045017"/>
    <w:rsid w:val="00045168"/>
    <w:rsid w:val="00045466"/>
    <w:rsid w:val="000459AB"/>
    <w:rsid w:val="00045A2B"/>
    <w:rsid w:val="0004698F"/>
    <w:rsid w:val="00046A81"/>
    <w:rsid w:val="0005020D"/>
    <w:rsid w:val="00050633"/>
    <w:rsid w:val="00050F3C"/>
    <w:rsid w:val="00051149"/>
    <w:rsid w:val="00051BFA"/>
    <w:rsid w:val="00051E22"/>
    <w:rsid w:val="00051F1B"/>
    <w:rsid w:val="000526BE"/>
    <w:rsid w:val="00052BD1"/>
    <w:rsid w:val="00052C34"/>
    <w:rsid w:val="00052CAE"/>
    <w:rsid w:val="00052D71"/>
    <w:rsid w:val="00053396"/>
    <w:rsid w:val="000535FC"/>
    <w:rsid w:val="000537A3"/>
    <w:rsid w:val="000539D0"/>
    <w:rsid w:val="0005459F"/>
    <w:rsid w:val="00054621"/>
    <w:rsid w:val="000546D7"/>
    <w:rsid w:val="00054861"/>
    <w:rsid w:val="000555DD"/>
    <w:rsid w:val="00055810"/>
    <w:rsid w:val="00055B1E"/>
    <w:rsid w:val="0005633E"/>
    <w:rsid w:val="00056D51"/>
    <w:rsid w:val="000575F5"/>
    <w:rsid w:val="000614D8"/>
    <w:rsid w:val="00062280"/>
    <w:rsid w:val="00062579"/>
    <w:rsid w:val="00062C61"/>
    <w:rsid w:val="000634D6"/>
    <w:rsid w:val="00063A2D"/>
    <w:rsid w:val="00063AC4"/>
    <w:rsid w:val="00064E34"/>
    <w:rsid w:val="000662B3"/>
    <w:rsid w:val="00066360"/>
    <w:rsid w:val="00066505"/>
    <w:rsid w:val="00066ADD"/>
    <w:rsid w:val="0007020C"/>
    <w:rsid w:val="0007118A"/>
    <w:rsid w:val="00071248"/>
    <w:rsid w:val="00071308"/>
    <w:rsid w:val="0007131F"/>
    <w:rsid w:val="00071944"/>
    <w:rsid w:val="00071A3E"/>
    <w:rsid w:val="000720B9"/>
    <w:rsid w:val="00072B38"/>
    <w:rsid w:val="00072BD7"/>
    <w:rsid w:val="000737F7"/>
    <w:rsid w:val="00075374"/>
    <w:rsid w:val="00075FE9"/>
    <w:rsid w:val="0007645D"/>
    <w:rsid w:val="0007672F"/>
    <w:rsid w:val="00076D6F"/>
    <w:rsid w:val="000774F0"/>
    <w:rsid w:val="000777E5"/>
    <w:rsid w:val="00080909"/>
    <w:rsid w:val="000812CA"/>
    <w:rsid w:val="00081449"/>
    <w:rsid w:val="00081F44"/>
    <w:rsid w:val="00081FF7"/>
    <w:rsid w:val="0008258D"/>
    <w:rsid w:val="0008279C"/>
    <w:rsid w:val="00083E99"/>
    <w:rsid w:val="000856C5"/>
    <w:rsid w:val="000863DD"/>
    <w:rsid w:val="00086A3A"/>
    <w:rsid w:val="000873D6"/>
    <w:rsid w:val="0009025F"/>
    <w:rsid w:val="00090C7E"/>
    <w:rsid w:val="000919D5"/>
    <w:rsid w:val="00092600"/>
    <w:rsid w:val="0009262B"/>
    <w:rsid w:val="000929B6"/>
    <w:rsid w:val="00092F7C"/>
    <w:rsid w:val="00093310"/>
    <w:rsid w:val="00093FBB"/>
    <w:rsid w:val="00094376"/>
    <w:rsid w:val="0009445C"/>
    <w:rsid w:val="000949A8"/>
    <w:rsid w:val="00095FE5"/>
    <w:rsid w:val="00096284"/>
    <w:rsid w:val="00096D5E"/>
    <w:rsid w:val="00097EBA"/>
    <w:rsid w:val="00097EDA"/>
    <w:rsid w:val="000A0647"/>
    <w:rsid w:val="000A0E85"/>
    <w:rsid w:val="000A0EBC"/>
    <w:rsid w:val="000A1633"/>
    <w:rsid w:val="000A2936"/>
    <w:rsid w:val="000A2B91"/>
    <w:rsid w:val="000A2FA2"/>
    <w:rsid w:val="000A326B"/>
    <w:rsid w:val="000A3690"/>
    <w:rsid w:val="000A3701"/>
    <w:rsid w:val="000A370E"/>
    <w:rsid w:val="000A5586"/>
    <w:rsid w:val="000A5E45"/>
    <w:rsid w:val="000A64F2"/>
    <w:rsid w:val="000A68CC"/>
    <w:rsid w:val="000A6DB5"/>
    <w:rsid w:val="000A6FC0"/>
    <w:rsid w:val="000A7274"/>
    <w:rsid w:val="000A7598"/>
    <w:rsid w:val="000A7BC1"/>
    <w:rsid w:val="000A7D08"/>
    <w:rsid w:val="000B0670"/>
    <w:rsid w:val="000B0982"/>
    <w:rsid w:val="000B0D68"/>
    <w:rsid w:val="000B0E75"/>
    <w:rsid w:val="000B1045"/>
    <w:rsid w:val="000B10CC"/>
    <w:rsid w:val="000B19FC"/>
    <w:rsid w:val="000B2C33"/>
    <w:rsid w:val="000B492F"/>
    <w:rsid w:val="000B5450"/>
    <w:rsid w:val="000B5955"/>
    <w:rsid w:val="000B5B31"/>
    <w:rsid w:val="000B5B62"/>
    <w:rsid w:val="000B6CAC"/>
    <w:rsid w:val="000B7612"/>
    <w:rsid w:val="000C04C0"/>
    <w:rsid w:val="000C06A5"/>
    <w:rsid w:val="000C0B8E"/>
    <w:rsid w:val="000C2258"/>
    <w:rsid w:val="000C325B"/>
    <w:rsid w:val="000C387C"/>
    <w:rsid w:val="000C3B38"/>
    <w:rsid w:val="000C3DF9"/>
    <w:rsid w:val="000C4F37"/>
    <w:rsid w:val="000C58CF"/>
    <w:rsid w:val="000C5C90"/>
    <w:rsid w:val="000C6713"/>
    <w:rsid w:val="000C6B2F"/>
    <w:rsid w:val="000C6F33"/>
    <w:rsid w:val="000C7599"/>
    <w:rsid w:val="000D01A8"/>
    <w:rsid w:val="000D08D7"/>
    <w:rsid w:val="000D0B21"/>
    <w:rsid w:val="000D0EAA"/>
    <w:rsid w:val="000D1589"/>
    <w:rsid w:val="000D1775"/>
    <w:rsid w:val="000D1BFC"/>
    <w:rsid w:val="000D1C8C"/>
    <w:rsid w:val="000D1D62"/>
    <w:rsid w:val="000D281A"/>
    <w:rsid w:val="000D2E6D"/>
    <w:rsid w:val="000D326A"/>
    <w:rsid w:val="000D3C8C"/>
    <w:rsid w:val="000D40C2"/>
    <w:rsid w:val="000D5008"/>
    <w:rsid w:val="000D51FB"/>
    <w:rsid w:val="000D5454"/>
    <w:rsid w:val="000D5738"/>
    <w:rsid w:val="000E135D"/>
    <w:rsid w:val="000E2A02"/>
    <w:rsid w:val="000E3790"/>
    <w:rsid w:val="000E61A5"/>
    <w:rsid w:val="000E66AB"/>
    <w:rsid w:val="000E70F6"/>
    <w:rsid w:val="000E73F9"/>
    <w:rsid w:val="000F00BA"/>
    <w:rsid w:val="000F1A1B"/>
    <w:rsid w:val="000F1BFA"/>
    <w:rsid w:val="000F1D67"/>
    <w:rsid w:val="000F3070"/>
    <w:rsid w:val="000F316A"/>
    <w:rsid w:val="000F32B6"/>
    <w:rsid w:val="000F3C74"/>
    <w:rsid w:val="000F42BB"/>
    <w:rsid w:val="000F4BB8"/>
    <w:rsid w:val="000F4C41"/>
    <w:rsid w:val="000F5844"/>
    <w:rsid w:val="000F6367"/>
    <w:rsid w:val="000F6465"/>
    <w:rsid w:val="000F7127"/>
    <w:rsid w:val="000F71ED"/>
    <w:rsid w:val="000F7413"/>
    <w:rsid w:val="000F7F0F"/>
    <w:rsid w:val="001004AC"/>
    <w:rsid w:val="00100F8A"/>
    <w:rsid w:val="001014D9"/>
    <w:rsid w:val="00102071"/>
    <w:rsid w:val="00102164"/>
    <w:rsid w:val="00103B57"/>
    <w:rsid w:val="00105705"/>
    <w:rsid w:val="00105AE2"/>
    <w:rsid w:val="00106330"/>
    <w:rsid w:val="00106B80"/>
    <w:rsid w:val="00106F0C"/>
    <w:rsid w:val="00107950"/>
    <w:rsid w:val="00107E79"/>
    <w:rsid w:val="0011032E"/>
    <w:rsid w:val="0011032F"/>
    <w:rsid w:val="001114EE"/>
    <w:rsid w:val="00111A32"/>
    <w:rsid w:val="0011348B"/>
    <w:rsid w:val="00115982"/>
    <w:rsid w:val="00115C8E"/>
    <w:rsid w:val="00116738"/>
    <w:rsid w:val="00116B63"/>
    <w:rsid w:val="00116C53"/>
    <w:rsid w:val="001171DF"/>
    <w:rsid w:val="00117AFD"/>
    <w:rsid w:val="001202C5"/>
    <w:rsid w:val="00120FB5"/>
    <w:rsid w:val="00121799"/>
    <w:rsid w:val="00121963"/>
    <w:rsid w:val="00121A86"/>
    <w:rsid w:val="001222FC"/>
    <w:rsid w:val="0012348F"/>
    <w:rsid w:val="00123B4C"/>
    <w:rsid w:val="00124A51"/>
    <w:rsid w:val="001257DB"/>
    <w:rsid w:val="0012639D"/>
    <w:rsid w:val="00126621"/>
    <w:rsid w:val="001269AE"/>
    <w:rsid w:val="001279AF"/>
    <w:rsid w:val="00127E90"/>
    <w:rsid w:val="001301E9"/>
    <w:rsid w:val="00130F96"/>
    <w:rsid w:val="00131D82"/>
    <w:rsid w:val="00133D36"/>
    <w:rsid w:val="00134606"/>
    <w:rsid w:val="00134714"/>
    <w:rsid w:val="00135156"/>
    <w:rsid w:val="00135A5A"/>
    <w:rsid w:val="00136E6C"/>
    <w:rsid w:val="001370AC"/>
    <w:rsid w:val="00137518"/>
    <w:rsid w:val="00137645"/>
    <w:rsid w:val="00137D5F"/>
    <w:rsid w:val="00137F5D"/>
    <w:rsid w:val="0014015A"/>
    <w:rsid w:val="001402D8"/>
    <w:rsid w:val="00140E99"/>
    <w:rsid w:val="001411AF"/>
    <w:rsid w:val="0014263A"/>
    <w:rsid w:val="00142663"/>
    <w:rsid w:val="00142FCF"/>
    <w:rsid w:val="0014343A"/>
    <w:rsid w:val="00143502"/>
    <w:rsid w:val="00143870"/>
    <w:rsid w:val="00144241"/>
    <w:rsid w:val="0014484E"/>
    <w:rsid w:val="00145540"/>
    <w:rsid w:val="001456B0"/>
    <w:rsid w:val="00145838"/>
    <w:rsid w:val="00146009"/>
    <w:rsid w:val="00146047"/>
    <w:rsid w:val="001464CA"/>
    <w:rsid w:val="00146C13"/>
    <w:rsid w:val="00147D65"/>
    <w:rsid w:val="001511C9"/>
    <w:rsid w:val="0015399C"/>
    <w:rsid w:val="00153AC3"/>
    <w:rsid w:val="00154122"/>
    <w:rsid w:val="0015445E"/>
    <w:rsid w:val="00154FF9"/>
    <w:rsid w:val="0015596E"/>
    <w:rsid w:val="001565D4"/>
    <w:rsid w:val="00157130"/>
    <w:rsid w:val="001576B1"/>
    <w:rsid w:val="00157DED"/>
    <w:rsid w:val="00160404"/>
    <w:rsid w:val="00160795"/>
    <w:rsid w:val="00160A4C"/>
    <w:rsid w:val="00160EA7"/>
    <w:rsid w:val="00161421"/>
    <w:rsid w:val="00161514"/>
    <w:rsid w:val="00161AEE"/>
    <w:rsid w:val="00161E9D"/>
    <w:rsid w:val="00162913"/>
    <w:rsid w:val="00162C52"/>
    <w:rsid w:val="00162E1B"/>
    <w:rsid w:val="001636EF"/>
    <w:rsid w:val="00163E61"/>
    <w:rsid w:val="00163EFF"/>
    <w:rsid w:val="00165BBF"/>
    <w:rsid w:val="001661FB"/>
    <w:rsid w:val="001664FF"/>
    <w:rsid w:val="00166794"/>
    <w:rsid w:val="00167E23"/>
    <w:rsid w:val="00167EEE"/>
    <w:rsid w:val="0017022E"/>
    <w:rsid w:val="001706E6"/>
    <w:rsid w:val="00170720"/>
    <w:rsid w:val="001717BD"/>
    <w:rsid w:val="00171C3C"/>
    <w:rsid w:val="00172044"/>
    <w:rsid w:val="00172734"/>
    <w:rsid w:val="00173565"/>
    <w:rsid w:val="0017391E"/>
    <w:rsid w:val="00173B07"/>
    <w:rsid w:val="0017446A"/>
    <w:rsid w:val="0017480C"/>
    <w:rsid w:val="00174E84"/>
    <w:rsid w:val="00175280"/>
    <w:rsid w:val="001758B9"/>
    <w:rsid w:val="00180FC8"/>
    <w:rsid w:val="00181531"/>
    <w:rsid w:val="00181D9C"/>
    <w:rsid w:val="00182382"/>
    <w:rsid w:val="00183291"/>
    <w:rsid w:val="00185874"/>
    <w:rsid w:val="00185DC6"/>
    <w:rsid w:val="00186B22"/>
    <w:rsid w:val="00187369"/>
    <w:rsid w:val="0018752F"/>
    <w:rsid w:val="0018786D"/>
    <w:rsid w:val="00187A07"/>
    <w:rsid w:val="00187E75"/>
    <w:rsid w:val="00190640"/>
    <w:rsid w:val="0019078C"/>
    <w:rsid w:val="0019091E"/>
    <w:rsid w:val="00191482"/>
    <w:rsid w:val="00191E99"/>
    <w:rsid w:val="001931C7"/>
    <w:rsid w:val="00193789"/>
    <w:rsid w:val="00194759"/>
    <w:rsid w:val="00195137"/>
    <w:rsid w:val="00195222"/>
    <w:rsid w:val="001957EF"/>
    <w:rsid w:val="00196ED4"/>
    <w:rsid w:val="001975D8"/>
    <w:rsid w:val="001976B5"/>
    <w:rsid w:val="00197A28"/>
    <w:rsid w:val="001A00EB"/>
    <w:rsid w:val="001A08D7"/>
    <w:rsid w:val="001A1468"/>
    <w:rsid w:val="001A323D"/>
    <w:rsid w:val="001A41FF"/>
    <w:rsid w:val="001A43FA"/>
    <w:rsid w:val="001A48D9"/>
    <w:rsid w:val="001A4C3A"/>
    <w:rsid w:val="001A5439"/>
    <w:rsid w:val="001A59FB"/>
    <w:rsid w:val="001A6354"/>
    <w:rsid w:val="001A658F"/>
    <w:rsid w:val="001A7AE8"/>
    <w:rsid w:val="001B1180"/>
    <w:rsid w:val="001B12A1"/>
    <w:rsid w:val="001B1D3E"/>
    <w:rsid w:val="001B204E"/>
    <w:rsid w:val="001B2220"/>
    <w:rsid w:val="001B240A"/>
    <w:rsid w:val="001B3443"/>
    <w:rsid w:val="001B4A83"/>
    <w:rsid w:val="001B4D20"/>
    <w:rsid w:val="001B5248"/>
    <w:rsid w:val="001B5278"/>
    <w:rsid w:val="001B703D"/>
    <w:rsid w:val="001B70D3"/>
    <w:rsid w:val="001C0711"/>
    <w:rsid w:val="001C0ED5"/>
    <w:rsid w:val="001C1F39"/>
    <w:rsid w:val="001C2A9B"/>
    <w:rsid w:val="001C2B1F"/>
    <w:rsid w:val="001C4299"/>
    <w:rsid w:val="001C495F"/>
    <w:rsid w:val="001C5F94"/>
    <w:rsid w:val="001C65BD"/>
    <w:rsid w:val="001C6E66"/>
    <w:rsid w:val="001D1E99"/>
    <w:rsid w:val="001D30EB"/>
    <w:rsid w:val="001D38DE"/>
    <w:rsid w:val="001D42F4"/>
    <w:rsid w:val="001D4D1F"/>
    <w:rsid w:val="001D4D22"/>
    <w:rsid w:val="001D5694"/>
    <w:rsid w:val="001D5AA0"/>
    <w:rsid w:val="001D63B7"/>
    <w:rsid w:val="001D6506"/>
    <w:rsid w:val="001E03F7"/>
    <w:rsid w:val="001E063C"/>
    <w:rsid w:val="001E0A2F"/>
    <w:rsid w:val="001E238E"/>
    <w:rsid w:val="001E2483"/>
    <w:rsid w:val="001E2B1E"/>
    <w:rsid w:val="001E2D87"/>
    <w:rsid w:val="001E30D4"/>
    <w:rsid w:val="001E3B0F"/>
    <w:rsid w:val="001E3EFF"/>
    <w:rsid w:val="001E4C90"/>
    <w:rsid w:val="001E52EB"/>
    <w:rsid w:val="001E55EE"/>
    <w:rsid w:val="001E61D2"/>
    <w:rsid w:val="001E740C"/>
    <w:rsid w:val="001E76FF"/>
    <w:rsid w:val="001E7BF6"/>
    <w:rsid w:val="001E7F2B"/>
    <w:rsid w:val="001F0266"/>
    <w:rsid w:val="001F0940"/>
    <w:rsid w:val="001F1112"/>
    <w:rsid w:val="001F1235"/>
    <w:rsid w:val="001F1425"/>
    <w:rsid w:val="001F1CB3"/>
    <w:rsid w:val="001F34FE"/>
    <w:rsid w:val="001F3618"/>
    <w:rsid w:val="001F366A"/>
    <w:rsid w:val="001F38B5"/>
    <w:rsid w:val="001F3BF3"/>
    <w:rsid w:val="001F3DCF"/>
    <w:rsid w:val="001F4302"/>
    <w:rsid w:val="001F44ED"/>
    <w:rsid w:val="001F4952"/>
    <w:rsid w:val="001F58F8"/>
    <w:rsid w:val="001F5C69"/>
    <w:rsid w:val="001F5DF5"/>
    <w:rsid w:val="001F6753"/>
    <w:rsid w:val="001F7361"/>
    <w:rsid w:val="0020092E"/>
    <w:rsid w:val="002011B0"/>
    <w:rsid w:val="00201B9B"/>
    <w:rsid w:val="00202217"/>
    <w:rsid w:val="0020312E"/>
    <w:rsid w:val="00203181"/>
    <w:rsid w:val="00203783"/>
    <w:rsid w:val="0020385F"/>
    <w:rsid w:val="00203964"/>
    <w:rsid w:val="00203C19"/>
    <w:rsid w:val="00204246"/>
    <w:rsid w:val="00204C14"/>
    <w:rsid w:val="00206156"/>
    <w:rsid w:val="0020676F"/>
    <w:rsid w:val="00207021"/>
    <w:rsid w:val="0020732F"/>
    <w:rsid w:val="00207D00"/>
    <w:rsid w:val="002102F0"/>
    <w:rsid w:val="002105C1"/>
    <w:rsid w:val="00211810"/>
    <w:rsid w:val="0021187B"/>
    <w:rsid w:val="00211F67"/>
    <w:rsid w:val="00212621"/>
    <w:rsid w:val="00213F34"/>
    <w:rsid w:val="002154A7"/>
    <w:rsid w:val="00215870"/>
    <w:rsid w:val="002171D1"/>
    <w:rsid w:val="00217B2F"/>
    <w:rsid w:val="00217F1D"/>
    <w:rsid w:val="00217F7C"/>
    <w:rsid w:val="00220A61"/>
    <w:rsid w:val="0022104B"/>
    <w:rsid w:val="00221946"/>
    <w:rsid w:val="00221F63"/>
    <w:rsid w:val="00223A61"/>
    <w:rsid w:val="00223B49"/>
    <w:rsid w:val="00223FF7"/>
    <w:rsid w:val="00224DD4"/>
    <w:rsid w:val="00224FCB"/>
    <w:rsid w:val="0022544A"/>
    <w:rsid w:val="00226A32"/>
    <w:rsid w:val="00226C60"/>
    <w:rsid w:val="00227561"/>
    <w:rsid w:val="002302A6"/>
    <w:rsid w:val="002309CC"/>
    <w:rsid w:val="002317C7"/>
    <w:rsid w:val="00231930"/>
    <w:rsid w:val="00231DA9"/>
    <w:rsid w:val="0023209F"/>
    <w:rsid w:val="00233033"/>
    <w:rsid w:val="002333CF"/>
    <w:rsid w:val="00233968"/>
    <w:rsid w:val="00233F17"/>
    <w:rsid w:val="00233FF9"/>
    <w:rsid w:val="0023416A"/>
    <w:rsid w:val="00234A67"/>
    <w:rsid w:val="002351BE"/>
    <w:rsid w:val="00235CD9"/>
    <w:rsid w:val="0023629D"/>
    <w:rsid w:val="002362D6"/>
    <w:rsid w:val="002365C7"/>
    <w:rsid w:val="002366FB"/>
    <w:rsid w:val="00236C3B"/>
    <w:rsid w:val="00236ECC"/>
    <w:rsid w:val="00237255"/>
    <w:rsid w:val="00237715"/>
    <w:rsid w:val="00237945"/>
    <w:rsid w:val="002406DE"/>
    <w:rsid w:val="0024071B"/>
    <w:rsid w:val="0024225F"/>
    <w:rsid w:val="0024227C"/>
    <w:rsid w:val="002424AF"/>
    <w:rsid w:val="00242521"/>
    <w:rsid w:val="00242604"/>
    <w:rsid w:val="002439DC"/>
    <w:rsid w:val="00243CAF"/>
    <w:rsid w:val="00243FB4"/>
    <w:rsid w:val="00244398"/>
    <w:rsid w:val="00244999"/>
    <w:rsid w:val="00244DC8"/>
    <w:rsid w:val="002458BA"/>
    <w:rsid w:val="00245A30"/>
    <w:rsid w:val="0024636C"/>
    <w:rsid w:val="00247925"/>
    <w:rsid w:val="00250148"/>
    <w:rsid w:val="00250C8C"/>
    <w:rsid w:val="002519D2"/>
    <w:rsid w:val="00251A89"/>
    <w:rsid w:val="00251B5D"/>
    <w:rsid w:val="00251CD0"/>
    <w:rsid w:val="0025307D"/>
    <w:rsid w:val="0025399D"/>
    <w:rsid w:val="0025495C"/>
    <w:rsid w:val="00254DCF"/>
    <w:rsid w:val="0025534B"/>
    <w:rsid w:val="002556BF"/>
    <w:rsid w:val="0025597F"/>
    <w:rsid w:val="00255BB7"/>
    <w:rsid w:val="002562DD"/>
    <w:rsid w:val="00256634"/>
    <w:rsid w:val="00256E22"/>
    <w:rsid w:val="00257541"/>
    <w:rsid w:val="00260A92"/>
    <w:rsid w:val="00260FD8"/>
    <w:rsid w:val="00262A1A"/>
    <w:rsid w:val="00262A87"/>
    <w:rsid w:val="00262FAA"/>
    <w:rsid w:val="00263575"/>
    <w:rsid w:val="0026366B"/>
    <w:rsid w:val="002636FB"/>
    <w:rsid w:val="002637F2"/>
    <w:rsid w:val="00263EC7"/>
    <w:rsid w:val="00264C63"/>
    <w:rsid w:val="00264D26"/>
    <w:rsid w:val="002662C7"/>
    <w:rsid w:val="00267025"/>
    <w:rsid w:val="00267642"/>
    <w:rsid w:val="00267AEA"/>
    <w:rsid w:val="002700DF"/>
    <w:rsid w:val="002700E6"/>
    <w:rsid w:val="002703FB"/>
    <w:rsid w:val="002713A6"/>
    <w:rsid w:val="00271FAC"/>
    <w:rsid w:val="00272409"/>
    <w:rsid w:val="00272607"/>
    <w:rsid w:val="0027294B"/>
    <w:rsid w:val="002733CD"/>
    <w:rsid w:val="00273577"/>
    <w:rsid w:val="00273B15"/>
    <w:rsid w:val="00273F9B"/>
    <w:rsid w:val="00274D89"/>
    <w:rsid w:val="00275C5A"/>
    <w:rsid w:val="00275E66"/>
    <w:rsid w:val="0027624F"/>
    <w:rsid w:val="00280AFA"/>
    <w:rsid w:val="00281014"/>
    <w:rsid w:val="00281388"/>
    <w:rsid w:val="002816D2"/>
    <w:rsid w:val="0028205D"/>
    <w:rsid w:val="002829C3"/>
    <w:rsid w:val="0028313A"/>
    <w:rsid w:val="00283156"/>
    <w:rsid w:val="0028363F"/>
    <w:rsid w:val="002840F6"/>
    <w:rsid w:val="00285097"/>
    <w:rsid w:val="00286BA6"/>
    <w:rsid w:val="002878F2"/>
    <w:rsid w:val="002925D3"/>
    <w:rsid w:val="0029281D"/>
    <w:rsid w:val="00292C01"/>
    <w:rsid w:val="00292C05"/>
    <w:rsid w:val="0029305D"/>
    <w:rsid w:val="00293FCE"/>
    <w:rsid w:val="00294110"/>
    <w:rsid w:val="00297070"/>
    <w:rsid w:val="00297A63"/>
    <w:rsid w:val="00297F3B"/>
    <w:rsid w:val="00297F8C"/>
    <w:rsid w:val="002A0855"/>
    <w:rsid w:val="002A14AB"/>
    <w:rsid w:val="002A17F4"/>
    <w:rsid w:val="002A182F"/>
    <w:rsid w:val="002A1A0B"/>
    <w:rsid w:val="002A1F2A"/>
    <w:rsid w:val="002A2E42"/>
    <w:rsid w:val="002A2F50"/>
    <w:rsid w:val="002A416A"/>
    <w:rsid w:val="002A4BCB"/>
    <w:rsid w:val="002A5527"/>
    <w:rsid w:val="002A575D"/>
    <w:rsid w:val="002A5EC0"/>
    <w:rsid w:val="002A60BA"/>
    <w:rsid w:val="002A62A3"/>
    <w:rsid w:val="002A6534"/>
    <w:rsid w:val="002A661B"/>
    <w:rsid w:val="002A6E6D"/>
    <w:rsid w:val="002A73BF"/>
    <w:rsid w:val="002B09A4"/>
    <w:rsid w:val="002B0E0C"/>
    <w:rsid w:val="002B1C1F"/>
    <w:rsid w:val="002B2386"/>
    <w:rsid w:val="002B2A22"/>
    <w:rsid w:val="002B333A"/>
    <w:rsid w:val="002B3E45"/>
    <w:rsid w:val="002B432F"/>
    <w:rsid w:val="002B49ED"/>
    <w:rsid w:val="002B5D7E"/>
    <w:rsid w:val="002B62B3"/>
    <w:rsid w:val="002B6754"/>
    <w:rsid w:val="002B6CC7"/>
    <w:rsid w:val="002B6CCE"/>
    <w:rsid w:val="002B7DE9"/>
    <w:rsid w:val="002B7FEF"/>
    <w:rsid w:val="002C070B"/>
    <w:rsid w:val="002C08BF"/>
    <w:rsid w:val="002C1E44"/>
    <w:rsid w:val="002C1F08"/>
    <w:rsid w:val="002C2510"/>
    <w:rsid w:val="002C2775"/>
    <w:rsid w:val="002C27C1"/>
    <w:rsid w:val="002C2841"/>
    <w:rsid w:val="002C2B83"/>
    <w:rsid w:val="002C2B86"/>
    <w:rsid w:val="002C3306"/>
    <w:rsid w:val="002C3625"/>
    <w:rsid w:val="002C5099"/>
    <w:rsid w:val="002C5889"/>
    <w:rsid w:val="002C5D07"/>
    <w:rsid w:val="002C5F89"/>
    <w:rsid w:val="002C647D"/>
    <w:rsid w:val="002C68CF"/>
    <w:rsid w:val="002C6E84"/>
    <w:rsid w:val="002C71CE"/>
    <w:rsid w:val="002D0E75"/>
    <w:rsid w:val="002D17E7"/>
    <w:rsid w:val="002D20A8"/>
    <w:rsid w:val="002D3446"/>
    <w:rsid w:val="002D3696"/>
    <w:rsid w:val="002D4A98"/>
    <w:rsid w:val="002D4AF2"/>
    <w:rsid w:val="002D4E6A"/>
    <w:rsid w:val="002D53F3"/>
    <w:rsid w:val="002D577C"/>
    <w:rsid w:val="002D6EA8"/>
    <w:rsid w:val="002D7234"/>
    <w:rsid w:val="002D77F8"/>
    <w:rsid w:val="002D79C2"/>
    <w:rsid w:val="002E1206"/>
    <w:rsid w:val="002E15B9"/>
    <w:rsid w:val="002E2158"/>
    <w:rsid w:val="002E2372"/>
    <w:rsid w:val="002E26F6"/>
    <w:rsid w:val="002E5D9B"/>
    <w:rsid w:val="002E6335"/>
    <w:rsid w:val="002E7722"/>
    <w:rsid w:val="002E7D73"/>
    <w:rsid w:val="002F0293"/>
    <w:rsid w:val="002F04D9"/>
    <w:rsid w:val="002F07BA"/>
    <w:rsid w:val="002F0DA9"/>
    <w:rsid w:val="002F1042"/>
    <w:rsid w:val="002F23D8"/>
    <w:rsid w:val="002F2B59"/>
    <w:rsid w:val="002F390E"/>
    <w:rsid w:val="002F4DD0"/>
    <w:rsid w:val="002F59D2"/>
    <w:rsid w:val="002F5B3E"/>
    <w:rsid w:val="002F61EE"/>
    <w:rsid w:val="002F6282"/>
    <w:rsid w:val="002F643C"/>
    <w:rsid w:val="002F71C0"/>
    <w:rsid w:val="002F78CC"/>
    <w:rsid w:val="002F7D44"/>
    <w:rsid w:val="003007C2"/>
    <w:rsid w:val="00300A8D"/>
    <w:rsid w:val="00300CCA"/>
    <w:rsid w:val="00301017"/>
    <w:rsid w:val="0030155F"/>
    <w:rsid w:val="00302317"/>
    <w:rsid w:val="003047E8"/>
    <w:rsid w:val="0030587B"/>
    <w:rsid w:val="003058C1"/>
    <w:rsid w:val="003062B5"/>
    <w:rsid w:val="00306D98"/>
    <w:rsid w:val="003076AF"/>
    <w:rsid w:val="0030786C"/>
    <w:rsid w:val="0031031A"/>
    <w:rsid w:val="00310864"/>
    <w:rsid w:val="00310981"/>
    <w:rsid w:val="00311205"/>
    <w:rsid w:val="003118CA"/>
    <w:rsid w:val="00311D5B"/>
    <w:rsid w:val="0031337F"/>
    <w:rsid w:val="0031404A"/>
    <w:rsid w:val="00314CE7"/>
    <w:rsid w:val="00315498"/>
    <w:rsid w:val="00316013"/>
    <w:rsid w:val="003220D3"/>
    <w:rsid w:val="00322107"/>
    <w:rsid w:val="00322846"/>
    <w:rsid w:val="00323E56"/>
    <w:rsid w:val="00323E64"/>
    <w:rsid w:val="00324E4B"/>
    <w:rsid w:val="00324FBB"/>
    <w:rsid w:val="00325C1C"/>
    <w:rsid w:val="0032623C"/>
    <w:rsid w:val="00326309"/>
    <w:rsid w:val="00326DA7"/>
    <w:rsid w:val="003270E4"/>
    <w:rsid w:val="00327BE1"/>
    <w:rsid w:val="00330F5C"/>
    <w:rsid w:val="00331018"/>
    <w:rsid w:val="003322CB"/>
    <w:rsid w:val="003329DA"/>
    <w:rsid w:val="00332A50"/>
    <w:rsid w:val="00332BCB"/>
    <w:rsid w:val="00332E33"/>
    <w:rsid w:val="00333C4F"/>
    <w:rsid w:val="003342E7"/>
    <w:rsid w:val="00334E02"/>
    <w:rsid w:val="00335474"/>
    <w:rsid w:val="003356FE"/>
    <w:rsid w:val="003366C9"/>
    <w:rsid w:val="00336B1F"/>
    <w:rsid w:val="00336E7E"/>
    <w:rsid w:val="003371B0"/>
    <w:rsid w:val="00340668"/>
    <w:rsid w:val="0034079B"/>
    <w:rsid w:val="00340DF1"/>
    <w:rsid w:val="00340FC6"/>
    <w:rsid w:val="00341327"/>
    <w:rsid w:val="00342FE7"/>
    <w:rsid w:val="003436E9"/>
    <w:rsid w:val="00345421"/>
    <w:rsid w:val="00345B75"/>
    <w:rsid w:val="00345C78"/>
    <w:rsid w:val="00347694"/>
    <w:rsid w:val="00347ACE"/>
    <w:rsid w:val="003517F9"/>
    <w:rsid w:val="003520FB"/>
    <w:rsid w:val="00352397"/>
    <w:rsid w:val="003532A4"/>
    <w:rsid w:val="0035427A"/>
    <w:rsid w:val="00354372"/>
    <w:rsid w:val="003548C1"/>
    <w:rsid w:val="0035620E"/>
    <w:rsid w:val="003575E4"/>
    <w:rsid w:val="00357B4C"/>
    <w:rsid w:val="00357B8D"/>
    <w:rsid w:val="00361FC3"/>
    <w:rsid w:val="003624C4"/>
    <w:rsid w:val="00362F2D"/>
    <w:rsid w:val="0036312F"/>
    <w:rsid w:val="00363FCD"/>
    <w:rsid w:val="003646C1"/>
    <w:rsid w:val="003654AC"/>
    <w:rsid w:val="0036586D"/>
    <w:rsid w:val="00365AE2"/>
    <w:rsid w:val="00366D82"/>
    <w:rsid w:val="00367AB6"/>
    <w:rsid w:val="00367D4E"/>
    <w:rsid w:val="00367DA8"/>
    <w:rsid w:val="0037035D"/>
    <w:rsid w:val="003710CF"/>
    <w:rsid w:val="00371370"/>
    <w:rsid w:val="0037141D"/>
    <w:rsid w:val="00372975"/>
    <w:rsid w:val="0037358A"/>
    <w:rsid w:val="00373F56"/>
    <w:rsid w:val="003745E7"/>
    <w:rsid w:val="00374ECB"/>
    <w:rsid w:val="003750F6"/>
    <w:rsid w:val="0037573C"/>
    <w:rsid w:val="003760FC"/>
    <w:rsid w:val="0037670C"/>
    <w:rsid w:val="00380A30"/>
    <w:rsid w:val="00381A14"/>
    <w:rsid w:val="003833E9"/>
    <w:rsid w:val="00383570"/>
    <w:rsid w:val="0038365C"/>
    <w:rsid w:val="0038369B"/>
    <w:rsid w:val="00383B78"/>
    <w:rsid w:val="00383D60"/>
    <w:rsid w:val="00384013"/>
    <w:rsid w:val="0038487A"/>
    <w:rsid w:val="00385A68"/>
    <w:rsid w:val="00385A9D"/>
    <w:rsid w:val="00385C01"/>
    <w:rsid w:val="0038753F"/>
    <w:rsid w:val="00387C38"/>
    <w:rsid w:val="00387C88"/>
    <w:rsid w:val="00390048"/>
    <w:rsid w:val="003902B1"/>
    <w:rsid w:val="0039103E"/>
    <w:rsid w:val="00391213"/>
    <w:rsid w:val="00393078"/>
    <w:rsid w:val="00393684"/>
    <w:rsid w:val="003942B6"/>
    <w:rsid w:val="00395451"/>
    <w:rsid w:val="003962DC"/>
    <w:rsid w:val="003962E7"/>
    <w:rsid w:val="00396438"/>
    <w:rsid w:val="0039681A"/>
    <w:rsid w:val="00396896"/>
    <w:rsid w:val="00396CFE"/>
    <w:rsid w:val="00396FD0"/>
    <w:rsid w:val="00397AF9"/>
    <w:rsid w:val="003A007D"/>
    <w:rsid w:val="003A03BD"/>
    <w:rsid w:val="003A050B"/>
    <w:rsid w:val="003A0C35"/>
    <w:rsid w:val="003A15FC"/>
    <w:rsid w:val="003A1896"/>
    <w:rsid w:val="003A1A7A"/>
    <w:rsid w:val="003A2392"/>
    <w:rsid w:val="003A2831"/>
    <w:rsid w:val="003A29D7"/>
    <w:rsid w:val="003A371C"/>
    <w:rsid w:val="003A3AB0"/>
    <w:rsid w:val="003A3DEA"/>
    <w:rsid w:val="003A3ED1"/>
    <w:rsid w:val="003A48DD"/>
    <w:rsid w:val="003A4E67"/>
    <w:rsid w:val="003A5CBD"/>
    <w:rsid w:val="003A5DCE"/>
    <w:rsid w:val="003A6401"/>
    <w:rsid w:val="003A6CC4"/>
    <w:rsid w:val="003A7041"/>
    <w:rsid w:val="003A7193"/>
    <w:rsid w:val="003B0C8A"/>
    <w:rsid w:val="003B1219"/>
    <w:rsid w:val="003B153F"/>
    <w:rsid w:val="003B1962"/>
    <w:rsid w:val="003B2212"/>
    <w:rsid w:val="003B2213"/>
    <w:rsid w:val="003B29EA"/>
    <w:rsid w:val="003B3829"/>
    <w:rsid w:val="003B3C19"/>
    <w:rsid w:val="003B3DB4"/>
    <w:rsid w:val="003B405E"/>
    <w:rsid w:val="003B4326"/>
    <w:rsid w:val="003B4B15"/>
    <w:rsid w:val="003B5330"/>
    <w:rsid w:val="003B5B61"/>
    <w:rsid w:val="003B6139"/>
    <w:rsid w:val="003B6169"/>
    <w:rsid w:val="003B6922"/>
    <w:rsid w:val="003B7186"/>
    <w:rsid w:val="003C1654"/>
    <w:rsid w:val="003C19B7"/>
    <w:rsid w:val="003C2216"/>
    <w:rsid w:val="003C26AC"/>
    <w:rsid w:val="003C5864"/>
    <w:rsid w:val="003C58B9"/>
    <w:rsid w:val="003C63B2"/>
    <w:rsid w:val="003C6C6B"/>
    <w:rsid w:val="003C7409"/>
    <w:rsid w:val="003C7643"/>
    <w:rsid w:val="003C7D19"/>
    <w:rsid w:val="003C7EA1"/>
    <w:rsid w:val="003C7EF3"/>
    <w:rsid w:val="003D0090"/>
    <w:rsid w:val="003D0FD1"/>
    <w:rsid w:val="003D159E"/>
    <w:rsid w:val="003D1828"/>
    <w:rsid w:val="003D1DE4"/>
    <w:rsid w:val="003D2422"/>
    <w:rsid w:val="003D27C0"/>
    <w:rsid w:val="003D28B6"/>
    <w:rsid w:val="003D2986"/>
    <w:rsid w:val="003D368B"/>
    <w:rsid w:val="003D3761"/>
    <w:rsid w:val="003D39A1"/>
    <w:rsid w:val="003D3FBF"/>
    <w:rsid w:val="003D4312"/>
    <w:rsid w:val="003D48F1"/>
    <w:rsid w:val="003D4A30"/>
    <w:rsid w:val="003D6312"/>
    <w:rsid w:val="003D70EE"/>
    <w:rsid w:val="003D7654"/>
    <w:rsid w:val="003D76E2"/>
    <w:rsid w:val="003D76FA"/>
    <w:rsid w:val="003D79BB"/>
    <w:rsid w:val="003D7C05"/>
    <w:rsid w:val="003D7C98"/>
    <w:rsid w:val="003E0520"/>
    <w:rsid w:val="003E0543"/>
    <w:rsid w:val="003E19EF"/>
    <w:rsid w:val="003E1E84"/>
    <w:rsid w:val="003E2A09"/>
    <w:rsid w:val="003E62D5"/>
    <w:rsid w:val="003E62FE"/>
    <w:rsid w:val="003E79B2"/>
    <w:rsid w:val="003F0101"/>
    <w:rsid w:val="003F069F"/>
    <w:rsid w:val="003F09CF"/>
    <w:rsid w:val="003F0B9C"/>
    <w:rsid w:val="003F0EAE"/>
    <w:rsid w:val="003F271C"/>
    <w:rsid w:val="003F2C16"/>
    <w:rsid w:val="003F3CAD"/>
    <w:rsid w:val="003F4156"/>
    <w:rsid w:val="003F49EF"/>
    <w:rsid w:val="003F675C"/>
    <w:rsid w:val="003F7209"/>
    <w:rsid w:val="003F7846"/>
    <w:rsid w:val="003F78CA"/>
    <w:rsid w:val="003F7A2B"/>
    <w:rsid w:val="00400B29"/>
    <w:rsid w:val="00400CFE"/>
    <w:rsid w:val="00401CA2"/>
    <w:rsid w:val="00401F08"/>
    <w:rsid w:val="00403162"/>
    <w:rsid w:val="004031E0"/>
    <w:rsid w:val="00403411"/>
    <w:rsid w:val="00403584"/>
    <w:rsid w:val="00403BB7"/>
    <w:rsid w:val="004045C0"/>
    <w:rsid w:val="0040504B"/>
    <w:rsid w:val="004050B1"/>
    <w:rsid w:val="00405EC9"/>
    <w:rsid w:val="004062E0"/>
    <w:rsid w:val="0040668D"/>
    <w:rsid w:val="00406BFC"/>
    <w:rsid w:val="00410070"/>
    <w:rsid w:val="004105CF"/>
    <w:rsid w:val="00410708"/>
    <w:rsid w:val="00410EC7"/>
    <w:rsid w:val="00410F40"/>
    <w:rsid w:val="00411ADD"/>
    <w:rsid w:val="00411B39"/>
    <w:rsid w:val="00411F62"/>
    <w:rsid w:val="00413651"/>
    <w:rsid w:val="00413A1E"/>
    <w:rsid w:val="00414476"/>
    <w:rsid w:val="00414C2E"/>
    <w:rsid w:val="00414E12"/>
    <w:rsid w:val="004151CF"/>
    <w:rsid w:val="0041588B"/>
    <w:rsid w:val="00416364"/>
    <w:rsid w:val="004170DB"/>
    <w:rsid w:val="00420041"/>
    <w:rsid w:val="00420AA6"/>
    <w:rsid w:val="00420B9F"/>
    <w:rsid w:val="00421222"/>
    <w:rsid w:val="00421425"/>
    <w:rsid w:val="0042150A"/>
    <w:rsid w:val="004218C0"/>
    <w:rsid w:val="00422260"/>
    <w:rsid w:val="004226EC"/>
    <w:rsid w:val="004227B8"/>
    <w:rsid w:val="0042384B"/>
    <w:rsid w:val="00423FC6"/>
    <w:rsid w:val="0042413F"/>
    <w:rsid w:val="00424146"/>
    <w:rsid w:val="00425009"/>
    <w:rsid w:val="00425336"/>
    <w:rsid w:val="004254C3"/>
    <w:rsid w:val="0042573F"/>
    <w:rsid w:val="00425BA5"/>
    <w:rsid w:val="0043056C"/>
    <w:rsid w:val="004311F8"/>
    <w:rsid w:val="004319F8"/>
    <w:rsid w:val="00431E55"/>
    <w:rsid w:val="004321F6"/>
    <w:rsid w:val="00433044"/>
    <w:rsid w:val="00433058"/>
    <w:rsid w:val="00433DB4"/>
    <w:rsid w:val="00433DC0"/>
    <w:rsid w:val="00434E34"/>
    <w:rsid w:val="004350D4"/>
    <w:rsid w:val="00436628"/>
    <w:rsid w:val="00436D40"/>
    <w:rsid w:val="004375B9"/>
    <w:rsid w:val="00437DAA"/>
    <w:rsid w:val="00437E4D"/>
    <w:rsid w:val="004406C1"/>
    <w:rsid w:val="004428D0"/>
    <w:rsid w:val="00442EAC"/>
    <w:rsid w:val="0044318A"/>
    <w:rsid w:val="004433E1"/>
    <w:rsid w:val="00443E5F"/>
    <w:rsid w:val="004443A7"/>
    <w:rsid w:val="0044442C"/>
    <w:rsid w:val="00444540"/>
    <w:rsid w:val="004445DB"/>
    <w:rsid w:val="00444C0D"/>
    <w:rsid w:val="00445231"/>
    <w:rsid w:val="00445941"/>
    <w:rsid w:val="00445C3F"/>
    <w:rsid w:val="00446402"/>
    <w:rsid w:val="004464EB"/>
    <w:rsid w:val="00446843"/>
    <w:rsid w:val="00447BD0"/>
    <w:rsid w:val="00447D26"/>
    <w:rsid w:val="00450C73"/>
    <w:rsid w:val="00452522"/>
    <w:rsid w:val="00452B68"/>
    <w:rsid w:val="00453B25"/>
    <w:rsid w:val="00455A7C"/>
    <w:rsid w:val="00455D45"/>
    <w:rsid w:val="0045657B"/>
    <w:rsid w:val="004574CF"/>
    <w:rsid w:val="0045796A"/>
    <w:rsid w:val="00461260"/>
    <w:rsid w:val="004621FC"/>
    <w:rsid w:val="0046223C"/>
    <w:rsid w:val="00462F92"/>
    <w:rsid w:val="00463079"/>
    <w:rsid w:val="0046436A"/>
    <w:rsid w:val="00464595"/>
    <w:rsid w:val="004645F7"/>
    <w:rsid w:val="00466407"/>
    <w:rsid w:val="004667E1"/>
    <w:rsid w:val="004677F9"/>
    <w:rsid w:val="00467BFE"/>
    <w:rsid w:val="004719EE"/>
    <w:rsid w:val="00471B8C"/>
    <w:rsid w:val="00472A79"/>
    <w:rsid w:val="00473F19"/>
    <w:rsid w:val="00475A6A"/>
    <w:rsid w:val="00475E22"/>
    <w:rsid w:val="00475F54"/>
    <w:rsid w:val="00476E50"/>
    <w:rsid w:val="00476FF9"/>
    <w:rsid w:val="0048088E"/>
    <w:rsid w:val="004814A1"/>
    <w:rsid w:val="00481564"/>
    <w:rsid w:val="00481B38"/>
    <w:rsid w:val="004825AC"/>
    <w:rsid w:val="00482720"/>
    <w:rsid w:val="00483407"/>
    <w:rsid w:val="004835E7"/>
    <w:rsid w:val="00483D6C"/>
    <w:rsid w:val="0048479D"/>
    <w:rsid w:val="00484E8A"/>
    <w:rsid w:val="00485475"/>
    <w:rsid w:val="004861F5"/>
    <w:rsid w:val="004867E2"/>
    <w:rsid w:val="00487434"/>
    <w:rsid w:val="004874C7"/>
    <w:rsid w:val="00487B5D"/>
    <w:rsid w:val="0049019C"/>
    <w:rsid w:val="0049068E"/>
    <w:rsid w:val="00490C9E"/>
    <w:rsid w:val="0049167D"/>
    <w:rsid w:val="004916A7"/>
    <w:rsid w:val="00491B3A"/>
    <w:rsid w:val="0049225E"/>
    <w:rsid w:val="00492CFD"/>
    <w:rsid w:val="00494DD5"/>
    <w:rsid w:val="004951C8"/>
    <w:rsid w:val="004953F6"/>
    <w:rsid w:val="004962D2"/>
    <w:rsid w:val="00496585"/>
    <w:rsid w:val="00496A36"/>
    <w:rsid w:val="00496A55"/>
    <w:rsid w:val="00496D99"/>
    <w:rsid w:val="00497938"/>
    <w:rsid w:val="004A04A2"/>
    <w:rsid w:val="004A0891"/>
    <w:rsid w:val="004A0DA1"/>
    <w:rsid w:val="004A2449"/>
    <w:rsid w:val="004A26CD"/>
    <w:rsid w:val="004A4B69"/>
    <w:rsid w:val="004A4ECF"/>
    <w:rsid w:val="004A50F9"/>
    <w:rsid w:val="004A52E9"/>
    <w:rsid w:val="004A5AE4"/>
    <w:rsid w:val="004A5C86"/>
    <w:rsid w:val="004A651E"/>
    <w:rsid w:val="004A6597"/>
    <w:rsid w:val="004A68B5"/>
    <w:rsid w:val="004A7848"/>
    <w:rsid w:val="004A787C"/>
    <w:rsid w:val="004B10F1"/>
    <w:rsid w:val="004B11C5"/>
    <w:rsid w:val="004B1CB4"/>
    <w:rsid w:val="004B2AD6"/>
    <w:rsid w:val="004B2F18"/>
    <w:rsid w:val="004B311D"/>
    <w:rsid w:val="004B3A26"/>
    <w:rsid w:val="004B3DDB"/>
    <w:rsid w:val="004B44FD"/>
    <w:rsid w:val="004B5CFC"/>
    <w:rsid w:val="004B6383"/>
    <w:rsid w:val="004B774D"/>
    <w:rsid w:val="004B7A69"/>
    <w:rsid w:val="004C065A"/>
    <w:rsid w:val="004C0901"/>
    <w:rsid w:val="004C31AC"/>
    <w:rsid w:val="004C381C"/>
    <w:rsid w:val="004C4123"/>
    <w:rsid w:val="004C4AED"/>
    <w:rsid w:val="004C608A"/>
    <w:rsid w:val="004C6D31"/>
    <w:rsid w:val="004D07BC"/>
    <w:rsid w:val="004D18E6"/>
    <w:rsid w:val="004D2C2D"/>
    <w:rsid w:val="004D3A0B"/>
    <w:rsid w:val="004D3AEB"/>
    <w:rsid w:val="004D49EB"/>
    <w:rsid w:val="004D4E96"/>
    <w:rsid w:val="004D4F04"/>
    <w:rsid w:val="004D558B"/>
    <w:rsid w:val="004D5FA1"/>
    <w:rsid w:val="004D6150"/>
    <w:rsid w:val="004D7227"/>
    <w:rsid w:val="004D7359"/>
    <w:rsid w:val="004D7542"/>
    <w:rsid w:val="004D7A30"/>
    <w:rsid w:val="004E0E7F"/>
    <w:rsid w:val="004E0EB8"/>
    <w:rsid w:val="004E0F49"/>
    <w:rsid w:val="004E16FE"/>
    <w:rsid w:val="004E251A"/>
    <w:rsid w:val="004E2ADC"/>
    <w:rsid w:val="004E43B2"/>
    <w:rsid w:val="004E43E2"/>
    <w:rsid w:val="004E45C0"/>
    <w:rsid w:val="004E59F6"/>
    <w:rsid w:val="004E5C8B"/>
    <w:rsid w:val="004E5D34"/>
    <w:rsid w:val="004E6463"/>
    <w:rsid w:val="004E7837"/>
    <w:rsid w:val="004F0604"/>
    <w:rsid w:val="004F071A"/>
    <w:rsid w:val="004F0DAC"/>
    <w:rsid w:val="004F0FE6"/>
    <w:rsid w:val="004F1A3D"/>
    <w:rsid w:val="004F1D02"/>
    <w:rsid w:val="004F1FAA"/>
    <w:rsid w:val="004F2679"/>
    <w:rsid w:val="004F2A61"/>
    <w:rsid w:val="004F2F21"/>
    <w:rsid w:val="004F3728"/>
    <w:rsid w:val="004F3A87"/>
    <w:rsid w:val="004F3ED1"/>
    <w:rsid w:val="004F3F6A"/>
    <w:rsid w:val="004F4CC7"/>
    <w:rsid w:val="004F67D4"/>
    <w:rsid w:val="004F6913"/>
    <w:rsid w:val="004F7865"/>
    <w:rsid w:val="00501C60"/>
    <w:rsid w:val="00502002"/>
    <w:rsid w:val="0050219B"/>
    <w:rsid w:val="005032D8"/>
    <w:rsid w:val="00503F17"/>
    <w:rsid w:val="00504477"/>
    <w:rsid w:val="005046A0"/>
    <w:rsid w:val="00504EE6"/>
    <w:rsid w:val="005055C0"/>
    <w:rsid w:val="00506928"/>
    <w:rsid w:val="00507EE5"/>
    <w:rsid w:val="00511026"/>
    <w:rsid w:val="005114A6"/>
    <w:rsid w:val="0051290A"/>
    <w:rsid w:val="00512F5D"/>
    <w:rsid w:val="00513072"/>
    <w:rsid w:val="005130E7"/>
    <w:rsid w:val="00514863"/>
    <w:rsid w:val="005152B5"/>
    <w:rsid w:val="005158E9"/>
    <w:rsid w:val="00515DBB"/>
    <w:rsid w:val="00516090"/>
    <w:rsid w:val="00516175"/>
    <w:rsid w:val="00517105"/>
    <w:rsid w:val="00517321"/>
    <w:rsid w:val="005177D3"/>
    <w:rsid w:val="005200E2"/>
    <w:rsid w:val="005209C4"/>
    <w:rsid w:val="00520C34"/>
    <w:rsid w:val="00521319"/>
    <w:rsid w:val="00521B23"/>
    <w:rsid w:val="00522508"/>
    <w:rsid w:val="00522854"/>
    <w:rsid w:val="00522BC8"/>
    <w:rsid w:val="005231B8"/>
    <w:rsid w:val="00523B39"/>
    <w:rsid w:val="00523C28"/>
    <w:rsid w:val="00523C3B"/>
    <w:rsid w:val="00523D05"/>
    <w:rsid w:val="0052448F"/>
    <w:rsid w:val="0052496A"/>
    <w:rsid w:val="0052562D"/>
    <w:rsid w:val="00527469"/>
    <w:rsid w:val="00530241"/>
    <w:rsid w:val="0053057C"/>
    <w:rsid w:val="00530915"/>
    <w:rsid w:val="00530950"/>
    <w:rsid w:val="00530D2D"/>
    <w:rsid w:val="00531FD3"/>
    <w:rsid w:val="00532D6A"/>
    <w:rsid w:val="0053324F"/>
    <w:rsid w:val="005337BC"/>
    <w:rsid w:val="005347F1"/>
    <w:rsid w:val="00534EAE"/>
    <w:rsid w:val="005352F0"/>
    <w:rsid w:val="00535388"/>
    <w:rsid w:val="005359C1"/>
    <w:rsid w:val="00536125"/>
    <w:rsid w:val="00536F42"/>
    <w:rsid w:val="00537182"/>
    <w:rsid w:val="00537972"/>
    <w:rsid w:val="00537F01"/>
    <w:rsid w:val="00540D9C"/>
    <w:rsid w:val="00541135"/>
    <w:rsid w:val="00542743"/>
    <w:rsid w:val="00542C2D"/>
    <w:rsid w:val="00543D80"/>
    <w:rsid w:val="00544642"/>
    <w:rsid w:val="00545BAF"/>
    <w:rsid w:val="0054765A"/>
    <w:rsid w:val="00547A7A"/>
    <w:rsid w:val="00550F45"/>
    <w:rsid w:val="00551322"/>
    <w:rsid w:val="00551985"/>
    <w:rsid w:val="00551A51"/>
    <w:rsid w:val="00552BD3"/>
    <w:rsid w:val="00553700"/>
    <w:rsid w:val="0055421A"/>
    <w:rsid w:val="005542CB"/>
    <w:rsid w:val="00554496"/>
    <w:rsid w:val="005548A3"/>
    <w:rsid w:val="00555109"/>
    <w:rsid w:val="005555F5"/>
    <w:rsid w:val="00556CE9"/>
    <w:rsid w:val="00557A06"/>
    <w:rsid w:val="00560848"/>
    <w:rsid w:val="0056095E"/>
    <w:rsid w:val="00560C0E"/>
    <w:rsid w:val="005623B9"/>
    <w:rsid w:val="00565275"/>
    <w:rsid w:val="005666EB"/>
    <w:rsid w:val="0056696F"/>
    <w:rsid w:val="00566979"/>
    <w:rsid w:val="00566C06"/>
    <w:rsid w:val="00567809"/>
    <w:rsid w:val="00570ADC"/>
    <w:rsid w:val="00572269"/>
    <w:rsid w:val="0057244A"/>
    <w:rsid w:val="005739E6"/>
    <w:rsid w:val="005755D0"/>
    <w:rsid w:val="00575D8D"/>
    <w:rsid w:val="00575F0B"/>
    <w:rsid w:val="00576972"/>
    <w:rsid w:val="00577CDB"/>
    <w:rsid w:val="00577CFD"/>
    <w:rsid w:val="0058035C"/>
    <w:rsid w:val="00583699"/>
    <w:rsid w:val="00583A7A"/>
    <w:rsid w:val="00583F97"/>
    <w:rsid w:val="0058480B"/>
    <w:rsid w:val="00584E87"/>
    <w:rsid w:val="00584F1A"/>
    <w:rsid w:val="005859EF"/>
    <w:rsid w:val="00585CDD"/>
    <w:rsid w:val="0058674D"/>
    <w:rsid w:val="005867FF"/>
    <w:rsid w:val="00587058"/>
    <w:rsid w:val="00587606"/>
    <w:rsid w:val="005876A8"/>
    <w:rsid w:val="00587E5E"/>
    <w:rsid w:val="0059021B"/>
    <w:rsid w:val="00590A90"/>
    <w:rsid w:val="00591780"/>
    <w:rsid w:val="00591893"/>
    <w:rsid w:val="00591957"/>
    <w:rsid w:val="00591A07"/>
    <w:rsid w:val="00591B06"/>
    <w:rsid w:val="00594277"/>
    <w:rsid w:val="00594947"/>
    <w:rsid w:val="00595638"/>
    <w:rsid w:val="00597BF9"/>
    <w:rsid w:val="005A07DC"/>
    <w:rsid w:val="005A0D30"/>
    <w:rsid w:val="005A373D"/>
    <w:rsid w:val="005A3A46"/>
    <w:rsid w:val="005A5875"/>
    <w:rsid w:val="005A5989"/>
    <w:rsid w:val="005A77BA"/>
    <w:rsid w:val="005B0616"/>
    <w:rsid w:val="005B0941"/>
    <w:rsid w:val="005B2CD1"/>
    <w:rsid w:val="005B3E9E"/>
    <w:rsid w:val="005B477C"/>
    <w:rsid w:val="005B492C"/>
    <w:rsid w:val="005B4AC8"/>
    <w:rsid w:val="005B57ED"/>
    <w:rsid w:val="005B5857"/>
    <w:rsid w:val="005B6204"/>
    <w:rsid w:val="005B723D"/>
    <w:rsid w:val="005B74ED"/>
    <w:rsid w:val="005C144C"/>
    <w:rsid w:val="005C1B83"/>
    <w:rsid w:val="005C1E26"/>
    <w:rsid w:val="005C1E8D"/>
    <w:rsid w:val="005C2D0A"/>
    <w:rsid w:val="005C2D55"/>
    <w:rsid w:val="005C31EA"/>
    <w:rsid w:val="005C346B"/>
    <w:rsid w:val="005C3589"/>
    <w:rsid w:val="005C3AAE"/>
    <w:rsid w:val="005C43DB"/>
    <w:rsid w:val="005C4639"/>
    <w:rsid w:val="005C54FB"/>
    <w:rsid w:val="005C5A04"/>
    <w:rsid w:val="005C5CA9"/>
    <w:rsid w:val="005C6A5F"/>
    <w:rsid w:val="005C6C7D"/>
    <w:rsid w:val="005C7020"/>
    <w:rsid w:val="005C714B"/>
    <w:rsid w:val="005C7E53"/>
    <w:rsid w:val="005D027C"/>
    <w:rsid w:val="005D044D"/>
    <w:rsid w:val="005D0ABD"/>
    <w:rsid w:val="005D0EF0"/>
    <w:rsid w:val="005D1458"/>
    <w:rsid w:val="005D1782"/>
    <w:rsid w:val="005D18AD"/>
    <w:rsid w:val="005D26B4"/>
    <w:rsid w:val="005D26D6"/>
    <w:rsid w:val="005D4CD2"/>
    <w:rsid w:val="005D503A"/>
    <w:rsid w:val="005D5683"/>
    <w:rsid w:val="005D7C5C"/>
    <w:rsid w:val="005E03C5"/>
    <w:rsid w:val="005E12F0"/>
    <w:rsid w:val="005E3171"/>
    <w:rsid w:val="005E3373"/>
    <w:rsid w:val="005E3F04"/>
    <w:rsid w:val="005E3F18"/>
    <w:rsid w:val="005E4110"/>
    <w:rsid w:val="005E4175"/>
    <w:rsid w:val="005E46B8"/>
    <w:rsid w:val="005E4EAF"/>
    <w:rsid w:val="005E643E"/>
    <w:rsid w:val="005E6CBC"/>
    <w:rsid w:val="005E73C0"/>
    <w:rsid w:val="005E773B"/>
    <w:rsid w:val="005F0160"/>
    <w:rsid w:val="005F0A01"/>
    <w:rsid w:val="005F17DF"/>
    <w:rsid w:val="005F19DA"/>
    <w:rsid w:val="005F24C4"/>
    <w:rsid w:val="005F2706"/>
    <w:rsid w:val="005F32DB"/>
    <w:rsid w:val="005F37D2"/>
    <w:rsid w:val="005F3B63"/>
    <w:rsid w:val="005F3E0D"/>
    <w:rsid w:val="005F52A8"/>
    <w:rsid w:val="005F6A3A"/>
    <w:rsid w:val="005F6A8F"/>
    <w:rsid w:val="005F6E9A"/>
    <w:rsid w:val="005F7100"/>
    <w:rsid w:val="005F71EA"/>
    <w:rsid w:val="005F75C0"/>
    <w:rsid w:val="00600DDC"/>
    <w:rsid w:val="00601B0E"/>
    <w:rsid w:val="00603478"/>
    <w:rsid w:val="006036B4"/>
    <w:rsid w:val="00603834"/>
    <w:rsid w:val="00603DB9"/>
    <w:rsid w:val="006049AC"/>
    <w:rsid w:val="00605DC1"/>
    <w:rsid w:val="00606531"/>
    <w:rsid w:val="00606565"/>
    <w:rsid w:val="00606B72"/>
    <w:rsid w:val="00607407"/>
    <w:rsid w:val="006075C2"/>
    <w:rsid w:val="00607669"/>
    <w:rsid w:val="00607AFD"/>
    <w:rsid w:val="00607E2D"/>
    <w:rsid w:val="00607EBC"/>
    <w:rsid w:val="00611073"/>
    <w:rsid w:val="006110C8"/>
    <w:rsid w:val="00612783"/>
    <w:rsid w:val="006127C9"/>
    <w:rsid w:val="00612F97"/>
    <w:rsid w:val="0061345D"/>
    <w:rsid w:val="006139A5"/>
    <w:rsid w:val="006146C4"/>
    <w:rsid w:val="00614B31"/>
    <w:rsid w:val="00616023"/>
    <w:rsid w:val="00616802"/>
    <w:rsid w:val="00617E12"/>
    <w:rsid w:val="00621477"/>
    <w:rsid w:val="00621C2C"/>
    <w:rsid w:val="00622AC6"/>
    <w:rsid w:val="006237B3"/>
    <w:rsid w:val="00623F06"/>
    <w:rsid w:val="006252FF"/>
    <w:rsid w:val="00625759"/>
    <w:rsid w:val="00625B99"/>
    <w:rsid w:val="00626835"/>
    <w:rsid w:val="0063158F"/>
    <w:rsid w:val="00631D6B"/>
    <w:rsid w:val="00631ED5"/>
    <w:rsid w:val="00632FD9"/>
    <w:rsid w:val="006330A1"/>
    <w:rsid w:val="0063372A"/>
    <w:rsid w:val="00633A4A"/>
    <w:rsid w:val="00633B6E"/>
    <w:rsid w:val="0063422C"/>
    <w:rsid w:val="00634799"/>
    <w:rsid w:val="0063479F"/>
    <w:rsid w:val="006353F0"/>
    <w:rsid w:val="00635DAB"/>
    <w:rsid w:val="006361FD"/>
    <w:rsid w:val="006364A1"/>
    <w:rsid w:val="006368C2"/>
    <w:rsid w:val="0063764A"/>
    <w:rsid w:val="00637BFD"/>
    <w:rsid w:val="00637E31"/>
    <w:rsid w:val="006401FC"/>
    <w:rsid w:val="006405D9"/>
    <w:rsid w:val="0064065F"/>
    <w:rsid w:val="006409CF"/>
    <w:rsid w:val="00640F19"/>
    <w:rsid w:val="006417B6"/>
    <w:rsid w:val="00641C3D"/>
    <w:rsid w:val="00641C4E"/>
    <w:rsid w:val="0064263A"/>
    <w:rsid w:val="006432BD"/>
    <w:rsid w:val="00644684"/>
    <w:rsid w:val="00644883"/>
    <w:rsid w:val="006450E4"/>
    <w:rsid w:val="0064622F"/>
    <w:rsid w:val="006465C5"/>
    <w:rsid w:val="006471CC"/>
    <w:rsid w:val="006473D7"/>
    <w:rsid w:val="00647425"/>
    <w:rsid w:val="0064772F"/>
    <w:rsid w:val="0064779E"/>
    <w:rsid w:val="00647CB7"/>
    <w:rsid w:val="00650439"/>
    <w:rsid w:val="0065079F"/>
    <w:rsid w:val="00650F57"/>
    <w:rsid w:val="00651AAC"/>
    <w:rsid w:val="00652F0D"/>
    <w:rsid w:val="006536E9"/>
    <w:rsid w:val="0065379F"/>
    <w:rsid w:val="0065391A"/>
    <w:rsid w:val="00655192"/>
    <w:rsid w:val="006555E8"/>
    <w:rsid w:val="00655735"/>
    <w:rsid w:val="00655901"/>
    <w:rsid w:val="00656380"/>
    <w:rsid w:val="00657006"/>
    <w:rsid w:val="0065775B"/>
    <w:rsid w:val="006600BA"/>
    <w:rsid w:val="00660B51"/>
    <w:rsid w:val="00661C6B"/>
    <w:rsid w:val="006631EE"/>
    <w:rsid w:val="006639F2"/>
    <w:rsid w:val="00664A4C"/>
    <w:rsid w:val="00664D03"/>
    <w:rsid w:val="00664D85"/>
    <w:rsid w:val="00665FAE"/>
    <w:rsid w:val="00667B9F"/>
    <w:rsid w:val="00667BC8"/>
    <w:rsid w:val="00667BFF"/>
    <w:rsid w:val="00670232"/>
    <w:rsid w:val="00670455"/>
    <w:rsid w:val="00671334"/>
    <w:rsid w:val="0067216E"/>
    <w:rsid w:val="00672401"/>
    <w:rsid w:val="00674873"/>
    <w:rsid w:val="00674E42"/>
    <w:rsid w:val="006755FF"/>
    <w:rsid w:val="00675804"/>
    <w:rsid w:val="00676012"/>
    <w:rsid w:val="00677CA0"/>
    <w:rsid w:val="006807A3"/>
    <w:rsid w:val="00680B7C"/>
    <w:rsid w:val="00680F0D"/>
    <w:rsid w:val="006811F5"/>
    <w:rsid w:val="00682112"/>
    <w:rsid w:val="006836BA"/>
    <w:rsid w:val="00683D3B"/>
    <w:rsid w:val="00684B28"/>
    <w:rsid w:val="006850BF"/>
    <w:rsid w:val="006863B8"/>
    <w:rsid w:val="00686957"/>
    <w:rsid w:val="0068698E"/>
    <w:rsid w:val="00686E76"/>
    <w:rsid w:val="006872BA"/>
    <w:rsid w:val="006872CF"/>
    <w:rsid w:val="00687345"/>
    <w:rsid w:val="00687FF2"/>
    <w:rsid w:val="0069057D"/>
    <w:rsid w:val="00690F9F"/>
    <w:rsid w:val="006911C5"/>
    <w:rsid w:val="00691295"/>
    <w:rsid w:val="00691648"/>
    <w:rsid w:val="00691658"/>
    <w:rsid w:val="006917D7"/>
    <w:rsid w:val="00691A68"/>
    <w:rsid w:val="00692560"/>
    <w:rsid w:val="00692866"/>
    <w:rsid w:val="0069353D"/>
    <w:rsid w:val="00693747"/>
    <w:rsid w:val="00694F44"/>
    <w:rsid w:val="00695777"/>
    <w:rsid w:val="00695A0E"/>
    <w:rsid w:val="00695E39"/>
    <w:rsid w:val="00696886"/>
    <w:rsid w:val="006A1FBF"/>
    <w:rsid w:val="006A2144"/>
    <w:rsid w:val="006A27F0"/>
    <w:rsid w:val="006A2BC9"/>
    <w:rsid w:val="006A5870"/>
    <w:rsid w:val="006A5FA9"/>
    <w:rsid w:val="006A715D"/>
    <w:rsid w:val="006A7E5F"/>
    <w:rsid w:val="006A7FFA"/>
    <w:rsid w:val="006B04AE"/>
    <w:rsid w:val="006B1522"/>
    <w:rsid w:val="006B1DFB"/>
    <w:rsid w:val="006B21D9"/>
    <w:rsid w:val="006B24DC"/>
    <w:rsid w:val="006B261B"/>
    <w:rsid w:val="006B2C90"/>
    <w:rsid w:val="006B33ED"/>
    <w:rsid w:val="006B39E2"/>
    <w:rsid w:val="006B3A6D"/>
    <w:rsid w:val="006B5AC7"/>
    <w:rsid w:val="006B5C0F"/>
    <w:rsid w:val="006B5CAE"/>
    <w:rsid w:val="006B5DB1"/>
    <w:rsid w:val="006B66D7"/>
    <w:rsid w:val="006B6C86"/>
    <w:rsid w:val="006B6DD0"/>
    <w:rsid w:val="006B6EAF"/>
    <w:rsid w:val="006C00E8"/>
    <w:rsid w:val="006C15E2"/>
    <w:rsid w:val="006C29E7"/>
    <w:rsid w:val="006C2A8E"/>
    <w:rsid w:val="006C52B3"/>
    <w:rsid w:val="006C5A24"/>
    <w:rsid w:val="006C6465"/>
    <w:rsid w:val="006C6C46"/>
    <w:rsid w:val="006C6CFE"/>
    <w:rsid w:val="006C7029"/>
    <w:rsid w:val="006C7BB2"/>
    <w:rsid w:val="006C7ED0"/>
    <w:rsid w:val="006D07A6"/>
    <w:rsid w:val="006D1151"/>
    <w:rsid w:val="006D15B4"/>
    <w:rsid w:val="006D15F8"/>
    <w:rsid w:val="006D196F"/>
    <w:rsid w:val="006D2E09"/>
    <w:rsid w:val="006D3835"/>
    <w:rsid w:val="006D3C7D"/>
    <w:rsid w:val="006D44B7"/>
    <w:rsid w:val="006D5D5F"/>
    <w:rsid w:val="006D62C0"/>
    <w:rsid w:val="006D686F"/>
    <w:rsid w:val="006D7F49"/>
    <w:rsid w:val="006E063C"/>
    <w:rsid w:val="006E167F"/>
    <w:rsid w:val="006E1AAA"/>
    <w:rsid w:val="006E1C8A"/>
    <w:rsid w:val="006E287A"/>
    <w:rsid w:val="006E3385"/>
    <w:rsid w:val="006E4B38"/>
    <w:rsid w:val="006E6F30"/>
    <w:rsid w:val="006E7800"/>
    <w:rsid w:val="006E799A"/>
    <w:rsid w:val="006F0352"/>
    <w:rsid w:val="006F0BF3"/>
    <w:rsid w:val="006F0ECA"/>
    <w:rsid w:val="006F1745"/>
    <w:rsid w:val="006F1EA9"/>
    <w:rsid w:val="006F306C"/>
    <w:rsid w:val="006F3B63"/>
    <w:rsid w:val="006F3B93"/>
    <w:rsid w:val="006F3BCF"/>
    <w:rsid w:val="006F3DF6"/>
    <w:rsid w:val="006F42AE"/>
    <w:rsid w:val="006F4BD5"/>
    <w:rsid w:val="006F5B17"/>
    <w:rsid w:val="006F63A5"/>
    <w:rsid w:val="00700F2C"/>
    <w:rsid w:val="0070142B"/>
    <w:rsid w:val="0070276E"/>
    <w:rsid w:val="0070287F"/>
    <w:rsid w:val="00702F8F"/>
    <w:rsid w:val="00702FFE"/>
    <w:rsid w:val="00703537"/>
    <w:rsid w:val="00704B64"/>
    <w:rsid w:val="0070505C"/>
    <w:rsid w:val="00705A4C"/>
    <w:rsid w:val="00706C80"/>
    <w:rsid w:val="00707FB2"/>
    <w:rsid w:val="00710936"/>
    <w:rsid w:val="00710E63"/>
    <w:rsid w:val="00711A36"/>
    <w:rsid w:val="00713152"/>
    <w:rsid w:val="00714883"/>
    <w:rsid w:val="00714C8B"/>
    <w:rsid w:val="0071529C"/>
    <w:rsid w:val="007152ED"/>
    <w:rsid w:val="007172AD"/>
    <w:rsid w:val="00717439"/>
    <w:rsid w:val="00722B1B"/>
    <w:rsid w:val="00723D3C"/>
    <w:rsid w:val="00723D92"/>
    <w:rsid w:val="0072416F"/>
    <w:rsid w:val="00724873"/>
    <w:rsid w:val="007258D8"/>
    <w:rsid w:val="0072701E"/>
    <w:rsid w:val="00727B37"/>
    <w:rsid w:val="00727C94"/>
    <w:rsid w:val="00730F7E"/>
    <w:rsid w:val="00731814"/>
    <w:rsid w:val="00731EAE"/>
    <w:rsid w:val="00731ECE"/>
    <w:rsid w:val="00732D43"/>
    <w:rsid w:val="0073402E"/>
    <w:rsid w:val="007340F4"/>
    <w:rsid w:val="0073453A"/>
    <w:rsid w:val="00734C26"/>
    <w:rsid w:val="00735033"/>
    <w:rsid w:val="00735328"/>
    <w:rsid w:val="0073685B"/>
    <w:rsid w:val="00737F54"/>
    <w:rsid w:val="00740DDD"/>
    <w:rsid w:val="007413E4"/>
    <w:rsid w:val="00741881"/>
    <w:rsid w:val="00741F4E"/>
    <w:rsid w:val="00742812"/>
    <w:rsid w:val="00742F9F"/>
    <w:rsid w:val="007437AE"/>
    <w:rsid w:val="007444EE"/>
    <w:rsid w:val="00744936"/>
    <w:rsid w:val="00744BAF"/>
    <w:rsid w:val="007450FF"/>
    <w:rsid w:val="00745AF3"/>
    <w:rsid w:val="00746223"/>
    <w:rsid w:val="00746405"/>
    <w:rsid w:val="00746FFC"/>
    <w:rsid w:val="00747FD3"/>
    <w:rsid w:val="0075131B"/>
    <w:rsid w:val="0075191B"/>
    <w:rsid w:val="00751BF0"/>
    <w:rsid w:val="00752142"/>
    <w:rsid w:val="007523F9"/>
    <w:rsid w:val="0075339C"/>
    <w:rsid w:val="00753D5B"/>
    <w:rsid w:val="0075574F"/>
    <w:rsid w:val="00756373"/>
    <w:rsid w:val="0075695D"/>
    <w:rsid w:val="00756F83"/>
    <w:rsid w:val="00757031"/>
    <w:rsid w:val="0075712F"/>
    <w:rsid w:val="00757220"/>
    <w:rsid w:val="007573E8"/>
    <w:rsid w:val="00757F6F"/>
    <w:rsid w:val="00757FC6"/>
    <w:rsid w:val="007603B4"/>
    <w:rsid w:val="00760C4E"/>
    <w:rsid w:val="00760E84"/>
    <w:rsid w:val="007621B2"/>
    <w:rsid w:val="007635E5"/>
    <w:rsid w:val="00764E2E"/>
    <w:rsid w:val="00765611"/>
    <w:rsid w:val="00765A2C"/>
    <w:rsid w:val="00765B1A"/>
    <w:rsid w:val="00765DB3"/>
    <w:rsid w:val="007664F3"/>
    <w:rsid w:val="00766C49"/>
    <w:rsid w:val="0077078E"/>
    <w:rsid w:val="00770A08"/>
    <w:rsid w:val="007722EF"/>
    <w:rsid w:val="00773FDB"/>
    <w:rsid w:val="00774842"/>
    <w:rsid w:val="0078020B"/>
    <w:rsid w:val="00783C1A"/>
    <w:rsid w:val="007843F2"/>
    <w:rsid w:val="00784D55"/>
    <w:rsid w:val="0078687C"/>
    <w:rsid w:val="007879CE"/>
    <w:rsid w:val="00790137"/>
    <w:rsid w:val="007901BC"/>
    <w:rsid w:val="007901D4"/>
    <w:rsid w:val="0079089E"/>
    <w:rsid w:val="007915FB"/>
    <w:rsid w:val="0079182A"/>
    <w:rsid w:val="00792F67"/>
    <w:rsid w:val="00793BD4"/>
    <w:rsid w:val="00794724"/>
    <w:rsid w:val="00795133"/>
    <w:rsid w:val="0079547A"/>
    <w:rsid w:val="00796CBF"/>
    <w:rsid w:val="00797898"/>
    <w:rsid w:val="007A0A12"/>
    <w:rsid w:val="007A132D"/>
    <w:rsid w:val="007A1FB8"/>
    <w:rsid w:val="007A2E7B"/>
    <w:rsid w:val="007A3990"/>
    <w:rsid w:val="007A3B07"/>
    <w:rsid w:val="007A5B26"/>
    <w:rsid w:val="007A6548"/>
    <w:rsid w:val="007A69EF"/>
    <w:rsid w:val="007A7165"/>
    <w:rsid w:val="007A75EA"/>
    <w:rsid w:val="007A7D2F"/>
    <w:rsid w:val="007A7EF7"/>
    <w:rsid w:val="007B0817"/>
    <w:rsid w:val="007B0BE5"/>
    <w:rsid w:val="007B0D68"/>
    <w:rsid w:val="007B13F9"/>
    <w:rsid w:val="007B1B1F"/>
    <w:rsid w:val="007B2017"/>
    <w:rsid w:val="007B251D"/>
    <w:rsid w:val="007B2AA2"/>
    <w:rsid w:val="007B30FA"/>
    <w:rsid w:val="007B3399"/>
    <w:rsid w:val="007B33B7"/>
    <w:rsid w:val="007B3820"/>
    <w:rsid w:val="007B4F58"/>
    <w:rsid w:val="007B50A2"/>
    <w:rsid w:val="007B528D"/>
    <w:rsid w:val="007B5339"/>
    <w:rsid w:val="007B634D"/>
    <w:rsid w:val="007B6797"/>
    <w:rsid w:val="007B6E9B"/>
    <w:rsid w:val="007B7308"/>
    <w:rsid w:val="007B77D1"/>
    <w:rsid w:val="007C137B"/>
    <w:rsid w:val="007C1B8D"/>
    <w:rsid w:val="007C1CD9"/>
    <w:rsid w:val="007C361D"/>
    <w:rsid w:val="007C4AAB"/>
    <w:rsid w:val="007C4B84"/>
    <w:rsid w:val="007C54BA"/>
    <w:rsid w:val="007C5753"/>
    <w:rsid w:val="007C746D"/>
    <w:rsid w:val="007C7DC0"/>
    <w:rsid w:val="007D0020"/>
    <w:rsid w:val="007D004F"/>
    <w:rsid w:val="007D0665"/>
    <w:rsid w:val="007D07D0"/>
    <w:rsid w:val="007D0B38"/>
    <w:rsid w:val="007D1156"/>
    <w:rsid w:val="007D1386"/>
    <w:rsid w:val="007D17F8"/>
    <w:rsid w:val="007D1E05"/>
    <w:rsid w:val="007D3626"/>
    <w:rsid w:val="007D3DB8"/>
    <w:rsid w:val="007D470A"/>
    <w:rsid w:val="007D4C2D"/>
    <w:rsid w:val="007D4DBB"/>
    <w:rsid w:val="007D5440"/>
    <w:rsid w:val="007D5FE8"/>
    <w:rsid w:val="007D668D"/>
    <w:rsid w:val="007D7B2B"/>
    <w:rsid w:val="007E1F11"/>
    <w:rsid w:val="007E2B17"/>
    <w:rsid w:val="007E3DDF"/>
    <w:rsid w:val="007E466E"/>
    <w:rsid w:val="007E571C"/>
    <w:rsid w:val="007E5939"/>
    <w:rsid w:val="007E5B36"/>
    <w:rsid w:val="007E5F0E"/>
    <w:rsid w:val="007E623D"/>
    <w:rsid w:val="007E688A"/>
    <w:rsid w:val="007F05B5"/>
    <w:rsid w:val="007F072B"/>
    <w:rsid w:val="007F0FD4"/>
    <w:rsid w:val="007F1017"/>
    <w:rsid w:val="007F2E58"/>
    <w:rsid w:val="007F34D6"/>
    <w:rsid w:val="007F3D68"/>
    <w:rsid w:val="007F42D2"/>
    <w:rsid w:val="007F47EC"/>
    <w:rsid w:val="007F4832"/>
    <w:rsid w:val="007F4A3F"/>
    <w:rsid w:val="007F4A61"/>
    <w:rsid w:val="007F5343"/>
    <w:rsid w:val="007F57B0"/>
    <w:rsid w:val="007F5B74"/>
    <w:rsid w:val="007F5E54"/>
    <w:rsid w:val="007F5F14"/>
    <w:rsid w:val="007F61C2"/>
    <w:rsid w:val="007F700F"/>
    <w:rsid w:val="007F7ABB"/>
    <w:rsid w:val="007F7E79"/>
    <w:rsid w:val="00800428"/>
    <w:rsid w:val="0080086B"/>
    <w:rsid w:val="00800F9C"/>
    <w:rsid w:val="0080146C"/>
    <w:rsid w:val="00802C41"/>
    <w:rsid w:val="00803C3A"/>
    <w:rsid w:val="008040A2"/>
    <w:rsid w:val="008041CE"/>
    <w:rsid w:val="00804E57"/>
    <w:rsid w:val="00805142"/>
    <w:rsid w:val="0080612A"/>
    <w:rsid w:val="008067B1"/>
    <w:rsid w:val="008069A6"/>
    <w:rsid w:val="00806A44"/>
    <w:rsid w:val="00806F1A"/>
    <w:rsid w:val="0080793F"/>
    <w:rsid w:val="00807A8B"/>
    <w:rsid w:val="00811383"/>
    <w:rsid w:val="00812149"/>
    <w:rsid w:val="00812CAC"/>
    <w:rsid w:val="00813B5D"/>
    <w:rsid w:val="008147CB"/>
    <w:rsid w:val="008149C6"/>
    <w:rsid w:val="00814BE6"/>
    <w:rsid w:val="008166EF"/>
    <w:rsid w:val="00816A84"/>
    <w:rsid w:val="0081708F"/>
    <w:rsid w:val="008171BE"/>
    <w:rsid w:val="00817C8A"/>
    <w:rsid w:val="008205A7"/>
    <w:rsid w:val="00821333"/>
    <w:rsid w:val="008218F2"/>
    <w:rsid w:val="0082192A"/>
    <w:rsid w:val="00821E77"/>
    <w:rsid w:val="0082211E"/>
    <w:rsid w:val="00822B3F"/>
    <w:rsid w:val="0082304A"/>
    <w:rsid w:val="008239C3"/>
    <w:rsid w:val="008241AF"/>
    <w:rsid w:val="00825751"/>
    <w:rsid w:val="008257A1"/>
    <w:rsid w:val="00825AA8"/>
    <w:rsid w:val="00825C7D"/>
    <w:rsid w:val="00825E71"/>
    <w:rsid w:val="00825EE3"/>
    <w:rsid w:val="00825FD2"/>
    <w:rsid w:val="008264EB"/>
    <w:rsid w:val="0082667C"/>
    <w:rsid w:val="00826E5B"/>
    <w:rsid w:val="00826E91"/>
    <w:rsid w:val="00830187"/>
    <w:rsid w:val="00830269"/>
    <w:rsid w:val="00830A32"/>
    <w:rsid w:val="00831A91"/>
    <w:rsid w:val="00833772"/>
    <w:rsid w:val="008339F3"/>
    <w:rsid w:val="00833B05"/>
    <w:rsid w:val="00833D6C"/>
    <w:rsid w:val="00834312"/>
    <w:rsid w:val="008349AE"/>
    <w:rsid w:val="00834E0F"/>
    <w:rsid w:val="00835DF8"/>
    <w:rsid w:val="0083614A"/>
    <w:rsid w:val="008362B4"/>
    <w:rsid w:val="00836C5C"/>
    <w:rsid w:val="00840CA2"/>
    <w:rsid w:val="00841B57"/>
    <w:rsid w:val="00842CCA"/>
    <w:rsid w:val="00842D14"/>
    <w:rsid w:val="0084374F"/>
    <w:rsid w:val="008442BA"/>
    <w:rsid w:val="00844824"/>
    <w:rsid w:val="00844CE8"/>
    <w:rsid w:val="00845385"/>
    <w:rsid w:val="00845C41"/>
    <w:rsid w:val="00845D59"/>
    <w:rsid w:val="00847780"/>
    <w:rsid w:val="00847DF5"/>
    <w:rsid w:val="008502E0"/>
    <w:rsid w:val="008506F0"/>
    <w:rsid w:val="008507B9"/>
    <w:rsid w:val="00851134"/>
    <w:rsid w:val="00851721"/>
    <w:rsid w:val="0085309D"/>
    <w:rsid w:val="0085313D"/>
    <w:rsid w:val="00853267"/>
    <w:rsid w:val="0085431E"/>
    <w:rsid w:val="00854554"/>
    <w:rsid w:val="00854A06"/>
    <w:rsid w:val="00854A7D"/>
    <w:rsid w:val="00854D02"/>
    <w:rsid w:val="00855C7C"/>
    <w:rsid w:val="00856029"/>
    <w:rsid w:val="00856044"/>
    <w:rsid w:val="00856897"/>
    <w:rsid w:val="00856E9A"/>
    <w:rsid w:val="0086075D"/>
    <w:rsid w:val="0086192B"/>
    <w:rsid w:val="00862502"/>
    <w:rsid w:val="00863242"/>
    <w:rsid w:val="0086349E"/>
    <w:rsid w:val="0086393B"/>
    <w:rsid w:val="0086394D"/>
    <w:rsid w:val="00863FBF"/>
    <w:rsid w:val="008652A9"/>
    <w:rsid w:val="008659A4"/>
    <w:rsid w:val="00865AC9"/>
    <w:rsid w:val="008660D4"/>
    <w:rsid w:val="00866947"/>
    <w:rsid w:val="00867D7F"/>
    <w:rsid w:val="00870AE9"/>
    <w:rsid w:val="00870BE0"/>
    <w:rsid w:val="00870C4A"/>
    <w:rsid w:val="00871737"/>
    <w:rsid w:val="00871FA9"/>
    <w:rsid w:val="0087282B"/>
    <w:rsid w:val="008728E9"/>
    <w:rsid w:val="00872A2F"/>
    <w:rsid w:val="0087334A"/>
    <w:rsid w:val="00873C49"/>
    <w:rsid w:val="00874186"/>
    <w:rsid w:val="008741CC"/>
    <w:rsid w:val="00874BB7"/>
    <w:rsid w:val="0087680E"/>
    <w:rsid w:val="00876C4E"/>
    <w:rsid w:val="008777D0"/>
    <w:rsid w:val="00880159"/>
    <w:rsid w:val="00881009"/>
    <w:rsid w:val="008810BC"/>
    <w:rsid w:val="00881316"/>
    <w:rsid w:val="00881DEC"/>
    <w:rsid w:val="00881E0F"/>
    <w:rsid w:val="00881F99"/>
    <w:rsid w:val="00882874"/>
    <w:rsid w:val="00882D84"/>
    <w:rsid w:val="00882E20"/>
    <w:rsid w:val="00883314"/>
    <w:rsid w:val="00883787"/>
    <w:rsid w:val="008837CF"/>
    <w:rsid w:val="00885802"/>
    <w:rsid w:val="00886CD2"/>
    <w:rsid w:val="008904D6"/>
    <w:rsid w:val="008916A4"/>
    <w:rsid w:val="0089176B"/>
    <w:rsid w:val="0089231A"/>
    <w:rsid w:val="00892A36"/>
    <w:rsid w:val="00892E6F"/>
    <w:rsid w:val="00893239"/>
    <w:rsid w:val="008935F6"/>
    <w:rsid w:val="00894489"/>
    <w:rsid w:val="00895116"/>
    <w:rsid w:val="00895287"/>
    <w:rsid w:val="0089578E"/>
    <w:rsid w:val="00895D75"/>
    <w:rsid w:val="008963A5"/>
    <w:rsid w:val="008964CF"/>
    <w:rsid w:val="008966E5"/>
    <w:rsid w:val="008969E5"/>
    <w:rsid w:val="0089750E"/>
    <w:rsid w:val="0089759A"/>
    <w:rsid w:val="00897BC5"/>
    <w:rsid w:val="008A11B1"/>
    <w:rsid w:val="008A1680"/>
    <w:rsid w:val="008A1F2A"/>
    <w:rsid w:val="008A2196"/>
    <w:rsid w:val="008A27DF"/>
    <w:rsid w:val="008A2C31"/>
    <w:rsid w:val="008A3363"/>
    <w:rsid w:val="008A3371"/>
    <w:rsid w:val="008A3C3E"/>
    <w:rsid w:val="008A4DAF"/>
    <w:rsid w:val="008A4FA1"/>
    <w:rsid w:val="008A5EFA"/>
    <w:rsid w:val="008A6347"/>
    <w:rsid w:val="008A65B8"/>
    <w:rsid w:val="008A68F5"/>
    <w:rsid w:val="008A6D56"/>
    <w:rsid w:val="008A735C"/>
    <w:rsid w:val="008A79DE"/>
    <w:rsid w:val="008B0DB0"/>
    <w:rsid w:val="008B1757"/>
    <w:rsid w:val="008B18C9"/>
    <w:rsid w:val="008B3463"/>
    <w:rsid w:val="008B3C3C"/>
    <w:rsid w:val="008B44A5"/>
    <w:rsid w:val="008B5E9C"/>
    <w:rsid w:val="008B6324"/>
    <w:rsid w:val="008B7A81"/>
    <w:rsid w:val="008B7D7E"/>
    <w:rsid w:val="008B7EE5"/>
    <w:rsid w:val="008C03B0"/>
    <w:rsid w:val="008C1436"/>
    <w:rsid w:val="008C144D"/>
    <w:rsid w:val="008C27D3"/>
    <w:rsid w:val="008C2DF2"/>
    <w:rsid w:val="008C3700"/>
    <w:rsid w:val="008C3B49"/>
    <w:rsid w:val="008C4439"/>
    <w:rsid w:val="008C4A39"/>
    <w:rsid w:val="008C5C3B"/>
    <w:rsid w:val="008C5C96"/>
    <w:rsid w:val="008C5D6A"/>
    <w:rsid w:val="008C762B"/>
    <w:rsid w:val="008C7ECB"/>
    <w:rsid w:val="008D03BE"/>
    <w:rsid w:val="008D03E8"/>
    <w:rsid w:val="008D1C8F"/>
    <w:rsid w:val="008D2BB1"/>
    <w:rsid w:val="008D4663"/>
    <w:rsid w:val="008D4755"/>
    <w:rsid w:val="008D4999"/>
    <w:rsid w:val="008D4C3D"/>
    <w:rsid w:val="008D4F2D"/>
    <w:rsid w:val="008D557D"/>
    <w:rsid w:val="008D5714"/>
    <w:rsid w:val="008D5BFF"/>
    <w:rsid w:val="008D609F"/>
    <w:rsid w:val="008D6244"/>
    <w:rsid w:val="008D7AD8"/>
    <w:rsid w:val="008E0990"/>
    <w:rsid w:val="008E0D31"/>
    <w:rsid w:val="008E0D3C"/>
    <w:rsid w:val="008E19D5"/>
    <w:rsid w:val="008E1B9E"/>
    <w:rsid w:val="008E2069"/>
    <w:rsid w:val="008E5023"/>
    <w:rsid w:val="008E5061"/>
    <w:rsid w:val="008E5133"/>
    <w:rsid w:val="008E55AB"/>
    <w:rsid w:val="008E59A9"/>
    <w:rsid w:val="008E7445"/>
    <w:rsid w:val="008E747C"/>
    <w:rsid w:val="008E74D0"/>
    <w:rsid w:val="008E7C9A"/>
    <w:rsid w:val="008F120A"/>
    <w:rsid w:val="008F124A"/>
    <w:rsid w:val="008F1832"/>
    <w:rsid w:val="008F27E0"/>
    <w:rsid w:val="008F35A4"/>
    <w:rsid w:val="008F3FEB"/>
    <w:rsid w:val="008F44B0"/>
    <w:rsid w:val="008F48EB"/>
    <w:rsid w:val="008F4D63"/>
    <w:rsid w:val="008F4D89"/>
    <w:rsid w:val="008F4F0B"/>
    <w:rsid w:val="008F5091"/>
    <w:rsid w:val="008F5F50"/>
    <w:rsid w:val="008F648D"/>
    <w:rsid w:val="008F6DC2"/>
    <w:rsid w:val="00900435"/>
    <w:rsid w:val="00900692"/>
    <w:rsid w:val="00901F49"/>
    <w:rsid w:val="00901F86"/>
    <w:rsid w:val="00902694"/>
    <w:rsid w:val="0090346F"/>
    <w:rsid w:val="0090353A"/>
    <w:rsid w:val="009046BA"/>
    <w:rsid w:val="009046C4"/>
    <w:rsid w:val="00904E66"/>
    <w:rsid w:val="00905F13"/>
    <w:rsid w:val="009062A5"/>
    <w:rsid w:val="0090756D"/>
    <w:rsid w:val="00907825"/>
    <w:rsid w:val="00907B05"/>
    <w:rsid w:val="00910E0F"/>
    <w:rsid w:val="00911272"/>
    <w:rsid w:val="00911F5C"/>
    <w:rsid w:val="00912083"/>
    <w:rsid w:val="009123C4"/>
    <w:rsid w:val="009127D7"/>
    <w:rsid w:val="00912B24"/>
    <w:rsid w:val="00912FCB"/>
    <w:rsid w:val="009135D6"/>
    <w:rsid w:val="00914151"/>
    <w:rsid w:val="00914C77"/>
    <w:rsid w:val="00914DDF"/>
    <w:rsid w:val="00915EBE"/>
    <w:rsid w:val="009160BF"/>
    <w:rsid w:val="00916550"/>
    <w:rsid w:val="00916F33"/>
    <w:rsid w:val="00917312"/>
    <w:rsid w:val="0091733C"/>
    <w:rsid w:val="009177E3"/>
    <w:rsid w:val="00917824"/>
    <w:rsid w:val="00917C69"/>
    <w:rsid w:val="0092014A"/>
    <w:rsid w:val="00920979"/>
    <w:rsid w:val="00922DA4"/>
    <w:rsid w:val="00923406"/>
    <w:rsid w:val="0092369B"/>
    <w:rsid w:val="00923974"/>
    <w:rsid w:val="009241D4"/>
    <w:rsid w:val="0092435C"/>
    <w:rsid w:val="009249EB"/>
    <w:rsid w:val="00924B32"/>
    <w:rsid w:val="00925C91"/>
    <w:rsid w:val="00926AB9"/>
    <w:rsid w:val="009276C8"/>
    <w:rsid w:val="0093037C"/>
    <w:rsid w:val="009303BC"/>
    <w:rsid w:val="009311CE"/>
    <w:rsid w:val="00931BF4"/>
    <w:rsid w:val="00931E73"/>
    <w:rsid w:val="0093224E"/>
    <w:rsid w:val="00933FE7"/>
    <w:rsid w:val="00934AA3"/>
    <w:rsid w:val="00935878"/>
    <w:rsid w:val="0093640E"/>
    <w:rsid w:val="00936ED7"/>
    <w:rsid w:val="00937DA5"/>
    <w:rsid w:val="0094011C"/>
    <w:rsid w:val="0094219A"/>
    <w:rsid w:val="009423CC"/>
    <w:rsid w:val="00942709"/>
    <w:rsid w:val="009434A6"/>
    <w:rsid w:val="009436FB"/>
    <w:rsid w:val="0094393D"/>
    <w:rsid w:val="00944F9A"/>
    <w:rsid w:val="00945C43"/>
    <w:rsid w:val="00945E65"/>
    <w:rsid w:val="0094697F"/>
    <w:rsid w:val="00947F34"/>
    <w:rsid w:val="00950CB4"/>
    <w:rsid w:val="009510A2"/>
    <w:rsid w:val="009513C3"/>
    <w:rsid w:val="00952F66"/>
    <w:rsid w:val="00953257"/>
    <w:rsid w:val="00953848"/>
    <w:rsid w:val="00953DCB"/>
    <w:rsid w:val="00955783"/>
    <w:rsid w:val="00955A7F"/>
    <w:rsid w:val="00956148"/>
    <w:rsid w:val="00957116"/>
    <w:rsid w:val="00957A41"/>
    <w:rsid w:val="00957F46"/>
    <w:rsid w:val="00960419"/>
    <w:rsid w:val="00960E1A"/>
    <w:rsid w:val="0096114D"/>
    <w:rsid w:val="00961ECF"/>
    <w:rsid w:val="009621F2"/>
    <w:rsid w:val="00962CB9"/>
    <w:rsid w:val="00963A10"/>
    <w:rsid w:val="00963CBF"/>
    <w:rsid w:val="009641A7"/>
    <w:rsid w:val="00964312"/>
    <w:rsid w:val="009643A6"/>
    <w:rsid w:val="00964DC8"/>
    <w:rsid w:val="00965B8A"/>
    <w:rsid w:val="00965E02"/>
    <w:rsid w:val="009663D5"/>
    <w:rsid w:val="00966927"/>
    <w:rsid w:val="00966EE2"/>
    <w:rsid w:val="009675B8"/>
    <w:rsid w:val="00967C14"/>
    <w:rsid w:val="009700DF"/>
    <w:rsid w:val="0097152C"/>
    <w:rsid w:val="009717AC"/>
    <w:rsid w:val="009726A8"/>
    <w:rsid w:val="00972BFC"/>
    <w:rsid w:val="00975D48"/>
    <w:rsid w:val="00976185"/>
    <w:rsid w:val="00976D6C"/>
    <w:rsid w:val="0097718B"/>
    <w:rsid w:val="0098108E"/>
    <w:rsid w:val="00982140"/>
    <w:rsid w:val="00983228"/>
    <w:rsid w:val="00983852"/>
    <w:rsid w:val="00983AC1"/>
    <w:rsid w:val="00983E57"/>
    <w:rsid w:val="0098572C"/>
    <w:rsid w:val="00986117"/>
    <w:rsid w:val="00986209"/>
    <w:rsid w:val="0098675D"/>
    <w:rsid w:val="00990AE8"/>
    <w:rsid w:val="00992A00"/>
    <w:rsid w:val="00992B58"/>
    <w:rsid w:val="00993018"/>
    <w:rsid w:val="00993186"/>
    <w:rsid w:val="00994EC7"/>
    <w:rsid w:val="00995079"/>
    <w:rsid w:val="009958BB"/>
    <w:rsid w:val="00995C71"/>
    <w:rsid w:val="00995DD2"/>
    <w:rsid w:val="00996B1A"/>
    <w:rsid w:val="009971B3"/>
    <w:rsid w:val="00997985"/>
    <w:rsid w:val="009A1D5D"/>
    <w:rsid w:val="009A1E4C"/>
    <w:rsid w:val="009A365D"/>
    <w:rsid w:val="009A42D9"/>
    <w:rsid w:val="009A4708"/>
    <w:rsid w:val="009A4731"/>
    <w:rsid w:val="009A4B72"/>
    <w:rsid w:val="009A4FF9"/>
    <w:rsid w:val="009A51FA"/>
    <w:rsid w:val="009A5AFA"/>
    <w:rsid w:val="009A6580"/>
    <w:rsid w:val="009A6AC3"/>
    <w:rsid w:val="009A7013"/>
    <w:rsid w:val="009A706A"/>
    <w:rsid w:val="009A7CF5"/>
    <w:rsid w:val="009A7F10"/>
    <w:rsid w:val="009B0DCC"/>
    <w:rsid w:val="009B2B14"/>
    <w:rsid w:val="009B32CF"/>
    <w:rsid w:val="009B3A8A"/>
    <w:rsid w:val="009B3E26"/>
    <w:rsid w:val="009B4111"/>
    <w:rsid w:val="009B41C8"/>
    <w:rsid w:val="009B4B1D"/>
    <w:rsid w:val="009B5E12"/>
    <w:rsid w:val="009B6393"/>
    <w:rsid w:val="009C0266"/>
    <w:rsid w:val="009C2640"/>
    <w:rsid w:val="009C3AB8"/>
    <w:rsid w:val="009C3AD6"/>
    <w:rsid w:val="009C496E"/>
    <w:rsid w:val="009C609A"/>
    <w:rsid w:val="009C6960"/>
    <w:rsid w:val="009C6BA9"/>
    <w:rsid w:val="009C6CEA"/>
    <w:rsid w:val="009C7A6F"/>
    <w:rsid w:val="009C7B85"/>
    <w:rsid w:val="009C7C4B"/>
    <w:rsid w:val="009D0BA1"/>
    <w:rsid w:val="009D0D67"/>
    <w:rsid w:val="009D1792"/>
    <w:rsid w:val="009D2D10"/>
    <w:rsid w:val="009D4532"/>
    <w:rsid w:val="009D468E"/>
    <w:rsid w:val="009D5B37"/>
    <w:rsid w:val="009D5B91"/>
    <w:rsid w:val="009D5BBC"/>
    <w:rsid w:val="009D62F6"/>
    <w:rsid w:val="009D7445"/>
    <w:rsid w:val="009D7637"/>
    <w:rsid w:val="009D7771"/>
    <w:rsid w:val="009D792E"/>
    <w:rsid w:val="009D7E33"/>
    <w:rsid w:val="009E0018"/>
    <w:rsid w:val="009E0DFE"/>
    <w:rsid w:val="009E14A3"/>
    <w:rsid w:val="009E1CA8"/>
    <w:rsid w:val="009E2841"/>
    <w:rsid w:val="009E3D6F"/>
    <w:rsid w:val="009E3DBC"/>
    <w:rsid w:val="009E410F"/>
    <w:rsid w:val="009E44BC"/>
    <w:rsid w:val="009E4C07"/>
    <w:rsid w:val="009E4C68"/>
    <w:rsid w:val="009E51D0"/>
    <w:rsid w:val="009E5275"/>
    <w:rsid w:val="009E5D2E"/>
    <w:rsid w:val="009E6CC0"/>
    <w:rsid w:val="009E6FFB"/>
    <w:rsid w:val="009E715E"/>
    <w:rsid w:val="009E7F1E"/>
    <w:rsid w:val="009F0D47"/>
    <w:rsid w:val="009F1621"/>
    <w:rsid w:val="009F22B8"/>
    <w:rsid w:val="009F34CC"/>
    <w:rsid w:val="009F365C"/>
    <w:rsid w:val="009F3701"/>
    <w:rsid w:val="009F3E92"/>
    <w:rsid w:val="009F41DA"/>
    <w:rsid w:val="009F4737"/>
    <w:rsid w:val="009F6512"/>
    <w:rsid w:val="009F6ABD"/>
    <w:rsid w:val="009F74D9"/>
    <w:rsid w:val="00A00AD4"/>
    <w:rsid w:val="00A00D1A"/>
    <w:rsid w:val="00A01184"/>
    <w:rsid w:val="00A0158B"/>
    <w:rsid w:val="00A01744"/>
    <w:rsid w:val="00A02821"/>
    <w:rsid w:val="00A02DC3"/>
    <w:rsid w:val="00A03C59"/>
    <w:rsid w:val="00A03D43"/>
    <w:rsid w:val="00A04380"/>
    <w:rsid w:val="00A04D0E"/>
    <w:rsid w:val="00A04F7D"/>
    <w:rsid w:val="00A05459"/>
    <w:rsid w:val="00A0662C"/>
    <w:rsid w:val="00A07980"/>
    <w:rsid w:val="00A101A7"/>
    <w:rsid w:val="00A104B6"/>
    <w:rsid w:val="00A11CD0"/>
    <w:rsid w:val="00A1314D"/>
    <w:rsid w:val="00A1358E"/>
    <w:rsid w:val="00A13948"/>
    <w:rsid w:val="00A13AF3"/>
    <w:rsid w:val="00A145C7"/>
    <w:rsid w:val="00A14723"/>
    <w:rsid w:val="00A1555B"/>
    <w:rsid w:val="00A155C5"/>
    <w:rsid w:val="00A159EF"/>
    <w:rsid w:val="00A16208"/>
    <w:rsid w:val="00A16AD8"/>
    <w:rsid w:val="00A17901"/>
    <w:rsid w:val="00A17D20"/>
    <w:rsid w:val="00A17FB0"/>
    <w:rsid w:val="00A2058D"/>
    <w:rsid w:val="00A208CD"/>
    <w:rsid w:val="00A20BDD"/>
    <w:rsid w:val="00A2172A"/>
    <w:rsid w:val="00A21CF3"/>
    <w:rsid w:val="00A21E67"/>
    <w:rsid w:val="00A23BF7"/>
    <w:rsid w:val="00A24588"/>
    <w:rsid w:val="00A24807"/>
    <w:rsid w:val="00A24CB5"/>
    <w:rsid w:val="00A252E4"/>
    <w:rsid w:val="00A265AE"/>
    <w:rsid w:val="00A26FB1"/>
    <w:rsid w:val="00A27882"/>
    <w:rsid w:val="00A27AEC"/>
    <w:rsid w:val="00A320DB"/>
    <w:rsid w:val="00A32314"/>
    <w:rsid w:val="00A32A0E"/>
    <w:rsid w:val="00A33751"/>
    <w:rsid w:val="00A33CC7"/>
    <w:rsid w:val="00A3404D"/>
    <w:rsid w:val="00A34CCF"/>
    <w:rsid w:val="00A34E6A"/>
    <w:rsid w:val="00A3542C"/>
    <w:rsid w:val="00A357AC"/>
    <w:rsid w:val="00A35A15"/>
    <w:rsid w:val="00A35D16"/>
    <w:rsid w:val="00A36071"/>
    <w:rsid w:val="00A3611E"/>
    <w:rsid w:val="00A36396"/>
    <w:rsid w:val="00A36BA5"/>
    <w:rsid w:val="00A37231"/>
    <w:rsid w:val="00A37BCD"/>
    <w:rsid w:val="00A37DDD"/>
    <w:rsid w:val="00A40031"/>
    <w:rsid w:val="00A40597"/>
    <w:rsid w:val="00A41345"/>
    <w:rsid w:val="00A42573"/>
    <w:rsid w:val="00A43229"/>
    <w:rsid w:val="00A43C59"/>
    <w:rsid w:val="00A45556"/>
    <w:rsid w:val="00A45955"/>
    <w:rsid w:val="00A47A5C"/>
    <w:rsid w:val="00A50ECD"/>
    <w:rsid w:val="00A518F3"/>
    <w:rsid w:val="00A51D35"/>
    <w:rsid w:val="00A52241"/>
    <w:rsid w:val="00A52729"/>
    <w:rsid w:val="00A53675"/>
    <w:rsid w:val="00A53D0D"/>
    <w:rsid w:val="00A53F7F"/>
    <w:rsid w:val="00A54CBD"/>
    <w:rsid w:val="00A54F03"/>
    <w:rsid w:val="00A54F1C"/>
    <w:rsid w:val="00A55014"/>
    <w:rsid w:val="00A555E7"/>
    <w:rsid w:val="00A564D7"/>
    <w:rsid w:val="00A56920"/>
    <w:rsid w:val="00A56B6A"/>
    <w:rsid w:val="00A578DC"/>
    <w:rsid w:val="00A57B73"/>
    <w:rsid w:val="00A6123A"/>
    <w:rsid w:val="00A61E24"/>
    <w:rsid w:val="00A626DA"/>
    <w:rsid w:val="00A629D5"/>
    <w:rsid w:val="00A6336E"/>
    <w:rsid w:val="00A637FE"/>
    <w:rsid w:val="00A64F41"/>
    <w:rsid w:val="00A65472"/>
    <w:rsid w:val="00A65881"/>
    <w:rsid w:val="00A6725B"/>
    <w:rsid w:val="00A6767F"/>
    <w:rsid w:val="00A67C47"/>
    <w:rsid w:val="00A70605"/>
    <w:rsid w:val="00A70C0D"/>
    <w:rsid w:val="00A71480"/>
    <w:rsid w:val="00A7178F"/>
    <w:rsid w:val="00A71823"/>
    <w:rsid w:val="00A726BF"/>
    <w:rsid w:val="00A73134"/>
    <w:rsid w:val="00A757DE"/>
    <w:rsid w:val="00A75873"/>
    <w:rsid w:val="00A7704E"/>
    <w:rsid w:val="00A77374"/>
    <w:rsid w:val="00A777B2"/>
    <w:rsid w:val="00A8065E"/>
    <w:rsid w:val="00A81C57"/>
    <w:rsid w:val="00A81E37"/>
    <w:rsid w:val="00A82490"/>
    <w:rsid w:val="00A828D6"/>
    <w:rsid w:val="00A82F11"/>
    <w:rsid w:val="00A83130"/>
    <w:rsid w:val="00A86E04"/>
    <w:rsid w:val="00A86E8B"/>
    <w:rsid w:val="00A87164"/>
    <w:rsid w:val="00A87F6B"/>
    <w:rsid w:val="00A90F65"/>
    <w:rsid w:val="00A91165"/>
    <w:rsid w:val="00A91725"/>
    <w:rsid w:val="00A9176A"/>
    <w:rsid w:val="00A91D88"/>
    <w:rsid w:val="00A9273D"/>
    <w:rsid w:val="00A92E0E"/>
    <w:rsid w:val="00A93007"/>
    <w:rsid w:val="00A93072"/>
    <w:rsid w:val="00A938B7"/>
    <w:rsid w:val="00A93953"/>
    <w:rsid w:val="00A940F3"/>
    <w:rsid w:val="00A94F7C"/>
    <w:rsid w:val="00A956BC"/>
    <w:rsid w:val="00A95965"/>
    <w:rsid w:val="00A959D8"/>
    <w:rsid w:val="00A95B2D"/>
    <w:rsid w:val="00A95EA7"/>
    <w:rsid w:val="00A97E20"/>
    <w:rsid w:val="00AA0828"/>
    <w:rsid w:val="00AA0AF1"/>
    <w:rsid w:val="00AA0BFC"/>
    <w:rsid w:val="00AA113D"/>
    <w:rsid w:val="00AA1767"/>
    <w:rsid w:val="00AA1793"/>
    <w:rsid w:val="00AA1E87"/>
    <w:rsid w:val="00AA2900"/>
    <w:rsid w:val="00AA2921"/>
    <w:rsid w:val="00AA2ECC"/>
    <w:rsid w:val="00AA58C9"/>
    <w:rsid w:val="00AA5923"/>
    <w:rsid w:val="00AA5B0F"/>
    <w:rsid w:val="00AA62CB"/>
    <w:rsid w:val="00AA6539"/>
    <w:rsid w:val="00AA6C27"/>
    <w:rsid w:val="00AA6C7D"/>
    <w:rsid w:val="00AA71A5"/>
    <w:rsid w:val="00AA7F50"/>
    <w:rsid w:val="00AA7FD6"/>
    <w:rsid w:val="00AB042A"/>
    <w:rsid w:val="00AB21F6"/>
    <w:rsid w:val="00AB2598"/>
    <w:rsid w:val="00AB2828"/>
    <w:rsid w:val="00AB2D34"/>
    <w:rsid w:val="00AB3426"/>
    <w:rsid w:val="00AB3430"/>
    <w:rsid w:val="00AB4AD1"/>
    <w:rsid w:val="00AB4C1D"/>
    <w:rsid w:val="00AB51F8"/>
    <w:rsid w:val="00AB55F7"/>
    <w:rsid w:val="00AB5791"/>
    <w:rsid w:val="00AB6E98"/>
    <w:rsid w:val="00AB6F20"/>
    <w:rsid w:val="00AB7209"/>
    <w:rsid w:val="00AB772D"/>
    <w:rsid w:val="00AB7CFA"/>
    <w:rsid w:val="00AC0E54"/>
    <w:rsid w:val="00AC0F4F"/>
    <w:rsid w:val="00AC12FC"/>
    <w:rsid w:val="00AC1EE9"/>
    <w:rsid w:val="00AC274F"/>
    <w:rsid w:val="00AC3D13"/>
    <w:rsid w:val="00AC4A6D"/>
    <w:rsid w:val="00AC559C"/>
    <w:rsid w:val="00AC5B48"/>
    <w:rsid w:val="00AC5B94"/>
    <w:rsid w:val="00AC5CFA"/>
    <w:rsid w:val="00AC6511"/>
    <w:rsid w:val="00AC6CD6"/>
    <w:rsid w:val="00AC6DDE"/>
    <w:rsid w:val="00AC75FC"/>
    <w:rsid w:val="00AC791B"/>
    <w:rsid w:val="00AC7942"/>
    <w:rsid w:val="00AC7A80"/>
    <w:rsid w:val="00AC7F86"/>
    <w:rsid w:val="00AD0401"/>
    <w:rsid w:val="00AD14E4"/>
    <w:rsid w:val="00AD2411"/>
    <w:rsid w:val="00AD298D"/>
    <w:rsid w:val="00AD40CB"/>
    <w:rsid w:val="00AD4321"/>
    <w:rsid w:val="00AD6502"/>
    <w:rsid w:val="00AD6C72"/>
    <w:rsid w:val="00AD7924"/>
    <w:rsid w:val="00AE0AF0"/>
    <w:rsid w:val="00AE0FDA"/>
    <w:rsid w:val="00AE28AD"/>
    <w:rsid w:val="00AE34A7"/>
    <w:rsid w:val="00AE3552"/>
    <w:rsid w:val="00AE3D99"/>
    <w:rsid w:val="00AE3E9F"/>
    <w:rsid w:val="00AE5C20"/>
    <w:rsid w:val="00AE5F5C"/>
    <w:rsid w:val="00AE5F64"/>
    <w:rsid w:val="00AE62BE"/>
    <w:rsid w:val="00AE6914"/>
    <w:rsid w:val="00AE6E88"/>
    <w:rsid w:val="00AF0B5C"/>
    <w:rsid w:val="00AF0EF1"/>
    <w:rsid w:val="00AF1315"/>
    <w:rsid w:val="00AF19BF"/>
    <w:rsid w:val="00AF2DC3"/>
    <w:rsid w:val="00AF30F3"/>
    <w:rsid w:val="00AF3CBF"/>
    <w:rsid w:val="00AF4104"/>
    <w:rsid w:val="00AF6586"/>
    <w:rsid w:val="00AF6A6E"/>
    <w:rsid w:val="00B00865"/>
    <w:rsid w:val="00B015E4"/>
    <w:rsid w:val="00B01FF2"/>
    <w:rsid w:val="00B02C10"/>
    <w:rsid w:val="00B033E5"/>
    <w:rsid w:val="00B0387A"/>
    <w:rsid w:val="00B0398B"/>
    <w:rsid w:val="00B03A63"/>
    <w:rsid w:val="00B03B02"/>
    <w:rsid w:val="00B03E76"/>
    <w:rsid w:val="00B04147"/>
    <w:rsid w:val="00B05B64"/>
    <w:rsid w:val="00B07F75"/>
    <w:rsid w:val="00B10480"/>
    <w:rsid w:val="00B1073E"/>
    <w:rsid w:val="00B1077A"/>
    <w:rsid w:val="00B11419"/>
    <w:rsid w:val="00B11757"/>
    <w:rsid w:val="00B1176C"/>
    <w:rsid w:val="00B12378"/>
    <w:rsid w:val="00B12381"/>
    <w:rsid w:val="00B13B65"/>
    <w:rsid w:val="00B13F44"/>
    <w:rsid w:val="00B140CE"/>
    <w:rsid w:val="00B14F11"/>
    <w:rsid w:val="00B16172"/>
    <w:rsid w:val="00B161D4"/>
    <w:rsid w:val="00B178A9"/>
    <w:rsid w:val="00B17EFE"/>
    <w:rsid w:val="00B201A4"/>
    <w:rsid w:val="00B213A6"/>
    <w:rsid w:val="00B2234D"/>
    <w:rsid w:val="00B2401E"/>
    <w:rsid w:val="00B2484E"/>
    <w:rsid w:val="00B24919"/>
    <w:rsid w:val="00B24DF6"/>
    <w:rsid w:val="00B259FA"/>
    <w:rsid w:val="00B26050"/>
    <w:rsid w:val="00B26275"/>
    <w:rsid w:val="00B264F5"/>
    <w:rsid w:val="00B26954"/>
    <w:rsid w:val="00B27564"/>
    <w:rsid w:val="00B30034"/>
    <w:rsid w:val="00B303C4"/>
    <w:rsid w:val="00B31E8C"/>
    <w:rsid w:val="00B3306E"/>
    <w:rsid w:val="00B330A6"/>
    <w:rsid w:val="00B3416A"/>
    <w:rsid w:val="00B34254"/>
    <w:rsid w:val="00B34B07"/>
    <w:rsid w:val="00B34FE2"/>
    <w:rsid w:val="00B3507C"/>
    <w:rsid w:val="00B355F0"/>
    <w:rsid w:val="00B357D8"/>
    <w:rsid w:val="00B36032"/>
    <w:rsid w:val="00B36835"/>
    <w:rsid w:val="00B36B25"/>
    <w:rsid w:val="00B37BFC"/>
    <w:rsid w:val="00B37EC7"/>
    <w:rsid w:val="00B37F27"/>
    <w:rsid w:val="00B37F4D"/>
    <w:rsid w:val="00B37F4F"/>
    <w:rsid w:val="00B40358"/>
    <w:rsid w:val="00B4097F"/>
    <w:rsid w:val="00B40C89"/>
    <w:rsid w:val="00B41614"/>
    <w:rsid w:val="00B41AFC"/>
    <w:rsid w:val="00B41C30"/>
    <w:rsid w:val="00B41F54"/>
    <w:rsid w:val="00B42851"/>
    <w:rsid w:val="00B429C4"/>
    <w:rsid w:val="00B42D01"/>
    <w:rsid w:val="00B42D2C"/>
    <w:rsid w:val="00B42F80"/>
    <w:rsid w:val="00B430EA"/>
    <w:rsid w:val="00B435CB"/>
    <w:rsid w:val="00B43646"/>
    <w:rsid w:val="00B43833"/>
    <w:rsid w:val="00B44969"/>
    <w:rsid w:val="00B455A2"/>
    <w:rsid w:val="00B455A8"/>
    <w:rsid w:val="00B45DA7"/>
    <w:rsid w:val="00B4655C"/>
    <w:rsid w:val="00B4688A"/>
    <w:rsid w:val="00B508A5"/>
    <w:rsid w:val="00B50DB8"/>
    <w:rsid w:val="00B51EA3"/>
    <w:rsid w:val="00B52363"/>
    <w:rsid w:val="00B52673"/>
    <w:rsid w:val="00B52816"/>
    <w:rsid w:val="00B5344C"/>
    <w:rsid w:val="00B53654"/>
    <w:rsid w:val="00B53726"/>
    <w:rsid w:val="00B53905"/>
    <w:rsid w:val="00B53CDB"/>
    <w:rsid w:val="00B53E0D"/>
    <w:rsid w:val="00B5435E"/>
    <w:rsid w:val="00B5464F"/>
    <w:rsid w:val="00B547F6"/>
    <w:rsid w:val="00B54B5B"/>
    <w:rsid w:val="00B552D4"/>
    <w:rsid w:val="00B552D5"/>
    <w:rsid w:val="00B5562E"/>
    <w:rsid w:val="00B55651"/>
    <w:rsid w:val="00B55F99"/>
    <w:rsid w:val="00B562DB"/>
    <w:rsid w:val="00B57000"/>
    <w:rsid w:val="00B60939"/>
    <w:rsid w:val="00B60AFD"/>
    <w:rsid w:val="00B6135E"/>
    <w:rsid w:val="00B616A0"/>
    <w:rsid w:val="00B61A0B"/>
    <w:rsid w:val="00B62269"/>
    <w:rsid w:val="00B624B2"/>
    <w:rsid w:val="00B62715"/>
    <w:rsid w:val="00B628FA"/>
    <w:rsid w:val="00B63653"/>
    <w:rsid w:val="00B66124"/>
    <w:rsid w:val="00B665F8"/>
    <w:rsid w:val="00B67DF2"/>
    <w:rsid w:val="00B67EEA"/>
    <w:rsid w:val="00B71653"/>
    <w:rsid w:val="00B71F38"/>
    <w:rsid w:val="00B72BBA"/>
    <w:rsid w:val="00B7370C"/>
    <w:rsid w:val="00B73ABF"/>
    <w:rsid w:val="00B73B7D"/>
    <w:rsid w:val="00B74A91"/>
    <w:rsid w:val="00B75612"/>
    <w:rsid w:val="00B77523"/>
    <w:rsid w:val="00B7767C"/>
    <w:rsid w:val="00B7776D"/>
    <w:rsid w:val="00B77BFA"/>
    <w:rsid w:val="00B77D0C"/>
    <w:rsid w:val="00B77F75"/>
    <w:rsid w:val="00B80A09"/>
    <w:rsid w:val="00B80E46"/>
    <w:rsid w:val="00B818A4"/>
    <w:rsid w:val="00B81FCC"/>
    <w:rsid w:val="00B82057"/>
    <w:rsid w:val="00B83563"/>
    <w:rsid w:val="00B83803"/>
    <w:rsid w:val="00B83BF2"/>
    <w:rsid w:val="00B83C4C"/>
    <w:rsid w:val="00B83D7E"/>
    <w:rsid w:val="00B84117"/>
    <w:rsid w:val="00B84C4E"/>
    <w:rsid w:val="00B84F47"/>
    <w:rsid w:val="00B852A6"/>
    <w:rsid w:val="00B85320"/>
    <w:rsid w:val="00B859FD"/>
    <w:rsid w:val="00B85AA2"/>
    <w:rsid w:val="00B8649C"/>
    <w:rsid w:val="00B87E75"/>
    <w:rsid w:val="00B87F0A"/>
    <w:rsid w:val="00B902D9"/>
    <w:rsid w:val="00B90DAB"/>
    <w:rsid w:val="00B913DB"/>
    <w:rsid w:val="00B921DE"/>
    <w:rsid w:val="00B9223B"/>
    <w:rsid w:val="00B92D0B"/>
    <w:rsid w:val="00B93159"/>
    <w:rsid w:val="00B94362"/>
    <w:rsid w:val="00B9450D"/>
    <w:rsid w:val="00B94945"/>
    <w:rsid w:val="00B95331"/>
    <w:rsid w:val="00B9627A"/>
    <w:rsid w:val="00B978AB"/>
    <w:rsid w:val="00BA14F8"/>
    <w:rsid w:val="00BA15D0"/>
    <w:rsid w:val="00BA1C81"/>
    <w:rsid w:val="00BA322D"/>
    <w:rsid w:val="00BA370D"/>
    <w:rsid w:val="00BA3A96"/>
    <w:rsid w:val="00BA3E9C"/>
    <w:rsid w:val="00BA4581"/>
    <w:rsid w:val="00BA4FB9"/>
    <w:rsid w:val="00BA656A"/>
    <w:rsid w:val="00BA7DD7"/>
    <w:rsid w:val="00BB013E"/>
    <w:rsid w:val="00BB0450"/>
    <w:rsid w:val="00BB0BDD"/>
    <w:rsid w:val="00BB0D86"/>
    <w:rsid w:val="00BB133A"/>
    <w:rsid w:val="00BB21AC"/>
    <w:rsid w:val="00BB2A73"/>
    <w:rsid w:val="00BB3177"/>
    <w:rsid w:val="00BB4842"/>
    <w:rsid w:val="00BB4ACC"/>
    <w:rsid w:val="00BB4D5F"/>
    <w:rsid w:val="00BB60D2"/>
    <w:rsid w:val="00BB62C9"/>
    <w:rsid w:val="00BB6FDE"/>
    <w:rsid w:val="00BB703E"/>
    <w:rsid w:val="00BB7405"/>
    <w:rsid w:val="00BB7CA4"/>
    <w:rsid w:val="00BC1029"/>
    <w:rsid w:val="00BC1494"/>
    <w:rsid w:val="00BC196A"/>
    <w:rsid w:val="00BC2651"/>
    <w:rsid w:val="00BC26BA"/>
    <w:rsid w:val="00BC2ACC"/>
    <w:rsid w:val="00BC3631"/>
    <w:rsid w:val="00BC3CEC"/>
    <w:rsid w:val="00BC43B4"/>
    <w:rsid w:val="00BC518E"/>
    <w:rsid w:val="00BC53EE"/>
    <w:rsid w:val="00BC5697"/>
    <w:rsid w:val="00BC5CAA"/>
    <w:rsid w:val="00BC6BEB"/>
    <w:rsid w:val="00BC6D57"/>
    <w:rsid w:val="00BC729B"/>
    <w:rsid w:val="00BC7E92"/>
    <w:rsid w:val="00BD1579"/>
    <w:rsid w:val="00BD17D2"/>
    <w:rsid w:val="00BD2019"/>
    <w:rsid w:val="00BD27DC"/>
    <w:rsid w:val="00BD2BA8"/>
    <w:rsid w:val="00BD4E6D"/>
    <w:rsid w:val="00BD5A45"/>
    <w:rsid w:val="00BD5C6F"/>
    <w:rsid w:val="00BD68A3"/>
    <w:rsid w:val="00BD6938"/>
    <w:rsid w:val="00BD6CF3"/>
    <w:rsid w:val="00BE0805"/>
    <w:rsid w:val="00BE0905"/>
    <w:rsid w:val="00BE0B25"/>
    <w:rsid w:val="00BE2180"/>
    <w:rsid w:val="00BE21F2"/>
    <w:rsid w:val="00BE277C"/>
    <w:rsid w:val="00BE2CF1"/>
    <w:rsid w:val="00BE2DD1"/>
    <w:rsid w:val="00BE2FA7"/>
    <w:rsid w:val="00BE4275"/>
    <w:rsid w:val="00BE51AE"/>
    <w:rsid w:val="00BE70F6"/>
    <w:rsid w:val="00BE77A1"/>
    <w:rsid w:val="00BE7A24"/>
    <w:rsid w:val="00BF0901"/>
    <w:rsid w:val="00BF0F95"/>
    <w:rsid w:val="00BF1459"/>
    <w:rsid w:val="00BF174B"/>
    <w:rsid w:val="00BF1C6E"/>
    <w:rsid w:val="00BF1C81"/>
    <w:rsid w:val="00BF1ED3"/>
    <w:rsid w:val="00BF2433"/>
    <w:rsid w:val="00BF3429"/>
    <w:rsid w:val="00BF3796"/>
    <w:rsid w:val="00BF3BE7"/>
    <w:rsid w:val="00BF4F07"/>
    <w:rsid w:val="00BF4FAF"/>
    <w:rsid w:val="00BF5C9E"/>
    <w:rsid w:val="00BF5ED1"/>
    <w:rsid w:val="00BF61C9"/>
    <w:rsid w:val="00BF6928"/>
    <w:rsid w:val="00BF6C45"/>
    <w:rsid w:val="00BF6C94"/>
    <w:rsid w:val="00BF7075"/>
    <w:rsid w:val="00BF71E6"/>
    <w:rsid w:val="00BF7758"/>
    <w:rsid w:val="00C00424"/>
    <w:rsid w:val="00C01C28"/>
    <w:rsid w:val="00C01ED6"/>
    <w:rsid w:val="00C03EEB"/>
    <w:rsid w:val="00C04BE3"/>
    <w:rsid w:val="00C05536"/>
    <w:rsid w:val="00C05A5C"/>
    <w:rsid w:val="00C07089"/>
    <w:rsid w:val="00C071BD"/>
    <w:rsid w:val="00C0777F"/>
    <w:rsid w:val="00C10E56"/>
    <w:rsid w:val="00C11726"/>
    <w:rsid w:val="00C119CC"/>
    <w:rsid w:val="00C12C14"/>
    <w:rsid w:val="00C1330D"/>
    <w:rsid w:val="00C14664"/>
    <w:rsid w:val="00C14854"/>
    <w:rsid w:val="00C14AD2"/>
    <w:rsid w:val="00C16AAA"/>
    <w:rsid w:val="00C173AE"/>
    <w:rsid w:val="00C200AA"/>
    <w:rsid w:val="00C202D4"/>
    <w:rsid w:val="00C2055B"/>
    <w:rsid w:val="00C20B5C"/>
    <w:rsid w:val="00C2113A"/>
    <w:rsid w:val="00C237ED"/>
    <w:rsid w:val="00C23E0F"/>
    <w:rsid w:val="00C24632"/>
    <w:rsid w:val="00C25418"/>
    <w:rsid w:val="00C259BE"/>
    <w:rsid w:val="00C25D9C"/>
    <w:rsid w:val="00C261CC"/>
    <w:rsid w:val="00C262CD"/>
    <w:rsid w:val="00C26F44"/>
    <w:rsid w:val="00C2778B"/>
    <w:rsid w:val="00C2794D"/>
    <w:rsid w:val="00C27CEB"/>
    <w:rsid w:val="00C27E63"/>
    <w:rsid w:val="00C31649"/>
    <w:rsid w:val="00C31A2B"/>
    <w:rsid w:val="00C31A55"/>
    <w:rsid w:val="00C322CA"/>
    <w:rsid w:val="00C32E9F"/>
    <w:rsid w:val="00C33C38"/>
    <w:rsid w:val="00C34EE5"/>
    <w:rsid w:val="00C3685C"/>
    <w:rsid w:val="00C401A8"/>
    <w:rsid w:val="00C40385"/>
    <w:rsid w:val="00C407A2"/>
    <w:rsid w:val="00C410F8"/>
    <w:rsid w:val="00C4144A"/>
    <w:rsid w:val="00C41C12"/>
    <w:rsid w:val="00C432D2"/>
    <w:rsid w:val="00C43E85"/>
    <w:rsid w:val="00C453A2"/>
    <w:rsid w:val="00C46103"/>
    <w:rsid w:val="00C475AA"/>
    <w:rsid w:val="00C4762E"/>
    <w:rsid w:val="00C47914"/>
    <w:rsid w:val="00C47D14"/>
    <w:rsid w:val="00C524AA"/>
    <w:rsid w:val="00C52C75"/>
    <w:rsid w:val="00C531BA"/>
    <w:rsid w:val="00C53557"/>
    <w:rsid w:val="00C53947"/>
    <w:rsid w:val="00C53E33"/>
    <w:rsid w:val="00C558CD"/>
    <w:rsid w:val="00C56345"/>
    <w:rsid w:val="00C6123A"/>
    <w:rsid w:val="00C612CB"/>
    <w:rsid w:val="00C620BB"/>
    <w:rsid w:val="00C6214A"/>
    <w:rsid w:val="00C62C7C"/>
    <w:rsid w:val="00C6384C"/>
    <w:rsid w:val="00C63B0C"/>
    <w:rsid w:val="00C6409E"/>
    <w:rsid w:val="00C643A2"/>
    <w:rsid w:val="00C64DB3"/>
    <w:rsid w:val="00C65576"/>
    <w:rsid w:val="00C65703"/>
    <w:rsid w:val="00C66165"/>
    <w:rsid w:val="00C66B44"/>
    <w:rsid w:val="00C678E7"/>
    <w:rsid w:val="00C70A8E"/>
    <w:rsid w:val="00C7151A"/>
    <w:rsid w:val="00C719D2"/>
    <w:rsid w:val="00C71F60"/>
    <w:rsid w:val="00C72241"/>
    <w:rsid w:val="00C72CC1"/>
    <w:rsid w:val="00C73224"/>
    <w:rsid w:val="00C734E0"/>
    <w:rsid w:val="00C74FBA"/>
    <w:rsid w:val="00C750C8"/>
    <w:rsid w:val="00C7560F"/>
    <w:rsid w:val="00C80073"/>
    <w:rsid w:val="00C80A0E"/>
    <w:rsid w:val="00C80B5D"/>
    <w:rsid w:val="00C80D6B"/>
    <w:rsid w:val="00C81436"/>
    <w:rsid w:val="00C81C95"/>
    <w:rsid w:val="00C8213F"/>
    <w:rsid w:val="00C83370"/>
    <w:rsid w:val="00C86185"/>
    <w:rsid w:val="00C862A5"/>
    <w:rsid w:val="00C8795F"/>
    <w:rsid w:val="00C8797A"/>
    <w:rsid w:val="00C900B8"/>
    <w:rsid w:val="00C90979"/>
    <w:rsid w:val="00C90C71"/>
    <w:rsid w:val="00C90DAD"/>
    <w:rsid w:val="00C91213"/>
    <w:rsid w:val="00C913F9"/>
    <w:rsid w:val="00C91462"/>
    <w:rsid w:val="00C91669"/>
    <w:rsid w:val="00C917A3"/>
    <w:rsid w:val="00C91823"/>
    <w:rsid w:val="00C931CF"/>
    <w:rsid w:val="00C938CF"/>
    <w:rsid w:val="00C93DC6"/>
    <w:rsid w:val="00C940A7"/>
    <w:rsid w:val="00C957A1"/>
    <w:rsid w:val="00C95BD6"/>
    <w:rsid w:val="00C95D76"/>
    <w:rsid w:val="00C9624D"/>
    <w:rsid w:val="00C969DA"/>
    <w:rsid w:val="00C96A6A"/>
    <w:rsid w:val="00C96DC3"/>
    <w:rsid w:val="00C9709D"/>
    <w:rsid w:val="00CA16F8"/>
    <w:rsid w:val="00CA2C77"/>
    <w:rsid w:val="00CA30A1"/>
    <w:rsid w:val="00CA3589"/>
    <w:rsid w:val="00CA3C83"/>
    <w:rsid w:val="00CA444F"/>
    <w:rsid w:val="00CA4CBD"/>
    <w:rsid w:val="00CA4EFC"/>
    <w:rsid w:val="00CA5245"/>
    <w:rsid w:val="00CA52C7"/>
    <w:rsid w:val="00CA6801"/>
    <w:rsid w:val="00CA69EB"/>
    <w:rsid w:val="00CA71F4"/>
    <w:rsid w:val="00CA7A4E"/>
    <w:rsid w:val="00CA7B09"/>
    <w:rsid w:val="00CB0460"/>
    <w:rsid w:val="00CB0506"/>
    <w:rsid w:val="00CB061E"/>
    <w:rsid w:val="00CB10ED"/>
    <w:rsid w:val="00CB14D7"/>
    <w:rsid w:val="00CB20A1"/>
    <w:rsid w:val="00CB2A0B"/>
    <w:rsid w:val="00CB2F2A"/>
    <w:rsid w:val="00CB2F2E"/>
    <w:rsid w:val="00CB3319"/>
    <w:rsid w:val="00CB3901"/>
    <w:rsid w:val="00CB4F16"/>
    <w:rsid w:val="00CB5442"/>
    <w:rsid w:val="00CB5B1A"/>
    <w:rsid w:val="00CB5C61"/>
    <w:rsid w:val="00CB6026"/>
    <w:rsid w:val="00CB63A0"/>
    <w:rsid w:val="00CB6424"/>
    <w:rsid w:val="00CB6B22"/>
    <w:rsid w:val="00CB6F07"/>
    <w:rsid w:val="00CB758F"/>
    <w:rsid w:val="00CB76F6"/>
    <w:rsid w:val="00CB7F5F"/>
    <w:rsid w:val="00CC061A"/>
    <w:rsid w:val="00CC1AE6"/>
    <w:rsid w:val="00CC1B39"/>
    <w:rsid w:val="00CC269F"/>
    <w:rsid w:val="00CC7AC7"/>
    <w:rsid w:val="00CD02A0"/>
    <w:rsid w:val="00CD0C4E"/>
    <w:rsid w:val="00CD1A57"/>
    <w:rsid w:val="00CD2400"/>
    <w:rsid w:val="00CD24D5"/>
    <w:rsid w:val="00CD27FC"/>
    <w:rsid w:val="00CD43A6"/>
    <w:rsid w:val="00CD4A8A"/>
    <w:rsid w:val="00CD5993"/>
    <w:rsid w:val="00CD59FD"/>
    <w:rsid w:val="00CD5AAA"/>
    <w:rsid w:val="00CD6ADC"/>
    <w:rsid w:val="00CD764C"/>
    <w:rsid w:val="00CD7EF3"/>
    <w:rsid w:val="00CE052A"/>
    <w:rsid w:val="00CE068D"/>
    <w:rsid w:val="00CE0DFA"/>
    <w:rsid w:val="00CE1437"/>
    <w:rsid w:val="00CE1AC8"/>
    <w:rsid w:val="00CE1F47"/>
    <w:rsid w:val="00CE2060"/>
    <w:rsid w:val="00CE27DE"/>
    <w:rsid w:val="00CE3201"/>
    <w:rsid w:val="00CE520E"/>
    <w:rsid w:val="00CE6274"/>
    <w:rsid w:val="00CE6FBD"/>
    <w:rsid w:val="00CE7FA8"/>
    <w:rsid w:val="00CF1873"/>
    <w:rsid w:val="00CF28F5"/>
    <w:rsid w:val="00CF2B8D"/>
    <w:rsid w:val="00CF3402"/>
    <w:rsid w:val="00CF3B3E"/>
    <w:rsid w:val="00CF3ED0"/>
    <w:rsid w:val="00CF4284"/>
    <w:rsid w:val="00CF456B"/>
    <w:rsid w:val="00CF4D13"/>
    <w:rsid w:val="00CF56A7"/>
    <w:rsid w:val="00CF5A22"/>
    <w:rsid w:val="00CF5B76"/>
    <w:rsid w:val="00CF60C9"/>
    <w:rsid w:val="00CF633D"/>
    <w:rsid w:val="00CF6682"/>
    <w:rsid w:val="00CF7417"/>
    <w:rsid w:val="00CF760C"/>
    <w:rsid w:val="00CF7723"/>
    <w:rsid w:val="00CF7B4E"/>
    <w:rsid w:val="00D00064"/>
    <w:rsid w:val="00D00CC4"/>
    <w:rsid w:val="00D01A31"/>
    <w:rsid w:val="00D0229F"/>
    <w:rsid w:val="00D0262E"/>
    <w:rsid w:val="00D029D4"/>
    <w:rsid w:val="00D039F7"/>
    <w:rsid w:val="00D0476D"/>
    <w:rsid w:val="00D04A42"/>
    <w:rsid w:val="00D04B37"/>
    <w:rsid w:val="00D04C71"/>
    <w:rsid w:val="00D071CB"/>
    <w:rsid w:val="00D07457"/>
    <w:rsid w:val="00D0763C"/>
    <w:rsid w:val="00D07BA9"/>
    <w:rsid w:val="00D07D90"/>
    <w:rsid w:val="00D10130"/>
    <w:rsid w:val="00D10E2C"/>
    <w:rsid w:val="00D110BD"/>
    <w:rsid w:val="00D110F5"/>
    <w:rsid w:val="00D11737"/>
    <w:rsid w:val="00D11ED6"/>
    <w:rsid w:val="00D12F0F"/>
    <w:rsid w:val="00D13261"/>
    <w:rsid w:val="00D13675"/>
    <w:rsid w:val="00D13CBF"/>
    <w:rsid w:val="00D141E1"/>
    <w:rsid w:val="00D1461B"/>
    <w:rsid w:val="00D14A1E"/>
    <w:rsid w:val="00D15948"/>
    <w:rsid w:val="00D16502"/>
    <w:rsid w:val="00D17455"/>
    <w:rsid w:val="00D17D6C"/>
    <w:rsid w:val="00D2036B"/>
    <w:rsid w:val="00D20B69"/>
    <w:rsid w:val="00D23EB2"/>
    <w:rsid w:val="00D24A5A"/>
    <w:rsid w:val="00D25B91"/>
    <w:rsid w:val="00D263AF"/>
    <w:rsid w:val="00D272D9"/>
    <w:rsid w:val="00D2754D"/>
    <w:rsid w:val="00D27B27"/>
    <w:rsid w:val="00D27F6C"/>
    <w:rsid w:val="00D3074C"/>
    <w:rsid w:val="00D3088D"/>
    <w:rsid w:val="00D311F8"/>
    <w:rsid w:val="00D32A72"/>
    <w:rsid w:val="00D32D55"/>
    <w:rsid w:val="00D33049"/>
    <w:rsid w:val="00D33BE9"/>
    <w:rsid w:val="00D34556"/>
    <w:rsid w:val="00D34A92"/>
    <w:rsid w:val="00D34ED6"/>
    <w:rsid w:val="00D357FF"/>
    <w:rsid w:val="00D35C27"/>
    <w:rsid w:val="00D35C4A"/>
    <w:rsid w:val="00D36E4A"/>
    <w:rsid w:val="00D400E5"/>
    <w:rsid w:val="00D40937"/>
    <w:rsid w:val="00D40EC5"/>
    <w:rsid w:val="00D4103A"/>
    <w:rsid w:val="00D41317"/>
    <w:rsid w:val="00D41593"/>
    <w:rsid w:val="00D415B9"/>
    <w:rsid w:val="00D4192C"/>
    <w:rsid w:val="00D423CF"/>
    <w:rsid w:val="00D424C7"/>
    <w:rsid w:val="00D42A48"/>
    <w:rsid w:val="00D438B7"/>
    <w:rsid w:val="00D43B2A"/>
    <w:rsid w:val="00D441C2"/>
    <w:rsid w:val="00D44855"/>
    <w:rsid w:val="00D46276"/>
    <w:rsid w:val="00D46B4F"/>
    <w:rsid w:val="00D4733B"/>
    <w:rsid w:val="00D47575"/>
    <w:rsid w:val="00D476DA"/>
    <w:rsid w:val="00D47A30"/>
    <w:rsid w:val="00D510AD"/>
    <w:rsid w:val="00D515EC"/>
    <w:rsid w:val="00D5375D"/>
    <w:rsid w:val="00D54E4A"/>
    <w:rsid w:val="00D552E2"/>
    <w:rsid w:val="00D5647C"/>
    <w:rsid w:val="00D5676E"/>
    <w:rsid w:val="00D56A0A"/>
    <w:rsid w:val="00D601C3"/>
    <w:rsid w:val="00D603E6"/>
    <w:rsid w:val="00D606A7"/>
    <w:rsid w:val="00D608D6"/>
    <w:rsid w:val="00D62179"/>
    <w:rsid w:val="00D6225D"/>
    <w:rsid w:val="00D62F5F"/>
    <w:rsid w:val="00D632CD"/>
    <w:rsid w:val="00D64B6F"/>
    <w:rsid w:val="00D66011"/>
    <w:rsid w:val="00D66206"/>
    <w:rsid w:val="00D67914"/>
    <w:rsid w:val="00D702C4"/>
    <w:rsid w:val="00D705A5"/>
    <w:rsid w:val="00D70737"/>
    <w:rsid w:val="00D709D9"/>
    <w:rsid w:val="00D70F16"/>
    <w:rsid w:val="00D716BE"/>
    <w:rsid w:val="00D72149"/>
    <w:rsid w:val="00D72480"/>
    <w:rsid w:val="00D72589"/>
    <w:rsid w:val="00D736DF"/>
    <w:rsid w:val="00D742B4"/>
    <w:rsid w:val="00D74626"/>
    <w:rsid w:val="00D762AC"/>
    <w:rsid w:val="00D762D9"/>
    <w:rsid w:val="00D768B9"/>
    <w:rsid w:val="00D76A44"/>
    <w:rsid w:val="00D77E4F"/>
    <w:rsid w:val="00D80475"/>
    <w:rsid w:val="00D80942"/>
    <w:rsid w:val="00D815EF"/>
    <w:rsid w:val="00D81692"/>
    <w:rsid w:val="00D81725"/>
    <w:rsid w:val="00D8286A"/>
    <w:rsid w:val="00D8342F"/>
    <w:rsid w:val="00D84A0A"/>
    <w:rsid w:val="00D84A62"/>
    <w:rsid w:val="00D84B6C"/>
    <w:rsid w:val="00D850C0"/>
    <w:rsid w:val="00D857BD"/>
    <w:rsid w:val="00D86A7E"/>
    <w:rsid w:val="00D86E8A"/>
    <w:rsid w:val="00D87000"/>
    <w:rsid w:val="00D8750B"/>
    <w:rsid w:val="00D905BE"/>
    <w:rsid w:val="00D91923"/>
    <w:rsid w:val="00D923DD"/>
    <w:rsid w:val="00D92910"/>
    <w:rsid w:val="00D92AD2"/>
    <w:rsid w:val="00D92F9F"/>
    <w:rsid w:val="00D931ED"/>
    <w:rsid w:val="00D93753"/>
    <w:rsid w:val="00D95A47"/>
    <w:rsid w:val="00D96997"/>
    <w:rsid w:val="00D97263"/>
    <w:rsid w:val="00D977FA"/>
    <w:rsid w:val="00DA09DF"/>
    <w:rsid w:val="00DA0C21"/>
    <w:rsid w:val="00DA1EC6"/>
    <w:rsid w:val="00DA1F80"/>
    <w:rsid w:val="00DA2E2D"/>
    <w:rsid w:val="00DA2F6A"/>
    <w:rsid w:val="00DA30EB"/>
    <w:rsid w:val="00DA3167"/>
    <w:rsid w:val="00DA3B71"/>
    <w:rsid w:val="00DA3C7A"/>
    <w:rsid w:val="00DA4226"/>
    <w:rsid w:val="00DA4DC3"/>
    <w:rsid w:val="00DA522C"/>
    <w:rsid w:val="00DA56A2"/>
    <w:rsid w:val="00DA5D35"/>
    <w:rsid w:val="00DA636E"/>
    <w:rsid w:val="00DA6DE9"/>
    <w:rsid w:val="00DA6E39"/>
    <w:rsid w:val="00DA77A5"/>
    <w:rsid w:val="00DB0123"/>
    <w:rsid w:val="00DB0826"/>
    <w:rsid w:val="00DB18DD"/>
    <w:rsid w:val="00DB1B08"/>
    <w:rsid w:val="00DB3341"/>
    <w:rsid w:val="00DB415A"/>
    <w:rsid w:val="00DB44EF"/>
    <w:rsid w:val="00DB484F"/>
    <w:rsid w:val="00DB5056"/>
    <w:rsid w:val="00DB5819"/>
    <w:rsid w:val="00DB5D53"/>
    <w:rsid w:val="00DB646A"/>
    <w:rsid w:val="00DB6666"/>
    <w:rsid w:val="00DB6CDA"/>
    <w:rsid w:val="00DC04F6"/>
    <w:rsid w:val="00DC082A"/>
    <w:rsid w:val="00DC1963"/>
    <w:rsid w:val="00DC3756"/>
    <w:rsid w:val="00DC3C17"/>
    <w:rsid w:val="00DC3C57"/>
    <w:rsid w:val="00DC482A"/>
    <w:rsid w:val="00DC4962"/>
    <w:rsid w:val="00DC5501"/>
    <w:rsid w:val="00DC5D5A"/>
    <w:rsid w:val="00DC5FB7"/>
    <w:rsid w:val="00DC646B"/>
    <w:rsid w:val="00DC70D1"/>
    <w:rsid w:val="00DC7DD6"/>
    <w:rsid w:val="00DD1365"/>
    <w:rsid w:val="00DD2289"/>
    <w:rsid w:val="00DD23DC"/>
    <w:rsid w:val="00DD273C"/>
    <w:rsid w:val="00DD3084"/>
    <w:rsid w:val="00DD3F28"/>
    <w:rsid w:val="00DD4537"/>
    <w:rsid w:val="00DD4E15"/>
    <w:rsid w:val="00DD4E72"/>
    <w:rsid w:val="00DD587E"/>
    <w:rsid w:val="00DD63ED"/>
    <w:rsid w:val="00DD6C88"/>
    <w:rsid w:val="00DD6DED"/>
    <w:rsid w:val="00DE01F9"/>
    <w:rsid w:val="00DE136D"/>
    <w:rsid w:val="00DE199B"/>
    <w:rsid w:val="00DE1C9B"/>
    <w:rsid w:val="00DE2F3E"/>
    <w:rsid w:val="00DE3138"/>
    <w:rsid w:val="00DE37F8"/>
    <w:rsid w:val="00DE37FE"/>
    <w:rsid w:val="00DE4FCB"/>
    <w:rsid w:val="00DE5F93"/>
    <w:rsid w:val="00DE61BF"/>
    <w:rsid w:val="00DE62CE"/>
    <w:rsid w:val="00DE64E2"/>
    <w:rsid w:val="00DE65F2"/>
    <w:rsid w:val="00DE7832"/>
    <w:rsid w:val="00DF0AF5"/>
    <w:rsid w:val="00DF0C22"/>
    <w:rsid w:val="00DF16B7"/>
    <w:rsid w:val="00DF18FC"/>
    <w:rsid w:val="00DF269D"/>
    <w:rsid w:val="00DF2C89"/>
    <w:rsid w:val="00DF3875"/>
    <w:rsid w:val="00DF443F"/>
    <w:rsid w:val="00DF5D2B"/>
    <w:rsid w:val="00DF5DD2"/>
    <w:rsid w:val="00DF7358"/>
    <w:rsid w:val="00DF73C1"/>
    <w:rsid w:val="00DF7F82"/>
    <w:rsid w:val="00E00E8E"/>
    <w:rsid w:val="00E010BE"/>
    <w:rsid w:val="00E0126E"/>
    <w:rsid w:val="00E01297"/>
    <w:rsid w:val="00E013CA"/>
    <w:rsid w:val="00E02743"/>
    <w:rsid w:val="00E03CD3"/>
    <w:rsid w:val="00E040CD"/>
    <w:rsid w:val="00E0414B"/>
    <w:rsid w:val="00E04388"/>
    <w:rsid w:val="00E04F8C"/>
    <w:rsid w:val="00E05630"/>
    <w:rsid w:val="00E05C56"/>
    <w:rsid w:val="00E06A21"/>
    <w:rsid w:val="00E06DBB"/>
    <w:rsid w:val="00E10107"/>
    <w:rsid w:val="00E10149"/>
    <w:rsid w:val="00E10C84"/>
    <w:rsid w:val="00E11811"/>
    <w:rsid w:val="00E11BF3"/>
    <w:rsid w:val="00E1223D"/>
    <w:rsid w:val="00E1262F"/>
    <w:rsid w:val="00E134CD"/>
    <w:rsid w:val="00E14A0F"/>
    <w:rsid w:val="00E1506E"/>
    <w:rsid w:val="00E16372"/>
    <w:rsid w:val="00E2082C"/>
    <w:rsid w:val="00E209A2"/>
    <w:rsid w:val="00E20E4D"/>
    <w:rsid w:val="00E20ED6"/>
    <w:rsid w:val="00E2109E"/>
    <w:rsid w:val="00E21358"/>
    <w:rsid w:val="00E213F8"/>
    <w:rsid w:val="00E2249B"/>
    <w:rsid w:val="00E224A1"/>
    <w:rsid w:val="00E22896"/>
    <w:rsid w:val="00E22A0D"/>
    <w:rsid w:val="00E23285"/>
    <w:rsid w:val="00E23AD8"/>
    <w:rsid w:val="00E246C0"/>
    <w:rsid w:val="00E24A24"/>
    <w:rsid w:val="00E25460"/>
    <w:rsid w:val="00E2586D"/>
    <w:rsid w:val="00E25D0D"/>
    <w:rsid w:val="00E263F8"/>
    <w:rsid w:val="00E26896"/>
    <w:rsid w:val="00E26B12"/>
    <w:rsid w:val="00E2771E"/>
    <w:rsid w:val="00E27FC3"/>
    <w:rsid w:val="00E30161"/>
    <w:rsid w:val="00E306F4"/>
    <w:rsid w:val="00E31723"/>
    <w:rsid w:val="00E319D0"/>
    <w:rsid w:val="00E31D28"/>
    <w:rsid w:val="00E32D29"/>
    <w:rsid w:val="00E3488E"/>
    <w:rsid w:val="00E34948"/>
    <w:rsid w:val="00E34B37"/>
    <w:rsid w:val="00E34E2C"/>
    <w:rsid w:val="00E371E1"/>
    <w:rsid w:val="00E37569"/>
    <w:rsid w:val="00E37F36"/>
    <w:rsid w:val="00E41E30"/>
    <w:rsid w:val="00E424FE"/>
    <w:rsid w:val="00E43D70"/>
    <w:rsid w:val="00E44830"/>
    <w:rsid w:val="00E45367"/>
    <w:rsid w:val="00E466F3"/>
    <w:rsid w:val="00E4717B"/>
    <w:rsid w:val="00E47B2C"/>
    <w:rsid w:val="00E51560"/>
    <w:rsid w:val="00E51B71"/>
    <w:rsid w:val="00E52374"/>
    <w:rsid w:val="00E53072"/>
    <w:rsid w:val="00E53BF2"/>
    <w:rsid w:val="00E5409E"/>
    <w:rsid w:val="00E54170"/>
    <w:rsid w:val="00E54347"/>
    <w:rsid w:val="00E54868"/>
    <w:rsid w:val="00E54A47"/>
    <w:rsid w:val="00E54F9E"/>
    <w:rsid w:val="00E55424"/>
    <w:rsid w:val="00E55BB5"/>
    <w:rsid w:val="00E562D2"/>
    <w:rsid w:val="00E56A88"/>
    <w:rsid w:val="00E56E72"/>
    <w:rsid w:val="00E57BD8"/>
    <w:rsid w:val="00E61E6F"/>
    <w:rsid w:val="00E62171"/>
    <w:rsid w:val="00E6249E"/>
    <w:rsid w:val="00E6361C"/>
    <w:rsid w:val="00E65E79"/>
    <w:rsid w:val="00E66BA2"/>
    <w:rsid w:val="00E6720F"/>
    <w:rsid w:val="00E67416"/>
    <w:rsid w:val="00E676A7"/>
    <w:rsid w:val="00E67A96"/>
    <w:rsid w:val="00E67CB4"/>
    <w:rsid w:val="00E7085D"/>
    <w:rsid w:val="00E713EC"/>
    <w:rsid w:val="00E71628"/>
    <w:rsid w:val="00E718B6"/>
    <w:rsid w:val="00E71A2B"/>
    <w:rsid w:val="00E71BFA"/>
    <w:rsid w:val="00E723BA"/>
    <w:rsid w:val="00E72425"/>
    <w:rsid w:val="00E7318B"/>
    <w:rsid w:val="00E73581"/>
    <w:rsid w:val="00E75907"/>
    <w:rsid w:val="00E75E8C"/>
    <w:rsid w:val="00E7648C"/>
    <w:rsid w:val="00E776AC"/>
    <w:rsid w:val="00E77A4E"/>
    <w:rsid w:val="00E77ECE"/>
    <w:rsid w:val="00E80AA6"/>
    <w:rsid w:val="00E818CB"/>
    <w:rsid w:val="00E83242"/>
    <w:rsid w:val="00E833F7"/>
    <w:rsid w:val="00E83831"/>
    <w:rsid w:val="00E83BDF"/>
    <w:rsid w:val="00E84283"/>
    <w:rsid w:val="00E845AE"/>
    <w:rsid w:val="00E84C01"/>
    <w:rsid w:val="00E84D1D"/>
    <w:rsid w:val="00E850BC"/>
    <w:rsid w:val="00E85ED2"/>
    <w:rsid w:val="00E86C96"/>
    <w:rsid w:val="00E87A1D"/>
    <w:rsid w:val="00E87C2C"/>
    <w:rsid w:val="00E90496"/>
    <w:rsid w:val="00E91A40"/>
    <w:rsid w:val="00E925BA"/>
    <w:rsid w:val="00E926A5"/>
    <w:rsid w:val="00E94610"/>
    <w:rsid w:val="00E948E3"/>
    <w:rsid w:val="00E94994"/>
    <w:rsid w:val="00E95D94"/>
    <w:rsid w:val="00E964AE"/>
    <w:rsid w:val="00E970EA"/>
    <w:rsid w:val="00E972EA"/>
    <w:rsid w:val="00E9760A"/>
    <w:rsid w:val="00EA0329"/>
    <w:rsid w:val="00EA049F"/>
    <w:rsid w:val="00EA17C3"/>
    <w:rsid w:val="00EA1D66"/>
    <w:rsid w:val="00EA2CAA"/>
    <w:rsid w:val="00EA3864"/>
    <w:rsid w:val="00EA5FCB"/>
    <w:rsid w:val="00EA6B3F"/>
    <w:rsid w:val="00EA6FDB"/>
    <w:rsid w:val="00EA71AA"/>
    <w:rsid w:val="00EA7E89"/>
    <w:rsid w:val="00EB0985"/>
    <w:rsid w:val="00EB127F"/>
    <w:rsid w:val="00EB15B6"/>
    <w:rsid w:val="00EB160E"/>
    <w:rsid w:val="00EB2686"/>
    <w:rsid w:val="00EB28D1"/>
    <w:rsid w:val="00EB29FF"/>
    <w:rsid w:val="00EB4916"/>
    <w:rsid w:val="00EB4C84"/>
    <w:rsid w:val="00EB5362"/>
    <w:rsid w:val="00EB6479"/>
    <w:rsid w:val="00EB68A0"/>
    <w:rsid w:val="00EB6D66"/>
    <w:rsid w:val="00EB77EA"/>
    <w:rsid w:val="00EC00C9"/>
    <w:rsid w:val="00EC01E5"/>
    <w:rsid w:val="00EC08D6"/>
    <w:rsid w:val="00EC0BC0"/>
    <w:rsid w:val="00EC0FEA"/>
    <w:rsid w:val="00EC1E2D"/>
    <w:rsid w:val="00EC20A0"/>
    <w:rsid w:val="00EC2649"/>
    <w:rsid w:val="00EC418A"/>
    <w:rsid w:val="00EC4841"/>
    <w:rsid w:val="00EC4BF0"/>
    <w:rsid w:val="00EC4F12"/>
    <w:rsid w:val="00EC5417"/>
    <w:rsid w:val="00EC660B"/>
    <w:rsid w:val="00EC68B8"/>
    <w:rsid w:val="00EC7306"/>
    <w:rsid w:val="00EC7B35"/>
    <w:rsid w:val="00EC7CC0"/>
    <w:rsid w:val="00ED031C"/>
    <w:rsid w:val="00ED084A"/>
    <w:rsid w:val="00ED09E9"/>
    <w:rsid w:val="00ED14E3"/>
    <w:rsid w:val="00ED159C"/>
    <w:rsid w:val="00ED25B3"/>
    <w:rsid w:val="00ED29A5"/>
    <w:rsid w:val="00ED4342"/>
    <w:rsid w:val="00ED48C3"/>
    <w:rsid w:val="00ED54F4"/>
    <w:rsid w:val="00ED57EA"/>
    <w:rsid w:val="00ED5806"/>
    <w:rsid w:val="00ED67C6"/>
    <w:rsid w:val="00ED7224"/>
    <w:rsid w:val="00ED7CD7"/>
    <w:rsid w:val="00ED7DAD"/>
    <w:rsid w:val="00EE07D3"/>
    <w:rsid w:val="00EE0ADB"/>
    <w:rsid w:val="00EE16F7"/>
    <w:rsid w:val="00EE1702"/>
    <w:rsid w:val="00EE20AC"/>
    <w:rsid w:val="00EE22AF"/>
    <w:rsid w:val="00EE3D78"/>
    <w:rsid w:val="00EE3F5F"/>
    <w:rsid w:val="00EE42EE"/>
    <w:rsid w:val="00EE471B"/>
    <w:rsid w:val="00EE6695"/>
    <w:rsid w:val="00EE6D2A"/>
    <w:rsid w:val="00EE78C2"/>
    <w:rsid w:val="00EE7B85"/>
    <w:rsid w:val="00EF0171"/>
    <w:rsid w:val="00EF0235"/>
    <w:rsid w:val="00EF071A"/>
    <w:rsid w:val="00EF1B08"/>
    <w:rsid w:val="00EF1B25"/>
    <w:rsid w:val="00EF25B0"/>
    <w:rsid w:val="00EF283B"/>
    <w:rsid w:val="00EF3105"/>
    <w:rsid w:val="00EF4747"/>
    <w:rsid w:val="00EF4BF8"/>
    <w:rsid w:val="00EF553A"/>
    <w:rsid w:val="00EF57F9"/>
    <w:rsid w:val="00F00ACC"/>
    <w:rsid w:val="00F00ADB"/>
    <w:rsid w:val="00F011FB"/>
    <w:rsid w:val="00F02253"/>
    <w:rsid w:val="00F025DE"/>
    <w:rsid w:val="00F03C2E"/>
    <w:rsid w:val="00F03ED8"/>
    <w:rsid w:val="00F03EE8"/>
    <w:rsid w:val="00F04A66"/>
    <w:rsid w:val="00F04D67"/>
    <w:rsid w:val="00F0516C"/>
    <w:rsid w:val="00F05239"/>
    <w:rsid w:val="00F0635F"/>
    <w:rsid w:val="00F067A2"/>
    <w:rsid w:val="00F06E06"/>
    <w:rsid w:val="00F07B45"/>
    <w:rsid w:val="00F10A87"/>
    <w:rsid w:val="00F123B5"/>
    <w:rsid w:val="00F1263A"/>
    <w:rsid w:val="00F12E2A"/>
    <w:rsid w:val="00F13637"/>
    <w:rsid w:val="00F137A7"/>
    <w:rsid w:val="00F1387B"/>
    <w:rsid w:val="00F1497F"/>
    <w:rsid w:val="00F1621C"/>
    <w:rsid w:val="00F162F8"/>
    <w:rsid w:val="00F20D5D"/>
    <w:rsid w:val="00F215C2"/>
    <w:rsid w:val="00F2292E"/>
    <w:rsid w:val="00F2367C"/>
    <w:rsid w:val="00F241E2"/>
    <w:rsid w:val="00F243FB"/>
    <w:rsid w:val="00F245B9"/>
    <w:rsid w:val="00F24837"/>
    <w:rsid w:val="00F24BA3"/>
    <w:rsid w:val="00F24C08"/>
    <w:rsid w:val="00F25552"/>
    <w:rsid w:val="00F2575F"/>
    <w:rsid w:val="00F25F67"/>
    <w:rsid w:val="00F26EA5"/>
    <w:rsid w:val="00F26EC0"/>
    <w:rsid w:val="00F27565"/>
    <w:rsid w:val="00F30471"/>
    <w:rsid w:val="00F3102B"/>
    <w:rsid w:val="00F310D4"/>
    <w:rsid w:val="00F31D5A"/>
    <w:rsid w:val="00F324F6"/>
    <w:rsid w:val="00F33C42"/>
    <w:rsid w:val="00F33DE9"/>
    <w:rsid w:val="00F34B83"/>
    <w:rsid w:val="00F34D44"/>
    <w:rsid w:val="00F34E34"/>
    <w:rsid w:val="00F3619A"/>
    <w:rsid w:val="00F3671C"/>
    <w:rsid w:val="00F36E9F"/>
    <w:rsid w:val="00F37F73"/>
    <w:rsid w:val="00F4058F"/>
    <w:rsid w:val="00F4091D"/>
    <w:rsid w:val="00F40AAA"/>
    <w:rsid w:val="00F40BA7"/>
    <w:rsid w:val="00F41441"/>
    <w:rsid w:val="00F41F2C"/>
    <w:rsid w:val="00F43363"/>
    <w:rsid w:val="00F43C38"/>
    <w:rsid w:val="00F43D07"/>
    <w:rsid w:val="00F43FFB"/>
    <w:rsid w:val="00F44E3B"/>
    <w:rsid w:val="00F457D5"/>
    <w:rsid w:val="00F45871"/>
    <w:rsid w:val="00F45EEC"/>
    <w:rsid w:val="00F45F25"/>
    <w:rsid w:val="00F463B8"/>
    <w:rsid w:val="00F46CB6"/>
    <w:rsid w:val="00F4760A"/>
    <w:rsid w:val="00F47697"/>
    <w:rsid w:val="00F47D4F"/>
    <w:rsid w:val="00F47DE8"/>
    <w:rsid w:val="00F50496"/>
    <w:rsid w:val="00F50F72"/>
    <w:rsid w:val="00F51652"/>
    <w:rsid w:val="00F51983"/>
    <w:rsid w:val="00F5227D"/>
    <w:rsid w:val="00F5235B"/>
    <w:rsid w:val="00F52BE7"/>
    <w:rsid w:val="00F52F8E"/>
    <w:rsid w:val="00F534BC"/>
    <w:rsid w:val="00F5429E"/>
    <w:rsid w:val="00F542C1"/>
    <w:rsid w:val="00F547CB"/>
    <w:rsid w:val="00F5545E"/>
    <w:rsid w:val="00F55E73"/>
    <w:rsid w:val="00F55EDA"/>
    <w:rsid w:val="00F55F34"/>
    <w:rsid w:val="00F568EB"/>
    <w:rsid w:val="00F56A00"/>
    <w:rsid w:val="00F56CA4"/>
    <w:rsid w:val="00F570E6"/>
    <w:rsid w:val="00F573E4"/>
    <w:rsid w:val="00F57DBF"/>
    <w:rsid w:val="00F57E9A"/>
    <w:rsid w:val="00F60092"/>
    <w:rsid w:val="00F60F52"/>
    <w:rsid w:val="00F61434"/>
    <w:rsid w:val="00F640A7"/>
    <w:rsid w:val="00F641CD"/>
    <w:rsid w:val="00F64484"/>
    <w:rsid w:val="00F6463A"/>
    <w:rsid w:val="00F64A39"/>
    <w:rsid w:val="00F64B14"/>
    <w:rsid w:val="00F65187"/>
    <w:rsid w:val="00F65AD4"/>
    <w:rsid w:val="00F65F4B"/>
    <w:rsid w:val="00F66316"/>
    <w:rsid w:val="00F67C39"/>
    <w:rsid w:val="00F706CD"/>
    <w:rsid w:val="00F70C9D"/>
    <w:rsid w:val="00F70F9B"/>
    <w:rsid w:val="00F73AFB"/>
    <w:rsid w:val="00F74CD9"/>
    <w:rsid w:val="00F7551E"/>
    <w:rsid w:val="00F75675"/>
    <w:rsid w:val="00F770BB"/>
    <w:rsid w:val="00F77457"/>
    <w:rsid w:val="00F77F2F"/>
    <w:rsid w:val="00F80A7B"/>
    <w:rsid w:val="00F80C94"/>
    <w:rsid w:val="00F80E5D"/>
    <w:rsid w:val="00F81359"/>
    <w:rsid w:val="00F813F7"/>
    <w:rsid w:val="00F8153A"/>
    <w:rsid w:val="00F81BE5"/>
    <w:rsid w:val="00F833B1"/>
    <w:rsid w:val="00F83D22"/>
    <w:rsid w:val="00F84F95"/>
    <w:rsid w:val="00F851CE"/>
    <w:rsid w:val="00F87ABC"/>
    <w:rsid w:val="00F87E71"/>
    <w:rsid w:val="00F90347"/>
    <w:rsid w:val="00F9054C"/>
    <w:rsid w:val="00F90652"/>
    <w:rsid w:val="00F90C95"/>
    <w:rsid w:val="00F91219"/>
    <w:rsid w:val="00F91598"/>
    <w:rsid w:val="00F91C34"/>
    <w:rsid w:val="00F92A3E"/>
    <w:rsid w:val="00F92EE7"/>
    <w:rsid w:val="00F92F92"/>
    <w:rsid w:val="00F932E5"/>
    <w:rsid w:val="00F93591"/>
    <w:rsid w:val="00F93672"/>
    <w:rsid w:val="00F93C99"/>
    <w:rsid w:val="00F94428"/>
    <w:rsid w:val="00F9458B"/>
    <w:rsid w:val="00F94E46"/>
    <w:rsid w:val="00F95136"/>
    <w:rsid w:val="00F95145"/>
    <w:rsid w:val="00F95AC9"/>
    <w:rsid w:val="00F97072"/>
    <w:rsid w:val="00F97A5A"/>
    <w:rsid w:val="00F97A78"/>
    <w:rsid w:val="00F97DD0"/>
    <w:rsid w:val="00FA0B20"/>
    <w:rsid w:val="00FA1133"/>
    <w:rsid w:val="00FA12BC"/>
    <w:rsid w:val="00FA2205"/>
    <w:rsid w:val="00FA24E7"/>
    <w:rsid w:val="00FA2ACF"/>
    <w:rsid w:val="00FA2D61"/>
    <w:rsid w:val="00FA51A9"/>
    <w:rsid w:val="00FA5996"/>
    <w:rsid w:val="00FA69AA"/>
    <w:rsid w:val="00FA7214"/>
    <w:rsid w:val="00FB0581"/>
    <w:rsid w:val="00FB1654"/>
    <w:rsid w:val="00FB1F70"/>
    <w:rsid w:val="00FB2929"/>
    <w:rsid w:val="00FB2FCB"/>
    <w:rsid w:val="00FB3A1A"/>
    <w:rsid w:val="00FB3B38"/>
    <w:rsid w:val="00FB44A2"/>
    <w:rsid w:val="00FB62C2"/>
    <w:rsid w:val="00FB65F1"/>
    <w:rsid w:val="00FB66E7"/>
    <w:rsid w:val="00FB6A14"/>
    <w:rsid w:val="00FB6A62"/>
    <w:rsid w:val="00FB72B4"/>
    <w:rsid w:val="00FB752F"/>
    <w:rsid w:val="00FC0113"/>
    <w:rsid w:val="00FC0DD7"/>
    <w:rsid w:val="00FC1074"/>
    <w:rsid w:val="00FC10FC"/>
    <w:rsid w:val="00FC1114"/>
    <w:rsid w:val="00FC12F4"/>
    <w:rsid w:val="00FC156D"/>
    <w:rsid w:val="00FC1884"/>
    <w:rsid w:val="00FC1919"/>
    <w:rsid w:val="00FC1CBC"/>
    <w:rsid w:val="00FC22B3"/>
    <w:rsid w:val="00FC2573"/>
    <w:rsid w:val="00FC2EAF"/>
    <w:rsid w:val="00FC345A"/>
    <w:rsid w:val="00FC371D"/>
    <w:rsid w:val="00FC39DF"/>
    <w:rsid w:val="00FC3D05"/>
    <w:rsid w:val="00FC4015"/>
    <w:rsid w:val="00FC5C5A"/>
    <w:rsid w:val="00FC5F0B"/>
    <w:rsid w:val="00FC6600"/>
    <w:rsid w:val="00FC6A02"/>
    <w:rsid w:val="00FC774B"/>
    <w:rsid w:val="00FD2100"/>
    <w:rsid w:val="00FD2E61"/>
    <w:rsid w:val="00FD3529"/>
    <w:rsid w:val="00FD3F90"/>
    <w:rsid w:val="00FD436C"/>
    <w:rsid w:val="00FD446D"/>
    <w:rsid w:val="00FD5596"/>
    <w:rsid w:val="00FD5B76"/>
    <w:rsid w:val="00FD6394"/>
    <w:rsid w:val="00FD64AD"/>
    <w:rsid w:val="00FD6CAA"/>
    <w:rsid w:val="00FD72A6"/>
    <w:rsid w:val="00FD7A3D"/>
    <w:rsid w:val="00FD7FCA"/>
    <w:rsid w:val="00FE0353"/>
    <w:rsid w:val="00FE0C20"/>
    <w:rsid w:val="00FE0E6C"/>
    <w:rsid w:val="00FE102E"/>
    <w:rsid w:val="00FE15B1"/>
    <w:rsid w:val="00FE4494"/>
    <w:rsid w:val="00FE4F4B"/>
    <w:rsid w:val="00FE70C3"/>
    <w:rsid w:val="00FE7197"/>
    <w:rsid w:val="00FF03F3"/>
    <w:rsid w:val="00FF04C8"/>
    <w:rsid w:val="00FF0D94"/>
    <w:rsid w:val="00FF3616"/>
    <w:rsid w:val="00FF3DCF"/>
    <w:rsid w:val="00FF403D"/>
    <w:rsid w:val="00FF4122"/>
    <w:rsid w:val="00FF492C"/>
    <w:rsid w:val="00FF4A21"/>
    <w:rsid w:val="00FF54E8"/>
    <w:rsid w:val="00FF5631"/>
    <w:rsid w:val="00FF5AA3"/>
    <w:rsid w:val="00FF5AD8"/>
    <w:rsid w:val="00FF5F67"/>
    <w:rsid w:val="00FF629A"/>
    <w:rsid w:val="00FF6326"/>
    <w:rsid w:val="00FF6E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8EB"/>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uiPriority w:val="9"/>
    <w:qFormat/>
    <w:rsid w:val="00F95136"/>
    <w:pPr>
      <w:numPr>
        <w:numId w:val="7"/>
      </w:numPr>
      <w:outlineLvl w:val="0"/>
    </w:pPr>
    <w:rPr>
      <w:rFonts w:eastAsiaTheme="majorEastAsia"/>
      <w:snapToGrid/>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1"/>
    <w:unhideWhenUsed/>
    <w:qFormat/>
    <w:rsid w:val="005055C0"/>
    <w:pPr>
      <w:keepNext/>
    </w:pPr>
    <w:rPr>
      <w:rFonts w:ascii="Arial Narrow" w:hAnsi="Arial Narrow"/>
      <w:b/>
      <w:bCs/>
      <w:sz w:val="20"/>
      <w:szCs w:val="20"/>
    </w:rPr>
  </w:style>
  <w:style w:type="character" w:customStyle="1" w:styleId="CaptionChar">
    <w:name w:val="Caption Char"/>
    <w:link w:val="Caption"/>
    <w:uiPriority w:val="1"/>
    <w:rsid w:val="005055C0"/>
    <w:rPr>
      <w:rFonts w:ascii="Arial Narrow" w:hAnsi="Arial Narrow" w:cs="Arial"/>
      <w:b/>
      <w:bCs/>
      <w:snapToGrid w:val="0"/>
      <w:lang w:eastAsia="en-US"/>
    </w:rPr>
  </w:style>
  <w:style w:type="paragraph" w:styleId="Title">
    <w:name w:val="Title"/>
    <w:basedOn w:val="Normal"/>
    <w:next w:val="Normal"/>
    <w:link w:val="TitleChar"/>
    <w:qFormat/>
    <w:rsid w:val="009641A7"/>
    <w:pPr>
      <w:outlineLvl w:val="0"/>
    </w:pPr>
    <w:rPr>
      <w:rFonts w:eastAsia="Calibri"/>
      <w:b/>
      <w:sz w:val="36"/>
      <w:szCs w:val="36"/>
    </w:rPr>
  </w:style>
  <w:style w:type="character" w:customStyle="1" w:styleId="TitleChar">
    <w:name w:val="Title Char"/>
    <w:basedOn w:val="DefaultParagraphFont"/>
    <w:link w:val="Title"/>
    <w:rsid w:val="009641A7"/>
    <w:rPr>
      <w:rFonts w:ascii="Calibri" w:eastAsia="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1. Bullet Blank,Bullet1,Bullet 1,Bulleted - 2,Bullets Points,List Paragraph1,Bullet point,List Paragraph11,Recommendation,Footnote,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1. Bullet Blank Char,Bullet1 Char,Bullet 1 Char,Bulleted - 2 Char,Bullets Points Char,List Paragraph1 Char,Bullet point Char,List Paragraph11 Char,Recommendation Char,Footnote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2351BE"/>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2351BE"/>
    <w:rPr>
      <w:rFonts w:ascii="Arial Narrow" w:eastAsiaTheme="minorHAnsi" w:hAnsi="Arial Narrow" w:cstheme="minorBidi"/>
      <w:szCs w:val="22"/>
      <w:lang w:eastAsia="en-US"/>
    </w:rPr>
  </w:style>
  <w:style w:type="paragraph" w:customStyle="1" w:styleId="Default">
    <w:name w:val="Default"/>
    <w:rsid w:val="00BB4842"/>
    <w:pPr>
      <w:autoSpaceDE w:val="0"/>
      <w:autoSpaceDN w:val="0"/>
      <w:adjustRightInd w:val="0"/>
    </w:pPr>
    <w:rPr>
      <w:color w:val="000000"/>
      <w:sz w:val="24"/>
      <w:szCs w:val="24"/>
      <w:lang w:val="en-US" w:eastAsia="en-US"/>
    </w:rPr>
  </w:style>
  <w:style w:type="paragraph" w:customStyle="1" w:styleId="TableNotes">
    <w:name w:val="TableNotes"/>
    <w:basedOn w:val="Normal"/>
    <w:next w:val="Normal"/>
    <w:link w:val="TableNotesChar"/>
    <w:uiPriority w:val="3"/>
    <w:qFormat/>
    <w:rsid w:val="006A5FA9"/>
    <w:pPr>
      <w:widowControl/>
      <w:tabs>
        <w:tab w:val="left" w:pos="1134"/>
      </w:tabs>
      <w:ind w:left="1134" w:hanging="1134"/>
      <w:jc w:val="left"/>
    </w:pPr>
    <w:rPr>
      <w:rFonts w:eastAsiaTheme="minorEastAsia" w:cstheme="minorBidi"/>
      <w:snapToGrid/>
      <w:sz w:val="18"/>
      <w:szCs w:val="18"/>
    </w:rPr>
  </w:style>
  <w:style w:type="character" w:customStyle="1" w:styleId="TableNotesChar">
    <w:name w:val="TableNotes Char"/>
    <w:basedOn w:val="DefaultParagraphFont"/>
    <w:link w:val="TableNotes"/>
    <w:uiPriority w:val="3"/>
    <w:rsid w:val="006A5FA9"/>
    <w:rPr>
      <w:rFonts w:ascii="Calibri" w:eastAsiaTheme="minorEastAsia" w:hAnsi="Calibri" w:cstheme="minorBidi"/>
      <w:sz w:val="18"/>
      <w:szCs w:val="18"/>
      <w:lang w:eastAsia="en-US"/>
    </w:rPr>
  </w:style>
  <w:style w:type="paragraph" w:customStyle="1" w:styleId="TableText1">
    <w:name w:val="TableText"/>
    <w:basedOn w:val="Normal"/>
    <w:link w:val="TableTextChar1"/>
    <w:uiPriority w:val="1"/>
    <w:qFormat/>
    <w:rsid w:val="00EC7306"/>
    <w:pPr>
      <w:widowControl/>
      <w:spacing w:before="20" w:after="20"/>
      <w:jc w:val="left"/>
    </w:pPr>
    <w:rPr>
      <w:rFonts w:cs="Calibri"/>
      <w:bCs/>
      <w:snapToGrid/>
      <w:sz w:val="20"/>
      <w:szCs w:val="20"/>
      <w:lang w:eastAsia="zh-CN"/>
    </w:rPr>
  </w:style>
  <w:style w:type="character" w:customStyle="1" w:styleId="TableTextChar1">
    <w:name w:val="TableText Char"/>
    <w:basedOn w:val="DefaultParagraphFont"/>
    <w:link w:val="TableText1"/>
    <w:uiPriority w:val="1"/>
    <w:rsid w:val="00EC7306"/>
    <w:rPr>
      <w:rFonts w:ascii="Calibri" w:hAnsi="Calibri" w:cs="Calibri"/>
      <w:bCs/>
      <w:lang w:eastAsia="zh-CN"/>
    </w:rPr>
  </w:style>
  <w:style w:type="paragraph" w:customStyle="1" w:styleId="TableHeadingRow">
    <w:name w:val="TableHeadingRow"/>
    <w:basedOn w:val="Normal"/>
    <w:uiPriority w:val="3"/>
    <w:qFormat/>
    <w:rsid w:val="00795133"/>
    <w:pPr>
      <w:keepNext/>
      <w:widowControl/>
      <w:spacing w:before="20" w:after="20"/>
    </w:pPr>
    <w:rPr>
      <w:rFonts w:ascii="Arial Narrow" w:hAnsi="Arial Narrow" w:cstheme="minorHAnsi"/>
      <w:b/>
      <w:snapToGrid/>
      <w:sz w:val="20"/>
      <w:szCs w:val="20"/>
    </w:rPr>
  </w:style>
  <w:style w:type="table" w:styleId="PlainTable5">
    <w:name w:val="Plain Table 5"/>
    <w:basedOn w:val="TableNormal"/>
    <w:uiPriority w:val="45"/>
    <w:rsid w:val="00EE6D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ableofFigures">
    <w:name w:val="table of figures"/>
    <w:next w:val="Normal"/>
    <w:uiPriority w:val="99"/>
    <w:rsid w:val="001A5439"/>
    <w:pPr>
      <w:tabs>
        <w:tab w:val="left" w:pos="1134"/>
        <w:tab w:val="right" w:leader="dot" w:pos="9923"/>
      </w:tabs>
      <w:spacing w:after="40"/>
      <w:ind w:left="1134" w:right="-2" w:hanging="1134"/>
      <w:jc w:val="both"/>
    </w:pPr>
    <w:rPr>
      <w:rFonts w:asciiTheme="minorHAnsi" w:eastAsiaTheme="minorEastAsia" w:hAnsiTheme="minorHAnsi" w:cstheme="minorBidi"/>
      <w:noProof/>
      <w:sz w:val="22"/>
      <w:szCs w:val="22"/>
      <w:lang w:eastAsia="zh-CN"/>
    </w:rPr>
  </w:style>
  <w:style w:type="paragraph" w:customStyle="1" w:styleId="TableNumbered">
    <w:name w:val="Table Numbered"/>
    <w:basedOn w:val="Normal"/>
    <w:qFormat/>
    <w:rsid w:val="00BA7DD7"/>
    <w:pPr>
      <w:widowControl/>
      <w:numPr>
        <w:numId w:val="4"/>
      </w:numPr>
      <w:spacing w:before="40" w:after="40"/>
      <w:ind w:left="357" w:hanging="357"/>
      <w:jc w:val="left"/>
    </w:pPr>
    <w:rPr>
      <w:rFonts w:asciiTheme="minorHAnsi" w:eastAsiaTheme="minorEastAsia" w:hAnsiTheme="minorHAnsi" w:cstheme="minorHAnsi"/>
      <w:snapToGrid/>
      <w:sz w:val="20"/>
      <w:lang w:eastAsia="zh-CN"/>
    </w:rPr>
  </w:style>
  <w:style w:type="paragraph" w:customStyle="1" w:styleId="TableTextCA">
    <w:name w:val="Table Text CA"/>
    <w:basedOn w:val="TableText0"/>
    <w:qFormat/>
    <w:rsid w:val="008F5F50"/>
    <w:pPr>
      <w:keepNext w:val="0"/>
      <w:jc w:val="center"/>
    </w:pPr>
    <w:rPr>
      <w:rFonts w:asciiTheme="minorHAnsi" w:eastAsiaTheme="minorEastAsia" w:hAnsiTheme="minorHAnsi" w:cstheme="minorHAnsi"/>
      <w:lang w:eastAsia="zh-CN"/>
    </w:rPr>
  </w:style>
  <w:style w:type="paragraph" w:styleId="FootnoteText">
    <w:name w:val="footnote text"/>
    <w:basedOn w:val="Normal"/>
    <w:link w:val="FootnoteTextChar"/>
    <w:unhideWhenUsed/>
    <w:rsid w:val="0023416A"/>
    <w:rPr>
      <w:sz w:val="20"/>
      <w:szCs w:val="20"/>
    </w:rPr>
  </w:style>
  <w:style w:type="character" w:customStyle="1" w:styleId="FootnoteTextChar">
    <w:name w:val="Footnote Text Char"/>
    <w:basedOn w:val="DefaultParagraphFont"/>
    <w:link w:val="FootnoteText"/>
    <w:rsid w:val="0023416A"/>
    <w:rPr>
      <w:rFonts w:ascii="Calibri" w:hAnsi="Calibri" w:cs="Arial"/>
      <w:snapToGrid w:val="0"/>
      <w:lang w:eastAsia="en-US"/>
    </w:rPr>
  </w:style>
  <w:style w:type="character" w:styleId="FootnoteReference">
    <w:name w:val="footnote reference"/>
    <w:basedOn w:val="DefaultParagraphFont"/>
    <w:unhideWhenUsed/>
    <w:rsid w:val="0023416A"/>
    <w:rPr>
      <w:vertAlign w:val="superscript"/>
    </w:rPr>
  </w:style>
  <w:style w:type="paragraph" w:customStyle="1" w:styleId="SourceNotes">
    <w:name w:val="SourceNotes"/>
    <w:basedOn w:val="TableNotes"/>
    <w:link w:val="SourceNotesChar"/>
    <w:uiPriority w:val="3"/>
    <w:qFormat/>
    <w:rsid w:val="00867D7F"/>
    <w:pPr>
      <w:keepNext/>
      <w:keepLines/>
    </w:pPr>
  </w:style>
  <w:style w:type="character" w:customStyle="1" w:styleId="SourceNotesChar">
    <w:name w:val="SourceNotes Char"/>
    <w:basedOn w:val="DefaultParagraphFont"/>
    <w:link w:val="SourceNotes"/>
    <w:uiPriority w:val="3"/>
    <w:rsid w:val="00867D7F"/>
    <w:rPr>
      <w:rFonts w:ascii="Calibri" w:eastAsiaTheme="minorEastAsia" w:hAnsi="Calibri" w:cstheme="minorBidi"/>
      <w:sz w:val="18"/>
      <w:szCs w:val="18"/>
      <w:lang w:eastAsia="en-US"/>
    </w:rPr>
  </w:style>
  <w:style w:type="paragraph" w:customStyle="1" w:styleId="ESParagraph">
    <w:name w:val="ESParagraph"/>
    <w:basedOn w:val="Normal"/>
    <w:link w:val="ESParagraphChar"/>
    <w:uiPriority w:val="21"/>
    <w:qFormat/>
    <w:rsid w:val="00385A68"/>
    <w:pPr>
      <w:widowControl/>
      <w:spacing w:before="120"/>
    </w:pPr>
    <w:rPr>
      <w:rFonts w:eastAsiaTheme="minorEastAsia" w:cstheme="minorBidi"/>
      <w:snapToGrid/>
      <w:sz w:val="22"/>
      <w:lang w:eastAsia="zh-CN"/>
    </w:rPr>
  </w:style>
  <w:style w:type="character" w:customStyle="1" w:styleId="ESParagraphChar">
    <w:name w:val="ESParagraph Char"/>
    <w:basedOn w:val="DefaultParagraphFont"/>
    <w:link w:val="ESParagraph"/>
    <w:uiPriority w:val="21"/>
    <w:rsid w:val="00385A68"/>
    <w:rPr>
      <w:rFonts w:ascii="Calibri" w:eastAsiaTheme="minorEastAsia" w:hAnsi="Calibri" w:cstheme="minorBidi"/>
      <w:sz w:val="22"/>
      <w:szCs w:val="22"/>
      <w:lang w:eastAsia="zh-CN"/>
    </w:rPr>
  </w:style>
  <w:style w:type="paragraph" w:customStyle="1" w:styleId="ESTableText">
    <w:name w:val="ESTableText"/>
    <w:basedOn w:val="TableText1"/>
    <w:link w:val="ESTableTextChar"/>
    <w:uiPriority w:val="1"/>
    <w:qFormat/>
    <w:rsid w:val="009D1792"/>
    <w:rPr>
      <w:rFonts w:eastAsia="SimSun" w:cstheme="minorHAnsi"/>
    </w:rPr>
  </w:style>
  <w:style w:type="character" w:customStyle="1" w:styleId="ESTableTextChar">
    <w:name w:val="ESTableText Char"/>
    <w:basedOn w:val="TableTextChar1"/>
    <w:link w:val="ESTableText"/>
    <w:uiPriority w:val="1"/>
    <w:rsid w:val="009D1792"/>
    <w:rPr>
      <w:rFonts w:ascii="Calibri" w:eastAsia="SimSun" w:hAnsi="Calibri" w:cstheme="minorHAnsi"/>
      <w:bCs/>
      <w:lang w:eastAsia="zh-CN"/>
    </w:rPr>
  </w:style>
  <w:style w:type="table" w:customStyle="1" w:styleId="TableGrid1">
    <w:name w:val="Table Grid1"/>
    <w:basedOn w:val="TableNormal"/>
    <w:next w:val="TableGrid"/>
    <w:uiPriority w:val="59"/>
    <w:rsid w:val="000F7F0F"/>
    <w:pPr>
      <w:jc w:val="both"/>
    </w:pPr>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0">
    <w:name w:val="Table Heading"/>
    <w:basedOn w:val="Normal"/>
    <w:qFormat/>
    <w:rsid w:val="00256634"/>
    <w:pPr>
      <w:keepNext/>
      <w:widowControl/>
      <w:jc w:val="left"/>
    </w:pPr>
    <w:rPr>
      <w:rFonts w:ascii="Arial Narrow" w:eastAsiaTheme="minorHAnsi" w:hAnsi="Arial Narrow" w:cstheme="minorBidi"/>
      <w:b/>
      <w:bCs/>
      <w:snapToGrid/>
      <w:sz w:val="20"/>
    </w:rPr>
  </w:style>
  <w:style w:type="table" w:customStyle="1" w:styleId="TableGrid145">
    <w:name w:val="Table Grid145"/>
    <w:basedOn w:val="TableNormal"/>
    <w:next w:val="TableGrid"/>
    <w:rsid w:val="0053797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StylePr>
  </w:style>
  <w:style w:type="paragraph" w:customStyle="1" w:styleId="PortraitFooter">
    <w:name w:val="Portrait Footer"/>
    <w:basedOn w:val="Normal"/>
    <w:link w:val="PortraitFooterChar"/>
    <w:uiPriority w:val="5"/>
    <w:qFormat/>
    <w:rsid w:val="00F20D5D"/>
    <w:pPr>
      <w:widowControl/>
      <w:tabs>
        <w:tab w:val="center" w:pos="5103"/>
        <w:tab w:val="right" w:pos="9637"/>
      </w:tabs>
    </w:pPr>
    <w:rPr>
      <w:rFonts w:eastAsiaTheme="minorEastAsia" w:cstheme="minorBidi"/>
      <w:snapToGrid/>
      <w:sz w:val="18"/>
      <w:szCs w:val="18"/>
      <w:lang w:eastAsia="zh-CN"/>
    </w:rPr>
  </w:style>
  <w:style w:type="character" w:customStyle="1" w:styleId="PortraitFooterChar">
    <w:name w:val="Portrait Footer Char"/>
    <w:basedOn w:val="DefaultParagraphFont"/>
    <w:link w:val="PortraitFooter"/>
    <w:uiPriority w:val="5"/>
    <w:rsid w:val="00F20D5D"/>
    <w:rPr>
      <w:rFonts w:ascii="Calibri" w:eastAsiaTheme="minorEastAsia" w:hAnsi="Calibri" w:cstheme="minorBidi"/>
      <w:sz w:val="18"/>
      <w:szCs w:val="18"/>
      <w:lang w:eastAsia="zh-CN"/>
    </w:rPr>
  </w:style>
  <w:style w:type="paragraph" w:customStyle="1" w:styleId="PortraitHeaderPBAC">
    <w:name w:val="Portrait Header PBAC"/>
    <w:basedOn w:val="Normal"/>
    <w:link w:val="PortraitHeaderPBACChar"/>
    <w:uiPriority w:val="5"/>
    <w:qFormat/>
    <w:rsid w:val="00F20D5D"/>
    <w:pPr>
      <w:widowControl/>
      <w:pBdr>
        <w:bottom w:val="single" w:sz="4" w:space="2" w:color="000000" w:themeColor="text1"/>
      </w:pBdr>
      <w:tabs>
        <w:tab w:val="right" w:pos="9921"/>
      </w:tabs>
      <w:spacing w:before="120" w:after="120"/>
    </w:pPr>
    <w:rPr>
      <w:rFonts w:eastAsiaTheme="minorEastAsia" w:cstheme="minorBidi"/>
      <w:snapToGrid/>
      <w:sz w:val="18"/>
      <w:szCs w:val="18"/>
      <w:lang w:eastAsia="zh-CN"/>
    </w:rPr>
  </w:style>
  <w:style w:type="character" w:customStyle="1" w:styleId="PortraitHeaderPBACChar">
    <w:name w:val="Portrait Header PBAC Char"/>
    <w:basedOn w:val="DefaultParagraphFont"/>
    <w:link w:val="PortraitHeaderPBAC"/>
    <w:uiPriority w:val="5"/>
    <w:rsid w:val="00F20D5D"/>
    <w:rPr>
      <w:rFonts w:ascii="Calibri" w:eastAsiaTheme="minorEastAsia" w:hAnsi="Calibri" w:cstheme="minorBidi"/>
      <w:sz w:val="18"/>
      <w:szCs w:val="18"/>
      <w:lang w:eastAsia="zh-CN"/>
    </w:rPr>
  </w:style>
  <w:style w:type="table" w:customStyle="1" w:styleId="TableGrid5">
    <w:name w:val="Table Grid5"/>
    <w:basedOn w:val="TableNormal"/>
    <w:next w:val="TableGrid"/>
    <w:uiPriority w:val="59"/>
    <w:rsid w:val="00F20D5D"/>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Headings">
    <w:name w:val="Headings"/>
    <w:uiPriority w:val="99"/>
    <w:rsid w:val="009E51D0"/>
    <w:pPr>
      <w:numPr>
        <w:numId w:val="5"/>
      </w:numPr>
    </w:pPr>
  </w:style>
  <w:style w:type="paragraph" w:customStyle="1" w:styleId="HEADING1BODY">
    <w:name w:val="HEADING 1 BODY"/>
    <w:basedOn w:val="Heading1"/>
    <w:qFormat/>
    <w:rsid w:val="00A36071"/>
    <w:pPr>
      <w:ind w:left="0" w:firstLine="0"/>
    </w:pPr>
  </w:style>
  <w:style w:type="character" w:customStyle="1" w:styleId="Heading1Char">
    <w:name w:val="Heading 1 Char"/>
    <w:basedOn w:val="DefaultParagraphFont"/>
    <w:link w:val="Heading1"/>
    <w:uiPriority w:val="9"/>
    <w:rsid w:val="00F95136"/>
    <w:rPr>
      <w:rFonts w:ascii="Calibri" w:eastAsiaTheme="majorEastAsia" w:hAnsi="Calibri" w:cs="Arial"/>
      <w:b/>
      <w:sz w:val="32"/>
      <w:szCs w:val="22"/>
      <w:lang w:eastAsia="en-US"/>
    </w:rPr>
  </w:style>
  <w:style w:type="paragraph" w:customStyle="1" w:styleId="TableBodytext">
    <w:name w:val="Table_Body text"/>
    <w:basedOn w:val="BodyText"/>
    <w:rsid w:val="003A6401"/>
    <w:pPr>
      <w:widowControl/>
      <w:spacing w:before="60" w:after="60"/>
    </w:pPr>
    <w:rPr>
      <w:rFonts w:ascii="Verdana" w:eastAsiaTheme="minorHAnsi" w:hAnsi="Verdana"/>
      <w:snapToGrid/>
      <w:sz w:val="18"/>
      <w:szCs w:val="24"/>
    </w:rPr>
  </w:style>
  <w:style w:type="paragraph" w:styleId="BodyText3">
    <w:name w:val="Body Text 3"/>
    <w:basedOn w:val="Normal"/>
    <w:link w:val="BodyText3Char"/>
    <w:semiHidden/>
    <w:unhideWhenUsed/>
    <w:rsid w:val="00A54F1C"/>
    <w:pPr>
      <w:spacing w:after="120"/>
    </w:pPr>
    <w:rPr>
      <w:sz w:val="16"/>
      <w:szCs w:val="16"/>
    </w:rPr>
  </w:style>
  <w:style w:type="character" w:customStyle="1" w:styleId="BodyText3Char">
    <w:name w:val="Body Text 3 Char"/>
    <w:basedOn w:val="DefaultParagraphFont"/>
    <w:link w:val="BodyText3"/>
    <w:semiHidden/>
    <w:rsid w:val="00A54F1C"/>
    <w:rPr>
      <w:rFonts w:ascii="Calibri" w:hAnsi="Calibri" w:cs="Arial"/>
      <w:snapToGrid w:val="0"/>
      <w:sz w:val="16"/>
      <w:szCs w:val="16"/>
      <w:lang w:eastAsia="en-US"/>
    </w:rPr>
  </w:style>
  <w:style w:type="character" w:customStyle="1" w:styleId="apple-converted-space">
    <w:name w:val="apple-converted-space"/>
    <w:basedOn w:val="DefaultParagraphFont"/>
    <w:rsid w:val="00053396"/>
  </w:style>
  <w:style w:type="paragraph" w:customStyle="1" w:styleId="TableText1left">
    <w:name w:val="Table Text 1 (left)"/>
    <w:basedOn w:val="Normal"/>
    <w:link w:val="TableText1leftChar"/>
    <w:qFormat/>
    <w:rsid w:val="006D196F"/>
    <w:pPr>
      <w:widowControl/>
      <w:spacing w:before="40" w:after="40"/>
      <w:jc w:val="left"/>
    </w:pPr>
    <w:rPr>
      <w:rFonts w:ascii="Times New Roman" w:eastAsia="SimSun" w:hAnsi="Times New Roman" w:cs="Times New Roman"/>
      <w:snapToGrid/>
      <w:sz w:val="20"/>
      <w:szCs w:val="20"/>
      <w:lang w:val="en-GB"/>
    </w:rPr>
  </w:style>
  <w:style w:type="character" w:customStyle="1" w:styleId="TableText1leftChar">
    <w:name w:val="Table Text 1 (left) Char"/>
    <w:link w:val="TableText1left"/>
    <w:locked/>
    <w:rsid w:val="006D196F"/>
    <w:rPr>
      <w:rFonts w:eastAsia="SimSun"/>
      <w:lang w:val="en-GB" w:eastAsia="en-US"/>
    </w:rPr>
  </w:style>
  <w:style w:type="character" w:customStyle="1" w:styleId="TabletextChar10">
    <w:name w:val="Table text Char1"/>
    <w:rsid w:val="00BC7E92"/>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183">
      <w:bodyDiv w:val="1"/>
      <w:marLeft w:val="0"/>
      <w:marRight w:val="0"/>
      <w:marTop w:val="0"/>
      <w:marBottom w:val="0"/>
      <w:divBdr>
        <w:top w:val="none" w:sz="0" w:space="0" w:color="auto"/>
        <w:left w:val="none" w:sz="0" w:space="0" w:color="auto"/>
        <w:bottom w:val="none" w:sz="0" w:space="0" w:color="auto"/>
        <w:right w:val="none" w:sz="0" w:space="0" w:color="auto"/>
      </w:divBdr>
    </w:div>
    <w:div w:id="231932609">
      <w:bodyDiv w:val="1"/>
      <w:marLeft w:val="0"/>
      <w:marRight w:val="0"/>
      <w:marTop w:val="0"/>
      <w:marBottom w:val="0"/>
      <w:divBdr>
        <w:top w:val="none" w:sz="0" w:space="0" w:color="auto"/>
        <w:left w:val="none" w:sz="0" w:space="0" w:color="auto"/>
        <w:bottom w:val="none" w:sz="0" w:space="0" w:color="auto"/>
        <w:right w:val="none" w:sz="0" w:space="0" w:color="auto"/>
      </w:divBdr>
    </w:div>
    <w:div w:id="267587375">
      <w:bodyDiv w:val="1"/>
      <w:marLeft w:val="0"/>
      <w:marRight w:val="0"/>
      <w:marTop w:val="0"/>
      <w:marBottom w:val="0"/>
      <w:divBdr>
        <w:top w:val="none" w:sz="0" w:space="0" w:color="auto"/>
        <w:left w:val="none" w:sz="0" w:space="0" w:color="auto"/>
        <w:bottom w:val="none" w:sz="0" w:space="0" w:color="auto"/>
        <w:right w:val="none" w:sz="0" w:space="0" w:color="auto"/>
      </w:divBdr>
    </w:div>
    <w:div w:id="426731588">
      <w:bodyDiv w:val="1"/>
      <w:marLeft w:val="0"/>
      <w:marRight w:val="0"/>
      <w:marTop w:val="0"/>
      <w:marBottom w:val="0"/>
      <w:divBdr>
        <w:top w:val="none" w:sz="0" w:space="0" w:color="auto"/>
        <w:left w:val="none" w:sz="0" w:space="0" w:color="auto"/>
        <w:bottom w:val="none" w:sz="0" w:space="0" w:color="auto"/>
        <w:right w:val="none" w:sz="0" w:space="0" w:color="auto"/>
      </w:divBdr>
    </w:div>
    <w:div w:id="511722496">
      <w:bodyDiv w:val="1"/>
      <w:marLeft w:val="0"/>
      <w:marRight w:val="0"/>
      <w:marTop w:val="0"/>
      <w:marBottom w:val="0"/>
      <w:divBdr>
        <w:top w:val="none" w:sz="0" w:space="0" w:color="auto"/>
        <w:left w:val="none" w:sz="0" w:space="0" w:color="auto"/>
        <w:bottom w:val="none" w:sz="0" w:space="0" w:color="auto"/>
        <w:right w:val="none" w:sz="0" w:space="0" w:color="auto"/>
      </w:divBdr>
    </w:div>
    <w:div w:id="580218298">
      <w:bodyDiv w:val="1"/>
      <w:marLeft w:val="0"/>
      <w:marRight w:val="0"/>
      <w:marTop w:val="0"/>
      <w:marBottom w:val="0"/>
      <w:divBdr>
        <w:top w:val="none" w:sz="0" w:space="0" w:color="auto"/>
        <w:left w:val="none" w:sz="0" w:space="0" w:color="auto"/>
        <w:bottom w:val="none" w:sz="0" w:space="0" w:color="auto"/>
        <w:right w:val="none" w:sz="0" w:space="0" w:color="auto"/>
      </w:divBdr>
    </w:div>
    <w:div w:id="828209211">
      <w:bodyDiv w:val="1"/>
      <w:marLeft w:val="0"/>
      <w:marRight w:val="0"/>
      <w:marTop w:val="0"/>
      <w:marBottom w:val="0"/>
      <w:divBdr>
        <w:top w:val="none" w:sz="0" w:space="0" w:color="auto"/>
        <w:left w:val="none" w:sz="0" w:space="0" w:color="auto"/>
        <w:bottom w:val="none" w:sz="0" w:space="0" w:color="auto"/>
        <w:right w:val="none" w:sz="0" w:space="0" w:color="auto"/>
      </w:divBdr>
    </w:div>
    <w:div w:id="948925182">
      <w:bodyDiv w:val="1"/>
      <w:marLeft w:val="0"/>
      <w:marRight w:val="0"/>
      <w:marTop w:val="0"/>
      <w:marBottom w:val="0"/>
      <w:divBdr>
        <w:top w:val="none" w:sz="0" w:space="0" w:color="auto"/>
        <w:left w:val="none" w:sz="0" w:space="0" w:color="auto"/>
        <w:bottom w:val="none" w:sz="0" w:space="0" w:color="auto"/>
        <w:right w:val="none" w:sz="0" w:space="0" w:color="auto"/>
      </w:divBdr>
    </w:div>
    <w:div w:id="949094977">
      <w:bodyDiv w:val="1"/>
      <w:marLeft w:val="0"/>
      <w:marRight w:val="0"/>
      <w:marTop w:val="0"/>
      <w:marBottom w:val="0"/>
      <w:divBdr>
        <w:top w:val="none" w:sz="0" w:space="0" w:color="auto"/>
        <w:left w:val="none" w:sz="0" w:space="0" w:color="auto"/>
        <w:bottom w:val="none" w:sz="0" w:space="0" w:color="auto"/>
        <w:right w:val="none" w:sz="0" w:space="0" w:color="auto"/>
      </w:divBdr>
    </w:div>
    <w:div w:id="1168718124">
      <w:bodyDiv w:val="1"/>
      <w:marLeft w:val="0"/>
      <w:marRight w:val="0"/>
      <w:marTop w:val="0"/>
      <w:marBottom w:val="0"/>
      <w:divBdr>
        <w:top w:val="none" w:sz="0" w:space="0" w:color="auto"/>
        <w:left w:val="none" w:sz="0" w:space="0" w:color="auto"/>
        <w:bottom w:val="none" w:sz="0" w:space="0" w:color="auto"/>
        <w:right w:val="none" w:sz="0" w:space="0" w:color="auto"/>
      </w:divBdr>
    </w:div>
    <w:div w:id="1410542802">
      <w:bodyDiv w:val="1"/>
      <w:marLeft w:val="0"/>
      <w:marRight w:val="0"/>
      <w:marTop w:val="0"/>
      <w:marBottom w:val="0"/>
      <w:divBdr>
        <w:top w:val="none" w:sz="0" w:space="0" w:color="auto"/>
        <w:left w:val="none" w:sz="0" w:space="0" w:color="auto"/>
        <w:bottom w:val="none" w:sz="0" w:space="0" w:color="auto"/>
        <w:right w:val="none" w:sz="0" w:space="0" w:color="auto"/>
      </w:divBdr>
    </w:div>
    <w:div w:id="1494488823">
      <w:bodyDiv w:val="1"/>
      <w:marLeft w:val="0"/>
      <w:marRight w:val="0"/>
      <w:marTop w:val="0"/>
      <w:marBottom w:val="0"/>
      <w:divBdr>
        <w:top w:val="none" w:sz="0" w:space="0" w:color="auto"/>
        <w:left w:val="none" w:sz="0" w:space="0" w:color="auto"/>
        <w:bottom w:val="none" w:sz="0" w:space="0" w:color="auto"/>
        <w:right w:val="none" w:sz="0" w:space="0" w:color="auto"/>
      </w:divBdr>
    </w:div>
    <w:div w:id="1507133352">
      <w:bodyDiv w:val="1"/>
      <w:marLeft w:val="0"/>
      <w:marRight w:val="0"/>
      <w:marTop w:val="0"/>
      <w:marBottom w:val="0"/>
      <w:divBdr>
        <w:top w:val="none" w:sz="0" w:space="0" w:color="auto"/>
        <w:left w:val="none" w:sz="0" w:space="0" w:color="auto"/>
        <w:bottom w:val="none" w:sz="0" w:space="0" w:color="auto"/>
        <w:right w:val="none" w:sz="0" w:space="0" w:color="auto"/>
      </w:divBdr>
      <w:divsChild>
        <w:div w:id="1455060592">
          <w:marLeft w:val="547"/>
          <w:marRight w:val="0"/>
          <w:marTop w:val="96"/>
          <w:marBottom w:val="0"/>
          <w:divBdr>
            <w:top w:val="none" w:sz="0" w:space="0" w:color="auto"/>
            <w:left w:val="none" w:sz="0" w:space="0" w:color="auto"/>
            <w:bottom w:val="none" w:sz="0" w:space="0" w:color="auto"/>
            <w:right w:val="none" w:sz="0" w:space="0" w:color="auto"/>
          </w:divBdr>
        </w:div>
        <w:div w:id="2099861735">
          <w:marLeft w:val="547"/>
          <w:marRight w:val="0"/>
          <w:marTop w:val="96"/>
          <w:marBottom w:val="0"/>
          <w:divBdr>
            <w:top w:val="none" w:sz="0" w:space="0" w:color="auto"/>
            <w:left w:val="none" w:sz="0" w:space="0" w:color="auto"/>
            <w:bottom w:val="none" w:sz="0" w:space="0" w:color="auto"/>
            <w:right w:val="none" w:sz="0" w:space="0" w:color="auto"/>
          </w:divBdr>
        </w:div>
      </w:divsChild>
    </w:div>
    <w:div w:id="1623685573">
      <w:bodyDiv w:val="1"/>
      <w:marLeft w:val="0"/>
      <w:marRight w:val="0"/>
      <w:marTop w:val="0"/>
      <w:marBottom w:val="0"/>
      <w:divBdr>
        <w:top w:val="none" w:sz="0" w:space="0" w:color="auto"/>
        <w:left w:val="none" w:sz="0" w:space="0" w:color="auto"/>
        <w:bottom w:val="none" w:sz="0" w:space="0" w:color="auto"/>
        <w:right w:val="none" w:sz="0" w:space="0" w:color="auto"/>
      </w:divBdr>
    </w:div>
    <w:div w:id="1641960318">
      <w:bodyDiv w:val="1"/>
      <w:marLeft w:val="0"/>
      <w:marRight w:val="0"/>
      <w:marTop w:val="0"/>
      <w:marBottom w:val="0"/>
      <w:divBdr>
        <w:top w:val="none" w:sz="0" w:space="0" w:color="auto"/>
        <w:left w:val="none" w:sz="0" w:space="0" w:color="auto"/>
        <w:bottom w:val="none" w:sz="0" w:space="0" w:color="auto"/>
        <w:right w:val="none" w:sz="0" w:space="0" w:color="auto"/>
      </w:divBdr>
    </w:div>
    <w:div w:id="1730154161">
      <w:bodyDiv w:val="1"/>
      <w:marLeft w:val="0"/>
      <w:marRight w:val="0"/>
      <w:marTop w:val="0"/>
      <w:marBottom w:val="0"/>
      <w:divBdr>
        <w:top w:val="none" w:sz="0" w:space="0" w:color="auto"/>
        <w:left w:val="none" w:sz="0" w:space="0" w:color="auto"/>
        <w:bottom w:val="none" w:sz="0" w:space="0" w:color="auto"/>
        <w:right w:val="none" w:sz="0" w:space="0" w:color="auto"/>
      </w:divBdr>
    </w:div>
    <w:div w:id="1889339071">
      <w:bodyDiv w:val="1"/>
      <w:marLeft w:val="0"/>
      <w:marRight w:val="0"/>
      <w:marTop w:val="0"/>
      <w:marBottom w:val="0"/>
      <w:divBdr>
        <w:top w:val="none" w:sz="0" w:space="0" w:color="auto"/>
        <w:left w:val="none" w:sz="0" w:space="0" w:color="auto"/>
        <w:bottom w:val="none" w:sz="0" w:space="0" w:color="auto"/>
        <w:right w:val="none" w:sz="0" w:space="0" w:color="auto"/>
      </w:divBdr>
    </w:div>
    <w:div w:id="1926497105">
      <w:bodyDiv w:val="1"/>
      <w:marLeft w:val="0"/>
      <w:marRight w:val="0"/>
      <w:marTop w:val="0"/>
      <w:marBottom w:val="0"/>
      <w:divBdr>
        <w:top w:val="none" w:sz="0" w:space="0" w:color="auto"/>
        <w:left w:val="none" w:sz="0" w:space="0" w:color="auto"/>
        <w:bottom w:val="none" w:sz="0" w:space="0" w:color="auto"/>
        <w:right w:val="none" w:sz="0" w:space="0" w:color="auto"/>
      </w:divBdr>
    </w:div>
    <w:div w:id="20387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bstracts2view.com/sabcs18/view.php?nu=SABCS18L_1698&amp;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15827</Words>
  <Characters>92064</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2020-02-27T00:37:00Z</dcterms:created>
  <dcterms:modified xsi:type="dcterms:W3CDTF">2020-02-27T00:39:00Z</dcterms:modified>
</cp:coreProperties>
</file>