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B779F1" w:rsidRDefault="00D120D0" w:rsidP="00B779F1">
      <w:pPr>
        <w:widowControl/>
        <w:ind w:left="720" w:hanging="720"/>
        <w:jc w:val="left"/>
        <w:outlineLvl w:val="0"/>
        <w:rPr>
          <w:b/>
          <w:sz w:val="36"/>
          <w:szCs w:val="36"/>
        </w:rPr>
      </w:pPr>
      <w:r w:rsidRPr="009F2D6F">
        <w:rPr>
          <w:b/>
          <w:sz w:val="36"/>
          <w:szCs w:val="36"/>
        </w:rPr>
        <w:t>5.11</w:t>
      </w:r>
      <w:r w:rsidR="00B60939" w:rsidRPr="009F2D6F">
        <w:rPr>
          <w:b/>
          <w:sz w:val="36"/>
          <w:szCs w:val="36"/>
        </w:rPr>
        <w:tab/>
      </w:r>
      <w:r w:rsidR="00885AED" w:rsidRPr="009F2D6F">
        <w:rPr>
          <w:b/>
          <w:sz w:val="36"/>
          <w:szCs w:val="36"/>
        </w:rPr>
        <w:t>SIPONIMOD</w:t>
      </w:r>
      <w:r w:rsidR="007370FF" w:rsidRPr="009F2D6F">
        <w:rPr>
          <w:b/>
          <w:sz w:val="36"/>
          <w:szCs w:val="36"/>
        </w:rPr>
        <w:t>,</w:t>
      </w:r>
      <w:r w:rsidRPr="009F2D6F">
        <w:rPr>
          <w:b/>
          <w:sz w:val="36"/>
          <w:szCs w:val="36"/>
        </w:rPr>
        <w:br/>
        <w:t>T</w:t>
      </w:r>
      <w:r w:rsidR="00885AED" w:rsidRPr="009F2D6F">
        <w:rPr>
          <w:b/>
          <w:sz w:val="36"/>
          <w:szCs w:val="36"/>
        </w:rPr>
        <w:t>ablet</w:t>
      </w:r>
      <w:r w:rsidR="00B60939" w:rsidRPr="009F2D6F">
        <w:rPr>
          <w:b/>
          <w:sz w:val="36"/>
          <w:szCs w:val="36"/>
        </w:rPr>
        <w:t xml:space="preserve">, </w:t>
      </w:r>
      <w:r w:rsidR="00E43FCC" w:rsidRPr="009F2D6F">
        <w:rPr>
          <w:b/>
          <w:sz w:val="36"/>
          <w:szCs w:val="36"/>
        </w:rPr>
        <w:t>250 micrograms</w:t>
      </w:r>
      <w:r w:rsidR="00C67072" w:rsidRPr="009F2D6F">
        <w:rPr>
          <w:b/>
          <w:sz w:val="36"/>
          <w:szCs w:val="36"/>
        </w:rPr>
        <w:t xml:space="preserve"> and 2</w:t>
      </w:r>
      <w:r w:rsidR="007370FF" w:rsidRPr="009F2D6F">
        <w:rPr>
          <w:b/>
          <w:sz w:val="36"/>
          <w:szCs w:val="36"/>
        </w:rPr>
        <w:t xml:space="preserve"> </w:t>
      </w:r>
      <w:r w:rsidR="00885AED" w:rsidRPr="009F2D6F">
        <w:rPr>
          <w:b/>
          <w:sz w:val="36"/>
          <w:szCs w:val="36"/>
        </w:rPr>
        <w:t>mg</w:t>
      </w:r>
      <w:r w:rsidR="00B60939" w:rsidRPr="009F2D6F">
        <w:rPr>
          <w:b/>
          <w:sz w:val="36"/>
          <w:szCs w:val="36"/>
        </w:rPr>
        <w:t xml:space="preserve">, </w:t>
      </w:r>
      <w:r w:rsidRPr="009F2D6F">
        <w:rPr>
          <w:b/>
          <w:sz w:val="36"/>
          <w:szCs w:val="36"/>
        </w:rPr>
        <w:br/>
      </w:r>
      <w:proofErr w:type="spellStart"/>
      <w:r w:rsidR="00885AED" w:rsidRPr="009F2D6F">
        <w:rPr>
          <w:b/>
          <w:sz w:val="36"/>
          <w:szCs w:val="36"/>
        </w:rPr>
        <w:t>Mayzent</w:t>
      </w:r>
      <w:proofErr w:type="spellEnd"/>
      <w:r w:rsidR="00B60939" w:rsidRPr="009F2D6F">
        <w:rPr>
          <w:b/>
          <w:sz w:val="36"/>
          <w:szCs w:val="36"/>
          <w:vertAlign w:val="superscript"/>
        </w:rPr>
        <w:t>®</w:t>
      </w:r>
      <w:r w:rsidR="00B60939" w:rsidRPr="009F2D6F">
        <w:rPr>
          <w:b/>
          <w:sz w:val="36"/>
          <w:szCs w:val="36"/>
        </w:rPr>
        <w:t xml:space="preserve">, </w:t>
      </w:r>
      <w:r w:rsidR="00411991" w:rsidRPr="009F2D6F">
        <w:rPr>
          <w:b/>
          <w:sz w:val="36"/>
          <w:szCs w:val="36"/>
        </w:rPr>
        <w:br/>
      </w:r>
      <w:r w:rsidR="00885AED" w:rsidRPr="009F2D6F">
        <w:rPr>
          <w:b/>
          <w:sz w:val="36"/>
          <w:szCs w:val="36"/>
        </w:rPr>
        <w:t>Novartis</w:t>
      </w:r>
      <w:r w:rsidR="00E43FCC" w:rsidRPr="009F2D6F">
        <w:rPr>
          <w:b/>
          <w:sz w:val="36"/>
          <w:szCs w:val="36"/>
        </w:rPr>
        <w:t xml:space="preserve"> Pharmaceuticals Australia Pty Ltd.</w:t>
      </w:r>
    </w:p>
    <w:p w:rsidR="00B60939" w:rsidRPr="009F2D6F" w:rsidRDefault="00B50DB8" w:rsidP="00B779F1">
      <w:pPr>
        <w:pStyle w:val="PBACHeading1"/>
        <w:spacing w:before="240" w:after="120"/>
        <w:ind w:left="709" w:hanging="709"/>
      </w:pPr>
      <w:bookmarkStart w:id="0" w:name="_Toc18693489"/>
      <w:r w:rsidRPr="009F2D6F">
        <w:t>Purpose of Application</w:t>
      </w:r>
      <w:bookmarkEnd w:id="0"/>
    </w:p>
    <w:p w:rsidR="002C2775" w:rsidRPr="009F2D6F" w:rsidRDefault="004338E3" w:rsidP="00077582">
      <w:pPr>
        <w:pStyle w:val="ListParagraph"/>
        <w:widowControl/>
        <w:numPr>
          <w:ilvl w:val="1"/>
          <w:numId w:val="2"/>
        </w:numPr>
      </w:pPr>
      <w:r w:rsidRPr="009F2D6F">
        <w:t xml:space="preserve">The submission requested a General Schedule </w:t>
      </w:r>
      <w:r w:rsidR="00885AED" w:rsidRPr="009F2D6F">
        <w:t xml:space="preserve">Authority Required </w:t>
      </w:r>
      <w:r w:rsidR="008B1757" w:rsidRPr="009F2D6F">
        <w:t xml:space="preserve">listing for </w:t>
      </w:r>
      <w:proofErr w:type="spellStart"/>
      <w:r w:rsidR="00885AED" w:rsidRPr="009F2D6F">
        <w:t>siponimod</w:t>
      </w:r>
      <w:proofErr w:type="spellEnd"/>
      <w:r w:rsidR="008B1757" w:rsidRPr="009F2D6F">
        <w:t xml:space="preserve"> for treatment of </w:t>
      </w:r>
      <w:r w:rsidR="00885AED" w:rsidRPr="009F2D6F">
        <w:t>secondary progressive multiple sclerosis (SPMS)</w:t>
      </w:r>
      <w:r w:rsidR="008B1757" w:rsidRPr="009F2D6F">
        <w:t xml:space="preserve">. </w:t>
      </w:r>
      <w:r w:rsidR="00885AED" w:rsidRPr="009F2D6F">
        <w:t xml:space="preserve">The PBAC has not previously considered any submissions for </w:t>
      </w:r>
      <w:proofErr w:type="spellStart"/>
      <w:r w:rsidR="00885AED" w:rsidRPr="009F2D6F">
        <w:t>siponimod</w:t>
      </w:r>
      <w:proofErr w:type="spellEnd"/>
      <w:r w:rsidR="00885AED" w:rsidRPr="009F2D6F">
        <w:t xml:space="preserve"> or SPMS.</w:t>
      </w:r>
      <w:r w:rsidR="00885AED" w:rsidRPr="009F2D6F">
        <w:rPr>
          <w:color w:val="3366FF"/>
        </w:rPr>
        <w:t xml:space="preserve"> </w:t>
      </w:r>
    </w:p>
    <w:p w:rsidR="00BD514E" w:rsidRPr="009F2D6F" w:rsidRDefault="00885AED" w:rsidP="00077582">
      <w:pPr>
        <w:pStyle w:val="ListParagraph"/>
        <w:widowControl/>
        <w:numPr>
          <w:ilvl w:val="1"/>
          <w:numId w:val="2"/>
        </w:numPr>
        <w:spacing w:after="0"/>
      </w:pPr>
      <w:r w:rsidRPr="009F2D6F">
        <w:t>The basis of the</w:t>
      </w:r>
      <w:r w:rsidR="009C57BC" w:rsidRPr="009F2D6F">
        <w:t xml:space="preserve"> requested</w:t>
      </w:r>
      <w:r w:rsidRPr="009F2D6F">
        <w:t xml:space="preserve"> listing </w:t>
      </w:r>
      <w:r w:rsidR="009C4901" w:rsidRPr="009F2D6F">
        <w:t xml:space="preserve">was </w:t>
      </w:r>
      <w:r w:rsidRPr="009F2D6F">
        <w:t>a cost-effectiveness analysis versus</w:t>
      </w:r>
      <w:r w:rsidR="00BD514E" w:rsidRPr="009F2D6F">
        <w:t>:</w:t>
      </w:r>
      <w:r w:rsidR="00BD514E" w:rsidRPr="009F2D6F">
        <w:tab/>
      </w:r>
    </w:p>
    <w:p w:rsidR="00BD514E" w:rsidRPr="009F2D6F" w:rsidRDefault="00885AED" w:rsidP="003A4275">
      <w:pPr>
        <w:pStyle w:val="ListParagraph"/>
        <w:widowControl/>
        <w:numPr>
          <w:ilvl w:val="0"/>
          <w:numId w:val="10"/>
        </w:numPr>
        <w:spacing w:after="0"/>
        <w:ind w:left="1134" w:hanging="283"/>
      </w:pPr>
      <w:r w:rsidRPr="009F2D6F">
        <w:t>placebo (for no treatment among SPMS patients who are not currently being treated with relapsing-remitting multiple sclerosis (RRMS) disease modifying therapies (DMTs))</w:t>
      </w:r>
      <w:r w:rsidR="009C57BC" w:rsidRPr="009F2D6F">
        <w:t>;</w:t>
      </w:r>
      <w:r w:rsidRPr="009F2D6F">
        <w:t xml:space="preserve"> and </w:t>
      </w:r>
    </w:p>
    <w:p w:rsidR="00BD514E" w:rsidRPr="009F2D6F" w:rsidRDefault="00885AED" w:rsidP="003A4275">
      <w:pPr>
        <w:pStyle w:val="ListParagraph"/>
        <w:widowControl/>
        <w:numPr>
          <w:ilvl w:val="0"/>
          <w:numId w:val="10"/>
        </w:numPr>
        <w:ind w:left="1134" w:hanging="283"/>
      </w:pPr>
      <w:proofErr w:type="gramStart"/>
      <w:r w:rsidRPr="009F2D6F">
        <w:t>interferon-beta</w:t>
      </w:r>
      <w:proofErr w:type="gramEnd"/>
      <w:r w:rsidRPr="009F2D6F">
        <w:t xml:space="preserve"> (IFN-beta), </w:t>
      </w:r>
      <w:proofErr w:type="spellStart"/>
      <w:r w:rsidRPr="009F2D6F">
        <w:t>glatiramer</w:t>
      </w:r>
      <w:proofErr w:type="spellEnd"/>
      <w:r w:rsidRPr="009F2D6F">
        <w:t xml:space="preserve"> acetate (GA) and </w:t>
      </w:r>
      <w:proofErr w:type="spellStart"/>
      <w:r w:rsidRPr="009F2D6F">
        <w:t>natalizumab</w:t>
      </w:r>
      <w:proofErr w:type="spellEnd"/>
      <w:r w:rsidRPr="009F2D6F">
        <w:t xml:space="preserve"> among SPMS patients currently being treated with RRMS DMTs.</w:t>
      </w:r>
    </w:p>
    <w:p w:rsidR="00C2778B" w:rsidRPr="009F2D6F" w:rsidRDefault="00CB18ED" w:rsidP="00077582">
      <w:pPr>
        <w:pStyle w:val="ListParagraph"/>
        <w:widowControl/>
        <w:numPr>
          <w:ilvl w:val="1"/>
          <w:numId w:val="2"/>
        </w:numPr>
        <w:spacing w:after="120"/>
      </w:pPr>
      <w:r w:rsidRPr="009F2D6F">
        <w:t xml:space="preserve">The key components of the clinical issue addressed by the submission is presented in </w:t>
      </w:r>
      <w:r w:rsidR="00654F36" w:rsidRPr="00654F36">
        <w:t>Table 1</w:t>
      </w:r>
      <w:r w:rsidRPr="009F2D6F">
        <w:t>.</w:t>
      </w:r>
    </w:p>
    <w:p w:rsidR="008B1757" w:rsidRPr="009F2D6F" w:rsidRDefault="00CB18ED" w:rsidP="00077582">
      <w:pPr>
        <w:pStyle w:val="Caption"/>
        <w:keepNext/>
        <w:widowControl/>
        <w:spacing w:after="0"/>
        <w:rPr>
          <w:b w:val="0"/>
          <w:color w:val="000000" w:themeColor="text1"/>
        </w:rPr>
      </w:pPr>
      <w:bookmarkStart w:id="1" w:name="_Ref18631128"/>
      <w:r w:rsidRPr="009F2D6F">
        <w:rPr>
          <w:rFonts w:ascii="Arial Narrow" w:hAnsi="Arial Narrow"/>
          <w:color w:val="000000" w:themeColor="text1"/>
          <w:sz w:val="20"/>
        </w:rPr>
        <w:t xml:space="preserve">Table </w:t>
      </w:r>
      <w:r w:rsidR="00654F36">
        <w:rPr>
          <w:rFonts w:ascii="Arial Narrow" w:hAnsi="Arial Narrow"/>
          <w:noProof/>
          <w:color w:val="000000" w:themeColor="text1"/>
          <w:sz w:val="20"/>
        </w:rPr>
        <w:t>1</w:t>
      </w:r>
      <w:bookmarkEnd w:id="1"/>
      <w:r w:rsidRPr="009F2D6F">
        <w:rPr>
          <w:rFonts w:ascii="Arial Narrow" w:hAnsi="Arial Narrow"/>
          <w:color w:val="000000" w:themeColor="text1"/>
          <w:sz w:val="20"/>
        </w:rPr>
        <w:t xml:space="preserve">: </w:t>
      </w:r>
      <w:r w:rsidR="008B1757" w:rsidRPr="009F2D6F">
        <w:rPr>
          <w:rFonts w:ascii="Arial Narrow" w:hAnsi="Arial Narrow"/>
          <w:color w:val="000000" w:themeColor="text1"/>
          <w:sz w:val="20"/>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CB18ED" w:rsidRPr="009F2D6F" w:rsidTr="0026119C">
        <w:trPr>
          <w:tblHeader/>
        </w:trPr>
        <w:tc>
          <w:tcPr>
            <w:tcW w:w="911" w:type="pct"/>
            <w:vAlign w:val="center"/>
          </w:tcPr>
          <w:p w:rsidR="00CB18ED" w:rsidRPr="009F2D6F" w:rsidRDefault="00CB18ED" w:rsidP="00077582">
            <w:pPr>
              <w:pStyle w:val="Tabletext"/>
              <w:keepNext/>
              <w:rPr>
                <w:b/>
              </w:rPr>
            </w:pPr>
            <w:r w:rsidRPr="009F2D6F">
              <w:rPr>
                <w:b/>
              </w:rPr>
              <w:t>Component</w:t>
            </w:r>
          </w:p>
        </w:tc>
        <w:tc>
          <w:tcPr>
            <w:tcW w:w="4089" w:type="pct"/>
            <w:vAlign w:val="center"/>
          </w:tcPr>
          <w:p w:rsidR="00CB18ED" w:rsidRPr="009F2D6F" w:rsidRDefault="00CB18ED" w:rsidP="00077582">
            <w:pPr>
              <w:pStyle w:val="Tabletext"/>
              <w:keepNext/>
              <w:jc w:val="center"/>
              <w:rPr>
                <w:b/>
              </w:rPr>
            </w:pPr>
            <w:r w:rsidRPr="009F2D6F">
              <w:rPr>
                <w:b/>
              </w:rPr>
              <w:t>Description</w:t>
            </w:r>
          </w:p>
        </w:tc>
      </w:tr>
      <w:tr w:rsidR="00CB18ED" w:rsidRPr="009F2D6F" w:rsidTr="0026119C">
        <w:tc>
          <w:tcPr>
            <w:tcW w:w="911" w:type="pct"/>
            <w:vAlign w:val="center"/>
          </w:tcPr>
          <w:p w:rsidR="00CB18ED" w:rsidRPr="009F2D6F" w:rsidRDefault="00CB18ED" w:rsidP="00077582">
            <w:pPr>
              <w:pStyle w:val="Tabletext"/>
              <w:keepNext/>
            </w:pPr>
            <w:r w:rsidRPr="009F2D6F">
              <w:t>Population</w:t>
            </w:r>
          </w:p>
        </w:tc>
        <w:tc>
          <w:tcPr>
            <w:tcW w:w="4089" w:type="pct"/>
            <w:vAlign w:val="center"/>
          </w:tcPr>
          <w:p w:rsidR="00CB18ED" w:rsidRPr="009F2D6F" w:rsidRDefault="00CB18ED" w:rsidP="00077582">
            <w:pPr>
              <w:pStyle w:val="Tabletext"/>
              <w:keepNext/>
            </w:pPr>
            <w:r w:rsidRPr="009F2D6F">
              <w:t>Patients with SPMS. The submission split this population based on current use of RRMS DMTs to those who are (</w:t>
            </w:r>
            <w:proofErr w:type="spellStart"/>
            <w:r w:rsidRPr="009F2D6F">
              <w:t>i</w:t>
            </w:r>
            <w:proofErr w:type="spellEnd"/>
            <w:r w:rsidRPr="009F2D6F">
              <w:t>) untreated and (ii) treated.</w:t>
            </w:r>
          </w:p>
        </w:tc>
      </w:tr>
      <w:tr w:rsidR="00CB18ED" w:rsidRPr="009F2D6F" w:rsidTr="0026119C">
        <w:tc>
          <w:tcPr>
            <w:tcW w:w="911" w:type="pct"/>
            <w:vAlign w:val="center"/>
          </w:tcPr>
          <w:p w:rsidR="00CB18ED" w:rsidRPr="009F2D6F" w:rsidRDefault="00CB18ED" w:rsidP="00077582">
            <w:pPr>
              <w:pStyle w:val="Tabletext"/>
              <w:keepNext/>
            </w:pPr>
            <w:r w:rsidRPr="009F2D6F">
              <w:t>Intervention</w:t>
            </w:r>
          </w:p>
        </w:tc>
        <w:tc>
          <w:tcPr>
            <w:tcW w:w="4089" w:type="pct"/>
            <w:vAlign w:val="center"/>
          </w:tcPr>
          <w:p w:rsidR="00CB18ED" w:rsidRPr="009F2D6F" w:rsidRDefault="00CB18ED" w:rsidP="00077582">
            <w:pPr>
              <w:pStyle w:val="Tabletext"/>
              <w:keepNext/>
            </w:pPr>
            <w:proofErr w:type="spellStart"/>
            <w:r w:rsidRPr="009F2D6F">
              <w:t>Siponimod</w:t>
            </w:r>
            <w:proofErr w:type="spellEnd"/>
            <w:r w:rsidRPr="009F2D6F">
              <w:t xml:space="preserve"> 1</w:t>
            </w:r>
            <w:r w:rsidR="009C4901" w:rsidRPr="009F2D6F">
              <w:t xml:space="preserve"> </w:t>
            </w:r>
            <w:r w:rsidRPr="009F2D6F">
              <w:t>mg or 2</w:t>
            </w:r>
            <w:r w:rsidR="009C4901" w:rsidRPr="009F2D6F">
              <w:t xml:space="preserve"> </w:t>
            </w:r>
            <w:r w:rsidRPr="009F2D6F">
              <w:t>mg daily (dependent upon recommended optimal maintenance dosage).</w:t>
            </w:r>
          </w:p>
        </w:tc>
      </w:tr>
      <w:tr w:rsidR="00CB18ED" w:rsidRPr="009F2D6F" w:rsidTr="0026119C">
        <w:tc>
          <w:tcPr>
            <w:tcW w:w="911" w:type="pct"/>
            <w:vAlign w:val="center"/>
          </w:tcPr>
          <w:p w:rsidR="00CB18ED" w:rsidRPr="009F2D6F" w:rsidRDefault="00CB18ED" w:rsidP="00077582">
            <w:pPr>
              <w:pStyle w:val="Tabletext"/>
              <w:keepNext/>
            </w:pPr>
            <w:r w:rsidRPr="009F2D6F">
              <w:t>Comparator</w:t>
            </w:r>
          </w:p>
        </w:tc>
        <w:tc>
          <w:tcPr>
            <w:tcW w:w="4089" w:type="pct"/>
            <w:vAlign w:val="center"/>
          </w:tcPr>
          <w:p w:rsidR="00CB18ED" w:rsidRPr="009F2D6F" w:rsidRDefault="00CB18ED" w:rsidP="00077582">
            <w:pPr>
              <w:pStyle w:val="Tabletext"/>
              <w:keepNext/>
            </w:pPr>
            <w:r w:rsidRPr="009F2D6F">
              <w:t>Best supportive care (BSC); i</w:t>
            </w:r>
            <w:r w:rsidR="005B0C66" w:rsidRPr="009F2D6F">
              <w:t>nterferon-</w:t>
            </w:r>
            <w:r w:rsidRPr="009F2D6F">
              <w:t xml:space="preserve">beta-1a/1b; </w:t>
            </w:r>
            <w:proofErr w:type="spellStart"/>
            <w:r w:rsidRPr="009F2D6F">
              <w:t>glatiramer</w:t>
            </w:r>
            <w:proofErr w:type="spellEnd"/>
            <w:r w:rsidRPr="009F2D6F">
              <w:t xml:space="preserve"> acetate; </w:t>
            </w:r>
            <w:proofErr w:type="spellStart"/>
            <w:r w:rsidRPr="009F2D6F">
              <w:t>natalizumab</w:t>
            </w:r>
            <w:proofErr w:type="spellEnd"/>
            <w:r w:rsidRPr="009F2D6F">
              <w:t xml:space="preserve">. </w:t>
            </w:r>
            <w:r w:rsidR="00A11069" w:rsidRPr="009F2D6F">
              <w:t xml:space="preserve"> </w:t>
            </w:r>
          </w:p>
        </w:tc>
      </w:tr>
      <w:tr w:rsidR="00CB18ED" w:rsidRPr="009F2D6F" w:rsidTr="0026119C">
        <w:tc>
          <w:tcPr>
            <w:tcW w:w="911" w:type="pct"/>
            <w:vAlign w:val="center"/>
          </w:tcPr>
          <w:p w:rsidR="00CB18ED" w:rsidRPr="009F2D6F" w:rsidRDefault="00CB18ED" w:rsidP="00077582">
            <w:pPr>
              <w:pStyle w:val="Tabletext"/>
              <w:keepNext/>
            </w:pPr>
            <w:r w:rsidRPr="009F2D6F">
              <w:t>Outcomes</w:t>
            </w:r>
          </w:p>
        </w:tc>
        <w:tc>
          <w:tcPr>
            <w:tcW w:w="4089" w:type="pct"/>
            <w:vAlign w:val="center"/>
          </w:tcPr>
          <w:p w:rsidR="00CB18ED" w:rsidRPr="009F2D6F" w:rsidRDefault="00CB18ED" w:rsidP="00077582">
            <w:pPr>
              <w:pStyle w:val="Tabletext"/>
              <w:keepNext/>
            </w:pPr>
            <w:r w:rsidRPr="009F2D6F">
              <w:t>3- and 6-month confirmed disability progression; relapse rate; brain lesions and other imaging outcomes; quality of life; cognitive function; upper limb function; adverse effects.</w:t>
            </w:r>
          </w:p>
        </w:tc>
      </w:tr>
      <w:tr w:rsidR="00CB18ED" w:rsidRPr="009F2D6F" w:rsidTr="0026119C">
        <w:tc>
          <w:tcPr>
            <w:tcW w:w="911" w:type="pct"/>
            <w:vAlign w:val="center"/>
          </w:tcPr>
          <w:p w:rsidR="00CB18ED" w:rsidRPr="009F2D6F" w:rsidRDefault="00CB18ED" w:rsidP="00077582">
            <w:pPr>
              <w:pStyle w:val="Tabletext"/>
              <w:keepNext/>
            </w:pPr>
            <w:r w:rsidRPr="009F2D6F">
              <w:t>Clinical claim</w:t>
            </w:r>
          </w:p>
        </w:tc>
        <w:tc>
          <w:tcPr>
            <w:tcW w:w="4089" w:type="pct"/>
            <w:vAlign w:val="center"/>
          </w:tcPr>
          <w:p w:rsidR="00C106CB" w:rsidRPr="009F2D6F" w:rsidRDefault="00CB18ED" w:rsidP="00077582">
            <w:pPr>
              <w:pStyle w:val="Tabletext"/>
              <w:keepNext/>
            </w:pPr>
            <w:r w:rsidRPr="009F2D6F">
              <w:t>In the SPMS untreated population</w:t>
            </w:r>
            <w:r w:rsidR="00BD514E" w:rsidRPr="009F2D6F">
              <w:t>:</w:t>
            </w:r>
            <w:r w:rsidRPr="009F2D6F">
              <w:t xml:space="preserve"> </w:t>
            </w:r>
            <w:r w:rsidR="00BD514E" w:rsidRPr="009F2D6F">
              <w:t>s</w:t>
            </w:r>
            <w:r w:rsidRPr="009F2D6F">
              <w:t xml:space="preserve">uperior in terms of comparative effectiveness and equivalent in terms of comparative safety over placebo. </w:t>
            </w:r>
          </w:p>
          <w:p w:rsidR="00CB18ED" w:rsidRPr="009F2D6F" w:rsidRDefault="00CB18ED" w:rsidP="00077582">
            <w:pPr>
              <w:pStyle w:val="Tabletext"/>
              <w:keepNext/>
            </w:pPr>
            <w:r w:rsidRPr="009F2D6F">
              <w:t>In the SPMS treated population</w:t>
            </w:r>
            <w:r w:rsidR="00BD514E" w:rsidRPr="009F2D6F">
              <w:t>: s</w:t>
            </w:r>
            <w:r w:rsidRPr="009F2D6F">
              <w:t>uperior in terms of comparative effectiveness with comparable but different safety pr</w:t>
            </w:r>
            <w:r w:rsidR="005B0C66" w:rsidRPr="009F2D6F">
              <w:t>ofiles compared with interferon-</w:t>
            </w:r>
            <w:r w:rsidRPr="009F2D6F">
              <w:t>beta/</w:t>
            </w:r>
            <w:proofErr w:type="spellStart"/>
            <w:r w:rsidRPr="009F2D6F">
              <w:t>glatiramer</w:t>
            </w:r>
            <w:proofErr w:type="spellEnd"/>
            <w:r w:rsidRPr="009F2D6F">
              <w:t xml:space="preserve"> acetate and </w:t>
            </w:r>
            <w:proofErr w:type="spellStart"/>
            <w:r w:rsidRPr="009F2D6F">
              <w:t>natalizumab</w:t>
            </w:r>
            <w:proofErr w:type="spellEnd"/>
            <w:r w:rsidRPr="009F2D6F">
              <w:t xml:space="preserve">. </w:t>
            </w:r>
            <w:r w:rsidR="00A11069" w:rsidRPr="009F2D6F">
              <w:t xml:space="preserve"> </w:t>
            </w:r>
          </w:p>
        </w:tc>
      </w:tr>
    </w:tbl>
    <w:p w:rsidR="00CB18ED" w:rsidRPr="009F2D6F" w:rsidRDefault="00CB18ED" w:rsidP="00077582">
      <w:pPr>
        <w:pStyle w:val="TableFooter"/>
        <w:keepNext/>
        <w:widowControl/>
      </w:pPr>
      <w:r w:rsidRPr="009F2D6F">
        <w:t>Source: Table 1.1 (pg.2 of the submission)</w:t>
      </w:r>
    </w:p>
    <w:p w:rsidR="0026119C" w:rsidRPr="00B779F1" w:rsidRDefault="00CB18ED" w:rsidP="00B779F1">
      <w:pPr>
        <w:pStyle w:val="TableFooter"/>
        <w:keepNext/>
        <w:widowControl/>
        <w:rPr>
          <w:color w:val="007A37"/>
        </w:rPr>
      </w:pPr>
      <w:r w:rsidRPr="009F2D6F">
        <w:t>Abbreviations: BSC = best supportive care; DMT = disease modifying treatment; mg = milligram; RRMS = relapsing remitting multiple sclerosis; SPMS = secondary progressive multiple sclerosis</w:t>
      </w:r>
      <w:bookmarkStart w:id="2" w:name="_Toc18693490"/>
    </w:p>
    <w:p w:rsidR="00B60939" w:rsidRDefault="00B50DB8" w:rsidP="00B779F1">
      <w:pPr>
        <w:pStyle w:val="PBACHeading1"/>
        <w:spacing w:before="240" w:after="120"/>
        <w:ind w:left="709" w:hanging="709"/>
      </w:pPr>
      <w:r w:rsidRPr="00407F2D">
        <w:t>Requested listing</w:t>
      </w:r>
      <w:bookmarkEnd w:id="2"/>
    </w:p>
    <w:p w:rsidR="00617E12" w:rsidRPr="00CC1F7A" w:rsidRDefault="00CC1F7A" w:rsidP="001F6668">
      <w:pPr>
        <w:pStyle w:val="ListParagraph"/>
        <w:widowControl/>
        <w:numPr>
          <w:ilvl w:val="1"/>
          <w:numId w:val="2"/>
        </w:numPr>
        <w:spacing w:after="120"/>
      </w:pPr>
      <w:r w:rsidRPr="009F2D6F">
        <w:t>The submission proposed a restriction for (</w:t>
      </w:r>
      <w:proofErr w:type="spellStart"/>
      <w:r w:rsidRPr="009F2D6F">
        <w:t>i</w:t>
      </w:r>
      <w:proofErr w:type="spellEnd"/>
      <w:r w:rsidRPr="009F2D6F">
        <w:t>) initial therapy, (ii) continuing therapy and (iii) grandfathering.</w:t>
      </w:r>
      <w:r>
        <w:t xml:space="preserve"> An abridged version of the pro</w:t>
      </w:r>
      <w:r w:rsidR="000376EB">
        <w:t>posed initial therapy and continuing therapy restrictions are presented below, which omits the Definitions and Administrative Advice</w:t>
      </w:r>
      <w: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
        <w:gridCol w:w="2171"/>
        <w:gridCol w:w="12"/>
        <w:gridCol w:w="1039"/>
        <w:gridCol w:w="973"/>
        <w:gridCol w:w="800"/>
        <w:gridCol w:w="2173"/>
        <w:gridCol w:w="1835"/>
      </w:tblGrid>
      <w:tr w:rsidR="00CB18ED" w:rsidRPr="0030268E" w:rsidTr="0030268E">
        <w:tc>
          <w:tcPr>
            <w:tcW w:w="1217" w:type="pct"/>
            <w:gridSpan w:val="2"/>
            <w:vAlign w:val="center"/>
          </w:tcPr>
          <w:p w:rsidR="00CB18ED" w:rsidRPr="0030268E" w:rsidRDefault="00CB18ED" w:rsidP="00077582">
            <w:pPr>
              <w:pStyle w:val="Tabletext"/>
              <w:rPr>
                <w:b/>
                <w:bCs/>
                <w:szCs w:val="20"/>
              </w:rPr>
            </w:pPr>
            <w:r w:rsidRPr="0030268E">
              <w:rPr>
                <w:b/>
                <w:szCs w:val="20"/>
              </w:rPr>
              <w:t>Name, restriction, manner of administration, form</w:t>
            </w:r>
          </w:p>
        </w:tc>
        <w:tc>
          <w:tcPr>
            <w:tcW w:w="582" w:type="pct"/>
            <w:gridSpan w:val="2"/>
            <w:vAlign w:val="center"/>
          </w:tcPr>
          <w:p w:rsidR="00CB18ED" w:rsidRPr="0030268E" w:rsidRDefault="00CB18ED" w:rsidP="00077582">
            <w:pPr>
              <w:pStyle w:val="Tabletext"/>
              <w:jc w:val="center"/>
              <w:rPr>
                <w:b/>
                <w:bCs/>
                <w:szCs w:val="20"/>
              </w:rPr>
            </w:pPr>
            <w:r w:rsidRPr="0030268E">
              <w:rPr>
                <w:b/>
                <w:szCs w:val="20"/>
              </w:rPr>
              <w:t>Maximum quantity (packs)</w:t>
            </w:r>
          </w:p>
        </w:tc>
        <w:tc>
          <w:tcPr>
            <w:tcW w:w="538" w:type="pct"/>
            <w:vAlign w:val="center"/>
          </w:tcPr>
          <w:p w:rsidR="00CB18ED" w:rsidRPr="0030268E" w:rsidRDefault="00CB18ED" w:rsidP="00077582">
            <w:pPr>
              <w:pStyle w:val="Tabletext"/>
              <w:jc w:val="center"/>
              <w:rPr>
                <w:b/>
                <w:bCs/>
                <w:szCs w:val="20"/>
              </w:rPr>
            </w:pPr>
            <w:r w:rsidRPr="0030268E">
              <w:rPr>
                <w:b/>
                <w:szCs w:val="20"/>
              </w:rPr>
              <w:t>Maximum quantity (units)</w:t>
            </w:r>
          </w:p>
        </w:tc>
        <w:tc>
          <w:tcPr>
            <w:tcW w:w="442" w:type="pct"/>
            <w:vAlign w:val="center"/>
          </w:tcPr>
          <w:p w:rsidR="00CB18ED" w:rsidRPr="0030268E" w:rsidRDefault="00CB18ED" w:rsidP="00077582">
            <w:pPr>
              <w:pStyle w:val="Tabletext"/>
              <w:jc w:val="center"/>
              <w:rPr>
                <w:b/>
                <w:bCs/>
                <w:szCs w:val="20"/>
              </w:rPr>
            </w:pPr>
            <w:r w:rsidRPr="0030268E">
              <w:rPr>
                <w:b/>
                <w:szCs w:val="20"/>
              </w:rPr>
              <w:t>No. of repeats</w:t>
            </w:r>
          </w:p>
        </w:tc>
        <w:tc>
          <w:tcPr>
            <w:tcW w:w="1204" w:type="pct"/>
            <w:vAlign w:val="center"/>
          </w:tcPr>
          <w:p w:rsidR="00CB18ED" w:rsidRPr="0030268E" w:rsidRDefault="00CB18ED" w:rsidP="00077582">
            <w:pPr>
              <w:pStyle w:val="Tabletext"/>
              <w:jc w:val="center"/>
              <w:rPr>
                <w:b/>
                <w:bCs/>
                <w:szCs w:val="20"/>
              </w:rPr>
            </w:pPr>
            <w:r w:rsidRPr="0030268E">
              <w:rPr>
                <w:b/>
                <w:szCs w:val="20"/>
              </w:rPr>
              <w:t xml:space="preserve">Dispensed price for </w:t>
            </w:r>
            <w:r w:rsidRPr="0030268E">
              <w:rPr>
                <w:b/>
                <w:szCs w:val="20"/>
              </w:rPr>
              <w:br/>
              <w:t>maximum quantity</w:t>
            </w:r>
          </w:p>
        </w:tc>
        <w:tc>
          <w:tcPr>
            <w:tcW w:w="1018" w:type="pct"/>
            <w:vAlign w:val="center"/>
          </w:tcPr>
          <w:p w:rsidR="00CB18ED" w:rsidRPr="0030268E" w:rsidRDefault="00CB18ED" w:rsidP="00077582">
            <w:pPr>
              <w:pStyle w:val="Tabletext"/>
              <w:jc w:val="center"/>
              <w:rPr>
                <w:b/>
                <w:bCs/>
                <w:szCs w:val="20"/>
              </w:rPr>
            </w:pPr>
            <w:r w:rsidRPr="0030268E">
              <w:rPr>
                <w:b/>
                <w:szCs w:val="20"/>
              </w:rPr>
              <w:t>Proprietary name and manufacturer</w:t>
            </w:r>
          </w:p>
        </w:tc>
      </w:tr>
      <w:tr w:rsidR="007231F9" w:rsidRPr="0030268E" w:rsidTr="0030268E">
        <w:tblPrEx>
          <w:tblBorders>
            <w:insideH w:val="none" w:sz="0" w:space="0" w:color="auto"/>
          </w:tblBorders>
        </w:tblPrEx>
        <w:tc>
          <w:tcPr>
            <w:tcW w:w="1217" w:type="pct"/>
            <w:gridSpan w:val="2"/>
            <w:tcBorders>
              <w:top w:val="single" w:sz="4" w:space="0" w:color="auto"/>
            </w:tcBorders>
          </w:tcPr>
          <w:p w:rsidR="007231F9" w:rsidRPr="0030268E" w:rsidRDefault="007231F9" w:rsidP="00077582">
            <w:pPr>
              <w:pStyle w:val="PBACTableText"/>
            </w:pPr>
            <w:proofErr w:type="spellStart"/>
            <w:r w:rsidRPr="0030268E">
              <w:t>Siponimod</w:t>
            </w:r>
            <w:proofErr w:type="spellEnd"/>
            <w:r w:rsidRPr="0030268E">
              <w:t>,</w:t>
            </w:r>
          </w:p>
          <w:p w:rsidR="007231F9" w:rsidRPr="0030268E" w:rsidRDefault="007231F9" w:rsidP="00077582">
            <w:pPr>
              <w:pStyle w:val="PBACTableText"/>
            </w:pPr>
            <w:r w:rsidRPr="0030268E">
              <w:lastRenderedPageBreak/>
              <w:t>0.25 milligram, Tablet</w:t>
            </w:r>
          </w:p>
        </w:tc>
        <w:tc>
          <w:tcPr>
            <w:tcW w:w="582" w:type="pct"/>
            <w:gridSpan w:val="2"/>
            <w:tcBorders>
              <w:top w:val="single" w:sz="4" w:space="0" w:color="auto"/>
            </w:tcBorders>
            <w:vAlign w:val="center"/>
          </w:tcPr>
          <w:p w:rsidR="007231F9" w:rsidRPr="0030268E" w:rsidRDefault="007231F9" w:rsidP="00077582">
            <w:pPr>
              <w:pStyle w:val="PBACTableText"/>
              <w:jc w:val="center"/>
            </w:pPr>
            <w:r w:rsidRPr="0030268E">
              <w:lastRenderedPageBreak/>
              <w:t>1</w:t>
            </w:r>
          </w:p>
        </w:tc>
        <w:tc>
          <w:tcPr>
            <w:tcW w:w="538" w:type="pct"/>
            <w:tcBorders>
              <w:top w:val="single" w:sz="4" w:space="0" w:color="auto"/>
            </w:tcBorders>
            <w:vAlign w:val="center"/>
          </w:tcPr>
          <w:p w:rsidR="007231F9" w:rsidRPr="0030268E" w:rsidRDefault="007231F9" w:rsidP="00077582">
            <w:pPr>
              <w:pStyle w:val="PBACTableText"/>
              <w:jc w:val="center"/>
            </w:pPr>
            <w:r w:rsidRPr="0030268E">
              <w:t>12</w:t>
            </w:r>
          </w:p>
        </w:tc>
        <w:tc>
          <w:tcPr>
            <w:tcW w:w="442" w:type="pct"/>
            <w:tcBorders>
              <w:top w:val="single" w:sz="4" w:space="0" w:color="auto"/>
            </w:tcBorders>
            <w:vAlign w:val="center"/>
          </w:tcPr>
          <w:p w:rsidR="007231F9" w:rsidRPr="0030268E" w:rsidRDefault="007231F9" w:rsidP="00077582">
            <w:pPr>
              <w:pStyle w:val="PBACTableText"/>
              <w:jc w:val="center"/>
            </w:pPr>
            <w:r w:rsidRPr="0030268E">
              <w:t>0</w:t>
            </w:r>
          </w:p>
        </w:tc>
        <w:tc>
          <w:tcPr>
            <w:tcW w:w="1204" w:type="pct"/>
            <w:tcBorders>
              <w:top w:val="single" w:sz="4" w:space="0" w:color="auto"/>
            </w:tcBorders>
            <w:vAlign w:val="center"/>
          </w:tcPr>
          <w:p w:rsidR="007231F9" w:rsidRPr="0030268E" w:rsidRDefault="007231F9" w:rsidP="00077582">
            <w:pPr>
              <w:pStyle w:val="PBACTableText"/>
              <w:jc w:val="center"/>
            </w:pPr>
            <w:r w:rsidRPr="0030268E">
              <w:t>Published:</w:t>
            </w:r>
            <w:r w:rsidRPr="0030268E">
              <w:rPr>
                <w:vertAlign w:val="superscript"/>
              </w:rPr>
              <w:t xml:space="preserve"> </w:t>
            </w:r>
            <w:r w:rsidRPr="0030268E">
              <w:t>$</w:t>
            </w:r>
            <w:r w:rsidR="00387A27">
              <w:rPr>
                <w:noProof/>
                <w:color w:val="000000"/>
                <w:highlight w:val="black"/>
              </w:rPr>
              <w:t>'''''''''''''''</w:t>
            </w:r>
          </w:p>
          <w:p w:rsidR="007231F9" w:rsidRPr="0030268E" w:rsidRDefault="007231F9" w:rsidP="00077582">
            <w:pPr>
              <w:pStyle w:val="PBACTableText"/>
              <w:jc w:val="center"/>
            </w:pPr>
            <w:r w:rsidRPr="0030268E">
              <w:lastRenderedPageBreak/>
              <w:t>Effective: $</w:t>
            </w:r>
            <w:r w:rsidR="00387A27">
              <w:rPr>
                <w:noProof/>
                <w:color w:val="000000"/>
                <w:highlight w:val="black"/>
              </w:rPr>
              <w:t>''''''''''''''''''</w:t>
            </w:r>
          </w:p>
        </w:tc>
        <w:tc>
          <w:tcPr>
            <w:tcW w:w="1018" w:type="pct"/>
            <w:vMerge w:val="restart"/>
            <w:tcBorders>
              <w:top w:val="single" w:sz="4" w:space="0" w:color="auto"/>
            </w:tcBorders>
            <w:vAlign w:val="center"/>
          </w:tcPr>
          <w:p w:rsidR="007231F9" w:rsidRPr="0030268E" w:rsidRDefault="007231F9" w:rsidP="00077582">
            <w:pPr>
              <w:pStyle w:val="PBACTableText"/>
              <w:jc w:val="center"/>
            </w:pPr>
            <w:proofErr w:type="spellStart"/>
            <w:r w:rsidRPr="0030268E">
              <w:lastRenderedPageBreak/>
              <w:t>Mayzent</w:t>
            </w:r>
            <w:proofErr w:type="spellEnd"/>
            <w:r w:rsidRPr="0030268E">
              <w:t>®</w:t>
            </w:r>
          </w:p>
          <w:p w:rsidR="007231F9" w:rsidRPr="0030268E" w:rsidRDefault="007231F9" w:rsidP="00077582">
            <w:pPr>
              <w:pStyle w:val="PBACTableText"/>
              <w:jc w:val="center"/>
            </w:pPr>
          </w:p>
          <w:p w:rsidR="007231F9" w:rsidRPr="0030268E" w:rsidRDefault="007231F9" w:rsidP="00077582">
            <w:pPr>
              <w:pStyle w:val="PBACTableText"/>
              <w:jc w:val="center"/>
            </w:pPr>
            <w:r w:rsidRPr="0030268E">
              <w:t>Novartis Pharmaceuticals Australia Pty Limited</w:t>
            </w:r>
          </w:p>
          <w:p w:rsidR="007231F9" w:rsidRPr="0030268E" w:rsidRDefault="007231F9" w:rsidP="00077582">
            <w:pPr>
              <w:pStyle w:val="PBACTableText"/>
              <w:jc w:val="center"/>
            </w:pPr>
          </w:p>
        </w:tc>
      </w:tr>
      <w:tr w:rsidR="007231F9" w:rsidRPr="0030268E" w:rsidTr="0030268E">
        <w:tblPrEx>
          <w:tblBorders>
            <w:insideH w:val="none" w:sz="0" w:space="0" w:color="auto"/>
          </w:tblBorders>
        </w:tblPrEx>
        <w:tc>
          <w:tcPr>
            <w:tcW w:w="1217" w:type="pct"/>
            <w:gridSpan w:val="2"/>
            <w:tcBorders>
              <w:top w:val="single" w:sz="4" w:space="0" w:color="auto"/>
            </w:tcBorders>
          </w:tcPr>
          <w:p w:rsidR="007231F9" w:rsidRPr="0030268E" w:rsidRDefault="007231F9" w:rsidP="00077582">
            <w:pPr>
              <w:pStyle w:val="PBACTableText"/>
            </w:pPr>
            <w:proofErr w:type="spellStart"/>
            <w:r w:rsidRPr="0030268E">
              <w:lastRenderedPageBreak/>
              <w:t>Siponimod</w:t>
            </w:r>
            <w:proofErr w:type="spellEnd"/>
            <w:r w:rsidRPr="0030268E">
              <w:t>,</w:t>
            </w:r>
          </w:p>
          <w:p w:rsidR="007231F9" w:rsidRPr="0030268E" w:rsidRDefault="007231F9" w:rsidP="00077582">
            <w:pPr>
              <w:pStyle w:val="PBACTableText"/>
            </w:pPr>
            <w:r w:rsidRPr="0030268E">
              <w:t>0.25 milligram, Tablet</w:t>
            </w:r>
          </w:p>
        </w:tc>
        <w:tc>
          <w:tcPr>
            <w:tcW w:w="582" w:type="pct"/>
            <w:gridSpan w:val="2"/>
            <w:tcBorders>
              <w:top w:val="single" w:sz="4" w:space="0" w:color="auto"/>
            </w:tcBorders>
            <w:vAlign w:val="center"/>
          </w:tcPr>
          <w:p w:rsidR="007231F9" w:rsidRPr="0030268E" w:rsidRDefault="007231F9" w:rsidP="00077582">
            <w:pPr>
              <w:pStyle w:val="PBACTableText"/>
              <w:jc w:val="center"/>
            </w:pPr>
            <w:r w:rsidRPr="0030268E">
              <w:t>1</w:t>
            </w:r>
          </w:p>
        </w:tc>
        <w:tc>
          <w:tcPr>
            <w:tcW w:w="538" w:type="pct"/>
            <w:tcBorders>
              <w:top w:val="single" w:sz="4" w:space="0" w:color="auto"/>
            </w:tcBorders>
            <w:vAlign w:val="center"/>
          </w:tcPr>
          <w:p w:rsidR="007231F9" w:rsidRPr="0030268E" w:rsidRDefault="007231F9" w:rsidP="00077582">
            <w:pPr>
              <w:pStyle w:val="PBACTableText"/>
              <w:jc w:val="center"/>
            </w:pPr>
            <w:r w:rsidRPr="0030268E">
              <w:t>120</w:t>
            </w:r>
          </w:p>
        </w:tc>
        <w:tc>
          <w:tcPr>
            <w:tcW w:w="442" w:type="pct"/>
            <w:tcBorders>
              <w:top w:val="single" w:sz="4" w:space="0" w:color="auto"/>
            </w:tcBorders>
            <w:vAlign w:val="center"/>
          </w:tcPr>
          <w:p w:rsidR="007231F9" w:rsidRPr="0030268E" w:rsidRDefault="007231F9" w:rsidP="00077582">
            <w:pPr>
              <w:pStyle w:val="PBACTableText"/>
              <w:jc w:val="center"/>
            </w:pPr>
            <w:r w:rsidRPr="0030268E">
              <w:t>5</w:t>
            </w:r>
          </w:p>
        </w:tc>
        <w:tc>
          <w:tcPr>
            <w:tcW w:w="1204" w:type="pct"/>
            <w:tcBorders>
              <w:top w:val="single" w:sz="4" w:space="0" w:color="auto"/>
            </w:tcBorders>
            <w:vAlign w:val="center"/>
          </w:tcPr>
          <w:p w:rsidR="007231F9" w:rsidRPr="0030268E" w:rsidRDefault="007231F9" w:rsidP="00077582">
            <w:pPr>
              <w:pStyle w:val="PBACTableText"/>
              <w:jc w:val="center"/>
            </w:pPr>
            <w:r w:rsidRPr="0030268E">
              <w:t>Published</w:t>
            </w:r>
            <w:r w:rsidRPr="0030268E">
              <w:rPr>
                <w:vertAlign w:val="superscript"/>
              </w:rPr>
              <w:t xml:space="preserve">: </w:t>
            </w:r>
            <w:r w:rsidRPr="0030268E">
              <w:t>$</w:t>
            </w:r>
            <w:r w:rsidR="000F47B5">
              <w:rPr>
                <w:noProof/>
                <w:color w:val="000000"/>
                <w:highlight w:val="black"/>
              </w:rPr>
              <w:t>'''''''''''''''''''''''</w:t>
            </w:r>
          </w:p>
          <w:p w:rsidR="007231F9" w:rsidRPr="0030268E" w:rsidRDefault="007231F9" w:rsidP="00077582">
            <w:pPr>
              <w:pStyle w:val="PBACTableText"/>
              <w:jc w:val="center"/>
            </w:pPr>
            <w:r w:rsidRPr="0030268E">
              <w:t>Effective: $</w:t>
            </w:r>
            <w:r w:rsidR="00387A27">
              <w:rPr>
                <w:noProof/>
                <w:color w:val="000000"/>
                <w:highlight w:val="black"/>
              </w:rPr>
              <w:t>'''''''''''''''''''</w:t>
            </w:r>
          </w:p>
        </w:tc>
        <w:tc>
          <w:tcPr>
            <w:tcW w:w="1018" w:type="pct"/>
            <w:vMerge/>
            <w:vAlign w:val="center"/>
          </w:tcPr>
          <w:p w:rsidR="007231F9" w:rsidRPr="0030268E" w:rsidRDefault="007231F9" w:rsidP="00077582">
            <w:pPr>
              <w:pStyle w:val="PBACTableText"/>
              <w:jc w:val="center"/>
            </w:pPr>
          </w:p>
        </w:tc>
      </w:tr>
      <w:tr w:rsidR="007231F9" w:rsidRPr="0030268E" w:rsidTr="0030268E">
        <w:tblPrEx>
          <w:tblBorders>
            <w:insideH w:val="none" w:sz="0" w:space="0" w:color="auto"/>
          </w:tblBorders>
        </w:tblPrEx>
        <w:tc>
          <w:tcPr>
            <w:tcW w:w="1217" w:type="pct"/>
            <w:gridSpan w:val="2"/>
            <w:tcBorders>
              <w:top w:val="single" w:sz="4" w:space="0" w:color="auto"/>
            </w:tcBorders>
          </w:tcPr>
          <w:p w:rsidR="007231F9" w:rsidRPr="0030268E" w:rsidRDefault="007231F9" w:rsidP="00077582">
            <w:pPr>
              <w:pStyle w:val="PBACTableText"/>
            </w:pPr>
            <w:proofErr w:type="spellStart"/>
            <w:r w:rsidRPr="0030268E">
              <w:t>Siponimod</w:t>
            </w:r>
            <w:proofErr w:type="spellEnd"/>
            <w:r w:rsidRPr="0030268E">
              <w:t>,</w:t>
            </w:r>
          </w:p>
          <w:p w:rsidR="007231F9" w:rsidRPr="0030268E" w:rsidRDefault="007231F9" w:rsidP="00077582">
            <w:pPr>
              <w:pStyle w:val="PBACTableText"/>
            </w:pPr>
            <w:r w:rsidRPr="0030268E">
              <w:t>2 milligram, Tablet</w:t>
            </w:r>
          </w:p>
        </w:tc>
        <w:tc>
          <w:tcPr>
            <w:tcW w:w="582" w:type="pct"/>
            <w:gridSpan w:val="2"/>
            <w:tcBorders>
              <w:top w:val="single" w:sz="4" w:space="0" w:color="auto"/>
            </w:tcBorders>
            <w:vAlign w:val="center"/>
          </w:tcPr>
          <w:p w:rsidR="007231F9" w:rsidRPr="0030268E" w:rsidRDefault="007231F9" w:rsidP="00077582">
            <w:pPr>
              <w:pStyle w:val="PBACTableText"/>
              <w:jc w:val="center"/>
            </w:pPr>
            <w:r w:rsidRPr="0030268E">
              <w:t>1</w:t>
            </w:r>
          </w:p>
        </w:tc>
        <w:tc>
          <w:tcPr>
            <w:tcW w:w="538" w:type="pct"/>
            <w:tcBorders>
              <w:top w:val="single" w:sz="4" w:space="0" w:color="auto"/>
            </w:tcBorders>
            <w:vAlign w:val="center"/>
          </w:tcPr>
          <w:p w:rsidR="007231F9" w:rsidRPr="0030268E" w:rsidRDefault="007231F9" w:rsidP="00077582">
            <w:pPr>
              <w:pStyle w:val="PBACTableText"/>
              <w:jc w:val="center"/>
            </w:pPr>
            <w:r w:rsidRPr="0030268E">
              <w:t>28</w:t>
            </w:r>
          </w:p>
        </w:tc>
        <w:tc>
          <w:tcPr>
            <w:tcW w:w="442" w:type="pct"/>
            <w:tcBorders>
              <w:top w:val="single" w:sz="4" w:space="0" w:color="auto"/>
            </w:tcBorders>
            <w:vAlign w:val="center"/>
          </w:tcPr>
          <w:p w:rsidR="007231F9" w:rsidRPr="0030268E" w:rsidRDefault="007231F9" w:rsidP="00077582">
            <w:pPr>
              <w:pStyle w:val="PBACTableText"/>
              <w:jc w:val="center"/>
            </w:pPr>
            <w:r w:rsidRPr="0030268E">
              <w:t>5</w:t>
            </w:r>
          </w:p>
        </w:tc>
        <w:tc>
          <w:tcPr>
            <w:tcW w:w="1204" w:type="pct"/>
            <w:tcBorders>
              <w:top w:val="single" w:sz="4" w:space="0" w:color="auto"/>
            </w:tcBorders>
            <w:vAlign w:val="center"/>
          </w:tcPr>
          <w:p w:rsidR="007231F9" w:rsidRPr="0030268E" w:rsidRDefault="007231F9" w:rsidP="00077582">
            <w:pPr>
              <w:pStyle w:val="PBACTableText"/>
              <w:jc w:val="center"/>
            </w:pPr>
            <w:r w:rsidRPr="0030268E">
              <w:t>Published: $</w:t>
            </w:r>
            <w:r w:rsidR="000F47B5">
              <w:rPr>
                <w:noProof/>
                <w:color w:val="000000"/>
                <w:highlight w:val="black"/>
              </w:rPr>
              <w:t>''''''''''''''''''''</w:t>
            </w:r>
          </w:p>
          <w:p w:rsidR="007231F9" w:rsidRPr="0030268E" w:rsidRDefault="007231F9" w:rsidP="00077582">
            <w:pPr>
              <w:pStyle w:val="PBACTableText"/>
              <w:jc w:val="center"/>
            </w:pPr>
            <w:r w:rsidRPr="0030268E">
              <w:t>Effective: $</w:t>
            </w:r>
            <w:r w:rsidR="00387A27">
              <w:rPr>
                <w:noProof/>
                <w:color w:val="000000"/>
                <w:highlight w:val="black"/>
              </w:rPr>
              <w:t>'''''''''''''''''''''</w:t>
            </w:r>
          </w:p>
        </w:tc>
        <w:tc>
          <w:tcPr>
            <w:tcW w:w="1018" w:type="pct"/>
            <w:vMerge/>
            <w:vAlign w:val="center"/>
          </w:tcPr>
          <w:p w:rsidR="007231F9" w:rsidRPr="0030268E" w:rsidRDefault="007231F9" w:rsidP="00077582">
            <w:pPr>
              <w:pStyle w:val="PBACTableText"/>
              <w:jc w:val="center"/>
            </w:pPr>
          </w:p>
        </w:tc>
      </w:tr>
      <w:tr w:rsidR="00542C2D" w:rsidRPr="0030268E" w:rsidTr="0030268E">
        <w:tblPrEx>
          <w:tblBorders>
            <w:left w:val="single" w:sz="4" w:space="0" w:color="auto"/>
            <w:right w:val="single" w:sz="4" w:space="0" w:color="auto"/>
            <w:insideV w:val="single" w:sz="4" w:space="0" w:color="auto"/>
          </w:tblBorders>
          <w:tblCellMar>
            <w:left w:w="28" w:type="dxa"/>
            <w:right w:w="28" w:type="dxa"/>
          </w:tblCellMar>
        </w:tblPrEx>
        <w:trPr>
          <w:gridBefore w:val="1"/>
          <w:wBefore w:w="14" w:type="pct"/>
          <w:trHeight w:val="20"/>
        </w:trPr>
        <w:tc>
          <w:tcPr>
            <w:tcW w:w="1209" w:type="pct"/>
            <w:gridSpan w:val="2"/>
            <w:tcBorders>
              <w:top w:val="single" w:sz="4" w:space="0" w:color="auto"/>
              <w:left w:val="single" w:sz="4" w:space="0" w:color="auto"/>
              <w:bottom w:val="single" w:sz="4" w:space="0" w:color="auto"/>
              <w:right w:val="single" w:sz="4" w:space="0" w:color="auto"/>
            </w:tcBorders>
            <w:hideMark/>
          </w:tcPr>
          <w:p w:rsidR="00542C2D" w:rsidRPr="0030268E" w:rsidRDefault="00591957" w:rsidP="00077582">
            <w:pPr>
              <w:pStyle w:val="Tabletext"/>
              <w:rPr>
                <w:b/>
                <w:szCs w:val="20"/>
                <w:lang w:eastAsia="en-AU"/>
              </w:rPr>
            </w:pPr>
            <w:r w:rsidRPr="0030268E">
              <w:rPr>
                <w:b/>
                <w:szCs w:val="20"/>
                <w:lang w:eastAsia="en-AU"/>
              </w:rPr>
              <w:t>Category/Program:</w:t>
            </w:r>
          </w:p>
        </w:tc>
        <w:tc>
          <w:tcPr>
            <w:tcW w:w="3776" w:type="pct"/>
            <w:gridSpan w:val="5"/>
            <w:tcBorders>
              <w:top w:val="single" w:sz="4" w:space="0" w:color="auto"/>
              <w:left w:val="single" w:sz="4" w:space="0" w:color="auto"/>
              <w:bottom w:val="single" w:sz="4" w:space="0" w:color="auto"/>
              <w:right w:val="single" w:sz="4" w:space="0" w:color="auto"/>
            </w:tcBorders>
          </w:tcPr>
          <w:p w:rsidR="00542C2D" w:rsidRPr="0030268E" w:rsidRDefault="00C67072" w:rsidP="00077582">
            <w:pPr>
              <w:pStyle w:val="Tabletext"/>
              <w:rPr>
                <w:szCs w:val="20"/>
                <w:lang w:eastAsia="en-AU"/>
              </w:rPr>
            </w:pPr>
            <w:r w:rsidRPr="0030268E">
              <w:rPr>
                <w:szCs w:val="20"/>
                <w:lang w:eastAsia="en-AU"/>
              </w:rPr>
              <w:t>Authority Required</w:t>
            </w:r>
          </w:p>
        </w:tc>
      </w:tr>
      <w:tr w:rsidR="00542C2D" w:rsidRPr="0030268E" w:rsidTr="0030268E">
        <w:tblPrEx>
          <w:tblBorders>
            <w:left w:val="single" w:sz="4" w:space="0" w:color="auto"/>
            <w:right w:val="single" w:sz="4" w:space="0" w:color="auto"/>
            <w:insideV w:val="single" w:sz="4" w:space="0" w:color="auto"/>
          </w:tblBorders>
          <w:tblCellMar>
            <w:left w:w="28" w:type="dxa"/>
            <w:right w:w="28" w:type="dxa"/>
          </w:tblCellMar>
        </w:tblPrEx>
        <w:trPr>
          <w:gridBefore w:val="1"/>
          <w:wBefore w:w="14" w:type="pct"/>
          <w:trHeight w:val="20"/>
        </w:trPr>
        <w:tc>
          <w:tcPr>
            <w:tcW w:w="1209" w:type="pct"/>
            <w:gridSpan w:val="2"/>
            <w:tcBorders>
              <w:top w:val="single" w:sz="4" w:space="0" w:color="auto"/>
              <w:left w:val="single" w:sz="4" w:space="0" w:color="auto"/>
              <w:bottom w:val="single" w:sz="4" w:space="0" w:color="auto"/>
              <w:right w:val="single" w:sz="4" w:space="0" w:color="auto"/>
            </w:tcBorders>
            <w:hideMark/>
          </w:tcPr>
          <w:p w:rsidR="00542C2D" w:rsidRPr="0030268E" w:rsidRDefault="00591957" w:rsidP="00077582">
            <w:pPr>
              <w:pStyle w:val="Tabletext"/>
              <w:rPr>
                <w:b/>
                <w:szCs w:val="20"/>
                <w:lang w:eastAsia="en-AU"/>
              </w:rPr>
            </w:pPr>
            <w:r w:rsidRPr="0030268E">
              <w:rPr>
                <w:b/>
                <w:szCs w:val="20"/>
                <w:lang w:eastAsia="en-AU"/>
              </w:rPr>
              <w:t>PBS indication:</w:t>
            </w:r>
          </w:p>
        </w:tc>
        <w:tc>
          <w:tcPr>
            <w:tcW w:w="3776" w:type="pct"/>
            <w:gridSpan w:val="5"/>
            <w:tcBorders>
              <w:top w:val="single" w:sz="4" w:space="0" w:color="auto"/>
              <w:left w:val="single" w:sz="4" w:space="0" w:color="auto"/>
              <w:bottom w:val="single" w:sz="4" w:space="0" w:color="auto"/>
              <w:right w:val="single" w:sz="4" w:space="0" w:color="auto"/>
            </w:tcBorders>
          </w:tcPr>
          <w:p w:rsidR="00542C2D" w:rsidRPr="0030268E" w:rsidRDefault="00C67072" w:rsidP="00077582">
            <w:pPr>
              <w:pStyle w:val="Tabletext"/>
              <w:rPr>
                <w:szCs w:val="20"/>
                <w:lang w:eastAsia="en-AU"/>
              </w:rPr>
            </w:pPr>
            <w:r w:rsidRPr="0030268E">
              <w:rPr>
                <w:szCs w:val="20"/>
              </w:rPr>
              <w:t>Secondary progressive multiple sclerosis</w:t>
            </w:r>
          </w:p>
        </w:tc>
      </w:tr>
      <w:tr w:rsidR="00542C2D" w:rsidRPr="0030268E" w:rsidTr="0030268E">
        <w:tblPrEx>
          <w:tblBorders>
            <w:left w:val="single" w:sz="4" w:space="0" w:color="auto"/>
            <w:right w:val="single" w:sz="4" w:space="0" w:color="auto"/>
            <w:insideV w:val="single" w:sz="4" w:space="0" w:color="auto"/>
          </w:tblBorders>
          <w:tblCellMar>
            <w:left w:w="28" w:type="dxa"/>
            <w:right w:w="28" w:type="dxa"/>
          </w:tblCellMar>
        </w:tblPrEx>
        <w:trPr>
          <w:gridBefore w:val="1"/>
          <w:wBefore w:w="14" w:type="pct"/>
          <w:trHeight w:val="20"/>
        </w:trPr>
        <w:tc>
          <w:tcPr>
            <w:tcW w:w="1209" w:type="pct"/>
            <w:gridSpan w:val="2"/>
            <w:tcBorders>
              <w:top w:val="single" w:sz="4" w:space="0" w:color="auto"/>
              <w:left w:val="single" w:sz="4" w:space="0" w:color="auto"/>
              <w:bottom w:val="single" w:sz="4" w:space="0" w:color="auto"/>
              <w:right w:val="single" w:sz="4" w:space="0" w:color="auto"/>
            </w:tcBorders>
            <w:hideMark/>
          </w:tcPr>
          <w:p w:rsidR="00542C2D" w:rsidRPr="0030268E" w:rsidRDefault="00591957" w:rsidP="00077582">
            <w:pPr>
              <w:pStyle w:val="Tabletext"/>
              <w:rPr>
                <w:b/>
                <w:szCs w:val="20"/>
                <w:lang w:eastAsia="en-AU"/>
              </w:rPr>
            </w:pPr>
            <w:r w:rsidRPr="0030268E">
              <w:rPr>
                <w:b/>
                <w:szCs w:val="20"/>
                <w:lang w:eastAsia="en-AU"/>
              </w:rPr>
              <w:t>Treatment phase:</w:t>
            </w:r>
          </w:p>
        </w:tc>
        <w:tc>
          <w:tcPr>
            <w:tcW w:w="3776" w:type="pct"/>
            <w:gridSpan w:val="5"/>
            <w:tcBorders>
              <w:top w:val="single" w:sz="4" w:space="0" w:color="auto"/>
              <w:left w:val="single" w:sz="4" w:space="0" w:color="auto"/>
              <w:bottom w:val="single" w:sz="4" w:space="0" w:color="auto"/>
              <w:right w:val="single" w:sz="4" w:space="0" w:color="auto"/>
            </w:tcBorders>
          </w:tcPr>
          <w:p w:rsidR="00542C2D" w:rsidRPr="0030268E" w:rsidRDefault="00C67072" w:rsidP="00077582">
            <w:pPr>
              <w:pStyle w:val="Tabletext"/>
              <w:rPr>
                <w:szCs w:val="20"/>
                <w:lang w:eastAsia="en-AU"/>
              </w:rPr>
            </w:pPr>
            <w:r w:rsidRPr="0030268E">
              <w:rPr>
                <w:szCs w:val="20"/>
                <w:lang w:eastAsia="en-AU"/>
              </w:rPr>
              <w:t>Initial</w:t>
            </w:r>
            <w:r w:rsidR="000376EB">
              <w:rPr>
                <w:szCs w:val="20"/>
                <w:lang w:eastAsia="en-AU"/>
              </w:rPr>
              <w:t xml:space="preserve"> and</w:t>
            </w:r>
            <w:r w:rsidRPr="0030268E">
              <w:rPr>
                <w:szCs w:val="20"/>
                <w:lang w:eastAsia="en-AU"/>
              </w:rPr>
              <w:t xml:space="preserve"> continuing</w:t>
            </w:r>
          </w:p>
        </w:tc>
      </w:tr>
      <w:tr w:rsidR="00542C2D" w:rsidRPr="0030268E" w:rsidTr="0030268E">
        <w:tblPrEx>
          <w:tblBorders>
            <w:left w:val="single" w:sz="4" w:space="0" w:color="auto"/>
            <w:right w:val="single" w:sz="4" w:space="0" w:color="auto"/>
            <w:insideV w:val="single" w:sz="4" w:space="0" w:color="auto"/>
          </w:tblBorders>
          <w:tblCellMar>
            <w:left w:w="28" w:type="dxa"/>
            <w:right w:w="28" w:type="dxa"/>
          </w:tblCellMar>
        </w:tblPrEx>
        <w:trPr>
          <w:gridBefore w:val="1"/>
          <w:wBefore w:w="14" w:type="pct"/>
          <w:trHeight w:val="20"/>
        </w:trPr>
        <w:tc>
          <w:tcPr>
            <w:tcW w:w="1209" w:type="pct"/>
            <w:gridSpan w:val="2"/>
            <w:tcBorders>
              <w:top w:val="single" w:sz="4" w:space="0" w:color="auto"/>
              <w:left w:val="single" w:sz="4" w:space="0" w:color="auto"/>
              <w:bottom w:val="single" w:sz="4" w:space="0" w:color="auto"/>
              <w:right w:val="single" w:sz="4" w:space="0" w:color="auto"/>
            </w:tcBorders>
            <w:hideMark/>
          </w:tcPr>
          <w:p w:rsidR="00542C2D" w:rsidRPr="0030268E" w:rsidRDefault="00542C2D" w:rsidP="00077582">
            <w:pPr>
              <w:pStyle w:val="Tabletext"/>
              <w:rPr>
                <w:b/>
                <w:szCs w:val="20"/>
                <w:lang w:eastAsia="en-AU"/>
              </w:rPr>
            </w:pPr>
            <w:r w:rsidRPr="0030268E">
              <w:rPr>
                <w:b/>
                <w:szCs w:val="20"/>
                <w:lang w:eastAsia="en-AU"/>
              </w:rPr>
              <w:t>Clinical criteria</w:t>
            </w:r>
            <w:r w:rsidR="00591957" w:rsidRPr="0030268E">
              <w:rPr>
                <w:b/>
                <w:szCs w:val="20"/>
                <w:lang w:eastAsia="en-AU"/>
              </w:rPr>
              <w:t>:</w:t>
            </w:r>
          </w:p>
        </w:tc>
        <w:tc>
          <w:tcPr>
            <w:tcW w:w="3776" w:type="pct"/>
            <w:gridSpan w:val="5"/>
            <w:tcBorders>
              <w:top w:val="single" w:sz="4" w:space="0" w:color="auto"/>
              <w:left w:val="single" w:sz="4" w:space="0" w:color="auto"/>
              <w:bottom w:val="single" w:sz="4" w:space="0" w:color="auto"/>
              <w:right w:val="single" w:sz="4" w:space="0" w:color="auto"/>
            </w:tcBorders>
          </w:tcPr>
          <w:p w:rsidR="00C67072" w:rsidRPr="0030268E" w:rsidRDefault="00C67072" w:rsidP="00077582">
            <w:pPr>
              <w:widowControl/>
              <w:jc w:val="left"/>
              <w:rPr>
                <w:rFonts w:ascii="Arial Narrow" w:hAnsi="Arial Narrow"/>
                <w:b/>
                <w:sz w:val="20"/>
                <w:szCs w:val="20"/>
                <w:u w:val="single"/>
              </w:rPr>
            </w:pPr>
            <w:r w:rsidRPr="0030268E">
              <w:rPr>
                <w:rFonts w:ascii="Arial Narrow" w:hAnsi="Arial Narrow"/>
                <w:b/>
                <w:sz w:val="20"/>
                <w:szCs w:val="20"/>
                <w:u w:val="single"/>
              </w:rPr>
              <w:t xml:space="preserve">Initial </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 xml:space="preserve">The condition must </w:t>
            </w:r>
            <w:r w:rsidRPr="0030268E">
              <w:rPr>
                <w:rFonts w:ascii="Arial Narrow" w:hAnsi="Arial Narrow"/>
                <w:sz w:val="20"/>
                <w:szCs w:val="20"/>
                <w:u w:val="single"/>
              </w:rPr>
              <w:t>have previously been</w:t>
            </w:r>
            <w:r w:rsidRPr="0030268E">
              <w:rPr>
                <w:rFonts w:ascii="Arial Narrow" w:hAnsi="Arial Narrow"/>
                <w:sz w:val="20"/>
                <w:szCs w:val="20"/>
              </w:rPr>
              <w:t xml:space="preserve"> diagnosed as clinically definite relapsing-remitting multiple sclerosis,</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The treatment must be a sole PBS-subsidised disease modifying therapy for this condition,</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C67072" w:rsidRPr="0030268E" w:rsidRDefault="00C67072" w:rsidP="00077582">
            <w:pPr>
              <w:widowControl/>
              <w:jc w:val="left"/>
              <w:rPr>
                <w:rFonts w:ascii="Arial Narrow" w:hAnsi="Arial Narrow"/>
                <w:sz w:val="20"/>
                <w:szCs w:val="20"/>
                <w:u w:val="single"/>
              </w:rPr>
            </w:pPr>
            <w:r w:rsidRPr="0030268E">
              <w:rPr>
                <w:rFonts w:ascii="Arial Narrow" w:hAnsi="Arial Narrow"/>
                <w:sz w:val="20"/>
                <w:szCs w:val="20"/>
                <w:u w:val="single"/>
              </w:rPr>
              <w:t>Patient must have experienced a progressive increase in disability of at least 6 months duration, with evidence of mild disability in at least 3 functional systems or moderate disability in at least 1 functional system</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542C2D" w:rsidRPr="0030268E" w:rsidRDefault="00C67072" w:rsidP="00077582">
            <w:pPr>
              <w:pStyle w:val="Tabletext"/>
              <w:rPr>
                <w:szCs w:val="20"/>
              </w:rPr>
            </w:pPr>
            <w:r w:rsidRPr="0030268E">
              <w:rPr>
                <w:szCs w:val="20"/>
              </w:rPr>
              <w:t>Patient must be ambulatory (</w:t>
            </w:r>
            <w:r w:rsidRPr="0030268E">
              <w:rPr>
                <w:szCs w:val="20"/>
                <w:u w:val="single"/>
              </w:rPr>
              <w:t>with or</w:t>
            </w:r>
            <w:r w:rsidRPr="0030268E">
              <w:rPr>
                <w:szCs w:val="20"/>
              </w:rPr>
              <w:t xml:space="preserve"> without assistance or support).</w:t>
            </w:r>
          </w:p>
          <w:p w:rsidR="00973BEA" w:rsidRPr="0030268E" w:rsidRDefault="00973BEA" w:rsidP="00077582">
            <w:pPr>
              <w:pStyle w:val="Tabletext"/>
              <w:rPr>
                <w:szCs w:val="20"/>
              </w:rPr>
            </w:pPr>
          </w:p>
          <w:p w:rsidR="00C67072" w:rsidRPr="0030268E" w:rsidRDefault="00C67072" w:rsidP="00077582">
            <w:pPr>
              <w:pStyle w:val="Tabletext"/>
              <w:rPr>
                <w:b/>
                <w:szCs w:val="20"/>
                <w:u w:val="single"/>
              </w:rPr>
            </w:pPr>
            <w:r w:rsidRPr="0030268E">
              <w:rPr>
                <w:b/>
                <w:szCs w:val="20"/>
                <w:u w:val="single"/>
              </w:rPr>
              <w:t>Continuing</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 xml:space="preserve">Patient must have previously received PBS-subsidised treatment with this drug for this condition, </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The treatment must be a sole PBS-subsidised disease modifying therapy for this condition,</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 xml:space="preserve">Patient must not show continuing progression of disability </w:t>
            </w:r>
            <w:r w:rsidRPr="0030268E">
              <w:rPr>
                <w:rFonts w:ascii="Arial Narrow" w:hAnsi="Arial Narrow"/>
                <w:sz w:val="20"/>
                <w:szCs w:val="20"/>
                <w:u w:val="single"/>
              </w:rPr>
              <w:t>that is sustained for at least 6 months</w:t>
            </w:r>
            <w:r w:rsidRPr="0030268E">
              <w:rPr>
                <w:rFonts w:ascii="Arial Narrow" w:hAnsi="Arial Narrow"/>
                <w:sz w:val="20"/>
                <w:szCs w:val="20"/>
              </w:rPr>
              <w:t xml:space="preserve"> while on treatment with this drug,</w:t>
            </w:r>
          </w:p>
          <w:p w:rsidR="00C67072" w:rsidRPr="0030268E" w:rsidRDefault="00C67072" w:rsidP="00077582">
            <w:pPr>
              <w:widowControl/>
              <w:jc w:val="left"/>
              <w:rPr>
                <w:rFonts w:ascii="Arial Narrow" w:hAnsi="Arial Narrow"/>
                <w:sz w:val="20"/>
                <w:szCs w:val="20"/>
              </w:rPr>
            </w:pPr>
            <w:r w:rsidRPr="0030268E">
              <w:rPr>
                <w:rFonts w:ascii="Arial Narrow" w:hAnsi="Arial Narrow"/>
                <w:sz w:val="20"/>
                <w:szCs w:val="20"/>
              </w:rPr>
              <w:t>AND</w:t>
            </w:r>
          </w:p>
          <w:p w:rsidR="00C67072" w:rsidRPr="0030268E" w:rsidRDefault="00C67072" w:rsidP="00077582">
            <w:pPr>
              <w:pStyle w:val="Tabletext"/>
              <w:rPr>
                <w:szCs w:val="20"/>
                <w:u w:val="single"/>
                <w:lang w:eastAsia="en-AU"/>
              </w:rPr>
            </w:pPr>
            <w:r w:rsidRPr="0030268E">
              <w:rPr>
                <w:szCs w:val="20"/>
              </w:rPr>
              <w:t>Patient must have demonstrated compliance with, and an ability to tolerate this therapy.</w:t>
            </w:r>
          </w:p>
        </w:tc>
      </w:tr>
    </w:tbl>
    <w:p w:rsidR="00B60939" w:rsidRPr="00882085" w:rsidRDefault="00B60939" w:rsidP="00077582">
      <w:pPr>
        <w:widowControl/>
      </w:pPr>
    </w:p>
    <w:p w:rsidR="00591957" w:rsidRPr="009F2D6F" w:rsidRDefault="00C67072" w:rsidP="00077582">
      <w:pPr>
        <w:pStyle w:val="ListParagraph"/>
        <w:widowControl/>
        <w:numPr>
          <w:ilvl w:val="1"/>
          <w:numId w:val="2"/>
        </w:numPr>
      </w:pPr>
      <w:r w:rsidRPr="009F2D6F">
        <w:t xml:space="preserve">All requested restrictions are </w:t>
      </w:r>
      <w:r w:rsidR="007231F9" w:rsidRPr="009F2D6F">
        <w:t>General Schedule</w:t>
      </w:r>
      <w:r w:rsidRPr="009F2D6F">
        <w:t xml:space="preserve"> Authority Required (Telephone) listings with the same administrative advice. The submission modelled the requested restrictions on the current PBS restrictions for oral DMTs in RRMS. Underlined text in the requested listings represents differences between the proposed </w:t>
      </w:r>
      <w:proofErr w:type="spellStart"/>
      <w:r w:rsidRPr="009F2D6F">
        <w:t>siponimod</w:t>
      </w:r>
      <w:proofErr w:type="spellEnd"/>
      <w:r w:rsidRPr="009F2D6F">
        <w:t xml:space="preserve"> restriction and the current restrictions for DMTs listed for an RRMS indication.</w:t>
      </w:r>
    </w:p>
    <w:p w:rsidR="0020732F" w:rsidRPr="009F2D6F" w:rsidRDefault="00C67072" w:rsidP="00077582">
      <w:pPr>
        <w:pStyle w:val="ListParagraph"/>
        <w:widowControl/>
        <w:numPr>
          <w:ilvl w:val="1"/>
          <w:numId w:val="2"/>
        </w:numPr>
      </w:pPr>
      <w:r w:rsidRPr="009F2D6F">
        <w:t xml:space="preserve">Overall, the population in the requested restriction is broader than that enrolled in the primary source of evidence of the submission (the EXPAND trial). EXPAND used more specific definitions to describe SPMS and applied exclusion criteria that are not reflected in the requested restriction. </w:t>
      </w:r>
      <w:r w:rsidR="00A561C5" w:rsidRPr="009F2D6F">
        <w:t>The ESC considered it would be appropriate for the restriction to more closely align with the EXPAND trial criteria</w:t>
      </w:r>
      <w:r w:rsidR="00D45B2A" w:rsidRPr="009F2D6F">
        <w:t xml:space="preserve"> to better target those with SPMS</w:t>
      </w:r>
      <w:r w:rsidR="00882E16" w:rsidRPr="009F2D6F">
        <w:t>,</w:t>
      </w:r>
      <w:r w:rsidR="00D45B2A" w:rsidRPr="009F2D6F">
        <w:t xml:space="preserve"> </w:t>
      </w:r>
      <w:r w:rsidR="00A728C6" w:rsidRPr="009F2D6F">
        <w:t>and to better restrict use beyond progression by adding an objective measure of disease progression to the continuing restriction</w:t>
      </w:r>
      <w:r w:rsidR="00A561C5" w:rsidRPr="009F2D6F">
        <w:t>.</w:t>
      </w:r>
      <w:r w:rsidR="00A728C6" w:rsidRPr="009F2D6F">
        <w:t xml:space="preserve"> The ESC also noted that the restriction required patients to have experienced progressive disability over at least 6 months prior to initiation, whilst the EXPAND trial required documented evidence of progressive disability over 2 years.</w:t>
      </w:r>
      <w:r w:rsidR="00157F08">
        <w:t xml:space="preserve"> The PBAC considered the proposed restriction did not specifically identify patients with SPMS or exclude patients with RRMS.</w:t>
      </w:r>
    </w:p>
    <w:p w:rsidR="004E0D22" w:rsidRPr="009F2D6F" w:rsidRDefault="008D4C01" w:rsidP="00077582">
      <w:pPr>
        <w:pStyle w:val="ListParagraph"/>
        <w:widowControl/>
        <w:numPr>
          <w:ilvl w:val="1"/>
          <w:numId w:val="2"/>
        </w:numPr>
      </w:pPr>
      <w:r>
        <w:lastRenderedPageBreak/>
        <w:t>T</w:t>
      </w:r>
      <w:r w:rsidR="00A561C5" w:rsidRPr="009F2D6F">
        <w:t xml:space="preserve">he proposed restriction </w:t>
      </w:r>
      <w:r w:rsidR="00157F08">
        <w:t>w</w:t>
      </w:r>
      <w:r w:rsidR="00B311A6" w:rsidRPr="009F2D6F">
        <w:t xml:space="preserve">ould allow patients to switch back to DMTs for RRMS following treatment with </w:t>
      </w:r>
      <w:proofErr w:type="spellStart"/>
      <w:r w:rsidR="00B311A6" w:rsidRPr="009F2D6F">
        <w:t>siponimod</w:t>
      </w:r>
      <w:proofErr w:type="spellEnd"/>
      <w:r w:rsidR="00B311A6" w:rsidRPr="009F2D6F">
        <w:t xml:space="preserve"> for SPMS</w:t>
      </w:r>
      <w:r w:rsidR="00A561C5" w:rsidRPr="009F2D6F">
        <w:t xml:space="preserve">. </w:t>
      </w:r>
      <w:r w:rsidR="00B311A6" w:rsidRPr="009F2D6F">
        <w:t xml:space="preserve">The Pre-Sub-Committee Response (PSCR) argued there is </w:t>
      </w:r>
      <w:r w:rsidR="006D4DD3">
        <w:t>‘</w:t>
      </w:r>
      <w:r w:rsidR="00B311A6" w:rsidRPr="009F2D6F">
        <w:t xml:space="preserve">legitimate and appropriate use of and switching between current DMTs, and in the future with </w:t>
      </w:r>
      <w:proofErr w:type="spellStart"/>
      <w:r w:rsidR="00B311A6" w:rsidRPr="009F2D6F">
        <w:t>siponimod</w:t>
      </w:r>
      <w:proofErr w:type="spellEnd"/>
      <w:r w:rsidR="006D4DD3">
        <w:t>’</w:t>
      </w:r>
      <w:r w:rsidR="00B311A6" w:rsidRPr="009F2D6F">
        <w:t xml:space="preserve"> (due to </w:t>
      </w:r>
      <w:r w:rsidR="00721253">
        <w:t>adverse events (</w:t>
      </w:r>
      <w:r w:rsidR="00B311A6" w:rsidRPr="009F2D6F">
        <w:t>AE</w:t>
      </w:r>
      <w:r w:rsidR="00721253">
        <w:t>)</w:t>
      </w:r>
      <w:r w:rsidR="00B311A6" w:rsidRPr="009F2D6F">
        <w:t xml:space="preserve"> or inadequate response), as it is difficult to determine whether patients are distinctly RRMS or SPMS</w:t>
      </w:r>
      <w:r w:rsidR="00A561C5" w:rsidRPr="009F2D6F">
        <w:t xml:space="preserve">. </w:t>
      </w:r>
      <w:r w:rsidR="00FD7030">
        <w:t xml:space="preserve">The </w:t>
      </w:r>
      <w:r w:rsidR="009F3E88">
        <w:t>p</w:t>
      </w:r>
      <w:r w:rsidR="00F839F2">
        <w:t>re-PBAC Response</w:t>
      </w:r>
      <w:r w:rsidR="00FD7030">
        <w:t xml:space="preserve"> </w:t>
      </w:r>
      <w:r w:rsidR="005732E7">
        <w:t xml:space="preserve">also argued it was reasonable to allow patients to switch back to an alternative RRMS DMT following treatment with </w:t>
      </w:r>
      <w:proofErr w:type="spellStart"/>
      <w:r w:rsidR="005732E7">
        <w:t>siponimod</w:t>
      </w:r>
      <w:proofErr w:type="spellEnd"/>
      <w:r w:rsidR="005732E7">
        <w:t xml:space="preserve"> if the</w:t>
      </w:r>
      <w:r w:rsidR="00721253">
        <w:t>y</w:t>
      </w:r>
      <w:r w:rsidR="005732E7">
        <w:t xml:space="preserve"> meet the RRMS criteria, as patients who fail or not tolerate </w:t>
      </w:r>
      <w:proofErr w:type="spellStart"/>
      <w:r w:rsidR="005732E7">
        <w:t>siponimod</w:t>
      </w:r>
      <w:proofErr w:type="spellEnd"/>
      <w:r w:rsidR="005732E7">
        <w:t xml:space="preserve"> may continue to realise a benefit with respect to relapse and lesion development.</w:t>
      </w:r>
    </w:p>
    <w:p w:rsidR="002D7A3F" w:rsidRPr="009F2D6F" w:rsidRDefault="002D7A3F" w:rsidP="00077582">
      <w:pPr>
        <w:pStyle w:val="ListParagraph"/>
        <w:widowControl/>
        <w:numPr>
          <w:ilvl w:val="1"/>
          <w:numId w:val="2"/>
        </w:numPr>
      </w:pPr>
      <w:r w:rsidRPr="009F2D6F">
        <w:t xml:space="preserve">Elimination of </w:t>
      </w:r>
      <w:proofErr w:type="spellStart"/>
      <w:r w:rsidRPr="009F2D6F">
        <w:t>siponimod</w:t>
      </w:r>
      <w:proofErr w:type="spellEnd"/>
      <w:r w:rsidRPr="009F2D6F">
        <w:t xml:space="preserve"> in systemic circulation is through metabolism via the polymorphic enzyme cytochrome P450 CYP2C9</w:t>
      </w:r>
      <w:r w:rsidR="00D25CC4" w:rsidRPr="009F2D6F">
        <w:t xml:space="preserve"> (approximately 80%)</w:t>
      </w:r>
      <w:r w:rsidRPr="009F2D6F">
        <w:t xml:space="preserve"> and CYP3A4</w:t>
      </w:r>
      <w:r w:rsidR="00D25CC4" w:rsidRPr="009F2D6F">
        <w:t xml:space="preserve"> (approximately 20%)</w:t>
      </w:r>
      <w:r w:rsidRPr="009F2D6F">
        <w:t xml:space="preserve">. The submission proposed a genotype test requirement to identify patients with reduced </w:t>
      </w:r>
      <w:r w:rsidR="00D25CC4" w:rsidRPr="009F2D6F">
        <w:t xml:space="preserve">CYP2C9 </w:t>
      </w:r>
      <w:r w:rsidRPr="009F2D6F">
        <w:t xml:space="preserve">activity which impacts dosage or eligibility. There are two genotyping thresholds between the three groups of patients: (a) eligible for </w:t>
      </w:r>
      <w:proofErr w:type="spellStart"/>
      <w:r w:rsidRPr="009F2D6F">
        <w:t>siponimod</w:t>
      </w:r>
      <w:proofErr w:type="spellEnd"/>
      <w:r w:rsidRPr="009F2D6F">
        <w:t xml:space="preserve"> without dose modification, (b) eligible for </w:t>
      </w:r>
      <w:proofErr w:type="spellStart"/>
      <w:r w:rsidRPr="009F2D6F">
        <w:t>siponimod</w:t>
      </w:r>
      <w:proofErr w:type="spellEnd"/>
      <w:r w:rsidRPr="009F2D6F">
        <w:t xml:space="preserve"> with dose reduction (intermediate metaboliser), and (c) not eligible for </w:t>
      </w:r>
      <w:proofErr w:type="spellStart"/>
      <w:r w:rsidRPr="009F2D6F">
        <w:t>siponimod</w:t>
      </w:r>
      <w:proofErr w:type="spellEnd"/>
      <w:r w:rsidRPr="009F2D6F">
        <w:t xml:space="preserve"> (poor metaboliser). The submission </w:t>
      </w:r>
      <w:r w:rsidR="007E63D1">
        <w:t xml:space="preserve">highlighted the importance </w:t>
      </w:r>
      <w:r w:rsidRPr="009F2D6F">
        <w:t xml:space="preserve">of knowing metaboliser status prior to treatment initiation and stated </w:t>
      </w:r>
      <w:r w:rsidR="007E63D1">
        <w:t xml:space="preserve">that </w:t>
      </w:r>
      <w:r w:rsidRPr="009F2D6F">
        <w:t>risk minimisation strategies will be implemented</w:t>
      </w:r>
      <w:r w:rsidR="007E63D1">
        <w:t xml:space="preserve"> to </w:t>
      </w:r>
      <w:r w:rsidR="00E10B94">
        <w:t xml:space="preserve">reduce the risk of </w:t>
      </w:r>
      <w:proofErr w:type="spellStart"/>
      <w:r w:rsidR="00E10B94">
        <w:t>siponimod</w:t>
      </w:r>
      <w:proofErr w:type="spellEnd"/>
      <w:r w:rsidR="00E10B94">
        <w:t xml:space="preserve"> use in poor metabolisers</w:t>
      </w:r>
      <w:r w:rsidRPr="009F2D6F">
        <w:t xml:space="preserve">. Although the draft </w:t>
      </w:r>
      <w:r w:rsidR="00E10B94">
        <w:t>Product Information (</w:t>
      </w:r>
      <w:r w:rsidRPr="009F2D6F">
        <w:t>PI</w:t>
      </w:r>
      <w:r w:rsidR="00E10B94">
        <w:t>)</w:t>
      </w:r>
      <w:r w:rsidRPr="009F2D6F">
        <w:t xml:space="preserve"> states </w:t>
      </w:r>
      <w:r w:rsidR="00974CA0" w:rsidRPr="009F2D6F">
        <w:t xml:space="preserve">the CYP2C9 genotype of the patient should be determined before initiation of treatment </w:t>
      </w:r>
      <w:r w:rsidRPr="009F2D6F">
        <w:t>and provides dosage advice based on the outcomes of this genotype test, this information is not included within the requested PBS restriction for initial treatment.</w:t>
      </w:r>
    </w:p>
    <w:p w:rsidR="002D7A3F" w:rsidRPr="009F2D6F" w:rsidRDefault="002D7A3F" w:rsidP="00077582">
      <w:pPr>
        <w:pStyle w:val="ListParagraph"/>
        <w:widowControl/>
        <w:numPr>
          <w:ilvl w:val="1"/>
          <w:numId w:val="2"/>
        </w:numPr>
      </w:pPr>
      <w:r w:rsidRPr="009F2D6F">
        <w:t xml:space="preserve">The submission stated that the sponsor plans to offer all prospective patients access to a program encompassing all components of the genotype testing whereby testing on transported blood samples will occur at a centralised </w:t>
      </w:r>
      <w:r w:rsidR="00387A27">
        <w:rPr>
          <w:noProof/>
          <w:color w:val="000000"/>
          <w:highlight w:val="black"/>
        </w:rPr>
        <w:t>''''''''''' '''''''''''''''''</w:t>
      </w:r>
      <w:r w:rsidR="00EA2214" w:rsidRPr="00EA2214">
        <w:t xml:space="preserve"> </w:t>
      </w:r>
      <w:r w:rsidRPr="00EA2214">
        <w:t>laboratory</w:t>
      </w:r>
      <w:r w:rsidRPr="009F2D6F">
        <w:t xml:space="preserve"> in </w:t>
      </w:r>
      <w:r w:rsidR="00387A27">
        <w:rPr>
          <w:noProof/>
          <w:color w:val="000000"/>
          <w:highlight w:val="black"/>
        </w:rPr>
        <w:t>''''''''''''</w:t>
      </w:r>
      <w:r w:rsidRPr="009F2D6F">
        <w:t xml:space="preserve">. The submission stated this program will bear no cost to the patient or health system. The submission argued that the submission should not be considered co-dependent because (a) the cost of the test will be borne by the </w:t>
      </w:r>
      <w:r w:rsidR="002706D6" w:rsidRPr="009F2D6F">
        <w:t>s</w:t>
      </w:r>
      <w:r w:rsidRPr="009F2D6F">
        <w:t>ponsor and (b) the genotype test is used to establish correct dose and not the target population. T</w:t>
      </w:r>
      <w:r w:rsidR="00A8252F">
        <w:t>he evaluation noted that t</w:t>
      </w:r>
      <w:r w:rsidRPr="009F2D6F">
        <w:t xml:space="preserve">his is correct other than for the &lt;1% of the population that may be poor metabolisers, precluding them from treatment. </w:t>
      </w:r>
    </w:p>
    <w:p w:rsidR="00D12CEE" w:rsidRDefault="00D12CEE" w:rsidP="00077582">
      <w:pPr>
        <w:pStyle w:val="ListParagraph"/>
        <w:widowControl/>
        <w:numPr>
          <w:ilvl w:val="1"/>
          <w:numId w:val="2"/>
        </w:numPr>
      </w:pPr>
      <w:r w:rsidRPr="009F2D6F">
        <w:t xml:space="preserve">The PSCR stated that it assumed that doctors will apply for both the titration pack and initial month of therapy at the same time. </w:t>
      </w:r>
      <w:r w:rsidR="00A8252F">
        <w:t>The ESC noted a</w:t>
      </w:r>
      <w:r w:rsidRPr="009F2D6F">
        <w:t xml:space="preserve"> prescriber cannot write more than one PBS prescription for the same pharmaceutical benefit for the same person on the same day. The titration pack and </w:t>
      </w:r>
      <w:r w:rsidR="00830171">
        <w:t>a</w:t>
      </w:r>
      <w:r w:rsidRPr="009F2D6F">
        <w:t xml:space="preserve"> maintenance pack may therefore not be able to be prescribed on the same day. </w:t>
      </w:r>
    </w:p>
    <w:p w:rsidR="009F2D6F" w:rsidRPr="00B779F1" w:rsidRDefault="009F2D6F" w:rsidP="00B779F1">
      <w:pPr>
        <w:pStyle w:val="ListParagraph"/>
        <w:spacing w:after="0"/>
        <w:ind w:left="709"/>
        <w:rPr>
          <w:rFonts w:asciiTheme="minorHAnsi" w:hAnsiTheme="minorHAnsi"/>
          <w:i/>
        </w:rPr>
      </w:pPr>
      <w:r w:rsidRPr="00525B39">
        <w:rPr>
          <w:rFonts w:asciiTheme="minorHAnsi" w:hAnsiTheme="minorHAnsi"/>
          <w:i/>
        </w:rPr>
        <w:t>For more detail on PBAC’s view, see section 7 PBAC outcome.</w:t>
      </w:r>
    </w:p>
    <w:p w:rsidR="00B50DB8" w:rsidRPr="00FF48DA" w:rsidRDefault="00B50DB8" w:rsidP="00B779F1">
      <w:pPr>
        <w:pStyle w:val="PBACHeading1"/>
        <w:spacing w:before="240" w:after="120"/>
        <w:ind w:left="709" w:hanging="709"/>
      </w:pPr>
      <w:bookmarkStart w:id="3" w:name="_Toc18693491"/>
      <w:r w:rsidRPr="00FF48DA">
        <w:t>Background</w:t>
      </w:r>
      <w:bookmarkEnd w:id="3"/>
    </w:p>
    <w:p w:rsidR="00B60939" w:rsidRPr="00176564" w:rsidRDefault="00591957" w:rsidP="00077582">
      <w:pPr>
        <w:pStyle w:val="Heading2"/>
        <w:widowControl/>
      </w:pPr>
      <w:r w:rsidRPr="00176564">
        <w:lastRenderedPageBreak/>
        <w:t>Registration status</w:t>
      </w:r>
    </w:p>
    <w:p w:rsidR="00591957" w:rsidRPr="00FF48DA" w:rsidRDefault="00591957" w:rsidP="00077582">
      <w:pPr>
        <w:widowControl/>
      </w:pPr>
    </w:p>
    <w:p w:rsidR="00B60939" w:rsidRPr="00D24E22" w:rsidRDefault="009C4901" w:rsidP="00077582">
      <w:pPr>
        <w:pStyle w:val="ListParagraph"/>
        <w:widowControl/>
        <w:numPr>
          <w:ilvl w:val="1"/>
          <w:numId w:val="2"/>
        </w:numPr>
      </w:pPr>
      <w:r w:rsidRPr="00D24E22">
        <w:rPr>
          <w:rFonts w:eastAsia="Calibri"/>
          <w:b/>
        </w:rPr>
        <w:t xml:space="preserve">TGA status at time of </w:t>
      </w:r>
      <w:r w:rsidR="009A6502" w:rsidRPr="00D24E22">
        <w:rPr>
          <w:rFonts w:eastAsia="Calibri"/>
          <w:b/>
        </w:rPr>
        <w:t>PBAC consideration:</w:t>
      </w:r>
      <w:r w:rsidRPr="00D24E22">
        <w:rPr>
          <w:rFonts w:eastAsia="Calibri"/>
        </w:rPr>
        <w:t xml:space="preserve"> </w:t>
      </w:r>
      <w:r w:rsidR="00B60939" w:rsidRPr="00D24E22">
        <w:t>The submission was made un</w:t>
      </w:r>
      <w:r w:rsidR="00594B16" w:rsidRPr="00D24E22">
        <w:t>der TGA/PBAC Parallel Process</w:t>
      </w:r>
      <w:r w:rsidR="00594B16" w:rsidRPr="008D4C01">
        <w:t xml:space="preserve">. </w:t>
      </w:r>
      <w:proofErr w:type="spellStart"/>
      <w:r w:rsidR="00D24E22" w:rsidRPr="008D4C01">
        <w:t>Siponimod</w:t>
      </w:r>
      <w:proofErr w:type="spellEnd"/>
      <w:r w:rsidR="00D24E22" w:rsidRPr="008D4C01">
        <w:t xml:space="preserve"> was TGA registered on 1 November 2019</w:t>
      </w:r>
      <w:r w:rsidR="00AB570F">
        <w:t xml:space="preserve"> for the treatment of adult patients with SPMS. </w:t>
      </w:r>
    </w:p>
    <w:p w:rsidR="009F2D6F" w:rsidRPr="00B779F1" w:rsidRDefault="009F2D6F" w:rsidP="00B779F1">
      <w:pPr>
        <w:widowControl/>
        <w:ind w:firstLine="709"/>
        <w:rPr>
          <w:rFonts w:asciiTheme="minorHAnsi" w:hAnsiTheme="minorHAnsi"/>
          <w:i/>
        </w:rPr>
      </w:pPr>
      <w:r w:rsidRPr="00525B39">
        <w:rPr>
          <w:rFonts w:asciiTheme="minorHAnsi" w:hAnsiTheme="minorHAnsi"/>
          <w:i/>
        </w:rPr>
        <w:t>For more detail on PBAC’s view, see section 7 PBAC outcome.</w:t>
      </w:r>
    </w:p>
    <w:p w:rsidR="00B60939" w:rsidRPr="00FF48DA" w:rsidRDefault="00203181" w:rsidP="00077582">
      <w:pPr>
        <w:pStyle w:val="PBACHeading1"/>
        <w:spacing w:before="240" w:after="120"/>
        <w:ind w:left="709" w:hanging="709"/>
      </w:pPr>
      <w:bookmarkStart w:id="4" w:name="_Toc18693492"/>
      <w:r w:rsidRPr="00FF48DA">
        <w:t xml:space="preserve">Population and </w:t>
      </w:r>
      <w:r w:rsidR="008E0D3C" w:rsidRPr="00FF48DA">
        <w:t>d</w:t>
      </w:r>
      <w:r w:rsidRPr="00FF48DA">
        <w:t>isease</w:t>
      </w:r>
      <w:bookmarkEnd w:id="4"/>
    </w:p>
    <w:p w:rsidR="00C67072" w:rsidRPr="009F2D6F" w:rsidRDefault="00BC5A6D" w:rsidP="00077582">
      <w:pPr>
        <w:pStyle w:val="ListParagraph"/>
        <w:widowControl/>
        <w:numPr>
          <w:ilvl w:val="1"/>
          <w:numId w:val="2"/>
        </w:numPr>
      </w:pPr>
      <w:r w:rsidRPr="009F2D6F">
        <w:t>Multiple sclerosis (</w:t>
      </w:r>
      <w:r w:rsidR="00C67072" w:rsidRPr="009F2D6F">
        <w:t>MS</w:t>
      </w:r>
      <w:r w:rsidRPr="009F2D6F">
        <w:t>)</w:t>
      </w:r>
      <w:r w:rsidR="00C67072" w:rsidRPr="009F2D6F">
        <w:t xml:space="preserve"> is a chronic, immune-mediated disease of the central nervous system (CNS) characterised by inflammation, demyelination and axonal/neuronal destruction, ultimately leading to severe disability. MS symptoms are heterogeneous between patients, but can manifest </w:t>
      </w:r>
      <w:r w:rsidR="00157F08">
        <w:t>as</w:t>
      </w:r>
      <w:r w:rsidR="00C67072" w:rsidRPr="009F2D6F">
        <w:t xml:space="preserve"> problems</w:t>
      </w:r>
      <w:r w:rsidR="00157F08">
        <w:t xml:space="preserve"> associated with</w:t>
      </w:r>
      <w:r w:rsidR="0028331D">
        <w:t>:</w:t>
      </w:r>
      <w:r w:rsidR="00C67072" w:rsidRPr="009F2D6F">
        <w:t xml:space="preserve"> motor control; fatigue; continence; neuropsychological symptoms (such as depression, cognitive difficulties and memory loss); </w:t>
      </w:r>
      <w:r w:rsidR="0028331D">
        <w:t xml:space="preserve">and </w:t>
      </w:r>
      <w:r w:rsidR="00C67072" w:rsidRPr="009F2D6F">
        <w:t>other neurological symptoms (such as vertigo, neuralgia and visual disturbances). Inflammation and neurodegeneration are considered to be the underlying processes of MS. Inflammation and neurodegeneration can be seen as a spectrum in MS patients, whereby RRMS patients generally suffer from intense focal inflammatory symptoms before transitioning to SPMS which is characterised by neurodegeneration and axon loss</w:t>
      </w:r>
      <w:r w:rsidRPr="009F2D6F">
        <w:t>.</w:t>
      </w:r>
      <w:r w:rsidR="00C67072" w:rsidRPr="009F2D6F">
        <w:rPr>
          <w:color w:val="3366FF"/>
        </w:rPr>
        <w:t xml:space="preserve"> </w:t>
      </w:r>
    </w:p>
    <w:p w:rsidR="005B27E5" w:rsidRPr="009F2D6F" w:rsidRDefault="00C67072" w:rsidP="00077582">
      <w:pPr>
        <w:pStyle w:val="ListParagraph"/>
        <w:widowControl/>
        <w:numPr>
          <w:ilvl w:val="1"/>
          <w:numId w:val="2"/>
        </w:numPr>
      </w:pPr>
      <w:r w:rsidRPr="009F2D6F">
        <w:t>SPMS is a phenotype of MS, which transitions from an RRMS phenotype.</w:t>
      </w:r>
      <w:r w:rsidR="005B27E5" w:rsidRPr="009F2D6F">
        <w:t xml:space="preserve"> The pathology of progression from RRMS to SPMS is also considered to include meningeal inflammation, vascular dysfunction, microglial activation, </w:t>
      </w:r>
      <w:proofErr w:type="gramStart"/>
      <w:r w:rsidR="005B27E5" w:rsidRPr="009F2D6F">
        <w:t>chronic</w:t>
      </w:r>
      <w:proofErr w:type="gramEnd"/>
      <w:r w:rsidR="005B27E5" w:rsidRPr="009F2D6F">
        <w:t xml:space="preserve"> oxidative injury, age-related iron accumulation in the brain and the accumulation of axon mitochondrial damage. As MS progresses, impairment of the five major health problems (noted above) increases. The disease course of MS for RRMS and SPMS patients is shown in </w:t>
      </w:r>
      <w:r w:rsidR="00654F36" w:rsidRPr="00654F36">
        <w:t>Figure 1</w:t>
      </w:r>
      <w:r w:rsidR="005B27E5" w:rsidRPr="009F2D6F">
        <w:t xml:space="preserve">. Patients with SPMS see a progressive increase in neurological disability and T2 lesions, and a progressive decrease in brain volume, relapse rate and </w:t>
      </w:r>
      <w:r w:rsidR="00D87F3A" w:rsidRPr="009F2D6F">
        <w:t>T1 lesions with gadolinium</w:t>
      </w:r>
      <w:r w:rsidR="00C106CB" w:rsidRPr="009F2D6F">
        <w:t xml:space="preserve"> </w:t>
      </w:r>
      <w:r w:rsidR="00D87F3A" w:rsidRPr="009F2D6F">
        <w:t>(GD)</w:t>
      </w:r>
      <w:r w:rsidR="00C106CB" w:rsidRPr="009F2D6F">
        <w:t xml:space="preserve"> enhancement</w:t>
      </w:r>
      <w:r w:rsidR="005B27E5" w:rsidRPr="009F2D6F">
        <w:t>.</w:t>
      </w:r>
    </w:p>
    <w:p w:rsidR="005B27E5" w:rsidRPr="009F2D6F" w:rsidRDefault="005B27E5" w:rsidP="00077582">
      <w:pPr>
        <w:pStyle w:val="Caption"/>
        <w:keepNext/>
        <w:widowControl/>
        <w:spacing w:after="0"/>
        <w:rPr>
          <w:rFonts w:ascii="Arial Narrow" w:hAnsi="Arial Narrow"/>
          <w:color w:val="auto"/>
          <w:sz w:val="20"/>
          <w:szCs w:val="20"/>
        </w:rPr>
      </w:pPr>
      <w:bookmarkStart w:id="5" w:name="_Ref19618043"/>
      <w:r w:rsidRPr="009F2D6F">
        <w:rPr>
          <w:rFonts w:ascii="Arial Narrow" w:hAnsi="Arial Narrow"/>
          <w:color w:val="auto"/>
          <w:sz w:val="20"/>
          <w:szCs w:val="20"/>
        </w:rPr>
        <w:lastRenderedPageBreak/>
        <w:t xml:space="preserve">Figure </w:t>
      </w:r>
      <w:r w:rsidR="00654F36">
        <w:rPr>
          <w:rFonts w:ascii="Arial Narrow" w:hAnsi="Arial Narrow"/>
          <w:noProof/>
          <w:color w:val="auto"/>
          <w:sz w:val="20"/>
          <w:szCs w:val="20"/>
        </w:rPr>
        <w:t>1</w:t>
      </w:r>
      <w:bookmarkEnd w:id="5"/>
      <w:r w:rsidRPr="009F2D6F">
        <w:rPr>
          <w:rFonts w:ascii="Arial Narrow" w:hAnsi="Arial Narrow"/>
          <w:color w:val="auto"/>
          <w:sz w:val="20"/>
          <w:szCs w:val="20"/>
        </w:rPr>
        <w:t>: Disease course from RRMS to SPMS</w:t>
      </w:r>
    </w:p>
    <w:p w:rsidR="005B27E5" w:rsidRPr="009F2D6F" w:rsidRDefault="005B27E5" w:rsidP="00077582">
      <w:pPr>
        <w:keepNext/>
        <w:widowControl/>
        <w:jc w:val="left"/>
      </w:pPr>
      <w:r w:rsidRPr="009F2D6F">
        <w:rPr>
          <w:noProof/>
          <w:lang w:eastAsia="en-AU"/>
        </w:rPr>
        <w:drawing>
          <wp:inline distT="0" distB="0" distL="0" distR="0" wp14:anchorId="3726847E" wp14:editId="23E89498">
            <wp:extent cx="3734124" cy="2987299"/>
            <wp:effectExtent l="0" t="0" r="0" b="3810"/>
            <wp:docPr id="26" name="Picture 26" title="Figure 1: Disease course from RRMS to S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34124" cy="2987299"/>
                    </a:xfrm>
                    <a:prstGeom prst="rect">
                      <a:avLst/>
                    </a:prstGeom>
                  </pic:spPr>
                </pic:pic>
              </a:graphicData>
            </a:graphic>
          </wp:inline>
        </w:drawing>
      </w:r>
    </w:p>
    <w:p w:rsidR="002C2775" w:rsidRPr="009F2D6F" w:rsidRDefault="005B27E5" w:rsidP="00077582">
      <w:pPr>
        <w:keepNext/>
        <w:widowControl/>
        <w:spacing w:after="240"/>
        <w:rPr>
          <w:rFonts w:ascii="Arial Narrow" w:hAnsi="Arial Narrow"/>
          <w:sz w:val="18"/>
        </w:rPr>
      </w:pPr>
      <w:r w:rsidRPr="009F2D6F">
        <w:rPr>
          <w:rFonts w:ascii="Arial Narrow" w:hAnsi="Arial Narrow"/>
          <w:sz w:val="18"/>
        </w:rPr>
        <w:t>Source: Figure 1.2 (pg.4 of the submission). Originally from Schaeffer et al 2015</w:t>
      </w:r>
      <w:r w:rsidR="00D87F3A" w:rsidRPr="009F2D6F">
        <w:rPr>
          <w:rFonts w:ascii="Arial Narrow" w:hAnsi="Arial Narrow"/>
          <w:sz w:val="18"/>
        </w:rPr>
        <w:t>: “The graph shows neurological disability, brain atrophy, frequency of inflammatory events [T1 lesions with gadolinium (GD) contrast enhancement showing blood–brain barrier breakdown] and global level of tissue damage (T2 lesions).</w:t>
      </w:r>
      <w:r w:rsidR="0058492D" w:rsidRPr="009F2D6F">
        <w:rPr>
          <w:rFonts w:ascii="Arial Narrow" w:hAnsi="Arial Narrow"/>
          <w:sz w:val="18"/>
        </w:rPr>
        <w:t>”</w:t>
      </w:r>
    </w:p>
    <w:p w:rsidR="006D118D" w:rsidRPr="009F2D6F" w:rsidRDefault="006D118D" w:rsidP="00077582">
      <w:pPr>
        <w:pStyle w:val="ListParagraph"/>
        <w:widowControl/>
        <w:numPr>
          <w:ilvl w:val="1"/>
          <w:numId w:val="2"/>
        </w:numPr>
      </w:pPr>
      <w:r w:rsidRPr="009F2D6F">
        <w:t>The 2013 International Advisory Committee on Clinical Trials of MS (Lublin et al 2014) noted that</w:t>
      </w:r>
      <w:r w:rsidR="0058492D" w:rsidRPr="009F2D6F">
        <w:t>,</w:t>
      </w:r>
      <w:r w:rsidRPr="009F2D6F">
        <w:t xml:space="preserve"> </w:t>
      </w:r>
      <w:r w:rsidR="0058492D" w:rsidRPr="009F2D6F">
        <w:t>“</w:t>
      </w:r>
      <w:r w:rsidRPr="009F2D6F">
        <w:t>in most clinical contexts, SPMS is diagnosed retrospectively by a history of gradual worsening after an initial relapsing disease course, with or without acute exacerbations during the progressive course. To date, there are no clear clinical, imaging, immunologic, or pathologic criteria to determine the transition point when RRMS converts to SPMS; the transition is usually gradual</w:t>
      </w:r>
      <w:r w:rsidR="0058492D" w:rsidRPr="009F2D6F">
        <w:t>”</w:t>
      </w:r>
      <w:r w:rsidRPr="009F2D6F">
        <w:t>.</w:t>
      </w:r>
    </w:p>
    <w:p w:rsidR="005B27E5" w:rsidRDefault="005B27E5" w:rsidP="00077582">
      <w:pPr>
        <w:pStyle w:val="ListParagraph"/>
        <w:widowControl/>
        <w:numPr>
          <w:ilvl w:val="1"/>
          <w:numId w:val="2"/>
        </w:numPr>
      </w:pPr>
      <w:r w:rsidRPr="009F2D6F">
        <w:t>There are currently no PBS-listed therapies for SPMS.</w:t>
      </w:r>
    </w:p>
    <w:p w:rsidR="009F2D6F" w:rsidRPr="00B779F1" w:rsidRDefault="009F2D6F" w:rsidP="00B779F1">
      <w:pPr>
        <w:pStyle w:val="ListParagraph"/>
        <w:spacing w:after="0"/>
        <w:ind w:left="709"/>
        <w:rPr>
          <w:rFonts w:asciiTheme="minorHAnsi" w:hAnsiTheme="minorHAnsi"/>
          <w:i/>
        </w:rPr>
      </w:pPr>
      <w:r w:rsidRPr="00525B39">
        <w:rPr>
          <w:rFonts w:asciiTheme="minorHAnsi" w:hAnsiTheme="minorHAnsi"/>
          <w:i/>
        </w:rPr>
        <w:t>For more detail on PBAC’s view, see section 7 PBAC outcome.</w:t>
      </w:r>
    </w:p>
    <w:p w:rsidR="00B60939" w:rsidRPr="009F2D6F" w:rsidRDefault="00B50DB8" w:rsidP="00B779F1">
      <w:pPr>
        <w:pStyle w:val="PBACHeading1"/>
        <w:spacing w:before="240" w:after="120"/>
        <w:ind w:left="709" w:hanging="709"/>
      </w:pPr>
      <w:bookmarkStart w:id="6" w:name="_Toc18693493"/>
      <w:r w:rsidRPr="009F2D6F">
        <w:t>Comparator</w:t>
      </w:r>
      <w:bookmarkEnd w:id="6"/>
    </w:p>
    <w:p w:rsidR="00C67072" w:rsidRPr="009F2D6F" w:rsidRDefault="00C67072" w:rsidP="00077582">
      <w:pPr>
        <w:pStyle w:val="ListParagraph"/>
        <w:keepNext/>
        <w:widowControl/>
        <w:numPr>
          <w:ilvl w:val="1"/>
          <w:numId w:val="2"/>
        </w:numPr>
      </w:pPr>
      <w:r w:rsidRPr="009F2D6F">
        <w:t xml:space="preserve">The submission split the target population into an ‘untreated’ and a ‘treated’ (with DMTs at </w:t>
      </w:r>
      <w:r w:rsidRPr="009F2D6F">
        <w:rPr>
          <w:rFonts w:cs="Calibri"/>
          <w:snapToGrid/>
          <w:szCs w:val="24"/>
          <w:lang w:val="en-US" w:eastAsia="en-AU"/>
        </w:rPr>
        <w:t>baseline</w:t>
      </w:r>
      <w:r w:rsidRPr="009F2D6F">
        <w:t xml:space="preserve">) population </w:t>
      </w:r>
      <w:r w:rsidR="0058492D" w:rsidRPr="009F2D6F">
        <w:t xml:space="preserve">with </w:t>
      </w:r>
      <w:r w:rsidRPr="009F2D6F">
        <w:t xml:space="preserve">the justification that different comparators were </w:t>
      </w:r>
      <w:r w:rsidRPr="009F2D6F">
        <w:lastRenderedPageBreak/>
        <w:t>relevant to each of these sub-populations</w:t>
      </w:r>
      <w:r w:rsidR="001868A6" w:rsidRPr="009F2D6F">
        <w:t>, and the nominated comparator was different for each population (</w:t>
      </w:r>
      <w:r w:rsidR="00654F36" w:rsidRPr="00654F36">
        <w:t>Table 2</w:t>
      </w:r>
      <w:r w:rsidR="001868A6" w:rsidRPr="009F2D6F">
        <w:t>)</w:t>
      </w:r>
      <w:r w:rsidRPr="009F2D6F">
        <w:t>.</w:t>
      </w:r>
    </w:p>
    <w:p w:rsidR="00C67072" w:rsidRPr="009F2D6F" w:rsidRDefault="004F211E" w:rsidP="00077582">
      <w:pPr>
        <w:pStyle w:val="Caption"/>
        <w:keepNext/>
        <w:widowControl/>
        <w:spacing w:after="0"/>
        <w:rPr>
          <w:rFonts w:ascii="Arial Narrow" w:hAnsi="Arial Narrow"/>
          <w:color w:val="auto"/>
          <w:sz w:val="20"/>
          <w:szCs w:val="20"/>
        </w:rPr>
      </w:pPr>
      <w:bookmarkStart w:id="7" w:name="_Ref18662024"/>
      <w:r w:rsidRPr="009F2D6F">
        <w:rPr>
          <w:rFonts w:ascii="Arial Narrow" w:hAnsi="Arial Narrow"/>
          <w:color w:val="auto"/>
          <w:sz w:val="20"/>
          <w:szCs w:val="20"/>
        </w:rPr>
        <w:t xml:space="preserve">Table </w:t>
      </w:r>
      <w:r w:rsidR="00654F36">
        <w:rPr>
          <w:rFonts w:ascii="Arial Narrow" w:hAnsi="Arial Narrow"/>
          <w:noProof/>
          <w:color w:val="auto"/>
          <w:sz w:val="20"/>
          <w:szCs w:val="20"/>
        </w:rPr>
        <w:t>2</w:t>
      </w:r>
      <w:bookmarkEnd w:id="7"/>
      <w:r w:rsidRPr="009F2D6F">
        <w:rPr>
          <w:rFonts w:ascii="Arial Narrow" w:hAnsi="Arial Narrow"/>
          <w:color w:val="auto"/>
          <w:sz w:val="20"/>
          <w:szCs w:val="20"/>
        </w:rPr>
        <w:t xml:space="preserve">: </w:t>
      </w:r>
      <w:r w:rsidR="00C67072" w:rsidRPr="009F2D6F">
        <w:rPr>
          <w:rFonts w:ascii="Arial Narrow" w:hAnsi="Arial Narrow"/>
          <w:color w:val="auto"/>
          <w:sz w:val="20"/>
          <w:szCs w:val="20"/>
        </w:rPr>
        <w:t>Comparators nominated by the submission</w:t>
      </w:r>
    </w:p>
    <w:tbl>
      <w:tblPr>
        <w:tblStyle w:val="TableGrid"/>
        <w:tblW w:w="5000" w:type="pct"/>
        <w:tblCellMar>
          <w:left w:w="28" w:type="dxa"/>
          <w:right w:w="28" w:type="dxa"/>
        </w:tblCellMar>
        <w:tblLook w:val="04A0" w:firstRow="1" w:lastRow="0" w:firstColumn="1" w:lastColumn="0" w:noHBand="0" w:noVBand="1"/>
        <w:tblCaption w:val="Table 2: Comparators nominated by the submission"/>
      </w:tblPr>
      <w:tblGrid>
        <w:gridCol w:w="3520"/>
        <w:gridCol w:w="5497"/>
      </w:tblGrid>
      <w:tr w:rsidR="00F4069A" w:rsidRPr="009F2D6F" w:rsidTr="0062759F">
        <w:trPr>
          <w:tblHeader/>
        </w:trPr>
        <w:tc>
          <w:tcPr>
            <w:tcW w:w="1952" w:type="pct"/>
            <w:vAlign w:val="center"/>
          </w:tcPr>
          <w:p w:rsidR="00F4069A" w:rsidRPr="009F2D6F" w:rsidRDefault="00F4069A" w:rsidP="00106234">
            <w:pPr>
              <w:keepNext/>
              <w:widowControl/>
              <w:jc w:val="center"/>
              <w:rPr>
                <w:rFonts w:ascii="Arial Narrow" w:hAnsi="Arial Narrow"/>
                <w:b/>
                <w:sz w:val="20"/>
              </w:rPr>
            </w:pPr>
            <w:r w:rsidRPr="009F2D6F">
              <w:rPr>
                <w:rFonts w:ascii="Arial Narrow" w:hAnsi="Arial Narrow"/>
                <w:b/>
                <w:sz w:val="20"/>
              </w:rPr>
              <w:t>Population</w:t>
            </w:r>
          </w:p>
        </w:tc>
        <w:tc>
          <w:tcPr>
            <w:tcW w:w="3048" w:type="pct"/>
            <w:vAlign w:val="center"/>
          </w:tcPr>
          <w:p w:rsidR="00F4069A" w:rsidRPr="009F2D6F" w:rsidRDefault="00F4069A" w:rsidP="00106234">
            <w:pPr>
              <w:keepNext/>
              <w:widowControl/>
              <w:jc w:val="center"/>
              <w:rPr>
                <w:rFonts w:ascii="Arial Narrow" w:hAnsi="Arial Narrow"/>
                <w:b/>
                <w:sz w:val="20"/>
              </w:rPr>
            </w:pPr>
            <w:r w:rsidRPr="009F2D6F">
              <w:rPr>
                <w:rFonts w:ascii="Arial Narrow" w:hAnsi="Arial Narrow"/>
                <w:b/>
                <w:sz w:val="20"/>
              </w:rPr>
              <w:t>Comparator</w:t>
            </w:r>
          </w:p>
        </w:tc>
      </w:tr>
      <w:tr w:rsidR="00F4069A" w:rsidRPr="009F2D6F" w:rsidTr="0062759F">
        <w:trPr>
          <w:tblHeader/>
        </w:trPr>
        <w:tc>
          <w:tcPr>
            <w:tcW w:w="1952" w:type="pct"/>
          </w:tcPr>
          <w:p w:rsidR="00F4069A" w:rsidRPr="009F2D6F" w:rsidRDefault="00F4069A" w:rsidP="00106234">
            <w:pPr>
              <w:keepNext/>
              <w:widowControl/>
              <w:jc w:val="left"/>
              <w:rPr>
                <w:rFonts w:ascii="Arial Narrow" w:hAnsi="Arial Narrow"/>
                <w:sz w:val="20"/>
              </w:rPr>
            </w:pPr>
            <w:r w:rsidRPr="009F2D6F">
              <w:rPr>
                <w:rFonts w:ascii="Arial Narrow" w:hAnsi="Arial Narrow"/>
                <w:sz w:val="20"/>
              </w:rPr>
              <w:t xml:space="preserve">Untreated SPMS (i.e. those without </w:t>
            </w:r>
            <w:r w:rsidRPr="009F2D6F">
              <w:rPr>
                <w:rFonts w:ascii="Arial Narrow" w:hAnsi="Arial Narrow"/>
                <w:sz w:val="20"/>
                <w:u w:val="single"/>
              </w:rPr>
              <w:t>current</w:t>
            </w:r>
            <w:r w:rsidRPr="009F2D6F">
              <w:rPr>
                <w:rFonts w:ascii="Arial Narrow" w:hAnsi="Arial Narrow"/>
                <w:sz w:val="20"/>
              </w:rPr>
              <w:t xml:space="preserve"> DMT-use)</w:t>
            </w:r>
          </w:p>
        </w:tc>
        <w:tc>
          <w:tcPr>
            <w:tcW w:w="3048" w:type="pct"/>
          </w:tcPr>
          <w:p w:rsidR="00F4069A" w:rsidRPr="009F2D6F" w:rsidRDefault="00F4069A" w:rsidP="00106234">
            <w:pPr>
              <w:keepNext/>
              <w:widowControl/>
              <w:jc w:val="left"/>
              <w:rPr>
                <w:rFonts w:ascii="Arial Narrow" w:hAnsi="Arial Narrow"/>
                <w:sz w:val="20"/>
              </w:rPr>
            </w:pPr>
            <w:r w:rsidRPr="009F2D6F">
              <w:rPr>
                <w:rFonts w:ascii="Arial Narrow" w:hAnsi="Arial Narrow"/>
                <w:sz w:val="20"/>
              </w:rPr>
              <w:t xml:space="preserve">‘No treatment’, or best supportive care (BSC), as the comparator, with placebo acting as proxy. In the economic evaluation, </w:t>
            </w:r>
            <w:r w:rsidR="00387A27">
              <w:rPr>
                <w:rFonts w:ascii="Arial Narrow" w:hAnsi="Arial Narrow"/>
                <w:noProof/>
                <w:color w:val="000000"/>
                <w:sz w:val="20"/>
                <w:highlight w:val="black"/>
              </w:rPr>
              <w:t>'''''''''''</w:t>
            </w:r>
            <w:r w:rsidRPr="009F2D6F">
              <w:rPr>
                <w:rFonts w:ascii="Arial Narrow" w:hAnsi="Arial Narrow"/>
                <w:sz w:val="20"/>
              </w:rPr>
              <w:t>% of patients are considered ‘untreated’.</w:t>
            </w:r>
          </w:p>
        </w:tc>
      </w:tr>
      <w:tr w:rsidR="00F4069A" w:rsidRPr="009F2D6F" w:rsidTr="0062759F">
        <w:trPr>
          <w:tblHeader/>
        </w:trPr>
        <w:tc>
          <w:tcPr>
            <w:tcW w:w="1952" w:type="pct"/>
          </w:tcPr>
          <w:p w:rsidR="00F4069A" w:rsidRPr="009F2D6F" w:rsidRDefault="00F4069A" w:rsidP="00106234">
            <w:pPr>
              <w:keepNext/>
              <w:widowControl/>
              <w:jc w:val="left"/>
              <w:rPr>
                <w:rFonts w:ascii="Arial Narrow" w:hAnsi="Arial Narrow"/>
                <w:sz w:val="20"/>
              </w:rPr>
            </w:pPr>
            <w:r w:rsidRPr="009F2D6F">
              <w:rPr>
                <w:rFonts w:ascii="Arial Narrow" w:hAnsi="Arial Narrow"/>
                <w:sz w:val="20"/>
              </w:rPr>
              <w:t xml:space="preserve">Treated SPMS (i.e. those with </w:t>
            </w:r>
            <w:r w:rsidRPr="009F2D6F">
              <w:rPr>
                <w:rFonts w:ascii="Arial Narrow" w:hAnsi="Arial Narrow"/>
                <w:sz w:val="20"/>
                <w:u w:val="single"/>
              </w:rPr>
              <w:t>current</w:t>
            </w:r>
            <w:r w:rsidRPr="009F2D6F">
              <w:rPr>
                <w:rFonts w:ascii="Arial Narrow" w:hAnsi="Arial Narrow"/>
                <w:sz w:val="20"/>
              </w:rPr>
              <w:t xml:space="preserve"> DMT-use, representing use beyond the restriction)</w:t>
            </w:r>
          </w:p>
        </w:tc>
        <w:tc>
          <w:tcPr>
            <w:tcW w:w="3048" w:type="pct"/>
          </w:tcPr>
          <w:p w:rsidR="00F4069A" w:rsidRPr="009F2D6F" w:rsidRDefault="00F4069A" w:rsidP="00106234">
            <w:pPr>
              <w:keepNext/>
              <w:widowControl/>
              <w:jc w:val="left"/>
              <w:rPr>
                <w:rFonts w:ascii="Arial Narrow" w:hAnsi="Arial Narrow"/>
                <w:sz w:val="20"/>
              </w:rPr>
            </w:pPr>
            <w:r w:rsidRPr="009F2D6F">
              <w:rPr>
                <w:rFonts w:ascii="Arial Narrow" w:hAnsi="Arial Narrow"/>
                <w:sz w:val="20"/>
              </w:rPr>
              <w:t xml:space="preserve">Interferon (IFN)-beta, </w:t>
            </w:r>
            <w:proofErr w:type="spellStart"/>
            <w:r w:rsidRPr="009F2D6F">
              <w:rPr>
                <w:rFonts w:ascii="Arial Narrow" w:hAnsi="Arial Narrow"/>
                <w:sz w:val="20"/>
              </w:rPr>
              <w:t>glatiramer</w:t>
            </w:r>
            <w:proofErr w:type="spellEnd"/>
            <w:r w:rsidRPr="009F2D6F">
              <w:rPr>
                <w:rFonts w:ascii="Arial Narrow" w:hAnsi="Arial Narrow"/>
                <w:sz w:val="20"/>
              </w:rPr>
              <w:t xml:space="preserve"> acetate (GA), </w:t>
            </w:r>
            <w:proofErr w:type="spellStart"/>
            <w:r w:rsidRPr="009F2D6F">
              <w:rPr>
                <w:rFonts w:ascii="Arial Narrow" w:hAnsi="Arial Narrow"/>
                <w:sz w:val="20"/>
              </w:rPr>
              <w:t>natalizumab</w:t>
            </w:r>
            <w:proofErr w:type="spellEnd"/>
            <w:r w:rsidRPr="009F2D6F">
              <w:rPr>
                <w:rFonts w:ascii="Arial Narrow" w:hAnsi="Arial Narrow"/>
                <w:sz w:val="20"/>
              </w:rPr>
              <w:t xml:space="preserve">, </w:t>
            </w:r>
            <w:proofErr w:type="spellStart"/>
            <w:r w:rsidRPr="009F2D6F">
              <w:rPr>
                <w:rFonts w:ascii="Arial Narrow" w:hAnsi="Arial Narrow"/>
                <w:sz w:val="20"/>
              </w:rPr>
              <w:t>fingolimod</w:t>
            </w:r>
            <w:proofErr w:type="spellEnd"/>
            <w:r w:rsidRPr="009F2D6F">
              <w:rPr>
                <w:rFonts w:ascii="Arial Narrow" w:hAnsi="Arial Narrow"/>
                <w:sz w:val="20"/>
              </w:rPr>
              <w:t xml:space="preserve"> and </w:t>
            </w:r>
            <w:proofErr w:type="spellStart"/>
            <w:r w:rsidRPr="009F2D6F">
              <w:rPr>
                <w:rFonts w:ascii="Arial Narrow" w:hAnsi="Arial Narrow"/>
                <w:sz w:val="20"/>
              </w:rPr>
              <w:t>ocrelizumab</w:t>
            </w:r>
            <w:proofErr w:type="spellEnd"/>
            <w:r w:rsidRPr="009F2D6F">
              <w:rPr>
                <w:rFonts w:ascii="Arial Narrow" w:hAnsi="Arial Narrow"/>
                <w:sz w:val="20"/>
              </w:rPr>
              <w:t xml:space="preserve">. In the economic evaluation, among patients who are considered ‘treated’, </w:t>
            </w:r>
            <w:r w:rsidR="00387A27">
              <w:rPr>
                <w:rFonts w:ascii="Arial Narrow" w:hAnsi="Arial Narrow"/>
                <w:noProof/>
                <w:color w:val="000000"/>
                <w:sz w:val="20"/>
                <w:highlight w:val="black"/>
              </w:rPr>
              <w:t>''''''''''''</w:t>
            </w:r>
            <w:r w:rsidRPr="009F2D6F">
              <w:rPr>
                <w:rFonts w:ascii="Arial Narrow" w:hAnsi="Arial Narrow"/>
                <w:sz w:val="20"/>
              </w:rPr>
              <w:t xml:space="preserve">% are treated with IFN-beta/GA and </w:t>
            </w:r>
            <w:r w:rsidR="00387A27">
              <w:rPr>
                <w:rFonts w:ascii="Arial Narrow" w:hAnsi="Arial Narrow"/>
                <w:noProof/>
                <w:color w:val="000000"/>
                <w:sz w:val="20"/>
                <w:highlight w:val="black"/>
              </w:rPr>
              <w:t>'''''''''''</w:t>
            </w:r>
            <w:r w:rsidRPr="009F2D6F">
              <w:rPr>
                <w:rFonts w:ascii="Arial Narrow" w:hAnsi="Arial Narrow"/>
                <w:sz w:val="20"/>
              </w:rPr>
              <w:t xml:space="preserve">% with </w:t>
            </w:r>
            <w:proofErr w:type="spellStart"/>
            <w:r w:rsidRPr="009F2D6F">
              <w:rPr>
                <w:rFonts w:ascii="Arial Narrow" w:hAnsi="Arial Narrow"/>
                <w:sz w:val="20"/>
              </w:rPr>
              <w:t>natalizumab</w:t>
            </w:r>
            <w:r w:rsidRPr="009F2D6F">
              <w:rPr>
                <w:rFonts w:ascii="Arial Narrow" w:hAnsi="Arial Narrow"/>
                <w:sz w:val="20"/>
                <w:vertAlign w:val="superscript"/>
              </w:rPr>
              <w:t>a</w:t>
            </w:r>
            <w:proofErr w:type="spellEnd"/>
            <w:r w:rsidRPr="009F2D6F">
              <w:rPr>
                <w:rFonts w:ascii="Arial Narrow" w:hAnsi="Arial Narrow"/>
                <w:sz w:val="20"/>
              </w:rPr>
              <w:t>.</w:t>
            </w:r>
          </w:p>
        </w:tc>
      </w:tr>
    </w:tbl>
    <w:p w:rsidR="00C67072" w:rsidRPr="009F2D6F" w:rsidRDefault="00F4069A" w:rsidP="005916A8">
      <w:pPr>
        <w:widowControl/>
        <w:tabs>
          <w:tab w:val="left" w:pos="284"/>
        </w:tabs>
        <w:spacing w:after="160"/>
        <w:rPr>
          <w:rFonts w:ascii="Arial Narrow" w:hAnsi="Arial Narrow"/>
          <w:sz w:val="18"/>
        </w:rPr>
      </w:pPr>
      <w:r w:rsidRPr="009F2D6F">
        <w:rPr>
          <w:rFonts w:ascii="Arial Narrow" w:hAnsi="Arial Narrow"/>
          <w:sz w:val="18"/>
          <w:vertAlign w:val="superscript"/>
        </w:rPr>
        <w:t>a</w:t>
      </w:r>
      <w:r w:rsidRPr="009F2D6F">
        <w:rPr>
          <w:rFonts w:ascii="Arial Narrow" w:hAnsi="Arial Narrow"/>
          <w:sz w:val="18"/>
        </w:rPr>
        <w:t xml:space="preserve"> based on analyses of the Australian patients in </w:t>
      </w:r>
      <w:proofErr w:type="spellStart"/>
      <w:r w:rsidRPr="009F2D6F">
        <w:rPr>
          <w:rFonts w:ascii="Arial Narrow" w:hAnsi="Arial Narrow"/>
          <w:sz w:val="18"/>
        </w:rPr>
        <w:t>MSBase</w:t>
      </w:r>
      <w:proofErr w:type="spellEnd"/>
      <w:r w:rsidRPr="009F2D6F">
        <w:rPr>
          <w:rFonts w:ascii="Arial Narrow" w:hAnsi="Arial Narrow"/>
          <w:sz w:val="18"/>
        </w:rPr>
        <w:t xml:space="preserve"> who fulfil the </w:t>
      </w:r>
      <w:proofErr w:type="spellStart"/>
      <w:r w:rsidRPr="009F2D6F">
        <w:rPr>
          <w:rFonts w:ascii="Arial Narrow" w:hAnsi="Arial Narrow"/>
          <w:sz w:val="18"/>
        </w:rPr>
        <w:t>Lorscheider</w:t>
      </w:r>
      <w:proofErr w:type="spellEnd"/>
      <w:r w:rsidRPr="009F2D6F">
        <w:rPr>
          <w:rFonts w:ascii="Arial Narrow" w:hAnsi="Arial Narrow"/>
          <w:sz w:val="18"/>
        </w:rPr>
        <w:t xml:space="preserve"> et al 2016 criteria for </w:t>
      </w:r>
      <w:r w:rsidRPr="00CF3A1D">
        <w:rPr>
          <w:rFonts w:ascii="Arial Narrow" w:hAnsi="Arial Narrow"/>
          <w:sz w:val="18"/>
        </w:rPr>
        <w:t xml:space="preserve">SPMS </w:t>
      </w:r>
      <w:r>
        <w:rPr>
          <w:rFonts w:ascii="Arial Narrow" w:hAnsi="Arial Narrow"/>
          <w:sz w:val="18"/>
        </w:rPr>
        <w:t>(</w:t>
      </w:r>
      <w:r w:rsidRPr="00CF3A1D">
        <w:rPr>
          <w:rFonts w:ascii="Arial Narrow" w:hAnsi="Arial Narrow"/>
          <w:sz w:val="18"/>
        </w:rPr>
        <w:t>n=</w:t>
      </w:r>
      <w:r w:rsidR="00387A27">
        <w:rPr>
          <w:rFonts w:ascii="Arial Narrow" w:hAnsi="Arial Narrow"/>
          <w:noProof/>
          <w:color w:val="000000"/>
          <w:sz w:val="18"/>
          <w:highlight w:val="black"/>
        </w:rPr>
        <w:t>'''''''''</w:t>
      </w:r>
      <w:r>
        <w:rPr>
          <w:rFonts w:ascii="Arial Narrow" w:hAnsi="Arial Narrow"/>
          <w:sz w:val="18"/>
        </w:rPr>
        <w:t>),</w:t>
      </w:r>
      <w:r w:rsidRPr="00CF3A1D">
        <w:rPr>
          <w:rFonts w:ascii="Arial Narrow" w:hAnsi="Arial Narrow"/>
          <w:sz w:val="18"/>
        </w:rPr>
        <w:t xml:space="preserve"> reweighted</w:t>
      </w:r>
      <w:r w:rsidRPr="009F2D6F">
        <w:rPr>
          <w:rFonts w:ascii="Arial Narrow" w:hAnsi="Arial Narrow"/>
          <w:sz w:val="18"/>
        </w:rPr>
        <w:t xml:space="preserve"> given the lack of any clinical evidence assessing the effectiveness and safety of </w:t>
      </w:r>
      <w:proofErr w:type="spellStart"/>
      <w:r w:rsidRPr="009F2D6F">
        <w:rPr>
          <w:rFonts w:ascii="Arial Narrow" w:hAnsi="Arial Narrow"/>
          <w:sz w:val="18"/>
        </w:rPr>
        <w:t>fingolimod</w:t>
      </w:r>
      <w:proofErr w:type="spellEnd"/>
      <w:r w:rsidRPr="009F2D6F">
        <w:rPr>
          <w:rFonts w:ascii="Arial Narrow" w:hAnsi="Arial Narrow"/>
          <w:sz w:val="18"/>
        </w:rPr>
        <w:t xml:space="preserve"> and </w:t>
      </w:r>
      <w:proofErr w:type="spellStart"/>
      <w:r w:rsidRPr="009F2D6F">
        <w:rPr>
          <w:rFonts w:ascii="Arial Narrow" w:hAnsi="Arial Narrow"/>
          <w:sz w:val="18"/>
        </w:rPr>
        <w:t>ocrelizumab</w:t>
      </w:r>
      <w:proofErr w:type="spellEnd"/>
      <w:r w:rsidRPr="009F2D6F">
        <w:rPr>
          <w:rFonts w:ascii="Arial Narrow" w:hAnsi="Arial Narrow"/>
          <w:sz w:val="18"/>
        </w:rPr>
        <w:t xml:space="preserve"> in SPMS (keeping the ‘untreated’ </w:t>
      </w:r>
      <w:r w:rsidR="007B6EF8" w:rsidRPr="009F2D6F">
        <w:rPr>
          <w:rFonts w:ascii="Arial Narrow" w:hAnsi="Arial Narrow"/>
          <w:sz w:val="18"/>
        </w:rPr>
        <w:t>group constant</w:t>
      </w:r>
      <w:r w:rsidR="00A074E9">
        <w:rPr>
          <w:rFonts w:ascii="Arial Narrow" w:hAnsi="Arial Narrow"/>
          <w:sz w:val="18"/>
        </w:rPr>
        <w:t>).</w:t>
      </w:r>
    </w:p>
    <w:p w:rsidR="003D3FBF" w:rsidRPr="009F2D6F" w:rsidRDefault="004F211E" w:rsidP="00077582">
      <w:pPr>
        <w:pStyle w:val="ListParagraph"/>
        <w:widowControl/>
        <w:numPr>
          <w:ilvl w:val="1"/>
          <w:numId w:val="2"/>
        </w:numPr>
      </w:pPr>
      <w:r w:rsidRPr="009F2D6F">
        <w:t>The use of DMTs was based on analyses of the Australian patients in</w:t>
      </w:r>
      <w:r w:rsidR="00CA1B56" w:rsidRPr="009F2D6F">
        <w:t xml:space="preserve"> the</w:t>
      </w:r>
      <w:r w:rsidRPr="009F2D6F">
        <w:t xml:space="preserve"> </w:t>
      </w:r>
      <w:proofErr w:type="spellStart"/>
      <w:r w:rsidRPr="009F2D6F">
        <w:t>MSBase</w:t>
      </w:r>
      <w:proofErr w:type="spellEnd"/>
      <w:r w:rsidR="00CA1B56" w:rsidRPr="009F2D6F">
        <w:t xml:space="preserve"> database</w:t>
      </w:r>
      <w:r w:rsidRPr="009F2D6F">
        <w:t xml:space="preserve"> who fulfilled the </w:t>
      </w:r>
      <w:proofErr w:type="spellStart"/>
      <w:r w:rsidRPr="009F2D6F">
        <w:t>Lorscheider</w:t>
      </w:r>
      <w:proofErr w:type="spellEnd"/>
      <w:r w:rsidRPr="009F2D6F">
        <w:t xml:space="preserve"> et al 2016 criteria</w:t>
      </w:r>
      <w:r w:rsidR="006D118D" w:rsidRPr="009F2D6F">
        <w:t xml:space="preserve"> for SPMS</w:t>
      </w:r>
      <w:r w:rsidRPr="009F2D6F">
        <w:t xml:space="preserve"> </w:t>
      </w:r>
      <w:r w:rsidR="006D118D" w:rsidRPr="009F2D6F">
        <w:t>(</w:t>
      </w:r>
      <w:r w:rsidR="00363B5F" w:rsidRPr="009F2D6F">
        <w:t xml:space="preserve">defined as </w:t>
      </w:r>
      <w:r w:rsidR="006D118D" w:rsidRPr="009F2D6F">
        <w:rPr>
          <w:rFonts w:cs="Calibri"/>
        </w:rPr>
        <w:t>≥</w:t>
      </w:r>
      <w:r w:rsidR="006D118D" w:rsidRPr="009F2D6F">
        <w:t xml:space="preserve">1.5 point increase for those with </w:t>
      </w:r>
      <w:r w:rsidR="0024639C" w:rsidRPr="009F2D6F">
        <w:t>an</w:t>
      </w:r>
      <w:r w:rsidR="006D118D" w:rsidRPr="009F2D6F">
        <w:t xml:space="preserve"> Expanded Disability Status Scale [EDSS] score of 0; </w:t>
      </w:r>
      <w:r w:rsidR="006D118D" w:rsidRPr="009F2D6F">
        <w:rPr>
          <w:rFonts w:cs="Calibri"/>
        </w:rPr>
        <w:t>≥</w:t>
      </w:r>
      <w:r w:rsidR="006D118D" w:rsidRPr="009F2D6F">
        <w:t xml:space="preserve">1 point increase for those with EDSS </w:t>
      </w:r>
      <w:r w:rsidR="00B218B9">
        <w:t xml:space="preserve">score of </w:t>
      </w:r>
      <w:r w:rsidR="006D118D" w:rsidRPr="009F2D6F">
        <w:t>1-</w:t>
      </w:r>
      <w:r w:rsidR="006D118D" w:rsidRPr="009F2D6F">
        <w:rPr>
          <w:rFonts w:cs="Calibri"/>
        </w:rPr>
        <w:t>≤</w:t>
      </w:r>
      <w:r w:rsidR="006D118D" w:rsidRPr="009F2D6F">
        <w:t xml:space="preserve">5.5; and </w:t>
      </w:r>
      <w:r w:rsidR="006D118D" w:rsidRPr="009F2D6F">
        <w:rPr>
          <w:rFonts w:cs="Calibri"/>
        </w:rPr>
        <w:t>≥</w:t>
      </w:r>
      <w:r w:rsidR="006D118D" w:rsidRPr="009F2D6F">
        <w:t xml:space="preserve">0.5 </w:t>
      </w:r>
      <w:r w:rsidR="00363B5F" w:rsidRPr="009F2D6F">
        <w:t xml:space="preserve">point </w:t>
      </w:r>
      <w:r w:rsidR="006D118D" w:rsidRPr="009F2D6F">
        <w:t xml:space="preserve">increase for those with EDSS </w:t>
      </w:r>
      <w:r w:rsidR="00B218B9">
        <w:t xml:space="preserve">score of </w:t>
      </w:r>
      <w:r w:rsidR="006D118D" w:rsidRPr="009F2D6F">
        <w:rPr>
          <w:rFonts w:cs="Calibri"/>
        </w:rPr>
        <w:t>≥</w:t>
      </w:r>
      <w:r w:rsidR="006D118D" w:rsidRPr="009F2D6F">
        <w:t>6.0</w:t>
      </w:r>
      <w:r w:rsidR="00363B5F" w:rsidRPr="009F2D6F">
        <w:t>,</w:t>
      </w:r>
      <w:r w:rsidR="006D118D" w:rsidRPr="009F2D6F">
        <w:t xml:space="preserve"> confirmed at 3 months)</w:t>
      </w:r>
      <w:r w:rsidR="00F71B4A" w:rsidRPr="009F2D6F">
        <w:t>.</w:t>
      </w:r>
      <w:r w:rsidR="005B27E5" w:rsidRPr="009F2D6F">
        <w:t xml:space="preserve"> These analyses </w:t>
      </w:r>
      <w:r w:rsidR="001831DD" w:rsidRPr="009F2D6F">
        <w:t xml:space="preserve">(limited to therapies used in at least </w:t>
      </w:r>
      <w:r w:rsidR="00387A27">
        <w:rPr>
          <w:noProof/>
          <w:color w:val="000000"/>
          <w:highlight w:val="black"/>
        </w:rPr>
        <w:t>'''</w:t>
      </w:r>
      <w:r w:rsidR="001831DD" w:rsidRPr="009F2D6F">
        <w:t xml:space="preserve">% of patients) </w:t>
      </w:r>
      <w:r w:rsidR="005B27E5" w:rsidRPr="009F2D6F">
        <w:t>indicated that</w:t>
      </w:r>
      <w:r w:rsidR="0032596E" w:rsidRPr="009F2D6F">
        <w:t xml:space="preserve"> </w:t>
      </w:r>
      <w:r w:rsidR="006D118D" w:rsidRPr="009F2D6F">
        <w:t xml:space="preserve">the following therapies were used among </w:t>
      </w:r>
      <w:r w:rsidR="001831DD" w:rsidRPr="00DC470E">
        <w:t xml:space="preserve">the </w:t>
      </w:r>
      <w:r w:rsidR="00387A27">
        <w:rPr>
          <w:noProof/>
          <w:color w:val="000000"/>
          <w:highlight w:val="black"/>
        </w:rPr>
        <w:t>''''''''</w:t>
      </w:r>
      <w:r w:rsidR="00FA71EC" w:rsidRPr="00DC470E">
        <w:t xml:space="preserve"> Australian</w:t>
      </w:r>
      <w:r w:rsidR="001831DD" w:rsidRPr="009F2D6F">
        <w:t xml:space="preserve"> patients</w:t>
      </w:r>
      <w:r w:rsidR="006D118D" w:rsidRPr="009F2D6F">
        <w:t xml:space="preserve"> who fulfilled the criteria for </w:t>
      </w:r>
      <w:r w:rsidR="0068485F" w:rsidRPr="009F2D6F">
        <w:t xml:space="preserve">(but not necessarily diagnosed with) </w:t>
      </w:r>
      <w:r w:rsidR="006D118D" w:rsidRPr="009F2D6F">
        <w:t xml:space="preserve">SPMS: </w:t>
      </w:r>
      <w:r w:rsidR="005B27E5" w:rsidRPr="009F2D6F">
        <w:t>interferon (IFN) – beta</w:t>
      </w:r>
      <w:r w:rsidR="0032596E" w:rsidRPr="009F2D6F">
        <w:t xml:space="preserve"> /</w:t>
      </w:r>
      <w:r w:rsidR="005B27E5" w:rsidRPr="009F2D6F">
        <w:t xml:space="preserve"> </w:t>
      </w:r>
      <w:proofErr w:type="spellStart"/>
      <w:r w:rsidR="005B27E5" w:rsidRPr="009F2D6F">
        <w:t>glat</w:t>
      </w:r>
      <w:r w:rsidR="0032596E" w:rsidRPr="009F2D6F">
        <w:t>ir</w:t>
      </w:r>
      <w:r w:rsidR="005B27E5" w:rsidRPr="009F2D6F">
        <w:t>amer</w:t>
      </w:r>
      <w:proofErr w:type="spellEnd"/>
      <w:r w:rsidR="005B27E5" w:rsidRPr="009F2D6F">
        <w:t xml:space="preserve"> acetate</w:t>
      </w:r>
      <w:r w:rsidR="0032596E" w:rsidRPr="009F2D6F">
        <w:t xml:space="preserve"> (GA) [</w:t>
      </w:r>
      <w:r w:rsidR="00387A27">
        <w:rPr>
          <w:noProof/>
          <w:color w:val="000000"/>
          <w:highlight w:val="black"/>
        </w:rPr>
        <w:t>''''''</w:t>
      </w:r>
      <w:r w:rsidR="0032596E" w:rsidRPr="009F2D6F">
        <w:t>%]</w:t>
      </w:r>
      <w:r w:rsidR="005B27E5" w:rsidRPr="009F2D6F">
        <w:t xml:space="preserve">, </w:t>
      </w:r>
      <w:proofErr w:type="spellStart"/>
      <w:r w:rsidR="005B27E5" w:rsidRPr="009F2D6F">
        <w:t>natalizumab</w:t>
      </w:r>
      <w:proofErr w:type="spellEnd"/>
      <w:r w:rsidR="0032596E" w:rsidRPr="009F2D6F">
        <w:t xml:space="preserve"> [</w:t>
      </w:r>
      <w:r w:rsidR="00387A27">
        <w:rPr>
          <w:noProof/>
          <w:color w:val="000000"/>
          <w:highlight w:val="black"/>
        </w:rPr>
        <w:t>'''''''</w:t>
      </w:r>
      <w:r w:rsidR="0032596E" w:rsidRPr="009F2D6F">
        <w:t>%]</w:t>
      </w:r>
      <w:r w:rsidR="005B27E5" w:rsidRPr="009F2D6F">
        <w:t xml:space="preserve">, </w:t>
      </w:r>
      <w:proofErr w:type="spellStart"/>
      <w:r w:rsidR="005B27E5" w:rsidRPr="009F2D6F">
        <w:t>fingolimod</w:t>
      </w:r>
      <w:proofErr w:type="spellEnd"/>
      <w:r w:rsidR="005B27E5" w:rsidRPr="009F2D6F">
        <w:t xml:space="preserve"> </w:t>
      </w:r>
      <w:r w:rsidR="0032596E" w:rsidRPr="009F2D6F">
        <w:t>[</w:t>
      </w:r>
      <w:r w:rsidR="00387A27">
        <w:rPr>
          <w:noProof/>
          <w:color w:val="000000"/>
          <w:highlight w:val="black"/>
        </w:rPr>
        <w:t>'''''''''</w:t>
      </w:r>
      <w:r w:rsidR="0032596E" w:rsidRPr="009F2D6F">
        <w:t xml:space="preserve">%] </w:t>
      </w:r>
      <w:r w:rsidR="005B27E5" w:rsidRPr="009F2D6F">
        <w:t xml:space="preserve">and </w:t>
      </w:r>
      <w:proofErr w:type="spellStart"/>
      <w:r w:rsidR="005B27E5" w:rsidRPr="009F2D6F">
        <w:t>ocrelizumab</w:t>
      </w:r>
      <w:proofErr w:type="spellEnd"/>
      <w:r w:rsidR="005B27E5" w:rsidRPr="009F2D6F">
        <w:t xml:space="preserve"> </w:t>
      </w:r>
      <w:r w:rsidR="0032596E" w:rsidRPr="009F2D6F">
        <w:t>[</w:t>
      </w:r>
      <w:r w:rsidR="00387A27">
        <w:rPr>
          <w:noProof/>
          <w:color w:val="000000"/>
          <w:highlight w:val="black"/>
        </w:rPr>
        <w:t>'''''''''</w:t>
      </w:r>
      <w:r w:rsidR="0032596E" w:rsidRPr="009F2D6F">
        <w:t>%]</w:t>
      </w:r>
      <w:r w:rsidR="005B27E5" w:rsidRPr="009F2D6F">
        <w:t xml:space="preserve">. </w:t>
      </w:r>
      <w:r w:rsidR="0032596E" w:rsidRPr="009F2D6F">
        <w:t xml:space="preserve">In the economic evaluation, the comparators were reweighted given the lack of any clinical evidence assessing the effectiveness and safety of </w:t>
      </w:r>
      <w:proofErr w:type="spellStart"/>
      <w:r w:rsidR="0032596E" w:rsidRPr="009F2D6F">
        <w:t>fingolimod</w:t>
      </w:r>
      <w:proofErr w:type="spellEnd"/>
      <w:r w:rsidR="0032596E" w:rsidRPr="009F2D6F">
        <w:t xml:space="preserve"> and </w:t>
      </w:r>
      <w:proofErr w:type="spellStart"/>
      <w:r w:rsidR="0032596E" w:rsidRPr="009F2D6F">
        <w:t>ocrelizumab</w:t>
      </w:r>
      <w:proofErr w:type="spellEnd"/>
      <w:r w:rsidR="0032596E" w:rsidRPr="009F2D6F">
        <w:t xml:space="preserve"> in SPMS (keeping the ‘untreated’ group constant)</w:t>
      </w:r>
      <w:r w:rsidR="00D43DFC" w:rsidRPr="009F2D6F">
        <w:t>, such that</w:t>
      </w:r>
      <w:r w:rsidR="0032596E" w:rsidRPr="009F2D6F">
        <w:t xml:space="preserve"> </w:t>
      </w:r>
      <w:r w:rsidR="00D43DFC" w:rsidRPr="009F2D6F">
        <w:t>a</w:t>
      </w:r>
      <w:r w:rsidR="0032596E" w:rsidRPr="009F2D6F">
        <w:t xml:space="preserve">mong patients who are considered ‘treated’, </w:t>
      </w:r>
      <w:r w:rsidR="00387A27">
        <w:rPr>
          <w:noProof/>
          <w:color w:val="000000"/>
          <w:highlight w:val="black"/>
        </w:rPr>
        <w:t>''''''''</w:t>
      </w:r>
      <w:r w:rsidR="0032596E" w:rsidRPr="009F2D6F">
        <w:t xml:space="preserve">% are </w:t>
      </w:r>
      <w:r w:rsidR="006D118D" w:rsidRPr="009F2D6F">
        <w:t xml:space="preserve">assumed </w:t>
      </w:r>
      <w:r w:rsidR="0032596E" w:rsidRPr="009F2D6F">
        <w:t xml:space="preserve">treated with IFN-beta/GA and </w:t>
      </w:r>
      <w:r w:rsidR="00387A27">
        <w:rPr>
          <w:noProof/>
          <w:color w:val="000000"/>
          <w:highlight w:val="black"/>
        </w:rPr>
        <w:t>''''''''</w:t>
      </w:r>
      <w:r w:rsidR="0032596E" w:rsidRPr="009F2D6F">
        <w:t xml:space="preserve">% with </w:t>
      </w:r>
      <w:proofErr w:type="spellStart"/>
      <w:r w:rsidR="0032596E" w:rsidRPr="009F2D6F">
        <w:t>natalizumab</w:t>
      </w:r>
      <w:proofErr w:type="spellEnd"/>
      <w:r w:rsidR="0032596E" w:rsidRPr="009F2D6F">
        <w:t xml:space="preserve">. </w:t>
      </w:r>
    </w:p>
    <w:p w:rsidR="00FF6F8B" w:rsidRPr="009F2D6F" w:rsidRDefault="00023156" w:rsidP="00077582">
      <w:pPr>
        <w:pStyle w:val="ListParagraph"/>
        <w:widowControl/>
        <w:numPr>
          <w:ilvl w:val="1"/>
          <w:numId w:val="2"/>
        </w:numPr>
        <w:spacing w:after="0"/>
      </w:pPr>
      <w:r w:rsidRPr="009F2D6F">
        <w:t xml:space="preserve">PBS use of RRMS DMTs in patients with SPMS may be due to a documented SPMS diagnosis being delayed </w:t>
      </w:r>
      <w:r w:rsidR="00CC74D8">
        <w:t>or due to a lack of awareness</w:t>
      </w:r>
      <w:r w:rsidRPr="009F2D6F">
        <w:t xml:space="preserve"> of a transition to SPMS from RRMS. </w:t>
      </w:r>
      <w:r w:rsidR="004F211E" w:rsidRPr="009F2D6F">
        <w:t xml:space="preserve">As none of the </w:t>
      </w:r>
      <w:r w:rsidR="001868A6" w:rsidRPr="009F2D6F">
        <w:t xml:space="preserve">DMT </w:t>
      </w:r>
      <w:r w:rsidR="004F211E" w:rsidRPr="009F2D6F">
        <w:t>therapies are PBS-listed for SPMS, their effectiveness, safety and cost-effectiveness have not been accepted by the PBAC</w:t>
      </w:r>
      <w:r w:rsidR="001868A6" w:rsidRPr="009F2D6F">
        <w:t xml:space="preserve"> for this use</w:t>
      </w:r>
      <w:r w:rsidR="004F211E" w:rsidRPr="009F2D6F">
        <w:t>. Additionally, although the interferon</w:t>
      </w:r>
      <w:r w:rsidR="005B0C66" w:rsidRPr="009F2D6F">
        <w:t>-beta</w:t>
      </w:r>
      <w:r w:rsidR="004F211E" w:rsidRPr="009F2D6F">
        <w:t>s are TGA</w:t>
      </w:r>
      <w:r w:rsidR="00CA1B56" w:rsidRPr="009F2D6F">
        <w:t xml:space="preserve"> registered</w:t>
      </w:r>
      <w:r w:rsidR="004F211E" w:rsidRPr="009F2D6F">
        <w:t xml:space="preserve"> for SPMS indications (</w:t>
      </w:r>
      <w:proofErr w:type="spellStart"/>
      <w:r w:rsidR="004F211E" w:rsidRPr="009F2D6F">
        <w:t>Avonex</w:t>
      </w:r>
      <w:proofErr w:type="spellEnd"/>
      <w:r w:rsidR="004F211E" w:rsidRPr="009F2D6F">
        <w:t xml:space="preserve">® [where relapse is still a feature of the disease], </w:t>
      </w:r>
      <w:proofErr w:type="spellStart"/>
      <w:r w:rsidR="004F211E" w:rsidRPr="009F2D6F">
        <w:t>Betaferon</w:t>
      </w:r>
      <w:proofErr w:type="spellEnd"/>
      <w:r w:rsidR="004F211E" w:rsidRPr="009F2D6F">
        <w:t xml:space="preserve">® and </w:t>
      </w:r>
      <w:proofErr w:type="spellStart"/>
      <w:r w:rsidR="004F211E" w:rsidRPr="009F2D6F">
        <w:t>Rebif</w:t>
      </w:r>
      <w:proofErr w:type="spellEnd"/>
      <w:r w:rsidR="004F211E" w:rsidRPr="009F2D6F">
        <w:t>® [should not be initiated in patients who no longer experience relapses]), no other DMTs are TGA-approved for an SPMS indication</w:t>
      </w:r>
      <w:r w:rsidR="00D6277F" w:rsidRPr="009F2D6F">
        <w:t xml:space="preserve"> (</w:t>
      </w:r>
      <w:r w:rsidR="001831DD" w:rsidRPr="009F2D6F">
        <w:t xml:space="preserve">although this appears to have recently changed for </w:t>
      </w:r>
      <w:proofErr w:type="spellStart"/>
      <w:r w:rsidR="001831DD" w:rsidRPr="009F2D6F">
        <w:t>fingolimod</w:t>
      </w:r>
      <w:proofErr w:type="spellEnd"/>
      <w:r w:rsidR="001831DD" w:rsidRPr="009F2D6F">
        <w:t xml:space="preserve"> where an SPMS indication was included in a PI dated 24</w:t>
      </w:r>
      <w:r w:rsidRPr="009F2D6F">
        <w:t> </w:t>
      </w:r>
      <w:r w:rsidR="001831DD" w:rsidRPr="009F2D6F">
        <w:t>November</w:t>
      </w:r>
      <w:r w:rsidRPr="009F2D6F">
        <w:t> </w:t>
      </w:r>
      <w:r w:rsidR="001831DD" w:rsidRPr="009F2D6F">
        <w:t>2016, but is no longer included in the PI dated 21 January 2019</w:t>
      </w:r>
      <w:r w:rsidR="00D6277F" w:rsidRPr="009F2D6F">
        <w:t>)</w:t>
      </w:r>
      <w:r w:rsidR="004F211E" w:rsidRPr="009F2D6F">
        <w:t xml:space="preserve">. </w:t>
      </w:r>
    </w:p>
    <w:p w:rsidR="00FF6F8B" w:rsidRPr="009F2D6F" w:rsidRDefault="00FF6F8B" w:rsidP="00077582">
      <w:pPr>
        <w:pStyle w:val="ListParagraph"/>
        <w:widowControl/>
        <w:spacing w:after="0"/>
      </w:pPr>
    </w:p>
    <w:p w:rsidR="008908C5" w:rsidRPr="008908C5" w:rsidRDefault="00F839F2" w:rsidP="008908C5">
      <w:pPr>
        <w:pStyle w:val="ListParagraph"/>
        <w:widowControl/>
        <w:numPr>
          <w:ilvl w:val="1"/>
          <w:numId w:val="2"/>
        </w:numPr>
        <w:spacing w:after="0"/>
      </w:pPr>
      <w:r>
        <w:t>The PSCR</w:t>
      </w:r>
      <w:r w:rsidR="00FF6F8B" w:rsidRPr="009F2D6F">
        <w:t xml:space="preserve"> argued that at least some of the use of DMTs in patients with progressed disability is in line with the PBS restrictions, as there is a period where the classification of a patient with RRMS or SPMS is unclear because they may still experience relapses (albeit at a reduced frequency). </w:t>
      </w:r>
      <w:r w:rsidR="00023156" w:rsidRPr="009F2D6F">
        <w:t>The ESC considered it was likely that DMTs are being used in practice in some patients with progressive disease</w:t>
      </w:r>
      <w:r w:rsidR="008908C5" w:rsidRPr="008908C5">
        <w:t>, and therefore they could be considered relevant comparators.</w:t>
      </w:r>
      <w:r w:rsidR="008908C5" w:rsidRPr="008908C5" w:rsidDel="00023156">
        <w:t xml:space="preserve"> </w:t>
      </w:r>
      <w:r w:rsidR="008908C5" w:rsidRPr="008908C5">
        <w:t xml:space="preserve">However, the proportion of the ‘treated’ </w:t>
      </w:r>
      <w:r w:rsidR="008908C5" w:rsidRPr="008908C5">
        <w:lastRenderedPageBreak/>
        <w:t xml:space="preserve">population who should be included in the total target population was highly uncertain because it was unclear how the listing of </w:t>
      </w:r>
      <w:proofErr w:type="spellStart"/>
      <w:r w:rsidR="008908C5" w:rsidRPr="008908C5">
        <w:t>siponimod</w:t>
      </w:r>
      <w:proofErr w:type="spellEnd"/>
      <w:r w:rsidR="008908C5" w:rsidRPr="008908C5">
        <w:t xml:space="preserve"> would affect the diagnosis rates of SPMS. The ESC considered that:</w:t>
      </w:r>
    </w:p>
    <w:p w:rsidR="008908C5" w:rsidRPr="008908C5" w:rsidRDefault="008908C5" w:rsidP="008908C5">
      <w:pPr>
        <w:pStyle w:val="ListParagraph"/>
        <w:widowControl/>
        <w:numPr>
          <w:ilvl w:val="0"/>
          <w:numId w:val="10"/>
        </w:numPr>
      </w:pPr>
      <w:r w:rsidRPr="008908C5">
        <w:t xml:space="preserve">Some patients will remain undiagnosed with SPMS (due to the ambiguous and gradual transition between RRMS and SPMS). Technically these patients should be excluded from the total target population of the submission as these patients would not be able to access </w:t>
      </w:r>
      <w:proofErr w:type="spellStart"/>
      <w:r w:rsidRPr="008908C5">
        <w:t>siponimod</w:t>
      </w:r>
      <w:proofErr w:type="spellEnd"/>
      <w:r w:rsidRPr="008908C5">
        <w:t xml:space="preserve"> upon a successful PBS listing (as their clinician will not have documented them as achieving the proposed PBS restriction criteria required for initial </w:t>
      </w:r>
      <w:proofErr w:type="spellStart"/>
      <w:r w:rsidRPr="008908C5">
        <w:t>siponimod</w:t>
      </w:r>
      <w:proofErr w:type="spellEnd"/>
      <w:r w:rsidRPr="008908C5">
        <w:t xml:space="preserve"> therapy).</w:t>
      </w:r>
    </w:p>
    <w:p w:rsidR="008908C5" w:rsidRPr="008908C5" w:rsidRDefault="008908C5" w:rsidP="008908C5">
      <w:pPr>
        <w:pStyle w:val="ListParagraph"/>
        <w:widowControl/>
        <w:numPr>
          <w:ilvl w:val="0"/>
          <w:numId w:val="10"/>
        </w:numPr>
      </w:pPr>
      <w:r w:rsidRPr="008908C5">
        <w:t xml:space="preserve">Some patients who had not previously been diagnosed due to the lack of PBS therapies available for SPMS may now be diagnosed in order to access </w:t>
      </w:r>
      <w:proofErr w:type="spellStart"/>
      <w:r w:rsidRPr="008908C5">
        <w:t>siponimod</w:t>
      </w:r>
      <w:proofErr w:type="spellEnd"/>
      <w:r w:rsidRPr="008908C5">
        <w:t>.</w:t>
      </w:r>
    </w:p>
    <w:p w:rsidR="00900717" w:rsidRPr="008908C5" w:rsidRDefault="008908C5" w:rsidP="008908C5">
      <w:pPr>
        <w:pStyle w:val="ListParagraph"/>
        <w:widowControl/>
        <w:numPr>
          <w:ilvl w:val="0"/>
          <w:numId w:val="10"/>
        </w:numPr>
        <w:rPr>
          <w:i/>
        </w:rPr>
      </w:pPr>
      <w:r w:rsidRPr="008908C5">
        <w:t xml:space="preserve">Some patients may remain without a documented diagnosis of SPMS if they are unable to return to using existing PBS DMTs for RRMS post </w:t>
      </w:r>
      <w:proofErr w:type="spellStart"/>
      <w:r w:rsidRPr="008908C5">
        <w:t>siponimod</w:t>
      </w:r>
      <w:proofErr w:type="spellEnd"/>
      <w:r w:rsidRPr="00FF6F8B">
        <w:rPr>
          <w:i/>
        </w:rPr>
        <w:t>.</w:t>
      </w:r>
    </w:p>
    <w:p w:rsidR="009F2D6F" w:rsidRPr="00B779F1" w:rsidRDefault="009F2D6F" w:rsidP="00B779F1">
      <w:pPr>
        <w:pStyle w:val="ListParagraph"/>
        <w:ind w:left="709"/>
        <w:rPr>
          <w:rFonts w:asciiTheme="minorHAnsi" w:hAnsiTheme="minorHAnsi"/>
          <w:i/>
        </w:rPr>
      </w:pPr>
      <w:r w:rsidRPr="00525B39">
        <w:rPr>
          <w:rFonts w:asciiTheme="minorHAnsi" w:hAnsiTheme="minorHAnsi"/>
          <w:i/>
        </w:rPr>
        <w:t>For more detail on PBAC’s view, see section 7 PBAC outcome.</w:t>
      </w:r>
    </w:p>
    <w:p w:rsidR="00FF5BF1" w:rsidRPr="009F2D6F" w:rsidRDefault="00BD6CF3" w:rsidP="00FF5BF1">
      <w:pPr>
        <w:pStyle w:val="PBACHeading1"/>
        <w:spacing w:before="240" w:after="120"/>
        <w:ind w:left="709" w:hanging="709"/>
      </w:pPr>
      <w:bookmarkStart w:id="8" w:name="_Toc18693494"/>
      <w:r w:rsidRPr="009F2D6F">
        <w:t>C</w:t>
      </w:r>
      <w:r w:rsidR="00B50DB8" w:rsidRPr="009F2D6F">
        <w:t>onsideration of the evidence</w:t>
      </w:r>
      <w:bookmarkEnd w:id="8"/>
    </w:p>
    <w:p w:rsidR="009F2D6F" w:rsidRPr="009F2D6F" w:rsidRDefault="009F2D6F" w:rsidP="009F2D6F">
      <w:pPr>
        <w:pStyle w:val="Heading2"/>
        <w:widowControl/>
      </w:pPr>
      <w:bookmarkStart w:id="9" w:name="_Toc18693495"/>
      <w:r w:rsidRPr="009F2D6F">
        <w:t>Sponsor hearing</w:t>
      </w:r>
    </w:p>
    <w:p w:rsidR="009F2D6F" w:rsidRPr="00836F75" w:rsidRDefault="009F2D6F" w:rsidP="009F2D6F">
      <w:pPr>
        <w:numPr>
          <w:ilvl w:val="1"/>
          <w:numId w:val="2"/>
        </w:numPr>
        <w:spacing w:after="120"/>
        <w:rPr>
          <w:rFonts w:asciiTheme="minorHAnsi" w:hAnsiTheme="minorHAnsi"/>
          <w:bCs/>
        </w:rPr>
      </w:pPr>
      <w:r w:rsidRPr="00836F75">
        <w:rPr>
          <w:rFonts w:asciiTheme="minorHAnsi" w:hAnsiTheme="minorHAnsi"/>
          <w:bCs/>
        </w:rPr>
        <w:t>The</w:t>
      </w:r>
      <w:r w:rsidR="00FD7030">
        <w:rPr>
          <w:rFonts w:asciiTheme="minorHAnsi" w:hAnsiTheme="minorHAnsi"/>
          <w:bCs/>
        </w:rPr>
        <w:t>re was no hearing for this item</w:t>
      </w:r>
      <w:r w:rsidRPr="00836F75">
        <w:rPr>
          <w:rFonts w:asciiTheme="minorHAnsi" w:hAnsiTheme="minorHAnsi"/>
          <w:bCs/>
        </w:rPr>
        <w:t>.</w:t>
      </w:r>
    </w:p>
    <w:p w:rsidR="009F2D6F" w:rsidRPr="009F2D6F" w:rsidRDefault="009F2D6F" w:rsidP="009F2D6F">
      <w:pPr>
        <w:pStyle w:val="Heading2"/>
        <w:widowControl/>
      </w:pPr>
      <w:r w:rsidRPr="009F2D6F">
        <w:t>Consumer comments</w:t>
      </w:r>
    </w:p>
    <w:p w:rsidR="009F2D6F" w:rsidRPr="00836F75" w:rsidRDefault="009F2D6F" w:rsidP="009F2D6F">
      <w:pPr>
        <w:numPr>
          <w:ilvl w:val="1"/>
          <w:numId w:val="2"/>
        </w:numPr>
        <w:spacing w:after="120"/>
        <w:rPr>
          <w:rFonts w:asciiTheme="minorHAnsi" w:hAnsiTheme="minorHAnsi"/>
          <w:bCs/>
        </w:rPr>
      </w:pPr>
      <w:r w:rsidRPr="00836F75">
        <w:rPr>
          <w:rFonts w:asciiTheme="minorHAnsi" w:hAnsiTheme="minorHAnsi"/>
          <w:bCs/>
        </w:rPr>
        <w:t>The PBAC noted and welcomed the input from</w:t>
      </w:r>
      <w:r w:rsidR="00FD7030">
        <w:rPr>
          <w:rFonts w:asciiTheme="minorHAnsi" w:hAnsiTheme="minorHAnsi"/>
          <w:bCs/>
        </w:rPr>
        <w:t xml:space="preserve"> MS Australia, MS Research Australia and</w:t>
      </w:r>
      <w:r w:rsidRPr="00836F75">
        <w:rPr>
          <w:rFonts w:asciiTheme="minorHAnsi" w:hAnsiTheme="minorHAnsi"/>
          <w:bCs/>
        </w:rPr>
        <w:t xml:space="preserve"> individuals</w:t>
      </w:r>
      <w:r w:rsidR="00FD7030">
        <w:rPr>
          <w:rFonts w:asciiTheme="minorHAnsi" w:hAnsiTheme="minorHAnsi"/>
          <w:bCs/>
        </w:rPr>
        <w:t xml:space="preserve"> (3), </w:t>
      </w:r>
      <w:r w:rsidRPr="00836F75">
        <w:rPr>
          <w:rFonts w:asciiTheme="minorHAnsi" w:hAnsiTheme="minorHAnsi"/>
          <w:bCs/>
        </w:rPr>
        <w:t>via the Consumer Comments facility on the PBS we</w:t>
      </w:r>
      <w:r w:rsidR="00FD7030">
        <w:rPr>
          <w:rFonts w:asciiTheme="minorHAnsi" w:hAnsiTheme="minorHAnsi"/>
          <w:bCs/>
        </w:rPr>
        <w:t xml:space="preserve">bsite.  The comments described the high clinical need for effective treatments for SPMS and lack of alternative treatments current available to slow progressive disease in MS. The comments also noted overseas regulatory agencies had accepted </w:t>
      </w:r>
      <w:proofErr w:type="spellStart"/>
      <w:r w:rsidR="00FD7030">
        <w:rPr>
          <w:rFonts w:asciiTheme="minorHAnsi" w:hAnsiTheme="minorHAnsi"/>
          <w:bCs/>
        </w:rPr>
        <w:t>siponimod</w:t>
      </w:r>
      <w:proofErr w:type="spellEnd"/>
      <w:r w:rsidR="00FD7030">
        <w:rPr>
          <w:rFonts w:asciiTheme="minorHAnsi" w:hAnsiTheme="minorHAnsi"/>
          <w:bCs/>
        </w:rPr>
        <w:t xml:space="preserve"> as being effective in SPMS.</w:t>
      </w:r>
    </w:p>
    <w:p w:rsidR="00B60939" w:rsidRPr="009F2D6F" w:rsidRDefault="00B60939" w:rsidP="00077582">
      <w:pPr>
        <w:pStyle w:val="Heading2"/>
        <w:widowControl/>
      </w:pPr>
      <w:r w:rsidRPr="009F2D6F">
        <w:t>Clinical trials</w:t>
      </w:r>
      <w:bookmarkEnd w:id="9"/>
    </w:p>
    <w:p w:rsidR="004F211E" w:rsidRPr="009F2D6F" w:rsidRDefault="0080140A" w:rsidP="00077582">
      <w:pPr>
        <w:pStyle w:val="ListParagraph"/>
        <w:widowControl/>
        <w:numPr>
          <w:ilvl w:val="1"/>
          <w:numId w:val="2"/>
        </w:numPr>
      </w:pPr>
      <w:r w:rsidRPr="009F2D6F">
        <w:rPr>
          <w:rFonts w:cs="Calibri"/>
          <w:snapToGrid/>
          <w:szCs w:val="24"/>
          <w:lang w:val="en-US" w:eastAsia="en-AU"/>
        </w:rPr>
        <w:t>The submission wa</w:t>
      </w:r>
      <w:r w:rsidR="00A73134" w:rsidRPr="009F2D6F">
        <w:rPr>
          <w:rFonts w:cs="Calibri"/>
          <w:snapToGrid/>
          <w:szCs w:val="24"/>
          <w:lang w:val="en-US" w:eastAsia="en-AU"/>
        </w:rPr>
        <w:t xml:space="preserve">s based on </w:t>
      </w:r>
      <w:r w:rsidR="004F211E" w:rsidRPr="009F2D6F">
        <w:rPr>
          <w:rFonts w:cs="Calibri"/>
          <w:snapToGrid/>
          <w:szCs w:val="24"/>
          <w:lang w:val="en-US" w:eastAsia="en-AU"/>
        </w:rPr>
        <w:t>one head-to-head trial</w:t>
      </w:r>
      <w:r w:rsidR="00A73134" w:rsidRPr="009F2D6F">
        <w:rPr>
          <w:rFonts w:cs="Calibri"/>
          <w:snapToGrid/>
          <w:szCs w:val="24"/>
          <w:lang w:val="en-US" w:eastAsia="en-AU"/>
        </w:rPr>
        <w:t xml:space="preserve"> comparing </w:t>
      </w:r>
      <w:proofErr w:type="spellStart"/>
      <w:r w:rsidR="004F211E" w:rsidRPr="009F2D6F">
        <w:rPr>
          <w:rFonts w:cs="Calibri"/>
          <w:snapToGrid/>
          <w:szCs w:val="24"/>
          <w:lang w:val="en-US" w:eastAsia="en-AU"/>
        </w:rPr>
        <w:t>siponimod</w:t>
      </w:r>
      <w:proofErr w:type="spellEnd"/>
      <w:r w:rsidR="004F211E" w:rsidRPr="009F2D6F">
        <w:rPr>
          <w:rFonts w:cs="Calibri"/>
          <w:snapToGrid/>
          <w:szCs w:val="24"/>
          <w:lang w:val="en-US" w:eastAsia="en-AU"/>
        </w:rPr>
        <w:t xml:space="preserve"> to placebo</w:t>
      </w:r>
      <w:r w:rsidR="00A73134" w:rsidRPr="009F2D6F">
        <w:rPr>
          <w:rFonts w:cs="Calibri"/>
          <w:snapToGrid/>
          <w:szCs w:val="24"/>
          <w:lang w:val="en-US" w:eastAsia="en-AU"/>
        </w:rPr>
        <w:t xml:space="preserve"> (n=</w:t>
      </w:r>
      <w:r w:rsidR="004F211E" w:rsidRPr="009F2D6F">
        <w:rPr>
          <w:rFonts w:cs="Calibri"/>
          <w:snapToGrid/>
          <w:szCs w:val="24"/>
          <w:lang w:val="en-US" w:eastAsia="en-AU"/>
        </w:rPr>
        <w:t>1,651), EXPAND</w:t>
      </w:r>
      <w:r w:rsidR="00A73134" w:rsidRPr="009F2D6F">
        <w:rPr>
          <w:rFonts w:cs="Calibri"/>
          <w:snapToGrid/>
          <w:szCs w:val="24"/>
          <w:lang w:val="en-US" w:eastAsia="en-AU"/>
        </w:rPr>
        <w:t xml:space="preserve">. </w:t>
      </w:r>
    </w:p>
    <w:p w:rsidR="007F1017" w:rsidRPr="009F2D6F" w:rsidRDefault="0080140A" w:rsidP="00077582">
      <w:pPr>
        <w:pStyle w:val="ListParagraph"/>
        <w:widowControl/>
        <w:numPr>
          <w:ilvl w:val="1"/>
          <w:numId w:val="2"/>
        </w:numPr>
      </w:pPr>
      <w:r w:rsidRPr="009F2D6F">
        <w:rPr>
          <w:rFonts w:cs="Calibri"/>
          <w:snapToGrid/>
          <w:szCs w:val="24"/>
          <w:lang w:val="en-US" w:eastAsia="en-AU"/>
        </w:rPr>
        <w:t xml:space="preserve">The submission </w:t>
      </w:r>
      <w:r w:rsidR="004F211E" w:rsidRPr="009F2D6F">
        <w:rPr>
          <w:rFonts w:cs="Calibri"/>
          <w:snapToGrid/>
          <w:szCs w:val="24"/>
          <w:lang w:val="en-US" w:eastAsia="en-AU"/>
        </w:rPr>
        <w:t xml:space="preserve">also </w:t>
      </w:r>
      <w:r w:rsidR="00873D4F" w:rsidRPr="009F2D6F">
        <w:rPr>
          <w:rFonts w:cs="Calibri"/>
          <w:snapToGrid/>
          <w:szCs w:val="24"/>
          <w:lang w:val="en-US" w:eastAsia="en-AU"/>
        </w:rPr>
        <w:t>included</w:t>
      </w:r>
      <w:r w:rsidR="004F211E" w:rsidRPr="009F2D6F">
        <w:rPr>
          <w:rFonts w:cs="Calibri"/>
          <w:snapToGrid/>
          <w:szCs w:val="24"/>
          <w:lang w:val="en-US" w:eastAsia="en-AU"/>
        </w:rPr>
        <w:t xml:space="preserve"> </w:t>
      </w:r>
      <w:r w:rsidR="004F211E" w:rsidRPr="009F2D6F">
        <w:t xml:space="preserve">seven </w:t>
      </w:r>
      <w:r w:rsidR="00BD365E">
        <w:t>randomised</w:t>
      </w:r>
      <w:r w:rsidR="004F211E" w:rsidRPr="009F2D6F">
        <w:t xml:space="preserve"> trials comparing interferon-beta (IFN-beta; five trials), </w:t>
      </w:r>
      <w:proofErr w:type="spellStart"/>
      <w:r w:rsidRPr="009F2D6F">
        <w:t>g</w:t>
      </w:r>
      <w:r w:rsidR="004F211E" w:rsidRPr="009F2D6F">
        <w:t>latiramer</w:t>
      </w:r>
      <w:proofErr w:type="spellEnd"/>
      <w:r w:rsidR="004F211E" w:rsidRPr="009F2D6F">
        <w:t xml:space="preserve"> acetate (GA; one trial) and </w:t>
      </w:r>
      <w:proofErr w:type="spellStart"/>
      <w:r w:rsidR="004F211E" w:rsidRPr="009F2D6F">
        <w:t>natalizumab</w:t>
      </w:r>
      <w:proofErr w:type="spellEnd"/>
      <w:r w:rsidR="004F211E" w:rsidRPr="009F2D6F">
        <w:t xml:space="preserve"> (one trial) to placebo. </w:t>
      </w:r>
    </w:p>
    <w:p w:rsidR="00862502" w:rsidRPr="009F2D6F" w:rsidRDefault="00A73134" w:rsidP="00077582">
      <w:pPr>
        <w:pStyle w:val="ListParagraph"/>
        <w:widowControl/>
        <w:numPr>
          <w:ilvl w:val="1"/>
          <w:numId w:val="2"/>
        </w:numPr>
      </w:pPr>
      <w:r w:rsidRPr="009F2D6F">
        <w:rPr>
          <w:rFonts w:cs="Calibri"/>
          <w:snapToGrid/>
          <w:szCs w:val="24"/>
          <w:lang w:val="en-US" w:eastAsia="en-AU"/>
        </w:rPr>
        <w:t xml:space="preserve">Details of the trials presented in the submission are provided in </w:t>
      </w:r>
      <w:r w:rsidR="00654F36" w:rsidRPr="00654F36">
        <w:rPr>
          <w:rFonts w:cs="Calibri"/>
          <w:snapToGrid/>
          <w:szCs w:val="24"/>
          <w:lang w:val="en-US" w:eastAsia="en-AU"/>
        </w:rPr>
        <w:t>Table 3</w:t>
      </w:r>
      <w:r w:rsidR="004F211E" w:rsidRPr="009F2D6F">
        <w:rPr>
          <w:rFonts w:cs="Calibri"/>
          <w:snapToGrid/>
          <w:szCs w:val="24"/>
          <w:lang w:val="en-US" w:eastAsia="en-AU"/>
        </w:rPr>
        <w:t>.</w:t>
      </w:r>
    </w:p>
    <w:p w:rsidR="008E0D3C" w:rsidRPr="009F2D6F" w:rsidRDefault="004F211E" w:rsidP="00077582">
      <w:pPr>
        <w:pStyle w:val="Caption"/>
        <w:keepNext/>
        <w:widowControl/>
        <w:spacing w:after="0"/>
        <w:rPr>
          <w:rFonts w:ascii="Arial Narrow" w:hAnsi="Arial Narrow"/>
          <w:color w:val="auto"/>
          <w:sz w:val="20"/>
          <w:szCs w:val="20"/>
        </w:rPr>
      </w:pPr>
      <w:bookmarkStart w:id="10" w:name="_Ref18662604"/>
      <w:r w:rsidRPr="009F2D6F">
        <w:rPr>
          <w:rFonts w:ascii="Arial Narrow" w:hAnsi="Arial Narrow"/>
          <w:color w:val="auto"/>
          <w:sz w:val="20"/>
          <w:szCs w:val="20"/>
        </w:rPr>
        <w:lastRenderedPageBreak/>
        <w:t xml:space="preserve">Table </w:t>
      </w:r>
      <w:r w:rsidR="00654F36">
        <w:rPr>
          <w:rFonts w:ascii="Arial Narrow" w:hAnsi="Arial Narrow"/>
          <w:noProof/>
          <w:color w:val="auto"/>
          <w:sz w:val="20"/>
          <w:szCs w:val="20"/>
        </w:rPr>
        <w:t>3</w:t>
      </w:r>
      <w:bookmarkEnd w:id="10"/>
      <w:r w:rsidRPr="009F2D6F">
        <w:rPr>
          <w:rFonts w:ascii="Arial Narrow" w:hAnsi="Arial Narrow"/>
          <w:color w:val="auto"/>
          <w:sz w:val="20"/>
          <w:szCs w:val="20"/>
        </w:rPr>
        <w:t xml:space="preserve">: </w:t>
      </w:r>
      <w:r w:rsidR="008E0D3C" w:rsidRPr="009F2D6F">
        <w:rPr>
          <w:rFonts w:ascii="Arial Narrow" w:hAnsi="Arial Narrow"/>
          <w:color w:val="auto"/>
          <w:sz w:val="20"/>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0D2707" w:rsidRPr="009F2D6F" w:rsidTr="00486746">
        <w:trPr>
          <w:tblHeader/>
        </w:trPr>
        <w:tc>
          <w:tcPr>
            <w:tcW w:w="796" w:type="pct"/>
            <w:vAlign w:val="center"/>
          </w:tcPr>
          <w:p w:rsidR="000D2707" w:rsidRPr="009F2D6F" w:rsidRDefault="000D2707" w:rsidP="00077582">
            <w:pPr>
              <w:pStyle w:val="Tabletext"/>
              <w:keepNext/>
              <w:rPr>
                <w:b/>
                <w:szCs w:val="20"/>
              </w:rPr>
            </w:pPr>
            <w:r w:rsidRPr="009F2D6F">
              <w:rPr>
                <w:b/>
                <w:szCs w:val="20"/>
              </w:rPr>
              <w:t>Trial ID</w:t>
            </w:r>
          </w:p>
        </w:tc>
        <w:tc>
          <w:tcPr>
            <w:tcW w:w="3027" w:type="pct"/>
            <w:tcBorders>
              <w:bottom w:val="single" w:sz="4" w:space="0" w:color="auto"/>
            </w:tcBorders>
            <w:vAlign w:val="center"/>
          </w:tcPr>
          <w:p w:rsidR="000D2707" w:rsidRPr="009F2D6F" w:rsidRDefault="000D2707" w:rsidP="00077582">
            <w:pPr>
              <w:pStyle w:val="Tabletext"/>
              <w:keepNext/>
              <w:jc w:val="center"/>
              <w:rPr>
                <w:b/>
                <w:szCs w:val="20"/>
              </w:rPr>
            </w:pPr>
            <w:r w:rsidRPr="009F2D6F">
              <w:rPr>
                <w:b/>
                <w:szCs w:val="20"/>
              </w:rPr>
              <w:t>Protocol title/ Publication title</w:t>
            </w:r>
          </w:p>
        </w:tc>
        <w:tc>
          <w:tcPr>
            <w:tcW w:w="1177" w:type="pct"/>
            <w:tcBorders>
              <w:bottom w:val="single" w:sz="4" w:space="0" w:color="auto"/>
            </w:tcBorders>
            <w:vAlign w:val="center"/>
          </w:tcPr>
          <w:p w:rsidR="000D2707" w:rsidRPr="009F2D6F" w:rsidRDefault="000D2707" w:rsidP="00077582">
            <w:pPr>
              <w:pStyle w:val="Tabletext"/>
              <w:keepNext/>
              <w:jc w:val="center"/>
              <w:rPr>
                <w:b/>
                <w:szCs w:val="20"/>
              </w:rPr>
            </w:pPr>
            <w:r w:rsidRPr="009F2D6F">
              <w:rPr>
                <w:b/>
                <w:szCs w:val="20"/>
              </w:rPr>
              <w:t>Publication citation</w:t>
            </w:r>
          </w:p>
        </w:tc>
      </w:tr>
      <w:tr w:rsidR="000D2707" w:rsidRPr="009F2D6F" w:rsidTr="00486746">
        <w:tc>
          <w:tcPr>
            <w:tcW w:w="796" w:type="pct"/>
            <w:vMerge w:val="restart"/>
            <w:vAlign w:val="center"/>
          </w:tcPr>
          <w:p w:rsidR="000D2707" w:rsidRPr="009F2D6F" w:rsidRDefault="000D2707" w:rsidP="00077582">
            <w:pPr>
              <w:pStyle w:val="Tabletext"/>
              <w:keepNext/>
              <w:rPr>
                <w:szCs w:val="20"/>
                <w:vertAlign w:val="superscript"/>
              </w:rPr>
            </w:pPr>
            <w:r w:rsidRPr="009F2D6F">
              <w:rPr>
                <w:szCs w:val="20"/>
              </w:rPr>
              <w:t>Study 2304 (EXPAND)</w:t>
            </w:r>
            <w:r w:rsidRPr="009F2D6F">
              <w:rPr>
                <w:szCs w:val="20"/>
                <w:vertAlign w:val="superscript"/>
              </w:rPr>
              <w:t>a</w:t>
            </w:r>
          </w:p>
        </w:tc>
        <w:tc>
          <w:tcPr>
            <w:tcW w:w="3027" w:type="pct"/>
            <w:tcBorders>
              <w:bottom w:val="nil"/>
            </w:tcBorders>
            <w:vAlign w:val="center"/>
          </w:tcPr>
          <w:p w:rsidR="000D2707" w:rsidRPr="009F2D6F" w:rsidRDefault="000D2707" w:rsidP="00077582">
            <w:pPr>
              <w:pStyle w:val="Tabletext"/>
              <w:keepNext/>
              <w:rPr>
                <w:szCs w:val="20"/>
              </w:rPr>
            </w:pPr>
            <w:r w:rsidRPr="009F2D6F">
              <w:rPr>
                <w:szCs w:val="20"/>
              </w:rPr>
              <w:t xml:space="preserve">CBAF312A2304. A </w:t>
            </w:r>
            <w:proofErr w:type="spellStart"/>
            <w:r w:rsidRPr="009F2D6F">
              <w:rPr>
                <w:szCs w:val="20"/>
              </w:rPr>
              <w:t>multicenter</w:t>
            </w:r>
            <w:proofErr w:type="spellEnd"/>
            <w:r w:rsidRPr="009F2D6F">
              <w:rPr>
                <w:szCs w:val="20"/>
              </w:rPr>
              <w:t xml:space="preserve">, randomized, double-blind, parallel-group, placebo-controlled variable treatment duration study evaluating the efficacy and safety of </w:t>
            </w:r>
            <w:proofErr w:type="spellStart"/>
            <w:r w:rsidRPr="009F2D6F">
              <w:rPr>
                <w:szCs w:val="20"/>
              </w:rPr>
              <w:t>Siponimod</w:t>
            </w:r>
            <w:proofErr w:type="spellEnd"/>
            <w:r w:rsidRPr="009F2D6F">
              <w:rPr>
                <w:szCs w:val="20"/>
              </w:rPr>
              <w:t xml:space="preserve"> (BAF312) in patients with secondary progressive multiple sclerosis followed by extended treatment with open-label BAF312.</w:t>
            </w:r>
          </w:p>
        </w:tc>
        <w:tc>
          <w:tcPr>
            <w:tcW w:w="1177" w:type="pct"/>
            <w:tcBorders>
              <w:bottom w:val="nil"/>
            </w:tcBorders>
            <w:vAlign w:val="center"/>
          </w:tcPr>
          <w:p w:rsidR="000D2707" w:rsidRPr="009F2D6F" w:rsidRDefault="000D2707" w:rsidP="00077582">
            <w:pPr>
              <w:pStyle w:val="Tabletext"/>
              <w:keepNext/>
              <w:rPr>
                <w:szCs w:val="20"/>
              </w:rPr>
            </w:pPr>
            <w:r w:rsidRPr="009F2D6F">
              <w:rPr>
                <w:szCs w:val="20"/>
              </w:rPr>
              <w:t>February 2018</w:t>
            </w:r>
          </w:p>
        </w:tc>
      </w:tr>
      <w:tr w:rsidR="000D2707" w:rsidRPr="009F2D6F" w:rsidTr="00486746">
        <w:tc>
          <w:tcPr>
            <w:tcW w:w="796" w:type="pct"/>
            <w:vMerge/>
            <w:vAlign w:val="center"/>
          </w:tcPr>
          <w:p w:rsidR="000D2707" w:rsidRPr="009F2D6F" w:rsidRDefault="000D2707" w:rsidP="00077582">
            <w:pPr>
              <w:pStyle w:val="Tabletext"/>
              <w:keepNext/>
              <w:rPr>
                <w:szCs w:val="20"/>
              </w:rPr>
            </w:pPr>
          </w:p>
        </w:tc>
        <w:tc>
          <w:tcPr>
            <w:tcW w:w="3027" w:type="pct"/>
            <w:tcBorders>
              <w:top w:val="nil"/>
            </w:tcBorders>
            <w:vAlign w:val="center"/>
          </w:tcPr>
          <w:p w:rsidR="000D2707" w:rsidRPr="009F2D6F" w:rsidRDefault="000D2707" w:rsidP="00077582">
            <w:pPr>
              <w:pStyle w:val="Tabletext"/>
              <w:keepNext/>
              <w:rPr>
                <w:rStyle w:val="EndnoteReference"/>
                <w:rFonts w:eastAsia="MS Gothic"/>
                <w:szCs w:val="20"/>
              </w:rPr>
            </w:pPr>
            <w:proofErr w:type="spellStart"/>
            <w:r w:rsidRPr="009F2D6F">
              <w:rPr>
                <w:rStyle w:val="EndnoteReference"/>
                <w:rFonts w:eastAsia="MS Gothic"/>
                <w:szCs w:val="20"/>
              </w:rPr>
              <w:t>Kappos</w:t>
            </w:r>
            <w:proofErr w:type="spellEnd"/>
            <w:r w:rsidRPr="009F2D6F">
              <w:rPr>
                <w:rStyle w:val="EndnoteReference"/>
                <w:rFonts w:eastAsia="MS Gothic"/>
                <w:szCs w:val="20"/>
              </w:rPr>
              <w:t xml:space="preserve"> L</w:t>
            </w:r>
            <w:r w:rsidR="00960071" w:rsidRPr="009F2D6F">
              <w:rPr>
                <w:rFonts w:eastAsia="MS Gothic"/>
                <w:szCs w:val="20"/>
              </w:rPr>
              <w:t>.</w:t>
            </w:r>
            <w:r w:rsidRPr="009F2D6F">
              <w:rPr>
                <w:rStyle w:val="EndnoteReference"/>
                <w:rFonts w:eastAsia="MS Gothic"/>
                <w:szCs w:val="20"/>
              </w:rPr>
              <w:t>, Bar-Or A</w:t>
            </w:r>
            <w:r w:rsidR="00960071" w:rsidRPr="009F2D6F">
              <w:rPr>
                <w:rFonts w:eastAsia="MS Gothic"/>
                <w:szCs w:val="20"/>
              </w:rPr>
              <w:t>.</w:t>
            </w:r>
            <w:r w:rsidRPr="009F2D6F">
              <w:rPr>
                <w:rStyle w:val="EndnoteReference"/>
                <w:rFonts w:eastAsia="MS Gothic"/>
                <w:szCs w:val="20"/>
              </w:rPr>
              <w:t>, Cree B</w:t>
            </w:r>
            <w:r w:rsidR="00960071" w:rsidRPr="009F2D6F">
              <w:rPr>
                <w:rFonts w:eastAsia="MS Gothic"/>
                <w:szCs w:val="20"/>
              </w:rPr>
              <w:t>.</w:t>
            </w:r>
            <w:r w:rsidRPr="009F2D6F">
              <w:rPr>
                <w:rStyle w:val="EndnoteReference"/>
                <w:rFonts w:eastAsia="MS Gothic"/>
                <w:szCs w:val="20"/>
              </w:rPr>
              <w:t>, Fox R</w:t>
            </w:r>
            <w:r w:rsidR="00960071" w:rsidRPr="009F2D6F">
              <w:rPr>
                <w:rFonts w:eastAsia="MS Gothic"/>
                <w:szCs w:val="20"/>
              </w:rPr>
              <w:t>.</w:t>
            </w:r>
            <w:r w:rsidRPr="009F2D6F">
              <w:rPr>
                <w:rStyle w:val="EndnoteReference"/>
                <w:rFonts w:eastAsia="MS Gothic"/>
                <w:szCs w:val="20"/>
              </w:rPr>
              <w:t xml:space="preserve">, </w:t>
            </w:r>
            <w:proofErr w:type="spellStart"/>
            <w:r w:rsidRPr="009F2D6F">
              <w:rPr>
                <w:rStyle w:val="EndnoteReference"/>
                <w:rFonts w:eastAsia="MS Gothic"/>
                <w:szCs w:val="20"/>
              </w:rPr>
              <w:t>Giovannoni</w:t>
            </w:r>
            <w:proofErr w:type="spellEnd"/>
            <w:r w:rsidRPr="009F2D6F">
              <w:rPr>
                <w:rStyle w:val="EndnoteReference"/>
                <w:rFonts w:eastAsia="MS Gothic"/>
                <w:szCs w:val="20"/>
              </w:rPr>
              <w:t xml:space="preserve"> G</w:t>
            </w:r>
            <w:r w:rsidR="00960071" w:rsidRPr="009F2D6F">
              <w:rPr>
                <w:rFonts w:eastAsia="MS Gothic"/>
                <w:szCs w:val="20"/>
              </w:rPr>
              <w:t>.</w:t>
            </w:r>
            <w:r w:rsidRPr="009F2D6F">
              <w:rPr>
                <w:rStyle w:val="EndnoteReference"/>
                <w:rFonts w:eastAsia="MS Gothic"/>
                <w:szCs w:val="20"/>
              </w:rPr>
              <w:t>, Gold R</w:t>
            </w:r>
            <w:r w:rsidR="00960071" w:rsidRPr="009F2D6F">
              <w:rPr>
                <w:rFonts w:eastAsia="MS Gothic"/>
                <w:szCs w:val="20"/>
              </w:rPr>
              <w:t>.</w:t>
            </w:r>
            <w:r w:rsidRPr="009F2D6F">
              <w:rPr>
                <w:rStyle w:val="EndnoteReference"/>
                <w:rFonts w:eastAsia="MS Gothic"/>
                <w:szCs w:val="20"/>
              </w:rPr>
              <w:t xml:space="preserve">, et al. </w:t>
            </w:r>
            <w:proofErr w:type="spellStart"/>
            <w:r w:rsidRPr="009F2D6F">
              <w:rPr>
                <w:szCs w:val="20"/>
              </w:rPr>
              <w:t>Siponimod</w:t>
            </w:r>
            <w:proofErr w:type="spellEnd"/>
            <w:r w:rsidRPr="009F2D6F">
              <w:rPr>
                <w:szCs w:val="20"/>
              </w:rPr>
              <w:t xml:space="preserve"> versus placebo in secondary progressive multiple sclerosis (EXPAND): a double-blind, randomised, phase 3 study</w:t>
            </w:r>
            <w:r w:rsidR="00960071" w:rsidRPr="009F2D6F">
              <w:rPr>
                <w:szCs w:val="20"/>
              </w:rPr>
              <w:t>.</w:t>
            </w:r>
          </w:p>
        </w:tc>
        <w:tc>
          <w:tcPr>
            <w:tcW w:w="1177" w:type="pct"/>
            <w:tcBorders>
              <w:top w:val="nil"/>
            </w:tcBorders>
            <w:vAlign w:val="center"/>
          </w:tcPr>
          <w:p w:rsidR="000D2707" w:rsidRPr="009F2D6F" w:rsidRDefault="000D2707" w:rsidP="00077582">
            <w:pPr>
              <w:pStyle w:val="Tabletext"/>
              <w:keepNext/>
              <w:rPr>
                <w:szCs w:val="20"/>
              </w:rPr>
            </w:pPr>
            <w:r w:rsidRPr="009F2D6F">
              <w:rPr>
                <w:szCs w:val="20"/>
              </w:rPr>
              <w:t>Lancet 2018; 391</w:t>
            </w:r>
            <w:r w:rsidR="00960071" w:rsidRPr="009F2D6F">
              <w:rPr>
                <w:szCs w:val="20"/>
              </w:rPr>
              <w:t>(10127)</w:t>
            </w:r>
            <w:r w:rsidRPr="009F2D6F">
              <w:rPr>
                <w:szCs w:val="20"/>
              </w:rPr>
              <w:t>: 1263-1273</w:t>
            </w:r>
          </w:p>
        </w:tc>
      </w:tr>
      <w:tr w:rsidR="000D2707" w:rsidRPr="009F2D6F" w:rsidTr="00486746">
        <w:tc>
          <w:tcPr>
            <w:tcW w:w="796" w:type="pct"/>
            <w:vMerge w:val="restart"/>
            <w:vAlign w:val="center"/>
          </w:tcPr>
          <w:p w:rsidR="000D2707" w:rsidRPr="009F2D6F" w:rsidRDefault="005B0C66" w:rsidP="00077582">
            <w:pPr>
              <w:pStyle w:val="Tabletext"/>
              <w:keepNext/>
              <w:rPr>
                <w:szCs w:val="20"/>
              </w:rPr>
            </w:pPr>
            <w:r w:rsidRPr="009F2D6F">
              <w:rPr>
                <w:szCs w:val="20"/>
              </w:rPr>
              <w:t>IFN-beta</w:t>
            </w:r>
            <w:r w:rsidR="000D2707" w:rsidRPr="009F2D6F">
              <w:rPr>
                <w:szCs w:val="20"/>
              </w:rPr>
              <w:t xml:space="preserve"> </w:t>
            </w:r>
          </w:p>
          <w:p w:rsidR="000D2707" w:rsidRPr="009F2D6F" w:rsidRDefault="000D2707" w:rsidP="00077582">
            <w:pPr>
              <w:pStyle w:val="Tabletext"/>
              <w:keepNext/>
              <w:rPr>
                <w:szCs w:val="20"/>
              </w:rPr>
            </w:pPr>
            <w:r w:rsidRPr="009F2D6F">
              <w:rPr>
                <w:szCs w:val="20"/>
              </w:rPr>
              <w:t>(Nordic SG)</w:t>
            </w:r>
          </w:p>
        </w:tc>
        <w:tc>
          <w:tcPr>
            <w:tcW w:w="3027" w:type="pct"/>
            <w:tcBorders>
              <w:bottom w:val="nil"/>
            </w:tcBorders>
            <w:vAlign w:val="center"/>
          </w:tcPr>
          <w:p w:rsidR="000D2707" w:rsidRPr="009F2D6F" w:rsidRDefault="000D2707" w:rsidP="00077582">
            <w:pPr>
              <w:pStyle w:val="Tabletext"/>
              <w:keepNext/>
              <w:rPr>
                <w:rStyle w:val="EndnoteReference"/>
                <w:rFonts w:eastAsia="MS Gothic"/>
                <w:szCs w:val="20"/>
              </w:rPr>
            </w:pPr>
            <w:r w:rsidRPr="009F2D6F">
              <w:rPr>
                <w:szCs w:val="20"/>
              </w:rPr>
              <w:t xml:space="preserve">Andersen, O., et al. Multicentre, randomised, double blind, placebo controlled, phase III study of weekly, low dose, subcutaneous interferon beta-1a in secondary progressive multiple sclerosis. </w:t>
            </w:r>
          </w:p>
        </w:tc>
        <w:tc>
          <w:tcPr>
            <w:tcW w:w="1177" w:type="pct"/>
            <w:tcBorders>
              <w:bottom w:val="nil"/>
            </w:tcBorders>
            <w:vAlign w:val="center"/>
          </w:tcPr>
          <w:p w:rsidR="000D2707" w:rsidRPr="009F2D6F" w:rsidRDefault="000D2707" w:rsidP="00077582">
            <w:pPr>
              <w:pStyle w:val="Tabletext"/>
              <w:keepNext/>
              <w:rPr>
                <w:szCs w:val="20"/>
              </w:rPr>
            </w:pPr>
            <w:r w:rsidRPr="009F2D6F">
              <w:rPr>
                <w:szCs w:val="20"/>
              </w:rPr>
              <w:t>Journal of Neurology, Neurosurgery and Psychiatry 2004</w:t>
            </w:r>
            <w:r w:rsidR="00960071" w:rsidRPr="009F2D6F">
              <w:rPr>
                <w:szCs w:val="20"/>
              </w:rPr>
              <w:t>;</w:t>
            </w:r>
            <w:r w:rsidRPr="009F2D6F">
              <w:rPr>
                <w:szCs w:val="20"/>
              </w:rPr>
              <w:t xml:space="preserve"> 75(5): 706-710</w:t>
            </w:r>
          </w:p>
        </w:tc>
      </w:tr>
      <w:tr w:rsidR="000D2707" w:rsidRPr="009F2D6F" w:rsidTr="00486746">
        <w:tc>
          <w:tcPr>
            <w:tcW w:w="796" w:type="pct"/>
            <w:vMerge/>
            <w:tcBorders>
              <w:bottom w:val="single" w:sz="4" w:space="0" w:color="auto"/>
            </w:tcBorders>
            <w:vAlign w:val="center"/>
          </w:tcPr>
          <w:p w:rsidR="000D2707" w:rsidRPr="009F2D6F" w:rsidRDefault="000D2707" w:rsidP="00077582">
            <w:pPr>
              <w:pStyle w:val="Tabletext"/>
              <w:keepNext/>
              <w:rPr>
                <w:szCs w:val="20"/>
              </w:rPr>
            </w:pPr>
          </w:p>
        </w:tc>
        <w:tc>
          <w:tcPr>
            <w:tcW w:w="3027" w:type="pct"/>
            <w:tcBorders>
              <w:top w:val="nil"/>
              <w:bottom w:val="single" w:sz="4" w:space="0" w:color="auto"/>
            </w:tcBorders>
            <w:vAlign w:val="center"/>
          </w:tcPr>
          <w:p w:rsidR="000D2707" w:rsidRPr="009F2D6F" w:rsidRDefault="000D2707" w:rsidP="00077582">
            <w:pPr>
              <w:pStyle w:val="Tabletext"/>
              <w:keepNext/>
              <w:rPr>
                <w:szCs w:val="20"/>
              </w:rPr>
            </w:pPr>
            <w:r w:rsidRPr="009F2D6F">
              <w:rPr>
                <w:rStyle w:val="EndnoteReference"/>
                <w:rFonts w:eastAsia="MS Gothic"/>
                <w:szCs w:val="20"/>
              </w:rPr>
              <w:t>Wu, X., et al.</w:t>
            </w:r>
            <w:r w:rsidRPr="009F2D6F">
              <w:rPr>
                <w:rFonts w:eastAsia="MS Gothic"/>
                <w:szCs w:val="20"/>
              </w:rPr>
              <w:t xml:space="preserve"> </w:t>
            </w:r>
            <w:r w:rsidRPr="009F2D6F">
              <w:rPr>
                <w:rStyle w:val="EndnoteReference"/>
                <w:rFonts w:eastAsia="MS Gothic"/>
                <w:szCs w:val="20"/>
              </w:rPr>
              <w:t xml:space="preserve">Once-weekly 22microg subcutaneous IFN-beta-1a in secondary progressive MS: a 3-year follow-up study on brain MRI measurements and serum MMP-9 levels. </w:t>
            </w:r>
          </w:p>
        </w:tc>
        <w:tc>
          <w:tcPr>
            <w:tcW w:w="1177" w:type="pct"/>
            <w:tcBorders>
              <w:top w:val="nil"/>
              <w:bottom w:val="single" w:sz="4" w:space="0" w:color="auto"/>
            </w:tcBorders>
            <w:vAlign w:val="center"/>
          </w:tcPr>
          <w:p w:rsidR="000D2707" w:rsidRPr="009F2D6F" w:rsidRDefault="000D2707" w:rsidP="00077582">
            <w:pPr>
              <w:pStyle w:val="Tabletext"/>
              <w:keepNext/>
              <w:rPr>
                <w:szCs w:val="20"/>
              </w:rPr>
            </w:pPr>
            <w:proofErr w:type="spellStart"/>
            <w:r w:rsidRPr="009F2D6F">
              <w:rPr>
                <w:rStyle w:val="EndnoteReference"/>
                <w:rFonts w:eastAsia="MS Gothic"/>
                <w:szCs w:val="20"/>
              </w:rPr>
              <w:t>Acta</w:t>
            </w:r>
            <w:proofErr w:type="spellEnd"/>
            <w:r w:rsidRPr="009F2D6F">
              <w:rPr>
                <w:rStyle w:val="EndnoteReference"/>
                <w:rFonts w:eastAsia="MS Gothic"/>
                <w:szCs w:val="20"/>
              </w:rPr>
              <w:t xml:space="preserve"> </w:t>
            </w:r>
            <w:proofErr w:type="spellStart"/>
            <w:r w:rsidRPr="009F2D6F">
              <w:rPr>
                <w:rStyle w:val="EndnoteReference"/>
                <w:rFonts w:eastAsia="MS Gothic"/>
                <w:szCs w:val="20"/>
              </w:rPr>
              <w:t>Neurologica</w:t>
            </w:r>
            <w:proofErr w:type="spellEnd"/>
            <w:r w:rsidRPr="009F2D6F">
              <w:rPr>
                <w:rStyle w:val="EndnoteReference"/>
                <w:rFonts w:eastAsia="MS Gothic"/>
                <w:szCs w:val="20"/>
              </w:rPr>
              <w:t xml:space="preserve"> </w:t>
            </w:r>
            <w:proofErr w:type="spellStart"/>
            <w:r w:rsidRPr="009F2D6F">
              <w:rPr>
                <w:rStyle w:val="EndnoteReference"/>
                <w:rFonts w:eastAsia="MS Gothic"/>
                <w:szCs w:val="20"/>
              </w:rPr>
              <w:t>Scandinavica</w:t>
            </w:r>
            <w:proofErr w:type="spellEnd"/>
            <w:r w:rsidRPr="009F2D6F">
              <w:rPr>
                <w:rStyle w:val="EndnoteReference"/>
                <w:rFonts w:eastAsia="MS Gothic"/>
                <w:szCs w:val="20"/>
              </w:rPr>
              <w:t xml:space="preserve"> 2007</w:t>
            </w:r>
            <w:r w:rsidR="00960071" w:rsidRPr="009F2D6F">
              <w:rPr>
                <w:rFonts w:eastAsia="MS Gothic"/>
                <w:szCs w:val="20"/>
              </w:rPr>
              <w:t>;</w:t>
            </w:r>
            <w:r w:rsidRPr="009F2D6F">
              <w:rPr>
                <w:rStyle w:val="EndnoteReference"/>
                <w:rFonts w:eastAsia="MS Gothic"/>
                <w:szCs w:val="20"/>
              </w:rPr>
              <w:t xml:space="preserve"> 116(1): 43</w:t>
            </w:r>
            <w:r w:rsidRPr="009F2D6F">
              <w:rPr>
                <w:rStyle w:val="EndnoteReference"/>
                <w:rFonts w:ascii="Cambria Math" w:eastAsia="MS Gothic" w:hAnsi="Cambria Math" w:cs="Cambria Math"/>
                <w:szCs w:val="20"/>
              </w:rPr>
              <w:t>‐</w:t>
            </w:r>
            <w:r w:rsidRPr="009F2D6F">
              <w:rPr>
                <w:rStyle w:val="EndnoteReference"/>
                <w:rFonts w:eastAsia="MS Gothic"/>
                <w:szCs w:val="20"/>
              </w:rPr>
              <w:t>48</w:t>
            </w:r>
          </w:p>
        </w:tc>
      </w:tr>
      <w:tr w:rsidR="000D2707" w:rsidRPr="009F2D6F" w:rsidTr="00486746">
        <w:tc>
          <w:tcPr>
            <w:tcW w:w="796" w:type="pct"/>
            <w:vMerge w:val="restart"/>
            <w:vAlign w:val="center"/>
          </w:tcPr>
          <w:p w:rsidR="000D2707" w:rsidRPr="009F2D6F" w:rsidRDefault="005B0C66" w:rsidP="00077582">
            <w:pPr>
              <w:pStyle w:val="Tabletext"/>
              <w:keepNext/>
              <w:rPr>
                <w:szCs w:val="20"/>
              </w:rPr>
            </w:pPr>
            <w:r w:rsidRPr="009F2D6F">
              <w:rPr>
                <w:szCs w:val="20"/>
              </w:rPr>
              <w:t>IFN-beta</w:t>
            </w:r>
            <w:r w:rsidR="000D2707" w:rsidRPr="009F2D6F">
              <w:rPr>
                <w:szCs w:val="20"/>
              </w:rPr>
              <w:t xml:space="preserve"> </w:t>
            </w:r>
          </w:p>
          <w:p w:rsidR="000D2707" w:rsidRPr="009F2D6F" w:rsidRDefault="000D2707" w:rsidP="00077582">
            <w:pPr>
              <w:pStyle w:val="Tabletext"/>
              <w:keepNext/>
              <w:rPr>
                <w:szCs w:val="20"/>
              </w:rPr>
            </w:pPr>
            <w:r w:rsidRPr="009F2D6F">
              <w:rPr>
                <w:szCs w:val="20"/>
              </w:rPr>
              <w:t>(North American SG)</w:t>
            </w:r>
          </w:p>
        </w:tc>
        <w:tc>
          <w:tcPr>
            <w:tcW w:w="3027" w:type="pct"/>
            <w:tcBorders>
              <w:bottom w:val="nil"/>
            </w:tcBorders>
            <w:vAlign w:val="center"/>
          </w:tcPr>
          <w:p w:rsidR="000D2707" w:rsidRPr="009F2D6F" w:rsidRDefault="000D2707" w:rsidP="00077582">
            <w:pPr>
              <w:pStyle w:val="Tabletext"/>
              <w:keepNext/>
              <w:rPr>
                <w:rStyle w:val="EndnoteReference"/>
                <w:rFonts w:eastAsia="MS Gothic"/>
                <w:szCs w:val="20"/>
              </w:rPr>
            </w:pPr>
            <w:proofErr w:type="spellStart"/>
            <w:r w:rsidRPr="009F2D6F">
              <w:rPr>
                <w:szCs w:val="20"/>
              </w:rPr>
              <w:t>Panitch</w:t>
            </w:r>
            <w:proofErr w:type="spellEnd"/>
            <w:r w:rsidRPr="009F2D6F">
              <w:rPr>
                <w:szCs w:val="20"/>
              </w:rPr>
              <w:t xml:space="preserve">, H. Interferon beta-1b in secondary progressive MS: Results from a 3-year controlled study. </w:t>
            </w:r>
          </w:p>
        </w:tc>
        <w:tc>
          <w:tcPr>
            <w:tcW w:w="1177" w:type="pct"/>
            <w:tcBorders>
              <w:bottom w:val="nil"/>
            </w:tcBorders>
            <w:vAlign w:val="center"/>
          </w:tcPr>
          <w:p w:rsidR="000D2707" w:rsidRPr="009F2D6F" w:rsidRDefault="000D2707" w:rsidP="00077582">
            <w:pPr>
              <w:pStyle w:val="Tabletext"/>
              <w:keepNext/>
              <w:rPr>
                <w:rStyle w:val="EndnoteReference"/>
                <w:rFonts w:eastAsia="MS Gothic"/>
                <w:szCs w:val="20"/>
              </w:rPr>
            </w:pPr>
            <w:r w:rsidRPr="009F2D6F">
              <w:rPr>
                <w:szCs w:val="20"/>
              </w:rPr>
              <w:t>Neurology 2004</w:t>
            </w:r>
            <w:r w:rsidR="00960071" w:rsidRPr="009F2D6F">
              <w:rPr>
                <w:szCs w:val="20"/>
              </w:rPr>
              <w:t>;</w:t>
            </w:r>
            <w:r w:rsidRPr="009F2D6F">
              <w:rPr>
                <w:szCs w:val="20"/>
              </w:rPr>
              <w:t xml:space="preserve"> 63(10): 1788-1795</w:t>
            </w:r>
          </w:p>
        </w:tc>
      </w:tr>
      <w:tr w:rsidR="000D2707" w:rsidRPr="009F2D6F" w:rsidTr="00486746">
        <w:tc>
          <w:tcPr>
            <w:tcW w:w="796" w:type="pct"/>
            <w:vMerge/>
            <w:tcBorders>
              <w:bottom w:val="single" w:sz="4" w:space="0" w:color="auto"/>
            </w:tcBorders>
            <w:vAlign w:val="center"/>
          </w:tcPr>
          <w:p w:rsidR="000D2707" w:rsidRPr="009F2D6F" w:rsidRDefault="000D2707" w:rsidP="00077582">
            <w:pPr>
              <w:pStyle w:val="Tabletext"/>
              <w:keepNext/>
              <w:rPr>
                <w:szCs w:val="20"/>
              </w:rPr>
            </w:pPr>
          </w:p>
        </w:tc>
        <w:tc>
          <w:tcPr>
            <w:tcW w:w="3027" w:type="pct"/>
            <w:tcBorders>
              <w:top w:val="nil"/>
              <w:bottom w:val="single" w:sz="4" w:space="0" w:color="auto"/>
            </w:tcBorders>
            <w:vAlign w:val="center"/>
          </w:tcPr>
          <w:p w:rsidR="000D2707" w:rsidRPr="009F2D6F" w:rsidRDefault="000D2707" w:rsidP="00077582">
            <w:pPr>
              <w:pStyle w:val="Tabletext"/>
              <w:keepNext/>
              <w:rPr>
                <w:szCs w:val="20"/>
              </w:rPr>
            </w:pPr>
            <w:proofErr w:type="spellStart"/>
            <w:r w:rsidRPr="009F2D6F">
              <w:rPr>
                <w:szCs w:val="20"/>
              </w:rPr>
              <w:t>Brex</w:t>
            </w:r>
            <w:proofErr w:type="spellEnd"/>
            <w:r w:rsidRPr="009F2D6F">
              <w:rPr>
                <w:szCs w:val="20"/>
              </w:rPr>
              <w:t xml:space="preserve">, P. A., et al. The effect of IFNβ-1b on the evolution of enhancing lesions in secondary progressive MS. </w:t>
            </w:r>
          </w:p>
        </w:tc>
        <w:tc>
          <w:tcPr>
            <w:tcW w:w="1177" w:type="pct"/>
            <w:tcBorders>
              <w:top w:val="nil"/>
              <w:bottom w:val="single" w:sz="4" w:space="0" w:color="auto"/>
            </w:tcBorders>
            <w:vAlign w:val="center"/>
          </w:tcPr>
          <w:p w:rsidR="000D2707" w:rsidRPr="009F2D6F" w:rsidRDefault="000D2707" w:rsidP="00077582">
            <w:pPr>
              <w:pStyle w:val="Tabletext"/>
              <w:keepNext/>
              <w:rPr>
                <w:szCs w:val="20"/>
              </w:rPr>
            </w:pPr>
            <w:r w:rsidRPr="009F2D6F">
              <w:rPr>
                <w:szCs w:val="20"/>
              </w:rPr>
              <w:t>Neurology 2001</w:t>
            </w:r>
            <w:r w:rsidR="00960071" w:rsidRPr="009F2D6F">
              <w:rPr>
                <w:szCs w:val="20"/>
              </w:rPr>
              <w:t>;</w:t>
            </w:r>
            <w:r w:rsidRPr="009F2D6F">
              <w:rPr>
                <w:szCs w:val="20"/>
              </w:rPr>
              <w:t xml:space="preserve"> 57(12): 2185-2190</w:t>
            </w:r>
          </w:p>
        </w:tc>
      </w:tr>
      <w:tr w:rsidR="000D2707" w:rsidRPr="009F2D6F" w:rsidTr="00486746">
        <w:tc>
          <w:tcPr>
            <w:tcW w:w="796" w:type="pct"/>
            <w:vMerge w:val="restart"/>
            <w:vAlign w:val="center"/>
          </w:tcPr>
          <w:p w:rsidR="000D2707" w:rsidRPr="009F2D6F" w:rsidRDefault="005B0C66" w:rsidP="00077582">
            <w:pPr>
              <w:pStyle w:val="Tabletext"/>
              <w:keepNext/>
              <w:rPr>
                <w:szCs w:val="20"/>
              </w:rPr>
            </w:pPr>
            <w:r w:rsidRPr="009F2D6F">
              <w:rPr>
                <w:szCs w:val="20"/>
              </w:rPr>
              <w:t>IFN-beta</w:t>
            </w:r>
            <w:r w:rsidR="000D2707" w:rsidRPr="009F2D6F">
              <w:rPr>
                <w:szCs w:val="20"/>
              </w:rPr>
              <w:t xml:space="preserve"> </w:t>
            </w:r>
          </w:p>
          <w:p w:rsidR="000D2707" w:rsidRPr="009F2D6F" w:rsidRDefault="000D2707" w:rsidP="00077582">
            <w:pPr>
              <w:pStyle w:val="Tabletext"/>
              <w:keepNext/>
              <w:rPr>
                <w:szCs w:val="20"/>
              </w:rPr>
            </w:pPr>
            <w:r w:rsidRPr="009F2D6F">
              <w:rPr>
                <w:szCs w:val="20"/>
              </w:rPr>
              <w:t>(European SG)</w:t>
            </w:r>
            <w:r w:rsidRPr="009F2D6F">
              <w:rPr>
                <w:szCs w:val="20"/>
                <w:vertAlign w:val="superscript"/>
              </w:rPr>
              <w:t>b</w:t>
            </w:r>
          </w:p>
        </w:tc>
        <w:tc>
          <w:tcPr>
            <w:tcW w:w="3027" w:type="pct"/>
            <w:tcBorders>
              <w:bottom w:val="nil"/>
            </w:tcBorders>
            <w:vAlign w:val="center"/>
          </w:tcPr>
          <w:p w:rsidR="000D2707" w:rsidRPr="009F2D6F" w:rsidRDefault="000D2707" w:rsidP="00077582">
            <w:pPr>
              <w:pStyle w:val="Tabletext"/>
              <w:keepNext/>
              <w:rPr>
                <w:szCs w:val="20"/>
              </w:rPr>
            </w:pPr>
            <w:r w:rsidRPr="009F2D6F">
              <w:rPr>
                <w:szCs w:val="20"/>
              </w:rPr>
              <w:t xml:space="preserve">European Study Group on interferon beta-1b in secondary progressive MS. Placebo-controlled multicentre randomised trial of interferon beta-1b in treatment of secondary progressive multiple sclerosis. </w:t>
            </w:r>
          </w:p>
        </w:tc>
        <w:tc>
          <w:tcPr>
            <w:tcW w:w="1177" w:type="pct"/>
            <w:tcBorders>
              <w:bottom w:val="nil"/>
            </w:tcBorders>
            <w:vAlign w:val="center"/>
          </w:tcPr>
          <w:p w:rsidR="000D2707" w:rsidRPr="009F2D6F" w:rsidRDefault="00960071" w:rsidP="00077582">
            <w:pPr>
              <w:pStyle w:val="Tabletext"/>
              <w:keepNext/>
              <w:rPr>
                <w:szCs w:val="20"/>
              </w:rPr>
            </w:pPr>
            <w:r w:rsidRPr="009F2D6F">
              <w:rPr>
                <w:szCs w:val="20"/>
              </w:rPr>
              <w:t xml:space="preserve">The </w:t>
            </w:r>
            <w:r w:rsidR="000D2707" w:rsidRPr="009F2D6F">
              <w:rPr>
                <w:szCs w:val="20"/>
              </w:rPr>
              <w:t>Lancet 1998</w:t>
            </w:r>
            <w:r w:rsidRPr="009F2D6F">
              <w:rPr>
                <w:szCs w:val="20"/>
              </w:rPr>
              <w:t>;</w:t>
            </w:r>
            <w:r w:rsidR="000D2707" w:rsidRPr="009F2D6F">
              <w:rPr>
                <w:szCs w:val="20"/>
              </w:rPr>
              <w:t xml:space="preserve"> 352(9139): 1491</w:t>
            </w:r>
            <w:r w:rsidR="000D2707" w:rsidRPr="009F2D6F">
              <w:rPr>
                <w:rFonts w:ascii="Cambria Math" w:hAnsi="Cambria Math" w:cs="Cambria Math"/>
                <w:szCs w:val="20"/>
              </w:rPr>
              <w:t>‐</w:t>
            </w:r>
            <w:r w:rsidR="000D2707" w:rsidRPr="009F2D6F">
              <w:rPr>
                <w:szCs w:val="20"/>
              </w:rPr>
              <w:t>1497</w:t>
            </w:r>
          </w:p>
        </w:tc>
      </w:tr>
      <w:tr w:rsidR="000D2707" w:rsidRPr="009F2D6F" w:rsidTr="00486746">
        <w:tc>
          <w:tcPr>
            <w:tcW w:w="796" w:type="pct"/>
            <w:vMerge/>
            <w:tcBorders>
              <w:bottom w:val="single" w:sz="4" w:space="0" w:color="auto"/>
            </w:tcBorders>
            <w:vAlign w:val="center"/>
          </w:tcPr>
          <w:p w:rsidR="000D2707" w:rsidRPr="009F2D6F" w:rsidRDefault="000D2707" w:rsidP="00077582">
            <w:pPr>
              <w:pStyle w:val="Tabletext"/>
              <w:keepNext/>
              <w:rPr>
                <w:szCs w:val="20"/>
              </w:rPr>
            </w:pPr>
          </w:p>
        </w:tc>
        <w:tc>
          <w:tcPr>
            <w:tcW w:w="3027" w:type="pct"/>
            <w:tcBorders>
              <w:top w:val="nil"/>
              <w:bottom w:val="single" w:sz="4" w:space="0" w:color="auto"/>
            </w:tcBorders>
            <w:vAlign w:val="center"/>
          </w:tcPr>
          <w:p w:rsidR="000D2707" w:rsidRPr="009F2D6F" w:rsidRDefault="000D2707" w:rsidP="00077582">
            <w:pPr>
              <w:pStyle w:val="Tabletext"/>
              <w:keepNext/>
              <w:rPr>
                <w:szCs w:val="20"/>
              </w:rPr>
            </w:pPr>
            <w:proofErr w:type="spellStart"/>
            <w:r w:rsidRPr="009F2D6F">
              <w:rPr>
                <w:szCs w:val="20"/>
              </w:rPr>
              <w:t>Kappos</w:t>
            </w:r>
            <w:proofErr w:type="spellEnd"/>
            <w:r w:rsidRPr="009F2D6F">
              <w:rPr>
                <w:szCs w:val="20"/>
              </w:rPr>
              <w:t xml:space="preserve">, L., et al. Final analysis of the European </w:t>
            </w:r>
            <w:proofErr w:type="spellStart"/>
            <w:r w:rsidRPr="009F2D6F">
              <w:rPr>
                <w:szCs w:val="20"/>
              </w:rPr>
              <w:t>multicenter</w:t>
            </w:r>
            <w:proofErr w:type="spellEnd"/>
            <w:r w:rsidRPr="009F2D6F">
              <w:rPr>
                <w:szCs w:val="20"/>
              </w:rPr>
              <w:t xml:space="preserve"> trial on IFNβ-1b in secondary-progressive MS. </w:t>
            </w:r>
          </w:p>
        </w:tc>
        <w:tc>
          <w:tcPr>
            <w:tcW w:w="1177" w:type="pct"/>
            <w:tcBorders>
              <w:top w:val="nil"/>
              <w:bottom w:val="single" w:sz="4" w:space="0" w:color="auto"/>
            </w:tcBorders>
            <w:vAlign w:val="center"/>
          </w:tcPr>
          <w:p w:rsidR="000D2707" w:rsidRPr="009F2D6F" w:rsidRDefault="000D2707" w:rsidP="00077582">
            <w:pPr>
              <w:pStyle w:val="Tabletext"/>
              <w:keepNext/>
              <w:rPr>
                <w:szCs w:val="20"/>
              </w:rPr>
            </w:pPr>
            <w:r w:rsidRPr="009F2D6F">
              <w:rPr>
                <w:szCs w:val="20"/>
              </w:rPr>
              <w:t>Neurology 2001</w:t>
            </w:r>
            <w:r w:rsidR="00960071" w:rsidRPr="009F2D6F">
              <w:rPr>
                <w:szCs w:val="20"/>
              </w:rPr>
              <w:t>;</w:t>
            </w:r>
            <w:r w:rsidRPr="009F2D6F">
              <w:rPr>
                <w:szCs w:val="20"/>
              </w:rPr>
              <w:t xml:space="preserve"> 57(11): 1969-1975</w:t>
            </w:r>
          </w:p>
        </w:tc>
      </w:tr>
      <w:tr w:rsidR="000D2707" w:rsidRPr="009F2D6F" w:rsidTr="00486746">
        <w:tc>
          <w:tcPr>
            <w:tcW w:w="796" w:type="pct"/>
            <w:tcBorders>
              <w:bottom w:val="single" w:sz="4" w:space="0" w:color="auto"/>
            </w:tcBorders>
            <w:vAlign w:val="center"/>
          </w:tcPr>
          <w:p w:rsidR="000D2707" w:rsidRPr="009F2D6F" w:rsidRDefault="005B0C66" w:rsidP="00077582">
            <w:pPr>
              <w:pStyle w:val="Tabletext"/>
              <w:keepNext/>
              <w:rPr>
                <w:szCs w:val="20"/>
              </w:rPr>
            </w:pPr>
            <w:r w:rsidRPr="009F2D6F">
              <w:rPr>
                <w:szCs w:val="20"/>
              </w:rPr>
              <w:t>IFN-beta</w:t>
            </w:r>
            <w:r w:rsidR="000D2707" w:rsidRPr="009F2D6F">
              <w:rPr>
                <w:szCs w:val="20"/>
              </w:rPr>
              <w:t xml:space="preserve"> </w:t>
            </w:r>
          </w:p>
          <w:p w:rsidR="000D2707" w:rsidRPr="009F2D6F" w:rsidRDefault="000D2707" w:rsidP="00077582">
            <w:pPr>
              <w:pStyle w:val="Tabletext"/>
              <w:keepNext/>
              <w:rPr>
                <w:szCs w:val="20"/>
              </w:rPr>
            </w:pPr>
            <w:r w:rsidRPr="009F2D6F">
              <w:rPr>
                <w:szCs w:val="20"/>
              </w:rPr>
              <w:t>(IMPACT)</w:t>
            </w:r>
            <w:r w:rsidRPr="009F2D6F">
              <w:rPr>
                <w:szCs w:val="20"/>
                <w:vertAlign w:val="superscript"/>
              </w:rPr>
              <w:t>b</w:t>
            </w:r>
          </w:p>
        </w:tc>
        <w:tc>
          <w:tcPr>
            <w:tcW w:w="302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Cohen, J. A., et al. Benefit of interferon beta-1a on MSFC progression in secondary progressive MS.</w:t>
            </w:r>
          </w:p>
        </w:tc>
        <w:tc>
          <w:tcPr>
            <w:tcW w:w="117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Neurology 2002</w:t>
            </w:r>
            <w:r w:rsidR="00960071" w:rsidRPr="009F2D6F">
              <w:rPr>
                <w:szCs w:val="20"/>
              </w:rPr>
              <w:t>;</w:t>
            </w:r>
            <w:r w:rsidRPr="009F2D6F">
              <w:rPr>
                <w:szCs w:val="20"/>
              </w:rPr>
              <w:t xml:space="preserve"> 59(5): 679</w:t>
            </w:r>
            <w:r w:rsidRPr="009F2D6F">
              <w:rPr>
                <w:rFonts w:ascii="Cambria Math" w:hAnsi="Cambria Math" w:cs="Cambria Math"/>
                <w:szCs w:val="20"/>
              </w:rPr>
              <w:t>‐</w:t>
            </w:r>
            <w:r w:rsidRPr="009F2D6F">
              <w:rPr>
                <w:szCs w:val="20"/>
              </w:rPr>
              <w:t>687</w:t>
            </w:r>
          </w:p>
        </w:tc>
      </w:tr>
      <w:tr w:rsidR="000D2707" w:rsidRPr="009F2D6F" w:rsidTr="00486746">
        <w:tc>
          <w:tcPr>
            <w:tcW w:w="796" w:type="pct"/>
            <w:tcBorders>
              <w:bottom w:val="single" w:sz="4" w:space="0" w:color="auto"/>
            </w:tcBorders>
            <w:vAlign w:val="center"/>
          </w:tcPr>
          <w:p w:rsidR="000D2707" w:rsidRPr="009F2D6F" w:rsidRDefault="005B0C66" w:rsidP="00077582">
            <w:pPr>
              <w:pStyle w:val="Tabletext"/>
              <w:keepNext/>
              <w:rPr>
                <w:szCs w:val="20"/>
              </w:rPr>
            </w:pPr>
            <w:r w:rsidRPr="009F2D6F">
              <w:rPr>
                <w:szCs w:val="20"/>
              </w:rPr>
              <w:t>IFN-beta</w:t>
            </w:r>
            <w:r w:rsidR="000D2707" w:rsidRPr="009F2D6F">
              <w:rPr>
                <w:szCs w:val="20"/>
              </w:rPr>
              <w:t xml:space="preserve"> </w:t>
            </w:r>
          </w:p>
          <w:p w:rsidR="000D2707" w:rsidRPr="009F2D6F" w:rsidRDefault="000D2707" w:rsidP="00077582">
            <w:pPr>
              <w:pStyle w:val="Tabletext"/>
              <w:keepNext/>
              <w:rPr>
                <w:szCs w:val="20"/>
              </w:rPr>
            </w:pPr>
            <w:r w:rsidRPr="009F2D6F">
              <w:rPr>
                <w:szCs w:val="20"/>
              </w:rPr>
              <w:t>(SPECTRIMS)</w:t>
            </w:r>
            <w:r w:rsidRPr="009F2D6F">
              <w:rPr>
                <w:szCs w:val="20"/>
                <w:vertAlign w:val="superscript"/>
              </w:rPr>
              <w:t>b</w:t>
            </w:r>
          </w:p>
        </w:tc>
        <w:tc>
          <w:tcPr>
            <w:tcW w:w="302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SPECTRIMS Study Group. Secondary Progressive Efficacy Clinical Trial of Recombinant Interferon-beta-1a in MS (SPECTRIMS). Randomized controlled trial of interferon- beta-1a in secondary progressive MS: clinical results.</w:t>
            </w:r>
          </w:p>
        </w:tc>
        <w:tc>
          <w:tcPr>
            <w:tcW w:w="117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Neurology 2001</w:t>
            </w:r>
            <w:r w:rsidR="00960071" w:rsidRPr="009F2D6F">
              <w:rPr>
                <w:szCs w:val="20"/>
              </w:rPr>
              <w:t>;</w:t>
            </w:r>
            <w:r w:rsidRPr="009F2D6F">
              <w:rPr>
                <w:szCs w:val="20"/>
              </w:rPr>
              <w:t xml:space="preserve"> 56(11): 1496</w:t>
            </w:r>
            <w:r w:rsidRPr="009F2D6F">
              <w:rPr>
                <w:rFonts w:ascii="Cambria Math" w:hAnsi="Cambria Math" w:cs="Cambria Math"/>
                <w:szCs w:val="20"/>
              </w:rPr>
              <w:t>‐</w:t>
            </w:r>
            <w:r w:rsidRPr="009F2D6F">
              <w:rPr>
                <w:szCs w:val="20"/>
              </w:rPr>
              <w:t>1504</w:t>
            </w:r>
          </w:p>
        </w:tc>
      </w:tr>
      <w:tr w:rsidR="000D2707" w:rsidRPr="009F2D6F" w:rsidTr="00486746">
        <w:tc>
          <w:tcPr>
            <w:tcW w:w="796" w:type="pct"/>
            <w:tcBorders>
              <w:bottom w:val="single" w:sz="4" w:space="0" w:color="auto"/>
            </w:tcBorders>
            <w:vAlign w:val="center"/>
          </w:tcPr>
          <w:p w:rsidR="000D2707" w:rsidRPr="009F2D6F" w:rsidRDefault="000D2707" w:rsidP="00077582">
            <w:pPr>
              <w:pStyle w:val="Tabletext"/>
              <w:keepNext/>
              <w:rPr>
                <w:szCs w:val="20"/>
              </w:rPr>
            </w:pPr>
            <w:proofErr w:type="spellStart"/>
            <w:r w:rsidRPr="009F2D6F">
              <w:rPr>
                <w:szCs w:val="20"/>
              </w:rPr>
              <w:t>Glatiramer</w:t>
            </w:r>
            <w:proofErr w:type="spellEnd"/>
            <w:r w:rsidRPr="009F2D6F">
              <w:rPr>
                <w:szCs w:val="20"/>
              </w:rPr>
              <w:t xml:space="preserve"> acetate</w:t>
            </w:r>
          </w:p>
          <w:p w:rsidR="000D2707" w:rsidRPr="009F2D6F" w:rsidRDefault="000D2707" w:rsidP="00077582">
            <w:pPr>
              <w:pStyle w:val="Tabletext"/>
              <w:keepNext/>
              <w:rPr>
                <w:szCs w:val="20"/>
              </w:rPr>
            </w:pPr>
            <w:r w:rsidRPr="009F2D6F">
              <w:rPr>
                <w:szCs w:val="20"/>
              </w:rPr>
              <w:t>(COP-1)</w:t>
            </w:r>
          </w:p>
        </w:tc>
        <w:tc>
          <w:tcPr>
            <w:tcW w:w="302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Bornstein, M. B., et al. A placebo-controlled, double-blind, randomized, two-</w:t>
            </w:r>
            <w:proofErr w:type="spellStart"/>
            <w:r w:rsidRPr="009F2D6F">
              <w:rPr>
                <w:szCs w:val="20"/>
              </w:rPr>
              <w:t>center</w:t>
            </w:r>
            <w:proofErr w:type="spellEnd"/>
            <w:r w:rsidRPr="009F2D6F">
              <w:rPr>
                <w:szCs w:val="20"/>
              </w:rPr>
              <w:t xml:space="preserve">, pilot trial of Cop 1 in chronic progressive multiple sclerosis. </w:t>
            </w:r>
          </w:p>
        </w:tc>
        <w:tc>
          <w:tcPr>
            <w:tcW w:w="117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Neurology 1991</w:t>
            </w:r>
            <w:r w:rsidR="00960071" w:rsidRPr="009F2D6F">
              <w:rPr>
                <w:szCs w:val="20"/>
              </w:rPr>
              <w:t>;</w:t>
            </w:r>
            <w:r w:rsidRPr="009F2D6F">
              <w:rPr>
                <w:szCs w:val="20"/>
              </w:rPr>
              <w:t xml:space="preserve"> 41(4): 533-539</w:t>
            </w:r>
          </w:p>
        </w:tc>
      </w:tr>
      <w:tr w:rsidR="000D2707" w:rsidRPr="009F2D6F" w:rsidTr="00486746">
        <w:tc>
          <w:tcPr>
            <w:tcW w:w="796" w:type="pct"/>
            <w:tcBorders>
              <w:bottom w:val="single" w:sz="4" w:space="0" w:color="auto"/>
            </w:tcBorders>
            <w:vAlign w:val="center"/>
          </w:tcPr>
          <w:p w:rsidR="000D2707" w:rsidRPr="009F2D6F" w:rsidRDefault="000D2707" w:rsidP="00077582">
            <w:pPr>
              <w:pStyle w:val="Tabletext"/>
              <w:keepNext/>
              <w:rPr>
                <w:szCs w:val="20"/>
              </w:rPr>
            </w:pPr>
            <w:proofErr w:type="spellStart"/>
            <w:r w:rsidRPr="009F2D6F">
              <w:rPr>
                <w:szCs w:val="20"/>
              </w:rPr>
              <w:t>Natalizumab</w:t>
            </w:r>
            <w:proofErr w:type="spellEnd"/>
          </w:p>
          <w:p w:rsidR="000D2707" w:rsidRPr="009F2D6F" w:rsidRDefault="000D2707" w:rsidP="00077582">
            <w:pPr>
              <w:pStyle w:val="Tabletext"/>
              <w:keepNext/>
              <w:rPr>
                <w:szCs w:val="20"/>
              </w:rPr>
            </w:pPr>
            <w:r w:rsidRPr="009F2D6F">
              <w:rPr>
                <w:szCs w:val="20"/>
              </w:rPr>
              <w:t>(ASCEND)</w:t>
            </w:r>
            <w:r w:rsidRPr="009F2D6F">
              <w:rPr>
                <w:szCs w:val="20"/>
                <w:vertAlign w:val="superscript"/>
              </w:rPr>
              <w:t>a</w:t>
            </w:r>
          </w:p>
        </w:tc>
        <w:tc>
          <w:tcPr>
            <w:tcW w:w="302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 xml:space="preserve">Kapoor, R., et al. Effect of </w:t>
            </w:r>
            <w:proofErr w:type="spellStart"/>
            <w:r w:rsidRPr="009F2D6F">
              <w:rPr>
                <w:szCs w:val="20"/>
              </w:rPr>
              <w:t>natalizumab</w:t>
            </w:r>
            <w:proofErr w:type="spellEnd"/>
            <w:r w:rsidRPr="009F2D6F">
              <w:rPr>
                <w:szCs w:val="20"/>
              </w:rPr>
              <w:t xml:space="preserve"> on disease progression in secondary progressive multiple sclerosis (ASCEND): a phase 3, randomised, double-blind, placebo-controlled trial with an open-label extension. </w:t>
            </w:r>
          </w:p>
        </w:tc>
        <w:tc>
          <w:tcPr>
            <w:tcW w:w="1177" w:type="pct"/>
            <w:tcBorders>
              <w:bottom w:val="single" w:sz="4" w:space="0" w:color="auto"/>
            </w:tcBorders>
            <w:vAlign w:val="center"/>
          </w:tcPr>
          <w:p w:rsidR="000D2707" w:rsidRPr="009F2D6F" w:rsidRDefault="000D2707" w:rsidP="00077582">
            <w:pPr>
              <w:pStyle w:val="Tabletext"/>
              <w:keepNext/>
              <w:rPr>
                <w:szCs w:val="20"/>
              </w:rPr>
            </w:pPr>
            <w:r w:rsidRPr="009F2D6F">
              <w:rPr>
                <w:szCs w:val="20"/>
              </w:rPr>
              <w:t>The Lancet Neurology 2018</w:t>
            </w:r>
            <w:r w:rsidR="00960071" w:rsidRPr="009F2D6F">
              <w:rPr>
                <w:szCs w:val="20"/>
              </w:rPr>
              <w:t>;</w:t>
            </w:r>
            <w:r w:rsidRPr="009F2D6F">
              <w:rPr>
                <w:szCs w:val="20"/>
              </w:rPr>
              <w:t xml:space="preserve"> 17(5): 405-415</w:t>
            </w:r>
          </w:p>
        </w:tc>
      </w:tr>
    </w:tbl>
    <w:p w:rsidR="000D2707" w:rsidRPr="009F2D6F" w:rsidRDefault="000D2707" w:rsidP="00077582">
      <w:pPr>
        <w:pStyle w:val="TableFooter"/>
        <w:keepNext/>
        <w:widowControl/>
      </w:pPr>
      <w:r w:rsidRPr="009F2D6F">
        <w:t>Source: Table 2.6 (pg. 76) of the submission</w:t>
      </w:r>
    </w:p>
    <w:p w:rsidR="000D2707" w:rsidRPr="009F2D6F" w:rsidRDefault="000D2707" w:rsidP="00077582">
      <w:pPr>
        <w:keepNext/>
        <w:widowControl/>
        <w:tabs>
          <w:tab w:val="left" w:pos="284"/>
        </w:tabs>
        <w:ind w:left="284" w:hanging="284"/>
        <w:rPr>
          <w:rFonts w:ascii="Arial Narrow" w:hAnsi="Arial Narrow"/>
          <w:sz w:val="18"/>
        </w:rPr>
      </w:pPr>
      <w:proofErr w:type="spellStart"/>
      <w:proofErr w:type="gramStart"/>
      <w:r w:rsidRPr="009F2D6F">
        <w:rPr>
          <w:rFonts w:ascii="Arial Narrow" w:hAnsi="Arial Narrow"/>
          <w:sz w:val="18"/>
          <w:vertAlign w:val="superscript"/>
        </w:rPr>
        <w:t>a</w:t>
      </w:r>
      <w:proofErr w:type="spellEnd"/>
      <w:proofErr w:type="gramEnd"/>
      <w:r w:rsidRPr="009F2D6F">
        <w:rPr>
          <w:rFonts w:ascii="Arial Narrow" w:hAnsi="Arial Narrow"/>
          <w:sz w:val="18"/>
        </w:rPr>
        <w:tab/>
        <w:t>Includes eligible full-text publications from the database searches and additional eligible publications and study reports identified from other sources.</w:t>
      </w:r>
    </w:p>
    <w:p w:rsidR="000D2707" w:rsidRPr="009F2D6F" w:rsidRDefault="000D2707" w:rsidP="00077582">
      <w:pPr>
        <w:keepNext/>
        <w:widowControl/>
        <w:tabs>
          <w:tab w:val="left" w:pos="284"/>
        </w:tabs>
        <w:ind w:left="284" w:hanging="284"/>
        <w:rPr>
          <w:rFonts w:ascii="Arial Narrow" w:hAnsi="Arial Narrow"/>
          <w:sz w:val="18"/>
        </w:rPr>
      </w:pPr>
      <w:proofErr w:type="gramStart"/>
      <w:r w:rsidRPr="009F2D6F">
        <w:rPr>
          <w:rFonts w:ascii="Arial Narrow" w:hAnsi="Arial Narrow"/>
          <w:sz w:val="18"/>
          <w:vertAlign w:val="superscript"/>
        </w:rPr>
        <w:t>b</w:t>
      </w:r>
      <w:proofErr w:type="gramEnd"/>
      <w:r w:rsidRPr="009F2D6F">
        <w:rPr>
          <w:rFonts w:ascii="Arial Narrow" w:hAnsi="Arial Narrow"/>
          <w:sz w:val="18"/>
          <w:vertAlign w:val="superscript"/>
        </w:rPr>
        <w:tab/>
      </w:r>
      <w:r w:rsidRPr="009F2D6F">
        <w:rPr>
          <w:rFonts w:ascii="Arial Narrow" w:hAnsi="Arial Narrow"/>
          <w:sz w:val="18"/>
        </w:rPr>
        <w:t>Only main publications included, there are a number of other associated publications</w:t>
      </w:r>
      <w:r w:rsidR="007773A6" w:rsidRPr="009F2D6F">
        <w:rPr>
          <w:rFonts w:ascii="Arial Narrow" w:hAnsi="Arial Narrow"/>
          <w:sz w:val="18"/>
        </w:rPr>
        <w:t>.</w:t>
      </w:r>
    </w:p>
    <w:p w:rsidR="00862502" w:rsidRPr="009F2D6F" w:rsidRDefault="00862502" w:rsidP="00077582">
      <w:pPr>
        <w:widowControl/>
      </w:pPr>
    </w:p>
    <w:p w:rsidR="007F1017" w:rsidRPr="009F2D6F" w:rsidRDefault="008F120A" w:rsidP="00077582">
      <w:pPr>
        <w:pStyle w:val="ListParagraph"/>
        <w:keepNext/>
        <w:widowControl/>
        <w:numPr>
          <w:ilvl w:val="1"/>
          <w:numId w:val="2"/>
        </w:numPr>
      </w:pPr>
      <w:r w:rsidRPr="009F2D6F">
        <w:lastRenderedPageBreak/>
        <w:t xml:space="preserve">The key features of the randomised trials are </w:t>
      </w:r>
      <w:r w:rsidR="000D2707" w:rsidRPr="009F2D6F">
        <w:t xml:space="preserve">summarised in </w:t>
      </w:r>
      <w:r w:rsidR="00654F36" w:rsidRPr="00654F36">
        <w:t>Table 4</w:t>
      </w:r>
      <w:r w:rsidR="0080140A" w:rsidRPr="009F2D6F">
        <w:t>.</w:t>
      </w:r>
    </w:p>
    <w:p w:rsidR="007F1017" w:rsidRPr="009F2D6F" w:rsidRDefault="000D2707" w:rsidP="00077582">
      <w:pPr>
        <w:pStyle w:val="Caption"/>
        <w:keepNext/>
        <w:widowControl/>
        <w:spacing w:after="0"/>
        <w:rPr>
          <w:rFonts w:ascii="Arial Narrow" w:hAnsi="Arial Narrow"/>
          <w:color w:val="auto"/>
          <w:sz w:val="20"/>
          <w:szCs w:val="20"/>
        </w:rPr>
      </w:pPr>
      <w:bookmarkStart w:id="11" w:name="_Ref18666996"/>
      <w:r w:rsidRPr="009F2D6F">
        <w:rPr>
          <w:rFonts w:ascii="Arial Narrow" w:hAnsi="Arial Narrow"/>
          <w:color w:val="auto"/>
          <w:sz w:val="20"/>
          <w:szCs w:val="20"/>
        </w:rPr>
        <w:t xml:space="preserve">Table </w:t>
      </w:r>
      <w:r w:rsidR="00654F36">
        <w:rPr>
          <w:rFonts w:ascii="Arial Narrow" w:hAnsi="Arial Narrow"/>
          <w:noProof/>
          <w:color w:val="auto"/>
          <w:sz w:val="20"/>
          <w:szCs w:val="20"/>
        </w:rPr>
        <w:t>4</w:t>
      </w:r>
      <w:bookmarkEnd w:id="11"/>
      <w:r w:rsidRPr="009F2D6F">
        <w:rPr>
          <w:rFonts w:ascii="Arial Narrow" w:hAnsi="Arial Narrow"/>
          <w:color w:val="auto"/>
          <w:sz w:val="20"/>
          <w:szCs w:val="20"/>
        </w:rPr>
        <w:t xml:space="preserve">: </w:t>
      </w:r>
      <w:r w:rsidR="007F1017" w:rsidRPr="009F2D6F">
        <w:rPr>
          <w:rFonts w:ascii="Arial Narrow" w:hAnsi="Arial Narrow"/>
          <w:color w:val="auto"/>
          <w:sz w:val="20"/>
          <w:szCs w:val="20"/>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840"/>
        <w:gridCol w:w="1410"/>
        <w:gridCol w:w="1120"/>
        <w:gridCol w:w="1546"/>
        <w:gridCol w:w="1591"/>
        <w:gridCol w:w="1226"/>
      </w:tblGrid>
      <w:tr w:rsidR="00B41614" w:rsidRPr="009F2D6F" w:rsidTr="00486746">
        <w:trPr>
          <w:tblHeader/>
        </w:trPr>
        <w:tc>
          <w:tcPr>
            <w:tcW w:w="712" w:type="pct"/>
            <w:shd w:val="clear" w:color="auto" w:fill="auto"/>
            <w:vAlign w:val="center"/>
          </w:tcPr>
          <w:p w:rsidR="007F1017" w:rsidRPr="009F2D6F" w:rsidRDefault="007F1017" w:rsidP="00077582">
            <w:pPr>
              <w:pStyle w:val="Tabletext"/>
              <w:keepNext/>
              <w:rPr>
                <w:b/>
                <w:szCs w:val="20"/>
                <w:lang w:val="en-US"/>
              </w:rPr>
            </w:pPr>
            <w:r w:rsidRPr="009F2D6F">
              <w:rPr>
                <w:b/>
                <w:szCs w:val="20"/>
                <w:lang w:val="en-US"/>
              </w:rPr>
              <w:t>Trial</w:t>
            </w:r>
          </w:p>
        </w:tc>
        <w:tc>
          <w:tcPr>
            <w:tcW w:w="466"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N</w:t>
            </w:r>
          </w:p>
        </w:tc>
        <w:tc>
          <w:tcPr>
            <w:tcW w:w="782"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Design/ duration</w:t>
            </w:r>
          </w:p>
        </w:tc>
        <w:tc>
          <w:tcPr>
            <w:tcW w:w="621"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Risk of bias</w:t>
            </w:r>
          </w:p>
        </w:tc>
        <w:tc>
          <w:tcPr>
            <w:tcW w:w="857"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Patient population</w:t>
            </w:r>
          </w:p>
        </w:tc>
        <w:tc>
          <w:tcPr>
            <w:tcW w:w="882"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Outcome(s)</w:t>
            </w:r>
          </w:p>
        </w:tc>
        <w:tc>
          <w:tcPr>
            <w:tcW w:w="679" w:type="pct"/>
            <w:shd w:val="clear" w:color="auto" w:fill="auto"/>
            <w:vAlign w:val="center"/>
          </w:tcPr>
          <w:p w:rsidR="007F1017" w:rsidRPr="009F2D6F" w:rsidRDefault="007F1017" w:rsidP="00077582">
            <w:pPr>
              <w:pStyle w:val="Tabletext"/>
              <w:keepNext/>
              <w:jc w:val="center"/>
              <w:rPr>
                <w:b/>
                <w:szCs w:val="20"/>
                <w:lang w:val="en-US"/>
              </w:rPr>
            </w:pPr>
            <w:r w:rsidRPr="009F2D6F">
              <w:rPr>
                <w:b/>
                <w:szCs w:val="20"/>
                <w:lang w:val="en-US"/>
              </w:rPr>
              <w:t>Use in modelled evaluation</w:t>
            </w:r>
          </w:p>
        </w:tc>
      </w:tr>
      <w:tr w:rsidR="007F1017" w:rsidRPr="009F2D6F" w:rsidTr="00486746">
        <w:tc>
          <w:tcPr>
            <w:tcW w:w="5000" w:type="pct"/>
            <w:gridSpan w:val="7"/>
            <w:shd w:val="clear" w:color="auto" w:fill="auto"/>
            <w:vAlign w:val="center"/>
          </w:tcPr>
          <w:p w:rsidR="007F1017" w:rsidRPr="009F2D6F" w:rsidRDefault="000D2707" w:rsidP="00077582">
            <w:pPr>
              <w:pStyle w:val="Tabletext"/>
              <w:keepNext/>
              <w:rPr>
                <w:b/>
                <w:szCs w:val="20"/>
                <w:lang w:val="en-US"/>
              </w:rPr>
            </w:pPr>
            <w:proofErr w:type="spellStart"/>
            <w:r w:rsidRPr="009F2D6F">
              <w:rPr>
                <w:b/>
                <w:szCs w:val="20"/>
                <w:lang w:val="en-US"/>
              </w:rPr>
              <w:t>Siponimod</w:t>
            </w:r>
            <w:proofErr w:type="spellEnd"/>
            <w:r w:rsidRPr="009F2D6F">
              <w:rPr>
                <w:b/>
                <w:szCs w:val="20"/>
                <w:lang w:val="en-US"/>
              </w:rPr>
              <w:t xml:space="preserve"> versus placebo</w:t>
            </w:r>
          </w:p>
        </w:tc>
      </w:tr>
      <w:tr w:rsidR="00B41614" w:rsidRPr="009F2D6F" w:rsidTr="00486746">
        <w:tc>
          <w:tcPr>
            <w:tcW w:w="712" w:type="pct"/>
            <w:shd w:val="clear" w:color="auto" w:fill="auto"/>
            <w:vAlign w:val="center"/>
          </w:tcPr>
          <w:p w:rsidR="007F1017" w:rsidRPr="009F2D6F" w:rsidRDefault="000D2707" w:rsidP="00077582">
            <w:pPr>
              <w:pStyle w:val="Tabletext"/>
              <w:keepNext/>
              <w:rPr>
                <w:szCs w:val="20"/>
                <w:lang w:val="en-US"/>
              </w:rPr>
            </w:pPr>
            <w:r w:rsidRPr="009F2D6F">
              <w:rPr>
                <w:szCs w:val="20"/>
                <w:lang w:val="en-US"/>
              </w:rPr>
              <w:t>EXPAND</w:t>
            </w:r>
          </w:p>
        </w:tc>
        <w:tc>
          <w:tcPr>
            <w:tcW w:w="466"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1,651</w:t>
            </w:r>
          </w:p>
        </w:tc>
        <w:tc>
          <w:tcPr>
            <w:tcW w:w="782" w:type="pct"/>
            <w:shd w:val="clear" w:color="auto" w:fill="auto"/>
            <w:vAlign w:val="center"/>
          </w:tcPr>
          <w:p w:rsidR="007F1017" w:rsidRPr="009F2D6F" w:rsidRDefault="007F1017" w:rsidP="00077582">
            <w:pPr>
              <w:pStyle w:val="Tabletext"/>
              <w:keepNext/>
              <w:jc w:val="center"/>
              <w:rPr>
                <w:szCs w:val="20"/>
                <w:lang w:val="en-US"/>
              </w:rPr>
            </w:pPr>
            <w:r w:rsidRPr="009F2D6F">
              <w:rPr>
                <w:szCs w:val="20"/>
                <w:lang w:val="en-US"/>
              </w:rPr>
              <w:t>R, DB</w:t>
            </w:r>
          </w:p>
          <w:p w:rsidR="007F1017" w:rsidRPr="009F2D6F" w:rsidRDefault="000D2707" w:rsidP="00077582">
            <w:pPr>
              <w:pStyle w:val="Tabletext"/>
              <w:keepNext/>
              <w:jc w:val="center"/>
              <w:rPr>
                <w:szCs w:val="20"/>
                <w:lang w:val="en-US"/>
              </w:rPr>
            </w:pPr>
            <w:r w:rsidRPr="009F2D6F">
              <w:rPr>
                <w:szCs w:val="20"/>
                <w:lang w:val="en-US"/>
              </w:rPr>
              <w:t>3 years</w:t>
            </w:r>
          </w:p>
        </w:tc>
        <w:tc>
          <w:tcPr>
            <w:tcW w:w="621" w:type="pct"/>
            <w:shd w:val="clear" w:color="auto" w:fill="auto"/>
            <w:vAlign w:val="center"/>
          </w:tcPr>
          <w:p w:rsidR="007F1017" w:rsidRPr="009F2D6F" w:rsidRDefault="007F1017" w:rsidP="00077582">
            <w:pPr>
              <w:pStyle w:val="Tabletext"/>
              <w:keepNext/>
              <w:jc w:val="center"/>
              <w:rPr>
                <w:szCs w:val="20"/>
                <w:lang w:val="en-US"/>
              </w:rPr>
            </w:pPr>
            <w:r w:rsidRPr="009F2D6F">
              <w:rPr>
                <w:szCs w:val="20"/>
                <w:lang w:val="en-US"/>
              </w:rPr>
              <w:t>Low</w:t>
            </w:r>
          </w:p>
        </w:tc>
        <w:tc>
          <w:tcPr>
            <w:tcW w:w="857"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3- and 6-month CDP</w:t>
            </w:r>
          </w:p>
          <w:p w:rsidR="000D2707" w:rsidRPr="009F2D6F" w:rsidRDefault="000D2707"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6-month CDP</w:t>
            </w:r>
          </w:p>
          <w:p w:rsidR="000D2707" w:rsidRPr="009F2D6F" w:rsidRDefault="000D2707" w:rsidP="00077582">
            <w:pPr>
              <w:pStyle w:val="Tabletext"/>
              <w:keepNext/>
              <w:jc w:val="center"/>
              <w:rPr>
                <w:szCs w:val="20"/>
                <w:lang w:val="en-US"/>
              </w:rPr>
            </w:pPr>
            <w:r w:rsidRPr="009F2D6F">
              <w:rPr>
                <w:szCs w:val="20"/>
                <w:lang w:val="en-US"/>
              </w:rPr>
              <w:t>ARR</w:t>
            </w:r>
          </w:p>
        </w:tc>
      </w:tr>
      <w:tr w:rsidR="000D2707" w:rsidRPr="009F2D6F" w:rsidTr="00486746">
        <w:tc>
          <w:tcPr>
            <w:tcW w:w="5000" w:type="pct"/>
            <w:gridSpan w:val="7"/>
            <w:shd w:val="clear" w:color="auto" w:fill="auto"/>
          </w:tcPr>
          <w:p w:rsidR="000D2707" w:rsidRPr="009F2D6F" w:rsidRDefault="000D2707" w:rsidP="00077582">
            <w:pPr>
              <w:pStyle w:val="Tabletext"/>
              <w:keepNext/>
              <w:rPr>
                <w:b/>
                <w:szCs w:val="20"/>
                <w:lang w:val="en-US"/>
              </w:rPr>
            </w:pPr>
            <w:r w:rsidRPr="009F2D6F">
              <w:rPr>
                <w:b/>
                <w:szCs w:val="20"/>
                <w:lang w:val="en-US"/>
              </w:rPr>
              <w:t>Interferon-beta (IFN-beta) versus placebo</w:t>
            </w:r>
          </w:p>
        </w:tc>
      </w:tr>
      <w:tr w:rsidR="00B41614" w:rsidRPr="009F2D6F" w:rsidTr="00486746">
        <w:tc>
          <w:tcPr>
            <w:tcW w:w="712" w:type="pct"/>
            <w:shd w:val="clear" w:color="auto" w:fill="auto"/>
            <w:vAlign w:val="center"/>
          </w:tcPr>
          <w:p w:rsidR="007F1017" w:rsidRPr="009F2D6F" w:rsidRDefault="000D2707" w:rsidP="00077582">
            <w:pPr>
              <w:pStyle w:val="Tabletext"/>
              <w:keepNext/>
              <w:rPr>
                <w:szCs w:val="20"/>
                <w:lang w:val="en-US"/>
              </w:rPr>
            </w:pPr>
            <w:r w:rsidRPr="009F2D6F">
              <w:rPr>
                <w:szCs w:val="20"/>
              </w:rPr>
              <w:t>Nordic SG</w:t>
            </w:r>
          </w:p>
        </w:tc>
        <w:tc>
          <w:tcPr>
            <w:tcW w:w="466"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371</w:t>
            </w:r>
          </w:p>
        </w:tc>
        <w:tc>
          <w:tcPr>
            <w:tcW w:w="782" w:type="pct"/>
            <w:shd w:val="clear" w:color="auto" w:fill="auto"/>
            <w:vAlign w:val="center"/>
          </w:tcPr>
          <w:p w:rsidR="007F1017" w:rsidRPr="009F2D6F" w:rsidRDefault="00FC6F25" w:rsidP="00077582">
            <w:pPr>
              <w:pStyle w:val="Tabletext"/>
              <w:keepNext/>
              <w:jc w:val="center"/>
              <w:rPr>
                <w:szCs w:val="20"/>
                <w:lang w:val="en-US"/>
              </w:rPr>
            </w:pPr>
            <w:r w:rsidRPr="009F2D6F">
              <w:rPr>
                <w:szCs w:val="20"/>
                <w:lang w:val="en-US"/>
              </w:rPr>
              <w:t>R, DB</w:t>
            </w:r>
          </w:p>
          <w:p w:rsidR="007F1017" w:rsidRPr="009F2D6F" w:rsidRDefault="00D96AA9" w:rsidP="00077582">
            <w:pPr>
              <w:pStyle w:val="Tabletext"/>
              <w:keepNext/>
              <w:jc w:val="center"/>
              <w:rPr>
                <w:szCs w:val="20"/>
                <w:lang w:val="en-US"/>
              </w:rPr>
            </w:pPr>
            <w:r w:rsidRPr="009F2D6F">
              <w:rPr>
                <w:szCs w:val="20"/>
                <w:lang w:val="en-US"/>
              </w:rPr>
              <w:t>3 years</w:t>
            </w:r>
          </w:p>
        </w:tc>
        <w:tc>
          <w:tcPr>
            <w:tcW w:w="621"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 xml:space="preserve">Unclear </w:t>
            </w:r>
          </w:p>
        </w:tc>
        <w:tc>
          <w:tcPr>
            <w:tcW w:w="857" w:type="pct"/>
            <w:shd w:val="clear" w:color="auto" w:fill="auto"/>
            <w:vAlign w:val="center"/>
          </w:tcPr>
          <w:p w:rsidR="007F1017" w:rsidRPr="009F2D6F" w:rsidRDefault="000D2707"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6-month CDP</w:t>
            </w:r>
          </w:p>
          <w:p w:rsidR="007F1017"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7F1017" w:rsidRPr="009F2D6F" w:rsidRDefault="002D76F4" w:rsidP="00077582">
            <w:pPr>
              <w:pStyle w:val="Tabletext"/>
              <w:keepNext/>
              <w:jc w:val="center"/>
              <w:rPr>
                <w:szCs w:val="20"/>
                <w:vertAlign w:val="superscript"/>
                <w:lang w:val="en-US"/>
              </w:rPr>
            </w:pPr>
            <w:r w:rsidRPr="009F2D6F">
              <w:rPr>
                <w:szCs w:val="20"/>
                <w:lang w:val="en-US"/>
              </w:rPr>
              <w:t>Not used</w:t>
            </w:r>
          </w:p>
        </w:tc>
      </w:tr>
      <w:tr w:rsidR="00B41614" w:rsidRPr="009F2D6F" w:rsidTr="00486746">
        <w:tc>
          <w:tcPr>
            <w:tcW w:w="712" w:type="pct"/>
            <w:shd w:val="clear" w:color="auto" w:fill="auto"/>
            <w:vAlign w:val="center"/>
          </w:tcPr>
          <w:p w:rsidR="007F1017" w:rsidRPr="009F2D6F" w:rsidRDefault="000D2707" w:rsidP="00077582">
            <w:pPr>
              <w:pStyle w:val="Tabletext"/>
              <w:keepNext/>
              <w:rPr>
                <w:szCs w:val="20"/>
                <w:lang w:val="en-US"/>
              </w:rPr>
            </w:pPr>
            <w:r w:rsidRPr="009F2D6F">
              <w:rPr>
                <w:szCs w:val="20"/>
              </w:rPr>
              <w:t>North America SG</w:t>
            </w:r>
          </w:p>
        </w:tc>
        <w:tc>
          <w:tcPr>
            <w:tcW w:w="466" w:type="pct"/>
            <w:shd w:val="clear" w:color="auto" w:fill="auto"/>
            <w:vAlign w:val="center"/>
          </w:tcPr>
          <w:p w:rsidR="007F1017" w:rsidRPr="009F2D6F" w:rsidRDefault="002D76F4" w:rsidP="00077582">
            <w:pPr>
              <w:pStyle w:val="Tabletext"/>
              <w:keepNext/>
              <w:jc w:val="center"/>
              <w:rPr>
                <w:szCs w:val="20"/>
                <w:lang w:val="en-US"/>
              </w:rPr>
            </w:pPr>
            <w:r w:rsidRPr="009F2D6F">
              <w:rPr>
                <w:szCs w:val="20"/>
                <w:lang w:val="en-US"/>
              </w:rPr>
              <w:t>939</w:t>
            </w:r>
          </w:p>
        </w:tc>
        <w:tc>
          <w:tcPr>
            <w:tcW w:w="782" w:type="pct"/>
            <w:shd w:val="clear" w:color="auto" w:fill="auto"/>
            <w:vAlign w:val="center"/>
          </w:tcPr>
          <w:p w:rsidR="007F1017" w:rsidRPr="009F2D6F" w:rsidRDefault="007F1017" w:rsidP="00077582">
            <w:pPr>
              <w:pStyle w:val="Tabletext"/>
              <w:keepNext/>
              <w:jc w:val="center"/>
              <w:rPr>
                <w:szCs w:val="20"/>
                <w:lang w:val="en-US"/>
              </w:rPr>
            </w:pPr>
            <w:r w:rsidRPr="009F2D6F">
              <w:rPr>
                <w:szCs w:val="20"/>
                <w:lang w:val="en-US"/>
              </w:rPr>
              <w:t>R, DB</w:t>
            </w:r>
          </w:p>
          <w:p w:rsidR="007F1017" w:rsidRPr="009F2D6F" w:rsidRDefault="00D96AA9" w:rsidP="00077582">
            <w:pPr>
              <w:pStyle w:val="Tabletext"/>
              <w:keepNext/>
              <w:jc w:val="center"/>
              <w:rPr>
                <w:szCs w:val="20"/>
                <w:lang w:val="en-US"/>
              </w:rPr>
            </w:pPr>
            <w:r w:rsidRPr="009F2D6F">
              <w:rPr>
                <w:szCs w:val="20"/>
                <w:lang w:val="en-US"/>
              </w:rPr>
              <w:t>3 years</w:t>
            </w:r>
          </w:p>
        </w:tc>
        <w:tc>
          <w:tcPr>
            <w:tcW w:w="621" w:type="pct"/>
            <w:shd w:val="clear" w:color="auto" w:fill="auto"/>
            <w:vAlign w:val="center"/>
          </w:tcPr>
          <w:p w:rsidR="007F1017" w:rsidRPr="009F2D6F" w:rsidRDefault="002D76F4" w:rsidP="00077582">
            <w:pPr>
              <w:pStyle w:val="Tabletext"/>
              <w:keepNext/>
              <w:jc w:val="center"/>
              <w:rPr>
                <w:szCs w:val="20"/>
                <w:lang w:val="en-US"/>
              </w:rPr>
            </w:pPr>
            <w:r w:rsidRPr="009F2D6F">
              <w:rPr>
                <w:szCs w:val="20"/>
                <w:lang w:val="en-US"/>
              </w:rPr>
              <w:t xml:space="preserve">Unclear </w:t>
            </w:r>
          </w:p>
        </w:tc>
        <w:tc>
          <w:tcPr>
            <w:tcW w:w="857" w:type="pct"/>
            <w:shd w:val="clear" w:color="auto" w:fill="auto"/>
            <w:vAlign w:val="center"/>
          </w:tcPr>
          <w:p w:rsidR="007F1017" w:rsidRPr="009F2D6F" w:rsidRDefault="002D76F4"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6-month CDP</w:t>
            </w:r>
          </w:p>
          <w:p w:rsidR="007F1017"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7F1017" w:rsidRPr="009F2D6F" w:rsidRDefault="002D76F4" w:rsidP="00077582">
            <w:pPr>
              <w:pStyle w:val="Tabletext"/>
              <w:keepNext/>
              <w:jc w:val="center"/>
              <w:rPr>
                <w:szCs w:val="20"/>
                <w:vertAlign w:val="superscript"/>
                <w:lang w:val="en-US"/>
              </w:rPr>
            </w:pPr>
            <w:r w:rsidRPr="009F2D6F">
              <w:rPr>
                <w:szCs w:val="20"/>
                <w:lang w:val="en-US"/>
              </w:rPr>
              <w:t>Not used</w:t>
            </w:r>
          </w:p>
        </w:tc>
      </w:tr>
      <w:tr w:rsidR="00D96AA9" w:rsidRPr="009F2D6F" w:rsidTr="00486746">
        <w:tc>
          <w:tcPr>
            <w:tcW w:w="712" w:type="pct"/>
            <w:shd w:val="clear" w:color="auto" w:fill="auto"/>
            <w:vAlign w:val="center"/>
          </w:tcPr>
          <w:p w:rsidR="00D96AA9" w:rsidRPr="009F2D6F" w:rsidRDefault="00D96AA9" w:rsidP="00077582">
            <w:pPr>
              <w:pStyle w:val="Tabletext"/>
              <w:keepNext/>
              <w:rPr>
                <w:szCs w:val="20"/>
              </w:rPr>
            </w:pPr>
            <w:r w:rsidRPr="009F2D6F">
              <w:rPr>
                <w:szCs w:val="20"/>
              </w:rPr>
              <w:t>European SG</w:t>
            </w:r>
          </w:p>
        </w:tc>
        <w:tc>
          <w:tcPr>
            <w:tcW w:w="466"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718</w:t>
            </w:r>
          </w:p>
        </w:tc>
        <w:tc>
          <w:tcPr>
            <w:tcW w:w="782" w:type="pct"/>
            <w:shd w:val="clear" w:color="auto" w:fill="auto"/>
            <w:vAlign w:val="center"/>
          </w:tcPr>
          <w:p w:rsidR="00735947" w:rsidRPr="009F2D6F" w:rsidRDefault="00735947" w:rsidP="00077582">
            <w:pPr>
              <w:pStyle w:val="Tabletext"/>
              <w:keepNext/>
              <w:jc w:val="center"/>
              <w:rPr>
                <w:szCs w:val="20"/>
                <w:lang w:val="en-US"/>
              </w:rPr>
            </w:pPr>
            <w:r w:rsidRPr="009F2D6F">
              <w:rPr>
                <w:szCs w:val="20"/>
                <w:lang w:val="en-US"/>
              </w:rPr>
              <w:t>R, DB</w:t>
            </w:r>
          </w:p>
          <w:p w:rsidR="00D96AA9" w:rsidRPr="009F2D6F" w:rsidRDefault="00D96AA9" w:rsidP="00077582">
            <w:pPr>
              <w:pStyle w:val="Tabletext"/>
              <w:keepNext/>
              <w:jc w:val="center"/>
              <w:rPr>
                <w:szCs w:val="20"/>
                <w:lang w:val="en-US"/>
              </w:rPr>
            </w:pPr>
            <w:r w:rsidRPr="009F2D6F">
              <w:rPr>
                <w:szCs w:val="20"/>
                <w:lang w:val="en-US"/>
              </w:rPr>
              <w:t>3 years</w:t>
            </w:r>
          </w:p>
        </w:tc>
        <w:tc>
          <w:tcPr>
            <w:tcW w:w="621"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 xml:space="preserve">Unclear </w:t>
            </w:r>
          </w:p>
        </w:tc>
        <w:tc>
          <w:tcPr>
            <w:tcW w:w="857"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6-month CDP</w:t>
            </w:r>
          </w:p>
          <w:p w:rsidR="00D96AA9"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D96AA9" w:rsidRPr="009F2D6F" w:rsidRDefault="00EA2A93" w:rsidP="00077582">
            <w:pPr>
              <w:pStyle w:val="Tabletext"/>
              <w:keepNext/>
              <w:jc w:val="center"/>
              <w:rPr>
                <w:szCs w:val="20"/>
                <w:lang w:val="en-US"/>
              </w:rPr>
            </w:pPr>
            <w:r w:rsidRPr="009F2D6F">
              <w:rPr>
                <w:szCs w:val="20"/>
                <w:lang w:val="en-US"/>
              </w:rPr>
              <w:t>Not used</w:t>
            </w:r>
          </w:p>
        </w:tc>
      </w:tr>
      <w:tr w:rsidR="00D96AA9" w:rsidRPr="009F2D6F" w:rsidTr="00486746">
        <w:tc>
          <w:tcPr>
            <w:tcW w:w="712" w:type="pct"/>
            <w:shd w:val="clear" w:color="auto" w:fill="auto"/>
            <w:vAlign w:val="center"/>
          </w:tcPr>
          <w:p w:rsidR="00D96AA9" w:rsidRPr="009F2D6F" w:rsidRDefault="00D96AA9" w:rsidP="00077582">
            <w:pPr>
              <w:pStyle w:val="Tabletext"/>
              <w:keepNext/>
              <w:rPr>
                <w:szCs w:val="20"/>
              </w:rPr>
            </w:pPr>
            <w:r w:rsidRPr="009F2D6F">
              <w:rPr>
                <w:szCs w:val="20"/>
              </w:rPr>
              <w:t>IMPACT</w:t>
            </w:r>
          </w:p>
        </w:tc>
        <w:tc>
          <w:tcPr>
            <w:tcW w:w="466"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436</w:t>
            </w:r>
          </w:p>
        </w:tc>
        <w:tc>
          <w:tcPr>
            <w:tcW w:w="782" w:type="pct"/>
            <w:shd w:val="clear" w:color="auto" w:fill="auto"/>
            <w:vAlign w:val="center"/>
          </w:tcPr>
          <w:p w:rsidR="00D96AA9" w:rsidRPr="009F2D6F" w:rsidRDefault="00C931DF" w:rsidP="00077582">
            <w:pPr>
              <w:pStyle w:val="Tabletext"/>
              <w:keepNext/>
              <w:jc w:val="center"/>
              <w:rPr>
                <w:szCs w:val="20"/>
                <w:lang w:val="en-US"/>
              </w:rPr>
            </w:pPr>
            <w:r w:rsidRPr="009F2D6F">
              <w:rPr>
                <w:szCs w:val="20"/>
                <w:lang w:val="en-US"/>
              </w:rPr>
              <w:t>R, DB</w:t>
            </w:r>
          </w:p>
          <w:p w:rsidR="00D96AA9" w:rsidRPr="009F2D6F" w:rsidRDefault="00D96AA9" w:rsidP="00077582">
            <w:pPr>
              <w:pStyle w:val="Tabletext"/>
              <w:keepNext/>
              <w:jc w:val="center"/>
              <w:rPr>
                <w:szCs w:val="20"/>
                <w:lang w:val="en-US"/>
              </w:rPr>
            </w:pPr>
            <w:r w:rsidRPr="009F2D6F">
              <w:rPr>
                <w:szCs w:val="20"/>
                <w:lang w:val="en-US"/>
              </w:rPr>
              <w:t>2 years</w:t>
            </w:r>
          </w:p>
        </w:tc>
        <w:tc>
          <w:tcPr>
            <w:tcW w:w="621"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 xml:space="preserve">Unclear </w:t>
            </w:r>
          </w:p>
        </w:tc>
        <w:tc>
          <w:tcPr>
            <w:tcW w:w="857"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6-month CDP</w:t>
            </w:r>
          </w:p>
          <w:p w:rsidR="00D96AA9"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D96AA9" w:rsidRPr="009F2D6F" w:rsidRDefault="00EA2A93" w:rsidP="00077582">
            <w:pPr>
              <w:pStyle w:val="Tabletext"/>
              <w:keepNext/>
              <w:jc w:val="center"/>
              <w:rPr>
                <w:szCs w:val="20"/>
                <w:lang w:val="en-US"/>
              </w:rPr>
            </w:pPr>
            <w:r w:rsidRPr="009F2D6F">
              <w:rPr>
                <w:szCs w:val="20"/>
                <w:lang w:val="en-US"/>
              </w:rPr>
              <w:t>Not used</w:t>
            </w:r>
          </w:p>
        </w:tc>
      </w:tr>
      <w:tr w:rsidR="00D96AA9" w:rsidRPr="009F2D6F" w:rsidTr="00486746">
        <w:tc>
          <w:tcPr>
            <w:tcW w:w="712" w:type="pct"/>
            <w:shd w:val="clear" w:color="auto" w:fill="auto"/>
            <w:vAlign w:val="center"/>
          </w:tcPr>
          <w:p w:rsidR="00D96AA9" w:rsidRPr="009F2D6F" w:rsidRDefault="001A1368" w:rsidP="00077582">
            <w:pPr>
              <w:pStyle w:val="Tabletext"/>
              <w:keepNext/>
              <w:rPr>
                <w:szCs w:val="20"/>
              </w:rPr>
            </w:pPr>
            <w:r w:rsidRPr="009F2D6F">
              <w:rPr>
                <w:szCs w:val="20"/>
              </w:rPr>
              <w:t>SPECTRI</w:t>
            </w:r>
            <w:r w:rsidR="00D96AA9" w:rsidRPr="009F2D6F">
              <w:rPr>
                <w:szCs w:val="20"/>
              </w:rPr>
              <w:t>MS</w:t>
            </w:r>
          </w:p>
        </w:tc>
        <w:tc>
          <w:tcPr>
            <w:tcW w:w="466"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618</w:t>
            </w:r>
          </w:p>
        </w:tc>
        <w:tc>
          <w:tcPr>
            <w:tcW w:w="782" w:type="pct"/>
            <w:shd w:val="clear" w:color="auto" w:fill="auto"/>
            <w:vAlign w:val="center"/>
          </w:tcPr>
          <w:p w:rsidR="00D96AA9" w:rsidRPr="009F2D6F" w:rsidRDefault="005E4C22" w:rsidP="00077582">
            <w:pPr>
              <w:pStyle w:val="Tabletext"/>
              <w:keepNext/>
              <w:jc w:val="center"/>
              <w:rPr>
                <w:szCs w:val="20"/>
                <w:lang w:val="en-US"/>
              </w:rPr>
            </w:pPr>
            <w:r w:rsidRPr="009F2D6F">
              <w:rPr>
                <w:szCs w:val="20"/>
                <w:lang w:val="en-US"/>
              </w:rPr>
              <w:t>R, DB</w:t>
            </w:r>
          </w:p>
          <w:p w:rsidR="00D96AA9" w:rsidRPr="009F2D6F" w:rsidRDefault="00D96AA9" w:rsidP="00077582">
            <w:pPr>
              <w:pStyle w:val="Tabletext"/>
              <w:keepNext/>
              <w:jc w:val="center"/>
              <w:rPr>
                <w:szCs w:val="20"/>
                <w:lang w:val="en-US"/>
              </w:rPr>
            </w:pPr>
            <w:r w:rsidRPr="009F2D6F">
              <w:rPr>
                <w:szCs w:val="20"/>
                <w:lang w:val="en-US"/>
              </w:rPr>
              <w:t>3 years</w:t>
            </w:r>
          </w:p>
        </w:tc>
        <w:tc>
          <w:tcPr>
            <w:tcW w:w="621"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Unclear</w:t>
            </w:r>
          </w:p>
        </w:tc>
        <w:tc>
          <w:tcPr>
            <w:tcW w:w="857"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3-month CDP</w:t>
            </w:r>
          </w:p>
          <w:p w:rsidR="00D96AA9"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D96AA9" w:rsidRPr="009F2D6F" w:rsidRDefault="00EA2A93" w:rsidP="00077582">
            <w:pPr>
              <w:pStyle w:val="Tabletext"/>
              <w:keepNext/>
              <w:jc w:val="center"/>
              <w:rPr>
                <w:szCs w:val="20"/>
                <w:lang w:val="en-US"/>
              </w:rPr>
            </w:pPr>
            <w:r w:rsidRPr="009F2D6F">
              <w:rPr>
                <w:szCs w:val="20"/>
                <w:lang w:val="en-US"/>
              </w:rPr>
              <w:t>Not used</w:t>
            </w:r>
          </w:p>
        </w:tc>
      </w:tr>
      <w:tr w:rsidR="00D96AA9" w:rsidRPr="009F2D6F" w:rsidTr="00486746">
        <w:tc>
          <w:tcPr>
            <w:tcW w:w="712" w:type="pct"/>
            <w:shd w:val="clear" w:color="auto" w:fill="auto"/>
            <w:vAlign w:val="center"/>
          </w:tcPr>
          <w:p w:rsidR="00D96AA9" w:rsidRPr="009F2D6F" w:rsidRDefault="00D96AA9" w:rsidP="00077582">
            <w:pPr>
              <w:pStyle w:val="Tabletext"/>
              <w:keepNext/>
              <w:rPr>
                <w:szCs w:val="20"/>
                <w:lang w:val="en-US"/>
              </w:rPr>
            </w:pPr>
            <w:r w:rsidRPr="009F2D6F">
              <w:rPr>
                <w:szCs w:val="20"/>
                <w:lang w:val="en-US"/>
              </w:rPr>
              <w:t>Meta-analysis</w:t>
            </w:r>
          </w:p>
        </w:tc>
        <w:tc>
          <w:tcPr>
            <w:tcW w:w="466" w:type="pct"/>
            <w:shd w:val="clear" w:color="auto" w:fill="auto"/>
            <w:vAlign w:val="center"/>
          </w:tcPr>
          <w:p w:rsidR="00D96AA9" w:rsidRPr="009F2D6F" w:rsidRDefault="00D6277F" w:rsidP="00077582">
            <w:pPr>
              <w:pStyle w:val="Tabletext"/>
              <w:keepNext/>
              <w:jc w:val="center"/>
              <w:rPr>
                <w:szCs w:val="20"/>
                <w:lang w:val="en-US"/>
              </w:rPr>
            </w:pPr>
            <w:r w:rsidRPr="009F2D6F">
              <w:rPr>
                <w:szCs w:val="20"/>
                <w:lang w:val="en-US"/>
              </w:rPr>
              <w:t>3</w:t>
            </w:r>
            <w:r w:rsidR="00C53082" w:rsidRPr="009F2D6F">
              <w:rPr>
                <w:szCs w:val="20"/>
                <w:lang w:val="en-US"/>
              </w:rPr>
              <w:t>,082</w:t>
            </w:r>
          </w:p>
        </w:tc>
        <w:tc>
          <w:tcPr>
            <w:tcW w:w="3142" w:type="pct"/>
            <w:gridSpan w:val="4"/>
            <w:shd w:val="clear" w:color="auto" w:fill="auto"/>
            <w:vAlign w:val="center"/>
          </w:tcPr>
          <w:p w:rsidR="00D96AA9" w:rsidRPr="009F2D6F" w:rsidRDefault="00D96AA9" w:rsidP="00077582">
            <w:pPr>
              <w:pStyle w:val="Tabletext"/>
              <w:keepNext/>
              <w:rPr>
                <w:szCs w:val="20"/>
                <w:lang w:val="en-US"/>
              </w:rPr>
            </w:pPr>
            <w:r w:rsidRPr="009F2D6F">
              <w:rPr>
                <w:szCs w:val="20"/>
                <w:lang w:val="en-US"/>
              </w:rPr>
              <w:t xml:space="preserve">Included Nordic SG, North America SG, </w:t>
            </w:r>
            <w:r w:rsidR="00D6277F" w:rsidRPr="009F2D6F">
              <w:rPr>
                <w:szCs w:val="20"/>
                <w:lang w:val="en-US"/>
              </w:rPr>
              <w:t xml:space="preserve">European </w:t>
            </w:r>
            <w:r w:rsidRPr="009F2D6F">
              <w:rPr>
                <w:szCs w:val="20"/>
                <w:lang w:val="en-US"/>
              </w:rPr>
              <w:t>SG, IMPACTS, SPECTRUMS</w:t>
            </w:r>
          </w:p>
        </w:tc>
        <w:tc>
          <w:tcPr>
            <w:tcW w:w="679"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ARR</w:t>
            </w:r>
          </w:p>
        </w:tc>
      </w:tr>
      <w:tr w:rsidR="00D96AA9" w:rsidRPr="009F2D6F" w:rsidTr="00486746">
        <w:tc>
          <w:tcPr>
            <w:tcW w:w="5000" w:type="pct"/>
            <w:gridSpan w:val="7"/>
            <w:shd w:val="clear" w:color="auto" w:fill="auto"/>
            <w:vAlign w:val="center"/>
          </w:tcPr>
          <w:p w:rsidR="00D96AA9" w:rsidRPr="009F2D6F" w:rsidRDefault="00D96AA9" w:rsidP="00077582">
            <w:pPr>
              <w:pStyle w:val="Tabletext"/>
              <w:keepNext/>
              <w:rPr>
                <w:b/>
                <w:szCs w:val="20"/>
                <w:lang w:val="en-US"/>
              </w:rPr>
            </w:pPr>
            <w:proofErr w:type="spellStart"/>
            <w:r w:rsidRPr="009F2D6F">
              <w:rPr>
                <w:b/>
                <w:szCs w:val="20"/>
                <w:lang w:val="en-US"/>
              </w:rPr>
              <w:t>Glatiramer</w:t>
            </w:r>
            <w:proofErr w:type="spellEnd"/>
            <w:r w:rsidRPr="009F2D6F">
              <w:rPr>
                <w:b/>
                <w:szCs w:val="20"/>
                <w:lang w:val="en-US"/>
              </w:rPr>
              <w:t xml:space="preserve"> acetate (GA) versus placebo</w:t>
            </w:r>
          </w:p>
        </w:tc>
      </w:tr>
      <w:tr w:rsidR="00D96AA9" w:rsidRPr="009F2D6F" w:rsidTr="00486746">
        <w:tc>
          <w:tcPr>
            <w:tcW w:w="712" w:type="pct"/>
            <w:shd w:val="clear" w:color="auto" w:fill="auto"/>
            <w:vAlign w:val="center"/>
          </w:tcPr>
          <w:p w:rsidR="00D96AA9" w:rsidRPr="009F2D6F" w:rsidRDefault="00D96AA9" w:rsidP="00077582">
            <w:pPr>
              <w:pStyle w:val="Tabletext"/>
              <w:keepNext/>
              <w:rPr>
                <w:szCs w:val="20"/>
                <w:lang w:val="en-US"/>
              </w:rPr>
            </w:pPr>
            <w:r w:rsidRPr="009F2D6F">
              <w:rPr>
                <w:szCs w:val="20"/>
                <w:lang w:val="en-US"/>
              </w:rPr>
              <w:t>COP-1</w:t>
            </w:r>
          </w:p>
        </w:tc>
        <w:tc>
          <w:tcPr>
            <w:tcW w:w="466"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106</w:t>
            </w:r>
          </w:p>
        </w:tc>
        <w:tc>
          <w:tcPr>
            <w:tcW w:w="782" w:type="pct"/>
            <w:shd w:val="clear" w:color="auto" w:fill="auto"/>
            <w:vAlign w:val="center"/>
          </w:tcPr>
          <w:p w:rsidR="00FC6F25" w:rsidRPr="009F2D6F" w:rsidRDefault="00FC6F25" w:rsidP="00077582">
            <w:pPr>
              <w:pStyle w:val="Tabletext"/>
              <w:keepNext/>
              <w:jc w:val="center"/>
              <w:rPr>
                <w:szCs w:val="20"/>
                <w:lang w:val="en-US"/>
              </w:rPr>
            </w:pPr>
            <w:r w:rsidRPr="009F2D6F">
              <w:rPr>
                <w:szCs w:val="20"/>
                <w:lang w:val="en-US"/>
              </w:rPr>
              <w:t>R, DB</w:t>
            </w:r>
          </w:p>
          <w:p w:rsidR="00D96AA9" w:rsidRPr="009F2D6F" w:rsidRDefault="00D96AA9" w:rsidP="00077582">
            <w:pPr>
              <w:pStyle w:val="Tabletext"/>
              <w:keepNext/>
              <w:jc w:val="center"/>
              <w:rPr>
                <w:szCs w:val="20"/>
                <w:lang w:val="en-US"/>
              </w:rPr>
            </w:pPr>
            <w:r w:rsidRPr="009F2D6F">
              <w:rPr>
                <w:szCs w:val="20"/>
                <w:lang w:val="en-US"/>
              </w:rPr>
              <w:t>2 years</w:t>
            </w:r>
          </w:p>
        </w:tc>
        <w:tc>
          <w:tcPr>
            <w:tcW w:w="621"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Unclear</w:t>
            </w:r>
          </w:p>
        </w:tc>
        <w:tc>
          <w:tcPr>
            <w:tcW w:w="857" w:type="pct"/>
            <w:shd w:val="clear" w:color="auto" w:fill="auto"/>
            <w:vAlign w:val="center"/>
          </w:tcPr>
          <w:p w:rsidR="00D96AA9" w:rsidRPr="009F2D6F" w:rsidRDefault="00FC6F25" w:rsidP="00077582">
            <w:pPr>
              <w:pStyle w:val="Tabletext"/>
              <w:keepNext/>
              <w:jc w:val="center"/>
              <w:rPr>
                <w:szCs w:val="20"/>
                <w:lang w:val="en-US"/>
              </w:rPr>
            </w:pPr>
            <w:r w:rsidRPr="009F2D6F">
              <w:rPr>
                <w:szCs w:val="20"/>
                <w:lang w:val="en-US"/>
              </w:rPr>
              <w:t>Chronic progressive MS</w:t>
            </w:r>
          </w:p>
        </w:tc>
        <w:tc>
          <w:tcPr>
            <w:tcW w:w="882" w:type="pct"/>
            <w:shd w:val="clear" w:color="auto" w:fill="auto"/>
            <w:vAlign w:val="center"/>
          </w:tcPr>
          <w:p w:rsidR="00D96AA9" w:rsidRPr="009F2D6F" w:rsidRDefault="008540D5" w:rsidP="00077582">
            <w:pPr>
              <w:pStyle w:val="Tabletext"/>
              <w:keepNext/>
              <w:jc w:val="center"/>
              <w:rPr>
                <w:szCs w:val="20"/>
                <w:lang w:val="en-US"/>
              </w:rPr>
            </w:pPr>
            <w:r w:rsidRPr="009F2D6F">
              <w:rPr>
                <w:szCs w:val="20"/>
                <w:lang w:val="en-US"/>
              </w:rPr>
              <w:t>3-mo</w:t>
            </w:r>
            <w:r w:rsidR="00873D4F" w:rsidRPr="009F2D6F">
              <w:rPr>
                <w:szCs w:val="20"/>
                <w:lang w:val="en-US"/>
              </w:rPr>
              <w:t>nt</w:t>
            </w:r>
            <w:r w:rsidRPr="009F2D6F">
              <w:rPr>
                <w:szCs w:val="20"/>
                <w:lang w:val="en-US"/>
              </w:rPr>
              <w:t>h CDP</w:t>
            </w:r>
          </w:p>
        </w:tc>
        <w:tc>
          <w:tcPr>
            <w:tcW w:w="679" w:type="pct"/>
            <w:shd w:val="clear" w:color="auto" w:fill="auto"/>
            <w:vAlign w:val="center"/>
          </w:tcPr>
          <w:p w:rsidR="00D96AA9" w:rsidRPr="009F2D6F" w:rsidRDefault="008346BF" w:rsidP="00077582">
            <w:pPr>
              <w:pStyle w:val="Tabletext"/>
              <w:keepNext/>
              <w:jc w:val="center"/>
              <w:rPr>
                <w:szCs w:val="20"/>
                <w:lang w:val="en-US"/>
              </w:rPr>
            </w:pPr>
            <w:r w:rsidRPr="009F2D6F">
              <w:rPr>
                <w:szCs w:val="20"/>
                <w:lang w:val="en-US"/>
              </w:rPr>
              <w:t>Not used</w:t>
            </w:r>
          </w:p>
        </w:tc>
      </w:tr>
      <w:tr w:rsidR="00D96AA9" w:rsidRPr="009F2D6F" w:rsidTr="00486746">
        <w:tc>
          <w:tcPr>
            <w:tcW w:w="5000" w:type="pct"/>
            <w:gridSpan w:val="7"/>
            <w:shd w:val="clear" w:color="auto" w:fill="auto"/>
          </w:tcPr>
          <w:p w:rsidR="00D96AA9" w:rsidRPr="009F2D6F" w:rsidRDefault="00D96AA9" w:rsidP="00077582">
            <w:pPr>
              <w:pStyle w:val="Tabletext"/>
              <w:keepNext/>
              <w:rPr>
                <w:szCs w:val="20"/>
                <w:lang w:val="en-US"/>
              </w:rPr>
            </w:pPr>
            <w:proofErr w:type="spellStart"/>
            <w:r w:rsidRPr="009F2D6F">
              <w:rPr>
                <w:b/>
                <w:szCs w:val="20"/>
                <w:lang w:val="en-US"/>
              </w:rPr>
              <w:t>Natalizumab</w:t>
            </w:r>
            <w:proofErr w:type="spellEnd"/>
            <w:r w:rsidRPr="009F2D6F">
              <w:rPr>
                <w:b/>
                <w:szCs w:val="20"/>
                <w:lang w:val="en-US"/>
              </w:rPr>
              <w:t xml:space="preserve"> versus placebo</w:t>
            </w:r>
          </w:p>
        </w:tc>
      </w:tr>
      <w:tr w:rsidR="00D96AA9" w:rsidRPr="009F2D6F" w:rsidTr="00486746">
        <w:tc>
          <w:tcPr>
            <w:tcW w:w="712" w:type="pct"/>
            <w:shd w:val="clear" w:color="auto" w:fill="auto"/>
            <w:vAlign w:val="center"/>
          </w:tcPr>
          <w:p w:rsidR="00D96AA9" w:rsidRPr="009F2D6F" w:rsidRDefault="00D96AA9" w:rsidP="00077582">
            <w:pPr>
              <w:pStyle w:val="Tabletext"/>
              <w:keepNext/>
              <w:rPr>
                <w:szCs w:val="20"/>
                <w:lang w:val="en-US"/>
              </w:rPr>
            </w:pPr>
            <w:r w:rsidRPr="009F2D6F">
              <w:rPr>
                <w:szCs w:val="20"/>
                <w:lang w:val="en-US"/>
              </w:rPr>
              <w:t>ASCEND</w:t>
            </w:r>
          </w:p>
        </w:tc>
        <w:tc>
          <w:tcPr>
            <w:tcW w:w="466"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889</w:t>
            </w:r>
          </w:p>
        </w:tc>
        <w:tc>
          <w:tcPr>
            <w:tcW w:w="782" w:type="pct"/>
            <w:shd w:val="clear" w:color="auto" w:fill="auto"/>
            <w:vAlign w:val="center"/>
          </w:tcPr>
          <w:p w:rsidR="006D3D18" w:rsidRPr="009F2D6F" w:rsidRDefault="006D3D18" w:rsidP="00077582">
            <w:pPr>
              <w:pStyle w:val="Tabletext"/>
              <w:keepNext/>
              <w:jc w:val="center"/>
              <w:rPr>
                <w:szCs w:val="20"/>
                <w:lang w:val="en-US"/>
              </w:rPr>
            </w:pPr>
            <w:r w:rsidRPr="009F2D6F">
              <w:rPr>
                <w:szCs w:val="20"/>
                <w:lang w:val="en-US"/>
              </w:rPr>
              <w:t>R, DB</w:t>
            </w:r>
          </w:p>
          <w:p w:rsidR="00D96AA9" w:rsidRPr="009F2D6F" w:rsidRDefault="00D96AA9" w:rsidP="00077582">
            <w:pPr>
              <w:pStyle w:val="Tabletext"/>
              <w:keepNext/>
              <w:jc w:val="center"/>
              <w:rPr>
                <w:szCs w:val="20"/>
                <w:lang w:val="en-US"/>
              </w:rPr>
            </w:pPr>
            <w:r w:rsidRPr="009F2D6F">
              <w:rPr>
                <w:szCs w:val="20"/>
                <w:lang w:val="en-US"/>
              </w:rPr>
              <w:t>2 years</w:t>
            </w:r>
          </w:p>
        </w:tc>
        <w:tc>
          <w:tcPr>
            <w:tcW w:w="621"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Unclear</w:t>
            </w:r>
          </w:p>
        </w:tc>
        <w:tc>
          <w:tcPr>
            <w:tcW w:w="857" w:type="pct"/>
            <w:shd w:val="clear" w:color="auto" w:fill="auto"/>
            <w:vAlign w:val="center"/>
          </w:tcPr>
          <w:p w:rsidR="00D96AA9" w:rsidRPr="009F2D6F" w:rsidRDefault="00D96AA9" w:rsidP="00077582">
            <w:pPr>
              <w:pStyle w:val="Tabletext"/>
              <w:keepNext/>
              <w:jc w:val="center"/>
              <w:rPr>
                <w:szCs w:val="20"/>
                <w:lang w:val="en-US"/>
              </w:rPr>
            </w:pPr>
            <w:r w:rsidRPr="009F2D6F">
              <w:rPr>
                <w:szCs w:val="20"/>
                <w:lang w:val="en-US"/>
              </w:rPr>
              <w:t>SPMS</w:t>
            </w:r>
          </w:p>
        </w:tc>
        <w:tc>
          <w:tcPr>
            <w:tcW w:w="882" w:type="pct"/>
            <w:shd w:val="clear" w:color="auto" w:fill="auto"/>
            <w:vAlign w:val="center"/>
          </w:tcPr>
          <w:p w:rsidR="008540D5" w:rsidRPr="009F2D6F" w:rsidRDefault="008540D5" w:rsidP="00077582">
            <w:pPr>
              <w:pStyle w:val="Tabletext"/>
              <w:keepNext/>
              <w:jc w:val="center"/>
              <w:rPr>
                <w:szCs w:val="20"/>
                <w:lang w:val="en-US"/>
              </w:rPr>
            </w:pPr>
            <w:r w:rsidRPr="009F2D6F">
              <w:rPr>
                <w:szCs w:val="20"/>
                <w:lang w:val="en-US"/>
              </w:rPr>
              <w:t>6-month CDP (proportion);</w:t>
            </w:r>
          </w:p>
          <w:p w:rsidR="00D96AA9" w:rsidRPr="009F2D6F" w:rsidRDefault="008540D5" w:rsidP="00077582">
            <w:pPr>
              <w:pStyle w:val="Tabletext"/>
              <w:keepNext/>
              <w:jc w:val="center"/>
              <w:rPr>
                <w:szCs w:val="20"/>
                <w:lang w:val="en-US"/>
              </w:rPr>
            </w:pPr>
            <w:r w:rsidRPr="009F2D6F">
              <w:rPr>
                <w:szCs w:val="20"/>
                <w:lang w:val="en-US"/>
              </w:rPr>
              <w:t>ARR</w:t>
            </w:r>
          </w:p>
        </w:tc>
        <w:tc>
          <w:tcPr>
            <w:tcW w:w="679" w:type="pct"/>
            <w:shd w:val="clear" w:color="auto" w:fill="auto"/>
            <w:vAlign w:val="center"/>
          </w:tcPr>
          <w:p w:rsidR="00D96AA9" w:rsidRPr="009F2D6F" w:rsidRDefault="00200B7C" w:rsidP="00077582">
            <w:pPr>
              <w:pStyle w:val="Tabletext"/>
              <w:keepNext/>
              <w:jc w:val="center"/>
              <w:rPr>
                <w:szCs w:val="20"/>
                <w:lang w:val="en-US"/>
              </w:rPr>
            </w:pPr>
            <w:r w:rsidRPr="009F2D6F">
              <w:rPr>
                <w:szCs w:val="20"/>
                <w:lang w:val="en-US"/>
              </w:rPr>
              <w:t>ARR</w:t>
            </w:r>
          </w:p>
        </w:tc>
      </w:tr>
    </w:tbl>
    <w:p w:rsidR="007F1017" w:rsidRPr="009F2D6F" w:rsidRDefault="000D2707" w:rsidP="00077582">
      <w:pPr>
        <w:pStyle w:val="TableFooter"/>
        <w:keepNext/>
        <w:widowControl/>
      </w:pPr>
      <w:r w:rsidRPr="009F2D6F">
        <w:t>ARR=annualised relapse rate</w:t>
      </w:r>
      <w:r w:rsidR="007773A6" w:rsidRPr="009F2D6F">
        <w:t>;</w:t>
      </w:r>
      <w:r w:rsidRPr="009F2D6F">
        <w:t xml:space="preserve"> CDP=confirmed disability progression; </w:t>
      </w:r>
      <w:r w:rsidR="007F1017" w:rsidRPr="009F2D6F">
        <w:t xml:space="preserve">DB=double blind; MC=multi-centre; </w:t>
      </w:r>
      <w:r w:rsidR="00FC6F25" w:rsidRPr="009F2D6F">
        <w:t xml:space="preserve">MS = multiple sclerosis; </w:t>
      </w:r>
      <w:r w:rsidR="007F1017" w:rsidRPr="009F2D6F">
        <w:t>R=randomised</w:t>
      </w:r>
      <w:r w:rsidR="007773A6" w:rsidRPr="009F2D6F">
        <w:t>;</w:t>
      </w:r>
      <w:r w:rsidR="00FC6F25" w:rsidRPr="009F2D6F">
        <w:t xml:space="preserve"> SPMS = secondary progressive multiple </w:t>
      </w:r>
      <w:r w:rsidR="00F77DAA" w:rsidRPr="009F2D6F">
        <w:t>sclerosis</w:t>
      </w:r>
      <w:r w:rsidR="007773A6" w:rsidRPr="009F2D6F">
        <w:t>.</w:t>
      </w:r>
    </w:p>
    <w:p w:rsidR="000D2707" w:rsidRPr="009F2D6F" w:rsidRDefault="00045017" w:rsidP="00077582">
      <w:pPr>
        <w:pStyle w:val="TableFooter"/>
        <w:keepNext/>
        <w:widowControl/>
      </w:pPr>
      <w:r w:rsidRPr="009F2D6F">
        <w:t xml:space="preserve">Source: </w:t>
      </w:r>
      <w:r w:rsidR="000D2707" w:rsidRPr="009F2D6F">
        <w:t>Source: Table 2.10 (pg.90) and Table 2.11 (</w:t>
      </w:r>
      <w:proofErr w:type="spellStart"/>
      <w:r w:rsidR="000D2707" w:rsidRPr="009F2D6F">
        <w:t>pg</w:t>
      </w:r>
      <w:proofErr w:type="spellEnd"/>
      <w:r w:rsidR="000D2707" w:rsidRPr="009F2D6F">
        <w:t xml:space="preserve"> 92) of the submission</w:t>
      </w:r>
      <w:r w:rsidR="007773A6" w:rsidRPr="009F2D6F">
        <w:t>.</w:t>
      </w:r>
    </w:p>
    <w:p w:rsidR="007F1017" w:rsidRPr="009F2D6F" w:rsidRDefault="007F1017" w:rsidP="00077582">
      <w:pPr>
        <w:widowControl/>
      </w:pPr>
    </w:p>
    <w:p w:rsidR="00045017" w:rsidRPr="009F2D6F" w:rsidRDefault="0080140A" w:rsidP="00077582">
      <w:pPr>
        <w:pStyle w:val="ListParagraph"/>
        <w:widowControl/>
        <w:numPr>
          <w:ilvl w:val="1"/>
          <w:numId w:val="2"/>
        </w:numPr>
      </w:pPr>
      <w:r w:rsidRPr="009F2D6F">
        <w:t xml:space="preserve">The submission did not provide an indirect comparison of </w:t>
      </w:r>
      <w:proofErr w:type="spellStart"/>
      <w:r w:rsidRPr="009F2D6F">
        <w:t>siponimod</w:t>
      </w:r>
      <w:proofErr w:type="spellEnd"/>
      <w:r w:rsidRPr="009F2D6F">
        <w:t xml:space="preserve"> versus the RRMS DMTs considered as comparators. </w:t>
      </w:r>
    </w:p>
    <w:p w:rsidR="00277A55" w:rsidRPr="009F2D6F" w:rsidRDefault="00277A55" w:rsidP="00077582">
      <w:pPr>
        <w:pStyle w:val="ListParagraph"/>
        <w:widowControl/>
        <w:numPr>
          <w:ilvl w:val="1"/>
          <w:numId w:val="2"/>
        </w:numPr>
      </w:pPr>
      <w:r w:rsidRPr="009F2D6F">
        <w:t xml:space="preserve">The ESC noted differences between the EXPAND trial population and the Australian population identified in the </w:t>
      </w:r>
      <w:proofErr w:type="spellStart"/>
      <w:r w:rsidRPr="009F2D6F">
        <w:t>MSBase</w:t>
      </w:r>
      <w:proofErr w:type="spellEnd"/>
      <w:r w:rsidRPr="009F2D6F">
        <w:t xml:space="preserve"> database. The trial population had a higher proportion of males, sho</w:t>
      </w:r>
      <w:r w:rsidR="009253F9" w:rsidRPr="009F2D6F">
        <w:t>rter time since MS diagnosis,</w:t>
      </w:r>
      <w:r w:rsidRPr="009F2D6F">
        <w:t xml:space="preserve"> higher mean EDSS score</w:t>
      </w:r>
      <w:r w:rsidR="009B56E4" w:rsidRPr="009F2D6F">
        <w:t xml:space="preserve"> and tended to have more relapses over the two y</w:t>
      </w:r>
      <w:r w:rsidR="009253F9" w:rsidRPr="009F2D6F">
        <w:t>ears prior to commencing therapy</w:t>
      </w:r>
      <w:r w:rsidRPr="009F2D6F">
        <w:t>. However, the</w:t>
      </w:r>
      <w:r w:rsidR="009253F9" w:rsidRPr="009F2D6F">
        <w:t xml:space="preserve"> ESC </w:t>
      </w:r>
      <w:r w:rsidR="00B6711C" w:rsidRPr="009F2D6F">
        <w:t xml:space="preserve">also </w:t>
      </w:r>
      <w:r w:rsidR="009253F9" w:rsidRPr="009F2D6F">
        <w:t>noted</w:t>
      </w:r>
      <w:r w:rsidRPr="009F2D6F">
        <w:t xml:space="preserve"> </w:t>
      </w:r>
      <w:r w:rsidR="00B6711C" w:rsidRPr="009F2D6F">
        <w:t xml:space="preserve">that </w:t>
      </w:r>
      <w:proofErr w:type="spellStart"/>
      <w:r w:rsidR="009B56E4" w:rsidRPr="009F2D6F">
        <w:t>MSBase</w:t>
      </w:r>
      <w:proofErr w:type="spellEnd"/>
      <w:r w:rsidR="009B56E4" w:rsidRPr="009F2D6F">
        <w:t xml:space="preserve"> population was small, with a sample size of only </w:t>
      </w:r>
      <w:r w:rsidR="00387A27">
        <w:rPr>
          <w:noProof/>
          <w:color w:val="000000"/>
          <w:highlight w:val="black"/>
        </w:rPr>
        <w:t>''''''''</w:t>
      </w:r>
      <w:r w:rsidR="009B56E4" w:rsidRPr="009F2D6F">
        <w:t xml:space="preserve"> </w:t>
      </w:r>
      <w:r w:rsidR="00C33C3E" w:rsidRPr="009F2D6F">
        <w:t>patients</w:t>
      </w:r>
      <w:r w:rsidR="004403BB" w:rsidRPr="009F2D6F">
        <w:t>,</w:t>
      </w:r>
      <w:r w:rsidR="009253F9" w:rsidRPr="009F2D6F">
        <w:t xml:space="preserve"> which may impact its reliability as a data source</w:t>
      </w:r>
      <w:r w:rsidR="009B56E4" w:rsidRPr="009F2D6F">
        <w:t>.</w:t>
      </w:r>
    </w:p>
    <w:p w:rsidR="00B60939" w:rsidRPr="009F2D6F" w:rsidRDefault="00B60939" w:rsidP="00077582">
      <w:pPr>
        <w:pStyle w:val="Heading2"/>
        <w:widowControl/>
      </w:pPr>
      <w:bookmarkStart w:id="12" w:name="_Toc18693496"/>
      <w:r w:rsidRPr="009F2D6F">
        <w:t>Comparative effectiveness</w:t>
      </w:r>
      <w:bookmarkEnd w:id="12"/>
    </w:p>
    <w:p w:rsidR="00B60939" w:rsidRPr="009F2D6F" w:rsidRDefault="00B60939" w:rsidP="00077582">
      <w:pPr>
        <w:widowControl/>
      </w:pPr>
    </w:p>
    <w:p w:rsidR="002C2775" w:rsidRPr="009F2D6F" w:rsidRDefault="00A13844" w:rsidP="00077582">
      <w:pPr>
        <w:pStyle w:val="ListParagraph"/>
        <w:widowControl/>
        <w:numPr>
          <w:ilvl w:val="1"/>
          <w:numId w:val="2"/>
        </w:numPr>
        <w:rPr>
          <w:rFonts w:cs="Calibri"/>
          <w:snapToGrid/>
          <w:szCs w:val="24"/>
          <w:lang w:val="en-US" w:eastAsia="en-AU"/>
        </w:rPr>
      </w:pPr>
      <w:r w:rsidRPr="009F2D6F">
        <w:rPr>
          <w:rFonts w:cs="Calibri"/>
          <w:snapToGrid/>
          <w:szCs w:val="24"/>
          <w:lang w:val="en-US" w:eastAsia="en-AU"/>
        </w:rPr>
        <w:t xml:space="preserve">The </w:t>
      </w:r>
      <w:r w:rsidR="00AD480B" w:rsidRPr="009F2D6F">
        <w:rPr>
          <w:rFonts w:cs="Calibri"/>
          <w:snapToGrid/>
          <w:szCs w:val="24"/>
          <w:lang w:val="en-US" w:eastAsia="en-AU"/>
        </w:rPr>
        <w:t xml:space="preserve">confirmed </w:t>
      </w:r>
      <w:r w:rsidR="00CB7C8F" w:rsidRPr="009F2D6F">
        <w:rPr>
          <w:rFonts w:cs="Calibri"/>
          <w:snapToGrid/>
          <w:szCs w:val="24"/>
          <w:lang w:val="en-US" w:eastAsia="en-AU"/>
        </w:rPr>
        <w:t>disability</w:t>
      </w:r>
      <w:r w:rsidR="00AD480B" w:rsidRPr="009F2D6F">
        <w:rPr>
          <w:rFonts w:cs="Calibri"/>
          <w:snapToGrid/>
          <w:szCs w:val="24"/>
          <w:lang w:val="en-US" w:eastAsia="en-AU"/>
        </w:rPr>
        <w:t xml:space="preserve"> progression </w:t>
      </w:r>
      <w:r w:rsidRPr="009F2D6F">
        <w:rPr>
          <w:rFonts w:cs="Calibri"/>
          <w:snapToGrid/>
          <w:szCs w:val="24"/>
          <w:lang w:val="en-US" w:eastAsia="en-AU"/>
        </w:rPr>
        <w:t xml:space="preserve">results from </w:t>
      </w:r>
      <w:r w:rsidR="001B3D0B" w:rsidRPr="009F2D6F">
        <w:rPr>
          <w:rFonts w:cs="Calibri"/>
          <w:snapToGrid/>
          <w:szCs w:val="24"/>
          <w:lang w:val="en-US" w:eastAsia="en-AU"/>
        </w:rPr>
        <w:t xml:space="preserve">EXPAND and </w:t>
      </w:r>
      <w:r w:rsidRPr="009F2D6F">
        <w:rPr>
          <w:rFonts w:cs="Calibri"/>
          <w:snapToGrid/>
          <w:szCs w:val="24"/>
          <w:lang w:val="en-US" w:eastAsia="en-AU"/>
        </w:rPr>
        <w:t xml:space="preserve">the </w:t>
      </w:r>
      <w:r w:rsidR="001B3D0B" w:rsidRPr="009F2D6F">
        <w:rPr>
          <w:rFonts w:cs="Calibri"/>
          <w:snapToGrid/>
          <w:szCs w:val="24"/>
          <w:lang w:val="en-US" w:eastAsia="en-AU"/>
        </w:rPr>
        <w:t xml:space="preserve">comparator DMT </w:t>
      </w:r>
      <w:r w:rsidRPr="009F2D6F">
        <w:rPr>
          <w:rFonts w:cs="Calibri"/>
          <w:snapToGrid/>
          <w:szCs w:val="24"/>
          <w:lang w:val="en-US" w:eastAsia="en-AU"/>
        </w:rPr>
        <w:t xml:space="preserve">trials are presented in </w:t>
      </w:r>
      <w:r w:rsidR="00654F36" w:rsidRPr="00654F36">
        <w:rPr>
          <w:rFonts w:cs="Calibri"/>
          <w:snapToGrid/>
          <w:szCs w:val="24"/>
          <w:lang w:val="en-US" w:eastAsia="en-AU"/>
        </w:rPr>
        <w:t>Table 5</w:t>
      </w:r>
      <w:r w:rsidR="001B3D0B" w:rsidRPr="009F2D6F">
        <w:rPr>
          <w:rFonts w:cs="Calibri"/>
          <w:snapToGrid/>
          <w:szCs w:val="24"/>
          <w:lang w:val="en-US" w:eastAsia="en-AU"/>
        </w:rPr>
        <w:t>.</w:t>
      </w:r>
      <w:r w:rsidR="002F7658" w:rsidRPr="009F2D6F">
        <w:rPr>
          <w:rFonts w:cs="Calibri"/>
          <w:snapToGrid/>
          <w:szCs w:val="24"/>
          <w:lang w:val="en-US" w:eastAsia="en-AU"/>
        </w:rPr>
        <w:t xml:space="preserve"> </w:t>
      </w:r>
      <w:r w:rsidR="004403BB" w:rsidRPr="009F2D6F">
        <w:t>The</w:t>
      </w:r>
      <w:r w:rsidR="002F7658" w:rsidRPr="009F2D6F">
        <w:t xml:space="preserve"> definition of CDP differs between trials (see table footnotes), and treatment duration also varied between trials.</w:t>
      </w:r>
    </w:p>
    <w:p w:rsidR="001B3D0B" w:rsidRPr="009F2D6F" w:rsidRDefault="001B3D0B" w:rsidP="00077582">
      <w:pPr>
        <w:pStyle w:val="Caption"/>
        <w:keepNext/>
        <w:widowControl/>
        <w:spacing w:after="0"/>
        <w:rPr>
          <w:rFonts w:ascii="Arial Narrow" w:hAnsi="Arial Narrow"/>
          <w:color w:val="auto"/>
          <w:sz w:val="20"/>
          <w:szCs w:val="20"/>
        </w:rPr>
      </w:pPr>
      <w:bookmarkStart w:id="13" w:name="_Ref18670182"/>
      <w:r w:rsidRPr="009F2D6F">
        <w:rPr>
          <w:rFonts w:ascii="Arial Narrow" w:hAnsi="Arial Narrow"/>
          <w:color w:val="auto"/>
          <w:sz w:val="20"/>
          <w:szCs w:val="20"/>
        </w:rPr>
        <w:t xml:space="preserve">Table </w:t>
      </w:r>
      <w:r w:rsidR="00654F36">
        <w:rPr>
          <w:rFonts w:ascii="Arial Narrow" w:hAnsi="Arial Narrow"/>
          <w:noProof/>
          <w:color w:val="auto"/>
          <w:sz w:val="20"/>
          <w:szCs w:val="20"/>
        </w:rPr>
        <w:t>5</w:t>
      </w:r>
      <w:bookmarkEnd w:id="13"/>
      <w:r w:rsidRPr="009F2D6F">
        <w:rPr>
          <w:rFonts w:ascii="Arial Narrow" w:hAnsi="Arial Narrow"/>
          <w:color w:val="auto"/>
          <w:sz w:val="20"/>
          <w:szCs w:val="20"/>
        </w:rPr>
        <w:t xml:space="preserve">: Results of </w:t>
      </w:r>
      <w:r w:rsidR="00C53082" w:rsidRPr="009F2D6F">
        <w:rPr>
          <w:rFonts w:ascii="Arial Narrow" w:hAnsi="Arial Narrow"/>
          <w:color w:val="auto"/>
          <w:sz w:val="20"/>
          <w:szCs w:val="20"/>
        </w:rPr>
        <w:t>confirmed disability progression</w:t>
      </w:r>
      <w:r w:rsidRPr="009F2D6F">
        <w:rPr>
          <w:rFonts w:ascii="Arial Narrow" w:hAnsi="Arial Narrow"/>
          <w:color w:val="auto"/>
          <w:sz w:val="20"/>
          <w:szCs w:val="20"/>
        </w:rPr>
        <w:t xml:space="preserve"> </w:t>
      </w:r>
      <w:r w:rsidR="00C53082" w:rsidRPr="009F2D6F">
        <w:rPr>
          <w:rFonts w:ascii="Arial Narrow" w:hAnsi="Arial Narrow"/>
          <w:color w:val="auto"/>
          <w:sz w:val="20"/>
          <w:szCs w:val="20"/>
        </w:rPr>
        <w:t xml:space="preserve">(CDP) </w:t>
      </w:r>
      <w:r w:rsidRPr="009F2D6F">
        <w:rPr>
          <w:rFonts w:ascii="Arial Narrow" w:hAnsi="Arial Narrow"/>
          <w:color w:val="auto"/>
          <w:sz w:val="20"/>
          <w:szCs w:val="20"/>
        </w:rPr>
        <w:t>in EXPAND</w:t>
      </w:r>
      <w:r w:rsidR="00712FA3" w:rsidRPr="009F2D6F">
        <w:rPr>
          <w:rFonts w:ascii="Arial Narrow" w:hAnsi="Arial Narrow"/>
          <w:color w:val="auto"/>
          <w:sz w:val="20"/>
          <w:szCs w:val="20"/>
        </w:rPr>
        <w:t xml:space="preserve"> and the comparator DMT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07"/>
        <w:gridCol w:w="1012"/>
        <w:gridCol w:w="1589"/>
        <w:gridCol w:w="2137"/>
        <w:gridCol w:w="1035"/>
      </w:tblGrid>
      <w:tr w:rsidR="00A13844" w:rsidRPr="009F2D6F" w:rsidTr="00486746">
        <w:trPr>
          <w:tblHeader/>
        </w:trPr>
        <w:tc>
          <w:tcPr>
            <w:tcW w:w="1074" w:type="pct"/>
          </w:tcPr>
          <w:p w:rsidR="00A13844" w:rsidRPr="009F2D6F" w:rsidRDefault="00A13844" w:rsidP="00077582">
            <w:pPr>
              <w:pStyle w:val="PbacTableHeading"/>
              <w:spacing w:after="0"/>
            </w:pPr>
            <w:r w:rsidRPr="009F2D6F">
              <w:t>Treatment</w:t>
            </w:r>
          </w:p>
        </w:tc>
        <w:tc>
          <w:tcPr>
            <w:tcW w:w="725" w:type="pct"/>
          </w:tcPr>
          <w:p w:rsidR="00A13844" w:rsidRPr="009F2D6F" w:rsidRDefault="00A13844" w:rsidP="00077582">
            <w:pPr>
              <w:pStyle w:val="PbacTableHeading"/>
              <w:spacing w:after="0"/>
              <w:jc w:val="center"/>
            </w:pPr>
            <w:r w:rsidRPr="009F2D6F">
              <w:t>n/N</w:t>
            </w:r>
          </w:p>
        </w:tc>
        <w:tc>
          <w:tcPr>
            <w:tcW w:w="561" w:type="pct"/>
          </w:tcPr>
          <w:p w:rsidR="00A13844" w:rsidRPr="009F2D6F" w:rsidRDefault="00A13844" w:rsidP="00077582">
            <w:pPr>
              <w:pStyle w:val="PbacTableHeading"/>
              <w:spacing w:after="0"/>
              <w:jc w:val="center"/>
            </w:pPr>
            <w:r w:rsidRPr="009F2D6F">
              <w:t>(%)</w:t>
            </w:r>
          </w:p>
        </w:tc>
        <w:tc>
          <w:tcPr>
            <w:tcW w:w="881" w:type="pct"/>
          </w:tcPr>
          <w:p w:rsidR="00A13844" w:rsidRPr="009F2D6F" w:rsidRDefault="00A13844" w:rsidP="00077582">
            <w:pPr>
              <w:pStyle w:val="PbacTableHeading"/>
              <w:spacing w:after="0"/>
              <w:jc w:val="center"/>
            </w:pPr>
            <w:r w:rsidRPr="009F2D6F">
              <w:t>Risk reduction</w:t>
            </w:r>
          </w:p>
        </w:tc>
        <w:tc>
          <w:tcPr>
            <w:tcW w:w="1185" w:type="pct"/>
          </w:tcPr>
          <w:p w:rsidR="00A13844" w:rsidRPr="009F2D6F" w:rsidRDefault="00A13844" w:rsidP="00077582">
            <w:pPr>
              <w:pStyle w:val="PbacTableHeading"/>
              <w:spacing w:after="0"/>
              <w:jc w:val="center"/>
            </w:pPr>
            <w:r w:rsidRPr="009F2D6F">
              <w:t>Hazard ratio (95% CI</w:t>
            </w:r>
            <w:r w:rsidR="004403BB" w:rsidRPr="009F2D6F">
              <w:t>)</w:t>
            </w:r>
          </w:p>
        </w:tc>
        <w:tc>
          <w:tcPr>
            <w:tcW w:w="574" w:type="pct"/>
          </w:tcPr>
          <w:p w:rsidR="00A13844" w:rsidRPr="009F2D6F" w:rsidRDefault="001B3D0B" w:rsidP="00077582">
            <w:pPr>
              <w:pStyle w:val="PbacTableHeading"/>
              <w:spacing w:after="0"/>
              <w:jc w:val="center"/>
            </w:pPr>
            <w:r w:rsidRPr="009F2D6F">
              <w:t>p-</w:t>
            </w:r>
            <w:r w:rsidR="00A13844" w:rsidRPr="009F2D6F">
              <w:t>value</w:t>
            </w:r>
          </w:p>
        </w:tc>
      </w:tr>
      <w:tr w:rsidR="00A13844" w:rsidRPr="009F2D6F" w:rsidTr="00486746">
        <w:tc>
          <w:tcPr>
            <w:tcW w:w="5000" w:type="pct"/>
            <w:gridSpan w:val="6"/>
            <w:vAlign w:val="center"/>
          </w:tcPr>
          <w:p w:rsidR="00A13844" w:rsidRPr="009F2D6F" w:rsidRDefault="00A13844" w:rsidP="00077582">
            <w:pPr>
              <w:pStyle w:val="PBACTabletext0"/>
              <w:spacing w:before="0" w:after="0"/>
              <w:rPr>
                <w:b/>
              </w:rPr>
            </w:pPr>
            <w:r w:rsidRPr="009F2D6F">
              <w:rPr>
                <w:b/>
              </w:rPr>
              <w:t>EXPAND</w:t>
            </w:r>
          </w:p>
        </w:tc>
      </w:tr>
      <w:tr w:rsidR="00A13844" w:rsidRPr="009F2D6F" w:rsidTr="00486746">
        <w:tc>
          <w:tcPr>
            <w:tcW w:w="5000" w:type="pct"/>
            <w:gridSpan w:val="6"/>
            <w:vAlign w:val="center"/>
          </w:tcPr>
          <w:p w:rsidR="00A13844" w:rsidRPr="009F2D6F" w:rsidRDefault="00A13844" w:rsidP="00077582">
            <w:pPr>
              <w:pStyle w:val="PBACTabletext0"/>
              <w:spacing w:before="0" w:after="0"/>
              <w:rPr>
                <w:b/>
              </w:rPr>
            </w:pPr>
            <w:r w:rsidRPr="009F2D6F">
              <w:rPr>
                <w:b/>
              </w:rPr>
              <w:lastRenderedPageBreak/>
              <w:t>3-month CDP</w:t>
            </w:r>
          </w:p>
        </w:tc>
      </w:tr>
      <w:tr w:rsidR="00A13844" w:rsidRPr="009F2D6F" w:rsidTr="00486746">
        <w:tc>
          <w:tcPr>
            <w:tcW w:w="1074" w:type="pct"/>
          </w:tcPr>
          <w:p w:rsidR="00A13844" w:rsidRPr="009F2D6F" w:rsidRDefault="00A13844" w:rsidP="00077582">
            <w:pPr>
              <w:pStyle w:val="PBACTableText"/>
              <w:spacing w:before="0" w:after="0"/>
            </w:pPr>
            <w:proofErr w:type="spellStart"/>
            <w:r w:rsidRPr="009F2D6F">
              <w:t>Siponimod</w:t>
            </w:r>
            <w:proofErr w:type="spellEnd"/>
          </w:p>
        </w:tc>
        <w:tc>
          <w:tcPr>
            <w:tcW w:w="725" w:type="pct"/>
          </w:tcPr>
          <w:p w:rsidR="00A13844" w:rsidRPr="009F2D6F" w:rsidRDefault="00A13844" w:rsidP="00077582">
            <w:pPr>
              <w:pStyle w:val="PBACTabletext0"/>
              <w:spacing w:before="0" w:after="0"/>
              <w:jc w:val="center"/>
            </w:pPr>
            <w:r w:rsidRPr="009F2D6F">
              <w:t>288/1096</w:t>
            </w:r>
          </w:p>
        </w:tc>
        <w:tc>
          <w:tcPr>
            <w:tcW w:w="561" w:type="pct"/>
          </w:tcPr>
          <w:p w:rsidR="00A13844" w:rsidRPr="009F2D6F" w:rsidRDefault="00A13844" w:rsidP="00077582">
            <w:pPr>
              <w:pStyle w:val="PBACTabletext0"/>
              <w:spacing w:before="0" w:after="0"/>
              <w:jc w:val="center"/>
            </w:pPr>
            <w:r w:rsidRPr="009F2D6F">
              <w:t>26.3</w:t>
            </w:r>
          </w:p>
        </w:tc>
        <w:tc>
          <w:tcPr>
            <w:tcW w:w="881" w:type="pct"/>
            <w:vMerge w:val="restart"/>
            <w:vAlign w:val="center"/>
          </w:tcPr>
          <w:p w:rsidR="00A13844" w:rsidRPr="009F2D6F" w:rsidRDefault="00A13844" w:rsidP="00077582">
            <w:pPr>
              <w:pStyle w:val="PBACTabletext0"/>
              <w:spacing w:before="0" w:after="0"/>
              <w:jc w:val="center"/>
            </w:pPr>
            <w:r w:rsidRPr="009F2D6F">
              <w:t>21.2%</w:t>
            </w:r>
          </w:p>
        </w:tc>
        <w:tc>
          <w:tcPr>
            <w:tcW w:w="1185" w:type="pct"/>
            <w:vMerge w:val="restart"/>
            <w:vAlign w:val="center"/>
          </w:tcPr>
          <w:p w:rsidR="00A13844" w:rsidRPr="009F2D6F" w:rsidRDefault="00A13844" w:rsidP="00077582">
            <w:pPr>
              <w:pStyle w:val="PBACTabletext0"/>
              <w:spacing w:before="0" w:after="0"/>
              <w:jc w:val="center"/>
              <w:rPr>
                <w:b/>
              </w:rPr>
            </w:pPr>
            <w:r w:rsidRPr="009F2D6F">
              <w:rPr>
                <w:b/>
              </w:rPr>
              <w:t>0.79 (0.65, 0.95)</w:t>
            </w:r>
          </w:p>
        </w:tc>
        <w:tc>
          <w:tcPr>
            <w:tcW w:w="574" w:type="pct"/>
            <w:vMerge w:val="restart"/>
            <w:vAlign w:val="center"/>
          </w:tcPr>
          <w:p w:rsidR="00A13844" w:rsidRPr="009F2D6F" w:rsidRDefault="00A13844" w:rsidP="00077582">
            <w:pPr>
              <w:pStyle w:val="PBACTabletext0"/>
              <w:spacing w:before="0" w:after="0"/>
              <w:jc w:val="center"/>
              <w:rPr>
                <w:b/>
              </w:rPr>
            </w:pPr>
            <w:r w:rsidRPr="009F2D6F">
              <w:rPr>
                <w:b/>
              </w:rPr>
              <w:t>0.0134</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173/545</w:t>
            </w:r>
          </w:p>
        </w:tc>
        <w:tc>
          <w:tcPr>
            <w:tcW w:w="561" w:type="pct"/>
          </w:tcPr>
          <w:p w:rsidR="00A13844" w:rsidRPr="009F2D6F" w:rsidRDefault="00A13844" w:rsidP="00077582">
            <w:pPr>
              <w:pStyle w:val="PBACTabletext0"/>
              <w:spacing w:before="0" w:after="0"/>
              <w:jc w:val="center"/>
            </w:pPr>
            <w:r w:rsidRPr="009F2D6F">
              <w:t>31.7</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vAlign w:val="center"/>
          </w:tcPr>
          <w:p w:rsidR="00A13844" w:rsidRPr="009F2D6F" w:rsidRDefault="00A13844" w:rsidP="00077582">
            <w:pPr>
              <w:pStyle w:val="PBACTabletext0"/>
              <w:spacing w:before="0" w:after="0"/>
              <w:rPr>
                <w:b/>
              </w:rPr>
            </w:pPr>
            <w:r w:rsidRPr="009F2D6F">
              <w:rPr>
                <w:b/>
              </w:rPr>
              <w:t>6-month CDP</w:t>
            </w:r>
          </w:p>
        </w:tc>
      </w:tr>
      <w:tr w:rsidR="00A13844" w:rsidRPr="009F2D6F" w:rsidTr="00486746">
        <w:tc>
          <w:tcPr>
            <w:tcW w:w="1074" w:type="pct"/>
          </w:tcPr>
          <w:p w:rsidR="00A13844" w:rsidRPr="009F2D6F" w:rsidRDefault="00A13844" w:rsidP="00077582">
            <w:pPr>
              <w:pStyle w:val="PBACTableText"/>
              <w:spacing w:before="0" w:after="0"/>
            </w:pPr>
            <w:proofErr w:type="spellStart"/>
            <w:r w:rsidRPr="009F2D6F">
              <w:t>Siponimod</w:t>
            </w:r>
            <w:proofErr w:type="spellEnd"/>
          </w:p>
        </w:tc>
        <w:tc>
          <w:tcPr>
            <w:tcW w:w="725" w:type="pct"/>
          </w:tcPr>
          <w:p w:rsidR="00A13844" w:rsidRPr="009F2D6F" w:rsidRDefault="00A13844" w:rsidP="00077582">
            <w:pPr>
              <w:pStyle w:val="PBACTabletext0"/>
              <w:spacing w:before="0" w:after="0"/>
              <w:jc w:val="center"/>
            </w:pPr>
            <w:r w:rsidRPr="009F2D6F">
              <w:t>218/1096</w:t>
            </w:r>
          </w:p>
        </w:tc>
        <w:tc>
          <w:tcPr>
            <w:tcW w:w="561" w:type="pct"/>
          </w:tcPr>
          <w:p w:rsidR="00A13844" w:rsidRPr="009F2D6F" w:rsidRDefault="00A13844" w:rsidP="00077582">
            <w:pPr>
              <w:pStyle w:val="PBACTabletext0"/>
              <w:spacing w:before="0" w:after="0"/>
              <w:jc w:val="center"/>
            </w:pPr>
            <w:r w:rsidRPr="009F2D6F">
              <w:t>19.9</w:t>
            </w:r>
          </w:p>
        </w:tc>
        <w:tc>
          <w:tcPr>
            <w:tcW w:w="881" w:type="pct"/>
            <w:vMerge w:val="restart"/>
            <w:vAlign w:val="center"/>
          </w:tcPr>
          <w:p w:rsidR="00A13844" w:rsidRPr="009F2D6F" w:rsidRDefault="00A13844" w:rsidP="00077582">
            <w:pPr>
              <w:pStyle w:val="PBACTabletext0"/>
              <w:spacing w:before="0" w:after="0"/>
              <w:jc w:val="center"/>
            </w:pPr>
            <w:r w:rsidRPr="009F2D6F">
              <w:t>25.9%</w:t>
            </w:r>
          </w:p>
        </w:tc>
        <w:tc>
          <w:tcPr>
            <w:tcW w:w="1185" w:type="pct"/>
            <w:vMerge w:val="restart"/>
            <w:vAlign w:val="center"/>
          </w:tcPr>
          <w:p w:rsidR="00A13844" w:rsidRPr="009F2D6F" w:rsidRDefault="00A13844" w:rsidP="00077582">
            <w:pPr>
              <w:pStyle w:val="PBACTabletext0"/>
              <w:spacing w:before="0" w:after="0"/>
              <w:jc w:val="center"/>
            </w:pPr>
            <w:r w:rsidRPr="009F2D6F">
              <w:rPr>
                <w:b/>
              </w:rPr>
              <w:t>0.74 (0.60, 0.92)</w:t>
            </w:r>
          </w:p>
        </w:tc>
        <w:tc>
          <w:tcPr>
            <w:tcW w:w="574" w:type="pct"/>
            <w:vMerge w:val="restart"/>
            <w:vAlign w:val="center"/>
          </w:tcPr>
          <w:p w:rsidR="00A13844" w:rsidRPr="009F2D6F" w:rsidRDefault="00A13844" w:rsidP="00077582">
            <w:pPr>
              <w:pStyle w:val="PBACTabletext0"/>
              <w:spacing w:before="0" w:after="0"/>
              <w:jc w:val="center"/>
            </w:pPr>
            <w:r w:rsidRPr="009F2D6F">
              <w:rPr>
                <w:b/>
              </w:rPr>
              <w:t>0.0058</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139/545</w:t>
            </w:r>
          </w:p>
        </w:tc>
        <w:tc>
          <w:tcPr>
            <w:tcW w:w="561" w:type="pct"/>
          </w:tcPr>
          <w:p w:rsidR="00A13844" w:rsidRPr="009F2D6F" w:rsidRDefault="00A13844" w:rsidP="00077582">
            <w:pPr>
              <w:pStyle w:val="PBACTabletext0"/>
              <w:spacing w:before="0" w:after="0"/>
              <w:jc w:val="center"/>
            </w:pPr>
            <w:r w:rsidRPr="009F2D6F">
              <w:t>25.5</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vAlign w:val="center"/>
          </w:tcPr>
          <w:p w:rsidR="00A13844" w:rsidRPr="009F2D6F" w:rsidRDefault="00A13844" w:rsidP="00077582">
            <w:pPr>
              <w:pStyle w:val="PBACTabletext0"/>
              <w:spacing w:before="0" w:after="0"/>
              <w:rPr>
                <w:b/>
                <w:vertAlign w:val="superscript"/>
              </w:rPr>
            </w:pPr>
            <w:r w:rsidRPr="009F2D6F">
              <w:rPr>
                <w:b/>
              </w:rPr>
              <w:t>Nordic SG</w:t>
            </w:r>
            <w:r w:rsidR="002F7658" w:rsidRPr="009F2D6F">
              <w:rPr>
                <w:b/>
                <w:vertAlign w:val="superscript"/>
              </w:rPr>
              <w:t>1</w:t>
            </w:r>
          </w:p>
        </w:tc>
      </w:tr>
      <w:tr w:rsidR="00A13844" w:rsidRPr="009F2D6F" w:rsidTr="00486746">
        <w:tc>
          <w:tcPr>
            <w:tcW w:w="1074" w:type="pct"/>
          </w:tcPr>
          <w:p w:rsidR="00A13844" w:rsidRPr="009F2D6F" w:rsidRDefault="005B0C66" w:rsidP="00077582">
            <w:pPr>
              <w:pStyle w:val="PBACTableText"/>
              <w:spacing w:before="0" w:after="0"/>
            </w:pPr>
            <w:r w:rsidRPr="009F2D6F">
              <w:t>IFN-beta</w:t>
            </w:r>
            <w:r w:rsidR="00A13844" w:rsidRPr="009F2D6F">
              <w:t>-1a</w:t>
            </w:r>
          </w:p>
        </w:tc>
        <w:tc>
          <w:tcPr>
            <w:tcW w:w="725" w:type="pct"/>
          </w:tcPr>
          <w:p w:rsidR="00A13844" w:rsidRPr="009F2D6F" w:rsidRDefault="00A13844" w:rsidP="00077582">
            <w:pPr>
              <w:pStyle w:val="PBACTabletext0"/>
              <w:spacing w:before="0" w:after="0"/>
              <w:jc w:val="center"/>
            </w:pPr>
            <w:r w:rsidRPr="009F2D6F">
              <w:t>77/186</w:t>
            </w:r>
          </w:p>
        </w:tc>
        <w:tc>
          <w:tcPr>
            <w:tcW w:w="561" w:type="pct"/>
          </w:tcPr>
          <w:p w:rsidR="00A13844" w:rsidRPr="009F2D6F" w:rsidRDefault="00A13844" w:rsidP="00077582">
            <w:pPr>
              <w:pStyle w:val="PBACTabletext0"/>
              <w:spacing w:before="0" w:after="0"/>
              <w:jc w:val="center"/>
            </w:pPr>
            <w:r w:rsidRPr="009F2D6F">
              <w:t>41.4</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pPr>
            <w:r w:rsidRPr="009F2D6F">
              <w:t>1.13  (0.82, 1.57)</w:t>
            </w:r>
          </w:p>
        </w:tc>
        <w:tc>
          <w:tcPr>
            <w:tcW w:w="574" w:type="pct"/>
            <w:vMerge w:val="restart"/>
            <w:vAlign w:val="center"/>
          </w:tcPr>
          <w:p w:rsidR="00A13844" w:rsidRPr="009F2D6F" w:rsidRDefault="00A13844" w:rsidP="00077582">
            <w:pPr>
              <w:pStyle w:val="PBACTabletext0"/>
              <w:spacing w:before="0" w:after="0"/>
              <w:jc w:val="center"/>
            </w:pPr>
            <w:r w:rsidRPr="009F2D6F">
              <w:t>0.45</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68/178</w:t>
            </w:r>
          </w:p>
        </w:tc>
        <w:tc>
          <w:tcPr>
            <w:tcW w:w="561" w:type="pct"/>
          </w:tcPr>
          <w:p w:rsidR="00A13844" w:rsidRPr="009F2D6F" w:rsidRDefault="00A13844" w:rsidP="00077582">
            <w:pPr>
              <w:pStyle w:val="PBACTabletext0"/>
              <w:spacing w:before="0" w:after="0"/>
              <w:jc w:val="center"/>
            </w:pPr>
            <w:r w:rsidRPr="009F2D6F">
              <w:t>38.2</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tcPr>
          <w:p w:rsidR="00A13844" w:rsidRPr="009F2D6F" w:rsidRDefault="00A13844" w:rsidP="00077582">
            <w:pPr>
              <w:pStyle w:val="PBACTabletext0"/>
              <w:spacing w:before="0" w:after="0"/>
              <w:rPr>
                <w:b/>
                <w:vertAlign w:val="superscript"/>
              </w:rPr>
            </w:pPr>
            <w:r w:rsidRPr="009F2D6F">
              <w:rPr>
                <w:b/>
              </w:rPr>
              <w:t>North America SG</w:t>
            </w:r>
            <w:r w:rsidR="002F7658" w:rsidRPr="009F2D6F">
              <w:rPr>
                <w:b/>
                <w:vertAlign w:val="superscript"/>
              </w:rPr>
              <w:t>2</w:t>
            </w:r>
          </w:p>
        </w:tc>
      </w:tr>
      <w:tr w:rsidR="00A13844" w:rsidRPr="009F2D6F" w:rsidTr="00486746">
        <w:tc>
          <w:tcPr>
            <w:tcW w:w="1074" w:type="pct"/>
          </w:tcPr>
          <w:p w:rsidR="00A13844" w:rsidRPr="009F2D6F" w:rsidRDefault="005B0C66" w:rsidP="00077582">
            <w:pPr>
              <w:pStyle w:val="PBACTableText"/>
              <w:spacing w:before="0" w:after="0"/>
            </w:pPr>
            <w:r w:rsidRPr="009F2D6F">
              <w:t>IFN-beta</w:t>
            </w:r>
            <w:r w:rsidR="00A13844" w:rsidRPr="009F2D6F">
              <w:t>-1b</w:t>
            </w:r>
          </w:p>
        </w:tc>
        <w:tc>
          <w:tcPr>
            <w:tcW w:w="725" w:type="pct"/>
          </w:tcPr>
          <w:p w:rsidR="00A13844" w:rsidRPr="009F2D6F" w:rsidRDefault="00A13844" w:rsidP="00077582">
            <w:pPr>
              <w:pStyle w:val="PBACTabletext0"/>
              <w:spacing w:before="0" w:after="0"/>
              <w:jc w:val="center"/>
            </w:pPr>
            <w:r w:rsidRPr="009F2D6F">
              <w:t>227/631</w:t>
            </w:r>
          </w:p>
        </w:tc>
        <w:tc>
          <w:tcPr>
            <w:tcW w:w="561" w:type="pct"/>
          </w:tcPr>
          <w:p w:rsidR="00A13844" w:rsidRPr="009F2D6F" w:rsidRDefault="00A13844" w:rsidP="00077582">
            <w:pPr>
              <w:pStyle w:val="PBACTabletext0"/>
              <w:spacing w:before="0" w:after="0"/>
              <w:jc w:val="center"/>
            </w:pPr>
            <w:r w:rsidRPr="009F2D6F">
              <w:t>36.0</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pPr>
            <w:r w:rsidRPr="009F2D6F">
              <w:t>1.05 (0.87, 1.26)</w:t>
            </w:r>
          </w:p>
        </w:tc>
        <w:tc>
          <w:tcPr>
            <w:tcW w:w="574" w:type="pct"/>
            <w:vMerge w:val="restart"/>
            <w:vAlign w:val="center"/>
          </w:tcPr>
          <w:p w:rsidR="00A13844" w:rsidRPr="009F2D6F" w:rsidRDefault="00A13844" w:rsidP="00077582">
            <w:pPr>
              <w:pStyle w:val="PBACTabletext0"/>
              <w:spacing w:before="0" w:after="0"/>
              <w:jc w:val="center"/>
            </w:pPr>
            <w:r w:rsidRPr="009F2D6F">
              <w:t>0.64</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106/308</w:t>
            </w:r>
          </w:p>
        </w:tc>
        <w:tc>
          <w:tcPr>
            <w:tcW w:w="561" w:type="pct"/>
          </w:tcPr>
          <w:p w:rsidR="00A13844" w:rsidRPr="009F2D6F" w:rsidRDefault="00A13844" w:rsidP="00077582">
            <w:pPr>
              <w:pStyle w:val="PBACTabletext0"/>
              <w:spacing w:before="0" w:after="0"/>
              <w:jc w:val="center"/>
            </w:pPr>
            <w:r w:rsidRPr="009F2D6F">
              <w:t>34.4</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vAlign w:val="center"/>
          </w:tcPr>
          <w:p w:rsidR="00A13844" w:rsidRPr="009F2D6F" w:rsidRDefault="00A13844" w:rsidP="00077582">
            <w:pPr>
              <w:pStyle w:val="PBACTabletext0"/>
              <w:spacing w:before="0" w:after="0"/>
              <w:rPr>
                <w:b/>
                <w:vertAlign w:val="superscript"/>
              </w:rPr>
            </w:pPr>
            <w:r w:rsidRPr="009F2D6F">
              <w:rPr>
                <w:b/>
              </w:rPr>
              <w:t>European SG</w:t>
            </w:r>
            <w:r w:rsidR="002F7658" w:rsidRPr="009F2D6F">
              <w:rPr>
                <w:b/>
                <w:vertAlign w:val="superscript"/>
              </w:rPr>
              <w:t>3</w:t>
            </w:r>
          </w:p>
        </w:tc>
      </w:tr>
      <w:tr w:rsidR="00A13844" w:rsidRPr="009F2D6F" w:rsidTr="00486746">
        <w:tc>
          <w:tcPr>
            <w:tcW w:w="1074" w:type="pct"/>
          </w:tcPr>
          <w:p w:rsidR="00A13844" w:rsidRPr="009F2D6F" w:rsidRDefault="005B0C66" w:rsidP="00077582">
            <w:pPr>
              <w:pStyle w:val="PBACTableText"/>
              <w:spacing w:before="0" w:after="0"/>
            </w:pPr>
            <w:r w:rsidRPr="009F2D6F">
              <w:t>IFN-beta</w:t>
            </w:r>
            <w:r w:rsidR="00A13844" w:rsidRPr="009F2D6F">
              <w:t>-1b</w:t>
            </w:r>
          </w:p>
        </w:tc>
        <w:tc>
          <w:tcPr>
            <w:tcW w:w="725" w:type="pct"/>
          </w:tcPr>
          <w:p w:rsidR="00A13844" w:rsidRPr="009F2D6F" w:rsidRDefault="00A13844" w:rsidP="00077582">
            <w:pPr>
              <w:pStyle w:val="PBACTabletext0"/>
              <w:spacing w:before="0" w:after="0"/>
              <w:jc w:val="center"/>
            </w:pPr>
            <w:r w:rsidRPr="009F2D6F">
              <w:t>147/360</w:t>
            </w:r>
          </w:p>
        </w:tc>
        <w:tc>
          <w:tcPr>
            <w:tcW w:w="561" w:type="pct"/>
          </w:tcPr>
          <w:p w:rsidR="00A13844" w:rsidRPr="009F2D6F" w:rsidRDefault="00A13844" w:rsidP="00077582">
            <w:pPr>
              <w:pStyle w:val="PBACTabletext0"/>
              <w:spacing w:before="0" w:after="0"/>
              <w:jc w:val="center"/>
            </w:pPr>
            <w:r w:rsidRPr="009F2D6F">
              <w:t>40.8</w:t>
            </w:r>
          </w:p>
        </w:tc>
        <w:tc>
          <w:tcPr>
            <w:tcW w:w="881" w:type="pct"/>
            <w:vMerge w:val="restart"/>
            <w:vAlign w:val="center"/>
          </w:tcPr>
          <w:p w:rsidR="00A13844" w:rsidRPr="009F2D6F" w:rsidRDefault="00A13844" w:rsidP="00077582">
            <w:pPr>
              <w:pStyle w:val="PBACTabletext0"/>
              <w:spacing w:before="0" w:after="0"/>
              <w:jc w:val="center"/>
            </w:pPr>
            <w:r w:rsidRPr="009F2D6F">
              <w:t>16.0%</w:t>
            </w:r>
          </w:p>
        </w:tc>
        <w:tc>
          <w:tcPr>
            <w:tcW w:w="1185" w:type="pct"/>
            <w:vMerge w:val="restart"/>
            <w:vAlign w:val="center"/>
          </w:tcPr>
          <w:p w:rsidR="00A13844" w:rsidRPr="009F2D6F" w:rsidRDefault="00A13844" w:rsidP="00077582">
            <w:pPr>
              <w:pStyle w:val="PBACTabletext0"/>
              <w:spacing w:before="0" w:after="0"/>
              <w:jc w:val="center"/>
            </w:pPr>
            <w:r w:rsidRPr="009F2D6F">
              <w:rPr>
                <w:b/>
              </w:rPr>
              <w:t>0.84 (0.71, 0.99)</w:t>
            </w:r>
          </w:p>
        </w:tc>
        <w:tc>
          <w:tcPr>
            <w:tcW w:w="574" w:type="pct"/>
            <w:vMerge w:val="restart"/>
            <w:vAlign w:val="center"/>
          </w:tcPr>
          <w:p w:rsidR="00A13844" w:rsidRPr="009F2D6F" w:rsidRDefault="00A13844" w:rsidP="00077582">
            <w:pPr>
              <w:pStyle w:val="PBACTabletext0"/>
              <w:spacing w:before="0" w:after="0"/>
              <w:jc w:val="center"/>
            </w:pPr>
            <w:r w:rsidRPr="009F2D6F">
              <w:rPr>
                <w:b/>
              </w:rPr>
              <w:t>0.04</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174/358</w:t>
            </w:r>
          </w:p>
        </w:tc>
        <w:tc>
          <w:tcPr>
            <w:tcW w:w="561" w:type="pct"/>
          </w:tcPr>
          <w:p w:rsidR="00A13844" w:rsidRPr="009F2D6F" w:rsidRDefault="00A13844" w:rsidP="00077582">
            <w:pPr>
              <w:pStyle w:val="PBACTabletext0"/>
              <w:spacing w:before="0" w:after="0"/>
              <w:jc w:val="center"/>
            </w:pPr>
            <w:r w:rsidRPr="009F2D6F">
              <w:t>48.6</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rPr>
                <w:b/>
              </w:rPr>
            </w:pPr>
          </w:p>
        </w:tc>
        <w:tc>
          <w:tcPr>
            <w:tcW w:w="574" w:type="pct"/>
            <w:vMerge/>
            <w:vAlign w:val="center"/>
          </w:tcPr>
          <w:p w:rsidR="00A13844" w:rsidRPr="009F2D6F" w:rsidRDefault="00A13844" w:rsidP="00077582">
            <w:pPr>
              <w:pStyle w:val="PBACTabletext0"/>
              <w:spacing w:before="0" w:after="0"/>
              <w:jc w:val="center"/>
              <w:rPr>
                <w:b/>
              </w:rPr>
            </w:pPr>
          </w:p>
        </w:tc>
      </w:tr>
      <w:tr w:rsidR="00A13844" w:rsidRPr="009F2D6F" w:rsidTr="00486746">
        <w:tc>
          <w:tcPr>
            <w:tcW w:w="5000" w:type="pct"/>
            <w:gridSpan w:val="6"/>
            <w:vAlign w:val="center"/>
          </w:tcPr>
          <w:p w:rsidR="00A13844" w:rsidRPr="009F2D6F" w:rsidRDefault="00A13844" w:rsidP="00077582">
            <w:pPr>
              <w:pStyle w:val="PBACTabletext0"/>
              <w:spacing w:before="0" w:after="0"/>
              <w:rPr>
                <w:b/>
                <w:vertAlign w:val="superscript"/>
              </w:rPr>
            </w:pPr>
            <w:r w:rsidRPr="009F2D6F">
              <w:rPr>
                <w:b/>
              </w:rPr>
              <w:t>IMPACT</w:t>
            </w:r>
            <w:r w:rsidR="002F7658" w:rsidRPr="009F2D6F">
              <w:rPr>
                <w:b/>
                <w:vertAlign w:val="superscript"/>
              </w:rPr>
              <w:t>4</w:t>
            </w:r>
          </w:p>
        </w:tc>
      </w:tr>
      <w:tr w:rsidR="00A13844" w:rsidRPr="009F2D6F" w:rsidTr="00486746">
        <w:tc>
          <w:tcPr>
            <w:tcW w:w="1074" w:type="pct"/>
          </w:tcPr>
          <w:p w:rsidR="00A13844" w:rsidRPr="009F2D6F" w:rsidRDefault="005B0C66" w:rsidP="00077582">
            <w:pPr>
              <w:pStyle w:val="PBACTableText"/>
              <w:spacing w:before="0" w:after="0"/>
            </w:pPr>
            <w:r w:rsidRPr="009F2D6F">
              <w:t>IFN-beta</w:t>
            </w:r>
            <w:r w:rsidR="00A13844" w:rsidRPr="009F2D6F">
              <w:t>-1a</w:t>
            </w:r>
          </w:p>
        </w:tc>
        <w:tc>
          <w:tcPr>
            <w:tcW w:w="725" w:type="pct"/>
          </w:tcPr>
          <w:p w:rsidR="00A13844" w:rsidRPr="009F2D6F" w:rsidRDefault="00A13844" w:rsidP="00077582">
            <w:pPr>
              <w:pStyle w:val="PBACTabletext0"/>
              <w:spacing w:before="0" w:after="0"/>
              <w:jc w:val="center"/>
            </w:pPr>
            <w:r w:rsidRPr="009F2D6F">
              <w:t>56/217</w:t>
            </w:r>
          </w:p>
        </w:tc>
        <w:tc>
          <w:tcPr>
            <w:tcW w:w="561" w:type="pct"/>
          </w:tcPr>
          <w:p w:rsidR="00A13844" w:rsidRPr="009F2D6F" w:rsidRDefault="00A13844" w:rsidP="00077582">
            <w:pPr>
              <w:pStyle w:val="PBACTabletext0"/>
              <w:spacing w:before="0" w:after="0"/>
              <w:jc w:val="center"/>
            </w:pPr>
            <w:r w:rsidRPr="009F2D6F">
              <w:t>25.8</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rPr>
                <w:b/>
              </w:rPr>
            </w:pPr>
            <w:r w:rsidRPr="009F2D6F">
              <w:t>0.977 (0.679, 1.407)</w:t>
            </w:r>
          </w:p>
        </w:tc>
        <w:tc>
          <w:tcPr>
            <w:tcW w:w="574" w:type="pct"/>
            <w:vMerge w:val="restart"/>
            <w:vAlign w:val="center"/>
          </w:tcPr>
          <w:p w:rsidR="00A13844" w:rsidRPr="009F2D6F" w:rsidRDefault="00A13844" w:rsidP="00077582">
            <w:pPr>
              <w:pStyle w:val="PBACTabletext0"/>
              <w:spacing w:before="0" w:after="0"/>
              <w:jc w:val="center"/>
              <w:rPr>
                <w:b/>
              </w:rPr>
            </w:pPr>
            <w:r w:rsidRPr="009F2D6F">
              <w:t>0.90</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60/219</w:t>
            </w:r>
          </w:p>
        </w:tc>
        <w:tc>
          <w:tcPr>
            <w:tcW w:w="561" w:type="pct"/>
          </w:tcPr>
          <w:p w:rsidR="00A13844" w:rsidRPr="009F2D6F" w:rsidRDefault="00A13844" w:rsidP="00077582">
            <w:pPr>
              <w:pStyle w:val="PBACTabletext0"/>
              <w:spacing w:before="0" w:after="0"/>
              <w:jc w:val="center"/>
            </w:pPr>
            <w:r w:rsidRPr="009F2D6F">
              <w:t>27.4</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tcPr>
          <w:p w:rsidR="00A13844" w:rsidRPr="009F2D6F" w:rsidRDefault="00A13844" w:rsidP="00077582">
            <w:pPr>
              <w:pStyle w:val="PBACTabletext0"/>
              <w:spacing w:before="0" w:after="0"/>
              <w:rPr>
                <w:b/>
                <w:vertAlign w:val="superscript"/>
              </w:rPr>
            </w:pPr>
            <w:r w:rsidRPr="009F2D6F">
              <w:rPr>
                <w:b/>
              </w:rPr>
              <w:t>SPECTRUMS</w:t>
            </w:r>
            <w:r w:rsidR="002F7658" w:rsidRPr="009F2D6F">
              <w:rPr>
                <w:b/>
                <w:vertAlign w:val="superscript"/>
              </w:rPr>
              <w:t>5</w:t>
            </w:r>
          </w:p>
        </w:tc>
      </w:tr>
      <w:tr w:rsidR="00A13844" w:rsidRPr="009F2D6F" w:rsidTr="00486746">
        <w:tc>
          <w:tcPr>
            <w:tcW w:w="1074" w:type="pct"/>
          </w:tcPr>
          <w:p w:rsidR="00A13844" w:rsidRPr="009F2D6F" w:rsidRDefault="005B0C66" w:rsidP="00077582">
            <w:pPr>
              <w:pStyle w:val="PBACTableText"/>
              <w:spacing w:before="0" w:after="0"/>
            </w:pPr>
            <w:r w:rsidRPr="009F2D6F">
              <w:t>IFN-beta</w:t>
            </w:r>
            <w:r w:rsidR="00A13844" w:rsidRPr="009F2D6F">
              <w:t>-1a</w:t>
            </w:r>
          </w:p>
        </w:tc>
        <w:tc>
          <w:tcPr>
            <w:tcW w:w="725" w:type="pct"/>
          </w:tcPr>
          <w:p w:rsidR="00A13844" w:rsidRPr="009F2D6F" w:rsidRDefault="00A13844" w:rsidP="00077582">
            <w:pPr>
              <w:pStyle w:val="PBACTabletext0"/>
              <w:spacing w:before="0" w:after="0"/>
              <w:jc w:val="center"/>
            </w:pPr>
            <w:r w:rsidRPr="009F2D6F">
              <w:t>245/413</w:t>
            </w:r>
          </w:p>
        </w:tc>
        <w:tc>
          <w:tcPr>
            <w:tcW w:w="561" w:type="pct"/>
          </w:tcPr>
          <w:p w:rsidR="00A13844" w:rsidRPr="009F2D6F" w:rsidRDefault="00A13844" w:rsidP="00077582">
            <w:pPr>
              <w:pStyle w:val="PBACTabletext0"/>
              <w:spacing w:before="0" w:after="0"/>
              <w:jc w:val="center"/>
            </w:pPr>
            <w:r w:rsidRPr="009F2D6F">
              <w:t>59.3</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pPr>
            <w:r w:rsidRPr="009F2D6F">
              <w:t>0.91 (0.80, 1.04)</w:t>
            </w:r>
          </w:p>
        </w:tc>
        <w:tc>
          <w:tcPr>
            <w:tcW w:w="574" w:type="pct"/>
            <w:vMerge w:val="restart"/>
            <w:vAlign w:val="center"/>
          </w:tcPr>
          <w:p w:rsidR="00A13844" w:rsidRPr="009F2D6F" w:rsidRDefault="00A13844" w:rsidP="00077582">
            <w:pPr>
              <w:pStyle w:val="PBACTabletext0"/>
              <w:spacing w:before="0" w:after="0"/>
              <w:jc w:val="center"/>
            </w:pPr>
            <w:r w:rsidRPr="009F2D6F">
              <w:t>0.17</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133/205</w:t>
            </w:r>
          </w:p>
        </w:tc>
        <w:tc>
          <w:tcPr>
            <w:tcW w:w="561" w:type="pct"/>
          </w:tcPr>
          <w:p w:rsidR="00A13844" w:rsidRPr="009F2D6F" w:rsidRDefault="00A13844" w:rsidP="00077582">
            <w:pPr>
              <w:pStyle w:val="PBACTabletext0"/>
              <w:spacing w:before="0" w:after="0"/>
              <w:jc w:val="center"/>
            </w:pPr>
            <w:r w:rsidRPr="009F2D6F">
              <w:t>64.9</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C53082" w:rsidRPr="009F2D6F" w:rsidTr="00486746">
        <w:tc>
          <w:tcPr>
            <w:tcW w:w="3241" w:type="pct"/>
            <w:gridSpan w:val="4"/>
            <w:vAlign w:val="center"/>
          </w:tcPr>
          <w:p w:rsidR="00C53082" w:rsidRPr="009F2D6F" w:rsidRDefault="00C53082" w:rsidP="00077582">
            <w:pPr>
              <w:pStyle w:val="PBACTabletext0"/>
              <w:spacing w:before="0" w:after="0"/>
              <w:jc w:val="right"/>
            </w:pPr>
            <w:r w:rsidRPr="009F2D6F">
              <w:t>Meta-analysis</w:t>
            </w:r>
            <w:r w:rsidR="00D16283" w:rsidRPr="009F2D6F">
              <w:t xml:space="preserve"> of IFN trials</w:t>
            </w:r>
            <w:r w:rsidRPr="009F2D6F">
              <w:t xml:space="preserve"> (3- and 6-month CDP combined)</w:t>
            </w:r>
          </w:p>
        </w:tc>
        <w:tc>
          <w:tcPr>
            <w:tcW w:w="1185" w:type="pct"/>
            <w:vAlign w:val="center"/>
          </w:tcPr>
          <w:p w:rsidR="00C53082" w:rsidRPr="009F2D6F" w:rsidRDefault="00C53082" w:rsidP="00077582">
            <w:pPr>
              <w:pStyle w:val="PBACTabletext0"/>
              <w:spacing w:before="0" w:after="0"/>
              <w:jc w:val="center"/>
            </w:pPr>
            <w:r w:rsidRPr="009F2D6F">
              <w:t xml:space="preserve">Risk ratio = </w:t>
            </w:r>
          </w:p>
          <w:p w:rsidR="00C53082" w:rsidRPr="009F2D6F" w:rsidRDefault="00C53082" w:rsidP="00077582">
            <w:pPr>
              <w:pStyle w:val="PBACTabletext0"/>
              <w:spacing w:before="0" w:after="0"/>
              <w:jc w:val="center"/>
            </w:pPr>
            <w:r w:rsidRPr="009F2D6F">
              <w:t>0.94 (0.86, 1.03)</w:t>
            </w:r>
          </w:p>
        </w:tc>
        <w:tc>
          <w:tcPr>
            <w:tcW w:w="574" w:type="pct"/>
            <w:vAlign w:val="center"/>
          </w:tcPr>
          <w:p w:rsidR="00C53082" w:rsidRPr="009F2D6F" w:rsidRDefault="00C53082" w:rsidP="00077582">
            <w:pPr>
              <w:pStyle w:val="PBACTabletext0"/>
              <w:spacing w:before="0" w:after="0"/>
              <w:jc w:val="center"/>
            </w:pPr>
            <w:r w:rsidRPr="009F2D6F">
              <w:t>-</w:t>
            </w:r>
          </w:p>
        </w:tc>
      </w:tr>
      <w:tr w:rsidR="00A13844" w:rsidRPr="009F2D6F" w:rsidTr="00486746">
        <w:tc>
          <w:tcPr>
            <w:tcW w:w="5000" w:type="pct"/>
            <w:gridSpan w:val="6"/>
          </w:tcPr>
          <w:p w:rsidR="00A13844" w:rsidRPr="009F2D6F" w:rsidRDefault="00A13844" w:rsidP="00077582">
            <w:pPr>
              <w:pStyle w:val="PBACTabletext0"/>
              <w:spacing w:before="0" w:after="0"/>
              <w:rPr>
                <w:b/>
                <w:vertAlign w:val="superscript"/>
              </w:rPr>
            </w:pPr>
            <w:r w:rsidRPr="009F2D6F">
              <w:rPr>
                <w:b/>
              </w:rPr>
              <w:t>COP-1</w:t>
            </w:r>
            <w:r w:rsidR="002F7658" w:rsidRPr="009F2D6F">
              <w:rPr>
                <w:b/>
                <w:vertAlign w:val="superscript"/>
              </w:rPr>
              <w:t>6</w:t>
            </w:r>
          </w:p>
        </w:tc>
      </w:tr>
      <w:tr w:rsidR="00A13844" w:rsidRPr="009F2D6F" w:rsidTr="00486746">
        <w:tc>
          <w:tcPr>
            <w:tcW w:w="1074" w:type="pct"/>
          </w:tcPr>
          <w:p w:rsidR="00A13844" w:rsidRPr="009F2D6F" w:rsidRDefault="00A13844" w:rsidP="00077582">
            <w:pPr>
              <w:pStyle w:val="PBACTableText"/>
              <w:spacing w:before="0" w:after="0"/>
            </w:pPr>
            <w:proofErr w:type="spellStart"/>
            <w:r w:rsidRPr="009F2D6F">
              <w:t>Glatiramer</w:t>
            </w:r>
            <w:proofErr w:type="spellEnd"/>
            <w:r w:rsidRPr="009F2D6F">
              <w:t xml:space="preserve"> acetate</w:t>
            </w:r>
          </w:p>
        </w:tc>
        <w:tc>
          <w:tcPr>
            <w:tcW w:w="725" w:type="pct"/>
          </w:tcPr>
          <w:p w:rsidR="00A13844" w:rsidRPr="009F2D6F" w:rsidRDefault="00A13844" w:rsidP="00077582">
            <w:pPr>
              <w:pStyle w:val="PBACTabletext0"/>
              <w:spacing w:before="0" w:after="0"/>
              <w:jc w:val="center"/>
            </w:pPr>
            <w:r w:rsidRPr="009F2D6F">
              <w:t>9/51</w:t>
            </w:r>
          </w:p>
        </w:tc>
        <w:tc>
          <w:tcPr>
            <w:tcW w:w="561" w:type="pct"/>
          </w:tcPr>
          <w:p w:rsidR="00A13844" w:rsidRPr="009F2D6F" w:rsidRDefault="00A13844" w:rsidP="00077582">
            <w:pPr>
              <w:pStyle w:val="PBACTabletext0"/>
              <w:spacing w:before="0" w:after="0"/>
              <w:jc w:val="center"/>
            </w:pPr>
            <w:r w:rsidRPr="009F2D6F">
              <w:t>17.6</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pPr>
            <w:r w:rsidRPr="009F2D6F">
              <w:t>0.69 (0.33, 1.46)</w:t>
            </w:r>
          </w:p>
        </w:tc>
        <w:tc>
          <w:tcPr>
            <w:tcW w:w="574" w:type="pct"/>
            <w:vMerge w:val="restart"/>
            <w:vAlign w:val="center"/>
          </w:tcPr>
          <w:p w:rsidR="00A13844" w:rsidRPr="009F2D6F" w:rsidRDefault="00A13844" w:rsidP="00077582">
            <w:pPr>
              <w:pStyle w:val="PBACTabletext0"/>
              <w:spacing w:before="0" w:after="0"/>
              <w:jc w:val="center"/>
            </w:pPr>
            <w:r w:rsidRPr="009F2D6F">
              <w:t>0.34</w:t>
            </w:r>
          </w:p>
        </w:tc>
      </w:tr>
      <w:tr w:rsidR="00A13844" w:rsidRPr="009F2D6F" w:rsidTr="00486746">
        <w:tc>
          <w:tcPr>
            <w:tcW w:w="1074" w:type="pct"/>
          </w:tcPr>
          <w:p w:rsidR="00A13844" w:rsidRPr="009F2D6F" w:rsidRDefault="00A13844" w:rsidP="00077582">
            <w:pPr>
              <w:pStyle w:val="PBACTableText"/>
              <w:spacing w:before="0" w:after="0"/>
            </w:pPr>
            <w:r w:rsidRPr="009F2D6F">
              <w:t>Placebo</w:t>
            </w:r>
          </w:p>
        </w:tc>
        <w:tc>
          <w:tcPr>
            <w:tcW w:w="725" w:type="pct"/>
          </w:tcPr>
          <w:p w:rsidR="00A13844" w:rsidRPr="009F2D6F" w:rsidRDefault="00A13844" w:rsidP="00077582">
            <w:pPr>
              <w:pStyle w:val="PBACTabletext0"/>
              <w:spacing w:before="0" w:after="0"/>
              <w:jc w:val="center"/>
            </w:pPr>
            <w:r w:rsidRPr="009F2D6F">
              <w:t>14/55</w:t>
            </w:r>
          </w:p>
        </w:tc>
        <w:tc>
          <w:tcPr>
            <w:tcW w:w="561" w:type="pct"/>
          </w:tcPr>
          <w:p w:rsidR="00A13844" w:rsidRPr="009F2D6F" w:rsidRDefault="00A13844" w:rsidP="00077582">
            <w:pPr>
              <w:pStyle w:val="PBACTabletext0"/>
              <w:spacing w:before="0" w:after="0"/>
              <w:jc w:val="center"/>
            </w:pPr>
            <w:r w:rsidRPr="009F2D6F">
              <w:t>25.5</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r w:rsidR="00A13844" w:rsidRPr="009F2D6F" w:rsidTr="00486746">
        <w:tc>
          <w:tcPr>
            <w:tcW w:w="5000" w:type="pct"/>
            <w:gridSpan w:val="6"/>
          </w:tcPr>
          <w:p w:rsidR="00A13844" w:rsidRPr="009F2D6F" w:rsidRDefault="00A13844" w:rsidP="00077582">
            <w:pPr>
              <w:pStyle w:val="PBACTabletext0"/>
              <w:spacing w:before="0" w:after="0"/>
              <w:rPr>
                <w:b/>
                <w:vertAlign w:val="superscript"/>
              </w:rPr>
            </w:pPr>
            <w:r w:rsidRPr="009F2D6F">
              <w:rPr>
                <w:b/>
              </w:rPr>
              <w:t>ASCEND</w:t>
            </w:r>
            <w:r w:rsidR="002F7658" w:rsidRPr="009F2D6F">
              <w:rPr>
                <w:b/>
                <w:vertAlign w:val="superscript"/>
              </w:rPr>
              <w:t>7</w:t>
            </w:r>
          </w:p>
        </w:tc>
      </w:tr>
      <w:tr w:rsidR="00A13844" w:rsidRPr="009F2D6F" w:rsidTr="00486746">
        <w:tc>
          <w:tcPr>
            <w:tcW w:w="1074" w:type="pct"/>
          </w:tcPr>
          <w:p w:rsidR="00A13844" w:rsidRPr="009F2D6F" w:rsidRDefault="00A13844" w:rsidP="00077582">
            <w:pPr>
              <w:pStyle w:val="PBACTableText"/>
              <w:spacing w:before="0" w:after="0"/>
            </w:pPr>
            <w:proofErr w:type="spellStart"/>
            <w:r w:rsidRPr="009F2D6F">
              <w:t>Natalizumab</w:t>
            </w:r>
            <w:proofErr w:type="spellEnd"/>
          </w:p>
        </w:tc>
        <w:tc>
          <w:tcPr>
            <w:tcW w:w="725" w:type="pct"/>
          </w:tcPr>
          <w:p w:rsidR="00A13844" w:rsidRPr="009F2D6F" w:rsidRDefault="00A13844" w:rsidP="00077582">
            <w:pPr>
              <w:pStyle w:val="PBACTabletext0"/>
              <w:spacing w:before="0" w:after="0"/>
              <w:jc w:val="center"/>
            </w:pPr>
            <w:r w:rsidRPr="009F2D6F">
              <w:t>69/439</w:t>
            </w:r>
          </w:p>
        </w:tc>
        <w:tc>
          <w:tcPr>
            <w:tcW w:w="561" w:type="pct"/>
          </w:tcPr>
          <w:p w:rsidR="00A13844" w:rsidRPr="009F2D6F" w:rsidRDefault="00A13844" w:rsidP="00077582">
            <w:pPr>
              <w:pStyle w:val="PBACTabletext0"/>
              <w:spacing w:before="0" w:after="0"/>
              <w:jc w:val="center"/>
            </w:pPr>
            <w:r w:rsidRPr="009F2D6F">
              <w:t>15.7</w:t>
            </w:r>
          </w:p>
        </w:tc>
        <w:tc>
          <w:tcPr>
            <w:tcW w:w="881" w:type="pct"/>
            <w:vMerge w:val="restart"/>
            <w:vAlign w:val="center"/>
          </w:tcPr>
          <w:p w:rsidR="00A13844" w:rsidRPr="009F2D6F" w:rsidRDefault="00A13844" w:rsidP="00077582">
            <w:pPr>
              <w:pStyle w:val="PBACTabletext0"/>
              <w:spacing w:before="0" w:after="0"/>
              <w:jc w:val="center"/>
            </w:pPr>
            <w:r w:rsidRPr="009F2D6F">
              <w:t>-</w:t>
            </w:r>
          </w:p>
        </w:tc>
        <w:tc>
          <w:tcPr>
            <w:tcW w:w="1185" w:type="pct"/>
            <w:vMerge w:val="restart"/>
            <w:vAlign w:val="center"/>
          </w:tcPr>
          <w:p w:rsidR="00A13844" w:rsidRPr="009F2D6F" w:rsidRDefault="00A13844" w:rsidP="00077582">
            <w:pPr>
              <w:pStyle w:val="PBACTabletext0"/>
              <w:spacing w:before="0" w:after="0"/>
              <w:jc w:val="center"/>
            </w:pPr>
            <w:r w:rsidRPr="009F2D6F">
              <w:t>1.06 (0.74, 1.53)</w:t>
            </w:r>
          </w:p>
        </w:tc>
        <w:tc>
          <w:tcPr>
            <w:tcW w:w="574" w:type="pct"/>
            <w:vMerge w:val="restart"/>
            <w:vAlign w:val="center"/>
          </w:tcPr>
          <w:p w:rsidR="00A13844" w:rsidRPr="009F2D6F" w:rsidRDefault="00A13844" w:rsidP="00077582">
            <w:pPr>
              <w:pStyle w:val="PBACTabletext0"/>
              <w:spacing w:before="0" w:after="0"/>
              <w:jc w:val="center"/>
            </w:pPr>
            <w:r w:rsidRPr="009F2D6F">
              <w:t>0.753</w:t>
            </w:r>
          </w:p>
        </w:tc>
      </w:tr>
      <w:tr w:rsidR="00A13844" w:rsidRPr="009F2D6F" w:rsidTr="00486746">
        <w:tc>
          <w:tcPr>
            <w:tcW w:w="1074" w:type="pct"/>
          </w:tcPr>
          <w:p w:rsidR="00A13844" w:rsidRPr="009F2D6F" w:rsidRDefault="00A13844" w:rsidP="00077582">
            <w:pPr>
              <w:pStyle w:val="PBACTableText"/>
              <w:spacing w:before="0" w:after="0"/>
            </w:pPr>
            <w:r w:rsidRPr="009F2D6F">
              <w:t xml:space="preserve">Placebo </w:t>
            </w:r>
          </w:p>
        </w:tc>
        <w:tc>
          <w:tcPr>
            <w:tcW w:w="725" w:type="pct"/>
          </w:tcPr>
          <w:p w:rsidR="00A13844" w:rsidRPr="009F2D6F" w:rsidRDefault="00D16283" w:rsidP="00077582">
            <w:pPr>
              <w:pStyle w:val="PBACTabletext0"/>
              <w:spacing w:before="0" w:after="0"/>
              <w:jc w:val="center"/>
            </w:pPr>
            <w:r w:rsidRPr="009F2D6F">
              <w:t>67/448</w:t>
            </w:r>
          </w:p>
        </w:tc>
        <w:tc>
          <w:tcPr>
            <w:tcW w:w="561" w:type="pct"/>
          </w:tcPr>
          <w:p w:rsidR="00A13844" w:rsidRPr="009F2D6F" w:rsidRDefault="00A13844" w:rsidP="00077582">
            <w:pPr>
              <w:pStyle w:val="PBACTabletext0"/>
              <w:spacing w:before="0" w:after="0"/>
              <w:jc w:val="center"/>
            </w:pPr>
            <w:r w:rsidRPr="009F2D6F">
              <w:t>15.0</w:t>
            </w:r>
          </w:p>
        </w:tc>
        <w:tc>
          <w:tcPr>
            <w:tcW w:w="881" w:type="pct"/>
            <w:vMerge/>
            <w:vAlign w:val="center"/>
          </w:tcPr>
          <w:p w:rsidR="00A13844" w:rsidRPr="009F2D6F" w:rsidRDefault="00A13844" w:rsidP="00077582">
            <w:pPr>
              <w:pStyle w:val="PBACTabletext0"/>
              <w:spacing w:before="0" w:after="0"/>
              <w:jc w:val="center"/>
            </w:pPr>
          </w:p>
        </w:tc>
        <w:tc>
          <w:tcPr>
            <w:tcW w:w="1185" w:type="pct"/>
            <w:vMerge/>
            <w:vAlign w:val="center"/>
          </w:tcPr>
          <w:p w:rsidR="00A13844" w:rsidRPr="009F2D6F" w:rsidRDefault="00A13844" w:rsidP="00077582">
            <w:pPr>
              <w:pStyle w:val="PBACTabletext0"/>
              <w:spacing w:before="0" w:after="0"/>
              <w:jc w:val="center"/>
            </w:pPr>
          </w:p>
        </w:tc>
        <w:tc>
          <w:tcPr>
            <w:tcW w:w="574" w:type="pct"/>
            <w:vMerge/>
            <w:vAlign w:val="center"/>
          </w:tcPr>
          <w:p w:rsidR="00A13844" w:rsidRPr="009F2D6F" w:rsidRDefault="00A13844" w:rsidP="00077582">
            <w:pPr>
              <w:pStyle w:val="PBACTabletext0"/>
              <w:spacing w:before="0" w:after="0"/>
              <w:jc w:val="center"/>
            </w:pPr>
          </w:p>
        </w:tc>
      </w:tr>
    </w:tbl>
    <w:p w:rsidR="00A13844" w:rsidRPr="009F2D6F" w:rsidRDefault="00A13844" w:rsidP="00077582">
      <w:pPr>
        <w:pStyle w:val="TableFooter"/>
        <w:widowControl/>
      </w:pPr>
      <w:r w:rsidRPr="009F2D6F">
        <w:t xml:space="preserve">Source: Table 2.24 (pg.131), Table 2.25 (pg.132) and </w:t>
      </w:r>
      <w:r w:rsidR="00A82F11" w:rsidRPr="009F2D6F">
        <w:t>Table 2.36 (pg.</w:t>
      </w:r>
      <w:r w:rsidRPr="009F2D6F">
        <w:t>149) of the submission</w:t>
      </w:r>
    </w:p>
    <w:p w:rsidR="002F7658" w:rsidRPr="009F2D6F" w:rsidRDefault="002F7658" w:rsidP="00077582">
      <w:pPr>
        <w:pStyle w:val="PBACtablefooter"/>
        <w:keepNext/>
        <w:spacing w:before="0"/>
      </w:pPr>
      <w:r w:rsidRPr="009F2D6F">
        <w:t>Abbreviations, CI, confidence interval; n, number of participants, N=total participants in group, HR=hazard ratio, OR=odds ratio</w:t>
      </w:r>
    </w:p>
    <w:p w:rsidR="002F7658" w:rsidRPr="009F2D6F" w:rsidRDefault="002F7658" w:rsidP="00077582">
      <w:pPr>
        <w:pStyle w:val="PBACtablefooter"/>
        <w:keepNext/>
        <w:spacing w:before="0"/>
      </w:pPr>
      <w:r w:rsidRPr="009F2D6F">
        <w:rPr>
          <w:vertAlign w:val="superscript"/>
        </w:rPr>
        <w:t>1</w:t>
      </w:r>
      <w:r w:rsidRPr="009F2D6F">
        <w:t xml:space="preserve"> Anderson 2004 – 6-month confirmed, 3 years, HR</w:t>
      </w:r>
    </w:p>
    <w:p w:rsidR="002F7658" w:rsidRPr="009F2D6F" w:rsidRDefault="002F7658" w:rsidP="00077582">
      <w:pPr>
        <w:pStyle w:val="PBACtablefooter"/>
        <w:keepNext/>
        <w:spacing w:before="0"/>
        <w:ind w:left="142" w:hanging="142"/>
      </w:pPr>
      <w:r w:rsidRPr="009F2D6F">
        <w:rPr>
          <w:vertAlign w:val="superscript"/>
        </w:rPr>
        <w:t>2</w:t>
      </w:r>
      <w:r w:rsidRPr="009F2D6F">
        <w:t xml:space="preserve"> </w:t>
      </w:r>
      <w:proofErr w:type="spellStart"/>
      <w:r w:rsidRPr="009F2D6F">
        <w:t>Panitch</w:t>
      </w:r>
      <w:proofErr w:type="spellEnd"/>
      <w:r w:rsidRPr="009F2D6F">
        <w:t xml:space="preserve"> 2004 </w:t>
      </w:r>
      <w:r w:rsidR="004403BB" w:rsidRPr="009F2D6F">
        <w:t xml:space="preserve">– </w:t>
      </w:r>
      <w:r w:rsidRPr="009F2D6F">
        <w:t xml:space="preserve">supplementary appendix, pooled for both doses, 6-month confirmed, 3 years, RR via La </w:t>
      </w:r>
      <w:proofErr w:type="spellStart"/>
      <w:r w:rsidRPr="009F2D6F">
        <w:t>Mantia</w:t>
      </w:r>
      <w:proofErr w:type="spellEnd"/>
      <w:r w:rsidRPr="009F2D6F">
        <w:t xml:space="preserve"> (</w:t>
      </w:r>
      <w:r w:rsidR="00C43889" w:rsidRPr="009F2D6F">
        <w:t>Expanded Disability Status Scale [EDSS]</w:t>
      </w:r>
      <w:r w:rsidRPr="009F2D6F">
        <w:t xml:space="preserve"> during relapse excluded)</w:t>
      </w:r>
    </w:p>
    <w:p w:rsidR="002F7658" w:rsidRPr="009F2D6F" w:rsidRDefault="002F7658" w:rsidP="00077582">
      <w:pPr>
        <w:pStyle w:val="PBACtablefooter"/>
        <w:keepNext/>
        <w:spacing w:before="0"/>
      </w:pPr>
      <w:r w:rsidRPr="009F2D6F">
        <w:rPr>
          <w:vertAlign w:val="superscript"/>
        </w:rPr>
        <w:t xml:space="preserve">3 </w:t>
      </w:r>
      <w:proofErr w:type="spellStart"/>
      <w:r w:rsidRPr="009F2D6F">
        <w:t>Kappos</w:t>
      </w:r>
      <w:proofErr w:type="spellEnd"/>
      <w:r w:rsidRPr="009F2D6F">
        <w:t xml:space="preserve"> 2001, EU SG 1998 – 6-month confirmed, 3 years, RR via La </w:t>
      </w:r>
      <w:proofErr w:type="spellStart"/>
      <w:r w:rsidRPr="009F2D6F">
        <w:t>Mantia</w:t>
      </w:r>
      <w:proofErr w:type="spellEnd"/>
    </w:p>
    <w:p w:rsidR="002F7658" w:rsidRPr="009F2D6F" w:rsidRDefault="002F7658" w:rsidP="00077582">
      <w:pPr>
        <w:pStyle w:val="PBACtablefooter"/>
        <w:keepNext/>
        <w:spacing w:before="0"/>
      </w:pPr>
      <w:r w:rsidRPr="009F2D6F">
        <w:rPr>
          <w:vertAlign w:val="superscript"/>
        </w:rPr>
        <w:t xml:space="preserve">4 </w:t>
      </w:r>
      <w:r w:rsidRPr="009F2D6F">
        <w:t>Cohen 2002 – secondary outcome, 3-month confirmed, 2-3 years, HR</w:t>
      </w:r>
    </w:p>
    <w:p w:rsidR="002F7658" w:rsidRPr="009F2D6F" w:rsidRDefault="002F7658" w:rsidP="00077582">
      <w:pPr>
        <w:pStyle w:val="PBACtablefooter"/>
        <w:keepNext/>
        <w:spacing w:before="0"/>
      </w:pPr>
      <w:r w:rsidRPr="009F2D6F">
        <w:rPr>
          <w:vertAlign w:val="superscript"/>
        </w:rPr>
        <w:t>5</w:t>
      </w:r>
      <w:r w:rsidRPr="009F2D6F">
        <w:t xml:space="preserve"> Francis 2001, SPECTRIMS 2001 – pooled for both doses, 3-month confirmed, 3 years, RR via La </w:t>
      </w:r>
      <w:proofErr w:type="spellStart"/>
      <w:r w:rsidRPr="009F2D6F">
        <w:t>Mantia</w:t>
      </w:r>
      <w:proofErr w:type="spellEnd"/>
    </w:p>
    <w:p w:rsidR="002F7658" w:rsidRPr="009F2D6F" w:rsidRDefault="002F7658" w:rsidP="00077582">
      <w:pPr>
        <w:pStyle w:val="PBACtablefooter"/>
        <w:keepNext/>
        <w:spacing w:before="0"/>
      </w:pPr>
      <w:r w:rsidRPr="009F2D6F">
        <w:rPr>
          <w:vertAlign w:val="superscript"/>
        </w:rPr>
        <w:t>6</w:t>
      </w:r>
      <w:r w:rsidRPr="009F2D6F">
        <w:t xml:space="preserve"> Bornstein 1991 – 3-month confirmed, 2 years, RR via La </w:t>
      </w:r>
      <w:proofErr w:type="spellStart"/>
      <w:r w:rsidRPr="009F2D6F">
        <w:t>Mantia</w:t>
      </w:r>
      <w:proofErr w:type="spellEnd"/>
    </w:p>
    <w:p w:rsidR="004403BB" w:rsidRPr="009F2D6F" w:rsidRDefault="002F7658" w:rsidP="00077582">
      <w:pPr>
        <w:pStyle w:val="TableFooter"/>
        <w:widowControl/>
      </w:pPr>
      <w:r w:rsidRPr="009F2D6F">
        <w:rPr>
          <w:rFonts w:eastAsiaTheme="minorHAnsi"/>
          <w:snapToGrid/>
          <w:szCs w:val="18"/>
          <w:vertAlign w:val="superscript"/>
        </w:rPr>
        <w:t>7</w:t>
      </w:r>
      <w:r w:rsidRPr="009F2D6F">
        <w:t xml:space="preserve"> Kapoor 2018 – 6-month confirmed, 2 years</w:t>
      </w:r>
    </w:p>
    <w:p w:rsidR="004403BB" w:rsidRPr="009F2D6F" w:rsidRDefault="004403BB" w:rsidP="00077582">
      <w:pPr>
        <w:pStyle w:val="TableFooter"/>
        <w:widowControl/>
      </w:pPr>
    </w:p>
    <w:p w:rsidR="00DA3167" w:rsidRPr="009F2D6F" w:rsidRDefault="00712FA3" w:rsidP="00077582">
      <w:pPr>
        <w:pStyle w:val="ListParagraph"/>
        <w:widowControl/>
        <w:numPr>
          <w:ilvl w:val="1"/>
          <w:numId w:val="2"/>
        </w:numPr>
      </w:pPr>
      <w:r w:rsidRPr="009F2D6F">
        <w:rPr>
          <w:rFonts w:cs="Calibri"/>
          <w:snapToGrid/>
          <w:szCs w:val="24"/>
          <w:lang w:val="en-US" w:eastAsia="en-AU"/>
        </w:rPr>
        <w:t xml:space="preserve">Statistically significantly fewer patients treated with </w:t>
      </w:r>
      <w:proofErr w:type="spellStart"/>
      <w:r w:rsidRPr="009F2D6F">
        <w:rPr>
          <w:rFonts w:cs="Calibri"/>
          <w:snapToGrid/>
          <w:szCs w:val="24"/>
          <w:lang w:val="en-US" w:eastAsia="en-AU"/>
        </w:rPr>
        <w:t>siponimod</w:t>
      </w:r>
      <w:proofErr w:type="spellEnd"/>
      <w:r w:rsidRPr="009F2D6F">
        <w:rPr>
          <w:rFonts w:cs="Calibri"/>
          <w:snapToGrid/>
          <w:szCs w:val="24"/>
          <w:lang w:val="en-US" w:eastAsia="en-AU"/>
        </w:rPr>
        <w:t xml:space="preserve"> had 3- or 6-month CDP compared with those treated with placebo. </w:t>
      </w:r>
      <w:r w:rsidRPr="009F2D6F">
        <w:t>The CDP results show the respective DMTs were not statistically significantly better than placebo, except for IFN-beta in the European SG trial. The submission also presented results from an IFN-beta meta-analysis which did not yield statistically significant results for CDP.</w:t>
      </w:r>
    </w:p>
    <w:p w:rsidR="00247925" w:rsidRPr="009F2D6F" w:rsidRDefault="00712FA3" w:rsidP="00077582">
      <w:pPr>
        <w:pStyle w:val="ListParagraph"/>
        <w:widowControl/>
        <w:numPr>
          <w:ilvl w:val="1"/>
          <w:numId w:val="2"/>
        </w:numPr>
        <w:rPr>
          <w:rFonts w:cs="Calibri"/>
          <w:snapToGrid/>
          <w:szCs w:val="24"/>
          <w:lang w:val="en-US" w:eastAsia="en-AU"/>
        </w:rPr>
      </w:pPr>
      <w:r w:rsidRPr="009F2D6F">
        <w:rPr>
          <w:rFonts w:cs="Calibri"/>
          <w:snapToGrid/>
          <w:szCs w:val="24"/>
          <w:lang w:val="en-US" w:eastAsia="en-AU"/>
        </w:rPr>
        <w:t>The</w:t>
      </w:r>
      <w:r w:rsidRPr="009F2D6F">
        <w:rPr>
          <w:rFonts w:cs="Calibri"/>
          <w:snapToGrid/>
          <w:szCs w:val="24"/>
          <w:lang w:eastAsia="en-AU"/>
        </w:rPr>
        <w:t xml:space="preserve"> </w:t>
      </w:r>
      <w:r w:rsidR="00AD480B" w:rsidRPr="009F2D6F">
        <w:rPr>
          <w:rFonts w:cs="Calibri"/>
          <w:snapToGrid/>
          <w:szCs w:val="24"/>
          <w:lang w:eastAsia="en-AU"/>
        </w:rPr>
        <w:t>annualised</w:t>
      </w:r>
      <w:r w:rsidR="00AD480B" w:rsidRPr="009F2D6F">
        <w:rPr>
          <w:rFonts w:cs="Calibri"/>
          <w:snapToGrid/>
          <w:szCs w:val="24"/>
          <w:lang w:val="en-US" w:eastAsia="en-AU"/>
        </w:rPr>
        <w:t xml:space="preserve"> relapse rate (ARR) </w:t>
      </w:r>
      <w:r w:rsidRPr="009F2D6F">
        <w:rPr>
          <w:rFonts w:cs="Calibri"/>
          <w:snapToGrid/>
          <w:szCs w:val="24"/>
          <w:lang w:val="en-US" w:eastAsia="en-AU"/>
        </w:rPr>
        <w:t xml:space="preserve">results from EXPAND and the comparator DMT trials are presented in </w:t>
      </w:r>
      <w:r w:rsidR="00654F36" w:rsidRPr="00654F36">
        <w:rPr>
          <w:rFonts w:cs="Calibri"/>
          <w:snapToGrid/>
          <w:szCs w:val="24"/>
          <w:lang w:val="en-US" w:eastAsia="en-AU"/>
        </w:rPr>
        <w:t>Table 6</w:t>
      </w:r>
      <w:r w:rsidR="000D2922" w:rsidRPr="009F2D6F">
        <w:rPr>
          <w:rFonts w:cs="Calibri"/>
          <w:snapToGrid/>
          <w:szCs w:val="24"/>
          <w:lang w:val="en-US" w:eastAsia="en-AU"/>
        </w:rPr>
        <w:t>.</w:t>
      </w:r>
    </w:p>
    <w:p w:rsidR="00712FA3" w:rsidRPr="009F2D6F" w:rsidRDefault="00712FA3" w:rsidP="00077582">
      <w:pPr>
        <w:pStyle w:val="Caption"/>
        <w:keepNext/>
        <w:widowControl/>
        <w:spacing w:after="0"/>
        <w:rPr>
          <w:rFonts w:ascii="Arial Narrow" w:hAnsi="Arial Narrow"/>
          <w:color w:val="auto"/>
          <w:sz w:val="20"/>
          <w:szCs w:val="20"/>
        </w:rPr>
      </w:pPr>
      <w:bookmarkStart w:id="14" w:name="_Ref18671218"/>
      <w:r w:rsidRPr="009F2D6F">
        <w:rPr>
          <w:rFonts w:ascii="Arial Narrow" w:hAnsi="Arial Narrow"/>
          <w:color w:val="auto"/>
          <w:sz w:val="20"/>
          <w:szCs w:val="20"/>
        </w:rPr>
        <w:lastRenderedPageBreak/>
        <w:t xml:space="preserve">Table </w:t>
      </w:r>
      <w:r w:rsidR="00654F36">
        <w:rPr>
          <w:rFonts w:ascii="Arial Narrow" w:hAnsi="Arial Narrow"/>
          <w:noProof/>
          <w:color w:val="auto"/>
          <w:sz w:val="20"/>
          <w:szCs w:val="20"/>
        </w:rPr>
        <w:t>6</w:t>
      </w:r>
      <w:bookmarkEnd w:id="14"/>
      <w:r w:rsidRPr="009F2D6F">
        <w:rPr>
          <w:rFonts w:ascii="Arial Narrow" w:hAnsi="Arial Narrow"/>
          <w:color w:val="auto"/>
          <w:sz w:val="20"/>
          <w:szCs w:val="20"/>
        </w:rPr>
        <w:t xml:space="preserve">: Results of annualised relapse rate </w:t>
      </w:r>
      <w:r w:rsidR="0068485F" w:rsidRPr="009F2D6F">
        <w:rPr>
          <w:rFonts w:ascii="Arial Narrow" w:hAnsi="Arial Narrow"/>
          <w:color w:val="auto"/>
          <w:sz w:val="20"/>
          <w:szCs w:val="20"/>
        </w:rPr>
        <w:t xml:space="preserve">(ARR) </w:t>
      </w:r>
      <w:r w:rsidRPr="009F2D6F">
        <w:rPr>
          <w:rFonts w:ascii="Arial Narrow" w:hAnsi="Arial Narrow"/>
          <w:color w:val="auto"/>
          <w:sz w:val="20"/>
          <w:szCs w:val="20"/>
        </w:rPr>
        <w:t>for confirmed relapses in EXPAND and the comparator DMT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43"/>
        <w:gridCol w:w="1083"/>
        <w:gridCol w:w="627"/>
        <w:gridCol w:w="1457"/>
        <w:gridCol w:w="964"/>
        <w:gridCol w:w="1502"/>
        <w:gridCol w:w="1213"/>
      </w:tblGrid>
      <w:tr w:rsidR="00712FA3" w:rsidRPr="009F2D6F" w:rsidTr="00486746">
        <w:trPr>
          <w:tblHeader/>
        </w:trPr>
        <w:tc>
          <w:tcPr>
            <w:tcW w:w="624" w:type="pct"/>
            <w:vAlign w:val="center"/>
            <w:hideMark/>
          </w:tcPr>
          <w:p w:rsidR="00712FA3" w:rsidRPr="009F2D6F" w:rsidRDefault="00712FA3" w:rsidP="00077582">
            <w:pPr>
              <w:pStyle w:val="PbacTableHeading"/>
              <w:keepNext/>
              <w:spacing w:after="0" w:line="256" w:lineRule="auto"/>
              <w:rPr>
                <w:lang w:val="en-US"/>
              </w:rPr>
            </w:pPr>
            <w:r w:rsidRPr="009F2D6F">
              <w:rPr>
                <w:lang w:val="en-US"/>
              </w:rPr>
              <w:t>Treatment</w:t>
            </w:r>
          </w:p>
        </w:tc>
        <w:tc>
          <w:tcPr>
            <w:tcW w:w="580"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N</w:t>
            </w:r>
          </w:p>
        </w:tc>
        <w:tc>
          <w:tcPr>
            <w:tcW w:w="599"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n/time</w:t>
            </w:r>
          </w:p>
        </w:tc>
        <w:tc>
          <w:tcPr>
            <w:tcW w:w="347"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ARR</w:t>
            </w:r>
          </w:p>
        </w:tc>
        <w:tc>
          <w:tcPr>
            <w:tcW w:w="809"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Adjusted ARR</w:t>
            </w:r>
            <w:r w:rsidRPr="009F2D6F">
              <w:rPr>
                <w:lang w:val="en-US"/>
              </w:rPr>
              <w:br/>
              <w:t>(95% CI)</w:t>
            </w:r>
            <w:r w:rsidRPr="009F2D6F">
              <w:rPr>
                <w:vertAlign w:val="superscript"/>
                <w:lang w:val="en-US"/>
              </w:rPr>
              <w:t>a</w:t>
            </w:r>
          </w:p>
        </w:tc>
        <w:tc>
          <w:tcPr>
            <w:tcW w:w="533"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Rate reduction</w:t>
            </w:r>
          </w:p>
        </w:tc>
        <w:tc>
          <w:tcPr>
            <w:tcW w:w="834"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ARR ratio</w:t>
            </w:r>
            <w:r w:rsidRPr="009F2D6F">
              <w:rPr>
                <w:lang w:val="en-US"/>
              </w:rPr>
              <w:br/>
              <w:t xml:space="preserve"> (95% CI)</w:t>
            </w:r>
            <w:r w:rsidR="00C7749C" w:rsidRPr="009F2D6F">
              <w:rPr>
                <w:vertAlign w:val="superscript"/>
                <w:lang w:val="en-US"/>
              </w:rPr>
              <w:t>8</w:t>
            </w:r>
          </w:p>
        </w:tc>
        <w:tc>
          <w:tcPr>
            <w:tcW w:w="674" w:type="pct"/>
            <w:vAlign w:val="center"/>
            <w:hideMark/>
          </w:tcPr>
          <w:p w:rsidR="00712FA3" w:rsidRPr="009F2D6F" w:rsidRDefault="00712FA3" w:rsidP="00077582">
            <w:pPr>
              <w:pStyle w:val="PbacTableHeading"/>
              <w:keepNext/>
              <w:spacing w:after="0" w:line="256" w:lineRule="auto"/>
              <w:jc w:val="center"/>
              <w:rPr>
                <w:lang w:val="en-US"/>
              </w:rPr>
            </w:pPr>
            <w:r w:rsidRPr="009F2D6F">
              <w:rPr>
                <w:lang w:val="en-US"/>
              </w:rPr>
              <w:t>p-value</w:t>
            </w:r>
          </w:p>
        </w:tc>
      </w:tr>
      <w:tr w:rsidR="00712FA3" w:rsidRPr="009F2D6F" w:rsidTr="00486746">
        <w:tc>
          <w:tcPr>
            <w:tcW w:w="5000" w:type="pct"/>
            <w:gridSpan w:val="8"/>
            <w:vAlign w:val="center"/>
          </w:tcPr>
          <w:p w:rsidR="00712FA3" w:rsidRPr="009F2D6F" w:rsidRDefault="00712FA3" w:rsidP="00077582">
            <w:pPr>
              <w:pStyle w:val="PBACTabletext0"/>
              <w:keepNext/>
              <w:spacing w:before="0" w:after="0" w:line="256" w:lineRule="auto"/>
              <w:rPr>
                <w:b/>
                <w:lang w:val="en-US"/>
              </w:rPr>
            </w:pPr>
            <w:r w:rsidRPr="009F2D6F">
              <w:rPr>
                <w:b/>
                <w:lang w:val="en-US"/>
              </w:rPr>
              <w:t>EXPAND</w:t>
            </w:r>
          </w:p>
        </w:tc>
      </w:tr>
      <w:tr w:rsidR="00712FA3" w:rsidRPr="009F2D6F" w:rsidTr="00486746">
        <w:tc>
          <w:tcPr>
            <w:tcW w:w="5000" w:type="pct"/>
            <w:gridSpan w:val="8"/>
            <w:vAlign w:val="center"/>
          </w:tcPr>
          <w:p w:rsidR="00712FA3" w:rsidRPr="009F2D6F" w:rsidRDefault="00712FA3" w:rsidP="00077582">
            <w:pPr>
              <w:pStyle w:val="PBACTabletext0"/>
              <w:keepNext/>
              <w:spacing w:before="0" w:after="0" w:line="256" w:lineRule="auto"/>
              <w:rPr>
                <w:lang w:val="en-US"/>
              </w:rPr>
            </w:pPr>
            <w:r w:rsidRPr="009F2D6F">
              <w:rPr>
                <w:lang w:val="en-US"/>
              </w:rPr>
              <w:t>ITT</w:t>
            </w:r>
          </w:p>
        </w:tc>
      </w:tr>
      <w:tr w:rsidR="00712FA3" w:rsidRPr="009F2D6F" w:rsidTr="00486746">
        <w:tc>
          <w:tcPr>
            <w:tcW w:w="624" w:type="pct"/>
            <w:vAlign w:val="center"/>
            <w:hideMark/>
          </w:tcPr>
          <w:p w:rsidR="00712FA3" w:rsidRPr="009F2D6F" w:rsidRDefault="00712FA3" w:rsidP="00077582">
            <w:pPr>
              <w:pStyle w:val="PBACTableText"/>
              <w:keepNext/>
              <w:spacing w:before="0" w:after="0" w:line="256" w:lineRule="auto"/>
              <w:rPr>
                <w:lang w:val="en-US"/>
              </w:rPr>
            </w:pPr>
            <w:proofErr w:type="spellStart"/>
            <w:r w:rsidRPr="009F2D6F">
              <w:rPr>
                <w:lang w:val="en-US"/>
              </w:rPr>
              <w:t>Siponimod</w:t>
            </w:r>
            <w:proofErr w:type="spellEnd"/>
            <w:r w:rsidRPr="009F2D6F">
              <w:rPr>
                <w:lang w:val="en-US"/>
              </w:rPr>
              <w:t xml:space="preserve"> </w:t>
            </w:r>
          </w:p>
        </w:tc>
        <w:tc>
          <w:tcPr>
            <w:tcW w:w="580"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1099</w:t>
            </w:r>
          </w:p>
        </w:tc>
        <w:tc>
          <w:tcPr>
            <w:tcW w:w="599"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134/691980</w:t>
            </w:r>
          </w:p>
        </w:tc>
        <w:tc>
          <w:tcPr>
            <w:tcW w:w="347"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0.071</w:t>
            </w:r>
          </w:p>
        </w:tc>
        <w:tc>
          <w:tcPr>
            <w:tcW w:w="809" w:type="pct"/>
            <w:hideMark/>
          </w:tcPr>
          <w:p w:rsidR="00712FA3" w:rsidRPr="009F2D6F" w:rsidRDefault="00712FA3" w:rsidP="00077582">
            <w:pPr>
              <w:pStyle w:val="PBACTabletext0"/>
              <w:keepNext/>
              <w:spacing w:before="0" w:after="0" w:line="256" w:lineRule="auto"/>
              <w:jc w:val="center"/>
              <w:rPr>
                <w:lang w:val="en-US"/>
              </w:rPr>
            </w:pPr>
            <w:r w:rsidRPr="009F2D6F">
              <w:rPr>
                <w:lang w:val="en-US"/>
              </w:rPr>
              <w:t>0.071</w:t>
            </w:r>
            <w:r w:rsidR="000D2922" w:rsidRPr="009F2D6F">
              <w:rPr>
                <w:lang w:val="en-US"/>
              </w:rPr>
              <w:br/>
            </w:r>
            <w:r w:rsidRPr="009F2D6F">
              <w:rPr>
                <w:lang w:val="en-US"/>
              </w:rPr>
              <w:t>(0.055,0.092)</w:t>
            </w:r>
          </w:p>
        </w:tc>
        <w:tc>
          <w:tcPr>
            <w:tcW w:w="533" w:type="pct"/>
            <w:vMerge w:val="restar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55.5%</w:t>
            </w:r>
          </w:p>
        </w:tc>
        <w:tc>
          <w:tcPr>
            <w:tcW w:w="834" w:type="pct"/>
            <w:vMerge w:val="restart"/>
            <w:vAlign w:val="center"/>
            <w:hideMark/>
          </w:tcPr>
          <w:p w:rsidR="00712FA3" w:rsidRPr="009F2D6F" w:rsidRDefault="00712FA3" w:rsidP="00077582">
            <w:pPr>
              <w:pStyle w:val="PBACTabletext0"/>
              <w:keepNext/>
              <w:spacing w:before="0" w:after="0" w:line="256" w:lineRule="auto"/>
              <w:jc w:val="center"/>
              <w:rPr>
                <w:lang w:val="en-US"/>
              </w:rPr>
            </w:pPr>
            <w:r w:rsidRPr="009F2D6F">
              <w:rPr>
                <w:b/>
                <w:lang w:val="en-US"/>
              </w:rPr>
              <w:t>0.445</w:t>
            </w:r>
            <w:r w:rsidR="000D2922" w:rsidRPr="009F2D6F">
              <w:rPr>
                <w:b/>
                <w:lang w:val="en-US"/>
              </w:rPr>
              <w:br/>
            </w:r>
            <w:r w:rsidRPr="009F2D6F">
              <w:rPr>
                <w:b/>
                <w:lang w:val="en-US"/>
              </w:rPr>
              <w:t>(0.337, 0.587)</w:t>
            </w:r>
          </w:p>
        </w:tc>
        <w:tc>
          <w:tcPr>
            <w:tcW w:w="674" w:type="pct"/>
            <w:vMerge w:val="restart"/>
            <w:vAlign w:val="center"/>
            <w:hideMark/>
          </w:tcPr>
          <w:p w:rsidR="00712FA3" w:rsidRPr="009F2D6F" w:rsidRDefault="00712FA3" w:rsidP="00077582">
            <w:pPr>
              <w:pStyle w:val="PBACTabletext0"/>
              <w:keepNext/>
              <w:spacing w:before="0" w:after="0" w:line="256" w:lineRule="auto"/>
              <w:jc w:val="center"/>
              <w:rPr>
                <w:b/>
                <w:lang w:val="en-US"/>
              </w:rPr>
            </w:pPr>
            <w:r w:rsidRPr="009F2D6F">
              <w:rPr>
                <w:b/>
                <w:lang w:val="en-US"/>
              </w:rPr>
              <w:t>&lt;0.0001</w:t>
            </w:r>
          </w:p>
        </w:tc>
      </w:tr>
      <w:tr w:rsidR="00712FA3" w:rsidRPr="009F2D6F" w:rsidTr="00486746">
        <w:tc>
          <w:tcPr>
            <w:tcW w:w="624" w:type="pct"/>
            <w:vAlign w:val="center"/>
            <w:hideMark/>
          </w:tcPr>
          <w:p w:rsidR="00712FA3" w:rsidRPr="009F2D6F" w:rsidRDefault="00712FA3" w:rsidP="00077582">
            <w:pPr>
              <w:pStyle w:val="PBACTableText"/>
              <w:keepNext/>
              <w:spacing w:before="0" w:after="0" w:line="256" w:lineRule="auto"/>
              <w:rPr>
                <w:lang w:val="en-US"/>
              </w:rPr>
            </w:pPr>
            <w:r w:rsidRPr="009F2D6F">
              <w:rPr>
                <w:lang w:val="en-US"/>
              </w:rPr>
              <w:t>Placebo</w:t>
            </w:r>
          </w:p>
        </w:tc>
        <w:tc>
          <w:tcPr>
            <w:tcW w:w="580"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546</w:t>
            </w:r>
          </w:p>
        </w:tc>
        <w:tc>
          <w:tcPr>
            <w:tcW w:w="599"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143/343285</w:t>
            </w:r>
          </w:p>
        </w:tc>
        <w:tc>
          <w:tcPr>
            <w:tcW w:w="347" w:type="pct"/>
            <w:vAlign w:val="center"/>
            <w:hideMark/>
          </w:tcPr>
          <w:p w:rsidR="00712FA3" w:rsidRPr="009F2D6F" w:rsidRDefault="00712FA3" w:rsidP="00077582">
            <w:pPr>
              <w:pStyle w:val="PBACTabletext0"/>
              <w:keepNext/>
              <w:spacing w:before="0" w:after="0" w:line="256" w:lineRule="auto"/>
              <w:jc w:val="center"/>
              <w:rPr>
                <w:lang w:val="en-US"/>
              </w:rPr>
            </w:pPr>
            <w:r w:rsidRPr="009F2D6F">
              <w:rPr>
                <w:lang w:val="en-US"/>
              </w:rPr>
              <w:t>0.152</w:t>
            </w:r>
          </w:p>
        </w:tc>
        <w:tc>
          <w:tcPr>
            <w:tcW w:w="809" w:type="pct"/>
            <w:hideMark/>
          </w:tcPr>
          <w:p w:rsidR="00712FA3" w:rsidRPr="009F2D6F" w:rsidRDefault="00712FA3" w:rsidP="00077582">
            <w:pPr>
              <w:pStyle w:val="PBACTabletext0"/>
              <w:keepNext/>
              <w:spacing w:before="0" w:after="0" w:line="256" w:lineRule="auto"/>
              <w:jc w:val="center"/>
              <w:rPr>
                <w:lang w:val="en-US"/>
              </w:rPr>
            </w:pPr>
            <w:r w:rsidRPr="009F2D6F">
              <w:rPr>
                <w:lang w:val="en-US"/>
              </w:rPr>
              <w:t>0.160</w:t>
            </w:r>
            <w:r w:rsidR="000D2922" w:rsidRPr="009F2D6F">
              <w:rPr>
                <w:lang w:val="en-US"/>
              </w:rPr>
              <w:br/>
            </w:r>
            <w:r w:rsidRPr="009F2D6F">
              <w:rPr>
                <w:lang w:val="en-US"/>
              </w:rPr>
              <w:t>(0.123,0.207)</w:t>
            </w:r>
          </w:p>
        </w:tc>
        <w:tc>
          <w:tcPr>
            <w:tcW w:w="533" w:type="pct"/>
            <w:vMerge/>
          </w:tcPr>
          <w:p w:rsidR="00712FA3" w:rsidRPr="009F2D6F" w:rsidRDefault="00712FA3" w:rsidP="00077582">
            <w:pPr>
              <w:pStyle w:val="PBACTabletext0"/>
              <w:keepNext/>
              <w:spacing w:before="0" w:after="0" w:line="256" w:lineRule="auto"/>
              <w:jc w:val="center"/>
              <w:rPr>
                <w:lang w:val="en-US"/>
              </w:rPr>
            </w:pPr>
          </w:p>
        </w:tc>
        <w:tc>
          <w:tcPr>
            <w:tcW w:w="834" w:type="pct"/>
            <w:vMerge/>
          </w:tcPr>
          <w:p w:rsidR="00712FA3" w:rsidRPr="009F2D6F" w:rsidRDefault="00712FA3" w:rsidP="00077582">
            <w:pPr>
              <w:pStyle w:val="PBACTabletext0"/>
              <w:keepNext/>
              <w:spacing w:before="0" w:after="0" w:line="256" w:lineRule="auto"/>
              <w:jc w:val="center"/>
              <w:rPr>
                <w:lang w:val="en-US"/>
              </w:rPr>
            </w:pPr>
          </w:p>
        </w:tc>
        <w:tc>
          <w:tcPr>
            <w:tcW w:w="674" w:type="pct"/>
            <w:vMerge/>
          </w:tcPr>
          <w:p w:rsidR="00712FA3" w:rsidRPr="009F2D6F" w:rsidRDefault="00712FA3" w:rsidP="00077582">
            <w:pPr>
              <w:pStyle w:val="PBACTabletext0"/>
              <w:keepNext/>
              <w:spacing w:before="0" w:after="0" w:line="256" w:lineRule="auto"/>
              <w:jc w:val="center"/>
              <w:rPr>
                <w:lang w:val="en-US"/>
              </w:rPr>
            </w:pPr>
          </w:p>
        </w:tc>
      </w:tr>
      <w:tr w:rsidR="00712FA3" w:rsidRPr="009F2D6F" w:rsidTr="00486746">
        <w:tc>
          <w:tcPr>
            <w:tcW w:w="5000" w:type="pct"/>
            <w:gridSpan w:val="8"/>
            <w:vAlign w:val="center"/>
          </w:tcPr>
          <w:p w:rsidR="00712FA3" w:rsidRPr="009F2D6F" w:rsidRDefault="00712FA3" w:rsidP="00077582">
            <w:pPr>
              <w:pStyle w:val="PBACTabletext0"/>
              <w:keepNext/>
              <w:spacing w:before="0" w:after="0" w:line="256" w:lineRule="auto"/>
              <w:rPr>
                <w:lang w:val="en-US"/>
              </w:rPr>
            </w:pPr>
            <w:r w:rsidRPr="009F2D6F">
              <w:rPr>
                <w:lang w:val="en-US"/>
              </w:rPr>
              <w:t>PP</w:t>
            </w:r>
          </w:p>
        </w:tc>
      </w:tr>
      <w:tr w:rsidR="00712FA3" w:rsidRPr="009F2D6F" w:rsidTr="00486746">
        <w:tc>
          <w:tcPr>
            <w:tcW w:w="624" w:type="pct"/>
            <w:vAlign w:val="center"/>
          </w:tcPr>
          <w:p w:rsidR="00712FA3" w:rsidRPr="009F2D6F" w:rsidRDefault="00712FA3" w:rsidP="00077582">
            <w:pPr>
              <w:pStyle w:val="PBACTableText"/>
              <w:keepNext/>
              <w:spacing w:before="0" w:after="0" w:line="256" w:lineRule="auto"/>
              <w:rPr>
                <w:lang w:val="en-US"/>
              </w:rPr>
            </w:pPr>
            <w:proofErr w:type="spellStart"/>
            <w:r w:rsidRPr="009F2D6F">
              <w:rPr>
                <w:lang w:val="en-US"/>
              </w:rPr>
              <w:t>Siponimod</w:t>
            </w:r>
            <w:proofErr w:type="spellEnd"/>
            <w:r w:rsidRPr="009F2D6F">
              <w:rPr>
                <w:lang w:val="en-US"/>
              </w:rPr>
              <w:t xml:space="preserve"> </w:t>
            </w:r>
          </w:p>
        </w:tc>
        <w:tc>
          <w:tcPr>
            <w:tcW w:w="580"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1037</w:t>
            </w:r>
          </w:p>
        </w:tc>
        <w:tc>
          <w:tcPr>
            <w:tcW w:w="599"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116/554281</w:t>
            </w:r>
          </w:p>
        </w:tc>
        <w:tc>
          <w:tcPr>
            <w:tcW w:w="347"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0.076</w:t>
            </w:r>
          </w:p>
        </w:tc>
        <w:tc>
          <w:tcPr>
            <w:tcW w:w="809" w:type="pct"/>
          </w:tcPr>
          <w:p w:rsidR="00712FA3" w:rsidRPr="009F2D6F" w:rsidRDefault="00712FA3" w:rsidP="00077582">
            <w:pPr>
              <w:pStyle w:val="PBACTabletext0"/>
              <w:keepNext/>
              <w:spacing w:before="0" w:after="0" w:line="256" w:lineRule="auto"/>
              <w:jc w:val="center"/>
              <w:rPr>
                <w:lang w:val="en-US"/>
              </w:rPr>
            </w:pPr>
            <w:r w:rsidRPr="009F2D6F">
              <w:rPr>
                <w:lang w:val="en-US"/>
              </w:rPr>
              <w:t>0.079</w:t>
            </w:r>
            <w:r w:rsidR="000D2922" w:rsidRPr="009F2D6F">
              <w:rPr>
                <w:lang w:val="en-US"/>
              </w:rPr>
              <w:br/>
            </w:r>
            <w:r w:rsidRPr="009F2D6F">
              <w:rPr>
                <w:lang w:val="en-US"/>
              </w:rPr>
              <w:t>(0.060,0.103)</w:t>
            </w:r>
          </w:p>
        </w:tc>
        <w:tc>
          <w:tcPr>
            <w:tcW w:w="533" w:type="pct"/>
            <w:vMerge w:val="restar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58.4%</w:t>
            </w:r>
          </w:p>
        </w:tc>
        <w:tc>
          <w:tcPr>
            <w:tcW w:w="834" w:type="pct"/>
            <w:vMerge w:val="restart"/>
            <w:vAlign w:val="center"/>
          </w:tcPr>
          <w:p w:rsidR="00712FA3" w:rsidRPr="009F2D6F" w:rsidRDefault="00712FA3" w:rsidP="00077582">
            <w:pPr>
              <w:pStyle w:val="PBACTabletext0"/>
              <w:keepNext/>
              <w:spacing w:before="0" w:after="0" w:line="256" w:lineRule="auto"/>
              <w:jc w:val="center"/>
              <w:rPr>
                <w:lang w:val="en-US"/>
              </w:rPr>
            </w:pPr>
            <w:r w:rsidRPr="009F2D6F">
              <w:rPr>
                <w:b/>
                <w:lang w:val="en-US"/>
              </w:rPr>
              <w:t>0.416</w:t>
            </w:r>
            <w:r w:rsidR="000D2922" w:rsidRPr="009F2D6F">
              <w:rPr>
                <w:b/>
                <w:lang w:val="en-US"/>
              </w:rPr>
              <w:br/>
            </w:r>
            <w:r w:rsidRPr="009F2D6F">
              <w:rPr>
                <w:b/>
                <w:lang w:val="en-US"/>
              </w:rPr>
              <w:t>(0.310, 0.560)</w:t>
            </w:r>
          </w:p>
        </w:tc>
        <w:tc>
          <w:tcPr>
            <w:tcW w:w="674" w:type="pct"/>
            <w:vMerge w:val="restart"/>
            <w:vAlign w:val="center"/>
          </w:tcPr>
          <w:p w:rsidR="00712FA3" w:rsidRPr="009F2D6F" w:rsidRDefault="00712FA3" w:rsidP="00077582">
            <w:pPr>
              <w:pStyle w:val="PBACTabletext0"/>
              <w:keepNext/>
              <w:spacing w:before="0" w:after="0" w:line="256" w:lineRule="auto"/>
              <w:jc w:val="center"/>
              <w:rPr>
                <w:b/>
                <w:lang w:val="en-US"/>
              </w:rPr>
            </w:pPr>
            <w:r w:rsidRPr="009F2D6F">
              <w:rPr>
                <w:b/>
                <w:lang w:val="en-US"/>
              </w:rPr>
              <w:t>&lt;0.0001</w:t>
            </w:r>
          </w:p>
        </w:tc>
      </w:tr>
      <w:tr w:rsidR="00712FA3" w:rsidRPr="009F2D6F" w:rsidTr="00486746">
        <w:tc>
          <w:tcPr>
            <w:tcW w:w="624" w:type="pct"/>
            <w:vAlign w:val="center"/>
          </w:tcPr>
          <w:p w:rsidR="00712FA3" w:rsidRPr="009F2D6F" w:rsidRDefault="00712FA3" w:rsidP="00077582">
            <w:pPr>
              <w:pStyle w:val="PBACTableText"/>
              <w:keepNext/>
              <w:spacing w:before="0" w:after="0" w:line="256" w:lineRule="auto"/>
              <w:rPr>
                <w:lang w:val="en-US"/>
              </w:rPr>
            </w:pPr>
            <w:r w:rsidRPr="009F2D6F">
              <w:rPr>
                <w:lang w:val="en-US"/>
              </w:rPr>
              <w:t>Placebo</w:t>
            </w:r>
          </w:p>
        </w:tc>
        <w:tc>
          <w:tcPr>
            <w:tcW w:w="580"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523</w:t>
            </w:r>
          </w:p>
        </w:tc>
        <w:tc>
          <w:tcPr>
            <w:tcW w:w="599"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126/273562</w:t>
            </w:r>
          </w:p>
        </w:tc>
        <w:tc>
          <w:tcPr>
            <w:tcW w:w="347" w:type="pct"/>
            <w:vAlign w:val="center"/>
          </w:tcPr>
          <w:p w:rsidR="00712FA3" w:rsidRPr="009F2D6F" w:rsidRDefault="00712FA3" w:rsidP="00077582">
            <w:pPr>
              <w:pStyle w:val="PBACTabletext0"/>
              <w:keepNext/>
              <w:spacing w:before="0" w:after="0" w:line="256" w:lineRule="auto"/>
              <w:jc w:val="center"/>
              <w:rPr>
                <w:lang w:val="en-US"/>
              </w:rPr>
            </w:pPr>
            <w:r w:rsidRPr="009F2D6F">
              <w:rPr>
                <w:lang w:val="en-US"/>
              </w:rPr>
              <w:t>0.168</w:t>
            </w:r>
          </w:p>
        </w:tc>
        <w:tc>
          <w:tcPr>
            <w:tcW w:w="809" w:type="pct"/>
          </w:tcPr>
          <w:p w:rsidR="00712FA3" w:rsidRPr="009F2D6F" w:rsidRDefault="00712FA3" w:rsidP="00077582">
            <w:pPr>
              <w:pStyle w:val="PBACTabletext0"/>
              <w:keepNext/>
              <w:spacing w:before="0" w:after="0" w:line="256" w:lineRule="auto"/>
              <w:jc w:val="center"/>
              <w:rPr>
                <w:lang w:val="en-US"/>
              </w:rPr>
            </w:pPr>
            <w:r w:rsidRPr="009F2D6F">
              <w:rPr>
                <w:lang w:val="en-US"/>
              </w:rPr>
              <w:t>0.189</w:t>
            </w:r>
            <w:r w:rsidR="000D2922" w:rsidRPr="009F2D6F">
              <w:rPr>
                <w:lang w:val="en-US"/>
              </w:rPr>
              <w:br/>
            </w:r>
            <w:r w:rsidRPr="009F2D6F">
              <w:rPr>
                <w:lang w:val="en-US"/>
              </w:rPr>
              <w:t>(0.143,0.250)</w:t>
            </w:r>
          </w:p>
        </w:tc>
        <w:tc>
          <w:tcPr>
            <w:tcW w:w="533" w:type="pct"/>
            <w:vMerge/>
          </w:tcPr>
          <w:p w:rsidR="00712FA3" w:rsidRPr="009F2D6F" w:rsidRDefault="00712FA3" w:rsidP="00077582">
            <w:pPr>
              <w:pStyle w:val="PBACTabletext0"/>
              <w:keepNext/>
              <w:spacing w:before="0" w:after="0" w:line="256" w:lineRule="auto"/>
              <w:jc w:val="center"/>
              <w:rPr>
                <w:lang w:val="en-US"/>
              </w:rPr>
            </w:pPr>
          </w:p>
        </w:tc>
        <w:tc>
          <w:tcPr>
            <w:tcW w:w="834" w:type="pct"/>
            <w:vMerge/>
          </w:tcPr>
          <w:p w:rsidR="00712FA3" w:rsidRPr="009F2D6F" w:rsidRDefault="00712FA3" w:rsidP="00077582">
            <w:pPr>
              <w:pStyle w:val="PBACTabletext0"/>
              <w:keepNext/>
              <w:spacing w:before="0" w:after="0" w:line="256" w:lineRule="auto"/>
              <w:jc w:val="center"/>
              <w:rPr>
                <w:lang w:val="en-US"/>
              </w:rPr>
            </w:pPr>
          </w:p>
        </w:tc>
        <w:tc>
          <w:tcPr>
            <w:tcW w:w="674" w:type="pct"/>
            <w:vMerge/>
          </w:tcPr>
          <w:p w:rsidR="00712FA3" w:rsidRPr="009F2D6F" w:rsidRDefault="00712FA3" w:rsidP="00077582">
            <w:pPr>
              <w:pStyle w:val="PBACTabletext0"/>
              <w:keepNext/>
              <w:spacing w:before="0" w:after="0" w:line="256" w:lineRule="auto"/>
              <w:jc w:val="center"/>
              <w:rPr>
                <w:lang w:val="en-US"/>
              </w:rPr>
            </w:pPr>
          </w:p>
        </w:tc>
      </w:tr>
      <w:tr w:rsidR="000D2922" w:rsidRPr="009F2D6F" w:rsidTr="00486746">
        <w:tc>
          <w:tcPr>
            <w:tcW w:w="5000" w:type="pct"/>
            <w:gridSpan w:val="8"/>
            <w:vAlign w:val="center"/>
          </w:tcPr>
          <w:p w:rsidR="000D2922" w:rsidRPr="009F2D6F" w:rsidRDefault="000D2922" w:rsidP="00077582">
            <w:pPr>
              <w:pStyle w:val="PBACTabletext0"/>
              <w:keepNext/>
              <w:spacing w:before="0" w:after="0" w:line="256" w:lineRule="auto"/>
              <w:rPr>
                <w:b/>
                <w:vertAlign w:val="superscript"/>
              </w:rPr>
            </w:pPr>
            <w:r w:rsidRPr="009F2D6F">
              <w:rPr>
                <w:b/>
              </w:rPr>
              <w:t>Nordic SG</w:t>
            </w:r>
            <w:r w:rsidRPr="009F2D6F">
              <w:rPr>
                <w:b/>
                <w:vertAlign w:val="superscript"/>
              </w:rPr>
              <w:t>1</w:t>
            </w:r>
          </w:p>
        </w:tc>
      </w:tr>
      <w:tr w:rsidR="000D2922" w:rsidRPr="009F2D6F" w:rsidTr="00486746">
        <w:tc>
          <w:tcPr>
            <w:tcW w:w="624" w:type="pct"/>
          </w:tcPr>
          <w:p w:rsidR="000D2922" w:rsidRPr="009F2D6F" w:rsidRDefault="005B0C66" w:rsidP="00077582">
            <w:pPr>
              <w:pStyle w:val="PBACTableText"/>
              <w:keepNext/>
              <w:spacing w:before="0" w:after="0" w:line="256" w:lineRule="auto"/>
              <w:rPr>
                <w:lang w:val="en-US"/>
              </w:rPr>
            </w:pPr>
            <w:r w:rsidRPr="009F2D6F">
              <w:t>IFN-beta</w:t>
            </w:r>
            <w:r w:rsidR="000D2922" w:rsidRPr="009F2D6F">
              <w:t>-1a</w:t>
            </w:r>
          </w:p>
        </w:tc>
        <w:tc>
          <w:tcPr>
            <w:tcW w:w="580" w:type="pct"/>
            <w:vAlign w:val="center"/>
          </w:tcPr>
          <w:p w:rsidR="000D2922" w:rsidRPr="009F2D6F" w:rsidRDefault="000D2922" w:rsidP="00077582">
            <w:pPr>
              <w:pStyle w:val="PBACTabletext0"/>
              <w:keepNext/>
              <w:spacing w:before="0" w:after="0" w:line="256" w:lineRule="auto"/>
              <w:jc w:val="center"/>
              <w:rPr>
                <w:lang w:val="en-US"/>
              </w:rPr>
            </w:pPr>
            <w:r w:rsidRPr="009F2D6F">
              <w:t>209</w:t>
            </w:r>
          </w:p>
        </w:tc>
        <w:tc>
          <w:tcPr>
            <w:tcW w:w="599" w:type="pct"/>
            <w:vAlign w:val="center"/>
          </w:tcPr>
          <w:p w:rsidR="000D2922" w:rsidRPr="009F2D6F" w:rsidRDefault="002E1F30" w:rsidP="00077582">
            <w:pPr>
              <w:pStyle w:val="PBACTabletext0"/>
              <w:keepNext/>
              <w:spacing w:before="0" w:after="0" w:line="256" w:lineRule="auto"/>
              <w:jc w:val="center"/>
              <w:rPr>
                <w:lang w:val="en-US"/>
              </w:rPr>
            </w:pPr>
            <w:r w:rsidRPr="009F2D6F">
              <w:rPr>
                <w:lang w:val="en-US"/>
              </w:rPr>
              <w:t>-</w:t>
            </w:r>
          </w:p>
        </w:tc>
        <w:tc>
          <w:tcPr>
            <w:tcW w:w="347" w:type="pct"/>
            <w:vAlign w:val="center"/>
          </w:tcPr>
          <w:p w:rsidR="000D2922" w:rsidRPr="009F2D6F" w:rsidRDefault="000D2922" w:rsidP="00077582">
            <w:pPr>
              <w:pStyle w:val="PBACTabletext0"/>
              <w:keepNext/>
              <w:spacing w:before="0" w:after="0" w:line="256" w:lineRule="auto"/>
              <w:jc w:val="center"/>
              <w:rPr>
                <w:lang w:val="en-US"/>
              </w:rPr>
            </w:pPr>
            <w:r w:rsidRPr="009F2D6F">
              <w:t>0.250</w:t>
            </w:r>
          </w:p>
        </w:tc>
        <w:tc>
          <w:tcPr>
            <w:tcW w:w="809" w:type="pct"/>
          </w:tcPr>
          <w:p w:rsidR="000D2922"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0D2922" w:rsidRPr="009F2D6F" w:rsidRDefault="000D2922" w:rsidP="00077582">
            <w:pPr>
              <w:pStyle w:val="PBACTabletext0"/>
              <w:keepNext/>
              <w:spacing w:before="0" w:after="0" w:line="256" w:lineRule="auto"/>
              <w:jc w:val="center"/>
              <w:rPr>
                <w:lang w:val="en-US"/>
              </w:rPr>
            </w:pPr>
            <w:r w:rsidRPr="009F2D6F">
              <w:t>-</w:t>
            </w:r>
          </w:p>
        </w:tc>
        <w:tc>
          <w:tcPr>
            <w:tcW w:w="834" w:type="pct"/>
            <w:vMerge w:val="restart"/>
            <w:vAlign w:val="center"/>
          </w:tcPr>
          <w:p w:rsidR="000D2922" w:rsidRPr="009F2D6F" w:rsidRDefault="000D2922" w:rsidP="00077582">
            <w:pPr>
              <w:pStyle w:val="PBACTabletext0"/>
              <w:keepNext/>
              <w:spacing w:before="0" w:after="0" w:line="256" w:lineRule="auto"/>
              <w:jc w:val="center"/>
              <w:rPr>
                <w:lang w:val="en-US"/>
              </w:rPr>
            </w:pPr>
            <w:r w:rsidRPr="009F2D6F">
              <w:t xml:space="preserve">0.90 </w:t>
            </w:r>
            <w:r w:rsidRPr="009F2D6F">
              <w:br/>
              <w:t>(0.64, 1.27)</w:t>
            </w:r>
          </w:p>
        </w:tc>
        <w:tc>
          <w:tcPr>
            <w:tcW w:w="674" w:type="pct"/>
            <w:vMerge w:val="restart"/>
            <w:vAlign w:val="center"/>
          </w:tcPr>
          <w:p w:rsidR="000D2922" w:rsidRPr="009F2D6F" w:rsidRDefault="000D2922" w:rsidP="00077582">
            <w:pPr>
              <w:pStyle w:val="PBACTabletext0"/>
              <w:keepNext/>
              <w:spacing w:before="0" w:after="0" w:line="256" w:lineRule="auto"/>
              <w:jc w:val="center"/>
              <w:rPr>
                <w:lang w:val="en-US"/>
              </w:rPr>
            </w:pPr>
            <w:r w:rsidRPr="009F2D6F">
              <w:t>0.55</w:t>
            </w:r>
          </w:p>
        </w:tc>
      </w:tr>
      <w:tr w:rsidR="000D2922" w:rsidRPr="009F2D6F" w:rsidTr="00486746">
        <w:tc>
          <w:tcPr>
            <w:tcW w:w="624" w:type="pct"/>
          </w:tcPr>
          <w:p w:rsidR="000D2922" w:rsidRPr="009F2D6F" w:rsidRDefault="000D2922" w:rsidP="00077582">
            <w:pPr>
              <w:pStyle w:val="PBACTableText"/>
              <w:keepNext/>
              <w:spacing w:before="0" w:after="0" w:line="256" w:lineRule="auto"/>
            </w:pPr>
            <w:r w:rsidRPr="009F2D6F">
              <w:t>Placebo</w:t>
            </w:r>
          </w:p>
        </w:tc>
        <w:tc>
          <w:tcPr>
            <w:tcW w:w="580" w:type="pct"/>
            <w:vAlign w:val="center"/>
          </w:tcPr>
          <w:p w:rsidR="000D2922" w:rsidRPr="009F2D6F" w:rsidRDefault="000D2922" w:rsidP="00077582">
            <w:pPr>
              <w:pStyle w:val="PBACTabletext0"/>
              <w:keepNext/>
              <w:spacing w:before="0" w:after="0" w:line="256" w:lineRule="auto"/>
              <w:jc w:val="center"/>
            </w:pPr>
            <w:r w:rsidRPr="009F2D6F">
              <w:t>205</w:t>
            </w:r>
          </w:p>
        </w:tc>
        <w:tc>
          <w:tcPr>
            <w:tcW w:w="599" w:type="pct"/>
            <w:vAlign w:val="center"/>
          </w:tcPr>
          <w:p w:rsidR="000D2922" w:rsidRPr="009F2D6F" w:rsidRDefault="002E1F30" w:rsidP="00077582">
            <w:pPr>
              <w:pStyle w:val="PBACTabletext0"/>
              <w:keepNext/>
              <w:spacing w:before="0" w:after="0" w:line="256" w:lineRule="auto"/>
              <w:jc w:val="center"/>
            </w:pPr>
            <w:r w:rsidRPr="009F2D6F">
              <w:t>-</w:t>
            </w:r>
          </w:p>
        </w:tc>
        <w:tc>
          <w:tcPr>
            <w:tcW w:w="347" w:type="pct"/>
            <w:vAlign w:val="center"/>
          </w:tcPr>
          <w:p w:rsidR="000D2922" w:rsidRPr="009F2D6F" w:rsidRDefault="000D2922" w:rsidP="00077582">
            <w:pPr>
              <w:pStyle w:val="PBACTabletext0"/>
              <w:keepNext/>
              <w:spacing w:before="0" w:after="0" w:line="256" w:lineRule="auto"/>
              <w:jc w:val="center"/>
              <w:rPr>
                <w:lang w:val="en-US"/>
              </w:rPr>
            </w:pPr>
            <w:r w:rsidRPr="009F2D6F">
              <w:t>0.270</w:t>
            </w:r>
          </w:p>
        </w:tc>
        <w:tc>
          <w:tcPr>
            <w:tcW w:w="809" w:type="pct"/>
          </w:tcPr>
          <w:p w:rsidR="000D2922"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0D2922" w:rsidRPr="009F2D6F" w:rsidRDefault="000D2922" w:rsidP="00077582">
            <w:pPr>
              <w:pStyle w:val="PBACTabletext0"/>
              <w:keepNext/>
              <w:spacing w:before="0" w:after="0" w:line="256" w:lineRule="auto"/>
              <w:jc w:val="center"/>
              <w:rPr>
                <w:lang w:val="en-US"/>
              </w:rPr>
            </w:pPr>
          </w:p>
        </w:tc>
        <w:tc>
          <w:tcPr>
            <w:tcW w:w="834" w:type="pct"/>
            <w:vMerge/>
            <w:vAlign w:val="center"/>
          </w:tcPr>
          <w:p w:rsidR="000D2922" w:rsidRPr="009F2D6F" w:rsidRDefault="000D2922" w:rsidP="00077582">
            <w:pPr>
              <w:pStyle w:val="PBACTabletext0"/>
              <w:keepNext/>
              <w:spacing w:before="0" w:after="0" w:line="256" w:lineRule="auto"/>
              <w:jc w:val="center"/>
              <w:rPr>
                <w:lang w:val="en-US"/>
              </w:rPr>
            </w:pPr>
          </w:p>
        </w:tc>
        <w:tc>
          <w:tcPr>
            <w:tcW w:w="674" w:type="pct"/>
            <w:vMerge/>
            <w:vAlign w:val="center"/>
          </w:tcPr>
          <w:p w:rsidR="000D2922" w:rsidRPr="009F2D6F" w:rsidRDefault="000D2922" w:rsidP="00077582">
            <w:pPr>
              <w:pStyle w:val="PBACTabletext0"/>
              <w:keepNext/>
              <w:spacing w:before="0" w:after="0" w:line="256" w:lineRule="auto"/>
              <w:jc w:val="center"/>
              <w:rPr>
                <w:lang w:val="en-US"/>
              </w:rPr>
            </w:pPr>
          </w:p>
        </w:tc>
      </w:tr>
      <w:tr w:rsidR="000D2922" w:rsidRPr="009F2D6F" w:rsidTr="00486746">
        <w:tc>
          <w:tcPr>
            <w:tcW w:w="5000" w:type="pct"/>
            <w:gridSpan w:val="8"/>
          </w:tcPr>
          <w:p w:rsidR="000D2922" w:rsidRPr="009F2D6F" w:rsidRDefault="000D2922" w:rsidP="00077582">
            <w:pPr>
              <w:pStyle w:val="PBACTabletext0"/>
              <w:keepNext/>
              <w:spacing w:before="0" w:after="0" w:line="256" w:lineRule="auto"/>
              <w:rPr>
                <w:b/>
                <w:vertAlign w:val="superscript"/>
              </w:rPr>
            </w:pPr>
            <w:r w:rsidRPr="009F2D6F">
              <w:rPr>
                <w:b/>
              </w:rPr>
              <w:t>North America SG</w:t>
            </w:r>
            <w:r w:rsidRPr="009F2D6F">
              <w:rPr>
                <w:b/>
                <w:vertAlign w:val="superscript"/>
              </w:rPr>
              <w:t>2</w:t>
            </w:r>
          </w:p>
        </w:tc>
      </w:tr>
      <w:tr w:rsidR="002E1F30" w:rsidRPr="009F2D6F" w:rsidTr="00486746">
        <w:tc>
          <w:tcPr>
            <w:tcW w:w="624" w:type="pct"/>
          </w:tcPr>
          <w:p w:rsidR="002E1F30" w:rsidRPr="009F2D6F" w:rsidRDefault="005B0C66" w:rsidP="00077582">
            <w:pPr>
              <w:pStyle w:val="PBACTableText"/>
              <w:spacing w:before="0" w:after="0"/>
            </w:pPr>
            <w:r w:rsidRPr="009F2D6F">
              <w:t>IFN-beta</w:t>
            </w:r>
            <w:r w:rsidR="002E1F30" w:rsidRPr="009F2D6F">
              <w:t>-1b</w:t>
            </w:r>
            <w:r w:rsidR="002E1F30" w:rsidRPr="009F2D6F">
              <w:br/>
              <w:t>(high dose)</w:t>
            </w:r>
          </w:p>
        </w:tc>
        <w:tc>
          <w:tcPr>
            <w:tcW w:w="580" w:type="pct"/>
            <w:vAlign w:val="center"/>
          </w:tcPr>
          <w:p w:rsidR="002E1F30" w:rsidRPr="009F2D6F" w:rsidRDefault="002E1F30" w:rsidP="00077582">
            <w:pPr>
              <w:pStyle w:val="PBACTabletext0"/>
              <w:keepNext/>
              <w:spacing w:before="0" w:after="0" w:line="256" w:lineRule="auto"/>
              <w:jc w:val="center"/>
            </w:pPr>
            <w:r w:rsidRPr="009F2D6F">
              <w:t>317</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0.160</w:t>
            </w:r>
          </w:p>
        </w:tc>
        <w:tc>
          <w:tcPr>
            <w:tcW w:w="809" w:type="pct"/>
            <w:vAlign w:val="center"/>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 xml:space="preserve">0.57 </w:t>
            </w:r>
            <w:r w:rsidRPr="009F2D6F">
              <w:br/>
              <w:t>(0.17, 1.90)</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w:t>
            </w: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308</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0.280</w:t>
            </w:r>
          </w:p>
        </w:tc>
        <w:tc>
          <w:tcPr>
            <w:tcW w:w="809" w:type="pct"/>
            <w:vAlign w:val="center"/>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2E1F30" w:rsidRPr="009F2D6F" w:rsidRDefault="002E1F30" w:rsidP="00077582">
            <w:pPr>
              <w:pStyle w:val="PBACTabletext0"/>
              <w:keepNext/>
              <w:spacing w:before="0" w:after="0" w:line="256" w:lineRule="auto"/>
              <w:jc w:val="center"/>
              <w:rPr>
                <w:lang w:val="en-US"/>
              </w:rPr>
            </w:pPr>
          </w:p>
        </w:tc>
        <w:tc>
          <w:tcPr>
            <w:tcW w:w="834" w:type="pct"/>
            <w:vMerge/>
            <w:vAlign w:val="center"/>
          </w:tcPr>
          <w:p w:rsidR="002E1F30" w:rsidRPr="009F2D6F" w:rsidRDefault="002E1F30" w:rsidP="00077582">
            <w:pPr>
              <w:pStyle w:val="PBACTabletext0"/>
              <w:keepNext/>
              <w:spacing w:before="0" w:after="0" w:line="256" w:lineRule="auto"/>
              <w:jc w:val="center"/>
              <w:rPr>
                <w:lang w:val="en-US"/>
              </w:rPr>
            </w:pPr>
          </w:p>
        </w:tc>
        <w:tc>
          <w:tcPr>
            <w:tcW w:w="674" w:type="pct"/>
            <w:vMerge/>
            <w:vAlign w:val="center"/>
          </w:tcPr>
          <w:p w:rsidR="002E1F30" w:rsidRPr="009F2D6F" w:rsidRDefault="002E1F30" w:rsidP="00077582">
            <w:pPr>
              <w:pStyle w:val="PBACTabletext0"/>
              <w:keepNext/>
              <w:spacing w:before="0" w:after="0" w:line="256" w:lineRule="auto"/>
              <w:jc w:val="center"/>
              <w:rPr>
                <w:lang w:val="en-US"/>
              </w:rPr>
            </w:pPr>
          </w:p>
        </w:tc>
      </w:tr>
      <w:tr w:rsidR="002E1F30" w:rsidRPr="009F2D6F" w:rsidTr="00486746">
        <w:tc>
          <w:tcPr>
            <w:tcW w:w="5000" w:type="pct"/>
            <w:gridSpan w:val="8"/>
          </w:tcPr>
          <w:p w:rsidR="002E1F30" w:rsidRPr="009F2D6F" w:rsidRDefault="002E1F30" w:rsidP="00077582">
            <w:pPr>
              <w:pStyle w:val="PBACTabletext0"/>
              <w:keepNext/>
              <w:spacing w:before="0" w:after="0" w:line="256" w:lineRule="auto"/>
              <w:rPr>
                <w:b/>
                <w:vertAlign w:val="superscript"/>
                <w:lang w:val="en-US"/>
              </w:rPr>
            </w:pPr>
            <w:r w:rsidRPr="009F2D6F">
              <w:rPr>
                <w:b/>
                <w:lang w:val="en-US"/>
              </w:rPr>
              <w:t>European SG</w:t>
            </w:r>
            <w:r w:rsidRPr="009F2D6F">
              <w:rPr>
                <w:b/>
                <w:vertAlign w:val="superscript"/>
                <w:lang w:val="en-US"/>
              </w:rPr>
              <w:t>3</w:t>
            </w:r>
          </w:p>
        </w:tc>
      </w:tr>
      <w:tr w:rsidR="002E1F30" w:rsidRPr="009F2D6F" w:rsidTr="00486746">
        <w:tc>
          <w:tcPr>
            <w:tcW w:w="624" w:type="pct"/>
          </w:tcPr>
          <w:p w:rsidR="002E1F30" w:rsidRPr="009F2D6F" w:rsidRDefault="005B0C66" w:rsidP="00077582">
            <w:pPr>
              <w:pStyle w:val="PBACTableText"/>
              <w:spacing w:before="0" w:after="0"/>
            </w:pPr>
            <w:r w:rsidRPr="009F2D6F">
              <w:t>IFN-beta</w:t>
            </w:r>
            <w:r w:rsidR="002E1F30" w:rsidRPr="009F2D6F">
              <w:t>-1b</w:t>
            </w:r>
          </w:p>
        </w:tc>
        <w:tc>
          <w:tcPr>
            <w:tcW w:w="580" w:type="pct"/>
            <w:vAlign w:val="center"/>
          </w:tcPr>
          <w:p w:rsidR="002E1F30" w:rsidRPr="009F2D6F" w:rsidRDefault="002E1F30" w:rsidP="00077582">
            <w:pPr>
              <w:pStyle w:val="PBACTabletext0"/>
              <w:keepNext/>
              <w:spacing w:before="0" w:after="0" w:line="256" w:lineRule="auto"/>
              <w:jc w:val="center"/>
            </w:pPr>
            <w:r w:rsidRPr="009F2D6F">
              <w:t>360</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0.440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 xml:space="preserve">0.690 </w:t>
            </w:r>
            <w:r w:rsidRPr="009F2D6F">
              <w:br/>
              <w:t>(0.09, 5.12)</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358</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0.640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2E1F30" w:rsidRPr="009F2D6F" w:rsidRDefault="002E1F30" w:rsidP="00077582">
            <w:pPr>
              <w:pStyle w:val="PBACTabletext0"/>
              <w:keepNext/>
              <w:spacing w:before="0" w:after="0" w:line="256" w:lineRule="auto"/>
              <w:jc w:val="center"/>
              <w:rPr>
                <w:lang w:val="en-US"/>
              </w:rPr>
            </w:pPr>
          </w:p>
        </w:tc>
        <w:tc>
          <w:tcPr>
            <w:tcW w:w="834" w:type="pct"/>
            <w:vMerge/>
            <w:vAlign w:val="center"/>
          </w:tcPr>
          <w:p w:rsidR="002E1F30" w:rsidRPr="009F2D6F" w:rsidRDefault="002E1F30" w:rsidP="00077582">
            <w:pPr>
              <w:pStyle w:val="PBACTabletext0"/>
              <w:keepNext/>
              <w:spacing w:before="0" w:after="0" w:line="256" w:lineRule="auto"/>
              <w:jc w:val="center"/>
              <w:rPr>
                <w:lang w:val="en-US"/>
              </w:rPr>
            </w:pPr>
          </w:p>
        </w:tc>
        <w:tc>
          <w:tcPr>
            <w:tcW w:w="674" w:type="pct"/>
            <w:vMerge/>
            <w:vAlign w:val="center"/>
          </w:tcPr>
          <w:p w:rsidR="002E1F30" w:rsidRPr="009F2D6F" w:rsidRDefault="002E1F30" w:rsidP="00077582">
            <w:pPr>
              <w:pStyle w:val="PBACTabletext0"/>
              <w:keepNext/>
              <w:spacing w:before="0" w:after="0" w:line="256" w:lineRule="auto"/>
              <w:jc w:val="center"/>
              <w:rPr>
                <w:lang w:val="en-US"/>
              </w:rPr>
            </w:pPr>
          </w:p>
        </w:tc>
      </w:tr>
      <w:tr w:rsidR="002E1F30" w:rsidRPr="009F2D6F" w:rsidTr="00486746">
        <w:tc>
          <w:tcPr>
            <w:tcW w:w="5000" w:type="pct"/>
            <w:gridSpan w:val="8"/>
          </w:tcPr>
          <w:p w:rsidR="002E1F30" w:rsidRPr="009F2D6F" w:rsidRDefault="002E1F30" w:rsidP="00077582">
            <w:pPr>
              <w:pStyle w:val="PBACTabletext0"/>
              <w:keepNext/>
              <w:spacing w:before="0" w:after="0" w:line="256" w:lineRule="auto"/>
              <w:rPr>
                <w:b/>
                <w:lang w:val="en-US"/>
              </w:rPr>
            </w:pPr>
            <w:r w:rsidRPr="009F2D6F">
              <w:rPr>
                <w:b/>
                <w:lang w:val="en-US"/>
              </w:rPr>
              <w:t>IMPACT</w:t>
            </w:r>
          </w:p>
        </w:tc>
      </w:tr>
      <w:tr w:rsidR="002E1F30" w:rsidRPr="009F2D6F" w:rsidTr="00486746">
        <w:tc>
          <w:tcPr>
            <w:tcW w:w="624" w:type="pct"/>
          </w:tcPr>
          <w:p w:rsidR="002E1F30" w:rsidRPr="009F2D6F" w:rsidRDefault="005B0C66" w:rsidP="00077582">
            <w:pPr>
              <w:pStyle w:val="PBACTableText"/>
              <w:spacing w:before="0" w:after="0"/>
            </w:pPr>
            <w:r w:rsidRPr="009F2D6F">
              <w:t>IFN-beta</w:t>
            </w:r>
            <w:r w:rsidR="002E1F30" w:rsidRPr="009F2D6F">
              <w:t>-1a</w:t>
            </w:r>
          </w:p>
        </w:tc>
        <w:tc>
          <w:tcPr>
            <w:tcW w:w="580" w:type="pct"/>
            <w:vAlign w:val="center"/>
          </w:tcPr>
          <w:p w:rsidR="002E1F30" w:rsidRPr="009F2D6F" w:rsidRDefault="002E1F30" w:rsidP="00077582">
            <w:pPr>
              <w:pStyle w:val="PBACTabletext0"/>
              <w:keepNext/>
              <w:spacing w:before="0" w:after="0" w:line="256" w:lineRule="auto"/>
              <w:jc w:val="center"/>
            </w:pPr>
            <w:r w:rsidRPr="009F2D6F">
              <w:t>217</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0.190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 xml:space="preserve">0.61 </w:t>
            </w:r>
            <w:r w:rsidRPr="009F2D6F">
              <w:br/>
              <w:t>(0.18, 2.14)</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lang w:val="en-US"/>
              </w:rPr>
              <w:t>-</w:t>
            </w: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219</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0.310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2E1F30" w:rsidRPr="009F2D6F" w:rsidRDefault="002E1F30" w:rsidP="00077582">
            <w:pPr>
              <w:pStyle w:val="PBACTabletext0"/>
              <w:keepNext/>
              <w:spacing w:before="0" w:after="0" w:line="256" w:lineRule="auto"/>
              <w:jc w:val="center"/>
              <w:rPr>
                <w:lang w:val="en-US"/>
              </w:rPr>
            </w:pPr>
          </w:p>
        </w:tc>
        <w:tc>
          <w:tcPr>
            <w:tcW w:w="834" w:type="pct"/>
            <w:vMerge/>
            <w:vAlign w:val="center"/>
          </w:tcPr>
          <w:p w:rsidR="002E1F30" w:rsidRPr="009F2D6F" w:rsidRDefault="002E1F30" w:rsidP="00077582">
            <w:pPr>
              <w:pStyle w:val="PBACTabletext0"/>
              <w:keepNext/>
              <w:spacing w:before="0" w:after="0" w:line="256" w:lineRule="auto"/>
              <w:jc w:val="center"/>
              <w:rPr>
                <w:lang w:val="en-US"/>
              </w:rPr>
            </w:pPr>
          </w:p>
        </w:tc>
        <w:tc>
          <w:tcPr>
            <w:tcW w:w="674" w:type="pct"/>
            <w:vMerge/>
            <w:vAlign w:val="center"/>
          </w:tcPr>
          <w:p w:rsidR="002E1F30" w:rsidRPr="009F2D6F" w:rsidRDefault="002E1F30" w:rsidP="00077582">
            <w:pPr>
              <w:pStyle w:val="PBACTabletext0"/>
              <w:keepNext/>
              <w:spacing w:before="0" w:after="0" w:line="256" w:lineRule="auto"/>
              <w:jc w:val="center"/>
              <w:rPr>
                <w:lang w:val="en-US"/>
              </w:rPr>
            </w:pPr>
          </w:p>
        </w:tc>
      </w:tr>
      <w:tr w:rsidR="002E1F30" w:rsidRPr="009F2D6F" w:rsidTr="00486746">
        <w:tc>
          <w:tcPr>
            <w:tcW w:w="5000" w:type="pct"/>
            <w:gridSpan w:val="8"/>
          </w:tcPr>
          <w:p w:rsidR="002E1F30" w:rsidRPr="009F2D6F" w:rsidRDefault="002E1F30" w:rsidP="00077582">
            <w:pPr>
              <w:pStyle w:val="PBACTabletext0"/>
              <w:keepNext/>
              <w:spacing w:before="0" w:after="0" w:line="256" w:lineRule="auto"/>
              <w:rPr>
                <w:b/>
              </w:rPr>
            </w:pPr>
            <w:r w:rsidRPr="009F2D6F">
              <w:rPr>
                <w:b/>
              </w:rPr>
              <w:t>SPECTR</w:t>
            </w:r>
            <w:r w:rsidR="006177BD" w:rsidRPr="009F2D6F">
              <w:rPr>
                <w:b/>
              </w:rPr>
              <w:t>I</w:t>
            </w:r>
            <w:r w:rsidRPr="009F2D6F">
              <w:rPr>
                <w:b/>
              </w:rPr>
              <w:t>MS</w:t>
            </w:r>
          </w:p>
        </w:tc>
      </w:tr>
      <w:tr w:rsidR="002E1F30" w:rsidRPr="009F2D6F" w:rsidTr="00486746">
        <w:tc>
          <w:tcPr>
            <w:tcW w:w="624" w:type="pct"/>
          </w:tcPr>
          <w:p w:rsidR="002E1F30" w:rsidRPr="009F2D6F" w:rsidRDefault="005B0C66" w:rsidP="00077582">
            <w:pPr>
              <w:pStyle w:val="PBACTableText"/>
              <w:spacing w:before="0" w:after="0"/>
            </w:pPr>
            <w:r w:rsidRPr="009F2D6F">
              <w:t>IFN-beta</w:t>
            </w:r>
            <w:r w:rsidR="002E1F30" w:rsidRPr="009F2D6F">
              <w:t>-1a</w:t>
            </w:r>
          </w:p>
        </w:tc>
        <w:tc>
          <w:tcPr>
            <w:tcW w:w="580" w:type="pct"/>
            <w:vAlign w:val="center"/>
          </w:tcPr>
          <w:p w:rsidR="002E1F30" w:rsidRPr="009F2D6F" w:rsidRDefault="002E1F30" w:rsidP="00077582">
            <w:pPr>
              <w:pStyle w:val="PBACTabletext0"/>
              <w:keepNext/>
              <w:spacing w:before="0" w:after="0" w:line="256" w:lineRule="auto"/>
              <w:jc w:val="center"/>
            </w:pPr>
            <w:r w:rsidRPr="009F2D6F">
              <w:t>204</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0.500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31.0%</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b/>
              </w:rPr>
              <w:t xml:space="preserve">0.690 </w:t>
            </w:r>
            <w:r w:rsidRPr="009F2D6F">
              <w:rPr>
                <w:b/>
              </w:rPr>
              <w:br/>
              <w:t>(0.56, 0.85)</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b/>
              </w:rPr>
              <w:t>0.0005</w:t>
            </w: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205</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0.710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2E1F30" w:rsidRPr="009F2D6F" w:rsidRDefault="002E1F30" w:rsidP="00077582">
            <w:pPr>
              <w:pStyle w:val="PBACTabletext0"/>
              <w:keepNext/>
              <w:spacing w:before="0" w:after="0" w:line="256" w:lineRule="auto"/>
              <w:jc w:val="center"/>
              <w:rPr>
                <w:lang w:val="en-US"/>
              </w:rPr>
            </w:pPr>
          </w:p>
        </w:tc>
        <w:tc>
          <w:tcPr>
            <w:tcW w:w="834" w:type="pct"/>
            <w:vMerge/>
            <w:vAlign w:val="center"/>
          </w:tcPr>
          <w:p w:rsidR="002E1F30" w:rsidRPr="009F2D6F" w:rsidRDefault="002E1F30" w:rsidP="00077582">
            <w:pPr>
              <w:pStyle w:val="PBACTabletext0"/>
              <w:keepNext/>
              <w:spacing w:before="0" w:after="0" w:line="256" w:lineRule="auto"/>
              <w:jc w:val="center"/>
              <w:rPr>
                <w:lang w:val="en-US"/>
              </w:rPr>
            </w:pPr>
          </w:p>
        </w:tc>
        <w:tc>
          <w:tcPr>
            <w:tcW w:w="674" w:type="pct"/>
            <w:vMerge/>
            <w:vAlign w:val="center"/>
          </w:tcPr>
          <w:p w:rsidR="002E1F30" w:rsidRPr="009F2D6F" w:rsidRDefault="002E1F30" w:rsidP="00077582">
            <w:pPr>
              <w:pStyle w:val="PBACTabletext0"/>
              <w:keepNext/>
              <w:spacing w:before="0" w:after="0" w:line="256" w:lineRule="auto"/>
              <w:jc w:val="center"/>
              <w:rPr>
                <w:lang w:val="en-US"/>
              </w:rPr>
            </w:pPr>
          </w:p>
        </w:tc>
      </w:tr>
      <w:tr w:rsidR="00D16283" w:rsidRPr="009F2D6F" w:rsidTr="00486746">
        <w:tc>
          <w:tcPr>
            <w:tcW w:w="3492" w:type="pct"/>
            <w:gridSpan w:val="6"/>
            <w:vAlign w:val="center"/>
          </w:tcPr>
          <w:p w:rsidR="00D16283" w:rsidRPr="009F2D6F" w:rsidRDefault="00D16283" w:rsidP="00077582">
            <w:pPr>
              <w:pStyle w:val="PBACTabletext0"/>
              <w:keepNext/>
              <w:spacing w:before="0" w:after="0" w:line="256" w:lineRule="auto"/>
              <w:jc w:val="right"/>
              <w:rPr>
                <w:lang w:val="en-US"/>
              </w:rPr>
            </w:pPr>
            <w:r w:rsidRPr="009F2D6F">
              <w:rPr>
                <w:lang w:val="en-US"/>
              </w:rPr>
              <w:t>Meta-analysis of IFN trials</w:t>
            </w:r>
          </w:p>
        </w:tc>
        <w:tc>
          <w:tcPr>
            <w:tcW w:w="834" w:type="pct"/>
            <w:vAlign w:val="center"/>
          </w:tcPr>
          <w:p w:rsidR="00D16283" w:rsidRPr="009F2D6F" w:rsidRDefault="00D16283" w:rsidP="00077582">
            <w:pPr>
              <w:pStyle w:val="PBACTabletext0"/>
              <w:keepNext/>
              <w:spacing w:before="0" w:after="0" w:line="256" w:lineRule="auto"/>
              <w:jc w:val="center"/>
              <w:rPr>
                <w:b/>
                <w:lang w:val="en-US"/>
              </w:rPr>
            </w:pPr>
            <w:r w:rsidRPr="009F2D6F">
              <w:rPr>
                <w:b/>
                <w:lang w:val="en-US"/>
              </w:rPr>
              <w:t>0.73 (0.62, 0.87)</w:t>
            </w:r>
          </w:p>
        </w:tc>
        <w:tc>
          <w:tcPr>
            <w:tcW w:w="674" w:type="pct"/>
            <w:vAlign w:val="center"/>
          </w:tcPr>
          <w:p w:rsidR="00D16283" w:rsidRPr="009F2D6F" w:rsidRDefault="00D16283" w:rsidP="00077582">
            <w:pPr>
              <w:pStyle w:val="PBACTabletext0"/>
              <w:keepNext/>
              <w:spacing w:before="0" w:after="0" w:line="256" w:lineRule="auto"/>
              <w:jc w:val="center"/>
              <w:rPr>
                <w:lang w:val="en-US"/>
              </w:rPr>
            </w:pPr>
            <w:r w:rsidRPr="009F2D6F">
              <w:rPr>
                <w:lang w:val="en-US"/>
              </w:rPr>
              <w:t>-</w:t>
            </w:r>
          </w:p>
        </w:tc>
      </w:tr>
      <w:tr w:rsidR="002E1F30" w:rsidRPr="009F2D6F" w:rsidTr="00486746">
        <w:tc>
          <w:tcPr>
            <w:tcW w:w="5000" w:type="pct"/>
            <w:gridSpan w:val="8"/>
          </w:tcPr>
          <w:p w:rsidR="002E1F30" w:rsidRPr="009F2D6F" w:rsidRDefault="002E1F30" w:rsidP="00077582">
            <w:pPr>
              <w:pStyle w:val="PBACTabletext0"/>
              <w:keepNext/>
              <w:spacing w:before="0" w:after="0" w:line="256" w:lineRule="auto"/>
              <w:rPr>
                <w:b/>
                <w:lang w:val="en-US"/>
              </w:rPr>
            </w:pPr>
            <w:r w:rsidRPr="009F2D6F">
              <w:rPr>
                <w:b/>
                <w:lang w:val="en-US"/>
              </w:rPr>
              <w:t>COP-1</w:t>
            </w:r>
          </w:p>
        </w:tc>
      </w:tr>
      <w:tr w:rsidR="002E1F30" w:rsidRPr="009F2D6F" w:rsidTr="00486746">
        <w:tc>
          <w:tcPr>
            <w:tcW w:w="624" w:type="pct"/>
          </w:tcPr>
          <w:p w:rsidR="002E1F30" w:rsidRPr="009F2D6F" w:rsidRDefault="002E1F30" w:rsidP="00077582">
            <w:pPr>
              <w:pStyle w:val="PBACTableText"/>
              <w:spacing w:before="0" w:after="0"/>
            </w:pPr>
            <w:proofErr w:type="spellStart"/>
            <w:r w:rsidRPr="009F2D6F">
              <w:t>Glatiramer</w:t>
            </w:r>
            <w:proofErr w:type="spellEnd"/>
            <w:r w:rsidRPr="009F2D6F">
              <w:t xml:space="preserve"> acetate</w:t>
            </w:r>
          </w:p>
        </w:tc>
        <w:tc>
          <w:tcPr>
            <w:tcW w:w="580" w:type="pct"/>
            <w:vAlign w:val="center"/>
          </w:tcPr>
          <w:p w:rsidR="002E1F30" w:rsidRPr="009F2D6F" w:rsidRDefault="002E1F30" w:rsidP="00077582">
            <w:pPr>
              <w:pStyle w:val="PBACTabletext0"/>
              <w:keepNext/>
              <w:spacing w:before="0" w:after="0" w:line="256" w:lineRule="auto"/>
              <w:jc w:val="center"/>
            </w:pPr>
            <w:r w:rsidRPr="009F2D6F">
              <w:t>51</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NR</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NR</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lang w:val="en-US"/>
              </w:rPr>
              <w:t>-</w:t>
            </w: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55</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NR</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ign w:val="center"/>
          </w:tcPr>
          <w:p w:rsidR="002E1F30" w:rsidRPr="009F2D6F" w:rsidRDefault="002E1F30" w:rsidP="00077582">
            <w:pPr>
              <w:pStyle w:val="PBACTabletext0"/>
              <w:keepNext/>
              <w:spacing w:before="0" w:after="0" w:line="256" w:lineRule="auto"/>
              <w:jc w:val="center"/>
              <w:rPr>
                <w:lang w:val="en-US"/>
              </w:rPr>
            </w:pPr>
          </w:p>
        </w:tc>
        <w:tc>
          <w:tcPr>
            <w:tcW w:w="834" w:type="pct"/>
            <w:vMerge/>
            <w:vAlign w:val="center"/>
          </w:tcPr>
          <w:p w:rsidR="002E1F30" w:rsidRPr="009F2D6F" w:rsidRDefault="002E1F30" w:rsidP="00077582">
            <w:pPr>
              <w:pStyle w:val="PBACTabletext0"/>
              <w:keepNext/>
              <w:spacing w:before="0" w:after="0" w:line="256" w:lineRule="auto"/>
              <w:jc w:val="center"/>
              <w:rPr>
                <w:lang w:val="en-US"/>
              </w:rPr>
            </w:pPr>
          </w:p>
        </w:tc>
        <w:tc>
          <w:tcPr>
            <w:tcW w:w="674" w:type="pct"/>
            <w:vMerge/>
            <w:vAlign w:val="center"/>
          </w:tcPr>
          <w:p w:rsidR="002E1F30" w:rsidRPr="009F2D6F" w:rsidRDefault="002E1F30" w:rsidP="00077582">
            <w:pPr>
              <w:pStyle w:val="PBACTabletext0"/>
              <w:keepNext/>
              <w:spacing w:before="0" w:after="0" w:line="256" w:lineRule="auto"/>
              <w:jc w:val="center"/>
              <w:rPr>
                <w:lang w:val="en-US"/>
              </w:rPr>
            </w:pPr>
          </w:p>
        </w:tc>
      </w:tr>
      <w:tr w:rsidR="002E1F30" w:rsidRPr="009F2D6F" w:rsidTr="00486746">
        <w:tc>
          <w:tcPr>
            <w:tcW w:w="5000" w:type="pct"/>
            <w:gridSpan w:val="8"/>
          </w:tcPr>
          <w:p w:rsidR="002E1F30" w:rsidRPr="009F2D6F" w:rsidRDefault="002E1F30" w:rsidP="00077582">
            <w:pPr>
              <w:pStyle w:val="PBACTabletext0"/>
              <w:keepNext/>
              <w:spacing w:before="0" w:after="0" w:line="256" w:lineRule="auto"/>
              <w:rPr>
                <w:b/>
              </w:rPr>
            </w:pPr>
            <w:r w:rsidRPr="009F2D6F">
              <w:rPr>
                <w:b/>
              </w:rPr>
              <w:t>ASCEND</w:t>
            </w:r>
          </w:p>
        </w:tc>
      </w:tr>
      <w:tr w:rsidR="002E1F30" w:rsidRPr="009F2D6F" w:rsidTr="00486746">
        <w:tc>
          <w:tcPr>
            <w:tcW w:w="624" w:type="pct"/>
          </w:tcPr>
          <w:p w:rsidR="002E1F30" w:rsidRPr="009F2D6F" w:rsidRDefault="002E1F30" w:rsidP="00077582">
            <w:pPr>
              <w:pStyle w:val="PBACTableText"/>
              <w:spacing w:before="0" w:after="0"/>
            </w:pPr>
            <w:proofErr w:type="spellStart"/>
            <w:r w:rsidRPr="009F2D6F">
              <w:t>Natalizumab</w:t>
            </w:r>
            <w:proofErr w:type="spellEnd"/>
          </w:p>
        </w:tc>
        <w:tc>
          <w:tcPr>
            <w:tcW w:w="580" w:type="pct"/>
            <w:vAlign w:val="center"/>
          </w:tcPr>
          <w:p w:rsidR="002E1F30" w:rsidRPr="009F2D6F" w:rsidRDefault="002E1F30" w:rsidP="00077582">
            <w:pPr>
              <w:pStyle w:val="PBACTabletext0"/>
              <w:keepNext/>
              <w:spacing w:before="0" w:after="0" w:line="256" w:lineRule="auto"/>
              <w:jc w:val="center"/>
            </w:pPr>
            <w:r w:rsidRPr="009F2D6F">
              <w:t>439</w:t>
            </w:r>
          </w:p>
        </w:tc>
        <w:tc>
          <w:tcPr>
            <w:tcW w:w="599" w:type="pct"/>
            <w:vAlign w:val="center"/>
          </w:tcPr>
          <w:p w:rsidR="002E1F30" w:rsidRPr="009F2D6F" w:rsidRDefault="002E1F30" w:rsidP="00077582">
            <w:pPr>
              <w:pStyle w:val="PBACTabletext0"/>
              <w:keepNext/>
              <w:spacing w:before="0" w:after="0" w:line="256" w:lineRule="auto"/>
              <w:jc w:val="center"/>
            </w:pPr>
            <w:r w:rsidRPr="009F2D6F">
              <w:rPr>
                <w:lang w:val="en-US"/>
              </w:rPr>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0.080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t>54.7%</w:t>
            </w:r>
          </w:p>
        </w:tc>
        <w:tc>
          <w:tcPr>
            <w:tcW w:w="83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b/>
              </w:rPr>
              <w:t xml:space="preserve">0.453 </w:t>
            </w:r>
            <w:r w:rsidRPr="009F2D6F">
              <w:rPr>
                <w:b/>
              </w:rPr>
              <w:br/>
              <w:t>(0.323, 0.634)</w:t>
            </w:r>
          </w:p>
        </w:tc>
        <w:tc>
          <w:tcPr>
            <w:tcW w:w="674" w:type="pct"/>
            <w:vMerge w:val="restart"/>
            <w:vAlign w:val="center"/>
          </w:tcPr>
          <w:p w:rsidR="002E1F30" w:rsidRPr="009F2D6F" w:rsidRDefault="002E1F30" w:rsidP="00077582">
            <w:pPr>
              <w:pStyle w:val="PBACTabletext0"/>
              <w:keepNext/>
              <w:spacing w:before="0" w:after="0" w:line="256" w:lineRule="auto"/>
              <w:jc w:val="center"/>
              <w:rPr>
                <w:lang w:val="en-US"/>
              </w:rPr>
            </w:pPr>
            <w:r w:rsidRPr="009F2D6F">
              <w:rPr>
                <w:b/>
              </w:rPr>
              <w:t>&lt;0.0001</w:t>
            </w:r>
          </w:p>
        </w:tc>
      </w:tr>
      <w:tr w:rsidR="002E1F30" w:rsidRPr="009F2D6F" w:rsidTr="00486746">
        <w:tc>
          <w:tcPr>
            <w:tcW w:w="624" w:type="pct"/>
          </w:tcPr>
          <w:p w:rsidR="002E1F30" w:rsidRPr="009F2D6F" w:rsidRDefault="002E1F30" w:rsidP="00077582">
            <w:pPr>
              <w:pStyle w:val="PBACTableText"/>
              <w:spacing w:before="0" w:after="0"/>
            </w:pPr>
            <w:r w:rsidRPr="009F2D6F">
              <w:t>Placebo</w:t>
            </w:r>
          </w:p>
        </w:tc>
        <w:tc>
          <w:tcPr>
            <w:tcW w:w="580" w:type="pct"/>
            <w:vAlign w:val="center"/>
          </w:tcPr>
          <w:p w:rsidR="002E1F30" w:rsidRPr="009F2D6F" w:rsidRDefault="002E1F30" w:rsidP="00077582">
            <w:pPr>
              <w:pStyle w:val="PBACTabletext0"/>
              <w:keepNext/>
              <w:spacing w:before="0" w:after="0" w:line="256" w:lineRule="auto"/>
              <w:jc w:val="center"/>
            </w:pPr>
            <w:r w:rsidRPr="009F2D6F">
              <w:t>448</w:t>
            </w:r>
          </w:p>
        </w:tc>
        <w:tc>
          <w:tcPr>
            <w:tcW w:w="599" w:type="pct"/>
            <w:vAlign w:val="center"/>
          </w:tcPr>
          <w:p w:rsidR="002E1F30" w:rsidRPr="009F2D6F" w:rsidRDefault="002E1F30" w:rsidP="00077582">
            <w:pPr>
              <w:pStyle w:val="PBACTabletext0"/>
              <w:keepNext/>
              <w:spacing w:before="0" w:after="0" w:line="256" w:lineRule="auto"/>
              <w:jc w:val="center"/>
            </w:pPr>
            <w:r w:rsidRPr="009F2D6F">
              <w:t>-</w:t>
            </w:r>
          </w:p>
        </w:tc>
        <w:tc>
          <w:tcPr>
            <w:tcW w:w="347" w:type="pct"/>
            <w:vAlign w:val="center"/>
          </w:tcPr>
          <w:p w:rsidR="002E1F30" w:rsidRPr="009F2D6F" w:rsidRDefault="002E1F30" w:rsidP="00077582">
            <w:pPr>
              <w:pStyle w:val="PBACTabletext0"/>
              <w:keepNext/>
              <w:spacing w:before="0" w:after="0" w:line="256" w:lineRule="auto"/>
              <w:jc w:val="center"/>
              <w:rPr>
                <w:lang w:val="en-US"/>
              </w:rPr>
            </w:pPr>
            <w:r w:rsidRPr="009F2D6F">
              <w:t>0.170</w:t>
            </w:r>
          </w:p>
        </w:tc>
        <w:tc>
          <w:tcPr>
            <w:tcW w:w="809" w:type="pct"/>
          </w:tcPr>
          <w:p w:rsidR="002E1F30" w:rsidRPr="009F2D6F" w:rsidRDefault="002E1F30" w:rsidP="00077582">
            <w:pPr>
              <w:pStyle w:val="PBACTabletext0"/>
              <w:keepNext/>
              <w:spacing w:before="0" w:after="0" w:line="256" w:lineRule="auto"/>
              <w:jc w:val="center"/>
              <w:rPr>
                <w:lang w:val="en-US"/>
              </w:rPr>
            </w:pPr>
            <w:r w:rsidRPr="009F2D6F">
              <w:rPr>
                <w:lang w:val="en-US"/>
              </w:rPr>
              <w:t>-</w:t>
            </w:r>
          </w:p>
        </w:tc>
        <w:tc>
          <w:tcPr>
            <w:tcW w:w="533" w:type="pct"/>
            <w:vMerge/>
          </w:tcPr>
          <w:p w:rsidR="002E1F30" w:rsidRPr="009F2D6F" w:rsidRDefault="002E1F30" w:rsidP="00077582">
            <w:pPr>
              <w:pStyle w:val="PBACTabletext0"/>
              <w:keepNext/>
              <w:spacing w:before="0" w:after="0" w:line="256" w:lineRule="auto"/>
              <w:jc w:val="center"/>
              <w:rPr>
                <w:lang w:val="en-US"/>
              </w:rPr>
            </w:pPr>
          </w:p>
        </w:tc>
        <w:tc>
          <w:tcPr>
            <w:tcW w:w="834" w:type="pct"/>
            <w:vMerge/>
          </w:tcPr>
          <w:p w:rsidR="002E1F30" w:rsidRPr="009F2D6F" w:rsidRDefault="002E1F30" w:rsidP="00077582">
            <w:pPr>
              <w:pStyle w:val="PBACTabletext0"/>
              <w:keepNext/>
              <w:spacing w:before="0" w:after="0" w:line="256" w:lineRule="auto"/>
              <w:jc w:val="center"/>
              <w:rPr>
                <w:lang w:val="en-US"/>
              </w:rPr>
            </w:pPr>
          </w:p>
        </w:tc>
        <w:tc>
          <w:tcPr>
            <w:tcW w:w="674" w:type="pct"/>
            <w:vMerge/>
          </w:tcPr>
          <w:p w:rsidR="002E1F30" w:rsidRPr="009F2D6F" w:rsidRDefault="002E1F30" w:rsidP="00077582">
            <w:pPr>
              <w:pStyle w:val="PBACTabletext0"/>
              <w:keepNext/>
              <w:spacing w:before="0" w:after="0" w:line="256" w:lineRule="auto"/>
              <w:jc w:val="center"/>
              <w:rPr>
                <w:lang w:val="en-US"/>
              </w:rPr>
            </w:pPr>
          </w:p>
        </w:tc>
      </w:tr>
    </w:tbl>
    <w:p w:rsidR="00712FA3" w:rsidRPr="009F2D6F" w:rsidRDefault="00712FA3" w:rsidP="00077582">
      <w:pPr>
        <w:widowControl/>
        <w:rPr>
          <w:rFonts w:ascii="Arial Narrow" w:hAnsi="Arial Narrow"/>
          <w:sz w:val="18"/>
        </w:rPr>
      </w:pPr>
      <w:r w:rsidRPr="009F2D6F">
        <w:rPr>
          <w:rFonts w:ascii="Arial Narrow" w:hAnsi="Arial Narrow"/>
          <w:sz w:val="18"/>
        </w:rPr>
        <w:t xml:space="preserve">Source: Table 2.27 (pg.134) </w:t>
      </w:r>
      <w:r w:rsidR="002E1F30" w:rsidRPr="009F2D6F">
        <w:rPr>
          <w:rFonts w:ascii="Arial Narrow" w:hAnsi="Arial Narrow"/>
          <w:sz w:val="18"/>
        </w:rPr>
        <w:t xml:space="preserve">and Table 2.37 (pg. 150) </w:t>
      </w:r>
      <w:r w:rsidRPr="009F2D6F">
        <w:rPr>
          <w:rFonts w:ascii="Arial Narrow" w:hAnsi="Arial Narrow"/>
          <w:sz w:val="18"/>
        </w:rPr>
        <w:t>of the submission</w:t>
      </w:r>
    </w:p>
    <w:p w:rsidR="00712FA3" w:rsidRPr="009F2D6F" w:rsidRDefault="00712FA3" w:rsidP="00077582">
      <w:pPr>
        <w:widowControl/>
        <w:rPr>
          <w:rFonts w:ascii="Arial Narrow" w:hAnsi="Arial Narrow"/>
          <w:sz w:val="18"/>
        </w:rPr>
      </w:pPr>
      <w:r w:rsidRPr="009F2D6F">
        <w:rPr>
          <w:rFonts w:ascii="Arial Narrow" w:hAnsi="Arial Narrow"/>
          <w:sz w:val="18"/>
        </w:rPr>
        <w:t xml:space="preserve">Abbreviations: ARR=annualized relapse rate; </w:t>
      </w:r>
      <w:r w:rsidR="006177BD" w:rsidRPr="009F2D6F">
        <w:rPr>
          <w:rFonts w:ascii="Arial Narrow" w:hAnsi="Arial Narrow"/>
          <w:sz w:val="18"/>
        </w:rPr>
        <w:t xml:space="preserve">ITT=intention-to-treat; PP=per-protocol; </w:t>
      </w:r>
      <w:r w:rsidRPr="009F2D6F">
        <w:rPr>
          <w:rFonts w:ascii="Arial Narrow" w:hAnsi="Arial Narrow"/>
          <w:sz w:val="18"/>
        </w:rPr>
        <w:t>CI=confidence interval; n=overall number of relapses in the analysis period for all subjects; N=number of subjects in the analysis; time=total number of days in the analysis period overall for all subjects</w:t>
      </w:r>
    </w:p>
    <w:p w:rsidR="002E1F30" w:rsidRPr="009F2D6F" w:rsidRDefault="002E1F30" w:rsidP="00077582">
      <w:pPr>
        <w:pStyle w:val="PBACtablefooter"/>
        <w:spacing w:before="0"/>
        <w:jc w:val="both"/>
      </w:pPr>
      <w:r w:rsidRPr="009F2D6F">
        <w:rPr>
          <w:vertAlign w:val="superscript"/>
        </w:rPr>
        <w:t>1</w:t>
      </w:r>
      <w:r w:rsidRPr="009F2D6F">
        <w:t xml:space="preserve"> Anderson 2004 – 3 years; </w:t>
      </w:r>
    </w:p>
    <w:p w:rsidR="002E1F30" w:rsidRPr="009F2D6F" w:rsidRDefault="002E1F30" w:rsidP="00077582">
      <w:pPr>
        <w:pStyle w:val="PBACtablefooter"/>
        <w:spacing w:before="0"/>
        <w:jc w:val="both"/>
      </w:pPr>
      <w:r w:rsidRPr="009F2D6F">
        <w:rPr>
          <w:vertAlign w:val="superscript"/>
        </w:rPr>
        <w:t>2</w:t>
      </w:r>
      <w:r w:rsidRPr="009F2D6F">
        <w:t xml:space="preserve"> </w:t>
      </w:r>
      <w:proofErr w:type="spellStart"/>
      <w:r w:rsidRPr="009F2D6F">
        <w:t>Panitch</w:t>
      </w:r>
      <w:proofErr w:type="spellEnd"/>
      <w:r w:rsidRPr="009F2D6F">
        <w:t xml:space="preserve"> 2004, La </w:t>
      </w:r>
      <w:proofErr w:type="spellStart"/>
      <w:r w:rsidRPr="009F2D6F">
        <w:t>Mantia</w:t>
      </w:r>
      <w:proofErr w:type="spellEnd"/>
      <w:r w:rsidRPr="009F2D6F">
        <w:t xml:space="preserve"> 2012 - high dose only, ARR ratio via </w:t>
      </w:r>
      <w:proofErr w:type="spellStart"/>
      <w:r w:rsidRPr="009F2D6F">
        <w:t>RevMan</w:t>
      </w:r>
      <w:proofErr w:type="spellEnd"/>
      <w:r w:rsidRPr="009F2D6F">
        <w:t xml:space="preserve"> (Attachment 12);</w:t>
      </w:r>
    </w:p>
    <w:p w:rsidR="002E1F30" w:rsidRPr="009F2D6F" w:rsidRDefault="002E1F30" w:rsidP="00077582">
      <w:pPr>
        <w:pStyle w:val="PBACtablefooter"/>
        <w:spacing w:before="0"/>
        <w:jc w:val="both"/>
      </w:pPr>
      <w:r w:rsidRPr="009F2D6F">
        <w:rPr>
          <w:vertAlign w:val="superscript"/>
        </w:rPr>
        <w:t>3</w:t>
      </w:r>
      <w:r w:rsidRPr="009F2D6F">
        <w:t xml:space="preserve"> </w:t>
      </w:r>
      <w:proofErr w:type="spellStart"/>
      <w:r w:rsidRPr="009F2D6F">
        <w:t>Kappos</w:t>
      </w:r>
      <w:proofErr w:type="spellEnd"/>
      <w:r w:rsidRPr="009F2D6F">
        <w:t xml:space="preserve"> 2001, EU SG 1998, La </w:t>
      </w:r>
      <w:proofErr w:type="spellStart"/>
      <w:r w:rsidRPr="009F2D6F">
        <w:t>Mantia</w:t>
      </w:r>
      <w:proofErr w:type="spellEnd"/>
      <w:r w:rsidRPr="009F2D6F">
        <w:t xml:space="preserve"> 2012, ARR ratio via </w:t>
      </w:r>
      <w:proofErr w:type="spellStart"/>
      <w:r w:rsidRPr="009F2D6F">
        <w:t>RevMan</w:t>
      </w:r>
      <w:proofErr w:type="spellEnd"/>
      <w:r w:rsidR="0015561B" w:rsidRPr="009F2D6F">
        <w:t xml:space="preserve"> </w:t>
      </w:r>
      <w:r w:rsidRPr="009F2D6F">
        <w:t xml:space="preserve">(Attachment 12); </w:t>
      </w:r>
    </w:p>
    <w:p w:rsidR="002E1F30" w:rsidRPr="009F2D6F" w:rsidRDefault="002E1F30" w:rsidP="00077582">
      <w:pPr>
        <w:pStyle w:val="PBACtablefooter"/>
        <w:spacing w:before="0"/>
        <w:jc w:val="both"/>
      </w:pPr>
      <w:r w:rsidRPr="009F2D6F">
        <w:rPr>
          <w:vertAlign w:val="superscript"/>
        </w:rPr>
        <w:t xml:space="preserve">4 </w:t>
      </w:r>
      <w:r w:rsidRPr="009F2D6F">
        <w:t xml:space="preserve">Cohen 2002, La </w:t>
      </w:r>
      <w:proofErr w:type="spellStart"/>
      <w:r w:rsidRPr="009F2D6F">
        <w:t>Mantia</w:t>
      </w:r>
      <w:proofErr w:type="spellEnd"/>
      <w:r w:rsidRPr="009F2D6F">
        <w:t xml:space="preserve"> 2012, ARR ratio via </w:t>
      </w:r>
      <w:proofErr w:type="spellStart"/>
      <w:r w:rsidRPr="009F2D6F">
        <w:t>RevMan</w:t>
      </w:r>
      <w:proofErr w:type="spellEnd"/>
      <w:r w:rsidRPr="009F2D6F">
        <w:t xml:space="preserve"> (Attachment 12); </w:t>
      </w:r>
    </w:p>
    <w:p w:rsidR="002E1F30" w:rsidRPr="009F2D6F" w:rsidRDefault="002E1F30" w:rsidP="00077582">
      <w:pPr>
        <w:pStyle w:val="PBACtablefooter"/>
        <w:spacing w:before="0"/>
        <w:jc w:val="both"/>
      </w:pPr>
      <w:r w:rsidRPr="009F2D6F">
        <w:rPr>
          <w:vertAlign w:val="superscript"/>
        </w:rPr>
        <w:t>5</w:t>
      </w:r>
      <w:r w:rsidRPr="009F2D6F">
        <w:t xml:space="preserve"> Francis 2001, SPECTRIMS 2001 – high dose only; </w:t>
      </w:r>
    </w:p>
    <w:p w:rsidR="002E1F30" w:rsidRPr="009F2D6F" w:rsidRDefault="002E1F30" w:rsidP="00077582">
      <w:pPr>
        <w:pStyle w:val="PBACtablefooter"/>
        <w:spacing w:before="0"/>
        <w:jc w:val="both"/>
      </w:pPr>
      <w:r w:rsidRPr="009F2D6F">
        <w:rPr>
          <w:vertAlign w:val="superscript"/>
        </w:rPr>
        <w:t>6</w:t>
      </w:r>
      <w:r w:rsidRPr="009F2D6F">
        <w:t xml:space="preserve"> Bornstein 1991 – ARR not reported</w:t>
      </w:r>
    </w:p>
    <w:p w:rsidR="002E1F30" w:rsidRPr="009F2D6F" w:rsidRDefault="002E1F30" w:rsidP="00077582">
      <w:pPr>
        <w:pStyle w:val="PBACtablefooter"/>
        <w:spacing w:before="0"/>
        <w:jc w:val="both"/>
      </w:pPr>
      <w:r w:rsidRPr="009F2D6F">
        <w:rPr>
          <w:vertAlign w:val="superscript"/>
        </w:rPr>
        <w:t>7</w:t>
      </w:r>
      <w:r w:rsidRPr="009F2D6F">
        <w:t xml:space="preserve"> Kapoor 2018 – ASCEND supplementary appendix</w:t>
      </w:r>
    </w:p>
    <w:p w:rsidR="00C7749C" w:rsidRPr="009F2D6F" w:rsidRDefault="00C7749C" w:rsidP="00077582">
      <w:pPr>
        <w:pStyle w:val="PBACtablefooter"/>
        <w:spacing w:before="0"/>
        <w:jc w:val="both"/>
      </w:pPr>
      <w:r w:rsidRPr="009F2D6F">
        <w:rPr>
          <w:vertAlign w:val="superscript"/>
        </w:rPr>
        <w:t>8</w:t>
      </w:r>
      <w:r w:rsidRPr="009F2D6F">
        <w:t xml:space="preserve"> Obtained from fitting a negative binomial regression model adjusted for treatment, country/region, baseline EDSS, SPMS group (with/without superimposed relapses, baseline definition) and baseline number of T1 </w:t>
      </w:r>
      <w:proofErr w:type="spellStart"/>
      <w:r w:rsidRPr="009F2D6F">
        <w:t>Gd</w:t>
      </w:r>
      <w:proofErr w:type="spellEnd"/>
      <w:r w:rsidRPr="009F2D6F">
        <w:t>-enhancing lesions (offset = time in analysis period in years.</w:t>
      </w:r>
    </w:p>
    <w:p w:rsidR="00760C4E" w:rsidRPr="009F2D6F" w:rsidRDefault="002E1F30" w:rsidP="00077582">
      <w:pPr>
        <w:pStyle w:val="ListParagraph"/>
        <w:widowControl/>
        <w:numPr>
          <w:ilvl w:val="1"/>
          <w:numId w:val="2"/>
        </w:numPr>
      </w:pPr>
      <w:r w:rsidRPr="009F2D6F">
        <w:rPr>
          <w:rFonts w:cs="Calibri"/>
          <w:snapToGrid/>
          <w:szCs w:val="24"/>
          <w:lang w:val="en-US" w:eastAsia="en-AU"/>
        </w:rPr>
        <w:lastRenderedPageBreak/>
        <w:t xml:space="preserve">Patients treated with </w:t>
      </w:r>
      <w:proofErr w:type="spellStart"/>
      <w:r w:rsidRPr="009F2D6F">
        <w:rPr>
          <w:rFonts w:cs="Calibri"/>
          <w:snapToGrid/>
          <w:szCs w:val="24"/>
          <w:lang w:val="en-US" w:eastAsia="en-AU"/>
        </w:rPr>
        <w:t>siponimod</w:t>
      </w:r>
      <w:proofErr w:type="spellEnd"/>
      <w:r w:rsidRPr="009F2D6F">
        <w:rPr>
          <w:rFonts w:cs="Calibri"/>
          <w:snapToGrid/>
          <w:szCs w:val="24"/>
          <w:lang w:val="en-US" w:eastAsia="en-AU"/>
        </w:rPr>
        <w:t xml:space="preserve"> had a statistically significantly reduced ARR compared with those treated with placebo (by </w:t>
      </w:r>
      <w:r w:rsidR="006177BD" w:rsidRPr="009F2D6F">
        <w:rPr>
          <w:rFonts w:cs="Calibri"/>
          <w:snapToGrid/>
          <w:szCs w:val="24"/>
          <w:lang w:val="en-US" w:eastAsia="en-AU"/>
        </w:rPr>
        <w:t>intention-to-treat (</w:t>
      </w:r>
      <w:r w:rsidRPr="009F2D6F">
        <w:rPr>
          <w:rFonts w:cs="Calibri"/>
          <w:snapToGrid/>
          <w:szCs w:val="24"/>
          <w:lang w:val="en-US" w:eastAsia="en-AU"/>
        </w:rPr>
        <w:t>ITT</w:t>
      </w:r>
      <w:r w:rsidR="006177BD" w:rsidRPr="009F2D6F">
        <w:rPr>
          <w:rFonts w:cs="Calibri"/>
          <w:snapToGrid/>
          <w:szCs w:val="24"/>
          <w:lang w:val="en-US" w:eastAsia="en-AU"/>
        </w:rPr>
        <w:t>)</w:t>
      </w:r>
      <w:r w:rsidRPr="009F2D6F">
        <w:rPr>
          <w:rFonts w:cs="Calibri"/>
          <w:snapToGrid/>
          <w:szCs w:val="24"/>
          <w:lang w:val="en-US" w:eastAsia="en-AU"/>
        </w:rPr>
        <w:t xml:space="preserve"> and </w:t>
      </w:r>
      <w:r w:rsidR="006177BD" w:rsidRPr="009F2D6F">
        <w:rPr>
          <w:rFonts w:cs="Calibri"/>
          <w:snapToGrid/>
          <w:szCs w:val="24"/>
          <w:lang w:val="en-US" w:eastAsia="en-AU"/>
        </w:rPr>
        <w:t>per-protocol (</w:t>
      </w:r>
      <w:r w:rsidRPr="009F2D6F">
        <w:rPr>
          <w:rFonts w:cs="Calibri"/>
          <w:snapToGrid/>
          <w:szCs w:val="24"/>
          <w:lang w:val="en-US" w:eastAsia="en-AU"/>
        </w:rPr>
        <w:t>PP</w:t>
      </w:r>
      <w:r w:rsidR="006177BD" w:rsidRPr="009F2D6F">
        <w:rPr>
          <w:rFonts w:cs="Calibri"/>
          <w:snapToGrid/>
          <w:szCs w:val="24"/>
          <w:lang w:val="en-US" w:eastAsia="en-AU"/>
        </w:rPr>
        <w:t>)</w:t>
      </w:r>
      <w:r w:rsidRPr="009F2D6F">
        <w:rPr>
          <w:rFonts w:cs="Calibri"/>
          <w:snapToGrid/>
          <w:szCs w:val="24"/>
          <w:lang w:val="en-US" w:eastAsia="en-AU"/>
        </w:rPr>
        <w:t xml:space="preserve"> analyses). </w:t>
      </w:r>
      <w:r w:rsidR="00D16283" w:rsidRPr="009F2D6F">
        <w:rPr>
          <w:rFonts w:cs="Calibri"/>
          <w:snapToGrid/>
          <w:szCs w:val="24"/>
          <w:lang w:val="en-US" w:eastAsia="en-AU"/>
        </w:rPr>
        <w:t xml:space="preserve">The PP analyses were used in the economic evaluation given patients could switch therapies after experiencing 6-month CDP. </w:t>
      </w:r>
      <w:r w:rsidRPr="009F2D6F">
        <w:t xml:space="preserve">The ARR results show that one IFN-beta trial (SPECTRIMS) and the </w:t>
      </w:r>
      <w:proofErr w:type="spellStart"/>
      <w:r w:rsidRPr="009F2D6F">
        <w:t>natalizumab</w:t>
      </w:r>
      <w:proofErr w:type="spellEnd"/>
      <w:r w:rsidRPr="009F2D6F">
        <w:t xml:space="preserve"> trial (ASCEND) showed the respective DMT </w:t>
      </w:r>
      <w:r w:rsidR="00157F08">
        <w:t>resulted in a</w:t>
      </w:r>
      <w:r w:rsidR="00157F08" w:rsidRPr="009F2D6F">
        <w:t xml:space="preserve"> </w:t>
      </w:r>
      <w:r w:rsidRPr="009F2D6F">
        <w:t xml:space="preserve">statistically significantly </w:t>
      </w:r>
      <w:r w:rsidR="00157F08">
        <w:t>reduction in the ARR</w:t>
      </w:r>
      <w:r w:rsidRPr="009F2D6F">
        <w:t>. One trial did not include ARR results</w:t>
      </w:r>
      <w:r w:rsidR="00AF492C" w:rsidRPr="009F2D6F">
        <w:t xml:space="preserve"> (COP-1 for </w:t>
      </w:r>
      <w:proofErr w:type="spellStart"/>
      <w:r w:rsidR="00AF492C" w:rsidRPr="009F2D6F">
        <w:t>glatiramer</w:t>
      </w:r>
      <w:proofErr w:type="spellEnd"/>
      <w:r w:rsidR="00AF492C" w:rsidRPr="009F2D6F">
        <w:t>)</w:t>
      </w:r>
      <w:r w:rsidRPr="009F2D6F">
        <w:t xml:space="preserve">. The remaining four trials did not yield statistically significant results. As such, it is unclear from this evidence whether </w:t>
      </w:r>
      <w:r w:rsidR="00253F31" w:rsidRPr="009F2D6F">
        <w:t xml:space="preserve">the </w:t>
      </w:r>
      <w:r w:rsidR="00734B1F" w:rsidRPr="009F2D6F">
        <w:t>RRMS</w:t>
      </w:r>
      <w:r w:rsidR="00253F31" w:rsidRPr="009F2D6F">
        <w:t xml:space="preserve"> </w:t>
      </w:r>
      <w:r w:rsidRPr="009F2D6F">
        <w:t xml:space="preserve">DMTs provide statistically significant benefits </w:t>
      </w:r>
      <w:r w:rsidR="00734B1F" w:rsidRPr="009F2D6F">
        <w:t>with</w:t>
      </w:r>
      <w:r w:rsidRPr="009F2D6F">
        <w:t xml:space="preserve"> respect to ARR compared to placebo.</w:t>
      </w:r>
    </w:p>
    <w:p w:rsidR="002E1F30" w:rsidRPr="009F2D6F" w:rsidRDefault="00157F08" w:rsidP="00077582">
      <w:pPr>
        <w:pStyle w:val="ListParagraph"/>
        <w:widowControl/>
        <w:numPr>
          <w:ilvl w:val="1"/>
          <w:numId w:val="2"/>
        </w:numPr>
      </w:pPr>
      <w:r>
        <w:rPr>
          <w:rFonts w:cs="Calibri"/>
          <w:snapToGrid/>
          <w:szCs w:val="24"/>
          <w:lang w:val="en-US" w:eastAsia="en-AU"/>
        </w:rPr>
        <w:t>T</w:t>
      </w:r>
      <w:r w:rsidR="002E1F30" w:rsidRPr="009F2D6F">
        <w:rPr>
          <w:rFonts w:cs="Calibri"/>
          <w:snapToGrid/>
          <w:szCs w:val="24"/>
          <w:lang w:val="en-US" w:eastAsia="en-AU"/>
        </w:rPr>
        <w:t xml:space="preserve">he submission inappropriately did not present indirect comparisons of </w:t>
      </w:r>
      <w:proofErr w:type="spellStart"/>
      <w:r w:rsidR="002E1F30" w:rsidRPr="009F2D6F">
        <w:rPr>
          <w:rFonts w:cs="Calibri"/>
          <w:snapToGrid/>
          <w:szCs w:val="24"/>
          <w:lang w:val="en-US" w:eastAsia="en-AU"/>
        </w:rPr>
        <w:t>siponimod</w:t>
      </w:r>
      <w:proofErr w:type="spellEnd"/>
      <w:r w:rsidR="002E1F30" w:rsidRPr="009F2D6F">
        <w:rPr>
          <w:rFonts w:cs="Calibri"/>
          <w:snapToGrid/>
          <w:szCs w:val="24"/>
          <w:lang w:val="en-US" w:eastAsia="en-AU"/>
        </w:rPr>
        <w:t xml:space="preserve"> versus the nominated RRMS DMT comparators. </w:t>
      </w:r>
      <w:r w:rsidR="002E1F30" w:rsidRPr="009F2D6F">
        <w:t xml:space="preserve">Based on a lack of statistical significance between DMTs and placebo, and statistical significance between </w:t>
      </w:r>
      <w:proofErr w:type="spellStart"/>
      <w:r w:rsidR="002E1F30" w:rsidRPr="009F2D6F">
        <w:t>siponimod</w:t>
      </w:r>
      <w:proofErr w:type="spellEnd"/>
      <w:r w:rsidR="002E1F30" w:rsidRPr="009F2D6F">
        <w:t xml:space="preserve"> vs placebo (from EXPAND), the submission assume</w:t>
      </w:r>
      <w:r w:rsidR="00AF492C" w:rsidRPr="009F2D6F">
        <w:t>d</w:t>
      </w:r>
      <w:r w:rsidR="002E1F30" w:rsidRPr="009F2D6F">
        <w:t xml:space="preserve"> </w:t>
      </w:r>
      <w:proofErr w:type="spellStart"/>
      <w:r w:rsidR="002E1F30" w:rsidRPr="009F2D6F">
        <w:t>siponimod</w:t>
      </w:r>
      <w:proofErr w:type="spellEnd"/>
      <w:r w:rsidR="002E1F30" w:rsidRPr="009F2D6F">
        <w:t xml:space="preserve"> is statistically significantly better than the DMTs. </w:t>
      </w:r>
    </w:p>
    <w:p w:rsidR="009B56E4" w:rsidRPr="009F2D6F" w:rsidRDefault="009B56E4" w:rsidP="00077582">
      <w:pPr>
        <w:pStyle w:val="ListParagraph"/>
        <w:widowControl/>
        <w:numPr>
          <w:ilvl w:val="1"/>
          <w:numId w:val="2"/>
        </w:numPr>
      </w:pPr>
      <w:r w:rsidRPr="009F2D6F">
        <w:rPr>
          <w:rFonts w:cs="Calibri"/>
          <w:snapToGrid/>
          <w:szCs w:val="24"/>
          <w:lang w:val="en-US" w:eastAsia="en-AU"/>
        </w:rPr>
        <w:t xml:space="preserve">The PSCR argued the approach </w:t>
      </w:r>
      <w:r w:rsidR="00B542D4" w:rsidRPr="009F2D6F">
        <w:rPr>
          <w:rFonts w:cs="Calibri"/>
          <w:snapToGrid/>
          <w:szCs w:val="24"/>
          <w:lang w:val="en-US" w:eastAsia="en-AU"/>
        </w:rPr>
        <w:t>of</w:t>
      </w:r>
      <w:r w:rsidRPr="009F2D6F">
        <w:rPr>
          <w:rFonts w:cs="Calibri"/>
          <w:snapToGrid/>
          <w:szCs w:val="24"/>
          <w:lang w:val="en-US" w:eastAsia="en-AU"/>
        </w:rPr>
        <w:t xml:space="preserve"> assum</w:t>
      </w:r>
      <w:r w:rsidR="00B542D4" w:rsidRPr="009F2D6F">
        <w:rPr>
          <w:rFonts w:cs="Calibri"/>
          <w:snapToGrid/>
          <w:szCs w:val="24"/>
          <w:lang w:val="en-US" w:eastAsia="en-AU"/>
        </w:rPr>
        <w:t>ing</w:t>
      </w:r>
      <w:r w:rsidRPr="009F2D6F">
        <w:rPr>
          <w:rFonts w:cs="Calibri"/>
          <w:snapToGrid/>
          <w:szCs w:val="24"/>
          <w:lang w:val="en-US" w:eastAsia="en-AU"/>
        </w:rPr>
        <w:t xml:space="preserve"> DMTs </w:t>
      </w:r>
      <w:r w:rsidR="00B542D4" w:rsidRPr="009F2D6F">
        <w:rPr>
          <w:rFonts w:cs="Calibri"/>
          <w:snapToGrid/>
          <w:szCs w:val="24"/>
          <w:lang w:val="en-US" w:eastAsia="en-AU"/>
        </w:rPr>
        <w:t>are</w:t>
      </w:r>
      <w:r w:rsidRPr="009F2D6F">
        <w:rPr>
          <w:rFonts w:cs="Calibri"/>
          <w:snapToGrid/>
          <w:szCs w:val="24"/>
          <w:lang w:val="en-US" w:eastAsia="en-AU"/>
        </w:rPr>
        <w:t xml:space="preserve"> no more effective than placebo rather than undertak</w:t>
      </w:r>
      <w:r w:rsidR="00B542D4" w:rsidRPr="009F2D6F">
        <w:rPr>
          <w:rFonts w:cs="Calibri"/>
          <w:snapToGrid/>
          <w:szCs w:val="24"/>
          <w:lang w:val="en-US" w:eastAsia="en-AU"/>
        </w:rPr>
        <w:t>ing an</w:t>
      </w:r>
      <w:r w:rsidRPr="009F2D6F">
        <w:rPr>
          <w:rFonts w:cs="Calibri"/>
          <w:snapToGrid/>
          <w:szCs w:val="24"/>
          <w:lang w:val="en-US" w:eastAsia="en-AU"/>
        </w:rPr>
        <w:t xml:space="preserve"> indirect comparison was reasonable</w:t>
      </w:r>
      <w:r w:rsidR="003A7BDF" w:rsidRPr="009F2D6F">
        <w:rPr>
          <w:rFonts w:cs="Calibri"/>
          <w:snapToGrid/>
          <w:szCs w:val="24"/>
          <w:lang w:val="en-US" w:eastAsia="en-AU"/>
        </w:rPr>
        <w:t xml:space="preserve"> as</w:t>
      </w:r>
      <w:r w:rsidRPr="009F2D6F">
        <w:rPr>
          <w:rFonts w:cs="Calibri"/>
          <w:snapToGrid/>
          <w:szCs w:val="24"/>
          <w:lang w:val="en-US" w:eastAsia="en-AU"/>
        </w:rPr>
        <w:t xml:space="preserve">, ‘an indirect comparison would add artificial uncertainty which would complicate </w:t>
      </w:r>
      <w:r w:rsidR="003A7BDF" w:rsidRPr="009F2D6F">
        <w:rPr>
          <w:rFonts w:cs="Calibri"/>
          <w:snapToGrid/>
          <w:szCs w:val="24"/>
          <w:lang w:val="en-US" w:eastAsia="en-AU"/>
        </w:rPr>
        <w:t>the comparison against treatments that are not effective from either a statistical or clinical relevance point of view’. The ESC disagreed and considered the arguments in the submission and PSCR that</w:t>
      </w:r>
      <w:r w:rsidR="00D74528" w:rsidRPr="009F2D6F">
        <w:rPr>
          <w:rFonts w:cs="Calibri"/>
          <w:snapToGrid/>
          <w:szCs w:val="24"/>
          <w:lang w:val="en-US" w:eastAsia="en-AU"/>
        </w:rPr>
        <w:t xml:space="preserve"> RRMS</w:t>
      </w:r>
      <w:r w:rsidR="003A7BDF" w:rsidRPr="009F2D6F">
        <w:rPr>
          <w:rFonts w:cs="Calibri"/>
          <w:snapToGrid/>
          <w:szCs w:val="24"/>
          <w:lang w:val="en-US" w:eastAsia="en-AU"/>
        </w:rPr>
        <w:t xml:space="preserve"> DMTs were both simultaneously</w:t>
      </w:r>
      <w:r w:rsidR="00B87B04" w:rsidRPr="009F2D6F">
        <w:rPr>
          <w:rFonts w:cs="Calibri"/>
          <w:snapToGrid/>
          <w:szCs w:val="24"/>
          <w:lang w:val="en-US" w:eastAsia="en-AU"/>
        </w:rPr>
        <w:t xml:space="preserve"> not clinically </w:t>
      </w:r>
      <w:r w:rsidR="005875D2">
        <w:rPr>
          <w:rFonts w:cs="Calibri"/>
          <w:snapToGrid/>
          <w:szCs w:val="24"/>
          <w:lang w:val="en-US" w:eastAsia="en-AU"/>
        </w:rPr>
        <w:t>effective</w:t>
      </w:r>
      <w:r w:rsidR="005875D2" w:rsidRPr="009F2D6F">
        <w:rPr>
          <w:rFonts w:cs="Calibri"/>
          <w:snapToGrid/>
          <w:szCs w:val="24"/>
          <w:lang w:val="en-US" w:eastAsia="en-AU"/>
        </w:rPr>
        <w:t xml:space="preserve"> </w:t>
      </w:r>
      <w:r w:rsidR="003A7BDF" w:rsidRPr="009F2D6F">
        <w:rPr>
          <w:rFonts w:cs="Calibri"/>
          <w:snapToGrid/>
          <w:szCs w:val="24"/>
          <w:lang w:val="en-US" w:eastAsia="en-AU"/>
        </w:rPr>
        <w:t>and widely used in</w:t>
      </w:r>
      <w:r w:rsidR="00D74528" w:rsidRPr="009F2D6F">
        <w:rPr>
          <w:rFonts w:cs="Calibri"/>
          <w:snapToGrid/>
          <w:szCs w:val="24"/>
          <w:lang w:val="en-US" w:eastAsia="en-AU"/>
        </w:rPr>
        <w:t xml:space="preserve"> practice were</w:t>
      </w:r>
      <w:r w:rsidR="00B2058E" w:rsidRPr="009F2D6F">
        <w:rPr>
          <w:rFonts w:cs="Calibri"/>
          <w:snapToGrid/>
          <w:szCs w:val="24"/>
          <w:lang w:val="en-US" w:eastAsia="en-AU"/>
        </w:rPr>
        <w:t xml:space="preserve"> contradictory</w:t>
      </w:r>
      <w:r w:rsidR="000A0671" w:rsidRPr="009F2D6F">
        <w:rPr>
          <w:rFonts w:cs="Calibri"/>
          <w:snapToGrid/>
          <w:szCs w:val="24"/>
          <w:lang w:val="en-US" w:eastAsia="en-AU"/>
        </w:rPr>
        <w:t>. As these therapies are likely to be used in practice,</w:t>
      </w:r>
      <w:r w:rsidR="00B6711C" w:rsidRPr="009F2D6F">
        <w:rPr>
          <w:rFonts w:cs="Calibri"/>
          <w:snapToGrid/>
          <w:szCs w:val="24"/>
          <w:lang w:val="en-US" w:eastAsia="en-AU"/>
        </w:rPr>
        <w:t xml:space="preserve"> </w:t>
      </w:r>
      <w:r w:rsidR="000A0671" w:rsidRPr="009F2D6F">
        <w:rPr>
          <w:rFonts w:cs="Calibri"/>
          <w:snapToGrid/>
          <w:szCs w:val="24"/>
          <w:lang w:val="en-US" w:eastAsia="en-AU"/>
        </w:rPr>
        <w:t xml:space="preserve">the ESC </w:t>
      </w:r>
      <w:r w:rsidR="00B6711C" w:rsidRPr="009F2D6F">
        <w:rPr>
          <w:rFonts w:cs="Calibri"/>
          <w:snapToGrid/>
          <w:szCs w:val="24"/>
          <w:lang w:val="en-US" w:eastAsia="en-AU"/>
        </w:rPr>
        <w:t>considered</w:t>
      </w:r>
      <w:r w:rsidR="000A0671" w:rsidRPr="009F2D6F">
        <w:rPr>
          <w:rFonts w:cs="Calibri"/>
          <w:snapToGrid/>
          <w:szCs w:val="24"/>
          <w:lang w:val="en-US" w:eastAsia="en-AU"/>
        </w:rPr>
        <w:t xml:space="preserve"> it</w:t>
      </w:r>
      <w:r w:rsidR="00B2058E" w:rsidRPr="009F2D6F">
        <w:rPr>
          <w:rFonts w:cs="Calibri"/>
          <w:snapToGrid/>
          <w:szCs w:val="24"/>
          <w:lang w:val="en-US" w:eastAsia="en-AU"/>
        </w:rPr>
        <w:t xml:space="preserve"> was</w:t>
      </w:r>
      <w:r w:rsidR="000A0671" w:rsidRPr="009F2D6F">
        <w:rPr>
          <w:rFonts w:cs="Calibri"/>
          <w:snapToGrid/>
          <w:szCs w:val="24"/>
          <w:lang w:val="en-US" w:eastAsia="en-AU"/>
        </w:rPr>
        <w:t xml:space="preserve"> reasonable to undertake indirect comparisons of </w:t>
      </w:r>
      <w:proofErr w:type="spellStart"/>
      <w:r w:rsidR="000A0671" w:rsidRPr="009F2D6F">
        <w:rPr>
          <w:rFonts w:cs="Calibri"/>
          <w:snapToGrid/>
          <w:szCs w:val="24"/>
          <w:lang w:val="en-US" w:eastAsia="en-AU"/>
        </w:rPr>
        <w:t>siponimod</w:t>
      </w:r>
      <w:proofErr w:type="spellEnd"/>
      <w:r w:rsidR="000A0671" w:rsidRPr="009F2D6F">
        <w:rPr>
          <w:rFonts w:cs="Calibri"/>
          <w:snapToGrid/>
          <w:szCs w:val="24"/>
          <w:lang w:val="en-US" w:eastAsia="en-AU"/>
        </w:rPr>
        <w:t xml:space="preserve"> and the RRMS DMTs.</w:t>
      </w:r>
    </w:p>
    <w:p w:rsidR="00EB5CD4" w:rsidRPr="009F2D6F" w:rsidRDefault="00D16283" w:rsidP="00077582">
      <w:pPr>
        <w:pStyle w:val="ListParagraph"/>
        <w:widowControl/>
        <w:numPr>
          <w:ilvl w:val="1"/>
          <w:numId w:val="2"/>
        </w:numPr>
      </w:pPr>
      <w:r w:rsidRPr="009F2D6F">
        <w:t>Q</w:t>
      </w:r>
      <w:r w:rsidR="006115B9" w:rsidRPr="009F2D6F">
        <w:t>uality of life</w:t>
      </w:r>
      <w:r w:rsidR="00EB5CD4" w:rsidRPr="009F2D6F">
        <w:t xml:space="preserve"> </w:t>
      </w:r>
      <w:r w:rsidR="006115B9" w:rsidRPr="009F2D6F">
        <w:t>(</w:t>
      </w:r>
      <w:proofErr w:type="spellStart"/>
      <w:r w:rsidR="00EB5CD4" w:rsidRPr="009F2D6F">
        <w:t>QoL</w:t>
      </w:r>
      <w:proofErr w:type="spellEnd"/>
      <w:r w:rsidR="006115B9" w:rsidRPr="009F2D6F">
        <w:t>)</w:t>
      </w:r>
      <w:r w:rsidR="00EB5CD4" w:rsidRPr="009F2D6F">
        <w:t xml:space="preserve"> </w:t>
      </w:r>
      <w:r w:rsidRPr="009F2D6F">
        <w:t>was measured in the EXPAND trial using the Multiple Sclerosis Impact Scale (MSIS-29</w:t>
      </w:r>
      <w:r w:rsidR="00871DCB" w:rsidRPr="009F2D6F">
        <w:t>; physical and psychological</w:t>
      </w:r>
      <w:r w:rsidRPr="009F2D6F">
        <w:t>)</w:t>
      </w:r>
      <w:r w:rsidR="00871DCB" w:rsidRPr="009F2D6F">
        <w:t xml:space="preserve"> and</w:t>
      </w:r>
      <w:r w:rsidRPr="009F2D6F">
        <w:t xml:space="preserve"> EQ-5D-3L</w:t>
      </w:r>
      <w:r w:rsidR="00871DCB" w:rsidRPr="009F2D6F">
        <w:t xml:space="preserve"> at Months 12 and 24.</w:t>
      </w:r>
      <w:r w:rsidRPr="009F2D6F">
        <w:t xml:space="preserve"> </w:t>
      </w:r>
      <w:r w:rsidR="00871DCB" w:rsidRPr="009F2D6F">
        <w:t xml:space="preserve"> Statistically significant differences in favour of </w:t>
      </w:r>
      <w:proofErr w:type="spellStart"/>
      <w:r w:rsidR="00871DCB" w:rsidRPr="009F2D6F">
        <w:t>siponimod</w:t>
      </w:r>
      <w:proofErr w:type="spellEnd"/>
      <w:r w:rsidR="00871DCB" w:rsidRPr="009F2D6F">
        <w:t xml:space="preserve"> were observed between </w:t>
      </w:r>
      <w:r w:rsidR="00157F08">
        <w:t xml:space="preserve">the </w:t>
      </w:r>
      <w:r w:rsidR="00871DCB" w:rsidRPr="009F2D6F">
        <w:t>treatment arms at Month 12 (MSIS physical and EQ-5D</w:t>
      </w:r>
      <w:r w:rsidR="00C00C38" w:rsidRPr="009F2D6F">
        <w:t>)</w:t>
      </w:r>
      <w:r w:rsidR="00871DCB" w:rsidRPr="009F2D6F">
        <w:t xml:space="preserve">, </w:t>
      </w:r>
      <w:r w:rsidR="00157F08">
        <w:t xml:space="preserve">however </w:t>
      </w:r>
      <w:r w:rsidR="00871DCB" w:rsidRPr="009F2D6F">
        <w:t xml:space="preserve">no differences were observed between </w:t>
      </w:r>
      <w:r w:rsidR="00157F08">
        <w:t xml:space="preserve">the </w:t>
      </w:r>
      <w:r w:rsidR="00871DCB" w:rsidRPr="009F2D6F">
        <w:t xml:space="preserve">treatment arms </w:t>
      </w:r>
      <w:r w:rsidR="00C00C38" w:rsidRPr="009F2D6F">
        <w:t xml:space="preserve">by </w:t>
      </w:r>
      <w:r w:rsidR="00871DCB" w:rsidRPr="009F2D6F">
        <w:t>MSIS psychological at Month 12 or by any measure at Month 24.</w:t>
      </w:r>
      <w:r w:rsidR="00AF492C" w:rsidRPr="009F2D6F">
        <w:t xml:space="preserve"> </w:t>
      </w:r>
      <w:r w:rsidR="00EB5CD4" w:rsidRPr="009F2D6F">
        <w:t xml:space="preserve">The lack of </w:t>
      </w:r>
      <w:r w:rsidR="00157F08">
        <w:t xml:space="preserve">a </w:t>
      </w:r>
      <w:r w:rsidR="00EB5CD4" w:rsidRPr="009F2D6F">
        <w:t>statistical</w:t>
      </w:r>
      <w:r w:rsidR="00157F08">
        <w:t>ly</w:t>
      </w:r>
      <w:r w:rsidR="00EB5CD4" w:rsidRPr="009F2D6F">
        <w:t xml:space="preserve"> significan</w:t>
      </w:r>
      <w:r w:rsidR="00157F08">
        <w:t>t difference</w:t>
      </w:r>
      <w:r w:rsidR="00EB5CD4" w:rsidRPr="009F2D6F">
        <w:t xml:space="preserve"> between</w:t>
      </w:r>
      <w:r w:rsidR="00157F08">
        <w:t xml:space="preserve"> the</w:t>
      </w:r>
      <w:r w:rsidR="00EB5CD4" w:rsidRPr="009F2D6F">
        <w:t xml:space="preserve"> </w:t>
      </w:r>
      <w:proofErr w:type="spellStart"/>
      <w:r w:rsidR="00EB5CD4" w:rsidRPr="009F2D6F">
        <w:t>siponimod</w:t>
      </w:r>
      <w:proofErr w:type="spellEnd"/>
      <w:r w:rsidR="00EB5CD4" w:rsidRPr="009F2D6F">
        <w:t xml:space="preserve"> and placebo arm</w:t>
      </w:r>
      <w:r w:rsidR="00157F08">
        <w:t>s</w:t>
      </w:r>
      <w:r w:rsidR="00EB5CD4" w:rsidRPr="009F2D6F">
        <w:t xml:space="preserve"> at 24 months in</w:t>
      </w:r>
      <w:r w:rsidR="00157F08">
        <w:t xml:space="preserve"> the</w:t>
      </w:r>
      <w:r w:rsidR="00EB5CD4" w:rsidRPr="009F2D6F">
        <w:t xml:space="preserve"> MSIS scores and EQ-5D scores </w:t>
      </w:r>
      <w:r w:rsidR="005875D2">
        <w:t xml:space="preserve">may </w:t>
      </w:r>
      <w:r w:rsidR="00EB5CD4" w:rsidRPr="009F2D6F">
        <w:t xml:space="preserve">suggest </w:t>
      </w:r>
      <w:proofErr w:type="spellStart"/>
      <w:r w:rsidR="00EB5CD4" w:rsidRPr="009F2D6F">
        <w:t>siponimod</w:t>
      </w:r>
      <w:proofErr w:type="spellEnd"/>
      <w:r w:rsidR="00EB5CD4" w:rsidRPr="009F2D6F">
        <w:t xml:space="preserve"> does not provide a</w:t>
      </w:r>
      <w:r w:rsidR="00157F08">
        <w:t>n</w:t>
      </w:r>
      <w:r w:rsidR="00EB5CD4" w:rsidRPr="009F2D6F">
        <w:t xml:space="preserve"> </w:t>
      </w:r>
      <w:r w:rsidR="005875D2">
        <w:t>improvement in</w:t>
      </w:r>
      <w:r w:rsidR="005875D2" w:rsidRPr="009F2D6F">
        <w:t xml:space="preserve"> </w:t>
      </w:r>
      <w:proofErr w:type="spellStart"/>
      <w:r w:rsidR="00EB5CD4" w:rsidRPr="009F2D6F">
        <w:t>QoL</w:t>
      </w:r>
      <w:proofErr w:type="spellEnd"/>
      <w:r w:rsidR="00EB5CD4" w:rsidRPr="009F2D6F">
        <w:t xml:space="preserve"> </w:t>
      </w:r>
      <w:r w:rsidR="005875D2">
        <w:t>compared with</w:t>
      </w:r>
      <w:r w:rsidR="00EB5CD4" w:rsidRPr="009F2D6F">
        <w:t xml:space="preserve"> placebo 2</w:t>
      </w:r>
      <w:r w:rsidR="00AF492C" w:rsidRPr="009F2D6F">
        <w:t> </w:t>
      </w:r>
      <w:r w:rsidR="00EB5CD4" w:rsidRPr="009F2D6F">
        <w:t xml:space="preserve">years after treatment initiation. The health domains included within the EQ-5D-3L are highly relevant to SPMS, and </w:t>
      </w:r>
      <w:r w:rsidR="00157F08">
        <w:t xml:space="preserve">it was </w:t>
      </w:r>
      <w:r w:rsidR="00EB5CD4" w:rsidRPr="009F2D6F">
        <w:t>therefore</w:t>
      </w:r>
      <w:r w:rsidR="00157F08">
        <w:t xml:space="preserve"> considered by ESC that</w:t>
      </w:r>
      <w:r w:rsidR="00EB5CD4" w:rsidRPr="009F2D6F">
        <w:t xml:space="preserve"> the EQ-5D-3L should be sensitive to </w:t>
      </w:r>
      <w:proofErr w:type="spellStart"/>
      <w:r w:rsidR="00EB5CD4" w:rsidRPr="009F2D6F">
        <w:t>QoL</w:t>
      </w:r>
      <w:proofErr w:type="spellEnd"/>
      <w:r w:rsidR="00EB5CD4" w:rsidRPr="009F2D6F">
        <w:t xml:space="preserve"> impacts in SPMS patients. </w:t>
      </w:r>
    </w:p>
    <w:p w:rsidR="00B60939" w:rsidRPr="009F2D6F" w:rsidRDefault="00B60939" w:rsidP="00077582">
      <w:pPr>
        <w:pStyle w:val="Heading2"/>
        <w:widowControl/>
      </w:pPr>
      <w:bookmarkStart w:id="15" w:name="_Toc18693497"/>
      <w:r w:rsidRPr="009F2D6F">
        <w:t>Comparative harms</w:t>
      </w:r>
      <w:bookmarkEnd w:id="15"/>
    </w:p>
    <w:p w:rsidR="00B60939" w:rsidRPr="009F2D6F" w:rsidRDefault="00B60939" w:rsidP="00077582">
      <w:pPr>
        <w:widowControl/>
        <w:ind w:left="720" w:hanging="720"/>
      </w:pPr>
    </w:p>
    <w:p w:rsidR="00EB5CD4" w:rsidRPr="009F2D6F" w:rsidRDefault="00EB5CD4" w:rsidP="00077582">
      <w:pPr>
        <w:pStyle w:val="ListParagraph"/>
        <w:widowControl/>
        <w:numPr>
          <w:ilvl w:val="1"/>
          <w:numId w:val="2"/>
        </w:numPr>
      </w:pPr>
      <w:r w:rsidRPr="009F2D6F">
        <w:t xml:space="preserve">A statistically significantly greater proportion of patients treated with </w:t>
      </w:r>
      <w:proofErr w:type="spellStart"/>
      <w:r w:rsidRPr="009F2D6F">
        <w:t>siponimod</w:t>
      </w:r>
      <w:proofErr w:type="spellEnd"/>
      <w:r w:rsidRPr="009F2D6F">
        <w:t xml:space="preserve"> experienced at least one adverse event compared with placebo in</w:t>
      </w:r>
      <w:r w:rsidR="006A408B" w:rsidRPr="009F2D6F">
        <w:t xml:space="preserve"> the</w:t>
      </w:r>
      <w:r w:rsidRPr="009F2D6F">
        <w:t xml:space="preserve"> EXPAND</w:t>
      </w:r>
      <w:r w:rsidR="006A408B" w:rsidRPr="009F2D6F">
        <w:t xml:space="preserve"> trial</w:t>
      </w:r>
      <w:r w:rsidRPr="009F2D6F">
        <w:t>. No differences between treatment arms were observed for the proportion of patients with at least one serious AE, discontinuation due to AE or deaths.</w:t>
      </w:r>
      <w:r w:rsidR="003A4998" w:rsidRPr="009F2D6F">
        <w:t xml:space="preserve"> </w:t>
      </w:r>
    </w:p>
    <w:p w:rsidR="00EB5CD4" w:rsidRPr="009F2D6F" w:rsidRDefault="00EB5CD4" w:rsidP="00077582">
      <w:pPr>
        <w:pStyle w:val="ListParagraph"/>
        <w:widowControl/>
        <w:numPr>
          <w:ilvl w:val="1"/>
          <w:numId w:val="2"/>
        </w:numPr>
      </w:pPr>
      <w:r w:rsidRPr="009F2D6F">
        <w:lastRenderedPageBreak/>
        <w:t xml:space="preserve">No statistically significant differences between the comparator DMTs and placebo were observed in the trials for </w:t>
      </w:r>
      <w:r w:rsidR="003A4998" w:rsidRPr="009F2D6F">
        <w:t>serious AE</w:t>
      </w:r>
      <w:r w:rsidR="00AF492C" w:rsidRPr="009F2D6F">
        <w:t>s</w:t>
      </w:r>
      <w:r w:rsidR="003A4998" w:rsidRPr="009F2D6F">
        <w:t xml:space="preserve">, or deaths. </w:t>
      </w:r>
      <w:r w:rsidR="00A82303" w:rsidRPr="009F2D6F">
        <w:t>The outcome ‘any AE’ was o</w:t>
      </w:r>
      <w:r w:rsidR="003A4998" w:rsidRPr="009F2D6F">
        <w:t xml:space="preserve">nly </w:t>
      </w:r>
      <w:r w:rsidR="00A82303" w:rsidRPr="009F2D6F">
        <w:t xml:space="preserve">reported for </w:t>
      </w:r>
      <w:r w:rsidR="003A4998" w:rsidRPr="009F2D6F">
        <w:t xml:space="preserve">the </w:t>
      </w:r>
      <w:proofErr w:type="spellStart"/>
      <w:r w:rsidR="003A4998" w:rsidRPr="009F2D6F">
        <w:t>natalizumab</w:t>
      </w:r>
      <w:proofErr w:type="spellEnd"/>
      <w:r w:rsidR="003A4998" w:rsidRPr="009F2D6F">
        <w:t xml:space="preserve"> ASCEND trial </w:t>
      </w:r>
      <w:r w:rsidR="00A82303" w:rsidRPr="009F2D6F">
        <w:t>and</w:t>
      </w:r>
      <w:r w:rsidR="003A4998" w:rsidRPr="009F2D6F">
        <w:t xml:space="preserve"> no differences between</w:t>
      </w:r>
      <w:r w:rsidR="00157F08">
        <w:t xml:space="preserve"> the</w:t>
      </w:r>
      <w:r w:rsidR="003A4998" w:rsidRPr="009F2D6F">
        <w:t xml:space="preserve"> treatment arms were observed. A statistically significantly greater proportion of patients treated with IFN-beta discontinued treatment compared with placebo (but no differences were observed for </w:t>
      </w:r>
      <w:proofErr w:type="spellStart"/>
      <w:r w:rsidR="003A4998" w:rsidRPr="009F2D6F">
        <w:t>glatiramer</w:t>
      </w:r>
      <w:proofErr w:type="spellEnd"/>
      <w:r w:rsidR="003A4998" w:rsidRPr="009F2D6F">
        <w:t xml:space="preserve"> acetate and </w:t>
      </w:r>
      <w:proofErr w:type="spellStart"/>
      <w:r w:rsidR="003A4998" w:rsidRPr="009F2D6F">
        <w:t>natalizumab</w:t>
      </w:r>
      <w:proofErr w:type="spellEnd"/>
      <w:r w:rsidR="00A82303" w:rsidRPr="009F2D6F">
        <w:t xml:space="preserve"> versus placebo</w:t>
      </w:r>
      <w:r w:rsidR="003A4998" w:rsidRPr="009F2D6F">
        <w:t>).</w:t>
      </w:r>
    </w:p>
    <w:p w:rsidR="00945ABD" w:rsidRPr="009F2D6F" w:rsidRDefault="00654F36" w:rsidP="00945ABD">
      <w:pPr>
        <w:pStyle w:val="ListParagraph"/>
        <w:widowControl/>
        <w:numPr>
          <w:ilvl w:val="1"/>
          <w:numId w:val="2"/>
        </w:numPr>
      </w:pPr>
      <w:r w:rsidRPr="00654F36">
        <w:t>Table 7</w:t>
      </w:r>
      <w:r w:rsidR="00034089" w:rsidRPr="009F2D6F">
        <w:t xml:space="preserve"> shows the s</w:t>
      </w:r>
      <w:r w:rsidR="00EB5CD4" w:rsidRPr="009F2D6F">
        <w:t xml:space="preserve">pecific AEs with notable (&gt;2%) between arm differences in the EXPAND safety analysis set (comprising of all patients who took at least one study dose through to 30 days after last blinded study drug dose or the day before open-label </w:t>
      </w:r>
      <w:proofErr w:type="spellStart"/>
      <w:r w:rsidR="00EB5CD4" w:rsidRPr="009F2D6F">
        <w:t>siponimod</w:t>
      </w:r>
      <w:proofErr w:type="spellEnd"/>
      <w:r w:rsidR="00EB5CD4" w:rsidRPr="009F2D6F">
        <w:t xml:space="preserve"> treatment)</w:t>
      </w:r>
      <w:r w:rsidR="00034089" w:rsidRPr="009F2D6F">
        <w:t>. A</w:t>
      </w:r>
      <w:r w:rsidR="00EB5CD4" w:rsidRPr="009F2D6F">
        <w:t xml:space="preserve"> higher proportion of </w:t>
      </w:r>
      <w:proofErr w:type="spellStart"/>
      <w:r w:rsidR="00EB5CD4" w:rsidRPr="009F2D6F">
        <w:t>siponimod</w:t>
      </w:r>
      <w:proofErr w:type="spellEnd"/>
      <w:r w:rsidR="00EB5CD4" w:rsidRPr="009F2D6F">
        <w:t xml:space="preserve"> patients exhibit</w:t>
      </w:r>
      <w:r w:rsidR="00157F08">
        <w:t>ed</w:t>
      </w:r>
      <w:r w:rsidR="00034089" w:rsidRPr="009F2D6F">
        <w:t xml:space="preserve"> </w:t>
      </w:r>
      <w:r w:rsidR="00EB5CD4" w:rsidRPr="009F2D6F">
        <w:t xml:space="preserve">each of these specific AEs. A higher proportion of </w:t>
      </w:r>
      <w:proofErr w:type="spellStart"/>
      <w:r w:rsidR="00EB5CD4" w:rsidRPr="009F2D6F">
        <w:t>siponimod</w:t>
      </w:r>
      <w:proofErr w:type="spellEnd"/>
      <w:r w:rsidR="00EB5CD4" w:rsidRPr="009F2D6F">
        <w:t xml:space="preserve"> patients exhibiting bradycardia is to be expected. The submission noted patients at a higher risk of bradycardia were to be monitored for the first 6 hours after the first </w:t>
      </w:r>
      <w:proofErr w:type="spellStart"/>
      <w:r w:rsidR="00EB5CD4" w:rsidRPr="009F2D6F">
        <w:t>siponimod</w:t>
      </w:r>
      <w:proofErr w:type="spellEnd"/>
      <w:r w:rsidR="00EB5CD4" w:rsidRPr="009F2D6F">
        <w:t xml:space="preserve"> dose for signs of bradycardia.</w:t>
      </w:r>
      <w:r w:rsidR="00A963BF" w:rsidRPr="009F2D6F">
        <w:t xml:space="preserve"> The PSCR claimed that AEs relating to bradycardia, hypertension, nausea, peripheral oedema and liver function tests increases were all consistent with the known safety profile of treatments that act on the S1P pathway in multiple sclerosis (i.e. </w:t>
      </w:r>
      <w:proofErr w:type="spellStart"/>
      <w:r w:rsidR="00A963BF" w:rsidRPr="009F2D6F">
        <w:t>fingolimod</w:t>
      </w:r>
      <w:proofErr w:type="spellEnd"/>
      <w:r w:rsidR="00A963BF" w:rsidRPr="009F2D6F">
        <w:t>).</w:t>
      </w:r>
      <w:r w:rsidR="00C07302">
        <w:t xml:space="preserve"> The PBAC noted that </w:t>
      </w:r>
      <w:r w:rsidR="00945ABD">
        <w:t xml:space="preserve">3% of patients in the </w:t>
      </w:r>
      <w:proofErr w:type="spellStart"/>
      <w:r w:rsidR="00945ABD">
        <w:t>siponimod</w:t>
      </w:r>
      <w:proofErr w:type="spellEnd"/>
      <w:r w:rsidR="00945ABD">
        <w:t xml:space="preserve"> group and 0.4% of placebo group had </w:t>
      </w:r>
      <w:proofErr w:type="spellStart"/>
      <w:r w:rsidR="00C07302" w:rsidRPr="00C07302">
        <w:t>bradyarrhythmia</w:t>
      </w:r>
      <w:proofErr w:type="spellEnd"/>
      <w:r w:rsidR="00C07302" w:rsidRPr="00C07302">
        <w:t xml:space="preserve"> </w:t>
      </w:r>
      <w:r w:rsidR="00C07302">
        <w:t>events during dose initiation</w:t>
      </w:r>
      <w:r w:rsidR="00490DF3">
        <w:t xml:space="preserve"> (</w:t>
      </w:r>
      <w:proofErr w:type="spellStart"/>
      <w:r w:rsidR="00490DF3">
        <w:t>Kappos</w:t>
      </w:r>
      <w:proofErr w:type="spellEnd"/>
      <w:r w:rsidR="00490DF3">
        <w:t xml:space="preserve"> et al 2018)</w:t>
      </w:r>
      <w:r w:rsidR="00C07302" w:rsidRPr="00C07302">
        <w:t>.</w:t>
      </w:r>
      <w:r w:rsidR="00945ABD">
        <w:t xml:space="preserve"> In addition, the PBAC noted that </w:t>
      </w:r>
      <w:r w:rsidR="00945ABD" w:rsidRPr="00945ABD">
        <w:t>a higher incidence of</w:t>
      </w:r>
      <w:r w:rsidR="00945ABD">
        <w:t xml:space="preserve"> </w:t>
      </w:r>
      <w:r w:rsidR="00945ABD" w:rsidRPr="00945ABD">
        <w:t xml:space="preserve">herpes zoster </w:t>
      </w:r>
      <w:r w:rsidR="00490DF3">
        <w:t xml:space="preserve">(2% versus 1%) </w:t>
      </w:r>
      <w:r w:rsidR="00945ABD">
        <w:t xml:space="preserve">and herpes viral infections </w:t>
      </w:r>
      <w:r w:rsidR="00490DF3">
        <w:t xml:space="preserve">(5% versus 3%) </w:t>
      </w:r>
      <w:r w:rsidR="00945ABD" w:rsidRPr="00945ABD">
        <w:t>rep</w:t>
      </w:r>
      <w:r w:rsidR="00945ABD">
        <w:t xml:space="preserve">orted </w:t>
      </w:r>
      <w:r w:rsidR="000E33F1">
        <w:t xml:space="preserve">for patients </w:t>
      </w:r>
      <w:r w:rsidR="00945ABD">
        <w:t xml:space="preserve">on </w:t>
      </w:r>
      <w:proofErr w:type="spellStart"/>
      <w:r w:rsidR="00945ABD">
        <w:t>siponimod</w:t>
      </w:r>
      <w:proofErr w:type="spellEnd"/>
      <w:r w:rsidR="00945ABD">
        <w:t xml:space="preserve"> </w:t>
      </w:r>
      <w:r w:rsidR="00490DF3">
        <w:t>compared to placebo (</w:t>
      </w:r>
      <w:proofErr w:type="spellStart"/>
      <w:r w:rsidR="00490DF3">
        <w:t>Kappos</w:t>
      </w:r>
      <w:proofErr w:type="spellEnd"/>
      <w:r w:rsidR="00490DF3">
        <w:t xml:space="preserve"> et al 2018)</w:t>
      </w:r>
      <w:r w:rsidR="00945ABD" w:rsidRPr="00945ABD">
        <w:t>.</w:t>
      </w:r>
    </w:p>
    <w:p w:rsidR="00EB5CD4" w:rsidRPr="009F2D6F" w:rsidRDefault="00EB5CD4" w:rsidP="00077582">
      <w:pPr>
        <w:pStyle w:val="Caption"/>
        <w:keepNext/>
        <w:widowControl/>
        <w:spacing w:after="0"/>
        <w:rPr>
          <w:rFonts w:ascii="Arial Narrow" w:hAnsi="Arial Narrow"/>
          <w:color w:val="auto"/>
          <w:sz w:val="20"/>
          <w:szCs w:val="20"/>
        </w:rPr>
      </w:pPr>
      <w:bookmarkStart w:id="16" w:name="_Ref18675446"/>
      <w:r w:rsidRPr="009F2D6F">
        <w:rPr>
          <w:rFonts w:ascii="Arial Narrow" w:hAnsi="Arial Narrow"/>
          <w:color w:val="auto"/>
          <w:sz w:val="20"/>
          <w:szCs w:val="20"/>
        </w:rPr>
        <w:t xml:space="preserve">Table </w:t>
      </w:r>
      <w:r w:rsidR="00654F36">
        <w:rPr>
          <w:rFonts w:ascii="Arial Narrow" w:hAnsi="Arial Narrow"/>
          <w:noProof/>
          <w:color w:val="auto"/>
          <w:sz w:val="20"/>
          <w:szCs w:val="20"/>
        </w:rPr>
        <w:t>7</w:t>
      </w:r>
      <w:bookmarkEnd w:id="16"/>
      <w:r w:rsidRPr="009F2D6F">
        <w:rPr>
          <w:rFonts w:ascii="Arial Narrow" w:hAnsi="Arial Narrow"/>
          <w:color w:val="auto"/>
          <w:sz w:val="20"/>
          <w:szCs w:val="20"/>
        </w:rPr>
        <w:t>: Proportion of patients exhibiting specific AEs in EXPAND</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745"/>
        <w:gridCol w:w="1737"/>
        <w:gridCol w:w="1737"/>
        <w:gridCol w:w="1798"/>
      </w:tblGrid>
      <w:tr w:rsidR="00EB5CD4" w:rsidRPr="009F2D6F" w:rsidTr="00486746">
        <w:trPr>
          <w:trHeight w:val="184"/>
          <w:tblHeader/>
        </w:trPr>
        <w:tc>
          <w:tcPr>
            <w:tcW w:w="2077" w:type="pct"/>
            <w:tcBorders>
              <w:left w:val="single" w:sz="4" w:space="0" w:color="auto"/>
              <w:bottom w:val="single" w:sz="4" w:space="0" w:color="auto"/>
              <w:right w:val="single" w:sz="4" w:space="0" w:color="auto"/>
            </w:tcBorders>
            <w:vAlign w:val="center"/>
          </w:tcPr>
          <w:p w:rsidR="00EB5CD4" w:rsidRPr="009F2D6F" w:rsidRDefault="00EB5CD4" w:rsidP="00077582">
            <w:pPr>
              <w:pStyle w:val="PBACTableText"/>
              <w:spacing w:before="0" w:after="0"/>
              <w:rPr>
                <w:b/>
              </w:rPr>
            </w:pPr>
            <w:r w:rsidRPr="009F2D6F">
              <w:rPr>
                <w:b/>
              </w:rPr>
              <w:t>Adverse drug reactions, %</w:t>
            </w:r>
          </w:p>
        </w:tc>
        <w:tc>
          <w:tcPr>
            <w:tcW w:w="963" w:type="pct"/>
            <w:tcBorders>
              <w:left w:val="single" w:sz="4" w:space="0" w:color="auto"/>
              <w:bottom w:val="single" w:sz="4" w:space="0" w:color="auto"/>
              <w:right w:val="single" w:sz="4" w:space="0" w:color="auto"/>
            </w:tcBorders>
            <w:vAlign w:val="center"/>
          </w:tcPr>
          <w:p w:rsidR="00EB5CD4" w:rsidRPr="009F2D6F" w:rsidRDefault="00EB5CD4" w:rsidP="00077582">
            <w:pPr>
              <w:pStyle w:val="PBACTableText"/>
              <w:spacing w:before="0" w:after="0"/>
              <w:jc w:val="center"/>
              <w:rPr>
                <w:b/>
              </w:rPr>
            </w:pPr>
            <w:proofErr w:type="spellStart"/>
            <w:r w:rsidRPr="009F2D6F">
              <w:rPr>
                <w:b/>
              </w:rPr>
              <w:t>Siponimod</w:t>
            </w:r>
            <w:proofErr w:type="spellEnd"/>
          </w:p>
          <w:p w:rsidR="00EB5CD4" w:rsidRPr="009F2D6F" w:rsidRDefault="00EB5CD4" w:rsidP="00077582">
            <w:pPr>
              <w:pStyle w:val="PBACTableText"/>
              <w:spacing w:before="0" w:after="0"/>
              <w:jc w:val="center"/>
              <w:rPr>
                <w:b/>
              </w:rPr>
            </w:pPr>
            <w:r w:rsidRPr="009F2D6F">
              <w:rPr>
                <w:b/>
              </w:rPr>
              <w:t>N= 1,099</w:t>
            </w:r>
          </w:p>
        </w:tc>
        <w:tc>
          <w:tcPr>
            <w:tcW w:w="963" w:type="pct"/>
            <w:tcBorders>
              <w:left w:val="single" w:sz="4" w:space="0" w:color="auto"/>
              <w:bottom w:val="single" w:sz="4" w:space="0" w:color="auto"/>
              <w:right w:val="single" w:sz="4" w:space="0" w:color="auto"/>
            </w:tcBorders>
            <w:vAlign w:val="center"/>
          </w:tcPr>
          <w:p w:rsidR="00EB5CD4" w:rsidRPr="009F2D6F" w:rsidRDefault="00EB5CD4" w:rsidP="00077582">
            <w:pPr>
              <w:pStyle w:val="PBACTableText"/>
              <w:spacing w:before="0" w:after="0"/>
              <w:jc w:val="center"/>
              <w:rPr>
                <w:b/>
              </w:rPr>
            </w:pPr>
            <w:r w:rsidRPr="009F2D6F">
              <w:rPr>
                <w:b/>
              </w:rPr>
              <w:t>Placebo</w:t>
            </w:r>
          </w:p>
          <w:p w:rsidR="00EB5CD4" w:rsidRPr="009F2D6F" w:rsidRDefault="00EB5CD4" w:rsidP="00077582">
            <w:pPr>
              <w:pStyle w:val="PBACTableText"/>
              <w:spacing w:before="0" w:after="0"/>
              <w:jc w:val="center"/>
              <w:rPr>
                <w:b/>
                <w:highlight w:val="magenta"/>
              </w:rPr>
            </w:pPr>
            <w:r w:rsidRPr="009F2D6F">
              <w:rPr>
                <w:b/>
              </w:rPr>
              <w:t>N=546</w:t>
            </w:r>
          </w:p>
        </w:tc>
        <w:tc>
          <w:tcPr>
            <w:tcW w:w="997" w:type="pct"/>
            <w:tcBorders>
              <w:left w:val="single" w:sz="4" w:space="0" w:color="auto"/>
              <w:bottom w:val="single" w:sz="4" w:space="0" w:color="auto"/>
              <w:right w:val="single" w:sz="4" w:space="0" w:color="auto"/>
            </w:tcBorders>
            <w:vAlign w:val="center"/>
          </w:tcPr>
          <w:p w:rsidR="00EB5CD4" w:rsidRPr="009F2D6F" w:rsidRDefault="00EB5CD4" w:rsidP="00077582">
            <w:pPr>
              <w:pStyle w:val="PBACTableText"/>
              <w:spacing w:before="0" w:after="0"/>
              <w:jc w:val="center"/>
              <w:rPr>
                <w:b/>
              </w:rPr>
            </w:pPr>
            <w:r w:rsidRPr="009F2D6F">
              <w:rPr>
                <w:b/>
              </w:rPr>
              <w:t xml:space="preserve">Frequency </w:t>
            </w:r>
            <w:proofErr w:type="spellStart"/>
            <w:r w:rsidRPr="009F2D6F">
              <w:rPr>
                <w:b/>
              </w:rPr>
              <w:t>category</w:t>
            </w:r>
            <w:r w:rsidRPr="009F2D6F">
              <w:rPr>
                <w:b/>
                <w:vertAlign w:val="superscript"/>
              </w:rPr>
              <w:t>a</w:t>
            </w:r>
            <w:proofErr w:type="spellEnd"/>
          </w:p>
        </w:tc>
      </w:tr>
      <w:tr w:rsidR="00EB5CD4" w:rsidRPr="009F2D6F" w:rsidTr="00486746">
        <w:tc>
          <w:tcPr>
            <w:tcW w:w="5000" w:type="pct"/>
            <w:gridSpan w:val="4"/>
            <w:tcBorders>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Neoplasms benign, malignant and unspecified (incl. cysts and polyps)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rPr>
                <w:rFonts w:cs="Arial"/>
              </w:rPr>
              <w:t xml:space="preserve">   Melanocytic </w:t>
            </w:r>
            <w:proofErr w:type="spellStart"/>
            <w:r w:rsidRPr="009F2D6F">
              <w:rPr>
                <w:rFonts w:cs="Arial"/>
              </w:rPr>
              <w:t>naevus</w:t>
            </w:r>
            <w:r w:rsidR="00034089" w:rsidRPr="009F2D6F">
              <w:rPr>
                <w:vertAlign w:val="superscript"/>
              </w:rPr>
              <w:t>b</w:t>
            </w:r>
            <w:proofErr w:type="spellEnd"/>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4.9</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2.9</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Nervous system disorders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Dizziness</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6.8</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4.8</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Cardiac disorders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w:t>
            </w:r>
            <w:proofErr w:type="spellStart"/>
            <w:r w:rsidRPr="009F2D6F">
              <w:t>Bradycardia</w:t>
            </w:r>
            <w:r w:rsidR="00034089" w:rsidRPr="009F2D6F">
              <w:rPr>
                <w:vertAlign w:val="superscript"/>
              </w:rPr>
              <w:t>b</w:t>
            </w:r>
            <w:proofErr w:type="spellEnd"/>
            <w:r w:rsidRPr="009F2D6F" w:rsidDel="006706F4">
              <w:t xml:space="preserve"> </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6.2</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3.1</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top w:val="nil"/>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Vascular disorders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w:t>
            </w:r>
            <w:proofErr w:type="spellStart"/>
            <w:r w:rsidRPr="009F2D6F">
              <w:t>Hypertension</w:t>
            </w:r>
            <w:r w:rsidR="00034089" w:rsidRPr="009F2D6F">
              <w:rPr>
                <w:vertAlign w:val="superscript"/>
              </w:rPr>
              <w:t>b</w:t>
            </w:r>
            <w:proofErr w:type="spellEnd"/>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12.6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9.0</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very common</w:t>
            </w:r>
          </w:p>
        </w:tc>
      </w:tr>
      <w:tr w:rsidR="00EB5CD4" w:rsidRPr="009F2D6F" w:rsidTr="00486746">
        <w:tc>
          <w:tcPr>
            <w:tcW w:w="5000" w:type="pct"/>
            <w:gridSpan w:val="4"/>
            <w:tcBorders>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Gastrointestinal disorders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Nausea</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6.7</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3.5</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Diarrhoea</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6.4</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4.2</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Musculoskeletal and connective tissue disorders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Pain in </w:t>
            </w:r>
            <w:proofErr w:type="spellStart"/>
            <w:r w:rsidRPr="009F2D6F">
              <w:t>extremity</w:t>
            </w:r>
            <w:r w:rsidR="00034089" w:rsidRPr="009F2D6F">
              <w:rPr>
                <w:vertAlign w:val="superscript"/>
              </w:rPr>
              <w:t>b</w:t>
            </w:r>
            <w:proofErr w:type="spellEnd"/>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6.3</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4.0</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General disorders and administration site conditions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Oedema </w:t>
            </w:r>
            <w:proofErr w:type="spellStart"/>
            <w:r w:rsidRPr="009F2D6F">
              <w:t>peripheral</w:t>
            </w:r>
            <w:r w:rsidR="00034089" w:rsidRPr="009F2D6F">
              <w:rPr>
                <w:vertAlign w:val="superscript"/>
              </w:rPr>
              <w:t>b</w:t>
            </w:r>
            <w:proofErr w:type="spellEnd"/>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8.1</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4.4</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common</w:t>
            </w:r>
          </w:p>
        </w:tc>
      </w:tr>
      <w:tr w:rsidR="00EB5CD4" w:rsidRPr="009F2D6F" w:rsidTr="0048674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Investigations</w:t>
            </w:r>
          </w:p>
        </w:tc>
      </w:tr>
      <w:tr w:rsidR="00EB5CD4" w:rsidRPr="009F2D6F" w:rsidTr="00486746">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pPr>
            <w:r w:rsidRPr="009F2D6F">
              <w:t xml:space="preserve">   Liver function test </w:t>
            </w:r>
            <w:proofErr w:type="spellStart"/>
            <w:r w:rsidRPr="009F2D6F">
              <w:t>increased</w:t>
            </w:r>
            <w:r w:rsidR="00034089" w:rsidRPr="009F2D6F">
              <w:rPr>
                <w:vertAlign w:val="superscript"/>
              </w:rPr>
              <w:t>b</w:t>
            </w:r>
            <w:proofErr w:type="spellEnd"/>
            <w:r w:rsidRPr="009F2D6F">
              <w:t xml:space="preserve"> </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11.3</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rPr>
                <w:b/>
              </w:rPr>
            </w:pPr>
            <w:r w:rsidRPr="009F2D6F">
              <w:rPr>
                <w:b/>
              </w:rPr>
              <w:t>3.1</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EB5CD4" w:rsidRPr="009F2D6F" w:rsidRDefault="00EB5CD4" w:rsidP="00077582">
            <w:pPr>
              <w:pStyle w:val="PBACTableText"/>
              <w:spacing w:before="0" w:after="0"/>
              <w:jc w:val="center"/>
            </w:pPr>
            <w:r w:rsidRPr="009F2D6F">
              <w:t>very common</w:t>
            </w:r>
          </w:p>
        </w:tc>
      </w:tr>
    </w:tbl>
    <w:p w:rsidR="00EB5CD4" w:rsidRPr="009F2D6F" w:rsidRDefault="00EB5CD4" w:rsidP="00077582">
      <w:pPr>
        <w:widowControl/>
        <w:rPr>
          <w:rFonts w:ascii="Arial Narrow" w:hAnsi="Arial Narrow"/>
          <w:sz w:val="18"/>
        </w:rPr>
      </w:pPr>
      <w:r w:rsidRPr="009F2D6F">
        <w:rPr>
          <w:rFonts w:ascii="Arial Narrow" w:hAnsi="Arial Narrow"/>
          <w:sz w:val="18"/>
        </w:rPr>
        <w:t>Source: Table 2.40 (pg. 153) in the submission</w:t>
      </w:r>
    </w:p>
    <w:p w:rsidR="00EB5CD4" w:rsidRPr="009F2D6F" w:rsidRDefault="00EB5CD4" w:rsidP="00077582">
      <w:pPr>
        <w:widowControl/>
        <w:rPr>
          <w:rFonts w:ascii="Arial Narrow" w:hAnsi="Arial Narrow"/>
          <w:sz w:val="18"/>
        </w:rPr>
      </w:pPr>
      <w:r w:rsidRPr="009F2D6F">
        <w:rPr>
          <w:rFonts w:ascii="Arial Narrow" w:hAnsi="Arial Narrow"/>
          <w:sz w:val="18"/>
        </w:rPr>
        <w:t>Abbreviations: ADR=Adverse drug reaction; AE=adverse event</w:t>
      </w:r>
    </w:p>
    <w:p w:rsidR="00AC127F" w:rsidRPr="009F2D6F" w:rsidRDefault="00AC127F" w:rsidP="00077582">
      <w:pPr>
        <w:widowControl/>
        <w:rPr>
          <w:rFonts w:ascii="Arial Narrow" w:hAnsi="Arial Narrow"/>
          <w:sz w:val="18"/>
        </w:rPr>
      </w:pPr>
      <w:r w:rsidRPr="009F2D6F">
        <w:rPr>
          <w:rFonts w:ascii="Arial Narrow" w:hAnsi="Arial Narrow"/>
          <w:b/>
          <w:sz w:val="18"/>
        </w:rPr>
        <w:t>Bold</w:t>
      </w:r>
      <w:r w:rsidRPr="009F2D6F">
        <w:rPr>
          <w:rFonts w:ascii="Arial Narrow" w:hAnsi="Arial Narrow"/>
          <w:sz w:val="18"/>
        </w:rPr>
        <w:t xml:space="preserve"> typography indicates statistically significant differences</w:t>
      </w:r>
    </w:p>
    <w:p w:rsidR="00EB5CD4" w:rsidRPr="009F2D6F" w:rsidRDefault="00EB5CD4" w:rsidP="00077582">
      <w:pPr>
        <w:widowControl/>
        <w:tabs>
          <w:tab w:val="left" w:pos="284"/>
        </w:tabs>
        <w:rPr>
          <w:rFonts w:ascii="Arial Narrow" w:hAnsi="Arial Narrow"/>
          <w:sz w:val="18"/>
        </w:rPr>
      </w:pPr>
      <w:proofErr w:type="gramStart"/>
      <w:r w:rsidRPr="009F2D6F">
        <w:rPr>
          <w:rFonts w:ascii="Arial Narrow" w:hAnsi="Arial Narrow"/>
          <w:sz w:val="18"/>
          <w:vertAlign w:val="superscript"/>
        </w:rPr>
        <w:t>a</w:t>
      </w:r>
      <w:proofErr w:type="gramEnd"/>
      <w:r w:rsidRPr="009F2D6F">
        <w:rPr>
          <w:rFonts w:ascii="Arial Narrow" w:hAnsi="Arial Narrow"/>
          <w:sz w:val="18"/>
        </w:rPr>
        <w:t xml:space="preserve"> </w:t>
      </w:r>
      <w:r w:rsidRPr="009F2D6F">
        <w:rPr>
          <w:rFonts w:ascii="Arial Narrow" w:hAnsi="Arial Narrow"/>
          <w:sz w:val="18"/>
        </w:rPr>
        <w:tab/>
      </w:r>
      <w:r w:rsidR="00034089" w:rsidRPr="009F2D6F">
        <w:rPr>
          <w:rFonts w:ascii="Arial Narrow" w:hAnsi="Arial Narrow"/>
          <w:sz w:val="18"/>
        </w:rPr>
        <w:t>V</w:t>
      </w:r>
      <w:r w:rsidRPr="009F2D6F">
        <w:rPr>
          <w:rFonts w:ascii="Arial Narrow" w:hAnsi="Arial Narrow"/>
          <w:sz w:val="18"/>
        </w:rPr>
        <w:t>ery common (≥1/10); common (≥1/100 to &lt;1/10); uncommon (≥1/1,000 to &lt;1/100); rare (≥1/10,000 to &lt;1/1,000); very rare (&lt;1/10,000)</w:t>
      </w:r>
    </w:p>
    <w:p w:rsidR="00486746" w:rsidRPr="009F2D6F" w:rsidRDefault="00034089" w:rsidP="00490DF3">
      <w:pPr>
        <w:widowControl/>
        <w:tabs>
          <w:tab w:val="left" w:pos="284"/>
        </w:tabs>
        <w:rPr>
          <w:b/>
          <w:sz w:val="28"/>
        </w:rPr>
      </w:pPr>
      <w:proofErr w:type="gramStart"/>
      <w:r w:rsidRPr="009F2D6F">
        <w:rPr>
          <w:rFonts w:ascii="Arial Narrow" w:hAnsi="Arial Narrow"/>
          <w:sz w:val="18"/>
          <w:szCs w:val="18"/>
          <w:vertAlign w:val="superscript"/>
        </w:rPr>
        <w:t>b</w:t>
      </w:r>
      <w:proofErr w:type="gramEnd"/>
      <w:r w:rsidRPr="009F2D6F" w:rsidDel="00034089">
        <w:rPr>
          <w:rFonts w:ascii="Arial Narrow" w:hAnsi="Arial Narrow"/>
          <w:sz w:val="18"/>
        </w:rPr>
        <w:t xml:space="preserve"> </w:t>
      </w:r>
      <w:r w:rsidRPr="009F2D6F">
        <w:rPr>
          <w:rFonts w:ascii="Arial Narrow" w:hAnsi="Arial Narrow"/>
          <w:sz w:val="18"/>
        </w:rPr>
        <w:tab/>
        <w:t>Grouping of preferred terms (PTs) were considered for ADR frequency determination</w:t>
      </w:r>
      <w:bookmarkStart w:id="17" w:name="_Toc18693498"/>
    </w:p>
    <w:p w:rsidR="00246D0B" w:rsidRDefault="00246D0B" w:rsidP="00FF5BF1"/>
    <w:p w:rsidR="007F1017" w:rsidRPr="009F2D6F" w:rsidRDefault="007F1017" w:rsidP="00077582">
      <w:pPr>
        <w:pStyle w:val="Heading2"/>
        <w:widowControl/>
      </w:pPr>
      <w:r w:rsidRPr="009F2D6F">
        <w:lastRenderedPageBreak/>
        <w:t>Benefits/harms</w:t>
      </w:r>
      <w:bookmarkEnd w:id="17"/>
    </w:p>
    <w:p w:rsidR="004151CF" w:rsidRPr="009F2D6F" w:rsidRDefault="004151CF" w:rsidP="00077582">
      <w:pPr>
        <w:widowControl/>
      </w:pPr>
    </w:p>
    <w:p w:rsidR="00654F36" w:rsidRPr="009F2D6F" w:rsidRDefault="007F3BD6" w:rsidP="00077582">
      <w:pPr>
        <w:pStyle w:val="ListParagraph"/>
        <w:widowControl/>
        <w:numPr>
          <w:ilvl w:val="1"/>
          <w:numId w:val="2"/>
        </w:numPr>
      </w:pPr>
      <w:r w:rsidRPr="009F2D6F">
        <w:t xml:space="preserve">A comparison of the benefits and harms of treatment with </w:t>
      </w:r>
      <w:proofErr w:type="spellStart"/>
      <w:r w:rsidRPr="009F2D6F">
        <w:t>siponimod</w:t>
      </w:r>
      <w:proofErr w:type="spellEnd"/>
      <w:r w:rsidRPr="009F2D6F">
        <w:t xml:space="preserve"> compared with placebo is presented in</w:t>
      </w:r>
      <w:r w:rsidR="007A52F1">
        <w:t xml:space="preserve"> Table 8.</w:t>
      </w:r>
      <w:r w:rsidRPr="009F2D6F">
        <w:t xml:space="preserve"> </w:t>
      </w:r>
    </w:p>
    <w:p w:rsidR="007F3BD6" w:rsidRPr="009F2D6F" w:rsidRDefault="007F3BD6" w:rsidP="007A52F1"/>
    <w:p w:rsidR="00CB7A8A" w:rsidRPr="009F2D6F" w:rsidRDefault="00CB7A8A" w:rsidP="00077582">
      <w:pPr>
        <w:pStyle w:val="Caption"/>
        <w:keepNext/>
        <w:widowControl/>
        <w:spacing w:after="0"/>
        <w:rPr>
          <w:rFonts w:ascii="Arial Narrow" w:hAnsi="Arial Narrow"/>
          <w:color w:val="auto"/>
          <w:sz w:val="20"/>
          <w:szCs w:val="20"/>
        </w:rPr>
      </w:pPr>
      <w:r w:rsidRPr="009F2D6F">
        <w:rPr>
          <w:rFonts w:ascii="Arial Narrow" w:hAnsi="Arial Narrow"/>
          <w:color w:val="auto"/>
          <w:sz w:val="20"/>
          <w:szCs w:val="20"/>
        </w:rPr>
        <w:t xml:space="preserve">Table </w:t>
      </w:r>
      <w:r w:rsidR="00654F36">
        <w:rPr>
          <w:rFonts w:ascii="Arial Narrow" w:hAnsi="Arial Narrow"/>
          <w:noProof/>
          <w:color w:val="auto"/>
          <w:sz w:val="20"/>
          <w:szCs w:val="20"/>
        </w:rPr>
        <w:t>8</w:t>
      </w:r>
      <w:r w:rsidRPr="009F2D6F">
        <w:rPr>
          <w:rFonts w:ascii="Arial Narrow" w:hAnsi="Arial Narrow"/>
          <w:b w:val="0"/>
          <w:color w:val="auto"/>
          <w:sz w:val="20"/>
          <w:szCs w:val="20"/>
        </w:rPr>
        <w:t xml:space="preserve">: </w:t>
      </w:r>
      <w:r w:rsidRPr="009F2D6F">
        <w:rPr>
          <w:rFonts w:ascii="Arial Narrow" w:hAnsi="Arial Narrow"/>
          <w:color w:val="auto"/>
          <w:sz w:val="20"/>
          <w:szCs w:val="20"/>
        </w:rPr>
        <w:t xml:space="preserve">Summary of comparative benefits and harms for </w:t>
      </w:r>
      <w:proofErr w:type="spellStart"/>
      <w:r w:rsidRPr="009F2D6F">
        <w:rPr>
          <w:rFonts w:ascii="Arial Narrow" w:hAnsi="Arial Narrow"/>
          <w:color w:val="auto"/>
          <w:sz w:val="20"/>
          <w:szCs w:val="20"/>
        </w:rPr>
        <w:t>siponimod</w:t>
      </w:r>
      <w:proofErr w:type="spellEnd"/>
      <w:r w:rsidRPr="009F2D6F">
        <w:rPr>
          <w:rFonts w:ascii="Arial Narrow" w:hAnsi="Arial Narrow"/>
          <w:color w:val="auto"/>
          <w:sz w:val="20"/>
          <w:szCs w:val="20"/>
        </w:rPr>
        <w:t xml:space="preserve"> and placebo from the EXPAND trial</w:t>
      </w:r>
    </w:p>
    <w:tbl>
      <w:tblPr>
        <w:tblW w:w="5000" w:type="pct"/>
        <w:tblCellMar>
          <w:left w:w="28" w:type="dxa"/>
          <w:right w:w="28" w:type="dxa"/>
        </w:tblCellMar>
        <w:tblLook w:val="04A0" w:firstRow="1" w:lastRow="0" w:firstColumn="1" w:lastColumn="0" w:noHBand="0" w:noVBand="1"/>
      </w:tblPr>
      <w:tblGrid>
        <w:gridCol w:w="1270"/>
        <w:gridCol w:w="1151"/>
        <w:gridCol w:w="976"/>
        <w:gridCol w:w="175"/>
        <w:gridCol w:w="1553"/>
        <w:gridCol w:w="258"/>
        <w:gridCol w:w="988"/>
        <w:gridCol w:w="995"/>
        <w:gridCol w:w="252"/>
        <w:gridCol w:w="1399"/>
      </w:tblGrid>
      <w:tr w:rsidR="00CB7A8A" w:rsidRPr="009F2D6F" w:rsidTr="00486746">
        <w:trPr>
          <w:tblHeader/>
        </w:trPr>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jc w:val="left"/>
              <w:rPr>
                <w:rFonts w:ascii="Arial Narrow" w:hAnsi="Arial Narrow"/>
                <w:b/>
                <w:color w:val="000000"/>
                <w:sz w:val="20"/>
                <w:szCs w:val="20"/>
              </w:rPr>
            </w:pPr>
            <w:r w:rsidRPr="009F2D6F">
              <w:rPr>
                <w:rFonts w:ascii="Arial Narrow" w:hAnsi="Arial Narrow"/>
                <w:b/>
                <w:color w:val="000000"/>
                <w:sz w:val="20"/>
                <w:szCs w:val="20"/>
              </w:rPr>
              <w:t xml:space="preserve">Outcome </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roofErr w:type="spellStart"/>
            <w:r w:rsidRPr="009F2D6F">
              <w:rPr>
                <w:rFonts w:ascii="Arial Narrow" w:hAnsi="Arial Narrow"/>
                <w:b/>
                <w:color w:val="000000"/>
                <w:sz w:val="20"/>
                <w:szCs w:val="20"/>
              </w:rPr>
              <w:t>Siponimod</w:t>
            </w:r>
            <w:proofErr w:type="spellEnd"/>
          </w:p>
          <w:p w:rsidR="00CB7A8A" w:rsidRPr="009F2D6F" w:rsidRDefault="00CB7A8A" w:rsidP="00077582">
            <w:pPr>
              <w:keepNext/>
              <w:widowControl/>
              <w:jc w:val="center"/>
              <w:rPr>
                <w:rFonts w:ascii="Arial Narrow" w:hAnsi="Arial Narrow"/>
                <w:b/>
                <w:color w:val="000000"/>
                <w:sz w:val="20"/>
                <w:szCs w:val="20"/>
              </w:rPr>
            </w:pPr>
            <w:proofErr w:type="gramStart"/>
            <w:r w:rsidRPr="009F2D6F">
              <w:rPr>
                <w:rFonts w:ascii="Arial Narrow" w:hAnsi="Arial Narrow"/>
                <w:b/>
                <w:color w:val="000000"/>
                <w:sz w:val="20"/>
                <w:szCs w:val="20"/>
              </w:rPr>
              <w:t>n/N</w:t>
            </w:r>
            <w:proofErr w:type="gramEnd"/>
            <w:r w:rsidRPr="009F2D6F">
              <w:rPr>
                <w:rFonts w:ascii="Arial Narrow" w:hAnsi="Arial Narrow"/>
                <w:b/>
                <w:color w:val="000000"/>
                <w:sz w:val="20"/>
                <w:szCs w:val="20"/>
              </w:rPr>
              <w:t xml:space="preserve"> (%)</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Placebo</w:t>
            </w:r>
          </w:p>
          <w:p w:rsidR="00CB7A8A" w:rsidRPr="009F2D6F" w:rsidRDefault="00CB7A8A" w:rsidP="00077582">
            <w:pPr>
              <w:keepNext/>
              <w:widowControl/>
              <w:jc w:val="center"/>
              <w:rPr>
                <w:rFonts w:ascii="Arial Narrow" w:hAnsi="Arial Narrow"/>
                <w:b/>
                <w:color w:val="000000"/>
                <w:sz w:val="20"/>
                <w:szCs w:val="20"/>
              </w:rPr>
            </w:pPr>
            <w:proofErr w:type="gramStart"/>
            <w:r w:rsidRPr="009F2D6F">
              <w:rPr>
                <w:rFonts w:ascii="Arial Narrow" w:hAnsi="Arial Narrow"/>
                <w:b/>
                <w:color w:val="000000"/>
                <w:sz w:val="20"/>
                <w:szCs w:val="20"/>
              </w:rPr>
              <w:t>n/N</w:t>
            </w:r>
            <w:proofErr w:type="gramEnd"/>
            <w:r w:rsidRPr="009F2D6F">
              <w:rPr>
                <w:rFonts w:ascii="Arial Narrow" w:hAnsi="Arial Narrow"/>
                <w:b/>
                <w:color w:val="000000"/>
                <w:sz w:val="20"/>
                <w:szCs w:val="20"/>
              </w:rPr>
              <w:t xml:space="preserve"> (%)</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Absolute difference</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HR (95% CI)</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 xml:space="preserve">3-month CDP </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rPr>
              <w:t>288/1096 (26.3)</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rPr>
              <w:t>173/545 (31.7)</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-5.4%</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sz w:val="20"/>
                <w:szCs w:val="20"/>
              </w:rPr>
              <w:t>0.79 (0.65, 0.95)</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 xml:space="preserve">6-month CDP </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rPr>
              <w:t>218/1096 (19.9)</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rPr>
              <w:t>139/545 (25.5)</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-5.6%</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0.74 (0.60, 0.92)</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b/>
                <w:color w:val="000000"/>
                <w:sz w:val="20"/>
                <w:szCs w:val="20"/>
              </w:rPr>
              <w:t>Outcome</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sz w:val="20"/>
                <w:szCs w:val="20"/>
              </w:rPr>
            </w:pPr>
            <w:proofErr w:type="spellStart"/>
            <w:r w:rsidRPr="009F2D6F">
              <w:rPr>
                <w:rFonts w:ascii="Arial Narrow" w:hAnsi="Arial Narrow"/>
                <w:b/>
                <w:sz w:val="20"/>
                <w:szCs w:val="20"/>
              </w:rPr>
              <w:t>Siponimod</w:t>
            </w:r>
            <w:proofErr w:type="spellEnd"/>
            <w:r w:rsidRPr="009F2D6F">
              <w:rPr>
                <w:rFonts w:ascii="Arial Narrow" w:hAnsi="Arial Narrow"/>
                <w:b/>
                <w:sz w:val="20"/>
                <w:szCs w:val="20"/>
              </w:rPr>
              <w:t xml:space="preserve"> </w:t>
            </w:r>
          </w:p>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n/time</w:t>
            </w:r>
          </w:p>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w:t>
            </w:r>
            <w:r w:rsidRPr="009F2D6F">
              <w:rPr>
                <w:rFonts w:ascii="Arial Narrow" w:hAnsi="Arial Narrow"/>
                <w:b/>
                <w:color w:val="000000"/>
                <w:sz w:val="20"/>
                <w:szCs w:val="20"/>
              </w:rPr>
              <w:t>Adjusted ARR (95% CI)]</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sz w:val="20"/>
                <w:szCs w:val="20"/>
              </w:rPr>
            </w:pPr>
            <w:proofErr w:type="spellStart"/>
            <w:r w:rsidRPr="009F2D6F">
              <w:rPr>
                <w:rFonts w:ascii="Arial Narrow" w:hAnsi="Arial Narrow"/>
                <w:b/>
                <w:sz w:val="20"/>
                <w:szCs w:val="20"/>
              </w:rPr>
              <w:t>Siponimod</w:t>
            </w:r>
            <w:proofErr w:type="spellEnd"/>
            <w:r w:rsidRPr="009F2D6F">
              <w:rPr>
                <w:rFonts w:ascii="Arial Narrow" w:hAnsi="Arial Narrow"/>
                <w:b/>
                <w:sz w:val="20"/>
                <w:szCs w:val="20"/>
              </w:rPr>
              <w:t xml:space="preserve"> </w:t>
            </w:r>
          </w:p>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n/time</w:t>
            </w:r>
          </w:p>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w:t>
            </w:r>
            <w:r w:rsidRPr="009F2D6F">
              <w:rPr>
                <w:rFonts w:ascii="Arial Narrow" w:hAnsi="Arial Narrow"/>
                <w:b/>
                <w:color w:val="000000"/>
                <w:sz w:val="20"/>
                <w:szCs w:val="20"/>
              </w:rPr>
              <w:t>Adjusted ARR (95% CI)]</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Rate reduction</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sz w:val="20"/>
                <w:szCs w:val="20"/>
              </w:rPr>
            </w:pPr>
            <w:r w:rsidRPr="009F2D6F">
              <w:rPr>
                <w:rFonts w:ascii="Arial Narrow" w:hAnsi="Arial Narrow"/>
                <w:b/>
                <w:sz w:val="20"/>
                <w:szCs w:val="20"/>
              </w:rPr>
              <w:t>ARR ratio</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ARR - ITT</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lang w:val="en-US"/>
              </w:rPr>
            </w:pPr>
            <w:r w:rsidRPr="009F2D6F">
              <w:rPr>
                <w:rFonts w:ascii="Arial Narrow" w:hAnsi="Arial Narrow"/>
                <w:sz w:val="20"/>
                <w:szCs w:val="20"/>
                <w:lang w:val="en-US"/>
              </w:rPr>
              <w:t>134/691,980</w:t>
            </w:r>
          </w:p>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lang w:val="en-US"/>
              </w:rPr>
              <w:t>[0.071 (0.055,0.092)]</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lang w:val="en-US"/>
              </w:rPr>
            </w:pPr>
            <w:r w:rsidRPr="009F2D6F">
              <w:rPr>
                <w:rFonts w:ascii="Arial Narrow" w:hAnsi="Arial Narrow"/>
                <w:sz w:val="20"/>
                <w:szCs w:val="20"/>
                <w:lang w:val="en-US"/>
              </w:rPr>
              <w:t>143/343,285</w:t>
            </w:r>
          </w:p>
          <w:p w:rsidR="00CB7A8A" w:rsidRPr="009F2D6F" w:rsidRDefault="00CB7A8A" w:rsidP="00077582">
            <w:pPr>
              <w:keepNext/>
              <w:widowControl/>
              <w:jc w:val="center"/>
              <w:rPr>
                <w:rFonts w:ascii="Arial Narrow" w:hAnsi="Arial Narrow"/>
                <w:sz w:val="20"/>
                <w:szCs w:val="20"/>
              </w:rPr>
            </w:pPr>
            <w:r w:rsidRPr="009F2D6F">
              <w:rPr>
                <w:rFonts w:ascii="Arial Narrow" w:hAnsi="Arial Narrow"/>
                <w:sz w:val="20"/>
                <w:szCs w:val="20"/>
                <w:lang w:val="en-US"/>
              </w:rPr>
              <w:t>[0.160 (0.123,0.207)]</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pStyle w:val="PBACTabletext0"/>
              <w:keepNext/>
              <w:spacing w:line="256" w:lineRule="auto"/>
              <w:jc w:val="center"/>
              <w:rPr>
                <w:color w:val="000000"/>
              </w:rPr>
            </w:pPr>
            <w:r w:rsidRPr="009F2D6F">
              <w:rPr>
                <w:color w:val="000000"/>
              </w:rPr>
              <w:t>55.5%</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pStyle w:val="PBACTabletext0"/>
              <w:keepNext/>
              <w:spacing w:line="256" w:lineRule="auto"/>
              <w:jc w:val="center"/>
              <w:rPr>
                <w:b/>
              </w:rPr>
            </w:pPr>
            <w:r w:rsidRPr="009F2D6F">
              <w:rPr>
                <w:b/>
                <w:lang w:val="en-US"/>
              </w:rPr>
              <w:t>0.445 (0.337, 0.587</w:t>
            </w:r>
            <w:r w:rsidR="00034089" w:rsidRPr="009F2D6F">
              <w:rPr>
                <w:b/>
                <w:lang w:val="en-US"/>
              </w:rPr>
              <w:t>)</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ARR - PP</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lang w:val="en-US"/>
              </w:rPr>
            </w:pPr>
            <w:r w:rsidRPr="009F2D6F">
              <w:rPr>
                <w:rFonts w:ascii="Arial Narrow" w:hAnsi="Arial Narrow"/>
                <w:sz w:val="20"/>
                <w:szCs w:val="20"/>
                <w:lang w:val="en-US"/>
              </w:rPr>
              <w:t>116/554,281</w:t>
            </w:r>
          </w:p>
          <w:p w:rsidR="00CB7A8A" w:rsidRPr="009F2D6F" w:rsidRDefault="00CB7A8A" w:rsidP="00077582">
            <w:pPr>
              <w:pStyle w:val="PBACTabletext0"/>
              <w:keepNext/>
              <w:spacing w:before="0" w:after="0" w:line="256" w:lineRule="auto"/>
              <w:jc w:val="center"/>
            </w:pPr>
            <w:r w:rsidRPr="009F2D6F">
              <w:rPr>
                <w:lang w:val="en-US"/>
              </w:rPr>
              <w:t>[0.079 (0.060,0.103)]</w:t>
            </w:r>
          </w:p>
        </w:tc>
        <w:tc>
          <w:tcPr>
            <w:tcW w:w="1101" w:type="pct"/>
            <w:gridSpan w:val="3"/>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sz w:val="20"/>
                <w:szCs w:val="20"/>
                <w:lang w:val="en-US"/>
              </w:rPr>
            </w:pPr>
            <w:r w:rsidRPr="009F2D6F">
              <w:rPr>
                <w:rFonts w:ascii="Arial Narrow" w:hAnsi="Arial Narrow"/>
                <w:sz w:val="20"/>
                <w:szCs w:val="20"/>
                <w:lang w:val="en-US"/>
              </w:rPr>
              <w:t>126/273,562</w:t>
            </w:r>
          </w:p>
          <w:p w:rsidR="00CB7A8A" w:rsidRPr="009F2D6F" w:rsidRDefault="00CB7A8A" w:rsidP="00077582">
            <w:pPr>
              <w:pStyle w:val="PBACTabletext0"/>
              <w:keepNext/>
              <w:spacing w:before="0" w:after="0" w:line="256" w:lineRule="auto"/>
              <w:jc w:val="center"/>
            </w:pPr>
            <w:r w:rsidRPr="009F2D6F">
              <w:rPr>
                <w:lang w:val="en-US"/>
              </w:rPr>
              <w:t>[0.189 (0.143,0.250)]</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pStyle w:val="PBACTabletext0"/>
              <w:keepNext/>
              <w:spacing w:line="256" w:lineRule="auto"/>
              <w:jc w:val="center"/>
              <w:rPr>
                <w:color w:val="000000"/>
              </w:rPr>
            </w:pPr>
            <w:r w:rsidRPr="009F2D6F">
              <w:rPr>
                <w:color w:val="000000"/>
              </w:rPr>
              <w:t>58.4%</w:t>
            </w:r>
          </w:p>
        </w:tc>
        <w:tc>
          <w:tcPr>
            <w:tcW w:w="916"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pStyle w:val="PBACTabletext0"/>
              <w:keepNext/>
              <w:spacing w:line="256" w:lineRule="auto"/>
              <w:jc w:val="center"/>
              <w:rPr>
                <w:b/>
              </w:rPr>
            </w:pPr>
            <w:r w:rsidRPr="009F2D6F">
              <w:rPr>
                <w:b/>
                <w:lang w:val="en-US"/>
              </w:rPr>
              <w:t>0.416 (0.310, 0.560)</w:t>
            </w:r>
          </w:p>
        </w:tc>
      </w:tr>
      <w:tr w:rsidR="00CB7A8A" w:rsidRPr="009F2D6F" w:rsidTr="00486746">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b/>
                <w:color w:val="000000"/>
                <w:sz w:val="20"/>
                <w:szCs w:val="20"/>
              </w:rPr>
            </w:pPr>
            <w:r w:rsidRPr="009F2D6F">
              <w:rPr>
                <w:rFonts w:ascii="Arial Narrow" w:hAnsi="Arial Narrow"/>
                <w:b/>
                <w:color w:val="000000"/>
                <w:sz w:val="20"/>
                <w:szCs w:val="20"/>
              </w:rPr>
              <w:t xml:space="preserve">Harms </w:t>
            </w:r>
          </w:p>
        </w:tc>
      </w:tr>
      <w:tr w:rsidR="00CB7A8A" w:rsidRPr="009F2D6F" w:rsidTr="00486746">
        <w:trPr>
          <w:trHeight w:val="70"/>
        </w:trPr>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b/>
                <w:color w:val="000000"/>
                <w:sz w:val="20"/>
                <w:szCs w:val="20"/>
              </w:rPr>
            </w:pPr>
            <w:r w:rsidRPr="009F2D6F">
              <w:rPr>
                <w:rFonts w:ascii="Arial Narrow" w:hAnsi="Arial Narrow"/>
                <w:b/>
                <w:color w:val="000000"/>
                <w:sz w:val="20"/>
                <w:szCs w:val="20"/>
              </w:rPr>
              <w:t>Adverse event</w:t>
            </w:r>
          </w:p>
        </w:tc>
        <w:tc>
          <w:tcPr>
            <w:tcW w:w="638" w:type="pct"/>
            <w:vMerge w:val="restar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roofErr w:type="spellStart"/>
            <w:r w:rsidRPr="009F2D6F">
              <w:rPr>
                <w:rFonts w:ascii="Arial Narrow" w:hAnsi="Arial Narrow"/>
                <w:b/>
                <w:color w:val="000000"/>
                <w:sz w:val="20"/>
                <w:szCs w:val="20"/>
              </w:rPr>
              <w:t>Siponimod</w:t>
            </w:r>
            <w:proofErr w:type="spellEnd"/>
          </w:p>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n/N</w:t>
            </w:r>
          </w:p>
        </w:tc>
        <w:tc>
          <w:tcPr>
            <w:tcW w:w="638" w:type="pct"/>
            <w:gridSpan w:val="2"/>
            <w:vMerge w:val="restar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 xml:space="preserve">Placebo </w:t>
            </w:r>
          </w:p>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n/N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RR</w:t>
            </w:r>
          </w:p>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RD</w:t>
            </w:r>
          </w:p>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(95% CI)</w:t>
            </w:r>
          </w:p>
        </w:tc>
      </w:tr>
      <w:tr w:rsidR="00CB7A8A" w:rsidRPr="009F2D6F" w:rsidTr="00486746">
        <w:trPr>
          <w:trHeight w:val="390"/>
        </w:trPr>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b/>
                <w:color w:val="000000"/>
                <w:sz w:val="20"/>
                <w:szCs w:val="20"/>
              </w:rPr>
            </w:pPr>
          </w:p>
        </w:tc>
        <w:tc>
          <w:tcPr>
            <w:tcW w:w="638" w:type="pct"/>
            <w:vMerge/>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
        </w:tc>
        <w:tc>
          <w:tcPr>
            <w:tcW w:w="638" w:type="pct"/>
            <w:gridSpan w:val="2"/>
            <w:vMerge/>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roofErr w:type="spellStart"/>
            <w:r w:rsidRPr="009F2D6F">
              <w:rPr>
                <w:rFonts w:ascii="Arial Narrow" w:hAnsi="Arial Narrow"/>
                <w:b/>
                <w:color w:val="000000"/>
                <w:sz w:val="20"/>
                <w:szCs w:val="20"/>
              </w:rPr>
              <w:t>Siponimod</w:t>
            </w:r>
            <w:proofErr w:type="spellEnd"/>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 xml:space="preserve">Placebo </w:t>
            </w:r>
          </w:p>
        </w:tc>
        <w:tc>
          <w:tcPr>
            <w:tcW w:w="776" w:type="pct"/>
            <w:vMerge/>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Any AE</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975/1099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445/546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sz w:val="20"/>
                <w:szCs w:val="20"/>
              </w:rPr>
              <w:t>1.09 (1.04, 1.14)</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88.7</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81.5</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sz w:val="20"/>
                <w:szCs w:val="20"/>
              </w:rPr>
              <w:t>0.07 (0.03, 0.11)</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 xml:space="preserve">Bradycardia </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68/1099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16/546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1.99 (1.19, 3.34)</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6.2</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3.1</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0.03 (0.01, 0.05)</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 xml:space="preserve">Hypertension </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138/1099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49/546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1.40 (1.03, 1.91)</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12.6</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9.0</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0.03 (0.003, 0.07)</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 xml:space="preserve">Nausea </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74/1099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23/546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1.93 (1.19, 3.16)</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6.7</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3.5</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0.03 (0.01, 0.05)</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rPr>
                <w:rFonts w:ascii="Arial Narrow" w:hAnsi="Arial Narrow"/>
                <w:color w:val="000000"/>
                <w:sz w:val="20"/>
                <w:szCs w:val="20"/>
              </w:rPr>
            </w:pPr>
            <w:r w:rsidRPr="009F2D6F">
              <w:rPr>
                <w:rFonts w:ascii="Arial Narrow" w:hAnsi="Arial Narrow"/>
                <w:color w:val="000000"/>
                <w:sz w:val="20"/>
                <w:szCs w:val="20"/>
              </w:rPr>
              <w:t>Oedema peripheral</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89/1099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24/546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1.84 (1.19, 2.85)</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8.1</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4.4</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b/>
                <w:color w:val="000000"/>
                <w:sz w:val="20"/>
                <w:szCs w:val="20"/>
              </w:rPr>
              <w:t>0.04 (0.01, 0.06)</w:t>
            </w:r>
          </w:p>
        </w:tc>
      </w:tr>
      <w:tr w:rsidR="00CB7A8A" w:rsidRPr="009F2D6F" w:rsidTr="00486746">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CB7A8A" w:rsidRPr="009F2D6F" w:rsidRDefault="00CB7A8A" w:rsidP="00077582">
            <w:pPr>
              <w:keepNext/>
              <w:widowControl/>
              <w:jc w:val="left"/>
              <w:rPr>
                <w:rFonts w:ascii="Arial Narrow" w:hAnsi="Arial Narrow"/>
                <w:color w:val="000000"/>
                <w:sz w:val="20"/>
                <w:szCs w:val="20"/>
              </w:rPr>
            </w:pPr>
            <w:r w:rsidRPr="009F2D6F">
              <w:rPr>
                <w:rFonts w:ascii="Arial Narrow" w:hAnsi="Arial Narrow"/>
                <w:color w:val="000000"/>
                <w:sz w:val="20"/>
                <w:szCs w:val="20"/>
              </w:rPr>
              <w:t>Liver function test increase</w:t>
            </w:r>
          </w:p>
        </w:tc>
        <w:tc>
          <w:tcPr>
            <w:tcW w:w="638"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124/1099</w:t>
            </w:r>
          </w:p>
        </w:tc>
        <w:tc>
          <w:tcPr>
            <w:tcW w:w="638"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17/546</w:t>
            </w:r>
          </w:p>
        </w:tc>
        <w:tc>
          <w:tcPr>
            <w:tcW w:w="861"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3.62 (2.22, 5.94)</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11.3</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color w:val="000000"/>
                <w:sz w:val="20"/>
                <w:szCs w:val="20"/>
              </w:rPr>
            </w:pPr>
            <w:r w:rsidRPr="009F2D6F">
              <w:rPr>
                <w:rFonts w:ascii="Arial Narrow" w:hAnsi="Arial Narrow"/>
                <w:color w:val="000000"/>
                <w:sz w:val="20"/>
                <w:szCs w:val="20"/>
              </w:rPr>
              <w:t>3.1</w:t>
            </w:r>
          </w:p>
        </w:tc>
        <w:tc>
          <w:tcPr>
            <w:tcW w:w="776" w:type="pct"/>
            <w:tcBorders>
              <w:top w:val="single" w:sz="4" w:space="0" w:color="auto"/>
              <w:left w:val="single" w:sz="4" w:space="0" w:color="auto"/>
              <w:bottom w:val="single" w:sz="4" w:space="0" w:color="auto"/>
              <w:right w:val="single" w:sz="4" w:space="0" w:color="auto"/>
            </w:tcBorders>
            <w:vAlign w:val="center"/>
          </w:tcPr>
          <w:p w:rsidR="00CB7A8A" w:rsidRPr="009F2D6F" w:rsidRDefault="00CB7A8A" w:rsidP="00077582">
            <w:pPr>
              <w:keepNext/>
              <w:widowControl/>
              <w:jc w:val="center"/>
              <w:rPr>
                <w:rFonts w:ascii="Arial Narrow" w:hAnsi="Arial Narrow"/>
                <w:b/>
                <w:color w:val="000000"/>
                <w:sz w:val="20"/>
                <w:szCs w:val="20"/>
              </w:rPr>
            </w:pPr>
            <w:r w:rsidRPr="009F2D6F">
              <w:rPr>
                <w:rFonts w:ascii="Arial Narrow" w:hAnsi="Arial Narrow"/>
                <w:b/>
                <w:color w:val="000000"/>
                <w:sz w:val="20"/>
                <w:szCs w:val="20"/>
              </w:rPr>
              <w:t>0.08 (0.06, 0.11)</w:t>
            </w:r>
          </w:p>
        </w:tc>
      </w:tr>
    </w:tbl>
    <w:p w:rsidR="00CB7A8A" w:rsidRPr="009F2D6F" w:rsidRDefault="00CB7A8A" w:rsidP="00077582">
      <w:pPr>
        <w:pStyle w:val="TableFooter"/>
        <w:widowControl/>
      </w:pPr>
      <w:r w:rsidRPr="009F2D6F">
        <w:t>ARR=annualise</w:t>
      </w:r>
      <w:r w:rsidR="00034089" w:rsidRPr="009F2D6F">
        <w:t>d</w:t>
      </w:r>
      <w:r w:rsidRPr="009F2D6F">
        <w:t xml:space="preserve"> relapse ratio; CDP=confirmed disability progression; HR = hazard ratio; </w:t>
      </w:r>
      <w:r w:rsidR="00034089" w:rsidRPr="009F2D6F">
        <w:t xml:space="preserve">ITT=intention-to-treat; PP=per protocol; </w:t>
      </w:r>
      <w:r w:rsidRPr="009F2D6F">
        <w:t>RD = risk difference; RR = risk ratio</w:t>
      </w:r>
    </w:p>
    <w:p w:rsidR="00CB7A8A" w:rsidRPr="009F2D6F" w:rsidRDefault="00CB7A8A" w:rsidP="00077582">
      <w:pPr>
        <w:pStyle w:val="TableFooter"/>
        <w:widowControl/>
        <w:rPr>
          <w:sz w:val="20"/>
        </w:rPr>
      </w:pPr>
      <w:r w:rsidRPr="009F2D6F">
        <w:t>Source: compiled during the evaluation</w:t>
      </w:r>
    </w:p>
    <w:p w:rsidR="00CB7A8A" w:rsidRPr="009F2D6F" w:rsidRDefault="00CB7A8A" w:rsidP="00077582">
      <w:pPr>
        <w:widowControl/>
      </w:pPr>
    </w:p>
    <w:p w:rsidR="00E20121" w:rsidRPr="009F2D6F" w:rsidRDefault="00E20121" w:rsidP="00077582">
      <w:pPr>
        <w:pStyle w:val="ListParagraph"/>
        <w:widowControl/>
        <w:numPr>
          <w:ilvl w:val="1"/>
          <w:numId w:val="2"/>
        </w:numPr>
        <w:spacing w:after="0"/>
      </w:pPr>
      <w:r w:rsidRPr="009F2D6F">
        <w:t xml:space="preserve">On the basis of direct evidence presented by the submission, for every 100 patients treated with </w:t>
      </w:r>
      <w:proofErr w:type="spellStart"/>
      <w:r w:rsidRPr="009F2D6F">
        <w:t>siponimod</w:t>
      </w:r>
      <w:proofErr w:type="spellEnd"/>
      <w:r w:rsidRPr="009F2D6F">
        <w:t xml:space="preserve"> in comparison to placebo and over a maximum duration of follow-up of 3 years:</w:t>
      </w:r>
    </w:p>
    <w:p w:rsidR="00E20121" w:rsidRPr="009F2D6F" w:rsidRDefault="00E20121" w:rsidP="00077582">
      <w:pPr>
        <w:pStyle w:val="ListParagraph"/>
        <w:widowControl/>
        <w:numPr>
          <w:ilvl w:val="0"/>
          <w:numId w:val="1"/>
        </w:numPr>
        <w:spacing w:after="0"/>
        <w:ind w:left="993" w:hanging="284"/>
      </w:pPr>
      <w:r w:rsidRPr="009F2D6F">
        <w:t xml:space="preserve">Approximately 5 fewer patients will have </w:t>
      </w:r>
      <w:r w:rsidR="00C00C38" w:rsidRPr="009F2D6F">
        <w:t>progression of disability confirmed at 3 months (</w:t>
      </w:r>
      <w:r w:rsidRPr="009F2D6F">
        <w:t>3-month CDP</w:t>
      </w:r>
      <w:r w:rsidR="00C00C38" w:rsidRPr="009F2D6F">
        <w:t>)</w:t>
      </w:r>
      <w:r w:rsidRPr="009F2D6F">
        <w:t>.</w:t>
      </w:r>
    </w:p>
    <w:p w:rsidR="00F86448" w:rsidRPr="009F2D6F" w:rsidRDefault="00E20121" w:rsidP="0017147A">
      <w:pPr>
        <w:pStyle w:val="ListParagraph"/>
        <w:widowControl/>
        <w:numPr>
          <w:ilvl w:val="0"/>
          <w:numId w:val="1"/>
        </w:numPr>
        <w:spacing w:after="0"/>
        <w:ind w:left="993" w:hanging="284"/>
      </w:pPr>
      <w:r w:rsidRPr="009F2D6F">
        <w:t xml:space="preserve">Approximately </w:t>
      </w:r>
      <w:r w:rsidR="00C106CB" w:rsidRPr="009F2D6F">
        <w:t xml:space="preserve">6 </w:t>
      </w:r>
      <w:r w:rsidRPr="009F2D6F">
        <w:t xml:space="preserve">fewer patients will have </w:t>
      </w:r>
      <w:r w:rsidR="00C00C38" w:rsidRPr="009F2D6F">
        <w:t>progression of disability confirmed at 6 months (</w:t>
      </w:r>
      <w:r w:rsidRPr="009F2D6F">
        <w:t>6-month CDP</w:t>
      </w:r>
      <w:r w:rsidR="00C00C38" w:rsidRPr="009F2D6F">
        <w:t>)</w:t>
      </w:r>
      <w:r w:rsidRPr="009F2D6F">
        <w:t>.</w:t>
      </w:r>
    </w:p>
    <w:p w:rsidR="00E20121" w:rsidRPr="009F2D6F" w:rsidRDefault="00E20121" w:rsidP="00077582">
      <w:pPr>
        <w:pStyle w:val="ListParagraph"/>
        <w:widowControl/>
        <w:numPr>
          <w:ilvl w:val="0"/>
          <w:numId w:val="1"/>
        </w:numPr>
        <w:spacing w:after="0"/>
        <w:ind w:left="993" w:hanging="284"/>
      </w:pPr>
      <w:r w:rsidRPr="009F2D6F">
        <w:t>Approximately 7 additional patients will experience an adverse event.</w:t>
      </w:r>
    </w:p>
    <w:p w:rsidR="00E20121" w:rsidRPr="009F2D6F" w:rsidRDefault="00E20121" w:rsidP="00077582">
      <w:pPr>
        <w:pStyle w:val="ListParagraph"/>
        <w:widowControl/>
        <w:numPr>
          <w:ilvl w:val="0"/>
          <w:numId w:val="1"/>
        </w:numPr>
        <w:spacing w:after="0"/>
        <w:ind w:left="993" w:hanging="284"/>
      </w:pPr>
      <w:r w:rsidRPr="009F2D6F">
        <w:t>Approximately 3 additional patients will have bradycardia</w:t>
      </w:r>
      <w:r w:rsidR="00D177B8" w:rsidRPr="009F2D6F">
        <w:t xml:space="preserve"> (a slow heart rate)</w:t>
      </w:r>
      <w:r w:rsidRPr="009F2D6F">
        <w:t>.</w:t>
      </w:r>
    </w:p>
    <w:p w:rsidR="00D177B8" w:rsidRPr="009F2D6F" w:rsidRDefault="00D177B8" w:rsidP="00077582">
      <w:pPr>
        <w:pStyle w:val="ListParagraph"/>
        <w:widowControl/>
        <w:numPr>
          <w:ilvl w:val="0"/>
          <w:numId w:val="1"/>
        </w:numPr>
        <w:spacing w:after="0"/>
        <w:ind w:left="993" w:hanging="284"/>
      </w:pPr>
      <w:r w:rsidRPr="009F2D6F">
        <w:t>Approximately 3 additional patients will have hypertension</w:t>
      </w:r>
      <w:r w:rsidR="00C00C38" w:rsidRPr="009F2D6F">
        <w:t xml:space="preserve"> (increased blood pressure)</w:t>
      </w:r>
      <w:r w:rsidRPr="009F2D6F">
        <w:t>.</w:t>
      </w:r>
    </w:p>
    <w:p w:rsidR="00D177B8" w:rsidRPr="009F2D6F" w:rsidRDefault="00D177B8" w:rsidP="00077582">
      <w:pPr>
        <w:pStyle w:val="ListParagraph"/>
        <w:widowControl/>
        <w:numPr>
          <w:ilvl w:val="0"/>
          <w:numId w:val="1"/>
        </w:numPr>
        <w:spacing w:after="0"/>
        <w:ind w:left="993" w:hanging="284"/>
      </w:pPr>
      <w:r w:rsidRPr="009F2D6F">
        <w:t>Approximately 3 additional patients will have nausea.</w:t>
      </w:r>
    </w:p>
    <w:p w:rsidR="00E20121" w:rsidRPr="009F2D6F" w:rsidRDefault="00E20121" w:rsidP="00077582">
      <w:pPr>
        <w:pStyle w:val="ListParagraph"/>
        <w:widowControl/>
        <w:numPr>
          <w:ilvl w:val="0"/>
          <w:numId w:val="1"/>
        </w:numPr>
        <w:spacing w:after="0"/>
        <w:ind w:left="993" w:hanging="284"/>
      </w:pPr>
      <w:r w:rsidRPr="009F2D6F">
        <w:t>Approximately 4 additional patients will have peripheral oedema</w:t>
      </w:r>
      <w:r w:rsidR="00C00C38" w:rsidRPr="009F2D6F">
        <w:t xml:space="preserve"> (accumulation of fluid causing swelling usually in the lower limbs)</w:t>
      </w:r>
      <w:r w:rsidRPr="009F2D6F">
        <w:t>.</w:t>
      </w:r>
    </w:p>
    <w:p w:rsidR="00E20121" w:rsidRPr="009F2D6F" w:rsidRDefault="00E20121" w:rsidP="00077582">
      <w:pPr>
        <w:pStyle w:val="ListParagraph"/>
        <w:widowControl/>
        <w:numPr>
          <w:ilvl w:val="0"/>
          <w:numId w:val="1"/>
        </w:numPr>
        <w:ind w:left="993" w:hanging="284"/>
      </w:pPr>
      <w:r w:rsidRPr="009F2D6F">
        <w:t>Approximately 8 additional patients will have liver function test increases.</w:t>
      </w:r>
    </w:p>
    <w:p w:rsidR="00D177B8" w:rsidRPr="009F2D6F" w:rsidRDefault="00D177B8" w:rsidP="00077582">
      <w:pPr>
        <w:pStyle w:val="ListParagraph"/>
        <w:widowControl/>
        <w:numPr>
          <w:ilvl w:val="1"/>
          <w:numId w:val="2"/>
        </w:numPr>
      </w:pPr>
      <w:bookmarkStart w:id="18" w:name="_Ref18676377"/>
      <w:r w:rsidRPr="009F2D6F">
        <w:rPr>
          <w:rFonts w:cs="Calibri"/>
          <w:snapToGrid/>
          <w:szCs w:val="24"/>
          <w:lang w:val="en-US" w:eastAsia="en-AU"/>
        </w:rPr>
        <w:lastRenderedPageBreak/>
        <w:t xml:space="preserve">As no indirect comparison with the currently listed DMTs was presented, a quantitative comparison of the benefits and harms of </w:t>
      </w:r>
      <w:proofErr w:type="spellStart"/>
      <w:r w:rsidRPr="009F2D6F">
        <w:rPr>
          <w:rFonts w:cs="Calibri"/>
          <w:snapToGrid/>
          <w:szCs w:val="24"/>
          <w:lang w:val="en-US" w:eastAsia="en-AU"/>
        </w:rPr>
        <w:t>siponimod</w:t>
      </w:r>
      <w:proofErr w:type="spellEnd"/>
      <w:r w:rsidRPr="009F2D6F">
        <w:rPr>
          <w:rFonts w:cs="Calibri"/>
          <w:snapToGrid/>
          <w:szCs w:val="24"/>
          <w:lang w:val="en-US" w:eastAsia="en-AU"/>
        </w:rPr>
        <w:t xml:space="preserve"> versus these treatments could not be undertaken. Accordingly, a benefits/harms table has not been presented for this comparison.</w:t>
      </w:r>
    </w:p>
    <w:p w:rsidR="00B60939" w:rsidRPr="009F2D6F" w:rsidRDefault="00B60939" w:rsidP="00077582">
      <w:pPr>
        <w:pStyle w:val="Heading2"/>
        <w:widowControl/>
      </w:pPr>
      <w:bookmarkStart w:id="19" w:name="_Toc18693499"/>
      <w:bookmarkEnd w:id="18"/>
      <w:r w:rsidRPr="009F2D6F">
        <w:t>Clinical claim</w:t>
      </w:r>
      <w:bookmarkEnd w:id="19"/>
    </w:p>
    <w:p w:rsidR="00B60939" w:rsidRPr="009F2D6F" w:rsidRDefault="00B60939" w:rsidP="00077582">
      <w:pPr>
        <w:widowControl/>
        <w:ind w:left="720" w:hanging="720"/>
      </w:pPr>
    </w:p>
    <w:p w:rsidR="00B60939" w:rsidRPr="009F2D6F" w:rsidRDefault="00AB4645" w:rsidP="00077582">
      <w:pPr>
        <w:pStyle w:val="ListParagraph"/>
        <w:widowControl/>
        <w:numPr>
          <w:ilvl w:val="1"/>
          <w:numId w:val="2"/>
        </w:numPr>
      </w:pPr>
      <w:r w:rsidRPr="009F2D6F">
        <w:t xml:space="preserve">The submission described </w:t>
      </w:r>
      <w:proofErr w:type="spellStart"/>
      <w:r w:rsidRPr="009F2D6F">
        <w:t>siponimod</w:t>
      </w:r>
      <w:proofErr w:type="spellEnd"/>
      <w:r w:rsidRPr="009F2D6F">
        <w:t xml:space="preserve"> as superior in terms of effectiveness and equivalent in terms of safety to BSC (placebo).</w:t>
      </w:r>
    </w:p>
    <w:p w:rsidR="00AB4645" w:rsidRPr="009F2D6F" w:rsidRDefault="00AB4645" w:rsidP="00077582">
      <w:pPr>
        <w:pStyle w:val="ListParagraph"/>
        <w:widowControl/>
        <w:numPr>
          <w:ilvl w:val="1"/>
          <w:numId w:val="2"/>
        </w:numPr>
      </w:pPr>
      <w:bookmarkStart w:id="20" w:name="_Ref19617116"/>
      <w:r w:rsidRPr="009F2D6F">
        <w:t>The claim of superior clinical efficacy</w:t>
      </w:r>
      <w:r w:rsidR="00E87D6E" w:rsidRPr="009F2D6F">
        <w:t xml:space="preserve"> versus placebo</w:t>
      </w:r>
      <w:r w:rsidRPr="009F2D6F">
        <w:t xml:space="preserve"> </w:t>
      </w:r>
      <w:r w:rsidR="00E87D6E" w:rsidRPr="009F2D6F">
        <w:t>was</w:t>
      </w:r>
      <w:r w:rsidRPr="009F2D6F">
        <w:t xml:space="preserve"> supported </w:t>
      </w:r>
      <w:r w:rsidR="00E87D6E" w:rsidRPr="009F2D6F">
        <w:t xml:space="preserve">for </w:t>
      </w:r>
      <w:r w:rsidRPr="009F2D6F">
        <w:t xml:space="preserve">the 3- and 6-month CDP and ARR outcomes. The claim of equivalent safety </w:t>
      </w:r>
      <w:r w:rsidR="00E87D6E" w:rsidRPr="009F2D6F">
        <w:t>was</w:t>
      </w:r>
      <w:r w:rsidRPr="009F2D6F">
        <w:t xml:space="preserve"> not supported</w:t>
      </w:r>
      <w:r w:rsidR="00157F08">
        <w:t xml:space="preserve"> based on the</w:t>
      </w:r>
      <w:r w:rsidRPr="009F2D6F">
        <w:t xml:space="preserve"> EXPAND </w:t>
      </w:r>
      <w:r w:rsidR="00157F08">
        <w:t>trial as</w:t>
      </w:r>
      <w:r w:rsidRPr="009F2D6F">
        <w:t xml:space="preserve"> </w:t>
      </w:r>
      <w:proofErr w:type="spellStart"/>
      <w:r w:rsidRPr="009F2D6F">
        <w:t>siponimod</w:t>
      </w:r>
      <w:proofErr w:type="spellEnd"/>
      <w:r w:rsidRPr="009F2D6F">
        <w:t xml:space="preserve"> patients were significantly more likely to exhibit at least one AE </w:t>
      </w:r>
      <w:r w:rsidR="00157F08">
        <w:t>compared with</w:t>
      </w:r>
      <w:r w:rsidR="00157F08" w:rsidRPr="009F2D6F">
        <w:t xml:space="preserve"> </w:t>
      </w:r>
      <w:r w:rsidRPr="009F2D6F">
        <w:t>placebo patients</w:t>
      </w:r>
      <w:r w:rsidR="006B05F7" w:rsidRPr="009F2D6F">
        <w:t>, in addition to being statistically significantly more likely to experience bradycardia, hypertension, nausea, peripheral oedema and liver function test increase</w:t>
      </w:r>
      <w:r w:rsidRPr="009F2D6F">
        <w:t>.</w:t>
      </w:r>
      <w:bookmarkEnd w:id="20"/>
    </w:p>
    <w:p w:rsidR="006B05F7" w:rsidRDefault="006B05F7" w:rsidP="00077582">
      <w:pPr>
        <w:pStyle w:val="ListParagraph"/>
        <w:widowControl/>
        <w:numPr>
          <w:ilvl w:val="1"/>
          <w:numId w:val="2"/>
        </w:numPr>
      </w:pPr>
      <w:bookmarkStart w:id="21" w:name="_Ref19617142"/>
      <w:r w:rsidRPr="009F2D6F">
        <w:t xml:space="preserve">The submission described </w:t>
      </w:r>
      <w:proofErr w:type="spellStart"/>
      <w:r w:rsidRPr="009F2D6F">
        <w:t>siponimod</w:t>
      </w:r>
      <w:proofErr w:type="spellEnd"/>
      <w:r w:rsidRPr="009F2D6F">
        <w:t xml:space="preserve"> as superior in terms of comparative effectiveness and ‘comparable but different safety profiles’ compared to IFN-beta/GA and </w:t>
      </w:r>
      <w:proofErr w:type="spellStart"/>
      <w:r w:rsidRPr="009F2D6F">
        <w:t>natalizumab</w:t>
      </w:r>
      <w:proofErr w:type="spellEnd"/>
      <w:r w:rsidRPr="009F2D6F">
        <w:t xml:space="preserve"> in the treated SPMS population. These therapeutic claims </w:t>
      </w:r>
      <w:r w:rsidR="00E87D6E" w:rsidRPr="009F2D6F">
        <w:t>were</w:t>
      </w:r>
      <w:r w:rsidRPr="009F2D6F">
        <w:t xml:space="preserve"> not adequately supported as no direct head-to-head evidence, nor any indirect comparisons, of </w:t>
      </w:r>
      <w:proofErr w:type="spellStart"/>
      <w:r w:rsidRPr="009F2D6F">
        <w:t>siponimod</w:t>
      </w:r>
      <w:proofErr w:type="spellEnd"/>
      <w:r w:rsidRPr="009F2D6F">
        <w:t xml:space="preserve"> vs IFN-beta, GA or </w:t>
      </w:r>
      <w:proofErr w:type="spellStart"/>
      <w:r w:rsidRPr="009F2D6F">
        <w:t>natalizumab</w:t>
      </w:r>
      <w:proofErr w:type="spellEnd"/>
      <w:r w:rsidRPr="009F2D6F">
        <w:t xml:space="preserve"> were provided.</w:t>
      </w:r>
      <w:bookmarkEnd w:id="21"/>
    </w:p>
    <w:p w:rsidR="00C64EBB" w:rsidRPr="00C64EBB" w:rsidRDefault="00C64EBB" w:rsidP="00C64EBB">
      <w:pPr>
        <w:pStyle w:val="ListParagraph"/>
        <w:widowControl/>
        <w:numPr>
          <w:ilvl w:val="1"/>
          <w:numId w:val="2"/>
        </w:numPr>
      </w:pPr>
      <w:r w:rsidRPr="00C64EBB">
        <w:t>The PBAC considered that the claim of superior comparative effectiveness</w:t>
      </w:r>
      <w:r w:rsidR="00383083">
        <w:t xml:space="preserve"> to placebo</w:t>
      </w:r>
      <w:r w:rsidRPr="00C64EBB">
        <w:t xml:space="preserve"> was reasonable.</w:t>
      </w:r>
    </w:p>
    <w:p w:rsidR="00C64EBB" w:rsidRDefault="00C64EBB" w:rsidP="00C64EBB">
      <w:pPr>
        <w:pStyle w:val="ListParagraph"/>
        <w:widowControl/>
        <w:numPr>
          <w:ilvl w:val="1"/>
          <w:numId w:val="2"/>
        </w:numPr>
      </w:pPr>
      <w:r w:rsidRPr="00C64EBB">
        <w:t>The PBAC considered that the claim of non-inferior comparative safety</w:t>
      </w:r>
      <w:r w:rsidR="00383083">
        <w:t xml:space="preserve"> to placebo</w:t>
      </w:r>
      <w:r w:rsidRPr="00C64EBB">
        <w:t xml:space="preserve"> was not adequately supported by the data.</w:t>
      </w:r>
    </w:p>
    <w:p w:rsidR="00C64EBB" w:rsidRPr="009F2D6F" w:rsidRDefault="00383083" w:rsidP="00C64EBB">
      <w:pPr>
        <w:pStyle w:val="ListParagraph"/>
        <w:widowControl/>
        <w:numPr>
          <w:ilvl w:val="1"/>
          <w:numId w:val="2"/>
        </w:numPr>
      </w:pPr>
      <w:r>
        <w:t xml:space="preserve">The PBAC considered it was not possible to draw meaningful conclusions on the comparative efficacy and safety of </w:t>
      </w:r>
      <w:proofErr w:type="spellStart"/>
      <w:r>
        <w:t>siponimod</w:t>
      </w:r>
      <w:proofErr w:type="spellEnd"/>
      <w:r>
        <w:t xml:space="preserve"> to RRMS DMTs as indirect comparisons were not presented in the submission.</w:t>
      </w:r>
    </w:p>
    <w:p w:rsidR="00B60939" w:rsidRPr="009F2D6F" w:rsidRDefault="00B60939" w:rsidP="00077582">
      <w:pPr>
        <w:pStyle w:val="Heading2"/>
        <w:widowControl/>
      </w:pPr>
      <w:bookmarkStart w:id="22" w:name="_Toc18693500"/>
      <w:r w:rsidRPr="009F2D6F">
        <w:t>Economic analysis</w:t>
      </w:r>
      <w:bookmarkEnd w:id="22"/>
      <w:r w:rsidR="00491B3A" w:rsidRPr="009F2D6F">
        <w:t xml:space="preserve"> </w:t>
      </w:r>
    </w:p>
    <w:p w:rsidR="00B60939" w:rsidRPr="009F2D6F" w:rsidRDefault="00B60939" w:rsidP="00077582">
      <w:pPr>
        <w:widowControl/>
        <w:ind w:left="720" w:hanging="720"/>
      </w:pPr>
    </w:p>
    <w:p w:rsidR="00275C5A" w:rsidRPr="009F2D6F" w:rsidRDefault="001C06B1" w:rsidP="00077582">
      <w:pPr>
        <w:pStyle w:val="ListParagraph"/>
        <w:widowControl/>
        <w:numPr>
          <w:ilvl w:val="1"/>
          <w:numId w:val="2"/>
        </w:numPr>
        <w:rPr>
          <w:rFonts w:cs="Calibri"/>
          <w:snapToGrid/>
          <w:szCs w:val="24"/>
          <w:lang w:val="en-US" w:eastAsia="en-AU"/>
        </w:rPr>
      </w:pPr>
      <w:bookmarkStart w:id="23" w:name="_Ref18687205"/>
      <w:r w:rsidRPr="009F2D6F">
        <w:t>The submission presented a stepped economic evaluation in the form of a Markov cohort health state-transition cost-utility model</w:t>
      </w:r>
      <w:r w:rsidR="00CE6F51" w:rsidRPr="009F2D6F">
        <w:rPr>
          <w:rFonts w:cs="Calibri"/>
          <w:snapToGrid/>
          <w:color w:val="4472C4"/>
          <w:szCs w:val="24"/>
          <w:lang w:val="en-US" w:eastAsia="en-AU"/>
        </w:rPr>
        <w:t>.</w:t>
      </w:r>
      <w:r w:rsidR="002532B8" w:rsidRPr="009F2D6F">
        <w:rPr>
          <w:rFonts w:cs="Calibri"/>
          <w:snapToGrid/>
          <w:szCs w:val="24"/>
          <w:lang w:val="en-US" w:eastAsia="en-AU"/>
        </w:rPr>
        <w:t xml:space="preserve"> A weighted ICER was calculated from three separate economic comparisons using the same model structure (</w:t>
      </w:r>
      <w:proofErr w:type="spellStart"/>
      <w:r w:rsidR="002532B8" w:rsidRPr="009F2D6F">
        <w:rPr>
          <w:rFonts w:cs="Calibri"/>
          <w:snapToGrid/>
          <w:szCs w:val="24"/>
          <w:lang w:val="en-US" w:eastAsia="en-AU"/>
        </w:rPr>
        <w:t>siponimod</w:t>
      </w:r>
      <w:proofErr w:type="spellEnd"/>
      <w:r w:rsidR="002532B8" w:rsidRPr="009F2D6F">
        <w:rPr>
          <w:rFonts w:cs="Calibri"/>
          <w:snapToGrid/>
          <w:szCs w:val="24"/>
          <w:lang w:val="en-US" w:eastAsia="en-AU"/>
        </w:rPr>
        <w:t xml:space="preserve"> vs best supportive care (placebo); </w:t>
      </w:r>
      <w:proofErr w:type="spellStart"/>
      <w:r w:rsidR="002532B8" w:rsidRPr="009F2D6F">
        <w:rPr>
          <w:rFonts w:cs="Calibri"/>
          <w:snapToGrid/>
          <w:szCs w:val="24"/>
          <w:lang w:val="en-US" w:eastAsia="en-AU"/>
        </w:rPr>
        <w:t>siponimod</w:t>
      </w:r>
      <w:proofErr w:type="spellEnd"/>
      <w:r w:rsidR="002532B8" w:rsidRPr="009F2D6F">
        <w:rPr>
          <w:rFonts w:cs="Calibri"/>
          <w:snapToGrid/>
          <w:szCs w:val="24"/>
          <w:lang w:val="en-US" w:eastAsia="en-AU"/>
        </w:rPr>
        <w:t xml:space="preserve"> vs interferon-beta/</w:t>
      </w:r>
      <w:proofErr w:type="spellStart"/>
      <w:r w:rsidR="002532B8" w:rsidRPr="009F2D6F">
        <w:rPr>
          <w:rFonts w:cs="Calibri"/>
          <w:snapToGrid/>
          <w:szCs w:val="24"/>
          <w:lang w:val="en-US" w:eastAsia="en-AU"/>
        </w:rPr>
        <w:t>glatiramer</w:t>
      </w:r>
      <w:proofErr w:type="spellEnd"/>
      <w:r w:rsidR="002532B8" w:rsidRPr="009F2D6F">
        <w:rPr>
          <w:rFonts w:cs="Calibri"/>
          <w:snapToGrid/>
          <w:szCs w:val="24"/>
          <w:lang w:val="en-US" w:eastAsia="en-AU"/>
        </w:rPr>
        <w:t xml:space="preserve"> acetate; </w:t>
      </w:r>
      <w:proofErr w:type="spellStart"/>
      <w:r w:rsidR="002532B8" w:rsidRPr="009F2D6F">
        <w:rPr>
          <w:rFonts w:cs="Calibri"/>
          <w:snapToGrid/>
          <w:szCs w:val="24"/>
          <w:lang w:val="en-US" w:eastAsia="en-AU"/>
        </w:rPr>
        <w:t>siponimod</w:t>
      </w:r>
      <w:proofErr w:type="spellEnd"/>
      <w:r w:rsidR="002532B8" w:rsidRPr="009F2D6F">
        <w:rPr>
          <w:rFonts w:cs="Calibri"/>
          <w:snapToGrid/>
          <w:szCs w:val="24"/>
          <w:lang w:val="en-US" w:eastAsia="en-AU"/>
        </w:rPr>
        <w:t xml:space="preserve"> vs </w:t>
      </w:r>
      <w:proofErr w:type="spellStart"/>
      <w:r w:rsidR="002532B8" w:rsidRPr="009F2D6F">
        <w:rPr>
          <w:rFonts w:cs="Calibri"/>
          <w:snapToGrid/>
          <w:szCs w:val="24"/>
          <w:lang w:val="en-US" w:eastAsia="en-AU"/>
        </w:rPr>
        <w:t>natalizumab</w:t>
      </w:r>
      <w:proofErr w:type="spellEnd"/>
      <w:r w:rsidR="002532B8" w:rsidRPr="009F2D6F">
        <w:rPr>
          <w:rFonts w:cs="Calibri"/>
          <w:snapToGrid/>
          <w:szCs w:val="24"/>
          <w:lang w:val="en-US" w:eastAsia="en-AU"/>
        </w:rPr>
        <w:t>).</w:t>
      </w:r>
      <w:r w:rsidR="00BB2243" w:rsidRPr="009F2D6F">
        <w:rPr>
          <w:rFonts w:cs="Calibri"/>
          <w:snapToGrid/>
          <w:szCs w:val="24"/>
          <w:lang w:val="en-US" w:eastAsia="en-AU"/>
        </w:rPr>
        <w:t xml:space="preserve"> The </w:t>
      </w:r>
      <w:r w:rsidR="00755D85" w:rsidRPr="009F2D6F">
        <w:rPr>
          <w:rFonts w:cs="Calibri"/>
          <w:snapToGrid/>
          <w:szCs w:val="24"/>
          <w:lang w:val="en-US" w:eastAsia="en-AU"/>
        </w:rPr>
        <w:t>DPMQ applied</w:t>
      </w:r>
      <w:r w:rsidR="00BB2243" w:rsidRPr="009F2D6F">
        <w:rPr>
          <w:rFonts w:cs="Calibri"/>
          <w:snapToGrid/>
          <w:szCs w:val="24"/>
          <w:lang w:val="en-US" w:eastAsia="en-AU"/>
        </w:rPr>
        <w:t xml:space="preserve"> for </w:t>
      </w:r>
      <w:proofErr w:type="spellStart"/>
      <w:r w:rsidR="00BB2243" w:rsidRPr="009F2D6F">
        <w:rPr>
          <w:rFonts w:cs="Calibri"/>
          <w:snapToGrid/>
          <w:szCs w:val="24"/>
          <w:lang w:val="en-US" w:eastAsia="en-AU"/>
        </w:rPr>
        <w:t>siponimod</w:t>
      </w:r>
      <w:proofErr w:type="spellEnd"/>
      <w:r w:rsidR="00BB2243" w:rsidRPr="009F2D6F">
        <w:rPr>
          <w:rFonts w:cs="Calibri"/>
          <w:snapToGrid/>
          <w:szCs w:val="24"/>
          <w:lang w:val="en-US" w:eastAsia="en-AU"/>
        </w:rPr>
        <w:t xml:space="preserve"> differed between the models: (</w:t>
      </w:r>
      <w:proofErr w:type="spellStart"/>
      <w:r w:rsidR="00BB2243" w:rsidRPr="009F2D6F">
        <w:rPr>
          <w:rFonts w:cs="Calibri"/>
          <w:snapToGrid/>
          <w:szCs w:val="24"/>
          <w:lang w:val="en-US" w:eastAsia="en-AU"/>
        </w:rPr>
        <w:t>i</w:t>
      </w:r>
      <w:proofErr w:type="spellEnd"/>
      <w:r w:rsidR="00BB2243" w:rsidRPr="009F2D6F">
        <w:rPr>
          <w:rFonts w:cs="Calibri"/>
          <w:snapToGrid/>
          <w:szCs w:val="24"/>
          <w:lang w:val="en-US" w:eastAsia="en-AU"/>
        </w:rPr>
        <w:t>) $</w:t>
      </w:r>
      <w:r w:rsidR="00387A27">
        <w:rPr>
          <w:rFonts w:cs="Calibri"/>
          <w:noProof/>
          <w:snapToGrid/>
          <w:color w:val="000000"/>
          <w:szCs w:val="24"/>
          <w:highlight w:val="black"/>
          <w:lang w:val="en-US" w:eastAsia="en-AU"/>
        </w:rPr>
        <w:t>''''''''''''</w:t>
      </w:r>
      <w:r w:rsidR="00755D85" w:rsidRPr="009F2D6F">
        <w:rPr>
          <w:rFonts w:cs="Calibri"/>
          <w:snapToGrid/>
          <w:szCs w:val="24"/>
          <w:lang w:val="en-US" w:eastAsia="en-AU"/>
        </w:rPr>
        <w:t xml:space="preserve"> vs placebo, (ii) $</w:t>
      </w:r>
      <w:r w:rsidR="00387A27">
        <w:rPr>
          <w:rFonts w:cs="Calibri"/>
          <w:noProof/>
          <w:snapToGrid/>
          <w:color w:val="000000"/>
          <w:szCs w:val="24"/>
          <w:highlight w:val="black"/>
          <w:lang w:val="en-US" w:eastAsia="en-AU"/>
        </w:rPr>
        <w:t>'''''''''''''''''</w:t>
      </w:r>
      <w:r w:rsidR="00755D85" w:rsidRPr="009F2D6F">
        <w:rPr>
          <w:rFonts w:cs="Calibri"/>
          <w:snapToGrid/>
          <w:szCs w:val="24"/>
          <w:lang w:val="en-US" w:eastAsia="en-AU"/>
        </w:rPr>
        <w:t xml:space="preserve"> vs IFN-beta/GA and (iii) $</w:t>
      </w:r>
      <w:r w:rsidR="00387A27">
        <w:rPr>
          <w:rFonts w:cs="Calibri"/>
          <w:noProof/>
          <w:snapToGrid/>
          <w:color w:val="000000"/>
          <w:szCs w:val="24"/>
          <w:highlight w:val="black"/>
          <w:lang w:val="en-US" w:eastAsia="en-AU"/>
        </w:rPr>
        <w:t>''''''''''''''''</w:t>
      </w:r>
      <w:r w:rsidR="00755D85" w:rsidRPr="009F2D6F">
        <w:rPr>
          <w:rFonts w:cs="Calibri"/>
          <w:snapToGrid/>
          <w:szCs w:val="24"/>
          <w:lang w:val="en-US" w:eastAsia="en-AU"/>
        </w:rPr>
        <w:t xml:space="preserve"> vs </w:t>
      </w:r>
      <w:proofErr w:type="spellStart"/>
      <w:r w:rsidR="00755D85" w:rsidRPr="009F2D6F">
        <w:rPr>
          <w:rFonts w:cs="Calibri"/>
          <w:snapToGrid/>
          <w:szCs w:val="24"/>
          <w:lang w:val="en-US" w:eastAsia="en-AU"/>
        </w:rPr>
        <w:t>natalizumab</w:t>
      </w:r>
      <w:proofErr w:type="spellEnd"/>
      <w:r w:rsidR="00755D85" w:rsidRPr="009F2D6F">
        <w:rPr>
          <w:rFonts w:cs="Calibri"/>
          <w:snapToGrid/>
          <w:szCs w:val="24"/>
          <w:lang w:val="en-US" w:eastAsia="en-AU"/>
        </w:rPr>
        <w:t xml:space="preserve">. A summary of the model structure and rationale are provided in </w:t>
      </w:r>
      <w:r w:rsidR="00654F36" w:rsidRPr="00654F36">
        <w:rPr>
          <w:rFonts w:cs="Calibri"/>
          <w:snapToGrid/>
          <w:szCs w:val="24"/>
          <w:lang w:val="en-US" w:eastAsia="en-AU"/>
        </w:rPr>
        <w:t>Table 9</w:t>
      </w:r>
      <w:r w:rsidR="00755D85" w:rsidRPr="009F2D6F">
        <w:rPr>
          <w:rFonts w:cs="Calibri"/>
          <w:snapToGrid/>
          <w:szCs w:val="24"/>
          <w:lang w:val="en-US" w:eastAsia="en-AU"/>
        </w:rPr>
        <w:t>.</w:t>
      </w:r>
      <w:bookmarkEnd w:id="23"/>
      <w:r w:rsidR="00D745AD" w:rsidRPr="009F2D6F">
        <w:rPr>
          <w:rFonts w:cs="Calibri"/>
          <w:snapToGrid/>
          <w:szCs w:val="24"/>
          <w:lang w:val="en-US" w:eastAsia="en-AU"/>
        </w:rPr>
        <w:t xml:space="preserve"> </w:t>
      </w:r>
      <w:r w:rsidR="00240A25" w:rsidRPr="009F2D6F">
        <w:rPr>
          <w:rFonts w:cs="Calibri"/>
          <w:snapToGrid/>
          <w:szCs w:val="24"/>
          <w:lang w:val="en-US" w:eastAsia="en-AU"/>
        </w:rPr>
        <w:t>The ESC considered use of three</w:t>
      </w:r>
      <w:r w:rsidR="00157F08">
        <w:rPr>
          <w:rFonts w:cs="Calibri"/>
          <w:snapToGrid/>
          <w:szCs w:val="24"/>
          <w:lang w:val="en-US" w:eastAsia="en-AU"/>
        </w:rPr>
        <w:t xml:space="preserve"> different</w:t>
      </w:r>
      <w:r w:rsidR="00240A25" w:rsidRPr="009F2D6F">
        <w:rPr>
          <w:rFonts w:cs="Calibri"/>
          <w:snapToGrid/>
          <w:szCs w:val="24"/>
          <w:lang w:val="en-US" w:eastAsia="en-AU"/>
        </w:rPr>
        <w:t xml:space="preserve"> prices to generate three ICERs was </w:t>
      </w:r>
      <w:r w:rsidR="00C106CB" w:rsidRPr="009F2D6F">
        <w:rPr>
          <w:rFonts w:cs="Calibri"/>
          <w:snapToGrid/>
          <w:szCs w:val="24"/>
          <w:lang w:val="en-US" w:eastAsia="en-AU"/>
        </w:rPr>
        <w:t xml:space="preserve">inappropriate </w:t>
      </w:r>
      <w:r w:rsidR="00240A25" w:rsidRPr="009F2D6F">
        <w:rPr>
          <w:rFonts w:cs="Calibri"/>
          <w:snapToGrid/>
          <w:szCs w:val="24"/>
          <w:lang w:val="en-US" w:eastAsia="en-AU"/>
        </w:rPr>
        <w:t>and</w:t>
      </w:r>
      <w:r w:rsidR="00A963BF" w:rsidRPr="009F2D6F">
        <w:rPr>
          <w:rFonts w:cs="Calibri"/>
          <w:snapToGrid/>
          <w:szCs w:val="24"/>
          <w:lang w:val="en-US" w:eastAsia="en-AU"/>
        </w:rPr>
        <w:t xml:space="preserve"> noted that it</w:t>
      </w:r>
      <w:r w:rsidR="00240A25" w:rsidRPr="009F2D6F">
        <w:rPr>
          <w:rFonts w:cs="Calibri"/>
          <w:snapToGrid/>
          <w:szCs w:val="24"/>
          <w:lang w:val="en-US" w:eastAsia="en-AU"/>
        </w:rPr>
        <w:t xml:space="preserve"> </w:t>
      </w:r>
      <w:r w:rsidR="00D745AD" w:rsidRPr="009F2D6F">
        <w:rPr>
          <w:rFonts w:cs="Calibri"/>
          <w:iCs/>
          <w:snapToGrid/>
          <w:szCs w:val="24"/>
          <w:lang w:val="en-US" w:eastAsia="en-AU"/>
        </w:rPr>
        <w:t xml:space="preserve">had a substantial impact on the </w:t>
      </w:r>
      <w:r w:rsidR="00B77586" w:rsidRPr="009F2D6F">
        <w:rPr>
          <w:rFonts w:cs="Calibri"/>
          <w:iCs/>
          <w:snapToGrid/>
          <w:szCs w:val="24"/>
          <w:lang w:val="en-US" w:eastAsia="en-AU"/>
        </w:rPr>
        <w:t xml:space="preserve">individual </w:t>
      </w:r>
      <w:r w:rsidR="00D745AD" w:rsidRPr="009F2D6F">
        <w:rPr>
          <w:rFonts w:cs="Calibri"/>
          <w:iCs/>
          <w:snapToGrid/>
          <w:szCs w:val="24"/>
          <w:lang w:val="en-US" w:eastAsia="en-AU"/>
        </w:rPr>
        <w:t>ICER</w:t>
      </w:r>
      <w:r w:rsidR="00B77586" w:rsidRPr="009F2D6F">
        <w:rPr>
          <w:rFonts w:cs="Calibri"/>
          <w:iCs/>
          <w:snapToGrid/>
          <w:szCs w:val="24"/>
          <w:lang w:val="en-US" w:eastAsia="en-AU"/>
        </w:rPr>
        <w:t>s</w:t>
      </w:r>
      <w:r w:rsidR="00D745AD" w:rsidRPr="009F2D6F">
        <w:rPr>
          <w:rFonts w:cs="Calibri"/>
          <w:iCs/>
          <w:snapToGrid/>
          <w:szCs w:val="24"/>
          <w:lang w:val="en-US" w:eastAsia="en-AU"/>
        </w:rPr>
        <w:t>.</w:t>
      </w:r>
    </w:p>
    <w:p w:rsidR="00275C5A" w:rsidRPr="009F2D6F" w:rsidRDefault="00755D85" w:rsidP="00077582">
      <w:pPr>
        <w:pStyle w:val="Caption"/>
        <w:keepNext/>
        <w:widowControl/>
        <w:spacing w:after="0"/>
        <w:rPr>
          <w:rFonts w:ascii="Arial Narrow" w:hAnsi="Arial Narrow"/>
          <w:color w:val="auto"/>
          <w:sz w:val="20"/>
          <w:szCs w:val="20"/>
        </w:rPr>
      </w:pPr>
      <w:bookmarkStart w:id="24" w:name="_Ref18684446"/>
      <w:r w:rsidRPr="009F2D6F">
        <w:rPr>
          <w:rFonts w:ascii="Arial Narrow" w:hAnsi="Arial Narrow"/>
          <w:color w:val="auto"/>
          <w:sz w:val="20"/>
          <w:szCs w:val="20"/>
        </w:rPr>
        <w:lastRenderedPageBreak/>
        <w:t xml:space="preserve">Table </w:t>
      </w:r>
      <w:r w:rsidR="00654F36">
        <w:rPr>
          <w:rFonts w:ascii="Arial Narrow" w:hAnsi="Arial Narrow"/>
          <w:noProof/>
          <w:color w:val="auto"/>
          <w:sz w:val="20"/>
          <w:szCs w:val="20"/>
        </w:rPr>
        <w:t>9</w:t>
      </w:r>
      <w:bookmarkEnd w:id="24"/>
      <w:r w:rsidRPr="009F2D6F">
        <w:rPr>
          <w:rFonts w:ascii="Arial Narrow" w:hAnsi="Arial Narrow"/>
          <w:color w:val="auto"/>
          <w:sz w:val="20"/>
          <w:szCs w:val="20"/>
        </w:rPr>
        <w:t xml:space="preserve">: </w:t>
      </w:r>
      <w:r w:rsidR="00275C5A" w:rsidRPr="009F2D6F">
        <w:rPr>
          <w:rFonts w:ascii="Arial Narrow" w:hAnsi="Arial Narrow"/>
          <w:color w:val="auto"/>
          <w:sz w:val="20"/>
          <w:szCs w:val="20"/>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9F2D6F" w:rsidTr="00486746">
        <w:trPr>
          <w:tblHeader/>
        </w:trPr>
        <w:tc>
          <w:tcPr>
            <w:tcW w:w="1396" w:type="pct"/>
            <w:shd w:val="clear" w:color="auto" w:fill="auto"/>
            <w:vAlign w:val="center"/>
          </w:tcPr>
          <w:p w:rsidR="00275C5A" w:rsidRPr="009F2D6F" w:rsidRDefault="00275C5A" w:rsidP="00077582">
            <w:pPr>
              <w:pStyle w:val="Caption"/>
              <w:keepNext/>
              <w:widowControl/>
              <w:spacing w:after="0"/>
              <w:rPr>
                <w:rFonts w:ascii="Arial Narrow" w:hAnsi="Arial Narrow"/>
                <w:color w:val="auto"/>
                <w:sz w:val="20"/>
                <w:szCs w:val="20"/>
              </w:rPr>
            </w:pPr>
            <w:r w:rsidRPr="009F2D6F">
              <w:rPr>
                <w:rFonts w:ascii="Arial Narrow" w:hAnsi="Arial Narrow"/>
                <w:color w:val="auto"/>
                <w:sz w:val="20"/>
                <w:szCs w:val="20"/>
              </w:rPr>
              <w:t>Component</w:t>
            </w:r>
          </w:p>
        </w:tc>
        <w:tc>
          <w:tcPr>
            <w:tcW w:w="3604" w:type="pct"/>
            <w:shd w:val="clear" w:color="auto" w:fill="auto"/>
            <w:vAlign w:val="center"/>
          </w:tcPr>
          <w:p w:rsidR="00275C5A" w:rsidRPr="009F2D6F" w:rsidRDefault="00275C5A" w:rsidP="00077582">
            <w:pPr>
              <w:pStyle w:val="Caption"/>
              <w:keepNext/>
              <w:widowControl/>
              <w:spacing w:after="0"/>
              <w:jc w:val="center"/>
              <w:rPr>
                <w:rFonts w:ascii="Arial Narrow" w:hAnsi="Arial Narrow"/>
                <w:color w:val="auto"/>
                <w:sz w:val="20"/>
                <w:szCs w:val="20"/>
              </w:rPr>
            </w:pPr>
            <w:r w:rsidRPr="009F2D6F">
              <w:rPr>
                <w:rFonts w:ascii="Arial Narrow" w:hAnsi="Arial Narrow"/>
                <w:color w:val="auto"/>
                <w:sz w:val="20"/>
                <w:szCs w:val="20"/>
              </w:rPr>
              <w:t>Summary</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Time horizon</w:t>
            </w:r>
          </w:p>
        </w:tc>
        <w:tc>
          <w:tcPr>
            <w:tcW w:w="3604" w:type="pct"/>
            <w:shd w:val="clear" w:color="auto" w:fill="auto"/>
            <w:vAlign w:val="center"/>
          </w:tcPr>
          <w:p w:rsidR="00275C5A" w:rsidRPr="009F2D6F" w:rsidRDefault="001C06B1" w:rsidP="00077582">
            <w:pPr>
              <w:pStyle w:val="Tabletext"/>
              <w:keepNext/>
            </w:pPr>
            <w:r w:rsidRPr="009F2D6F">
              <w:t xml:space="preserve">30 years in the model </w:t>
            </w:r>
            <w:r w:rsidR="00EC4A70" w:rsidRPr="009F2D6F">
              <w:t>base case</w:t>
            </w:r>
            <w:r w:rsidRPr="009F2D6F">
              <w:t xml:space="preserve"> vs. 3 years in EXPAND</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Outcomes</w:t>
            </w:r>
          </w:p>
        </w:tc>
        <w:tc>
          <w:tcPr>
            <w:tcW w:w="3604" w:type="pct"/>
            <w:shd w:val="clear" w:color="auto" w:fill="auto"/>
            <w:vAlign w:val="center"/>
          </w:tcPr>
          <w:p w:rsidR="00275C5A" w:rsidRPr="009F2D6F" w:rsidRDefault="001C06B1" w:rsidP="00077582">
            <w:pPr>
              <w:pStyle w:val="Tabletext"/>
              <w:keepNext/>
            </w:pPr>
            <w:r w:rsidRPr="009F2D6F">
              <w:t>Quality-adjusted life-years (QALYs)</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Methods used to generate results</w:t>
            </w:r>
          </w:p>
        </w:tc>
        <w:tc>
          <w:tcPr>
            <w:tcW w:w="3604" w:type="pct"/>
            <w:shd w:val="clear" w:color="auto" w:fill="auto"/>
            <w:vAlign w:val="center"/>
          </w:tcPr>
          <w:p w:rsidR="00275C5A" w:rsidRPr="009F2D6F" w:rsidRDefault="001C06B1" w:rsidP="00077582">
            <w:pPr>
              <w:pStyle w:val="Tabletext"/>
              <w:keepNext/>
            </w:pPr>
            <w:r w:rsidRPr="009F2D6F">
              <w:t>Markov cohort expected value analysis</w:t>
            </w:r>
            <w:r w:rsidRPr="009F2D6F" w:rsidDel="001C06B1">
              <w:t xml:space="preserve"> </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Health states</w:t>
            </w:r>
          </w:p>
        </w:tc>
        <w:tc>
          <w:tcPr>
            <w:tcW w:w="3604" w:type="pct"/>
            <w:shd w:val="clear" w:color="auto" w:fill="auto"/>
            <w:vAlign w:val="center"/>
          </w:tcPr>
          <w:p w:rsidR="00275C5A" w:rsidRPr="009F2D6F" w:rsidRDefault="001C06B1" w:rsidP="00077582">
            <w:pPr>
              <w:pStyle w:val="Tabletext"/>
              <w:keepNext/>
            </w:pPr>
            <w:r w:rsidRPr="009F2D6F">
              <w:t xml:space="preserve">18 </w:t>
            </w:r>
            <w:r w:rsidR="00C43889" w:rsidRPr="009F2D6F">
              <w:t>Expanded Disability Status Scale (</w:t>
            </w:r>
            <w:r w:rsidRPr="009F2D6F">
              <w:t>EDSS</w:t>
            </w:r>
            <w:r w:rsidR="00C43889" w:rsidRPr="009F2D6F">
              <w:t>)</w:t>
            </w:r>
            <w:r w:rsidRPr="009F2D6F">
              <w:t xml:space="preserve">-based health states (EDSS 1-9 for patients on treatment with </w:t>
            </w:r>
            <w:proofErr w:type="spellStart"/>
            <w:r w:rsidRPr="009F2D6F">
              <w:t>siponimod</w:t>
            </w:r>
            <w:proofErr w:type="spellEnd"/>
            <w:r w:rsidRPr="009F2D6F">
              <w:t xml:space="preserve"> or the comparator and EDSS 1-9 for patients who have discontinued treatment and are being managed by best supportive care) and a dead state</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Cycle length</w:t>
            </w:r>
          </w:p>
        </w:tc>
        <w:tc>
          <w:tcPr>
            <w:tcW w:w="3604" w:type="pct"/>
            <w:shd w:val="clear" w:color="auto" w:fill="auto"/>
            <w:vAlign w:val="center"/>
          </w:tcPr>
          <w:p w:rsidR="00275C5A" w:rsidRPr="009F2D6F" w:rsidRDefault="00CE6F51" w:rsidP="00077582">
            <w:pPr>
              <w:pStyle w:val="Tabletext"/>
              <w:keepNext/>
            </w:pPr>
            <w:r w:rsidRPr="009F2D6F">
              <w:t>1 year</w:t>
            </w:r>
          </w:p>
        </w:tc>
      </w:tr>
      <w:tr w:rsidR="00275C5A" w:rsidRPr="009F2D6F" w:rsidTr="00486746">
        <w:tc>
          <w:tcPr>
            <w:tcW w:w="1396" w:type="pct"/>
            <w:shd w:val="clear" w:color="auto" w:fill="auto"/>
            <w:vAlign w:val="center"/>
          </w:tcPr>
          <w:p w:rsidR="00275C5A" w:rsidRPr="009F2D6F" w:rsidRDefault="00275C5A" w:rsidP="00077582">
            <w:pPr>
              <w:pStyle w:val="Tabletext"/>
              <w:keepNext/>
            </w:pPr>
            <w:r w:rsidRPr="009F2D6F">
              <w:t>Transition probabilities</w:t>
            </w:r>
          </w:p>
        </w:tc>
        <w:tc>
          <w:tcPr>
            <w:tcW w:w="3604" w:type="pct"/>
            <w:shd w:val="clear" w:color="auto" w:fill="auto"/>
            <w:vAlign w:val="center"/>
          </w:tcPr>
          <w:p w:rsidR="00275C5A" w:rsidRPr="009F2D6F" w:rsidRDefault="00CE6F51" w:rsidP="00077582">
            <w:pPr>
              <w:pStyle w:val="Tabletext"/>
              <w:keepNext/>
            </w:pPr>
            <w:r w:rsidRPr="009F2D6F">
              <w:t xml:space="preserve">Trial based (EXPAND) supplemented with </w:t>
            </w:r>
            <w:proofErr w:type="spellStart"/>
            <w:r w:rsidRPr="009F2D6F">
              <w:t>MSBase</w:t>
            </w:r>
            <w:proofErr w:type="spellEnd"/>
            <w:r w:rsidRPr="009F2D6F">
              <w:t xml:space="preserve"> registry (</w:t>
            </w:r>
            <w:proofErr w:type="spellStart"/>
            <w:r w:rsidRPr="009F2D6F">
              <w:t>Lorscheider</w:t>
            </w:r>
            <w:proofErr w:type="spellEnd"/>
            <w:r w:rsidRPr="009F2D6F">
              <w:t xml:space="preserve"> definition – Global set) for EDSS transitions 1-2, 7-8, 8-9, 2-1, 8-7 and 9-8.</w:t>
            </w:r>
          </w:p>
        </w:tc>
      </w:tr>
    </w:tbl>
    <w:p w:rsidR="003270E4" w:rsidRPr="009F2D6F" w:rsidRDefault="003270E4" w:rsidP="00077582">
      <w:pPr>
        <w:pStyle w:val="TableFooter"/>
        <w:keepNext/>
        <w:widowControl/>
      </w:pPr>
      <w:r w:rsidRPr="009F2D6F">
        <w:t>Source:</w:t>
      </w:r>
      <w:r w:rsidR="00CE6F51" w:rsidRPr="009F2D6F">
        <w:t xml:space="preserve"> Table 3.2 (pg. 187) of the submission</w:t>
      </w:r>
      <w:r w:rsidR="00CE6F51" w:rsidRPr="009F2D6F" w:rsidDel="00CE6F51">
        <w:t xml:space="preserve"> </w:t>
      </w:r>
    </w:p>
    <w:p w:rsidR="00275C5A" w:rsidRPr="009F2D6F" w:rsidRDefault="00275C5A" w:rsidP="00077582">
      <w:pPr>
        <w:keepNext/>
        <w:widowControl/>
      </w:pPr>
    </w:p>
    <w:p w:rsidR="00951F92" w:rsidRPr="009F2D6F" w:rsidRDefault="00951F92" w:rsidP="00077582">
      <w:pPr>
        <w:pStyle w:val="ListParagraph"/>
        <w:widowControl/>
        <w:numPr>
          <w:ilvl w:val="1"/>
          <w:numId w:val="2"/>
        </w:numPr>
      </w:pPr>
      <w:r w:rsidRPr="009F2D6F">
        <w:t xml:space="preserve">Both the </w:t>
      </w:r>
      <w:proofErr w:type="spellStart"/>
      <w:r w:rsidRPr="009F2D6F">
        <w:t>siponimod</w:t>
      </w:r>
      <w:proofErr w:type="spellEnd"/>
      <w:r w:rsidRPr="009F2D6F">
        <w:t xml:space="preserve"> and comparator arms (BSC, IFN-beta/GA and </w:t>
      </w:r>
      <w:proofErr w:type="spellStart"/>
      <w:r w:rsidRPr="009F2D6F">
        <w:t>natalizumab</w:t>
      </w:r>
      <w:proofErr w:type="spellEnd"/>
      <w:r w:rsidRPr="009F2D6F">
        <w:t>) of the model were identically structured, with the same health states, transitions (but not</w:t>
      </w:r>
      <w:r w:rsidR="004B1BE6" w:rsidRPr="009F2D6F">
        <w:t xml:space="preserve"> transition</w:t>
      </w:r>
      <w:r w:rsidRPr="009F2D6F">
        <w:t xml:space="preserve"> probabilities) and health state events. The model included two-lines of treatment. In the </w:t>
      </w:r>
      <w:proofErr w:type="spellStart"/>
      <w:r w:rsidRPr="009F2D6F">
        <w:t>siponimod</w:t>
      </w:r>
      <w:proofErr w:type="spellEnd"/>
      <w:r w:rsidRPr="009F2D6F">
        <w:t xml:space="preserve"> arm, </w:t>
      </w:r>
      <w:proofErr w:type="spellStart"/>
      <w:r w:rsidRPr="009F2D6F">
        <w:t>siponimod</w:t>
      </w:r>
      <w:proofErr w:type="spellEnd"/>
      <w:r w:rsidR="002119E2" w:rsidRPr="009F2D6F">
        <w:t xml:space="preserve"> and</w:t>
      </w:r>
      <w:r w:rsidRPr="009F2D6F">
        <w:t xml:space="preserve"> BSC</w:t>
      </w:r>
      <w:r w:rsidR="002119E2" w:rsidRPr="009F2D6F">
        <w:t>;</w:t>
      </w:r>
      <w:r w:rsidRPr="009F2D6F">
        <w:t xml:space="preserve"> </w:t>
      </w:r>
      <w:r w:rsidR="002119E2" w:rsidRPr="009F2D6F">
        <w:t xml:space="preserve">and in the comparator arms, BSC, </w:t>
      </w:r>
      <w:r w:rsidRPr="009F2D6F">
        <w:t xml:space="preserve">IFN-beta/GA or </w:t>
      </w:r>
      <w:proofErr w:type="spellStart"/>
      <w:r w:rsidRPr="009F2D6F">
        <w:t>natalizumab</w:t>
      </w:r>
      <w:proofErr w:type="spellEnd"/>
      <w:r w:rsidRPr="009F2D6F">
        <w:t xml:space="preserve"> as first-line treatment and BSC (placebo) as second-line treatment for those who discontinued first-line treatment. </w:t>
      </w:r>
    </w:p>
    <w:p w:rsidR="004E711B" w:rsidRPr="009F2D6F" w:rsidRDefault="00951F92" w:rsidP="00077582">
      <w:pPr>
        <w:pStyle w:val="ListParagraph"/>
        <w:widowControl/>
        <w:numPr>
          <w:ilvl w:val="1"/>
          <w:numId w:val="2"/>
        </w:numPr>
      </w:pPr>
      <w:r w:rsidRPr="009F2D6F">
        <w:t>Within each treatment arm, a patient could be in one of 19 different health states (9</w:t>
      </w:r>
      <w:r w:rsidR="00034089" w:rsidRPr="009F2D6F">
        <w:t> </w:t>
      </w:r>
      <w:r w:rsidRPr="009F2D6F">
        <w:t xml:space="preserve">health states for </w:t>
      </w:r>
      <w:r w:rsidR="00C43889" w:rsidRPr="009F2D6F">
        <w:t>Expanded Disability Status Scale (</w:t>
      </w:r>
      <w:r w:rsidRPr="009F2D6F">
        <w:t>EDSS</w:t>
      </w:r>
      <w:r w:rsidR="00C43889" w:rsidRPr="009F2D6F">
        <w:t>)</w:t>
      </w:r>
      <w:r w:rsidRPr="009F2D6F">
        <w:t xml:space="preserve"> scores 1-9 on-treatment</w:t>
      </w:r>
      <w:r w:rsidR="0068485F" w:rsidRPr="009F2D6F">
        <w:t xml:space="preserve"> </w:t>
      </w:r>
      <w:r w:rsidR="004E711B" w:rsidRPr="009F2D6F">
        <w:t>or</w:t>
      </w:r>
      <w:r w:rsidRPr="009F2D6F">
        <w:t xml:space="preserve"> off-treatment, and 1 death state). </w:t>
      </w:r>
      <w:r w:rsidR="00D12CEE" w:rsidRPr="009F2D6F">
        <w:t>Patients were allowed to be on-treatment regardless of EDSS health state, which was unlikely for the most severe EDSS state (EDSS 9), given the proposed PBS continuation criterion of “</w:t>
      </w:r>
      <w:r w:rsidR="0051608C" w:rsidRPr="009F2D6F">
        <w:t>Patient must not show continuing progression of disability that is sustained for at least 6 months while on treatment with this drug”.</w:t>
      </w:r>
    </w:p>
    <w:p w:rsidR="00B422BC" w:rsidRPr="009F2D6F" w:rsidRDefault="00B422BC" w:rsidP="00077582">
      <w:pPr>
        <w:pStyle w:val="ListParagraph"/>
        <w:widowControl/>
        <w:numPr>
          <w:ilvl w:val="1"/>
          <w:numId w:val="2"/>
        </w:numPr>
      </w:pPr>
      <w:r w:rsidRPr="009F2D6F">
        <w:t xml:space="preserve">The model allowed patients to regress to lower EDSS score health states. As such, the model allowed patients with SPMS to improve to an EDSS score of 1 and 2. In EXPAND, 99.5% of patients </w:t>
      </w:r>
      <w:r w:rsidR="00697570" w:rsidRPr="009F2D6F">
        <w:t xml:space="preserve">had </w:t>
      </w:r>
      <w:r w:rsidRPr="009F2D6F">
        <w:t xml:space="preserve">a baseline EDSS of 3 or greater and </w:t>
      </w:r>
      <w:r w:rsidR="00E637CC">
        <w:t xml:space="preserve">the evaluation considered </w:t>
      </w:r>
      <w:r w:rsidRPr="009F2D6F">
        <w:t xml:space="preserve">it is implausible that they would improve to an EDSS 1 health state given their diagnosis of SPMS. Furthermore, the inclusion of EDSS 1 and 2 health states in the model, coupled with the ability for patients to improve, meant that in the final model cycle (i.e. year 30) 2.2% of </w:t>
      </w:r>
      <w:proofErr w:type="spellStart"/>
      <w:r w:rsidRPr="009F2D6F">
        <w:t>siponimod</w:t>
      </w:r>
      <w:proofErr w:type="spellEnd"/>
      <w:r w:rsidRPr="009F2D6F">
        <w:t xml:space="preserve"> patients and 0.9% of BSC patients were in an EDSS 1 or 2 health state</w:t>
      </w:r>
      <w:r w:rsidR="00697570" w:rsidRPr="009F2D6F">
        <w:t>,</w:t>
      </w:r>
      <w:r w:rsidRPr="009F2D6F">
        <w:t xml:space="preserve"> which </w:t>
      </w:r>
      <w:r w:rsidR="00E637CC">
        <w:t xml:space="preserve">the evaluation considered </w:t>
      </w:r>
      <w:r w:rsidR="00F4209D" w:rsidRPr="009F2D6F">
        <w:t>did</w:t>
      </w:r>
      <w:r w:rsidRPr="009F2D6F">
        <w:t xml:space="preserve"> not </w:t>
      </w:r>
      <w:r w:rsidR="00697570" w:rsidRPr="009F2D6F">
        <w:t>seem compatible with a diagnosis of SPMS</w:t>
      </w:r>
      <w:r w:rsidRPr="009F2D6F">
        <w:t>.</w:t>
      </w:r>
    </w:p>
    <w:p w:rsidR="009253F9" w:rsidRPr="009F2D6F" w:rsidRDefault="00BE7BF4" w:rsidP="00077582">
      <w:pPr>
        <w:pStyle w:val="ListParagraph"/>
        <w:widowControl/>
        <w:numPr>
          <w:ilvl w:val="1"/>
          <w:numId w:val="2"/>
        </w:numPr>
      </w:pPr>
      <w:r w:rsidRPr="009F2D6F">
        <w:t xml:space="preserve">Transitions between EDSS health states for the comparator (placebo, IFN-beta/GA or </w:t>
      </w:r>
      <w:proofErr w:type="spellStart"/>
      <w:r w:rsidRPr="009F2D6F">
        <w:t>natalizumab</w:t>
      </w:r>
      <w:proofErr w:type="spellEnd"/>
      <w:r w:rsidRPr="009F2D6F">
        <w:t xml:space="preserve">) were based on the EXPAND placebo-arm data, supplemented by </w:t>
      </w:r>
      <w:proofErr w:type="spellStart"/>
      <w:r w:rsidRPr="009F2D6F">
        <w:t>MSBase</w:t>
      </w:r>
      <w:proofErr w:type="spellEnd"/>
      <w:r w:rsidRPr="009F2D6F">
        <w:t xml:space="preserve"> Registry data for EDSS transitions using the </w:t>
      </w:r>
      <w:proofErr w:type="spellStart"/>
      <w:r w:rsidRPr="009F2D6F">
        <w:t>Lorscheider</w:t>
      </w:r>
      <w:proofErr w:type="spellEnd"/>
      <w:r w:rsidRPr="009F2D6F">
        <w:t xml:space="preserve"> 2016 Global set definitions for SPMS missing in EXPAND. A relative risk reduction (RRR; 26% for 6-month CDP) was applied to these to inform </w:t>
      </w:r>
      <w:proofErr w:type="spellStart"/>
      <w:r w:rsidRPr="009F2D6F">
        <w:t>siponimod</w:t>
      </w:r>
      <w:proofErr w:type="spellEnd"/>
      <w:r w:rsidRPr="009F2D6F">
        <w:t xml:space="preserve"> transitions</w:t>
      </w:r>
      <w:r w:rsidR="00B44DC9" w:rsidRPr="009F2D6F">
        <w:t>, regardless of EDSS state or treatment duration</w:t>
      </w:r>
      <w:r w:rsidRPr="009F2D6F">
        <w:t>.</w:t>
      </w:r>
      <w:r w:rsidR="00D745AD" w:rsidRPr="009F2D6F">
        <w:t xml:space="preserve"> </w:t>
      </w:r>
      <w:r w:rsidRPr="009F2D6F">
        <w:t>No relative risk reductions were applied to the active comparators as the submission assumed the RRMS DMTs were equivalent to placebo for 6-month CDP</w:t>
      </w:r>
      <w:r w:rsidR="00951F92" w:rsidRPr="009F2D6F">
        <w:t xml:space="preserve">. </w:t>
      </w:r>
    </w:p>
    <w:p w:rsidR="00951F92" w:rsidRPr="009F2D6F" w:rsidRDefault="00240A25" w:rsidP="00077582">
      <w:pPr>
        <w:pStyle w:val="ListParagraph"/>
        <w:widowControl/>
        <w:numPr>
          <w:ilvl w:val="1"/>
          <w:numId w:val="2"/>
        </w:numPr>
      </w:pPr>
      <w:r w:rsidRPr="009F2D6F">
        <w:lastRenderedPageBreak/>
        <w:t xml:space="preserve">The ESC considered it was inappropriate to assume a </w:t>
      </w:r>
      <w:r w:rsidR="00B2058E" w:rsidRPr="009F2D6F">
        <w:t>constant RRR</w:t>
      </w:r>
      <w:r w:rsidRPr="009F2D6F">
        <w:t xml:space="preserve"> would be sustained over 30 years, </w:t>
      </w:r>
      <w:r w:rsidR="00B44DC9" w:rsidRPr="009F2D6F">
        <w:t xml:space="preserve">noting that EXPAND showed a </w:t>
      </w:r>
      <w:r w:rsidR="00157F08">
        <w:t xml:space="preserve">statistically significant </w:t>
      </w:r>
      <w:proofErr w:type="spellStart"/>
      <w:r w:rsidR="00B44DC9" w:rsidRPr="009F2D6F">
        <w:t>QoL</w:t>
      </w:r>
      <w:proofErr w:type="spellEnd"/>
      <w:r w:rsidR="00B44DC9" w:rsidRPr="009F2D6F">
        <w:t xml:space="preserve"> improvement for </w:t>
      </w:r>
      <w:proofErr w:type="spellStart"/>
      <w:r w:rsidR="00B44DC9" w:rsidRPr="009F2D6F">
        <w:t>siponimod</w:t>
      </w:r>
      <w:proofErr w:type="spellEnd"/>
      <w:r w:rsidR="00B44DC9" w:rsidRPr="009F2D6F">
        <w:t xml:space="preserve"> lasting less than 2 years. H</w:t>
      </w:r>
      <w:r w:rsidRPr="009F2D6F">
        <w:t>owever</w:t>
      </w:r>
      <w:r w:rsidR="00B44DC9" w:rsidRPr="009F2D6F">
        <w:t>,</w:t>
      </w:r>
      <w:r w:rsidRPr="009F2D6F">
        <w:t xml:space="preserve"> no data upon which to estimate a decline in treatment effect over time for the model was available. </w:t>
      </w:r>
      <w:r w:rsidR="00B44DC9" w:rsidRPr="009F2D6F">
        <w:t xml:space="preserve">The </w:t>
      </w:r>
      <w:r w:rsidRPr="009F2D6F">
        <w:t>ESC considered th</w:t>
      </w:r>
      <w:r w:rsidR="001D6D48" w:rsidRPr="009F2D6F">
        <w:t xml:space="preserve">is </w:t>
      </w:r>
      <w:r w:rsidRPr="009F2D6F">
        <w:t xml:space="preserve">assumption in the model overestimated the health effects of </w:t>
      </w:r>
      <w:proofErr w:type="spellStart"/>
      <w:r w:rsidRPr="009F2D6F">
        <w:t>siponimod</w:t>
      </w:r>
      <w:proofErr w:type="spellEnd"/>
      <w:r w:rsidRPr="009F2D6F">
        <w:t xml:space="preserve"> over the 30 year time horizon.</w:t>
      </w:r>
      <w:r w:rsidR="00B44DC9" w:rsidRPr="009F2D6F">
        <w:t xml:space="preserve"> Moreover, during this time period, RRMS DMTs attract</w:t>
      </w:r>
      <w:r w:rsidR="001D6D48" w:rsidRPr="009F2D6F">
        <w:t>ed</w:t>
      </w:r>
      <w:r w:rsidR="00B44DC9" w:rsidRPr="009F2D6F">
        <w:t xml:space="preserve"> no health gain</w:t>
      </w:r>
      <w:r w:rsidR="00A1337C" w:rsidRPr="009F2D6F">
        <w:t xml:space="preserve"> but</w:t>
      </w:r>
      <w:r w:rsidR="00B44DC9" w:rsidRPr="009F2D6F">
        <w:t xml:space="preserve"> a disutility, resulting in a </w:t>
      </w:r>
      <w:r w:rsidR="00B77586" w:rsidRPr="009F2D6F">
        <w:t xml:space="preserve">substantially </w:t>
      </w:r>
      <w:r w:rsidR="00B44DC9" w:rsidRPr="009F2D6F">
        <w:t>larger</w:t>
      </w:r>
      <w:r w:rsidR="00B77586" w:rsidRPr="009F2D6F">
        <w:t xml:space="preserve"> (almost double)</w:t>
      </w:r>
      <w:r w:rsidR="00B44DC9" w:rsidRPr="009F2D6F">
        <w:t xml:space="preserve"> incremental difference in QALYs for </w:t>
      </w:r>
      <w:proofErr w:type="spellStart"/>
      <w:r w:rsidR="00B44DC9" w:rsidRPr="009F2D6F">
        <w:t>siponimod</w:t>
      </w:r>
      <w:proofErr w:type="spellEnd"/>
      <w:r w:rsidR="00B44DC9" w:rsidRPr="009F2D6F">
        <w:t xml:space="preserve"> versus IFN-beta/GA and </w:t>
      </w:r>
      <w:proofErr w:type="spellStart"/>
      <w:r w:rsidR="00B44DC9" w:rsidRPr="009F2D6F">
        <w:t>natalizumab</w:t>
      </w:r>
      <w:proofErr w:type="spellEnd"/>
      <w:r w:rsidR="00B44DC9" w:rsidRPr="009F2D6F">
        <w:t xml:space="preserve"> compared with versus placebo. </w:t>
      </w:r>
      <w:r w:rsidR="00E637CC">
        <w:t>T</w:t>
      </w:r>
      <w:r w:rsidR="00B77586" w:rsidRPr="009F2D6F">
        <w:t>he ESC considered i</w:t>
      </w:r>
      <w:r w:rsidR="00B44DC9" w:rsidRPr="009F2D6F">
        <w:t>t was implausible that clinicians would continue therapy with DMTs with no assumed clinical benefit in terms of disease progression, which have negative impacts on quality of life.</w:t>
      </w:r>
    </w:p>
    <w:p w:rsidR="00BE7BF4" w:rsidRPr="009F2D6F" w:rsidRDefault="00BE7BF4" w:rsidP="00077582">
      <w:pPr>
        <w:pStyle w:val="ListParagraph"/>
        <w:widowControl/>
        <w:numPr>
          <w:ilvl w:val="1"/>
          <w:numId w:val="2"/>
        </w:numPr>
      </w:pPr>
      <w:r w:rsidRPr="009F2D6F">
        <w:t xml:space="preserve">In each cycle patients may have a relapse. The structure of the model reasonably allowed patients to experience only one relapse per annual cycle. The relapse event did not impact subsequent transition probabilities between EDSS health states, but was associated with additional cost and disutility. </w:t>
      </w:r>
    </w:p>
    <w:p w:rsidR="00534C67" w:rsidRPr="009F2D6F" w:rsidRDefault="00534C67" w:rsidP="00077582">
      <w:pPr>
        <w:pStyle w:val="ListParagraph"/>
        <w:widowControl/>
        <w:numPr>
          <w:ilvl w:val="1"/>
          <w:numId w:val="2"/>
        </w:numPr>
      </w:pPr>
      <w:r w:rsidRPr="009F2D6F">
        <w:t xml:space="preserve">The ESC noted that the cycle length was 1 year, and considered that </w:t>
      </w:r>
      <w:r w:rsidR="001D6D48" w:rsidRPr="009F2D6F">
        <w:t xml:space="preserve">a </w:t>
      </w:r>
      <w:r w:rsidRPr="009F2D6F">
        <w:t xml:space="preserve">6 month cycle length may have been more appropriate given the requested PBS restriction for continuing therapy requires patients to cease </w:t>
      </w:r>
      <w:proofErr w:type="spellStart"/>
      <w:r w:rsidRPr="009F2D6F">
        <w:t>siponimod</w:t>
      </w:r>
      <w:proofErr w:type="spellEnd"/>
      <w:r w:rsidRPr="009F2D6F">
        <w:t xml:space="preserve"> when disability progression is sustained for 6 months. This would also have aligned with the 6-month CDP outcome in EXPAND.</w:t>
      </w:r>
    </w:p>
    <w:p w:rsidR="00BE7BF4" w:rsidRPr="009F2D6F" w:rsidRDefault="00BE7BF4" w:rsidP="00077582">
      <w:pPr>
        <w:pStyle w:val="ListParagraph"/>
        <w:widowControl/>
        <w:numPr>
          <w:ilvl w:val="1"/>
          <w:numId w:val="2"/>
        </w:numPr>
      </w:pPr>
      <w:r w:rsidRPr="009F2D6F">
        <w:t>A constant risk of relapse (regardless of EDSS health state) of 0.189 (PP ARR for placebo patients in EXPAND) was applied throughout the model. T</w:t>
      </w:r>
      <w:r w:rsidR="00E637CC">
        <w:t>he evaluation considered t</w:t>
      </w:r>
      <w:r w:rsidRPr="009F2D6F">
        <w:t xml:space="preserve">his </w:t>
      </w:r>
      <w:r w:rsidR="00FF653E" w:rsidRPr="009F2D6F">
        <w:t>was not an</w:t>
      </w:r>
      <w:r w:rsidRPr="009F2D6F">
        <w:t xml:space="preserve"> appropriate assumption given the low sample sizes associated with the lower and higher EDSS health states captured in EXPAND, and given that relapses become less frequent and less pronounced as SPMS disability progresses. Relative risks were applied to the </w:t>
      </w:r>
      <w:proofErr w:type="spellStart"/>
      <w:r w:rsidRPr="009F2D6F">
        <w:t>siponimod</w:t>
      </w:r>
      <w:proofErr w:type="spellEnd"/>
      <w:r w:rsidRPr="009F2D6F">
        <w:t xml:space="preserve"> arm of the model </w:t>
      </w:r>
      <w:r w:rsidR="000C1DD9">
        <w:t xml:space="preserve">which resulted in a </w:t>
      </w:r>
      <w:r w:rsidRPr="009F2D6F">
        <w:t>reduc</w:t>
      </w:r>
      <w:r w:rsidR="000C1DD9">
        <w:t>tion in the risk of</w:t>
      </w:r>
      <w:r w:rsidRPr="009F2D6F">
        <w:t xml:space="preserve"> relapse.</w:t>
      </w:r>
    </w:p>
    <w:p w:rsidR="00D745AD" w:rsidRPr="009F2D6F" w:rsidRDefault="00BE7BF4" w:rsidP="00077582">
      <w:pPr>
        <w:pStyle w:val="ListParagraph"/>
        <w:widowControl/>
        <w:numPr>
          <w:ilvl w:val="1"/>
          <w:numId w:val="2"/>
        </w:numPr>
      </w:pPr>
      <w:r w:rsidRPr="009F2D6F">
        <w:t xml:space="preserve">Decreasing utilities with increasing EDSS score health states were applied (EDSS 8 and 9 health states had utilities representative of ‘worse than death’). Disutilities were also applied to relapses, use of DMTs and </w:t>
      </w:r>
      <w:r w:rsidR="001D6D48" w:rsidRPr="009F2D6F">
        <w:rPr>
          <w:lang w:val="en"/>
        </w:rPr>
        <w:t>progressive multifocal leukoencephalopathy (</w:t>
      </w:r>
      <w:r w:rsidRPr="009F2D6F">
        <w:t>PML</w:t>
      </w:r>
      <w:r w:rsidR="001D6D48" w:rsidRPr="009F2D6F">
        <w:t>)</w:t>
      </w:r>
      <w:r w:rsidRPr="009F2D6F">
        <w:t xml:space="preserve"> adverse events.</w:t>
      </w:r>
      <w:r w:rsidR="00D745AD" w:rsidRPr="009F2D6F">
        <w:t xml:space="preserve"> </w:t>
      </w:r>
      <w:r w:rsidR="00D745AD" w:rsidRPr="009F2D6F">
        <w:rPr>
          <w:iCs/>
        </w:rPr>
        <w:t xml:space="preserve">The utilities were </w:t>
      </w:r>
      <w:r w:rsidR="00D745AD" w:rsidRPr="005E0DDB">
        <w:rPr>
          <w:iCs/>
        </w:rPr>
        <w:t>generate</w:t>
      </w:r>
      <w:r w:rsidR="00B527BF" w:rsidRPr="005E0DDB">
        <w:rPr>
          <w:iCs/>
        </w:rPr>
        <w:t>d</w:t>
      </w:r>
      <w:r w:rsidR="00D745AD" w:rsidRPr="005E0DDB">
        <w:rPr>
          <w:iCs/>
        </w:rPr>
        <w:t xml:space="preserve"> from </w:t>
      </w:r>
      <w:r w:rsidR="005E0DDB" w:rsidRPr="005E0DDB">
        <w:rPr>
          <w:iCs/>
        </w:rPr>
        <w:t>BAC-MS</w:t>
      </w:r>
      <w:r w:rsidR="00E51879" w:rsidRPr="005E0DDB">
        <w:rPr>
          <w:iCs/>
        </w:rPr>
        <w:t>,</w:t>
      </w:r>
      <w:r w:rsidR="00D745AD" w:rsidRPr="005E0DDB">
        <w:rPr>
          <w:iCs/>
        </w:rPr>
        <w:t xml:space="preserve"> a </w:t>
      </w:r>
      <w:r w:rsidR="00996420" w:rsidRPr="009F2D6F">
        <w:rPr>
          <w:iCs/>
        </w:rPr>
        <w:t xml:space="preserve">sponsor-driven </w:t>
      </w:r>
      <w:r w:rsidR="00D745AD" w:rsidRPr="009F2D6F">
        <w:rPr>
          <w:iCs/>
        </w:rPr>
        <w:t xml:space="preserve">study conducted on a small number of patients in one </w:t>
      </w:r>
      <w:r w:rsidR="00B527BF" w:rsidRPr="009F2D6F">
        <w:rPr>
          <w:iCs/>
        </w:rPr>
        <w:t>Australian</w:t>
      </w:r>
      <w:r w:rsidR="00D745AD" w:rsidRPr="009F2D6F">
        <w:rPr>
          <w:iCs/>
        </w:rPr>
        <w:t xml:space="preserve"> hospital. The ESC considered that due to the low sample numbers and considerable </w:t>
      </w:r>
      <w:r w:rsidR="009253F9" w:rsidRPr="009F2D6F">
        <w:rPr>
          <w:iCs/>
        </w:rPr>
        <w:t>divergence</w:t>
      </w:r>
      <w:r w:rsidR="00D745AD" w:rsidRPr="009F2D6F">
        <w:rPr>
          <w:iCs/>
        </w:rPr>
        <w:t xml:space="preserve"> from published utility values for EDSS states</w:t>
      </w:r>
      <w:r w:rsidR="000C5748" w:rsidRPr="009F2D6F">
        <w:rPr>
          <w:iCs/>
        </w:rPr>
        <w:t>,</w:t>
      </w:r>
      <w:r w:rsidR="00D745AD" w:rsidRPr="009F2D6F">
        <w:rPr>
          <w:iCs/>
        </w:rPr>
        <w:t xml:space="preserve"> that utility values from the EXPAND trial would be more appropriate to u</w:t>
      </w:r>
      <w:r w:rsidR="00B527BF" w:rsidRPr="009F2D6F">
        <w:rPr>
          <w:iCs/>
        </w:rPr>
        <w:t>se in the model base case</w:t>
      </w:r>
      <w:r w:rsidR="00D745AD" w:rsidRPr="009F2D6F">
        <w:rPr>
          <w:iCs/>
        </w:rPr>
        <w:t>.</w:t>
      </w:r>
      <w:r w:rsidR="00323BFA" w:rsidRPr="009F2D6F">
        <w:rPr>
          <w:iCs/>
        </w:rPr>
        <w:t xml:space="preserve"> </w:t>
      </w:r>
      <w:r w:rsidR="00D7602F">
        <w:rPr>
          <w:iCs/>
        </w:rPr>
        <w:t>The ESC considered i</w:t>
      </w:r>
      <w:r w:rsidR="00323BFA" w:rsidRPr="009F2D6F">
        <w:rPr>
          <w:iCs/>
        </w:rPr>
        <w:t xml:space="preserve">t would also be appropriate to make an assumption to apply the utility value </w:t>
      </w:r>
      <w:r w:rsidR="00323BFA" w:rsidRPr="00B25244">
        <w:rPr>
          <w:iCs/>
        </w:rPr>
        <w:t xml:space="preserve">of </w:t>
      </w:r>
      <w:r w:rsidR="00387A27">
        <w:rPr>
          <w:iCs/>
          <w:noProof/>
          <w:color w:val="000000"/>
          <w:highlight w:val="black"/>
        </w:rPr>
        <w:t>'''''''''''</w:t>
      </w:r>
      <w:r w:rsidR="00323BFA" w:rsidRPr="00B25244">
        <w:rPr>
          <w:iCs/>
        </w:rPr>
        <w:t xml:space="preserve"> for</w:t>
      </w:r>
      <w:r w:rsidR="00323BFA" w:rsidRPr="009F2D6F">
        <w:rPr>
          <w:iCs/>
        </w:rPr>
        <w:t xml:space="preserve"> EDSS 2 to EDSS 1</w:t>
      </w:r>
      <w:r w:rsidR="00D7602F">
        <w:rPr>
          <w:iCs/>
        </w:rPr>
        <w:t>.</w:t>
      </w:r>
    </w:p>
    <w:p w:rsidR="00D953DA" w:rsidRDefault="00BE7BF4" w:rsidP="00077582">
      <w:pPr>
        <w:pStyle w:val="ListParagraph"/>
        <w:widowControl/>
        <w:numPr>
          <w:ilvl w:val="1"/>
          <w:numId w:val="2"/>
        </w:numPr>
        <w:rPr>
          <w:iCs/>
        </w:rPr>
      </w:pPr>
      <w:r w:rsidRPr="009F2D6F">
        <w:t>Increasing costs with increasing EDSS score health states were applied</w:t>
      </w:r>
      <w:r w:rsidR="00D745AD" w:rsidRPr="009F2D6F">
        <w:t>. These were derived from the BAC-MS study.</w:t>
      </w:r>
      <w:r w:rsidR="00D745AD" w:rsidRPr="009F2D6F">
        <w:rPr>
          <w:iCs/>
        </w:rPr>
        <w:t xml:space="preserve"> </w:t>
      </w:r>
      <w:r w:rsidR="00A056D6" w:rsidRPr="009F2D6F">
        <w:rPr>
          <w:iCs/>
        </w:rPr>
        <w:t xml:space="preserve">The ESC noted that there was </w:t>
      </w:r>
      <w:r w:rsidR="008824EB" w:rsidRPr="009F2D6F">
        <w:rPr>
          <w:iCs/>
        </w:rPr>
        <w:t>little detail provide</w:t>
      </w:r>
      <w:r w:rsidR="00E637CC">
        <w:rPr>
          <w:iCs/>
        </w:rPr>
        <w:t>d</w:t>
      </w:r>
      <w:r w:rsidR="008824EB" w:rsidRPr="009F2D6F">
        <w:rPr>
          <w:iCs/>
        </w:rPr>
        <w:t xml:space="preserve"> </w:t>
      </w:r>
      <w:r w:rsidR="000C1DD9">
        <w:rPr>
          <w:iCs/>
        </w:rPr>
        <w:t>for</w:t>
      </w:r>
      <w:r w:rsidR="000C1DD9" w:rsidRPr="009F2D6F">
        <w:rPr>
          <w:iCs/>
        </w:rPr>
        <w:t xml:space="preserve"> </w:t>
      </w:r>
      <w:r w:rsidR="008824EB" w:rsidRPr="009F2D6F">
        <w:rPr>
          <w:iCs/>
        </w:rPr>
        <w:t xml:space="preserve">the cost composition </w:t>
      </w:r>
      <w:r w:rsidR="00A056D6" w:rsidRPr="009F2D6F">
        <w:rPr>
          <w:iCs/>
        </w:rPr>
        <w:t xml:space="preserve">(e.g. number of GP visits, number of specialist consults, </w:t>
      </w:r>
      <w:r w:rsidR="008824EB" w:rsidRPr="009F2D6F">
        <w:rPr>
          <w:iCs/>
        </w:rPr>
        <w:t>etc.</w:t>
      </w:r>
      <w:r w:rsidR="00A056D6" w:rsidRPr="009F2D6F">
        <w:rPr>
          <w:iCs/>
        </w:rPr>
        <w:t xml:space="preserve">) </w:t>
      </w:r>
      <w:r w:rsidR="008824EB" w:rsidRPr="009F2D6F">
        <w:rPr>
          <w:iCs/>
        </w:rPr>
        <w:t xml:space="preserve">and it was thus difficult to judge </w:t>
      </w:r>
      <w:r w:rsidR="00A056D6" w:rsidRPr="009F2D6F">
        <w:rPr>
          <w:iCs/>
        </w:rPr>
        <w:t xml:space="preserve">plausibility. </w:t>
      </w:r>
      <w:r w:rsidR="00D953DA">
        <w:rPr>
          <w:iCs/>
        </w:rPr>
        <w:t xml:space="preserve">The PBAC considered it was unclear </w:t>
      </w:r>
      <w:r w:rsidR="00D953DA">
        <w:rPr>
          <w:iCs/>
        </w:rPr>
        <w:lastRenderedPageBreak/>
        <w:t xml:space="preserve">whether the costs associated with monitoring for </w:t>
      </w:r>
      <w:proofErr w:type="spellStart"/>
      <w:r w:rsidR="00D96E37">
        <w:rPr>
          <w:iCs/>
        </w:rPr>
        <w:t>bradyarrhythmia</w:t>
      </w:r>
      <w:proofErr w:type="spellEnd"/>
      <w:r w:rsidR="00C07302">
        <w:rPr>
          <w:iCs/>
        </w:rPr>
        <w:t xml:space="preserve"> during </w:t>
      </w:r>
      <w:proofErr w:type="spellStart"/>
      <w:r w:rsidR="00C07302">
        <w:rPr>
          <w:iCs/>
        </w:rPr>
        <w:t>siponimod</w:t>
      </w:r>
      <w:proofErr w:type="spellEnd"/>
      <w:r w:rsidR="00D953DA">
        <w:rPr>
          <w:iCs/>
        </w:rPr>
        <w:t xml:space="preserve"> initiation </w:t>
      </w:r>
      <w:r w:rsidR="00C07302">
        <w:rPr>
          <w:iCs/>
        </w:rPr>
        <w:t>or with treating</w:t>
      </w:r>
      <w:r w:rsidR="00490DF3">
        <w:rPr>
          <w:iCs/>
        </w:rPr>
        <w:t xml:space="preserve"> the higher frequency of h</w:t>
      </w:r>
      <w:r w:rsidR="00C07302">
        <w:rPr>
          <w:iCs/>
        </w:rPr>
        <w:t xml:space="preserve">erpes </w:t>
      </w:r>
      <w:r w:rsidR="00490DF3">
        <w:rPr>
          <w:iCs/>
        </w:rPr>
        <w:t xml:space="preserve">viral </w:t>
      </w:r>
      <w:r w:rsidR="00C07302">
        <w:rPr>
          <w:iCs/>
        </w:rPr>
        <w:t>infection</w:t>
      </w:r>
      <w:r w:rsidR="00490DF3">
        <w:rPr>
          <w:iCs/>
        </w:rPr>
        <w:t>s</w:t>
      </w:r>
      <w:r w:rsidR="00C07302">
        <w:rPr>
          <w:iCs/>
        </w:rPr>
        <w:t xml:space="preserve"> (see </w:t>
      </w:r>
      <w:r w:rsidR="00490DF3" w:rsidRPr="00490DF3">
        <w:rPr>
          <w:iCs/>
        </w:rPr>
        <w:t>paragraph 6.18</w:t>
      </w:r>
      <w:r w:rsidR="00C07302">
        <w:rPr>
          <w:iCs/>
        </w:rPr>
        <w:t>) were included in the economic model.</w:t>
      </w:r>
      <w:r w:rsidR="00D953DA">
        <w:rPr>
          <w:iCs/>
        </w:rPr>
        <w:t xml:space="preserve"> </w:t>
      </w:r>
    </w:p>
    <w:p w:rsidR="00A056D6" w:rsidRPr="009F2D6F" w:rsidRDefault="000C5748" w:rsidP="00077582">
      <w:pPr>
        <w:pStyle w:val="ListParagraph"/>
        <w:widowControl/>
        <w:numPr>
          <w:ilvl w:val="1"/>
          <w:numId w:val="2"/>
        </w:numPr>
        <w:rPr>
          <w:iCs/>
        </w:rPr>
      </w:pPr>
      <w:r w:rsidRPr="009F2D6F">
        <w:rPr>
          <w:iCs/>
        </w:rPr>
        <w:t xml:space="preserve">In addition, patient </w:t>
      </w:r>
      <w:r w:rsidR="00EA7D3A" w:rsidRPr="009F2D6F">
        <w:rPr>
          <w:iCs/>
        </w:rPr>
        <w:t xml:space="preserve">out of pocket (OOP) costs were </w:t>
      </w:r>
      <w:r w:rsidRPr="009F2D6F">
        <w:rPr>
          <w:iCs/>
        </w:rPr>
        <w:t xml:space="preserve">included, which is a broader perspective than recommended in the PBAC guidelines for the base case. </w:t>
      </w:r>
      <w:r w:rsidR="00EA7D3A" w:rsidRPr="009F2D6F">
        <w:rPr>
          <w:iCs/>
        </w:rPr>
        <w:t xml:space="preserve">The ESC also noted that </w:t>
      </w:r>
      <w:r w:rsidR="00072C67" w:rsidRPr="009F2D6F">
        <w:rPr>
          <w:iCs/>
        </w:rPr>
        <w:t>the submission costs were m</w:t>
      </w:r>
      <w:r w:rsidR="00A056D6" w:rsidRPr="009F2D6F">
        <w:rPr>
          <w:iCs/>
        </w:rPr>
        <w:t>uch higher than other published cost estimates of MS patients by EDSS state (Ahmad 2018)</w:t>
      </w:r>
      <w:r w:rsidR="00072C67" w:rsidRPr="009F2D6F">
        <w:rPr>
          <w:iCs/>
        </w:rPr>
        <w:t xml:space="preserve">. The table below shows </w:t>
      </w:r>
      <w:r w:rsidR="00DC2872" w:rsidRPr="009F2D6F">
        <w:rPr>
          <w:iCs/>
        </w:rPr>
        <w:t>disease management costs applied in the base case, exclud</w:t>
      </w:r>
      <w:r w:rsidR="0048700B">
        <w:rPr>
          <w:iCs/>
        </w:rPr>
        <w:t>ing</w:t>
      </w:r>
      <w:r w:rsidR="00DC2872" w:rsidRPr="009F2D6F">
        <w:rPr>
          <w:iCs/>
        </w:rPr>
        <w:t xml:space="preserve"> OOP costs, and comparative costs from</w:t>
      </w:r>
      <w:r w:rsidR="00650E6E" w:rsidRPr="009F2D6F">
        <w:rPr>
          <w:iCs/>
        </w:rPr>
        <w:t xml:space="preserve"> the</w:t>
      </w:r>
      <w:r w:rsidR="00DC2872" w:rsidRPr="009F2D6F">
        <w:rPr>
          <w:iCs/>
        </w:rPr>
        <w:t xml:space="preserve"> </w:t>
      </w:r>
      <w:r w:rsidR="00650E6E" w:rsidRPr="009F2D6F">
        <w:t>Australian Multiple Sclerosis Longitudinal Study</w:t>
      </w:r>
      <w:r w:rsidR="00650E6E" w:rsidRPr="009F2D6F">
        <w:rPr>
          <w:iCs/>
        </w:rPr>
        <w:t>, reported in Ahmad 2018.</w:t>
      </w:r>
    </w:p>
    <w:p w:rsidR="00BE7BF4" w:rsidRPr="009F2D6F" w:rsidRDefault="00DC2872" w:rsidP="00077582">
      <w:pPr>
        <w:pStyle w:val="Caption"/>
        <w:widowControl/>
        <w:spacing w:after="0"/>
        <w:rPr>
          <w:rFonts w:ascii="Arial Narrow" w:eastAsia="Calibri" w:hAnsi="Arial Narrow"/>
          <w:snapToGrid/>
          <w:color w:val="000000"/>
          <w:kern w:val="24"/>
          <w:sz w:val="20"/>
          <w:szCs w:val="20"/>
          <w:lang w:val="en-US" w:eastAsia="en-AU"/>
        </w:rPr>
      </w:pPr>
      <w:r w:rsidRPr="009F2D6F">
        <w:rPr>
          <w:rFonts w:ascii="Arial Narrow" w:hAnsi="Arial Narrow"/>
          <w:color w:val="auto"/>
          <w:sz w:val="20"/>
          <w:szCs w:val="20"/>
        </w:rPr>
        <w:t xml:space="preserve">Table </w:t>
      </w:r>
      <w:r w:rsidR="00654F36">
        <w:rPr>
          <w:rFonts w:ascii="Arial Narrow" w:hAnsi="Arial Narrow"/>
          <w:noProof/>
          <w:color w:val="auto"/>
          <w:sz w:val="20"/>
          <w:szCs w:val="20"/>
        </w:rPr>
        <w:t>10</w:t>
      </w:r>
      <w:r w:rsidRPr="009F2D6F">
        <w:rPr>
          <w:rFonts w:ascii="Arial Narrow" w:hAnsi="Arial Narrow"/>
          <w:color w:val="auto"/>
          <w:sz w:val="20"/>
          <w:szCs w:val="20"/>
        </w:rPr>
        <w:t>: Comparison of disease management costs</w:t>
      </w:r>
      <w:r w:rsidR="00650E6E" w:rsidRPr="009F2D6F">
        <w:rPr>
          <w:rFonts w:ascii="Arial Narrow" w:hAnsi="Arial Narrow"/>
          <w:color w:val="auto"/>
          <w:sz w:val="20"/>
          <w:szCs w:val="20"/>
        </w:rPr>
        <w:t>, model and published literature</w:t>
      </w:r>
      <w:r w:rsidRPr="009F2D6F">
        <w:rPr>
          <w:rFonts w:ascii="Arial Narrow" w:hAnsi="Arial Narrow"/>
          <w:color w:val="auto"/>
          <w:sz w:val="20"/>
          <w:szCs w:val="20"/>
        </w:rPr>
        <w:t xml:space="preserve"> </w:t>
      </w:r>
    </w:p>
    <w:tbl>
      <w:tblPr>
        <w:tblStyle w:val="TableGrid"/>
        <w:tblW w:w="4310" w:type="pct"/>
        <w:tblLook w:val="04A0" w:firstRow="1" w:lastRow="0" w:firstColumn="1" w:lastColumn="0" w:noHBand="0" w:noVBand="1"/>
        <w:tblCaption w:val="Table 10: Comparison of disease management costs, model and published literature "/>
      </w:tblPr>
      <w:tblGrid>
        <w:gridCol w:w="1267"/>
        <w:gridCol w:w="848"/>
        <w:gridCol w:w="1132"/>
        <w:gridCol w:w="2402"/>
        <w:gridCol w:w="2124"/>
      </w:tblGrid>
      <w:tr w:rsidR="007426F2" w:rsidRPr="009F2D6F" w:rsidTr="0062759F">
        <w:trPr>
          <w:trHeight w:val="57"/>
          <w:tblHeader/>
        </w:trPr>
        <w:tc>
          <w:tcPr>
            <w:tcW w:w="3256" w:type="dxa"/>
            <w:gridSpan w:val="3"/>
            <w:vAlign w:val="center"/>
            <w:hideMark/>
          </w:tcPr>
          <w:p w:rsidR="00DC2872" w:rsidRPr="009F2D6F" w:rsidRDefault="00DC2872" w:rsidP="00077582">
            <w:pPr>
              <w:widowControl/>
              <w:jc w:val="left"/>
              <w:rPr>
                <w:rFonts w:ascii="Arial Narrow" w:hAnsi="Arial Narrow"/>
                <w:sz w:val="20"/>
                <w:szCs w:val="20"/>
                <w:lang w:eastAsia="en-AU"/>
              </w:rPr>
            </w:pPr>
            <w:r w:rsidRPr="009F2D6F">
              <w:rPr>
                <w:rFonts w:ascii="Arial Narrow" w:eastAsia="Calibri" w:hAnsi="Arial Narrow"/>
                <w:b/>
                <w:bCs/>
                <w:snapToGrid/>
                <w:kern w:val="24"/>
                <w:sz w:val="20"/>
                <w:szCs w:val="20"/>
                <w:lang w:val="en-US" w:eastAsia="en-AU"/>
              </w:rPr>
              <w:t>From</w:t>
            </w:r>
            <w:r w:rsidR="00170B6E" w:rsidRPr="009F2D6F">
              <w:rPr>
                <w:rFonts w:ascii="Arial Narrow" w:eastAsia="Calibri" w:hAnsi="Arial Narrow"/>
                <w:b/>
                <w:bCs/>
                <w:snapToGrid/>
                <w:kern w:val="24"/>
                <w:sz w:val="20"/>
                <w:szCs w:val="20"/>
                <w:lang w:val="en-US" w:eastAsia="en-AU"/>
              </w:rPr>
              <w:t xml:space="preserve"> BAC-MS as applied in the model base case</w:t>
            </w:r>
            <w:r w:rsidRPr="009F2D6F">
              <w:rPr>
                <w:rFonts w:ascii="Arial Narrow" w:eastAsia="Calibri" w:hAnsi="Arial Narrow"/>
                <w:b/>
                <w:bCs/>
                <w:snapToGrid/>
                <w:kern w:val="24"/>
                <w:sz w:val="20"/>
                <w:szCs w:val="20"/>
                <w:lang w:val="en-US" w:eastAsia="en-AU"/>
              </w:rPr>
              <w:t xml:space="preserve"> (</w:t>
            </w:r>
            <w:r w:rsidRPr="009F2D6F">
              <w:rPr>
                <w:rFonts w:ascii="Arial Narrow" w:hAnsi="Arial Narrow"/>
                <w:b/>
                <w:bCs/>
                <w:iCs/>
                <w:sz w:val="20"/>
                <w:szCs w:val="20"/>
                <w:lang w:val="en-US" w:eastAsia="en-AU"/>
              </w:rPr>
              <w:t xml:space="preserve">excluding societal, pharmaceutical, and inpatient </w:t>
            </w:r>
            <w:proofErr w:type="spellStart"/>
            <w:r w:rsidRPr="009F2D6F">
              <w:rPr>
                <w:rFonts w:ascii="Arial Narrow" w:hAnsi="Arial Narrow"/>
                <w:b/>
                <w:bCs/>
                <w:iCs/>
                <w:sz w:val="20"/>
                <w:szCs w:val="20"/>
                <w:lang w:val="en-US" w:eastAsia="en-AU"/>
              </w:rPr>
              <w:t>costs</w:t>
            </w:r>
            <w:r w:rsidR="004F24E1" w:rsidRPr="009F2D6F">
              <w:rPr>
                <w:rFonts w:ascii="Arial Narrow" w:hAnsi="Arial Narrow"/>
                <w:b/>
                <w:bCs/>
                <w:iCs/>
                <w:sz w:val="20"/>
                <w:szCs w:val="20"/>
                <w:vertAlign w:val="superscript"/>
                <w:lang w:val="en-US" w:eastAsia="en-AU"/>
              </w:rPr>
              <w:t>a</w:t>
            </w:r>
            <w:proofErr w:type="spellEnd"/>
            <w:r w:rsidRPr="009F2D6F">
              <w:rPr>
                <w:rFonts w:ascii="Arial Narrow" w:hAnsi="Arial Narrow"/>
                <w:b/>
                <w:bCs/>
                <w:iCs/>
                <w:sz w:val="20"/>
                <w:szCs w:val="20"/>
                <w:lang w:val="en-US" w:eastAsia="en-AU"/>
              </w:rPr>
              <w:t>)</w:t>
            </w:r>
          </w:p>
        </w:tc>
        <w:tc>
          <w:tcPr>
            <w:tcW w:w="2409" w:type="dxa"/>
            <w:vAlign w:val="center"/>
            <w:hideMark/>
          </w:tcPr>
          <w:p w:rsidR="00170B6E" w:rsidRPr="009F2D6F" w:rsidRDefault="00DC2872" w:rsidP="00077582">
            <w:pPr>
              <w:widowControl/>
              <w:jc w:val="center"/>
              <w:rPr>
                <w:rFonts w:ascii="Arial Narrow" w:hAnsi="Arial Narrow"/>
                <w:b/>
                <w:snapToGrid/>
                <w:sz w:val="20"/>
                <w:szCs w:val="20"/>
                <w:lang w:eastAsia="en-AU"/>
              </w:rPr>
            </w:pPr>
            <w:r w:rsidRPr="00D96E37">
              <w:rPr>
                <w:rFonts w:ascii="Arial Narrow" w:eastAsia="Calibri" w:hAnsi="Arial Narrow"/>
                <w:b/>
                <w:bCs/>
                <w:snapToGrid/>
                <w:kern w:val="24"/>
                <w:sz w:val="20"/>
                <w:szCs w:val="20"/>
                <w:lang w:val="en-US" w:eastAsia="en-AU"/>
              </w:rPr>
              <w:t>From</w:t>
            </w:r>
            <w:r w:rsidR="00170B6E" w:rsidRPr="00D96E37">
              <w:rPr>
                <w:rFonts w:ascii="Arial Narrow" w:eastAsia="Calibri" w:hAnsi="Arial Narrow"/>
                <w:b/>
                <w:bCs/>
                <w:snapToGrid/>
                <w:kern w:val="24"/>
                <w:sz w:val="20"/>
                <w:szCs w:val="20"/>
                <w:lang w:val="en-US" w:eastAsia="en-AU"/>
              </w:rPr>
              <w:t xml:space="preserve"> </w:t>
            </w:r>
            <w:r w:rsidR="00D96E37" w:rsidRPr="00D96E37">
              <w:rPr>
                <w:rFonts w:ascii="Arial Narrow" w:eastAsia="Calibri" w:hAnsi="Arial Narrow"/>
                <w:b/>
                <w:bCs/>
                <w:snapToGrid/>
                <w:kern w:val="24"/>
                <w:sz w:val="20"/>
                <w:szCs w:val="20"/>
                <w:lang w:val="en-US" w:eastAsia="en-AU"/>
              </w:rPr>
              <w:t xml:space="preserve">BAC-MS </w:t>
            </w:r>
            <w:r w:rsidR="00CD608A" w:rsidRPr="00D96E37">
              <w:rPr>
                <w:rFonts w:ascii="Arial Narrow" w:eastAsia="Calibri" w:hAnsi="Arial Narrow"/>
                <w:b/>
                <w:bCs/>
                <w:snapToGrid/>
                <w:kern w:val="24"/>
                <w:sz w:val="20"/>
                <w:szCs w:val="20"/>
                <w:lang w:val="en-US" w:eastAsia="en-AU"/>
              </w:rPr>
              <w:t>as</w:t>
            </w:r>
            <w:r w:rsidR="00170B6E" w:rsidRPr="00D96E37">
              <w:rPr>
                <w:rFonts w:ascii="Arial Narrow" w:eastAsia="Calibri" w:hAnsi="Arial Narrow"/>
                <w:b/>
                <w:bCs/>
                <w:snapToGrid/>
                <w:kern w:val="24"/>
                <w:sz w:val="20"/>
                <w:szCs w:val="20"/>
                <w:lang w:val="en-US" w:eastAsia="en-AU"/>
              </w:rPr>
              <w:t xml:space="preserve"> applied</w:t>
            </w:r>
            <w:r w:rsidR="00170B6E" w:rsidRPr="009F2D6F">
              <w:rPr>
                <w:rFonts w:ascii="Arial Narrow" w:eastAsia="Calibri" w:hAnsi="Arial Narrow"/>
                <w:b/>
                <w:bCs/>
                <w:snapToGrid/>
                <w:kern w:val="24"/>
                <w:sz w:val="20"/>
                <w:szCs w:val="20"/>
                <w:lang w:val="en-US" w:eastAsia="en-AU"/>
              </w:rPr>
              <w:t xml:space="preserve"> in the model base case </w:t>
            </w:r>
            <w:r w:rsidR="004F24E1" w:rsidRPr="009F2D6F">
              <w:rPr>
                <w:rFonts w:ascii="Arial Narrow" w:eastAsia="Calibri" w:hAnsi="Arial Narrow"/>
                <w:b/>
                <w:bCs/>
                <w:snapToGrid/>
                <w:kern w:val="24"/>
                <w:sz w:val="20"/>
                <w:szCs w:val="20"/>
                <w:lang w:val="en-US" w:eastAsia="en-AU"/>
              </w:rPr>
              <w:t>(</w:t>
            </w:r>
            <w:r w:rsidR="00D91301" w:rsidRPr="009F2D6F">
              <w:rPr>
                <w:rFonts w:ascii="Arial Narrow" w:hAnsi="Arial Narrow"/>
                <w:b/>
                <w:bCs/>
                <w:iCs/>
                <w:sz w:val="20"/>
                <w:szCs w:val="20"/>
                <w:lang w:val="en-US" w:eastAsia="en-AU"/>
              </w:rPr>
              <w:t xml:space="preserve">excluding societal, pharmaceutical, out of </w:t>
            </w:r>
            <w:proofErr w:type="spellStart"/>
            <w:r w:rsidR="00D91301" w:rsidRPr="009F2D6F">
              <w:rPr>
                <w:rFonts w:ascii="Arial Narrow" w:hAnsi="Arial Narrow"/>
                <w:b/>
                <w:bCs/>
                <w:iCs/>
                <w:sz w:val="20"/>
                <w:szCs w:val="20"/>
                <w:lang w:val="en-US" w:eastAsia="en-AU"/>
              </w:rPr>
              <w:t>pocket</w:t>
            </w:r>
            <w:r w:rsidR="004F24E1" w:rsidRPr="009F2D6F">
              <w:rPr>
                <w:rFonts w:ascii="Arial Narrow" w:hAnsi="Arial Narrow"/>
                <w:b/>
                <w:bCs/>
                <w:iCs/>
                <w:sz w:val="20"/>
                <w:szCs w:val="20"/>
                <w:vertAlign w:val="superscript"/>
                <w:lang w:val="en-US" w:eastAsia="en-AU"/>
              </w:rPr>
              <w:t>b</w:t>
            </w:r>
            <w:proofErr w:type="spellEnd"/>
            <w:r w:rsidR="00D91301" w:rsidRPr="009F2D6F">
              <w:rPr>
                <w:rFonts w:ascii="Arial Narrow" w:hAnsi="Arial Narrow"/>
                <w:b/>
                <w:bCs/>
                <w:iCs/>
                <w:sz w:val="20"/>
                <w:szCs w:val="20"/>
                <w:lang w:val="en-US" w:eastAsia="en-AU"/>
              </w:rPr>
              <w:t xml:space="preserve"> and inpatient </w:t>
            </w:r>
            <w:proofErr w:type="spellStart"/>
            <w:r w:rsidR="00D91301" w:rsidRPr="009F2D6F">
              <w:rPr>
                <w:rFonts w:ascii="Arial Narrow" w:hAnsi="Arial Narrow"/>
                <w:b/>
                <w:bCs/>
                <w:iCs/>
                <w:sz w:val="20"/>
                <w:szCs w:val="20"/>
                <w:lang w:val="en-US" w:eastAsia="en-AU"/>
              </w:rPr>
              <w:t>costs</w:t>
            </w:r>
            <w:r w:rsidR="004F24E1" w:rsidRPr="009F2D6F">
              <w:rPr>
                <w:rFonts w:ascii="Arial Narrow" w:hAnsi="Arial Narrow"/>
                <w:b/>
                <w:bCs/>
                <w:iCs/>
                <w:sz w:val="20"/>
                <w:szCs w:val="20"/>
                <w:vertAlign w:val="superscript"/>
                <w:lang w:val="en-US" w:eastAsia="en-AU"/>
              </w:rPr>
              <w:t>a</w:t>
            </w:r>
            <w:proofErr w:type="spellEnd"/>
            <w:r w:rsidR="004F24E1" w:rsidRPr="009F2D6F">
              <w:rPr>
                <w:rFonts w:ascii="Arial Narrow" w:hAnsi="Arial Narrow"/>
                <w:b/>
                <w:bCs/>
                <w:iCs/>
                <w:sz w:val="20"/>
                <w:szCs w:val="20"/>
                <w:lang w:val="en-US" w:eastAsia="en-AU"/>
              </w:rPr>
              <w:t>)</w:t>
            </w:r>
          </w:p>
        </w:tc>
        <w:tc>
          <w:tcPr>
            <w:tcW w:w="2127" w:type="dxa"/>
            <w:hideMark/>
          </w:tcPr>
          <w:p w:rsidR="00170B6E" w:rsidRPr="009F2D6F" w:rsidRDefault="00170B6E" w:rsidP="00077582">
            <w:pPr>
              <w:widowControl/>
              <w:jc w:val="center"/>
              <w:rPr>
                <w:rFonts w:ascii="Arial Narrow" w:hAnsi="Arial Narrow"/>
                <w:b/>
                <w:snapToGrid/>
                <w:sz w:val="20"/>
                <w:szCs w:val="20"/>
                <w:lang w:eastAsia="en-AU"/>
              </w:rPr>
            </w:pPr>
            <w:r w:rsidRPr="009F2D6F">
              <w:rPr>
                <w:rFonts w:ascii="Arial Narrow" w:eastAsia="Calibri" w:hAnsi="Arial Narrow"/>
                <w:b/>
                <w:bCs/>
                <w:snapToGrid/>
                <w:kern w:val="24"/>
                <w:sz w:val="20"/>
                <w:szCs w:val="20"/>
                <w:lang w:eastAsia="en-AU"/>
              </w:rPr>
              <w:t>From Ahmad 2018 – “Health Professionals”, “Nursing Services”, “Community/Private Services” and “Medical Tests”</w:t>
            </w:r>
            <w:r w:rsidR="004F24E1" w:rsidRPr="009F2D6F">
              <w:rPr>
                <w:rFonts w:ascii="Arial Narrow" w:eastAsia="Calibri" w:hAnsi="Arial Narrow"/>
                <w:b/>
                <w:bCs/>
                <w:snapToGrid/>
                <w:kern w:val="24"/>
                <w:sz w:val="20"/>
                <w:szCs w:val="20"/>
                <w:lang w:eastAsia="en-AU"/>
              </w:rPr>
              <w:t xml:space="preserve"> </w:t>
            </w:r>
          </w:p>
        </w:tc>
      </w:tr>
      <w:tr w:rsidR="00170B6E" w:rsidRPr="009F2D6F" w:rsidTr="0062759F">
        <w:trPr>
          <w:trHeight w:val="57"/>
          <w:tblHeader/>
        </w:trPr>
        <w:tc>
          <w:tcPr>
            <w:tcW w:w="1271" w:type="dxa"/>
            <w:hideMark/>
          </w:tcPr>
          <w:p w:rsidR="00170B6E" w:rsidRPr="009F2D6F" w:rsidRDefault="00170B6E" w:rsidP="00077582">
            <w:pPr>
              <w:widowControl/>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Health state</w:t>
            </w:r>
          </w:p>
        </w:tc>
        <w:tc>
          <w:tcPr>
            <w:tcW w:w="851" w:type="dxa"/>
            <w:shd w:val="clear" w:color="auto" w:fill="auto"/>
            <w:hideMark/>
          </w:tcPr>
          <w:p w:rsidR="00170B6E" w:rsidRPr="009F2D6F" w:rsidRDefault="00170B6E" w:rsidP="00077582">
            <w:pPr>
              <w:widowControl/>
              <w:jc w:val="center"/>
              <w:rPr>
                <w:rFonts w:ascii="Arial Narrow" w:hAnsi="Arial Narrow"/>
                <w:snapToGrid/>
                <w:sz w:val="20"/>
                <w:szCs w:val="20"/>
                <w:lang w:eastAsia="en-AU"/>
              </w:rPr>
            </w:pPr>
            <w:r w:rsidRPr="009F2D6F">
              <w:rPr>
                <w:rFonts w:ascii="Arial Narrow" w:hAnsi="Arial Narrow"/>
                <w:snapToGrid/>
                <w:kern w:val="24"/>
                <w:sz w:val="20"/>
                <w:szCs w:val="20"/>
                <w:lang w:eastAsia="en-AU"/>
              </w:rPr>
              <w:t>n</w:t>
            </w:r>
          </w:p>
        </w:tc>
        <w:tc>
          <w:tcPr>
            <w:tcW w:w="1134" w:type="dxa"/>
            <w:hideMark/>
          </w:tcPr>
          <w:p w:rsidR="00170B6E" w:rsidRPr="009F2D6F" w:rsidRDefault="00170B6E" w:rsidP="00077582">
            <w:pPr>
              <w:widowControl/>
              <w:jc w:val="left"/>
              <w:rPr>
                <w:rFonts w:ascii="Arial Narrow" w:hAnsi="Arial Narrow"/>
                <w:snapToGrid/>
                <w:sz w:val="20"/>
                <w:szCs w:val="20"/>
                <w:lang w:eastAsia="en-AU"/>
              </w:rPr>
            </w:pPr>
          </w:p>
        </w:tc>
        <w:tc>
          <w:tcPr>
            <w:tcW w:w="2409" w:type="dxa"/>
            <w:hideMark/>
          </w:tcPr>
          <w:p w:rsidR="00170B6E" w:rsidRPr="009F2D6F" w:rsidRDefault="00170B6E" w:rsidP="00077582">
            <w:pPr>
              <w:widowControl/>
              <w:jc w:val="left"/>
              <w:rPr>
                <w:rFonts w:ascii="Arial Narrow" w:hAnsi="Arial Narrow" w:cs="Times New Roman"/>
                <w:snapToGrid/>
                <w:sz w:val="20"/>
                <w:szCs w:val="20"/>
                <w:lang w:eastAsia="en-AU"/>
              </w:rPr>
            </w:pPr>
          </w:p>
        </w:tc>
        <w:tc>
          <w:tcPr>
            <w:tcW w:w="2127" w:type="dxa"/>
            <w:hideMark/>
          </w:tcPr>
          <w:p w:rsidR="00170B6E" w:rsidRPr="009F2D6F" w:rsidRDefault="00170B6E" w:rsidP="00077582">
            <w:pPr>
              <w:widowControl/>
              <w:jc w:val="left"/>
              <w:rPr>
                <w:rFonts w:ascii="Arial Narrow" w:hAnsi="Arial Narrow" w:cs="Times New Roman"/>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EDSS1</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restart"/>
            <w:vAlign w:val="center"/>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$3,621</w:t>
            </w:r>
            <w:r w:rsidR="004F24E1" w:rsidRPr="009F2D6F">
              <w:rPr>
                <w:rFonts w:ascii="Arial Narrow" w:hAnsi="Arial Narrow" w:cs="Times New Roman"/>
                <w:snapToGrid/>
                <w:color w:val="000000"/>
                <w:kern w:val="24"/>
                <w:sz w:val="20"/>
                <w:szCs w:val="20"/>
                <w:lang w:eastAsia="en-AU"/>
              </w:rPr>
              <w:t xml:space="preserve"> (</w:t>
            </w:r>
            <w:r w:rsidR="004F24E1" w:rsidRPr="009F2D6F">
              <w:rPr>
                <w:rFonts w:ascii="Arial Narrow" w:hAnsi="Arial Narrow"/>
                <w:sz w:val="20"/>
                <w:szCs w:val="20"/>
              </w:rPr>
              <w:t>EDSS 0-3.5)</w:t>
            </w: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2</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ign w:val="center"/>
            <w:hideMark/>
          </w:tcPr>
          <w:p w:rsidR="00170B6E" w:rsidRPr="009F2D6F" w:rsidRDefault="00170B6E" w:rsidP="00077582">
            <w:pPr>
              <w:widowControl/>
              <w:jc w:val="center"/>
              <w:rPr>
                <w:rFonts w:ascii="Arial Narrow" w:hAnsi="Arial Narrow"/>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3</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ign w:val="center"/>
            <w:hideMark/>
          </w:tcPr>
          <w:p w:rsidR="00170B6E" w:rsidRPr="009F2D6F" w:rsidRDefault="00170B6E" w:rsidP="00077582">
            <w:pPr>
              <w:widowControl/>
              <w:jc w:val="center"/>
              <w:rPr>
                <w:rFonts w:ascii="Arial Narrow" w:hAnsi="Arial Narrow"/>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4</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restart"/>
            <w:vAlign w:val="center"/>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$6,006</w:t>
            </w:r>
            <w:r w:rsidR="004F24E1" w:rsidRPr="009F2D6F">
              <w:rPr>
                <w:rFonts w:ascii="Arial Narrow" w:hAnsi="Arial Narrow" w:cs="Times New Roman"/>
                <w:snapToGrid/>
                <w:color w:val="000000"/>
                <w:kern w:val="24"/>
                <w:sz w:val="20"/>
                <w:szCs w:val="20"/>
                <w:lang w:eastAsia="en-AU"/>
              </w:rPr>
              <w:t xml:space="preserve"> (</w:t>
            </w:r>
            <w:r w:rsidR="004F24E1" w:rsidRPr="009F2D6F">
              <w:rPr>
                <w:rFonts w:ascii="Arial Narrow" w:hAnsi="Arial Narrow"/>
                <w:sz w:val="20"/>
                <w:szCs w:val="20"/>
              </w:rPr>
              <w:t>EDSS 4.0-6.0)</w:t>
            </w: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5</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ign w:val="center"/>
            <w:hideMark/>
          </w:tcPr>
          <w:p w:rsidR="00170B6E" w:rsidRPr="009F2D6F" w:rsidRDefault="00170B6E" w:rsidP="00077582">
            <w:pPr>
              <w:widowControl/>
              <w:jc w:val="center"/>
              <w:rPr>
                <w:rFonts w:ascii="Arial Narrow" w:hAnsi="Arial Narrow"/>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6</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ign w:val="center"/>
            <w:hideMark/>
          </w:tcPr>
          <w:p w:rsidR="00170B6E" w:rsidRPr="009F2D6F" w:rsidRDefault="00170B6E" w:rsidP="00077582">
            <w:pPr>
              <w:widowControl/>
              <w:jc w:val="center"/>
              <w:rPr>
                <w:rFonts w:ascii="Arial Narrow" w:hAnsi="Arial Narrow"/>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7</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val="restart"/>
            <w:vAlign w:val="center"/>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$10,493</w:t>
            </w:r>
            <w:r w:rsidR="004F24E1" w:rsidRPr="009F2D6F">
              <w:rPr>
                <w:rFonts w:ascii="Arial Narrow" w:hAnsi="Arial Narrow" w:cs="Times New Roman"/>
                <w:snapToGrid/>
                <w:color w:val="000000"/>
                <w:kern w:val="24"/>
                <w:sz w:val="20"/>
                <w:szCs w:val="20"/>
                <w:lang w:eastAsia="en-AU"/>
              </w:rPr>
              <w:t xml:space="preserve"> (</w:t>
            </w:r>
            <w:r w:rsidR="004F24E1" w:rsidRPr="009F2D6F">
              <w:rPr>
                <w:rFonts w:ascii="Arial Narrow" w:hAnsi="Arial Narrow"/>
                <w:sz w:val="20"/>
                <w:szCs w:val="20"/>
              </w:rPr>
              <w:t>EDSS 6.5-9.5)</w:t>
            </w: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8</w:t>
            </w:r>
            <w:r w:rsidR="004F24E1" w:rsidRPr="009F2D6F">
              <w:rPr>
                <w:rFonts w:ascii="Arial Narrow" w:hAnsi="Arial Narrow"/>
                <w:bCs/>
                <w:snapToGrid/>
                <w:color w:val="000000"/>
                <w:kern w:val="24"/>
                <w:sz w:val="20"/>
                <w:szCs w:val="20"/>
                <w:vertAlign w:val="superscript"/>
                <w:lang w:eastAsia="en-AU"/>
              </w:rPr>
              <w:t>c</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hideMark/>
          </w:tcPr>
          <w:p w:rsidR="00170B6E" w:rsidRPr="009F2D6F" w:rsidRDefault="00170B6E" w:rsidP="00077582">
            <w:pPr>
              <w:widowControl/>
              <w:jc w:val="left"/>
              <w:rPr>
                <w:rFonts w:ascii="Arial Narrow" w:hAnsi="Arial Narrow"/>
                <w:snapToGrid/>
                <w:sz w:val="20"/>
                <w:szCs w:val="20"/>
                <w:lang w:eastAsia="en-AU"/>
              </w:rPr>
            </w:pPr>
          </w:p>
        </w:tc>
      </w:tr>
      <w:tr w:rsidR="00170B6E" w:rsidRPr="009F2D6F" w:rsidTr="0062759F">
        <w:trPr>
          <w:trHeight w:val="57"/>
          <w:tblHeader/>
        </w:trPr>
        <w:tc>
          <w:tcPr>
            <w:tcW w:w="1271" w:type="dxa"/>
            <w:hideMark/>
          </w:tcPr>
          <w:p w:rsidR="00170B6E" w:rsidRPr="009F2D6F" w:rsidRDefault="00170B6E" w:rsidP="00077582">
            <w:pPr>
              <w:widowControl/>
              <w:spacing w:before="40"/>
              <w:jc w:val="left"/>
              <w:rPr>
                <w:rFonts w:ascii="Arial Narrow" w:hAnsi="Arial Narrow"/>
                <w:snapToGrid/>
                <w:sz w:val="20"/>
                <w:szCs w:val="20"/>
                <w:lang w:eastAsia="en-AU"/>
              </w:rPr>
            </w:pPr>
            <w:r w:rsidRPr="009F2D6F">
              <w:rPr>
                <w:rFonts w:ascii="Arial Narrow" w:hAnsi="Arial Narrow"/>
                <w:bCs/>
                <w:snapToGrid/>
                <w:color w:val="000000"/>
                <w:kern w:val="24"/>
                <w:sz w:val="20"/>
                <w:szCs w:val="20"/>
                <w:lang w:eastAsia="en-AU"/>
              </w:rPr>
              <w:t>EDSS 9</w:t>
            </w:r>
            <w:r w:rsidR="004F24E1" w:rsidRPr="009F2D6F">
              <w:rPr>
                <w:rFonts w:ascii="Arial Narrow" w:hAnsi="Arial Narrow"/>
                <w:bCs/>
                <w:snapToGrid/>
                <w:color w:val="000000"/>
                <w:kern w:val="24"/>
                <w:sz w:val="20"/>
                <w:szCs w:val="20"/>
                <w:vertAlign w:val="superscript"/>
                <w:lang w:eastAsia="en-AU"/>
              </w:rPr>
              <w:t>c</w:t>
            </w:r>
          </w:p>
        </w:tc>
        <w:tc>
          <w:tcPr>
            <w:tcW w:w="851" w:type="dxa"/>
            <w:shd w:val="clear" w:color="auto" w:fill="auto"/>
            <w:hideMark/>
          </w:tcPr>
          <w:p w:rsidR="00170B6E" w:rsidRPr="00387A27" w:rsidRDefault="00387A27" w:rsidP="00077582">
            <w:pPr>
              <w:widowControl/>
              <w:spacing w:before="40"/>
              <w:jc w:val="center"/>
              <w:rPr>
                <w:rFonts w:ascii="Arial Narrow" w:hAnsi="Arial Narrow"/>
                <w:snapToGrid/>
                <w:sz w:val="20"/>
                <w:szCs w:val="20"/>
                <w:highlight w:val="black"/>
                <w:lang w:eastAsia="en-AU"/>
              </w:rPr>
            </w:pPr>
            <w:r>
              <w:rPr>
                <w:rFonts w:ascii="Arial Narrow" w:hAnsi="Arial Narrow"/>
                <w:noProof/>
                <w:snapToGrid/>
                <w:color w:val="000000"/>
                <w:kern w:val="24"/>
                <w:sz w:val="20"/>
                <w:szCs w:val="20"/>
                <w:highlight w:val="black"/>
                <w:lang w:eastAsia="en-AU"/>
              </w:rPr>
              <w:t>''</w:t>
            </w:r>
          </w:p>
        </w:tc>
        <w:tc>
          <w:tcPr>
            <w:tcW w:w="1134"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snapToGrid/>
                <w:color w:val="000000"/>
                <w:kern w:val="24"/>
                <w:sz w:val="20"/>
                <w:szCs w:val="20"/>
                <w:lang w:eastAsia="en-AU"/>
              </w:rPr>
              <w:t>$</w:t>
            </w:r>
            <w:r w:rsidR="00387A27">
              <w:rPr>
                <w:rFonts w:ascii="Arial Narrow" w:hAnsi="Arial Narrow"/>
                <w:noProof/>
                <w:snapToGrid/>
                <w:color w:val="000000"/>
                <w:kern w:val="24"/>
                <w:sz w:val="20"/>
                <w:szCs w:val="20"/>
                <w:highlight w:val="black"/>
                <w:lang w:eastAsia="en-AU"/>
              </w:rPr>
              <w:t>''''''''''''''''</w:t>
            </w:r>
          </w:p>
        </w:tc>
        <w:tc>
          <w:tcPr>
            <w:tcW w:w="2409" w:type="dxa"/>
            <w:hideMark/>
          </w:tcPr>
          <w:p w:rsidR="00170B6E" w:rsidRPr="009F2D6F" w:rsidRDefault="00170B6E" w:rsidP="00077582">
            <w:pPr>
              <w:widowControl/>
              <w:spacing w:before="40"/>
              <w:jc w:val="center"/>
              <w:rPr>
                <w:rFonts w:ascii="Arial Narrow" w:hAnsi="Arial Narrow"/>
                <w:snapToGrid/>
                <w:sz w:val="20"/>
                <w:szCs w:val="20"/>
                <w:lang w:eastAsia="en-AU"/>
              </w:rPr>
            </w:pPr>
            <w:r w:rsidRPr="009F2D6F">
              <w:rPr>
                <w:rFonts w:ascii="Arial Narrow" w:hAnsi="Arial Narrow" w:cs="Times New Roman"/>
                <w:snapToGrid/>
                <w:color w:val="000000"/>
                <w:kern w:val="24"/>
                <w:sz w:val="20"/>
                <w:szCs w:val="20"/>
                <w:lang w:eastAsia="en-AU"/>
              </w:rPr>
              <w:t>$</w:t>
            </w:r>
            <w:r w:rsidR="00387A27">
              <w:rPr>
                <w:rFonts w:ascii="Arial Narrow" w:hAnsi="Arial Narrow" w:cs="Times New Roman"/>
                <w:noProof/>
                <w:snapToGrid/>
                <w:color w:val="000000"/>
                <w:kern w:val="24"/>
                <w:sz w:val="20"/>
                <w:szCs w:val="20"/>
                <w:highlight w:val="black"/>
                <w:lang w:eastAsia="en-AU"/>
              </w:rPr>
              <w:t>''''''''''''''''</w:t>
            </w:r>
          </w:p>
        </w:tc>
        <w:tc>
          <w:tcPr>
            <w:tcW w:w="2127" w:type="dxa"/>
            <w:vMerge/>
            <w:hideMark/>
          </w:tcPr>
          <w:p w:rsidR="00170B6E" w:rsidRPr="009F2D6F" w:rsidRDefault="00170B6E" w:rsidP="00077582">
            <w:pPr>
              <w:widowControl/>
              <w:jc w:val="left"/>
              <w:rPr>
                <w:rFonts w:ascii="Arial Narrow" w:hAnsi="Arial Narrow"/>
                <w:snapToGrid/>
                <w:sz w:val="20"/>
                <w:szCs w:val="20"/>
                <w:lang w:eastAsia="en-AU"/>
              </w:rPr>
            </w:pPr>
          </w:p>
        </w:tc>
      </w:tr>
    </w:tbl>
    <w:p w:rsidR="00170B6E" w:rsidRPr="009F2D6F" w:rsidRDefault="00072C67" w:rsidP="00077582">
      <w:pPr>
        <w:widowControl/>
        <w:rPr>
          <w:rFonts w:ascii="Arial Narrow" w:hAnsi="Arial Narrow"/>
          <w:sz w:val="18"/>
          <w:szCs w:val="18"/>
        </w:rPr>
      </w:pPr>
      <w:r w:rsidRPr="009F2D6F">
        <w:rPr>
          <w:rFonts w:ascii="Arial Narrow" w:hAnsi="Arial Narrow"/>
          <w:sz w:val="18"/>
          <w:szCs w:val="18"/>
        </w:rPr>
        <w:t>Source</w:t>
      </w:r>
      <w:r w:rsidR="00DC2872" w:rsidRPr="009F2D6F">
        <w:rPr>
          <w:rFonts w:ascii="Arial Narrow" w:hAnsi="Arial Narrow"/>
          <w:sz w:val="18"/>
          <w:szCs w:val="18"/>
        </w:rPr>
        <w:t xml:space="preserve">: </w:t>
      </w:r>
      <w:r w:rsidR="00650E6E" w:rsidRPr="009F2D6F">
        <w:rPr>
          <w:rFonts w:ascii="Arial Narrow" w:hAnsi="Arial Narrow"/>
          <w:sz w:val="18"/>
          <w:szCs w:val="18"/>
        </w:rPr>
        <w:t>Table 3.22 (p</w:t>
      </w:r>
      <w:r w:rsidR="00DC2872" w:rsidRPr="009F2D6F">
        <w:rPr>
          <w:rFonts w:ascii="Arial Narrow" w:hAnsi="Arial Narrow"/>
          <w:sz w:val="18"/>
          <w:szCs w:val="18"/>
        </w:rPr>
        <w:t>255) of the submission</w:t>
      </w:r>
      <w:r w:rsidR="004F24E1" w:rsidRPr="009F2D6F">
        <w:rPr>
          <w:rFonts w:ascii="Arial Narrow" w:hAnsi="Arial Narrow"/>
          <w:sz w:val="18"/>
          <w:szCs w:val="18"/>
        </w:rPr>
        <w:t>, and Ahmad 2018.</w:t>
      </w:r>
    </w:p>
    <w:p w:rsidR="00DC2872" w:rsidRPr="009F2D6F" w:rsidRDefault="004F24E1" w:rsidP="00077582">
      <w:pPr>
        <w:pStyle w:val="TableFooter"/>
        <w:widowControl/>
        <w:rPr>
          <w:szCs w:val="18"/>
        </w:rPr>
      </w:pPr>
      <w:proofErr w:type="gramStart"/>
      <w:r w:rsidRPr="009F2D6F">
        <w:rPr>
          <w:szCs w:val="18"/>
          <w:vertAlign w:val="superscript"/>
        </w:rPr>
        <w:t>a</w:t>
      </w:r>
      <w:proofErr w:type="gramEnd"/>
      <w:r w:rsidR="007426F2" w:rsidRPr="009F2D6F">
        <w:rPr>
          <w:szCs w:val="18"/>
          <w:vertAlign w:val="superscript"/>
        </w:rPr>
        <w:t xml:space="preserve"> </w:t>
      </w:r>
      <w:r w:rsidR="00DC2872" w:rsidRPr="009F2D6F">
        <w:rPr>
          <w:szCs w:val="18"/>
        </w:rPr>
        <w:t>Hospital inpatient costs are used as a proxy for relapse costs, hence they are excluded here to avoid double counting</w:t>
      </w:r>
    </w:p>
    <w:p w:rsidR="004F24E1" w:rsidRPr="009F2D6F" w:rsidRDefault="004F24E1" w:rsidP="00077582">
      <w:pPr>
        <w:pStyle w:val="TableFooter"/>
        <w:widowControl/>
        <w:rPr>
          <w:szCs w:val="18"/>
        </w:rPr>
      </w:pPr>
      <w:proofErr w:type="gramStart"/>
      <w:r w:rsidRPr="009F2D6F">
        <w:rPr>
          <w:szCs w:val="18"/>
          <w:vertAlign w:val="superscript"/>
        </w:rPr>
        <w:t>b</w:t>
      </w:r>
      <w:proofErr w:type="gramEnd"/>
      <w:r w:rsidRPr="009F2D6F">
        <w:rPr>
          <w:szCs w:val="18"/>
          <w:vertAlign w:val="superscript"/>
        </w:rPr>
        <w:t xml:space="preserve"> </w:t>
      </w:r>
      <w:r w:rsidRPr="009F2D6F">
        <w:rPr>
          <w:szCs w:val="18"/>
        </w:rPr>
        <w:t>Corrected during the evaluation</w:t>
      </w:r>
    </w:p>
    <w:p w:rsidR="00DC2872" w:rsidRPr="009F2D6F" w:rsidRDefault="004F24E1" w:rsidP="00077582">
      <w:pPr>
        <w:pStyle w:val="TableFooter"/>
        <w:widowControl/>
        <w:rPr>
          <w:szCs w:val="18"/>
        </w:rPr>
      </w:pPr>
      <w:proofErr w:type="gramStart"/>
      <w:r w:rsidRPr="009F2D6F">
        <w:rPr>
          <w:szCs w:val="18"/>
          <w:vertAlign w:val="superscript"/>
        </w:rPr>
        <w:t>c</w:t>
      </w:r>
      <w:proofErr w:type="gramEnd"/>
      <w:r w:rsidRPr="009F2D6F">
        <w:rPr>
          <w:szCs w:val="18"/>
        </w:rPr>
        <w:t xml:space="preserve"> </w:t>
      </w:r>
      <w:r w:rsidR="007426F2" w:rsidRPr="009F2D6F">
        <w:rPr>
          <w:szCs w:val="18"/>
        </w:rPr>
        <w:t>C</w:t>
      </w:r>
      <w:r w:rsidR="00DC2872" w:rsidRPr="009F2D6F">
        <w:rPr>
          <w:szCs w:val="18"/>
        </w:rPr>
        <w:t>osts were reported for EDSS 8+</w:t>
      </w:r>
    </w:p>
    <w:p w:rsidR="00072C67" w:rsidRPr="009F2D6F" w:rsidRDefault="00072C67" w:rsidP="00077582">
      <w:pPr>
        <w:widowControl/>
      </w:pPr>
    </w:p>
    <w:p w:rsidR="00A056D6" w:rsidRPr="009F2D6F" w:rsidRDefault="00A056D6" w:rsidP="00077582">
      <w:pPr>
        <w:pStyle w:val="ListParagraph"/>
        <w:widowControl/>
        <w:numPr>
          <w:ilvl w:val="1"/>
          <w:numId w:val="2"/>
        </w:numPr>
      </w:pPr>
      <w:r w:rsidRPr="009F2D6F">
        <w:t xml:space="preserve">The BAC-MS study collected data from participants’ National Disability Insurance Scheme </w:t>
      </w:r>
      <w:r w:rsidR="001C1096" w:rsidRPr="009F2D6F">
        <w:t>(</w:t>
      </w:r>
      <w:r w:rsidRPr="009F2D6F">
        <w:t>NDIS</w:t>
      </w:r>
      <w:r w:rsidR="001C1096" w:rsidRPr="009F2D6F">
        <w:t xml:space="preserve">) </w:t>
      </w:r>
      <w:r w:rsidRPr="009F2D6F">
        <w:t xml:space="preserve">plans, which were included in the model. The PBAC has not previously considered NDIS costs. </w:t>
      </w:r>
      <w:r w:rsidRPr="009F2D6F">
        <w:rPr>
          <w:iCs/>
        </w:rPr>
        <w:t xml:space="preserve">The ESC considered that these costs should not be considered as a part of the base case because of the low sample numbers in BAC-MS and the uncertainty around the costs reported in the NDIS plans </w:t>
      </w:r>
      <w:r w:rsidR="001C1096" w:rsidRPr="009F2D6F">
        <w:rPr>
          <w:iCs/>
        </w:rPr>
        <w:t>versus</w:t>
      </w:r>
      <w:r w:rsidRPr="009F2D6F">
        <w:rPr>
          <w:iCs/>
        </w:rPr>
        <w:t xml:space="preserve"> the actual expenditure incurred. </w:t>
      </w:r>
    </w:p>
    <w:p w:rsidR="00E637CC" w:rsidRDefault="004E711B" w:rsidP="00077582">
      <w:pPr>
        <w:pStyle w:val="ListParagraph"/>
        <w:widowControl/>
        <w:numPr>
          <w:ilvl w:val="1"/>
          <w:numId w:val="2"/>
        </w:numPr>
        <w:rPr>
          <w:iCs/>
        </w:rPr>
      </w:pPr>
      <w:r w:rsidRPr="009F2D6F">
        <w:t xml:space="preserve">Patients discontinued therapy based on the application of the annual discontinuation rate derived from the PBS 10% sample of </w:t>
      </w:r>
      <w:proofErr w:type="spellStart"/>
      <w:r w:rsidRPr="009F2D6F">
        <w:t>fingolimod</w:t>
      </w:r>
      <w:proofErr w:type="spellEnd"/>
      <w:r w:rsidR="00D4651B" w:rsidRPr="009F2D6F">
        <w:t>, rather than based on the proposed PBS continuation restriction</w:t>
      </w:r>
      <w:r w:rsidR="001C1096" w:rsidRPr="009F2D6F">
        <w:t>,</w:t>
      </w:r>
      <w:r w:rsidR="00D4651B" w:rsidRPr="009F2D6F">
        <w:t xml:space="preserve"> which would require patients to cease </w:t>
      </w:r>
      <w:proofErr w:type="spellStart"/>
      <w:r w:rsidR="00D4651B" w:rsidRPr="009F2D6F">
        <w:t>siponimod</w:t>
      </w:r>
      <w:proofErr w:type="spellEnd"/>
      <w:r w:rsidR="00D4651B" w:rsidRPr="009F2D6F">
        <w:t xml:space="preserve"> treatment upon ‘continuing progression of disability that is sustained for at least 6 months’.</w:t>
      </w:r>
      <w:r w:rsidR="00AD5DDF" w:rsidRPr="009F2D6F">
        <w:t xml:space="preserve"> </w:t>
      </w:r>
      <w:r w:rsidR="00AD5DDF" w:rsidRPr="009F2D6F">
        <w:rPr>
          <w:iCs/>
        </w:rPr>
        <w:t>Th</w:t>
      </w:r>
      <w:r w:rsidR="006D4630" w:rsidRPr="009F2D6F">
        <w:rPr>
          <w:iCs/>
        </w:rPr>
        <w:t xml:space="preserve">e ESC considered this was </w:t>
      </w:r>
      <w:r w:rsidR="00AD5DDF" w:rsidRPr="009F2D6F">
        <w:rPr>
          <w:iCs/>
        </w:rPr>
        <w:t>inappropriate</w:t>
      </w:r>
      <w:r w:rsidR="009253F9" w:rsidRPr="009F2D6F">
        <w:rPr>
          <w:iCs/>
        </w:rPr>
        <w:t xml:space="preserve"> and</w:t>
      </w:r>
      <w:r w:rsidR="00AD5DDF" w:rsidRPr="009F2D6F">
        <w:rPr>
          <w:iCs/>
        </w:rPr>
        <w:t xml:space="preserve"> </w:t>
      </w:r>
      <w:r w:rsidR="009C0847" w:rsidRPr="009F2D6F">
        <w:rPr>
          <w:iCs/>
        </w:rPr>
        <w:t>discontinuation</w:t>
      </w:r>
      <w:r w:rsidR="00DC4316" w:rsidRPr="009F2D6F">
        <w:rPr>
          <w:iCs/>
        </w:rPr>
        <w:t>s</w:t>
      </w:r>
      <w:r w:rsidR="009C0847" w:rsidRPr="009F2D6F">
        <w:rPr>
          <w:iCs/>
        </w:rPr>
        <w:t xml:space="preserve"> in the model should reflect the proposed PBS discontinuation criteria</w:t>
      </w:r>
      <w:r w:rsidR="009253F9" w:rsidRPr="009F2D6F">
        <w:rPr>
          <w:iCs/>
        </w:rPr>
        <w:t>.</w:t>
      </w:r>
      <w:r w:rsidR="006656D5" w:rsidRPr="009F2D6F">
        <w:rPr>
          <w:iCs/>
        </w:rPr>
        <w:t xml:space="preserve"> </w:t>
      </w:r>
    </w:p>
    <w:p w:rsidR="004E711B" w:rsidRPr="009F2D6F" w:rsidRDefault="00F839F2" w:rsidP="00077582">
      <w:pPr>
        <w:pStyle w:val="ListParagraph"/>
        <w:widowControl/>
        <w:numPr>
          <w:ilvl w:val="1"/>
          <w:numId w:val="2"/>
        </w:numPr>
        <w:rPr>
          <w:iCs/>
        </w:rPr>
      </w:pPr>
      <w:r>
        <w:rPr>
          <w:iCs/>
        </w:rPr>
        <w:lastRenderedPageBreak/>
        <w:t>The PSCR</w:t>
      </w:r>
      <w:r w:rsidR="006656D5" w:rsidRPr="009F2D6F">
        <w:rPr>
          <w:iCs/>
        </w:rPr>
        <w:t xml:space="preserve"> stated that the continuation criteria was not explicitly modelled in the base case, rather it was implicitly captured in through discontinuations applied in the model. A ‘stopping rule’ (EDSS = 8) (applied in addition to discontinuations) was applied in sensitivity analysis. The </w:t>
      </w:r>
      <w:r w:rsidR="00D959F6" w:rsidRPr="009F2D6F">
        <w:rPr>
          <w:iCs/>
        </w:rPr>
        <w:t xml:space="preserve">PSCR further noted the </w:t>
      </w:r>
      <w:r w:rsidR="006656D5" w:rsidRPr="009F2D6F">
        <w:rPr>
          <w:iCs/>
        </w:rPr>
        <w:t xml:space="preserve">economic model for </w:t>
      </w:r>
      <w:proofErr w:type="spellStart"/>
      <w:r w:rsidR="006656D5" w:rsidRPr="009F2D6F">
        <w:rPr>
          <w:iCs/>
        </w:rPr>
        <w:t>siponimod</w:t>
      </w:r>
      <w:proofErr w:type="spellEnd"/>
      <w:r w:rsidR="006656D5" w:rsidRPr="009F2D6F">
        <w:rPr>
          <w:iCs/>
        </w:rPr>
        <w:t xml:space="preserve"> in SPMS used the same approach for modelling the impact of continuation criteria in the PBS restriction as was used in the </w:t>
      </w:r>
      <w:proofErr w:type="spellStart"/>
      <w:r w:rsidR="006656D5" w:rsidRPr="009F2D6F">
        <w:rPr>
          <w:iCs/>
        </w:rPr>
        <w:t>fingolimod</w:t>
      </w:r>
      <w:proofErr w:type="spellEnd"/>
      <w:r w:rsidR="006656D5" w:rsidRPr="009F2D6F">
        <w:rPr>
          <w:iCs/>
        </w:rPr>
        <w:t xml:space="preserve"> model in RRMS, which was accepted by the PBAC. The PSCR argued that sensitivity analysis in both models showed that the application of the ‘stopping rule’ has minimal impact on the ICER. The ESC noted that to align with the proposed continuation criteria, patients in the model should cease treatment upon any transition to a higher EDSS state (rather than the stopping rule at EDSS=8 conducted in the sensitivity analysis).</w:t>
      </w:r>
    </w:p>
    <w:p w:rsidR="007C5D53" w:rsidRPr="009F2D6F" w:rsidRDefault="00D4651B" w:rsidP="00077582">
      <w:pPr>
        <w:pStyle w:val="ListParagraph"/>
        <w:widowControl/>
        <w:numPr>
          <w:ilvl w:val="1"/>
          <w:numId w:val="2"/>
        </w:numPr>
      </w:pPr>
      <w:bookmarkStart w:id="25" w:name="_Ref19627573"/>
      <w:r w:rsidRPr="009F2D6F">
        <w:t xml:space="preserve">An error in the structure of the model was identified during the evaluation where </w:t>
      </w:r>
      <w:r w:rsidR="007C5D53" w:rsidRPr="009F2D6F">
        <w:t xml:space="preserve">patients in an </w:t>
      </w:r>
      <w:r w:rsidRPr="009F2D6F">
        <w:t>‘</w:t>
      </w:r>
      <w:r w:rsidR="007C5D53" w:rsidRPr="009F2D6F">
        <w:t>off-treatment</w:t>
      </w:r>
      <w:r w:rsidRPr="009F2D6F">
        <w:t>’</w:t>
      </w:r>
      <w:r w:rsidR="007C5D53" w:rsidRPr="009F2D6F">
        <w:t xml:space="preserve"> EDSS health state (i.e. on BSC treatment) who did not die or did not discontinue due to treatment persistence inappropriately transitioned back to an </w:t>
      </w:r>
      <w:r w:rsidRPr="009F2D6F">
        <w:t>‘</w:t>
      </w:r>
      <w:r w:rsidR="007C5D53" w:rsidRPr="009F2D6F">
        <w:t>on-treatment</w:t>
      </w:r>
      <w:r w:rsidRPr="009F2D6F">
        <w:t>’</w:t>
      </w:r>
      <w:r w:rsidR="007C5D53" w:rsidRPr="009F2D6F">
        <w:t xml:space="preserve"> health state. </w:t>
      </w:r>
      <w:r w:rsidRPr="009F2D6F">
        <w:t xml:space="preserve">This resulted in 91.2% of </w:t>
      </w:r>
      <w:proofErr w:type="spellStart"/>
      <w:r w:rsidRPr="009F2D6F">
        <w:t>siponimod</w:t>
      </w:r>
      <w:proofErr w:type="spellEnd"/>
      <w:r w:rsidRPr="009F2D6F">
        <w:t xml:space="preserve"> patients remaining ‘on-treatment’ at Year 11 in the model, rather than the intended 43.5% of patients according to the submission. </w:t>
      </w:r>
      <w:r w:rsidR="007C5D53" w:rsidRPr="009F2D6F">
        <w:t>Evaluator-conducted analyses showed that this substantially increased the weighted base case ICER</w:t>
      </w:r>
      <w:r w:rsidR="00261C3E" w:rsidRPr="009F2D6F">
        <w:t xml:space="preserve"> (from $</w:t>
      </w:r>
      <w:r w:rsidR="00D53569">
        <w:t>4</w:t>
      </w:r>
      <w:r w:rsidR="00B779F1">
        <w:t>5,000 - $75,000</w:t>
      </w:r>
      <w:r w:rsidR="00261C3E" w:rsidRPr="009F2D6F">
        <w:t xml:space="preserve"> to </w:t>
      </w:r>
      <w:r w:rsidR="00261C3E" w:rsidRPr="009F2D6F">
        <w:rPr>
          <w:color w:val="000000" w:themeColor="text1"/>
        </w:rPr>
        <w:t>$</w:t>
      </w:r>
      <w:r w:rsidR="002078E7">
        <w:rPr>
          <w:color w:val="000000" w:themeColor="text1"/>
        </w:rPr>
        <w:t>105,000</w:t>
      </w:r>
      <w:r w:rsidR="00B779F1">
        <w:rPr>
          <w:color w:val="000000" w:themeColor="text1"/>
        </w:rPr>
        <w:t>- $</w:t>
      </w:r>
      <w:r w:rsidR="002078E7">
        <w:rPr>
          <w:color w:val="000000" w:themeColor="text1"/>
        </w:rPr>
        <w:t>200</w:t>
      </w:r>
      <w:r w:rsidR="00B779F1">
        <w:rPr>
          <w:color w:val="000000" w:themeColor="text1"/>
        </w:rPr>
        <w:t>,000</w:t>
      </w:r>
      <w:r w:rsidR="00261C3E" w:rsidRPr="009F2D6F">
        <w:rPr>
          <w:rFonts w:asciiTheme="minorHAnsi" w:hAnsiTheme="minorHAnsi"/>
          <w:color w:val="000000" w:themeColor="text1"/>
          <w:szCs w:val="24"/>
        </w:rPr>
        <w:t xml:space="preserve"> per QALY gained)</w:t>
      </w:r>
      <w:r w:rsidR="007C5D53" w:rsidRPr="009F2D6F">
        <w:rPr>
          <w:rFonts w:asciiTheme="minorHAnsi" w:hAnsiTheme="minorHAnsi"/>
          <w:szCs w:val="24"/>
        </w:rPr>
        <w:t xml:space="preserve">, yet slightly decreased the </w:t>
      </w:r>
      <w:proofErr w:type="spellStart"/>
      <w:r w:rsidR="007C5D53" w:rsidRPr="009F2D6F">
        <w:rPr>
          <w:rFonts w:asciiTheme="minorHAnsi" w:hAnsiTheme="minorHAnsi"/>
          <w:szCs w:val="24"/>
        </w:rPr>
        <w:t>siponimod</w:t>
      </w:r>
      <w:proofErr w:type="spellEnd"/>
      <w:r w:rsidR="007C5D53" w:rsidRPr="009F2D6F">
        <w:rPr>
          <w:rFonts w:asciiTheme="minorHAnsi" w:hAnsiTheme="minorHAnsi"/>
          <w:szCs w:val="24"/>
        </w:rPr>
        <w:t xml:space="preserve"> vs placebo ICER</w:t>
      </w:r>
      <w:r w:rsidR="001A4515">
        <w:rPr>
          <w:rFonts w:asciiTheme="minorHAnsi" w:hAnsiTheme="minorHAnsi"/>
          <w:szCs w:val="24"/>
        </w:rPr>
        <w:t xml:space="preserve"> (</w:t>
      </w:r>
      <w:r w:rsidR="00261C3E" w:rsidRPr="009F2D6F">
        <w:rPr>
          <w:rFonts w:asciiTheme="minorHAnsi" w:hAnsiTheme="minorHAnsi"/>
          <w:szCs w:val="24"/>
        </w:rPr>
        <w:t>$</w:t>
      </w:r>
      <w:r w:rsidR="00B779F1">
        <w:rPr>
          <w:rFonts w:asciiTheme="minorHAnsi" w:hAnsiTheme="minorHAnsi"/>
          <w:szCs w:val="24"/>
        </w:rPr>
        <w:t>1</w:t>
      </w:r>
      <w:r w:rsidR="002078E7">
        <w:rPr>
          <w:rFonts w:asciiTheme="minorHAnsi" w:hAnsiTheme="minorHAnsi"/>
          <w:szCs w:val="24"/>
        </w:rPr>
        <w:t>05</w:t>
      </w:r>
      <w:r w:rsidR="00B779F1">
        <w:rPr>
          <w:rFonts w:asciiTheme="minorHAnsi" w:hAnsiTheme="minorHAnsi"/>
          <w:szCs w:val="24"/>
        </w:rPr>
        <w:t>,000 - $</w:t>
      </w:r>
      <w:r w:rsidR="002078E7">
        <w:rPr>
          <w:rFonts w:asciiTheme="minorHAnsi" w:hAnsiTheme="minorHAnsi"/>
          <w:szCs w:val="24"/>
        </w:rPr>
        <w:t>200</w:t>
      </w:r>
      <w:r w:rsidR="00B779F1">
        <w:rPr>
          <w:rFonts w:asciiTheme="minorHAnsi" w:hAnsiTheme="minorHAnsi"/>
          <w:szCs w:val="24"/>
        </w:rPr>
        <w:t>,000</w:t>
      </w:r>
      <w:r w:rsidR="00261C3E" w:rsidRPr="009F2D6F">
        <w:rPr>
          <w:rFonts w:asciiTheme="minorHAnsi" w:hAnsiTheme="minorHAnsi"/>
          <w:szCs w:val="24"/>
        </w:rPr>
        <w:t xml:space="preserve"> per QALY gained).</w:t>
      </w:r>
      <w:r w:rsidR="00BF74B5" w:rsidRPr="009F2D6F">
        <w:rPr>
          <w:rFonts w:asciiTheme="minorHAnsi" w:hAnsiTheme="minorHAnsi"/>
          <w:szCs w:val="24"/>
        </w:rPr>
        <w:t xml:space="preserve"> The PSCR acknowledged this error.</w:t>
      </w:r>
      <w:bookmarkEnd w:id="25"/>
    </w:p>
    <w:p w:rsidR="00BF74B5" w:rsidRPr="009F2D6F" w:rsidRDefault="00BF74B5" w:rsidP="00077582">
      <w:pPr>
        <w:pStyle w:val="ListParagraph"/>
        <w:widowControl/>
        <w:numPr>
          <w:ilvl w:val="1"/>
          <w:numId w:val="2"/>
        </w:numPr>
      </w:pPr>
      <w:r w:rsidRPr="009F2D6F">
        <w:t>Sensitivity analyses (</w:t>
      </w:r>
      <w:r w:rsidR="00AA4093">
        <w:t xml:space="preserve">presented in the </w:t>
      </w:r>
      <w:r w:rsidRPr="009F2D6F">
        <w:t>submission or</w:t>
      </w:r>
      <w:r w:rsidR="00AA4093">
        <w:t xml:space="preserve"> conducted during the</w:t>
      </w:r>
      <w:r w:rsidRPr="009F2D6F">
        <w:t xml:space="preserve"> evaluat</w:t>
      </w:r>
      <w:r w:rsidR="00AA4093">
        <w:t>ion</w:t>
      </w:r>
      <w:r w:rsidRPr="009F2D6F">
        <w:t xml:space="preserve">) indicated that EDSS matrix transitions (i.e. comparator arm EDSS state transitions), </w:t>
      </w:r>
      <w:proofErr w:type="spellStart"/>
      <w:r w:rsidRPr="009F2D6F">
        <w:t>siponimod</w:t>
      </w:r>
      <w:proofErr w:type="spellEnd"/>
      <w:r w:rsidRPr="009F2D6F">
        <w:t xml:space="preserve"> disability progression treatment effect, EDSS state NDIS costs, EDSS health state utility values, IFN-beta/GA and </w:t>
      </w:r>
      <w:proofErr w:type="spellStart"/>
      <w:r w:rsidRPr="009F2D6F">
        <w:t>natalizumab</w:t>
      </w:r>
      <w:proofErr w:type="spellEnd"/>
      <w:r w:rsidRPr="009F2D6F">
        <w:t xml:space="preserve"> disutility values and model duration </w:t>
      </w:r>
      <w:r w:rsidR="00AA4093">
        <w:t>were the</w:t>
      </w:r>
      <w:r w:rsidR="00AA4093" w:rsidRPr="009F2D6F">
        <w:t xml:space="preserve"> </w:t>
      </w:r>
      <w:r w:rsidRPr="009F2D6F">
        <w:t xml:space="preserve">key model drivers. </w:t>
      </w:r>
      <w:r w:rsidR="00AA4093">
        <w:t>S</w:t>
      </w:r>
      <w:r w:rsidRPr="009F2D6F">
        <w:t xml:space="preserve">ensitivity analyses </w:t>
      </w:r>
      <w:r w:rsidR="00AA4093">
        <w:t xml:space="preserve">conducted during the evaluation </w:t>
      </w:r>
      <w:r w:rsidRPr="009F2D6F">
        <w:t>also indicated that (</w:t>
      </w:r>
      <w:proofErr w:type="spellStart"/>
      <w:r w:rsidRPr="009F2D6F">
        <w:t>i</w:t>
      </w:r>
      <w:proofErr w:type="spellEnd"/>
      <w:r w:rsidRPr="009F2D6F">
        <w:t xml:space="preserve">) correcting the inappropriate transition of </w:t>
      </w:r>
      <w:proofErr w:type="spellStart"/>
      <w:r w:rsidRPr="009F2D6F">
        <w:t>siponimod</w:t>
      </w:r>
      <w:proofErr w:type="spellEnd"/>
      <w:r w:rsidRPr="009F2D6F">
        <w:t xml:space="preserve"> off-treatment patients in the model and (ii) assuming transition to death after progressing from an EDSS 7 health state (assessing impact of utilities &lt;0), substantially increased the weighted ICER. </w:t>
      </w:r>
    </w:p>
    <w:p w:rsidR="00275C5A" w:rsidRPr="009F2D6F" w:rsidRDefault="00654F36" w:rsidP="00077582">
      <w:pPr>
        <w:pStyle w:val="ListParagraph"/>
        <w:widowControl/>
        <w:numPr>
          <w:ilvl w:val="1"/>
          <w:numId w:val="2"/>
        </w:numPr>
      </w:pPr>
      <w:r w:rsidRPr="00654F36">
        <w:t>Table 11</w:t>
      </w:r>
      <w:r w:rsidR="009408D9" w:rsidRPr="009F2D6F">
        <w:t xml:space="preserve"> indicates the key model drivers.</w:t>
      </w:r>
    </w:p>
    <w:p w:rsidR="00486746" w:rsidRPr="009F2D6F" w:rsidRDefault="00486746" w:rsidP="003D41BD"/>
    <w:p w:rsidR="00D110BD" w:rsidRPr="009F2D6F" w:rsidRDefault="003B0060" w:rsidP="00077582">
      <w:pPr>
        <w:pStyle w:val="Caption"/>
        <w:keepNext/>
        <w:widowControl/>
        <w:spacing w:after="0"/>
        <w:rPr>
          <w:rFonts w:ascii="Arial Narrow" w:hAnsi="Arial Narrow"/>
          <w:color w:val="auto"/>
          <w:sz w:val="20"/>
          <w:szCs w:val="20"/>
        </w:rPr>
      </w:pPr>
      <w:bookmarkStart w:id="26" w:name="_Ref18686130"/>
      <w:r w:rsidRPr="009F2D6F">
        <w:rPr>
          <w:rFonts w:ascii="Arial Narrow" w:hAnsi="Arial Narrow"/>
          <w:color w:val="auto"/>
          <w:sz w:val="20"/>
          <w:szCs w:val="20"/>
        </w:rPr>
        <w:lastRenderedPageBreak/>
        <w:t xml:space="preserve">Table </w:t>
      </w:r>
      <w:r w:rsidR="00654F36">
        <w:rPr>
          <w:rFonts w:ascii="Arial Narrow" w:hAnsi="Arial Narrow"/>
          <w:noProof/>
          <w:color w:val="auto"/>
          <w:sz w:val="20"/>
          <w:szCs w:val="20"/>
        </w:rPr>
        <w:t>11</w:t>
      </w:r>
      <w:bookmarkEnd w:id="26"/>
      <w:r w:rsidR="00D110BD" w:rsidRPr="009F2D6F">
        <w:rPr>
          <w:rFonts w:ascii="Arial Narrow" w:hAnsi="Arial Narrow"/>
          <w:b w:val="0"/>
          <w:color w:val="auto"/>
          <w:sz w:val="20"/>
          <w:szCs w:val="20"/>
        </w:rPr>
        <w:t xml:space="preserve">: </w:t>
      </w:r>
      <w:r w:rsidR="00D110BD" w:rsidRPr="009F2D6F">
        <w:rPr>
          <w:rFonts w:ascii="Arial Narrow" w:hAnsi="Arial Narrow"/>
          <w:color w:val="auto"/>
          <w:sz w:val="20"/>
          <w:szCs w:val="20"/>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269"/>
        <w:gridCol w:w="3035"/>
      </w:tblGrid>
      <w:tr w:rsidR="00537182" w:rsidRPr="009F2D6F" w:rsidTr="00486746">
        <w:trPr>
          <w:tblHeader/>
        </w:trPr>
        <w:tc>
          <w:tcPr>
            <w:tcW w:w="950" w:type="pct"/>
            <w:shd w:val="clear" w:color="auto" w:fill="auto"/>
            <w:vAlign w:val="center"/>
          </w:tcPr>
          <w:p w:rsidR="00D110BD" w:rsidRPr="009F2D6F" w:rsidRDefault="00D110BD" w:rsidP="00077582">
            <w:pPr>
              <w:pStyle w:val="Caption"/>
              <w:keepNext/>
              <w:widowControl/>
              <w:spacing w:after="0"/>
              <w:rPr>
                <w:rFonts w:ascii="Arial Narrow" w:hAnsi="Arial Narrow"/>
                <w:color w:val="auto"/>
                <w:sz w:val="20"/>
                <w:szCs w:val="20"/>
              </w:rPr>
            </w:pPr>
            <w:r w:rsidRPr="009F2D6F">
              <w:rPr>
                <w:rFonts w:ascii="Arial Narrow" w:hAnsi="Arial Narrow"/>
                <w:color w:val="auto"/>
                <w:sz w:val="20"/>
                <w:szCs w:val="20"/>
              </w:rPr>
              <w:t>Description</w:t>
            </w:r>
          </w:p>
        </w:tc>
        <w:tc>
          <w:tcPr>
            <w:tcW w:w="2367" w:type="pct"/>
            <w:shd w:val="clear" w:color="auto" w:fill="auto"/>
            <w:vAlign w:val="center"/>
          </w:tcPr>
          <w:p w:rsidR="00D110BD" w:rsidRPr="009F2D6F" w:rsidRDefault="00D110BD" w:rsidP="00077582">
            <w:pPr>
              <w:pStyle w:val="Caption"/>
              <w:keepNext/>
              <w:widowControl/>
              <w:spacing w:after="0"/>
              <w:jc w:val="center"/>
              <w:rPr>
                <w:rFonts w:ascii="Arial Narrow" w:hAnsi="Arial Narrow"/>
                <w:color w:val="auto"/>
                <w:sz w:val="20"/>
                <w:szCs w:val="20"/>
              </w:rPr>
            </w:pPr>
            <w:r w:rsidRPr="009F2D6F">
              <w:rPr>
                <w:rFonts w:ascii="Arial Narrow" w:hAnsi="Arial Narrow"/>
                <w:color w:val="auto"/>
                <w:sz w:val="20"/>
                <w:szCs w:val="20"/>
              </w:rPr>
              <w:t>Method/Value</w:t>
            </w:r>
          </w:p>
        </w:tc>
        <w:tc>
          <w:tcPr>
            <w:tcW w:w="1683" w:type="pct"/>
            <w:shd w:val="clear" w:color="auto" w:fill="auto"/>
            <w:vAlign w:val="center"/>
          </w:tcPr>
          <w:p w:rsidR="003B0060" w:rsidRPr="009F2D6F" w:rsidRDefault="00D110BD" w:rsidP="00077582">
            <w:pPr>
              <w:pStyle w:val="Caption"/>
              <w:keepNext/>
              <w:widowControl/>
              <w:spacing w:after="0"/>
              <w:jc w:val="center"/>
              <w:rPr>
                <w:rFonts w:ascii="Arial Narrow" w:hAnsi="Arial Narrow"/>
                <w:color w:val="auto"/>
                <w:sz w:val="20"/>
                <w:szCs w:val="20"/>
              </w:rPr>
            </w:pPr>
            <w:r w:rsidRPr="009F2D6F">
              <w:rPr>
                <w:rFonts w:ascii="Arial Narrow" w:hAnsi="Arial Narrow"/>
                <w:color w:val="auto"/>
                <w:sz w:val="20"/>
                <w:szCs w:val="20"/>
              </w:rPr>
              <w:t>Impact</w:t>
            </w:r>
          </w:p>
          <w:p w:rsidR="00D110BD" w:rsidRPr="009F2D6F" w:rsidRDefault="003B0060" w:rsidP="00077582">
            <w:pPr>
              <w:pStyle w:val="Caption"/>
              <w:keepNext/>
              <w:widowControl/>
              <w:spacing w:after="0"/>
              <w:jc w:val="center"/>
              <w:rPr>
                <w:rFonts w:ascii="Arial Narrow" w:hAnsi="Arial Narrow"/>
                <w:color w:val="auto"/>
                <w:sz w:val="20"/>
                <w:szCs w:val="20"/>
              </w:rPr>
            </w:pPr>
            <w:r w:rsidRPr="009F2D6F">
              <w:rPr>
                <w:rFonts w:ascii="Arial Narrow" w:hAnsi="Arial Narrow"/>
                <w:color w:val="auto"/>
                <w:sz w:val="20"/>
                <w:szCs w:val="20"/>
              </w:rPr>
              <w:t>[on submission base case weighted ICER]</w:t>
            </w:r>
          </w:p>
        </w:tc>
      </w:tr>
      <w:tr w:rsidR="00AC101F" w:rsidRPr="009F2D6F" w:rsidTr="00486746">
        <w:tc>
          <w:tcPr>
            <w:tcW w:w="950" w:type="pct"/>
            <w:shd w:val="clear" w:color="auto" w:fill="auto"/>
            <w:vAlign w:val="center"/>
          </w:tcPr>
          <w:p w:rsidR="00AC101F" w:rsidRPr="009F2D6F" w:rsidRDefault="008E3377" w:rsidP="00077582">
            <w:pPr>
              <w:pStyle w:val="Tabletext"/>
              <w:keepNext/>
              <w:rPr>
                <w:lang w:val="en-US"/>
              </w:rPr>
            </w:pPr>
            <w:r w:rsidRPr="009F2D6F">
              <w:rPr>
                <w:lang w:val="en-US"/>
              </w:rPr>
              <w:t>EDSS progression</w:t>
            </w:r>
          </w:p>
        </w:tc>
        <w:tc>
          <w:tcPr>
            <w:tcW w:w="2367" w:type="pct"/>
            <w:shd w:val="clear" w:color="auto" w:fill="auto"/>
            <w:vAlign w:val="center"/>
          </w:tcPr>
          <w:p w:rsidR="00AC101F" w:rsidRPr="009F2D6F" w:rsidRDefault="00DF2B02" w:rsidP="00077582">
            <w:pPr>
              <w:pStyle w:val="Tabletext"/>
              <w:keepNext/>
              <w:jc w:val="center"/>
              <w:rPr>
                <w:lang w:val="en-US"/>
              </w:rPr>
            </w:pPr>
            <w:r w:rsidRPr="009F2D6F">
              <w:rPr>
                <w:lang w:val="en-US"/>
              </w:rPr>
              <w:t xml:space="preserve">Used </w:t>
            </w:r>
            <w:r w:rsidR="00F43B29" w:rsidRPr="009F2D6F">
              <w:rPr>
                <w:lang w:val="en-US"/>
              </w:rPr>
              <w:t xml:space="preserve">EDSS transitions from the EXPAND trial, supplemented by </w:t>
            </w:r>
            <w:proofErr w:type="spellStart"/>
            <w:r w:rsidR="00F43B29" w:rsidRPr="009F2D6F">
              <w:rPr>
                <w:lang w:val="en-US"/>
              </w:rPr>
              <w:t>MSBase</w:t>
            </w:r>
            <w:proofErr w:type="spellEnd"/>
            <w:r w:rsidR="00F43B29" w:rsidRPr="009F2D6F">
              <w:rPr>
                <w:lang w:val="en-US"/>
              </w:rPr>
              <w:t xml:space="preserve"> Registry data.</w:t>
            </w:r>
          </w:p>
        </w:tc>
        <w:tc>
          <w:tcPr>
            <w:tcW w:w="1683" w:type="pct"/>
            <w:shd w:val="clear" w:color="auto" w:fill="auto"/>
            <w:vAlign w:val="center"/>
          </w:tcPr>
          <w:p w:rsidR="00AC101F" w:rsidRPr="009F2D6F" w:rsidRDefault="00B3498C" w:rsidP="00077582">
            <w:pPr>
              <w:pStyle w:val="Tabletext"/>
              <w:keepNext/>
              <w:jc w:val="center"/>
              <w:rPr>
                <w:lang w:val="en-US"/>
              </w:rPr>
            </w:pPr>
            <w:r w:rsidRPr="009F2D6F">
              <w:rPr>
                <w:lang w:val="en-US"/>
              </w:rPr>
              <w:t>Unclear</w:t>
            </w:r>
            <w:r w:rsidR="003B0060" w:rsidRPr="009F2D6F">
              <w:rPr>
                <w:lang w:val="en-US"/>
              </w:rPr>
              <w:t>, unable to test</w:t>
            </w:r>
          </w:p>
        </w:tc>
      </w:tr>
      <w:tr w:rsidR="00B3498C" w:rsidRPr="009F2D6F" w:rsidTr="00486746">
        <w:tc>
          <w:tcPr>
            <w:tcW w:w="950" w:type="pct"/>
            <w:shd w:val="clear" w:color="auto" w:fill="auto"/>
            <w:vAlign w:val="center"/>
          </w:tcPr>
          <w:p w:rsidR="00B3498C" w:rsidRPr="009F2D6F" w:rsidRDefault="00B3498C" w:rsidP="00077582">
            <w:pPr>
              <w:pStyle w:val="Tabletext"/>
              <w:keepNext/>
              <w:rPr>
                <w:lang w:val="en-US"/>
              </w:rPr>
            </w:pPr>
            <w:proofErr w:type="spellStart"/>
            <w:r w:rsidRPr="009F2D6F">
              <w:rPr>
                <w:lang w:val="en-US"/>
              </w:rPr>
              <w:t>Siponimod</w:t>
            </w:r>
            <w:proofErr w:type="spellEnd"/>
            <w:r w:rsidRPr="009F2D6F">
              <w:rPr>
                <w:lang w:val="en-US"/>
              </w:rPr>
              <w:t xml:space="preserve"> disability progression treatment effect</w:t>
            </w:r>
          </w:p>
        </w:tc>
        <w:tc>
          <w:tcPr>
            <w:tcW w:w="2367" w:type="pct"/>
            <w:shd w:val="clear" w:color="auto" w:fill="auto"/>
            <w:vAlign w:val="center"/>
          </w:tcPr>
          <w:p w:rsidR="00B3498C" w:rsidRPr="009F2D6F" w:rsidRDefault="00B3498C" w:rsidP="00077582">
            <w:pPr>
              <w:pStyle w:val="Tabletext"/>
              <w:keepNext/>
              <w:jc w:val="center"/>
              <w:rPr>
                <w:lang w:val="en-US"/>
              </w:rPr>
            </w:pPr>
            <w:r w:rsidRPr="009F2D6F">
              <w:rPr>
                <w:lang w:val="en-US"/>
              </w:rPr>
              <w:t>Relative risk reduction applied from hazard ratio of 6-month confirmed disability progression outcome in EXPAND</w:t>
            </w:r>
          </w:p>
        </w:tc>
        <w:tc>
          <w:tcPr>
            <w:tcW w:w="1683" w:type="pct"/>
            <w:shd w:val="clear" w:color="auto" w:fill="auto"/>
            <w:vAlign w:val="center"/>
          </w:tcPr>
          <w:p w:rsidR="00B3498C" w:rsidRPr="009F2D6F" w:rsidRDefault="003B0060" w:rsidP="00077582">
            <w:pPr>
              <w:pStyle w:val="Tabletext"/>
              <w:keepNext/>
              <w:jc w:val="center"/>
              <w:rPr>
                <w:lang w:val="en-US"/>
              </w:rPr>
            </w:pPr>
            <w:r w:rsidRPr="009F2D6F">
              <w:rPr>
                <w:lang w:val="en-US"/>
              </w:rPr>
              <w:t>High. Use of 95% CI around the treatment effect results in a 22% reduction to 336% increase</w:t>
            </w:r>
          </w:p>
        </w:tc>
      </w:tr>
      <w:tr w:rsidR="008E3377" w:rsidRPr="009F2D6F" w:rsidTr="00486746">
        <w:tc>
          <w:tcPr>
            <w:tcW w:w="950" w:type="pct"/>
            <w:shd w:val="clear" w:color="auto" w:fill="auto"/>
            <w:vAlign w:val="center"/>
          </w:tcPr>
          <w:p w:rsidR="008E3377" w:rsidRPr="009F2D6F" w:rsidRDefault="008E3377" w:rsidP="00077582">
            <w:pPr>
              <w:pStyle w:val="Tabletext"/>
              <w:keepNext/>
              <w:rPr>
                <w:lang w:val="en-US"/>
              </w:rPr>
            </w:pPr>
            <w:r w:rsidRPr="009F2D6F">
              <w:rPr>
                <w:lang w:val="en-US"/>
              </w:rPr>
              <w:t>NDIS costs by EDSS</w:t>
            </w:r>
          </w:p>
        </w:tc>
        <w:tc>
          <w:tcPr>
            <w:tcW w:w="2367" w:type="pct"/>
            <w:shd w:val="clear" w:color="auto" w:fill="auto"/>
            <w:vAlign w:val="center"/>
          </w:tcPr>
          <w:p w:rsidR="008E3377" w:rsidRPr="009F2D6F" w:rsidRDefault="00C67598" w:rsidP="00077582">
            <w:pPr>
              <w:pStyle w:val="Tabletext"/>
              <w:keepNext/>
              <w:jc w:val="center"/>
              <w:rPr>
                <w:lang w:val="en-US"/>
              </w:rPr>
            </w:pPr>
            <w:r w:rsidRPr="009F2D6F">
              <w:rPr>
                <w:lang w:val="en-US"/>
              </w:rPr>
              <w:t xml:space="preserve">Includes NDIS costs by EDSS health state. Estimates derived from a </w:t>
            </w:r>
            <w:r w:rsidRPr="00272C9A">
              <w:rPr>
                <w:lang w:val="en-US"/>
              </w:rPr>
              <w:t>sponsor-</w:t>
            </w:r>
            <w:r w:rsidR="00272C9A" w:rsidRPr="00272C9A">
              <w:rPr>
                <w:lang w:val="en-US"/>
              </w:rPr>
              <w:t xml:space="preserve"> driven</w:t>
            </w:r>
            <w:r w:rsidRPr="00272C9A">
              <w:rPr>
                <w:lang w:val="en-US"/>
              </w:rPr>
              <w:t xml:space="preserve"> study </w:t>
            </w:r>
            <w:r w:rsidR="00D1553B" w:rsidRPr="00272C9A">
              <w:rPr>
                <w:lang w:val="en-US"/>
              </w:rPr>
              <w:t>(</w:t>
            </w:r>
            <w:r w:rsidR="00D1553B" w:rsidRPr="009F2D6F">
              <w:rPr>
                <w:lang w:val="en-US"/>
              </w:rPr>
              <w:t xml:space="preserve">BAC-MS) </w:t>
            </w:r>
            <w:r w:rsidRPr="009F2D6F">
              <w:rPr>
                <w:lang w:val="en-US"/>
              </w:rPr>
              <w:t>with very low sample sizes.</w:t>
            </w:r>
          </w:p>
        </w:tc>
        <w:tc>
          <w:tcPr>
            <w:tcW w:w="1683" w:type="pct"/>
            <w:shd w:val="clear" w:color="auto" w:fill="auto"/>
            <w:vAlign w:val="center"/>
          </w:tcPr>
          <w:p w:rsidR="008E3377" w:rsidRPr="009F2D6F" w:rsidRDefault="00C67598" w:rsidP="00077582">
            <w:pPr>
              <w:pStyle w:val="Tabletext"/>
              <w:keepNext/>
              <w:jc w:val="center"/>
              <w:rPr>
                <w:lang w:val="en-US"/>
              </w:rPr>
            </w:pPr>
            <w:r w:rsidRPr="009F2D6F">
              <w:rPr>
                <w:lang w:val="en-US"/>
              </w:rPr>
              <w:t xml:space="preserve">High, </w:t>
            </w:r>
            <w:proofErr w:type="spellStart"/>
            <w:r w:rsidRPr="009F2D6F">
              <w:rPr>
                <w:lang w:val="en-US"/>
              </w:rPr>
              <w:t>favours</w:t>
            </w:r>
            <w:proofErr w:type="spellEnd"/>
            <w:r w:rsidRPr="009F2D6F">
              <w:rPr>
                <w:lang w:val="en-US"/>
              </w:rPr>
              <w:t xml:space="preserve"> </w:t>
            </w:r>
            <w:proofErr w:type="spellStart"/>
            <w:r w:rsidRPr="009F2D6F">
              <w:rPr>
                <w:lang w:val="en-US"/>
              </w:rPr>
              <w:t>siponimod</w:t>
            </w:r>
            <w:proofErr w:type="spellEnd"/>
            <w:r w:rsidRPr="009F2D6F">
              <w:rPr>
                <w:lang w:val="en-US"/>
              </w:rPr>
              <w:t xml:space="preserve"> if NDIS costs </w:t>
            </w:r>
            <w:r w:rsidR="00BE7BF4" w:rsidRPr="009F2D6F">
              <w:rPr>
                <w:lang w:val="en-US"/>
              </w:rPr>
              <w:t>removed</w:t>
            </w:r>
            <w:r w:rsidR="003B0060" w:rsidRPr="009F2D6F">
              <w:rPr>
                <w:lang w:val="en-US"/>
              </w:rPr>
              <w:t xml:space="preserve"> (100% increase)</w:t>
            </w:r>
          </w:p>
        </w:tc>
      </w:tr>
      <w:tr w:rsidR="008E3377" w:rsidRPr="009F2D6F" w:rsidTr="00486746">
        <w:tc>
          <w:tcPr>
            <w:tcW w:w="950" w:type="pct"/>
            <w:shd w:val="clear" w:color="auto" w:fill="auto"/>
            <w:vAlign w:val="center"/>
          </w:tcPr>
          <w:p w:rsidR="008E3377" w:rsidRPr="009F2D6F" w:rsidRDefault="008E3377" w:rsidP="00077582">
            <w:pPr>
              <w:pStyle w:val="Tabletext"/>
              <w:keepNext/>
              <w:rPr>
                <w:lang w:val="en-US"/>
              </w:rPr>
            </w:pPr>
            <w:r w:rsidRPr="009F2D6F">
              <w:rPr>
                <w:lang w:val="en-US"/>
              </w:rPr>
              <w:t>EDSS state utilities</w:t>
            </w:r>
          </w:p>
        </w:tc>
        <w:tc>
          <w:tcPr>
            <w:tcW w:w="2367" w:type="pct"/>
            <w:shd w:val="clear" w:color="auto" w:fill="auto"/>
            <w:vAlign w:val="center"/>
          </w:tcPr>
          <w:p w:rsidR="008E3377" w:rsidRPr="009F2D6F" w:rsidRDefault="00D1553B" w:rsidP="00077582">
            <w:pPr>
              <w:pStyle w:val="Tabletext"/>
              <w:keepNext/>
              <w:jc w:val="center"/>
              <w:rPr>
                <w:lang w:val="en-US"/>
              </w:rPr>
            </w:pPr>
            <w:r w:rsidRPr="009F2D6F">
              <w:rPr>
                <w:lang w:val="en-US"/>
              </w:rPr>
              <w:t>Includes utility values by EDSS health state. Derived from BAC-MS study which had very low sample sizes</w:t>
            </w:r>
            <w:r w:rsidR="007606F0" w:rsidRPr="009F2D6F">
              <w:rPr>
                <w:lang w:val="en-US"/>
              </w:rPr>
              <w:t xml:space="preserve"> and reported utilities &lt;0 for EDSS health states &gt;8.</w:t>
            </w:r>
          </w:p>
        </w:tc>
        <w:tc>
          <w:tcPr>
            <w:tcW w:w="1683" w:type="pct"/>
            <w:shd w:val="clear" w:color="auto" w:fill="auto"/>
            <w:vAlign w:val="center"/>
          </w:tcPr>
          <w:p w:rsidR="008E3377" w:rsidRPr="009F2D6F" w:rsidRDefault="001607EE" w:rsidP="00077582">
            <w:pPr>
              <w:pStyle w:val="Tabletext"/>
              <w:keepNext/>
              <w:jc w:val="center"/>
              <w:rPr>
                <w:lang w:val="en-US"/>
              </w:rPr>
            </w:pPr>
            <w:r w:rsidRPr="009F2D6F">
              <w:rPr>
                <w:lang w:val="en-US"/>
              </w:rPr>
              <w:t xml:space="preserve">High, </w:t>
            </w:r>
            <w:proofErr w:type="spellStart"/>
            <w:r w:rsidRPr="009F2D6F">
              <w:rPr>
                <w:lang w:val="en-US"/>
              </w:rPr>
              <w:t>favours</w:t>
            </w:r>
            <w:proofErr w:type="spellEnd"/>
            <w:r w:rsidRPr="009F2D6F">
              <w:rPr>
                <w:lang w:val="en-US"/>
              </w:rPr>
              <w:t xml:space="preserve"> </w:t>
            </w:r>
            <w:proofErr w:type="spellStart"/>
            <w:r w:rsidRPr="009F2D6F">
              <w:rPr>
                <w:lang w:val="en-US"/>
              </w:rPr>
              <w:t>siponimod</w:t>
            </w:r>
            <w:proofErr w:type="spellEnd"/>
            <w:r w:rsidR="003B0060" w:rsidRPr="009F2D6F">
              <w:rPr>
                <w:lang w:val="en-US"/>
              </w:rPr>
              <w:t>. Making EDSS &gt;8 health state utilities ‘0’ increased ICER by 115%</w:t>
            </w:r>
          </w:p>
        </w:tc>
      </w:tr>
      <w:tr w:rsidR="00582E22" w:rsidRPr="009F2D6F" w:rsidTr="00486746">
        <w:tc>
          <w:tcPr>
            <w:tcW w:w="950" w:type="pct"/>
            <w:shd w:val="clear" w:color="auto" w:fill="auto"/>
            <w:vAlign w:val="center"/>
          </w:tcPr>
          <w:p w:rsidR="00582E22" w:rsidRPr="009F2D6F" w:rsidRDefault="00582E22" w:rsidP="00077582">
            <w:pPr>
              <w:pStyle w:val="Tabletext"/>
              <w:keepNext/>
              <w:rPr>
                <w:lang w:val="en-US"/>
              </w:rPr>
            </w:pPr>
            <w:r w:rsidRPr="009F2D6F">
              <w:rPr>
                <w:lang w:val="en-US"/>
              </w:rPr>
              <w:t>I</w:t>
            </w:r>
            <w:r w:rsidR="003B0060" w:rsidRPr="009F2D6F">
              <w:rPr>
                <w:lang w:val="en-US"/>
              </w:rPr>
              <w:t>FN</w:t>
            </w:r>
            <w:r w:rsidRPr="009F2D6F">
              <w:rPr>
                <w:lang w:val="en-US"/>
              </w:rPr>
              <w:t xml:space="preserve">-beta/GA and </w:t>
            </w:r>
            <w:proofErr w:type="spellStart"/>
            <w:r w:rsidRPr="009F2D6F">
              <w:rPr>
                <w:lang w:val="en-US"/>
              </w:rPr>
              <w:t>natalizumab</w:t>
            </w:r>
            <w:proofErr w:type="spellEnd"/>
            <w:r w:rsidRPr="009F2D6F">
              <w:rPr>
                <w:lang w:val="en-US"/>
              </w:rPr>
              <w:t xml:space="preserve"> treatment </w:t>
            </w:r>
            <w:r w:rsidR="00D745AD" w:rsidRPr="009F2D6F">
              <w:rPr>
                <w:lang w:val="en-US"/>
              </w:rPr>
              <w:t>health outcomes</w:t>
            </w:r>
          </w:p>
        </w:tc>
        <w:tc>
          <w:tcPr>
            <w:tcW w:w="2367" w:type="pct"/>
            <w:shd w:val="clear" w:color="auto" w:fill="auto"/>
            <w:vAlign w:val="center"/>
          </w:tcPr>
          <w:p w:rsidR="00582E22" w:rsidRPr="009F2D6F" w:rsidRDefault="00D745AD" w:rsidP="00077582">
            <w:pPr>
              <w:pStyle w:val="Tabletext"/>
              <w:keepNext/>
              <w:jc w:val="center"/>
              <w:rPr>
                <w:lang w:val="en-US"/>
              </w:rPr>
            </w:pPr>
            <w:r w:rsidRPr="009F2D6F">
              <w:rPr>
                <w:lang w:val="en-US"/>
              </w:rPr>
              <w:t xml:space="preserve">No relative risk reduction in EDSS progression applied, but a </w:t>
            </w:r>
            <w:r w:rsidR="00582E22" w:rsidRPr="009F2D6F">
              <w:rPr>
                <w:lang w:val="en-US"/>
              </w:rPr>
              <w:t xml:space="preserve">-0.052 </w:t>
            </w:r>
            <w:r w:rsidRPr="009F2D6F">
              <w:rPr>
                <w:lang w:val="en-US"/>
              </w:rPr>
              <w:t xml:space="preserve">disutility </w:t>
            </w:r>
            <w:r w:rsidR="00582E22" w:rsidRPr="009F2D6F">
              <w:rPr>
                <w:lang w:val="en-US"/>
              </w:rPr>
              <w:t>applied annually. Derived from a source that applied the disutility for the first 6 months only.</w:t>
            </w:r>
          </w:p>
        </w:tc>
        <w:tc>
          <w:tcPr>
            <w:tcW w:w="1683" w:type="pct"/>
            <w:shd w:val="clear" w:color="auto" w:fill="auto"/>
            <w:vAlign w:val="center"/>
          </w:tcPr>
          <w:p w:rsidR="00582E22" w:rsidRPr="009F2D6F" w:rsidRDefault="00582E22" w:rsidP="00077582">
            <w:pPr>
              <w:pStyle w:val="Tabletext"/>
              <w:keepNext/>
              <w:jc w:val="center"/>
              <w:rPr>
                <w:lang w:val="en-US"/>
              </w:rPr>
            </w:pPr>
            <w:r w:rsidRPr="009F2D6F">
              <w:rPr>
                <w:lang w:val="en-US"/>
              </w:rPr>
              <w:t xml:space="preserve">High, </w:t>
            </w:r>
            <w:proofErr w:type="spellStart"/>
            <w:r w:rsidRPr="009F2D6F">
              <w:rPr>
                <w:lang w:val="en-US"/>
              </w:rPr>
              <w:t>favours</w:t>
            </w:r>
            <w:proofErr w:type="spellEnd"/>
            <w:r w:rsidRPr="009F2D6F">
              <w:rPr>
                <w:lang w:val="en-US"/>
              </w:rPr>
              <w:t xml:space="preserve"> </w:t>
            </w:r>
            <w:proofErr w:type="spellStart"/>
            <w:r w:rsidRPr="009F2D6F">
              <w:rPr>
                <w:lang w:val="en-US"/>
              </w:rPr>
              <w:t>siponimod</w:t>
            </w:r>
            <w:proofErr w:type="spellEnd"/>
            <w:r w:rsidR="003B0060" w:rsidRPr="009F2D6F">
              <w:rPr>
                <w:lang w:val="en-US"/>
              </w:rPr>
              <w:t>. Removing disutility increases ICER by 75%</w:t>
            </w:r>
          </w:p>
        </w:tc>
      </w:tr>
      <w:tr w:rsidR="008E3377" w:rsidRPr="009F2D6F" w:rsidTr="00486746">
        <w:tc>
          <w:tcPr>
            <w:tcW w:w="950" w:type="pct"/>
            <w:shd w:val="clear" w:color="auto" w:fill="auto"/>
            <w:vAlign w:val="center"/>
          </w:tcPr>
          <w:p w:rsidR="008E3377" w:rsidRPr="009F2D6F" w:rsidRDefault="00F43B29" w:rsidP="00077582">
            <w:pPr>
              <w:pStyle w:val="Tabletext"/>
              <w:keepNext/>
              <w:rPr>
                <w:lang w:val="en-US"/>
              </w:rPr>
            </w:pPr>
            <w:r w:rsidRPr="009F2D6F">
              <w:rPr>
                <w:lang w:val="en-US"/>
              </w:rPr>
              <w:t>Time horizon</w:t>
            </w:r>
          </w:p>
        </w:tc>
        <w:tc>
          <w:tcPr>
            <w:tcW w:w="2367" w:type="pct"/>
            <w:shd w:val="clear" w:color="auto" w:fill="auto"/>
            <w:vAlign w:val="center"/>
          </w:tcPr>
          <w:p w:rsidR="008E3377" w:rsidRPr="009F2D6F" w:rsidRDefault="00F43B29" w:rsidP="00077582">
            <w:pPr>
              <w:pStyle w:val="Tabletext"/>
              <w:keepNext/>
              <w:jc w:val="center"/>
              <w:rPr>
                <w:lang w:val="en-US"/>
              </w:rPr>
            </w:pPr>
            <w:r w:rsidRPr="009F2D6F">
              <w:rPr>
                <w:lang w:val="en-US"/>
              </w:rPr>
              <w:t>30 years based on 3 years of clinical data</w:t>
            </w:r>
            <w:r w:rsidR="00B422BC" w:rsidRPr="009F2D6F">
              <w:rPr>
                <w:lang w:val="en-US"/>
              </w:rPr>
              <w:t xml:space="preserve"> with sustained treatment effects</w:t>
            </w:r>
            <w:r w:rsidRPr="009F2D6F">
              <w:rPr>
                <w:lang w:val="en-US"/>
              </w:rPr>
              <w:t xml:space="preserve">. 10 year time horizon </w:t>
            </w:r>
            <w:r w:rsidR="00DF2B02" w:rsidRPr="009F2D6F">
              <w:rPr>
                <w:lang w:val="en-US"/>
              </w:rPr>
              <w:t xml:space="preserve">substantially </w:t>
            </w:r>
            <w:r w:rsidR="007606F0" w:rsidRPr="009F2D6F">
              <w:rPr>
                <w:lang w:val="en-US"/>
              </w:rPr>
              <w:t xml:space="preserve">increases </w:t>
            </w:r>
            <w:r w:rsidR="00C67598" w:rsidRPr="009F2D6F">
              <w:rPr>
                <w:lang w:val="en-US"/>
              </w:rPr>
              <w:t>ICER.</w:t>
            </w:r>
          </w:p>
        </w:tc>
        <w:tc>
          <w:tcPr>
            <w:tcW w:w="1683" w:type="pct"/>
            <w:shd w:val="clear" w:color="auto" w:fill="auto"/>
            <w:vAlign w:val="center"/>
          </w:tcPr>
          <w:p w:rsidR="008E3377" w:rsidRPr="009F2D6F" w:rsidRDefault="00C67598" w:rsidP="00077582">
            <w:pPr>
              <w:pStyle w:val="Tabletext"/>
              <w:keepNext/>
              <w:jc w:val="center"/>
              <w:rPr>
                <w:lang w:val="en-US"/>
              </w:rPr>
            </w:pPr>
            <w:r w:rsidRPr="009F2D6F">
              <w:rPr>
                <w:lang w:val="en-US"/>
              </w:rPr>
              <w:t xml:space="preserve">High, </w:t>
            </w:r>
            <w:proofErr w:type="spellStart"/>
            <w:r w:rsidRPr="009F2D6F">
              <w:rPr>
                <w:lang w:val="en-US"/>
              </w:rPr>
              <w:t>favours</w:t>
            </w:r>
            <w:proofErr w:type="spellEnd"/>
            <w:r w:rsidRPr="009F2D6F">
              <w:rPr>
                <w:lang w:val="en-US"/>
              </w:rPr>
              <w:t xml:space="preserve"> </w:t>
            </w:r>
            <w:proofErr w:type="spellStart"/>
            <w:r w:rsidRPr="009F2D6F">
              <w:rPr>
                <w:lang w:val="en-US"/>
              </w:rPr>
              <w:t>siponimod</w:t>
            </w:r>
            <w:proofErr w:type="spellEnd"/>
            <w:r w:rsidR="00DC0BD6" w:rsidRPr="009F2D6F">
              <w:rPr>
                <w:lang w:val="en-US"/>
              </w:rPr>
              <w:t>. 10 year time horizon increases ICER by 57%.</w:t>
            </w:r>
          </w:p>
        </w:tc>
      </w:tr>
    </w:tbl>
    <w:p w:rsidR="00D110BD" w:rsidRPr="009F2D6F" w:rsidRDefault="009D792E" w:rsidP="00077582">
      <w:pPr>
        <w:pStyle w:val="TableFooter"/>
        <w:widowControl/>
      </w:pPr>
      <w:r w:rsidRPr="009F2D6F">
        <w:t xml:space="preserve">Source: </w:t>
      </w:r>
      <w:r w:rsidR="00582E22" w:rsidRPr="009F2D6F">
        <w:t>Section 3 of the submission</w:t>
      </w:r>
    </w:p>
    <w:p w:rsidR="009D792E" w:rsidRPr="009F2D6F" w:rsidRDefault="009D792E" w:rsidP="00077582">
      <w:pPr>
        <w:widowControl/>
      </w:pPr>
    </w:p>
    <w:p w:rsidR="00707F66" w:rsidRPr="009F2D6F" w:rsidRDefault="00707F66" w:rsidP="00077582">
      <w:pPr>
        <w:pStyle w:val="ListParagraph"/>
        <w:widowControl/>
        <w:numPr>
          <w:ilvl w:val="1"/>
          <w:numId w:val="2"/>
        </w:numPr>
        <w:rPr>
          <w:color w:val="000000" w:themeColor="text1"/>
        </w:rPr>
        <w:sectPr w:rsidR="00707F66" w:rsidRPr="009F2D6F" w:rsidSect="009108E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1440" w:footer="1440" w:gutter="0"/>
          <w:pgNumType w:start="1"/>
          <w:cols w:space="708"/>
          <w:docGrid w:linePitch="360"/>
        </w:sectPr>
      </w:pPr>
      <w:r w:rsidRPr="009F2D6F">
        <w:rPr>
          <w:color w:val="000000" w:themeColor="text1"/>
        </w:rPr>
        <w:t>Considering the range of issues identified above, t</w:t>
      </w:r>
      <w:r w:rsidR="006D4630" w:rsidRPr="009F2D6F">
        <w:rPr>
          <w:color w:val="000000" w:themeColor="text1"/>
        </w:rPr>
        <w:t xml:space="preserve">he ESC considered </w:t>
      </w:r>
      <w:r w:rsidR="00833698" w:rsidRPr="009F2D6F">
        <w:rPr>
          <w:color w:val="000000" w:themeColor="text1"/>
        </w:rPr>
        <w:t>a more</w:t>
      </w:r>
      <w:r w:rsidR="006D4630" w:rsidRPr="009F2D6F">
        <w:rPr>
          <w:color w:val="000000" w:themeColor="text1"/>
        </w:rPr>
        <w:t xml:space="preserve"> appropriate base case for the model should</w:t>
      </w:r>
      <w:r w:rsidRPr="009F2D6F">
        <w:rPr>
          <w:color w:val="000000" w:themeColor="text1"/>
        </w:rPr>
        <w:t>: correct the error in the structure of model transitions;</w:t>
      </w:r>
      <w:r w:rsidR="006D4630" w:rsidRPr="009F2D6F">
        <w:rPr>
          <w:color w:val="000000" w:themeColor="text1"/>
        </w:rPr>
        <w:t xml:space="preserve"> </w:t>
      </w:r>
      <w:r w:rsidRPr="009F2D6F">
        <w:rPr>
          <w:color w:val="000000" w:themeColor="text1"/>
        </w:rPr>
        <w:t xml:space="preserve">apply the same weighted DPMQ for </w:t>
      </w:r>
      <w:proofErr w:type="spellStart"/>
      <w:r w:rsidRPr="009F2D6F">
        <w:rPr>
          <w:color w:val="000000" w:themeColor="text1"/>
        </w:rPr>
        <w:t>siponimod</w:t>
      </w:r>
      <w:proofErr w:type="spellEnd"/>
      <w:r w:rsidRPr="009F2D6F">
        <w:rPr>
          <w:color w:val="000000" w:themeColor="text1"/>
        </w:rPr>
        <w:t xml:space="preserve"> across the economic comparisons; exclude NDIS costs; exclude double counted out-of-pocket costs; and use EXPAND EDSS utilities</w:t>
      </w:r>
      <w:r w:rsidR="000404B5" w:rsidRPr="009F2D6F">
        <w:rPr>
          <w:color w:val="000000" w:themeColor="text1"/>
        </w:rPr>
        <w:t xml:space="preserve"> (and making an assumption to apply the utility value of </w:t>
      </w:r>
      <w:r w:rsidR="00387A27">
        <w:rPr>
          <w:noProof/>
          <w:color w:val="000000"/>
          <w:highlight w:val="black"/>
        </w:rPr>
        <w:t>'''' ''''''''</w:t>
      </w:r>
      <w:r w:rsidR="000404B5" w:rsidRPr="00933498">
        <w:rPr>
          <w:color w:val="000000" w:themeColor="text1"/>
        </w:rPr>
        <w:t xml:space="preserve"> (for</w:t>
      </w:r>
      <w:r w:rsidR="000404B5" w:rsidRPr="009F2D6F">
        <w:rPr>
          <w:color w:val="000000" w:themeColor="text1"/>
        </w:rPr>
        <w:t xml:space="preserve"> EDSS 2) also to EDSS 1)</w:t>
      </w:r>
      <w:r w:rsidR="00020B25" w:rsidRPr="009F2D6F">
        <w:rPr>
          <w:color w:val="000000" w:themeColor="text1"/>
        </w:rPr>
        <w:t>.</w:t>
      </w:r>
      <w:r w:rsidR="006D4630" w:rsidRPr="009F2D6F">
        <w:rPr>
          <w:color w:val="000000" w:themeColor="text1"/>
        </w:rPr>
        <w:t xml:space="preserve"> </w:t>
      </w:r>
      <w:r w:rsidRPr="009F2D6F">
        <w:rPr>
          <w:color w:val="000000" w:themeColor="text1"/>
        </w:rPr>
        <w:t xml:space="preserve">These revisions increased the weighted ICER from </w:t>
      </w:r>
      <w:r w:rsidR="000D0C33">
        <w:rPr>
          <w:color w:val="000000" w:themeColor="text1"/>
        </w:rPr>
        <w:t>$</w:t>
      </w:r>
      <w:r w:rsidR="00D63562">
        <w:rPr>
          <w:color w:val="000000" w:themeColor="text1"/>
        </w:rPr>
        <w:t>4</w:t>
      </w:r>
      <w:r w:rsidR="000D0C33">
        <w:rPr>
          <w:color w:val="000000" w:themeColor="text1"/>
        </w:rPr>
        <w:t>5,000 - $75,000</w:t>
      </w:r>
      <w:r w:rsidRPr="009F2D6F">
        <w:rPr>
          <w:color w:val="000000" w:themeColor="text1"/>
        </w:rPr>
        <w:t xml:space="preserve"> per QALY gained to</w:t>
      </w:r>
      <w:r w:rsidR="00D63562">
        <w:rPr>
          <w:color w:val="000000" w:themeColor="text1"/>
        </w:rPr>
        <w:t xml:space="preserve"> more than</w:t>
      </w:r>
      <w:r w:rsidRPr="009F2D6F">
        <w:rPr>
          <w:color w:val="000000" w:themeColor="text1"/>
        </w:rPr>
        <w:t xml:space="preserve"> </w:t>
      </w:r>
      <w:r w:rsidR="000F3BA7">
        <w:rPr>
          <w:color w:val="000000" w:themeColor="text1"/>
        </w:rPr>
        <w:t>$2</w:t>
      </w:r>
      <w:r w:rsidR="00D63562">
        <w:rPr>
          <w:color w:val="000000" w:themeColor="text1"/>
        </w:rPr>
        <w:t>00,000</w:t>
      </w:r>
      <w:r w:rsidRPr="009F2D6F">
        <w:rPr>
          <w:color w:val="000000" w:themeColor="text1"/>
        </w:rPr>
        <w:t xml:space="preserve"> per QALY gained. </w:t>
      </w:r>
      <w:r w:rsidR="009C0847" w:rsidRPr="009F2D6F">
        <w:rPr>
          <w:color w:val="000000" w:themeColor="text1"/>
        </w:rPr>
        <w:t xml:space="preserve">Results of the stepped economic model for the </w:t>
      </w:r>
      <w:r w:rsidR="00FD240F" w:rsidRPr="009F2D6F">
        <w:rPr>
          <w:color w:val="000000" w:themeColor="text1"/>
        </w:rPr>
        <w:t>submission base case, the ESC-</w:t>
      </w:r>
      <w:r w:rsidR="009C0847" w:rsidRPr="009F2D6F">
        <w:rPr>
          <w:color w:val="000000" w:themeColor="text1"/>
        </w:rPr>
        <w:t xml:space="preserve">revised base case </w:t>
      </w:r>
      <w:r w:rsidR="009253F9" w:rsidRPr="009F2D6F">
        <w:rPr>
          <w:color w:val="000000" w:themeColor="text1"/>
        </w:rPr>
        <w:t xml:space="preserve">and select sensitivity analyses </w:t>
      </w:r>
      <w:r w:rsidR="009C0847" w:rsidRPr="009F2D6F">
        <w:rPr>
          <w:color w:val="000000" w:themeColor="text1"/>
        </w:rPr>
        <w:t xml:space="preserve">are </w:t>
      </w:r>
      <w:r w:rsidR="00F524BD" w:rsidRPr="009F2D6F">
        <w:rPr>
          <w:color w:val="000000" w:themeColor="text1"/>
        </w:rPr>
        <w:t>presented</w:t>
      </w:r>
      <w:r w:rsidR="009C0847" w:rsidRPr="009F2D6F">
        <w:rPr>
          <w:color w:val="000000" w:themeColor="text1"/>
        </w:rPr>
        <w:t xml:space="preserve"> in the table below</w:t>
      </w:r>
      <w:r w:rsidR="00AE3CC0" w:rsidRPr="009F2D6F">
        <w:rPr>
          <w:color w:val="000000" w:themeColor="text1"/>
        </w:rPr>
        <w:t>.</w:t>
      </w:r>
    </w:p>
    <w:p w:rsidR="00AE3CC0" w:rsidRPr="009F2D6F" w:rsidRDefault="00AE3CC0" w:rsidP="00077582">
      <w:pPr>
        <w:pStyle w:val="Caption"/>
        <w:keepNext/>
        <w:widowControl/>
        <w:spacing w:before="240" w:after="0"/>
        <w:rPr>
          <w:rFonts w:ascii="Arial Narrow" w:hAnsi="Arial Narrow"/>
          <w:color w:val="000000" w:themeColor="text1"/>
          <w:sz w:val="20"/>
          <w:szCs w:val="20"/>
        </w:rPr>
      </w:pPr>
      <w:bookmarkStart w:id="27" w:name="_Ref22149586"/>
      <w:bookmarkStart w:id="28" w:name="_Ref22149579"/>
      <w:r w:rsidRPr="009F2D6F">
        <w:rPr>
          <w:rFonts w:ascii="Arial Narrow" w:hAnsi="Arial Narrow"/>
          <w:color w:val="000000" w:themeColor="text1"/>
          <w:sz w:val="20"/>
          <w:szCs w:val="20"/>
        </w:rPr>
        <w:lastRenderedPageBreak/>
        <w:t xml:space="preserve">Table </w:t>
      </w:r>
      <w:bookmarkEnd w:id="27"/>
      <w:r w:rsidR="005916A8" w:rsidRPr="009F2D6F">
        <w:rPr>
          <w:rFonts w:ascii="Arial Narrow" w:hAnsi="Arial Narrow"/>
          <w:color w:val="000000" w:themeColor="text1"/>
          <w:sz w:val="20"/>
          <w:szCs w:val="20"/>
        </w:rPr>
        <w:t>12</w:t>
      </w:r>
      <w:r w:rsidRPr="009F2D6F">
        <w:rPr>
          <w:rFonts w:ascii="Arial Narrow" w:hAnsi="Arial Narrow"/>
          <w:color w:val="000000" w:themeColor="text1"/>
          <w:sz w:val="20"/>
          <w:szCs w:val="20"/>
        </w:rPr>
        <w:t>: Results of the stepped economic model for the ESC-revised base case</w:t>
      </w:r>
      <w:bookmarkEnd w:id="28"/>
    </w:p>
    <w:tbl>
      <w:tblPr>
        <w:tblStyle w:val="TableGrid"/>
        <w:tblW w:w="5128" w:type="pct"/>
        <w:tblCellMar>
          <w:left w:w="28" w:type="dxa"/>
          <w:right w:w="28" w:type="dxa"/>
        </w:tblCellMar>
        <w:tblLook w:val="04A0" w:firstRow="1" w:lastRow="0" w:firstColumn="1" w:lastColumn="0" w:noHBand="0" w:noVBand="1"/>
        <w:tblCaption w:val="Table 12: Results of the stepped economic model for the ESC-revised base case"/>
      </w:tblPr>
      <w:tblGrid>
        <w:gridCol w:w="5082"/>
        <w:gridCol w:w="831"/>
        <w:gridCol w:w="888"/>
        <w:gridCol w:w="968"/>
        <w:gridCol w:w="804"/>
        <w:gridCol w:w="784"/>
        <w:gridCol w:w="748"/>
        <w:gridCol w:w="801"/>
        <w:gridCol w:w="801"/>
        <w:gridCol w:w="811"/>
        <w:gridCol w:w="801"/>
        <w:gridCol w:w="805"/>
        <w:gridCol w:w="811"/>
      </w:tblGrid>
      <w:tr w:rsidR="000A2FFD" w:rsidRPr="009F2D6F" w:rsidTr="0062759F">
        <w:trPr>
          <w:tblHeader/>
        </w:trPr>
        <w:tc>
          <w:tcPr>
            <w:tcW w:w="1707" w:type="pct"/>
          </w:tcPr>
          <w:p w:rsidR="000A2FFD" w:rsidRPr="009F2D6F" w:rsidRDefault="000A2FFD" w:rsidP="00077582">
            <w:pPr>
              <w:pStyle w:val="PbacTableHeading"/>
              <w:spacing w:before="20" w:after="20"/>
            </w:pPr>
            <w:r w:rsidRPr="009F2D6F">
              <w:t>Variable/ Assumptions</w:t>
            </w:r>
          </w:p>
        </w:tc>
        <w:tc>
          <w:tcPr>
            <w:tcW w:w="881" w:type="pct"/>
            <w:gridSpan w:val="3"/>
            <w:vAlign w:val="center"/>
          </w:tcPr>
          <w:p w:rsidR="000A2FFD" w:rsidRPr="009F2D6F" w:rsidRDefault="000A2FFD" w:rsidP="00077582">
            <w:pPr>
              <w:pStyle w:val="PbacTableHeading"/>
              <w:spacing w:before="20" w:after="20"/>
              <w:jc w:val="center"/>
            </w:pPr>
            <w:r w:rsidRPr="009F2D6F">
              <w:t>SIP vs PBO</w:t>
            </w:r>
            <w:r w:rsidR="00BF74B5" w:rsidRPr="009F2D6F">
              <w:t xml:space="preserve"> (SPMS - not treated)</w:t>
            </w:r>
          </w:p>
        </w:tc>
        <w:tc>
          <w:tcPr>
            <w:tcW w:w="791" w:type="pct"/>
            <w:gridSpan w:val="3"/>
            <w:vAlign w:val="center"/>
          </w:tcPr>
          <w:p w:rsidR="000A2FFD" w:rsidRPr="009F2D6F" w:rsidRDefault="000A2FFD" w:rsidP="00077582">
            <w:pPr>
              <w:pStyle w:val="PbacTableHeading"/>
              <w:spacing w:before="20" w:after="20"/>
              <w:jc w:val="center"/>
            </w:pPr>
            <w:r w:rsidRPr="009F2D6F">
              <w:t>SIP vs IFN-beta/GA</w:t>
            </w:r>
            <w:r w:rsidR="00BF74B5" w:rsidRPr="009F2D6F">
              <w:br/>
              <w:t xml:space="preserve"> (SPMS - treated)</w:t>
            </w:r>
          </w:p>
        </w:tc>
        <w:tc>
          <w:tcPr>
            <w:tcW w:w="824" w:type="pct"/>
            <w:gridSpan w:val="3"/>
            <w:vAlign w:val="center"/>
          </w:tcPr>
          <w:p w:rsidR="000A2FFD" w:rsidRPr="009F2D6F" w:rsidRDefault="000A2FFD" w:rsidP="00077582">
            <w:pPr>
              <w:pStyle w:val="PbacTableHeading"/>
              <w:spacing w:before="20" w:after="20"/>
              <w:jc w:val="center"/>
            </w:pPr>
            <w:r w:rsidRPr="009F2D6F">
              <w:t>SIP vs NAT</w:t>
            </w:r>
            <w:r w:rsidR="00BF74B5" w:rsidRPr="009F2D6F">
              <w:t xml:space="preserve"> (SPMS - treated)</w:t>
            </w:r>
          </w:p>
        </w:tc>
        <w:tc>
          <w:tcPr>
            <w:tcW w:w="798" w:type="pct"/>
            <w:gridSpan w:val="3"/>
            <w:vAlign w:val="center"/>
          </w:tcPr>
          <w:p w:rsidR="000A2FFD" w:rsidRPr="009F2D6F" w:rsidRDefault="000A2FFD" w:rsidP="00077582">
            <w:pPr>
              <w:pStyle w:val="PbacTableHeading"/>
              <w:spacing w:before="20" w:after="20"/>
              <w:jc w:val="center"/>
            </w:pPr>
            <w:r w:rsidRPr="009F2D6F">
              <w:t>Weighted</w:t>
            </w:r>
          </w:p>
        </w:tc>
      </w:tr>
      <w:tr w:rsidR="007B167C" w:rsidRPr="009F2D6F" w:rsidTr="0062759F">
        <w:trPr>
          <w:tblHeader/>
        </w:trPr>
        <w:tc>
          <w:tcPr>
            <w:tcW w:w="1707" w:type="pct"/>
          </w:tcPr>
          <w:p w:rsidR="000A2FFD" w:rsidRPr="009F2D6F" w:rsidRDefault="000A2FFD" w:rsidP="00077582">
            <w:pPr>
              <w:pStyle w:val="PbacTableHeading"/>
              <w:spacing w:before="20" w:after="20"/>
            </w:pPr>
          </w:p>
        </w:tc>
        <w:tc>
          <w:tcPr>
            <w:tcW w:w="284"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Costs</w:t>
            </w:r>
          </w:p>
        </w:tc>
        <w:tc>
          <w:tcPr>
            <w:tcW w:w="303"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QALY</w:t>
            </w:r>
          </w:p>
        </w:tc>
        <w:tc>
          <w:tcPr>
            <w:tcW w:w="294" w:type="pct"/>
            <w:vAlign w:val="center"/>
          </w:tcPr>
          <w:p w:rsidR="000A2FFD" w:rsidRPr="009F2D6F" w:rsidRDefault="000A2FFD" w:rsidP="00077582">
            <w:pPr>
              <w:pStyle w:val="PbacTableHeading"/>
              <w:spacing w:before="20" w:after="20"/>
              <w:jc w:val="center"/>
            </w:pPr>
            <w:r w:rsidRPr="009F2D6F">
              <w:t>ICER</w:t>
            </w:r>
          </w:p>
        </w:tc>
        <w:tc>
          <w:tcPr>
            <w:tcW w:w="275"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Costs</w:t>
            </w:r>
          </w:p>
        </w:tc>
        <w:tc>
          <w:tcPr>
            <w:tcW w:w="268"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QALY</w:t>
            </w:r>
          </w:p>
        </w:tc>
        <w:tc>
          <w:tcPr>
            <w:tcW w:w="248" w:type="pct"/>
            <w:vAlign w:val="center"/>
          </w:tcPr>
          <w:p w:rsidR="000A2FFD" w:rsidRPr="009F2D6F" w:rsidRDefault="000A2FFD" w:rsidP="00077582">
            <w:pPr>
              <w:pStyle w:val="PbacTableHeading"/>
              <w:spacing w:before="20" w:after="20"/>
              <w:jc w:val="center"/>
            </w:pPr>
            <w:r w:rsidRPr="009F2D6F">
              <w:t>ICER</w:t>
            </w:r>
          </w:p>
        </w:tc>
        <w:tc>
          <w:tcPr>
            <w:tcW w:w="274"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Costs</w:t>
            </w:r>
          </w:p>
        </w:tc>
        <w:tc>
          <w:tcPr>
            <w:tcW w:w="274"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QALY</w:t>
            </w:r>
          </w:p>
        </w:tc>
        <w:tc>
          <w:tcPr>
            <w:tcW w:w="276" w:type="pct"/>
            <w:vAlign w:val="center"/>
          </w:tcPr>
          <w:p w:rsidR="000A2FFD" w:rsidRPr="009F2D6F" w:rsidRDefault="000A2FFD" w:rsidP="00077582">
            <w:pPr>
              <w:pStyle w:val="PbacTableHeading"/>
              <w:spacing w:before="20" w:after="20"/>
              <w:jc w:val="center"/>
            </w:pPr>
            <w:r w:rsidRPr="009F2D6F">
              <w:t>ICER</w:t>
            </w:r>
          </w:p>
        </w:tc>
        <w:tc>
          <w:tcPr>
            <w:tcW w:w="275"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Costs</w:t>
            </w:r>
          </w:p>
        </w:tc>
        <w:tc>
          <w:tcPr>
            <w:tcW w:w="275" w:type="pct"/>
            <w:vAlign w:val="center"/>
          </w:tcPr>
          <w:p w:rsidR="000A2FFD" w:rsidRPr="009F2D6F" w:rsidRDefault="000A2FFD" w:rsidP="00077582">
            <w:pPr>
              <w:pStyle w:val="PbacTableHeading"/>
              <w:spacing w:before="20" w:after="20"/>
              <w:jc w:val="center"/>
            </w:pPr>
            <w:proofErr w:type="spellStart"/>
            <w:r w:rsidRPr="009F2D6F">
              <w:t>Inc</w:t>
            </w:r>
            <w:proofErr w:type="spellEnd"/>
            <w:r w:rsidRPr="009F2D6F">
              <w:t xml:space="preserve"> QALY</w:t>
            </w:r>
          </w:p>
        </w:tc>
        <w:tc>
          <w:tcPr>
            <w:tcW w:w="248" w:type="pct"/>
            <w:vAlign w:val="center"/>
          </w:tcPr>
          <w:p w:rsidR="000A2FFD" w:rsidRPr="009F2D6F" w:rsidRDefault="000A2FFD" w:rsidP="00077582">
            <w:pPr>
              <w:pStyle w:val="PbacTableHeading"/>
              <w:spacing w:before="20" w:after="20"/>
              <w:jc w:val="center"/>
            </w:pPr>
            <w:r w:rsidRPr="009F2D6F">
              <w:t>ICER</w:t>
            </w:r>
          </w:p>
        </w:tc>
      </w:tr>
      <w:tr w:rsidR="007B167C" w:rsidRPr="009F2D6F" w:rsidTr="0062759F">
        <w:trPr>
          <w:tblHeader/>
        </w:trPr>
        <w:tc>
          <w:tcPr>
            <w:tcW w:w="1707" w:type="pct"/>
            <w:shd w:val="clear" w:color="auto" w:fill="BFBFBF" w:themeFill="background1" w:themeFillShade="BF"/>
          </w:tcPr>
          <w:p w:rsidR="000A2FFD" w:rsidRPr="009F2D6F" w:rsidRDefault="000A2FFD" w:rsidP="00077582">
            <w:pPr>
              <w:pStyle w:val="PbacTableHeading"/>
              <w:spacing w:before="20" w:after="20"/>
            </w:pPr>
            <w:r w:rsidRPr="009F2D6F">
              <w:t>SUBMISSION BASE CASE</w:t>
            </w:r>
          </w:p>
        </w:tc>
        <w:tc>
          <w:tcPr>
            <w:tcW w:w="284"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303" w:type="pct"/>
            <w:shd w:val="clear" w:color="auto" w:fill="BFBFBF" w:themeFill="background1" w:themeFillShade="BF"/>
            <w:vAlign w:val="center"/>
          </w:tcPr>
          <w:p w:rsidR="000A2FFD" w:rsidRPr="000F47B5" w:rsidRDefault="000F47B5" w:rsidP="00077582">
            <w:pPr>
              <w:pStyle w:val="PbacTableHeading"/>
              <w:spacing w:before="20" w:after="20"/>
              <w:jc w:val="center"/>
              <w:rPr>
                <w:highlight w:val="black"/>
              </w:rPr>
            </w:pPr>
            <w:r>
              <w:rPr>
                <w:noProof/>
                <w:color w:val="000000"/>
                <w:highlight w:val="black"/>
              </w:rPr>
              <w:t>'''''''''''''''</w:t>
            </w:r>
          </w:p>
        </w:tc>
        <w:tc>
          <w:tcPr>
            <w:tcW w:w="294"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75"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68"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48"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74"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74" w:type="pct"/>
            <w:shd w:val="clear" w:color="auto" w:fill="BFBFBF" w:themeFill="background1" w:themeFillShade="BF"/>
            <w:vAlign w:val="center"/>
          </w:tcPr>
          <w:p w:rsidR="000A2FFD" w:rsidRPr="000F47B5" w:rsidRDefault="000F47B5" w:rsidP="00077582">
            <w:pPr>
              <w:pStyle w:val="PbacTableHeading"/>
              <w:spacing w:before="20" w:after="20"/>
              <w:jc w:val="center"/>
              <w:rPr>
                <w:highlight w:val="black"/>
              </w:rPr>
            </w:pPr>
            <w:r>
              <w:rPr>
                <w:noProof/>
                <w:color w:val="000000"/>
                <w:highlight w:val="black"/>
              </w:rPr>
              <w:t>'''''''''''''''</w:t>
            </w:r>
          </w:p>
        </w:tc>
        <w:tc>
          <w:tcPr>
            <w:tcW w:w="276"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75"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c>
          <w:tcPr>
            <w:tcW w:w="275" w:type="pct"/>
            <w:shd w:val="clear" w:color="auto" w:fill="BFBFBF" w:themeFill="background1" w:themeFillShade="BF"/>
            <w:vAlign w:val="center"/>
          </w:tcPr>
          <w:p w:rsidR="000A2FFD" w:rsidRPr="000F47B5" w:rsidRDefault="000F47B5" w:rsidP="00077582">
            <w:pPr>
              <w:pStyle w:val="PbacTableHeading"/>
              <w:spacing w:before="20" w:after="20"/>
              <w:jc w:val="center"/>
              <w:rPr>
                <w:highlight w:val="black"/>
              </w:rPr>
            </w:pPr>
            <w:r>
              <w:rPr>
                <w:noProof/>
                <w:color w:val="000000"/>
                <w:highlight w:val="black"/>
              </w:rPr>
              <w:t>'''''''''''''</w:t>
            </w:r>
          </w:p>
        </w:tc>
        <w:tc>
          <w:tcPr>
            <w:tcW w:w="248" w:type="pct"/>
            <w:shd w:val="clear" w:color="auto" w:fill="BFBFBF" w:themeFill="background1" w:themeFillShade="BF"/>
            <w:vAlign w:val="center"/>
          </w:tcPr>
          <w:p w:rsidR="000A2FFD" w:rsidRPr="00387A27" w:rsidRDefault="00387A27" w:rsidP="00077582">
            <w:pPr>
              <w:pStyle w:val="PbacTableHeading"/>
              <w:spacing w:before="20" w:after="20"/>
              <w:jc w:val="center"/>
              <w:rPr>
                <w:highlight w:val="black"/>
              </w:rPr>
            </w:pPr>
            <w:r>
              <w:rPr>
                <w:noProof/>
                <w:color w:val="000000"/>
                <w:highlight w:val="black"/>
              </w:rPr>
              <w:t>''''''''''''''''</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rPr>
                <w:b w:val="0"/>
              </w:rPr>
              <w:t xml:space="preserve">Base-case with </w:t>
            </w:r>
            <w:proofErr w:type="spellStart"/>
            <w:r w:rsidRPr="009F2D6F">
              <w:rPr>
                <w:b w:val="0"/>
              </w:rPr>
              <w:t>siponimod</w:t>
            </w:r>
            <w:proofErr w:type="spellEnd"/>
            <w:r w:rsidRPr="009F2D6F">
              <w:rPr>
                <w:b w:val="0"/>
              </w:rPr>
              <w:t xml:space="preserve"> off-treatment transition probabilities corrected</w:t>
            </w:r>
          </w:p>
        </w:tc>
        <w:tc>
          <w:tcPr>
            <w:tcW w:w="28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rPr>
                <w:b w:val="0"/>
              </w:rPr>
              <w:t xml:space="preserve">Base-case with </w:t>
            </w:r>
            <w:proofErr w:type="spellStart"/>
            <w:r w:rsidRPr="009F2D6F">
              <w:rPr>
                <w:b w:val="0"/>
              </w:rPr>
              <w:t>siponimod</w:t>
            </w:r>
            <w:proofErr w:type="spellEnd"/>
            <w:r w:rsidRPr="009F2D6F">
              <w:rPr>
                <w:b w:val="0"/>
              </w:rPr>
              <w:t xml:space="preserve"> off-treatment transition probabilities corrected &amp; the same weighted DPMQ ($</w:t>
            </w:r>
            <w:r w:rsidR="00387A27">
              <w:rPr>
                <w:b w:val="0"/>
                <w:noProof/>
                <w:color w:val="000000"/>
                <w:highlight w:val="black"/>
              </w:rPr>
              <w:t>'''''''''''''''''''</w:t>
            </w:r>
            <w:r w:rsidRPr="009F2D6F">
              <w:rPr>
                <w:b w:val="0"/>
              </w:rPr>
              <w:t>) in each individual comparison</w:t>
            </w:r>
          </w:p>
        </w:tc>
        <w:tc>
          <w:tcPr>
            <w:tcW w:w="28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rPr>
                <w:b w:val="0"/>
              </w:rPr>
              <w:t xml:space="preserve">Base-case with </w:t>
            </w:r>
            <w:proofErr w:type="spellStart"/>
            <w:r w:rsidRPr="009F2D6F">
              <w:rPr>
                <w:b w:val="0"/>
              </w:rPr>
              <w:t>siponimod</w:t>
            </w:r>
            <w:proofErr w:type="spellEnd"/>
            <w:r w:rsidRPr="009F2D6F">
              <w:rPr>
                <w:b w:val="0"/>
              </w:rPr>
              <w:t xml:space="preserve"> off-treatment transition probabilities corrected, the same weighted DPMQ &amp; exclusion of NDIS costs</w:t>
            </w:r>
          </w:p>
        </w:tc>
        <w:tc>
          <w:tcPr>
            <w:tcW w:w="28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rPr>
                <w:b w:val="0"/>
              </w:rPr>
              <w:t xml:space="preserve">Base-case with </w:t>
            </w:r>
            <w:proofErr w:type="spellStart"/>
            <w:r w:rsidRPr="009F2D6F">
              <w:rPr>
                <w:b w:val="0"/>
              </w:rPr>
              <w:t>siponimod</w:t>
            </w:r>
            <w:proofErr w:type="spellEnd"/>
            <w:r w:rsidRPr="009F2D6F">
              <w:rPr>
                <w:b w:val="0"/>
              </w:rPr>
              <w:t xml:space="preserve"> off-treatment transition probabilities corrected, the same weighted DPMQ, exclusion of NDIS costs &amp; excluding double-counted OOP EDSS costs</w:t>
            </w:r>
          </w:p>
        </w:tc>
        <w:tc>
          <w:tcPr>
            <w:tcW w:w="28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shd w:val="clear" w:color="auto" w:fill="BFBFBF" w:themeFill="background1" w:themeFillShade="BF"/>
          </w:tcPr>
          <w:p w:rsidR="000A2FFD" w:rsidRPr="009F2D6F" w:rsidRDefault="000A2FFD" w:rsidP="00077582">
            <w:pPr>
              <w:pStyle w:val="PbacTableHeading"/>
              <w:spacing w:before="20" w:after="20"/>
              <w:rPr>
                <w:b w:val="0"/>
              </w:rPr>
            </w:pPr>
            <w:r w:rsidRPr="009F2D6F">
              <w:rPr>
                <w:b w:val="0"/>
              </w:rPr>
              <w:t xml:space="preserve">Base-case with </w:t>
            </w:r>
            <w:proofErr w:type="spellStart"/>
            <w:r w:rsidRPr="009F2D6F">
              <w:rPr>
                <w:b w:val="0"/>
              </w:rPr>
              <w:t>siponimod</w:t>
            </w:r>
            <w:proofErr w:type="spellEnd"/>
            <w:r w:rsidRPr="009F2D6F">
              <w:rPr>
                <w:b w:val="0"/>
              </w:rPr>
              <w:t xml:space="preserve"> off-treatment transition probabilities corrected, the same weighted DPMQ, exclusion of NDIS costs, excluding double-counted OOP EDSS costs &amp; using EXPAND EDSS </w:t>
            </w:r>
            <w:proofErr w:type="spellStart"/>
            <w:r w:rsidRPr="009F2D6F">
              <w:rPr>
                <w:b w:val="0"/>
              </w:rPr>
              <w:t>utilities</w:t>
            </w:r>
            <w:r w:rsidR="00AC528E" w:rsidRPr="009F2D6F">
              <w:rPr>
                <w:b w:val="0"/>
                <w:vertAlign w:val="superscript"/>
              </w:rPr>
              <w:t>a</w:t>
            </w:r>
            <w:proofErr w:type="spellEnd"/>
            <w:r w:rsidRPr="009F2D6F">
              <w:rPr>
                <w:b w:val="0"/>
              </w:rPr>
              <w:t xml:space="preserve"> (</w:t>
            </w:r>
            <w:r w:rsidRPr="009F2D6F">
              <w:rPr>
                <w:caps/>
              </w:rPr>
              <w:t>re-specified base</w:t>
            </w:r>
            <w:r w:rsidR="000B0BCA" w:rsidRPr="009F2D6F">
              <w:rPr>
                <w:caps/>
              </w:rPr>
              <w:t xml:space="preserve"> </w:t>
            </w:r>
            <w:r w:rsidRPr="009F2D6F">
              <w:rPr>
                <w:caps/>
              </w:rPr>
              <w:t>case</w:t>
            </w:r>
            <w:r w:rsidRPr="009F2D6F">
              <w:rPr>
                <w:b w:val="0"/>
              </w:rPr>
              <w:t>)</w:t>
            </w:r>
          </w:p>
        </w:tc>
        <w:tc>
          <w:tcPr>
            <w:tcW w:w="284"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shd w:val="clear" w:color="auto" w:fill="BFBFBF" w:themeFill="background1" w:themeFillShade="BF"/>
            <w:vAlign w:val="center"/>
          </w:tcPr>
          <w:p w:rsidR="000A2FFD" w:rsidRPr="000F47B5" w:rsidRDefault="000F47B5" w:rsidP="00077582">
            <w:pPr>
              <w:pStyle w:val="PbacTableHeading"/>
              <w:spacing w:before="20" w:after="20"/>
              <w:jc w:val="center"/>
              <w:rPr>
                <w:b w:val="0"/>
                <w:highlight w:val="black"/>
              </w:rPr>
            </w:pPr>
            <w:r>
              <w:rPr>
                <w:b w:val="0"/>
                <w:noProof/>
                <w:color w:val="000000"/>
                <w:highlight w:val="black"/>
              </w:rPr>
              <w:t>'''''''''''''''''</w:t>
            </w:r>
          </w:p>
        </w:tc>
        <w:tc>
          <w:tcPr>
            <w:tcW w:w="294"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shd w:val="clear" w:color="auto" w:fill="BFBFBF" w:themeFill="background1" w:themeFillShade="BF"/>
            <w:vAlign w:val="center"/>
          </w:tcPr>
          <w:p w:rsidR="000A2FFD" w:rsidRPr="000F47B5" w:rsidRDefault="000F47B5" w:rsidP="00077582">
            <w:pPr>
              <w:pStyle w:val="PbacTableHeading"/>
              <w:spacing w:before="20" w:after="20"/>
              <w:jc w:val="center"/>
              <w:rPr>
                <w:b w:val="0"/>
                <w:highlight w:val="black"/>
              </w:rPr>
            </w:pPr>
            <w:r>
              <w:rPr>
                <w:b w:val="0"/>
                <w:noProof/>
                <w:color w:val="000000"/>
                <w:highlight w:val="black"/>
              </w:rPr>
              <w:t>''''''''''''''''''''</w:t>
            </w:r>
          </w:p>
        </w:tc>
        <w:tc>
          <w:tcPr>
            <w:tcW w:w="268"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shd w:val="clear" w:color="auto" w:fill="BFBFBF" w:themeFill="background1" w:themeFillShade="BF"/>
            <w:vAlign w:val="center"/>
          </w:tcPr>
          <w:p w:rsidR="000A2FFD" w:rsidRPr="000F47B5" w:rsidRDefault="000F47B5" w:rsidP="00077582">
            <w:pPr>
              <w:pStyle w:val="PbacTableHeading"/>
              <w:spacing w:before="20" w:after="20"/>
              <w:jc w:val="center"/>
              <w:rPr>
                <w:b w:val="0"/>
                <w:highlight w:val="black"/>
              </w:rPr>
            </w:pPr>
            <w:r>
              <w:rPr>
                <w:b w:val="0"/>
                <w:noProof/>
                <w:color w:val="000000"/>
                <w:highlight w:val="black"/>
              </w:rPr>
              <w:t>'''''''''''''''</w:t>
            </w:r>
          </w:p>
        </w:tc>
        <w:tc>
          <w:tcPr>
            <w:tcW w:w="276"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shd w:val="clear" w:color="auto" w:fill="BFBFBF" w:themeFill="background1" w:themeFillShade="BF"/>
            <w:vAlign w:val="center"/>
          </w:tcPr>
          <w:p w:rsidR="000A2FFD" w:rsidRPr="000F47B5" w:rsidRDefault="000F47B5" w:rsidP="00077582">
            <w:pPr>
              <w:pStyle w:val="PbacTableHeading"/>
              <w:spacing w:before="20" w:after="20"/>
              <w:jc w:val="center"/>
              <w:rPr>
                <w:b w:val="0"/>
                <w:highlight w:val="black"/>
              </w:rPr>
            </w:pPr>
            <w:r>
              <w:rPr>
                <w:b w:val="0"/>
                <w:noProof/>
                <w:color w:val="000000"/>
                <w:highlight w:val="black"/>
              </w:rPr>
              <w:t>''''''''''''''''</w:t>
            </w:r>
          </w:p>
        </w:tc>
        <w:tc>
          <w:tcPr>
            <w:tcW w:w="248" w:type="pct"/>
            <w:shd w:val="clear" w:color="auto" w:fill="BFBFBF" w:themeFill="background1" w:themeFillShade="BF"/>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0A2FFD" w:rsidRPr="009F2D6F" w:rsidTr="0062759F">
        <w:trPr>
          <w:tblHeader/>
        </w:trPr>
        <w:tc>
          <w:tcPr>
            <w:tcW w:w="5000" w:type="pct"/>
            <w:gridSpan w:val="13"/>
            <w:shd w:val="clear" w:color="auto" w:fill="BFBFBF" w:themeFill="background1" w:themeFillShade="BF"/>
          </w:tcPr>
          <w:p w:rsidR="000A2FFD" w:rsidRPr="00387A27" w:rsidRDefault="00387A27" w:rsidP="00077582">
            <w:pPr>
              <w:pStyle w:val="PbacTableHeading"/>
              <w:spacing w:before="20" w:after="20"/>
              <w:rPr>
                <w:bCs/>
                <w:highlight w:val="black"/>
              </w:rPr>
            </w:pPr>
            <w:r>
              <w:rPr>
                <w:bCs/>
                <w:noProof/>
                <w:color w:val="000000"/>
                <w:highlight w:val="black"/>
              </w:rPr>
              <w:t>'''''''''''''''''''' '''''''''''''''''''' '''''' ''''''' '''''''''''''''''''''' ''''''''''' '''''''''</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t>Re-specified base</w:t>
            </w:r>
            <w:r w:rsidR="000B0BCA" w:rsidRPr="009F2D6F">
              <w:t xml:space="preserve"> </w:t>
            </w:r>
            <w:r w:rsidRPr="009F2D6F">
              <w:t>case</w:t>
            </w:r>
            <w:r w:rsidRPr="009F2D6F">
              <w:rPr>
                <w:b w:val="0"/>
              </w:rPr>
              <w:t xml:space="preserve"> wit</w:t>
            </w:r>
            <w:r w:rsidR="00AE3CC0" w:rsidRPr="009F2D6F">
              <w:rPr>
                <w:b w:val="0"/>
              </w:rPr>
              <w:t>h no DMT</w:t>
            </w:r>
            <w:r w:rsidRPr="009F2D6F">
              <w:rPr>
                <w:b w:val="0"/>
              </w:rPr>
              <w:t xml:space="preserve"> comparator treatment disutility (vs with (-0.052) in base-case)</w:t>
            </w:r>
          </w:p>
        </w:tc>
        <w:tc>
          <w:tcPr>
            <w:tcW w:w="284"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tcPr>
          <w:p w:rsidR="000A2FFD" w:rsidRPr="009F2D6F" w:rsidRDefault="000A2FFD" w:rsidP="00077582">
            <w:pPr>
              <w:pStyle w:val="PbacTableHeading"/>
              <w:spacing w:before="20" w:after="20"/>
              <w:rPr>
                <w:b w:val="0"/>
              </w:rPr>
            </w:pPr>
            <w:r w:rsidRPr="009F2D6F">
              <w:t>Re-specified base</w:t>
            </w:r>
            <w:r w:rsidR="000B0BCA" w:rsidRPr="009F2D6F">
              <w:t xml:space="preserve"> </w:t>
            </w:r>
            <w:r w:rsidRPr="009F2D6F">
              <w:t>case</w:t>
            </w:r>
            <w:r w:rsidRPr="009F2D6F">
              <w:rPr>
                <w:b w:val="0"/>
              </w:rPr>
              <w:t xml:space="preserve"> with EXPAND 6-month CDP HR upper (0.92) 95% CI around the HR (vs mean estimate (0.74) in base-case)</w:t>
            </w:r>
          </w:p>
        </w:tc>
        <w:tc>
          <w:tcPr>
            <w:tcW w:w="28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303"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9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6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4"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6"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75"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c>
          <w:tcPr>
            <w:tcW w:w="248" w:type="pct"/>
            <w:vAlign w:val="center"/>
          </w:tcPr>
          <w:p w:rsidR="000A2FFD" w:rsidRPr="00387A27" w:rsidRDefault="00387A27" w:rsidP="00077582">
            <w:pPr>
              <w:pStyle w:val="PbacTableHeading"/>
              <w:spacing w:before="20" w:after="20"/>
              <w:jc w:val="center"/>
              <w:rPr>
                <w:b w:val="0"/>
                <w:highlight w:val="black"/>
              </w:rPr>
            </w:pPr>
            <w:r>
              <w:rPr>
                <w:b w:val="0"/>
                <w:noProof/>
                <w:color w:val="000000"/>
                <w:highlight w:val="black"/>
              </w:rPr>
              <w:t>'''''''''''''''''''''''</w:t>
            </w:r>
          </w:p>
        </w:tc>
      </w:tr>
      <w:tr w:rsidR="007B167C" w:rsidRPr="009F2D6F" w:rsidTr="0062759F">
        <w:trPr>
          <w:tblHeader/>
        </w:trPr>
        <w:tc>
          <w:tcPr>
            <w:tcW w:w="1707" w:type="pct"/>
            <w:tcBorders>
              <w:top w:val="single" w:sz="4" w:space="0" w:color="auto"/>
              <w:left w:val="single" w:sz="4" w:space="0" w:color="auto"/>
              <w:bottom w:val="single" w:sz="4" w:space="0" w:color="auto"/>
              <w:right w:val="single" w:sz="4" w:space="0" w:color="auto"/>
            </w:tcBorders>
            <w:shd w:val="clear" w:color="auto" w:fill="auto"/>
          </w:tcPr>
          <w:p w:rsidR="007B167C" w:rsidRPr="009F2D6F" w:rsidRDefault="007B167C" w:rsidP="00077582">
            <w:pPr>
              <w:pStyle w:val="PbacTableHeading"/>
              <w:spacing w:before="20" w:after="20"/>
            </w:pPr>
            <w:r w:rsidRPr="009F2D6F">
              <w:rPr>
                <w:lang w:eastAsia="en-AU"/>
              </w:rPr>
              <w:t xml:space="preserve">Re-specified base-case </w:t>
            </w:r>
            <w:r w:rsidRPr="009F2D6F">
              <w:rPr>
                <w:b w:val="0"/>
                <w:lang w:eastAsia="en-AU"/>
              </w:rPr>
              <w:t xml:space="preserve">with transition probabilities corrected, the same weighted DPMQ, excluding double-counted OOP EDSS costs &amp; using EXPAND EDSS utilities </w:t>
            </w:r>
            <w:r w:rsidRPr="009F2D6F">
              <w:rPr>
                <w:u w:val="single"/>
                <w:lang w:eastAsia="en-AU"/>
              </w:rPr>
              <w:t>but including NDIS costs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7B167C" w:rsidRPr="00387A27" w:rsidRDefault="00387A27" w:rsidP="00077582">
            <w:pPr>
              <w:pStyle w:val="PbacTableHeading"/>
              <w:spacing w:before="20" w:after="20"/>
              <w:jc w:val="center"/>
              <w:rPr>
                <w:b w:val="0"/>
                <w:highlight w:val="black"/>
              </w:rPr>
            </w:pPr>
            <w:r>
              <w:rPr>
                <w:b w:val="0"/>
                <w:noProof/>
                <w:color w:val="000000"/>
                <w:highlight w:val="black"/>
                <w:lang w:eastAsia="en-AU"/>
              </w:rPr>
              <w:t>''''''''''''''''''''''''</w:t>
            </w:r>
          </w:p>
        </w:tc>
      </w:tr>
    </w:tbl>
    <w:p w:rsidR="00833698" w:rsidRPr="009F2D6F" w:rsidRDefault="00AE3CC0" w:rsidP="00077582">
      <w:pPr>
        <w:widowControl/>
        <w:rPr>
          <w:rFonts w:ascii="Arial Narrow" w:hAnsi="Arial Narrow"/>
          <w:sz w:val="18"/>
          <w:szCs w:val="18"/>
        </w:rPr>
      </w:pPr>
      <w:r w:rsidRPr="009F2D6F">
        <w:rPr>
          <w:rFonts w:ascii="Arial Narrow" w:hAnsi="Arial Narrow"/>
          <w:sz w:val="18"/>
          <w:szCs w:val="18"/>
        </w:rPr>
        <w:t xml:space="preserve">Abbreviations: NDIS = National Disability Insurance Scheme; OOP = Out-of-pocket; EDSS = Expanded Disability Status Scale; DMT = disease modifying therapy; HR = Hazard ratio; SIP = </w:t>
      </w:r>
      <w:proofErr w:type="spellStart"/>
      <w:r w:rsidRPr="009F2D6F">
        <w:rPr>
          <w:rFonts w:ascii="Arial Narrow" w:hAnsi="Arial Narrow"/>
          <w:sz w:val="18"/>
          <w:szCs w:val="18"/>
        </w:rPr>
        <w:t>Siponimod</w:t>
      </w:r>
      <w:proofErr w:type="spellEnd"/>
      <w:r w:rsidRPr="009F2D6F">
        <w:rPr>
          <w:rFonts w:ascii="Arial Narrow" w:hAnsi="Arial Narrow"/>
          <w:sz w:val="18"/>
          <w:szCs w:val="18"/>
        </w:rPr>
        <w:t xml:space="preserve">; PBO = Placebo; IFN = Interferon; GA = </w:t>
      </w:r>
      <w:proofErr w:type="spellStart"/>
      <w:r w:rsidRPr="009F2D6F">
        <w:rPr>
          <w:rFonts w:ascii="Arial Narrow" w:hAnsi="Arial Narrow"/>
          <w:sz w:val="18"/>
          <w:szCs w:val="18"/>
        </w:rPr>
        <w:t>Glatiramer</w:t>
      </w:r>
      <w:proofErr w:type="spellEnd"/>
      <w:r w:rsidRPr="009F2D6F">
        <w:rPr>
          <w:rFonts w:ascii="Arial Narrow" w:hAnsi="Arial Narrow"/>
          <w:sz w:val="18"/>
          <w:szCs w:val="18"/>
        </w:rPr>
        <w:t xml:space="preserve"> acetate ICER = incremental cost-effectiveness ratio; IFN-beta = interferon-beta; NAT = </w:t>
      </w:r>
      <w:proofErr w:type="spellStart"/>
      <w:r w:rsidRPr="009F2D6F">
        <w:rPr>
          <w:rFonts w:ascii="Arial Narrow" w:hAnsi="Arial Narrow"/>
          <w:sz w:val="18"/>
          <w:szCs w:val="18"/>
        </w:rPr>
        <w:t>Natalizumab</w:t>
      </w:r>
      <w:proofErr w:type="spellEnd"/>
      <w:r w:rsidRPr="009F2D6F">
        <w:rPr>
          <w:rFonts w:ascii="Arial Narrow" w:hAnsi="Arial Narrow"/>
          <w:sz w:val="18"/>
          <w:szCs w:val="18"/>
        </w:rPr>
        <w:t xml:space="preserve">; </w:t>
      </w:r>
      <w:proofErr w:type="spellStart"/>
      <w:r w:rsidRPr="009F2D6F">
        <w:rPr>
          <w:rFonts w:ascii="Arial Narrow" w:hAnsi="Arial Narrow"/>
          <w:sz w:val="18"/>
          <w:szCs w:val="18"/>
        </w:rPr>
        <w:t>Inc</w:t>
      </w:r>
      <w:proofErr w:type="spellEnd"/>
      <w:r w:rsidRPr="009F2D6F">
        <w:rPr>
          <w:rFonts w:ascii="Arial Narrow" w:hAnsi="Arial Narrow"/>
          <w:sz w:val="18"/>
          <w:szCs w:val="18"/>
        </w:rPr>
        <w:t xml:space="preserve"> = incremental; QALY = quality adjusted life year</w:t>
      </w:r>
    </w:p>
    <w:p w:rsidR="00833698" w:rsidRPr="009F2D6F" w:rsidRDefault="00246253" w:rsidP="00077582">
      <w:pPr>
        <w:widowControl/>
        <w:rPr>
          <w:rFonts w:ascii="Arial Narrow" w:hAnsi="Arial Narrow"/>
          <w:sz w:val="18"/>
          <w:szCs w:val="18"/>
        </w:rPr>
      </w:pPr>
      <w:proofErr w:type="gramStart"/>
      <w:r w:rsidRPr="009F2D6F">
        <w:rPr>
          <w:rFonts w:ascii="Arial Narrow" w:hAnsi="Arial Narrow"/>
          <w:sz w:val="18"/>
          <w:szCs w:val="18"/>
          <w:vertAlign w:val="superscript"/>
        </w:rPr>
        <w:t>a</w:t>
      </w:r>
      <w:proofErr w:type="gramEnd"/>
      <w:r w:rsidR="00833698" w:rsidRPr="009F2D6F">
        <w:rPr>
          <w:rFonts w:ascii="Arial Narrow" w:hAnsi="Arial Narrow"/>
          <w:sz w:val="18"/>
          <w:szCs w:val="18"/>
        </w:rPr>
        <w:t xml:space="preserve"> From EXPAND mixed effects model in submission (Table 3.14, pg.233 of submission), and making an assumption to apply the utility value of </w:t>
      </w:r>
      <w:r w:rsidR="00387A27">
        <w:rPr>
          <w:rFonts w:ascii="Arial Narrow" w:hAnsi="Arial Narrow"/>
          <w:noProof/>
          <w:color w:val="000000"/>
          <w:sz w:val="18"/>
          <w:szCs w:val="18"/>
          <w:highlight w:val="black"/>
        </w:rPr>
        <w:t>'''''''''''''''</w:t>
      </w:r>
      <w:r w:rsidR="00833698" w:rsidRPr="009F2D6F">
        <w:rPr>
          <w:rFonts w:ascii="Arial Narrow" w:hAnsi="Arial Narrow"/>
          <w:sz w:val="18"/>
          <w:szCs w:val="18"/>
        </w:rPr>
        <w:t xml:space="preserve"> (for EDSS 2) also to EDSS 1</w:t>
      </w:r>
    </w:p>
    <w:p w:rsidR="00833698" w:rsidRPr="009F2D6F" w:rsidRDefault="00833698" w:rsidP="00077582">
      <w:pPr>
        <w:widowControl/>
        <w:rPr>
          <w:rFonts w:ascii="Arial Narrow" w:hAnsi="Arial Narrow"/>
          <w:sz w:val="18"/>
          <w:szCs w:val="18"/>
        </w:rPr>
        <w:sectPr w:rsidR="00833698" w:rsidRPr="009F2D6F" w:rsidSect="009108EA">
          <w:headerReference w:type="default" r:id="rId14"/>
          <w:pgSz w:w="16840" w:h="11907" w:orient="landscape" w:code="9"/>
          <w:pgMar w:top="1304" w:right="1134" w:bottom="1304" w:left="1134" w:header="1440" w:footer="1440" w:gutter="0"/>
          <w:cols w:space="708"/>
          <w:docGrid w:linePitch="360"/>
        </w:sectPr>
      </w:pPr>
    </w:p>
    <w:p w:rsidR="00C86144" w:rsidRPr="007D4FA1" w:rsidRDefault="00C86144" w:rsidP="00C86144">
      <w:pPr>
        <w:pStyle w:val="CommentText"/>
        <w:rPr>
          <w:rFonts w:asciiTheme="minorHAnsi" w:hAnsiTheme="minorHAnsi" w:cstheme="minorHAnsi"/>
          <w:sz w:val="24"/>
          <w:szCs w:val="24"/>
        </w:rPr>
      </w:pPr>
      <w:r w:rsidRPr="007D4FA1">
        <w:rPr>
          <w:rFonts w:asciiTheme="minorHAnsi" w:hAnsiTheme="minorHAnsi" w:cstheme="minorHAnsi"/>
          <w:sz w:val="24"/>
          <w:szCs w:val="24"/>
        </w:rPr>
        <w:lastRenderedPageBreak/>
        <w:t>The redacted table shows that further adjustments to the re-specified base case with no DMT comparator treatment disutility and use of 95%CI around the 6-month CDP HR increased the weighted ICER to</w:t>
      </w:r>
      <w:r w:rsidR="00875956" w:rsidRPr="007D4FA1">
        <w:rPr>
          <w:rFonts w:asciiTheme="minorHAnsi" w:hAnsiTheme="minorHAnsi" w:cstheme="minorHAnsi"/>
          <w:sz w:val="24"/>
          <w:szCs w:val="24"/>
        </w:rPr>
        <w:t xml:space="preserve"> more than </w:t>
      </w:r>
      <w:r w:rsidRPr="007D4FA1">
        <w:rPr>
          <w:rFonts w:asciiTheme="minorHAnsi" w:hAnsiTheme="minorHAnsi" w:cstheme="minorHAnsi"/>
          <w:sz w:val="24"/>
          <w:szCs w:val="24"/>
        </w:rPr>
        <w:t>$</w:t>
      </w:r>
      <w:r w:rsidR="00875956" w:rsidRPr="007D4FA1">
        <w:rPr>
          <w:rFonts w:asciiTheme="minorHAnsi" w:hAnsiTheme="minorHAnsi" w:cstheme="minorHAnsi"/>
          <w:sz w:val="24"/>
          <w:szCs w:val="24"/>
        </w:rPr>
        <w:t>200,000</w:t>
      </w:r>
      <w:r w:rsidRPr="007D4FA1">
        <w:rPr>
          <w:rFonts w:asciiTheme="minorHAnsi" w:hAnsiTheme="minorHAnsi" w:cstheme="minorHAnsi"/>
          <w:sz w:val="24"/>
          <w:szCs w:val="24"/>
        </w:rPr>
        <w:t xml:space="preserve"> per QALY gained.</w:t>
      </w:r>
    </w:p>
    <w:p w:rsidR="00C86144" w:rsidRPr="007D4FA1" w:rsidRDefault="00C86144" w:rsidP="00C86144">
      <w:pPr>
        <w:pStyle w:val="CommentText"/>
        <w:rPr>
          <w:rFonts w:asciiTheme="minorHAnsi" w:hAnsiTheme="minorHAnsi" w:cstheme="minorHAnsi"/>
          <w:sz w:val="24"/>
          <w:szCs w:val="24"/>
        </w:rPr>
      </w:pPr>
    </w:p>
    <w:p w:rsidR="00C86144" w:rsidRPr="007D4FA1" w:rsidRDefault="00C86144" w:rsidP="00C86144">
      <w:pPr>
        <w:widowControl/>
        <w:rPr>
          <w:rFonts w:asciiTheme="minorHAnsi" w:hAnsiTheme="minorHAnsi" w:cstheme="minorHAnsi"/>
          <w:szCs w:val="24"/>
        </w:rPr>
      </w:pPr>
      <w:r w:rsidRPr="007D4FA1">
        <w:rPr>
          <w:rFonts w:asciiTheme="minorHAnsi" w:hAnsiTheme="minorHAnsi" w:cstheme="minorHAnsi"/>
          <w:szCs w:val="24"/>
        </w:rPr>
        <w:t>Additional analyses that include corrected transition probabilities, the same weighted DPMQ, excluding double-counted OOP EDSS costs, using EXPAND EDSS utilities and including NDIS costs resulted in a weighted ICER of</w:t>
      </w:r>
      <w:r w:rsidR="00875956" w:rsidRPr="007D4FA1">
        <w:rPr>
          <w:rFonts w:asciiTheme="minorHAnsi" w:hAnsiTheme="minorHAnsi" w:cstheme="minorHAnsi"/>
          <w:szCs w:val="24"/>
        </w:rPr>
        <w:t xml:space="preserve"> more than</w:t>
      </w:r>
      <w:r w:rsidRPr="007D4FA1">
        <w:rPr>
          <w:rFonts w:asciiTheme="minorHAnsi" w:hAnsiTheme="minorHAnsi" w:cstheme="minorHAnsi"/>
          <w:szCs w:val="24"/>
        </w:rPr>
        <w:t xml:space="preserve"> $</w:t>
      </w:r>
      <w:r w:rsidR="00875956" w:rsidRPr="007D4FA1">
        <w:rPr>
          <w:rFonts w:asciiTheme="minorHAnsi" w:hAnsiTheme="minorHAnsi" w:cstheme="minorHAnsi"/>
          <w:szCs w:val="24"/>
        </w:rPr>
        <w:t>200,000</w:t>
      </w:r>
      <w:r w:rsidRPr="007D4FA1">
        <w:rPr>
          <w:rFonts w:asciiTheme="minorHAnsi" w:hAnsiTheme="minorHAnsi" w:cstheme="minorHAnsi"/>
          <w:szCs w:val="24"/>
        </w:rPr>
        <w:t xml:space="preserve"> per QALY gained.</w:t>
      </w:r>
    </w:p>
    <w:p w:rsidR="00C86144" w:rsidRDefault="00C86144" w:rsidP="00C86144">
      <w:pPr>
        <w:widowControl/>
      </w:pPr>
    </w:p>
    <w:p w:rsidR="00D7602F" w:rsidRDefault="005732E7" w:rsidP="00077582">
      <w:pPr>
        <w:pStyle w:val="ListParagraph"/>
        <w:widowControl/>
        <w:numPr>
          <w:ilvl w:val="1"/>
          <w:numId w:val="2"/>
        </w:numPr>
      </w:pPr>
      <w:r>
        <w:t xml:space="preserve">The </w:t>
      </w:r>
      <w:r w:rsidR="009F3E88">
        <w:t>p</w:t>
      </w:r>
      <w:r>
        <w:t>re-PBAC Respons</w:t>
      </w:r>
      <w:r w:rsidR="00F839F2">
        <w:t>e</w:t>
      </w:r>
      <w:r>
        <w:t xml:space="preserve"> maintained the BAC-MS</w:t>
      </w:r>
      <w:r w:rsidR="00CA5E1F">
        <w:t xml:space="preserve"> cohort study</w:t>
      </w:r>
      <w:r>
        <w:t xml:space="preserve"> was the most </w:t>
      </w:r>
      <w:r w:rsidR="00CA5E1F">
        <w:t xml:space="preserve">appropriate source of treatment costs and utilities in the Australian setting, and the EQ-5D-5L </w:t>
      </w:r>
      <w:proofErr w:type="spellStart"/>
      <w:r w:rsidR="00CA5E1F">
        <w:t>QoL</w:t>
      </w:r>
      <w:proofErr w:type="spellEnd"/>
      <w:r w:rsidR="00CA5E1F">
        <w:t xml:space="preserve"> instrument used was more relevant and sensitive to </w:t>
      </w:r>
      <w:proofErr w:type="spellStart"/>
      <w:r w:rsidR="00CA5E1F">
        <w:t>QoL</w:t>
      </w:r>
      <w:proofErr w:type="spellEnd"/>
      <w:r w:rsidR="00CA5E1F">
        <w:t xml:space="preserve"> impacts than the -3L tool used in the EXPAND trial and therefore was a better source for treatments costs and utilities in the model. The </w:t>
      </w:r>
      <w:r w:rsidR="009F3E88">
        <w:t>p</w:t>
      </w:r>
      <w:r w:rsidR="00CA5E1F">
        <w:t>re-PBAC Response also proposed a revised economic model which</w:t>
      </w:r>
      <w:r w:rsidR="009F3E88">
        <w:t>:</w:t>
      </w:r>
      <w:r w:rsidR="00CA5E1F">
        <w:t xml:space="preserve"> corrected off-treatment transition probabilities</w:t>
      </w:r>
      <w:r w:rsidR="009F3E88">
        <w:t>; used the</w:t>
      </w:r>
      <w:r w:rsidR="00CA5E1F">
        <w:t xml:space="preserve"> comparator disutilities for RRMS DMTs used in the </w:t>
      </w:r>
      <w:proofErr w:type="spellStart"/>
      <w:r w:rsidR="00CA5E1F">
        <w:t>fingolimod</w:t>
      </w:r>
      <w:proofErr w:type="spellEnd"/>
      <w:r w:rsidR="00CA5E1F">
        <w:t xml:space="preserve"> model (March 2011 PBAC)</w:t>
      </w:r>
      <w:r w:rsidR="009F3E88">
        <w:t>;</w:t>
      </w:r>
      <w:r w:rsidR="00CA5E1F">
        <w:t xml:space="preserve"> adjust</w:t>
      </w:r>
      <w:r w:rsidR="009F3E88">
        <w:t>ed</w:t>
      </w:r>
      <w:r w:rsidR="00CA5E1F">
        <w:t xml:space="preserve"> the health state utilities in EDSS 8 and 9 to 0</w:t>
      </w:r>
      <w:r w:rsidR="009F3E88">
        <w:t>;</w:t>
      </w:r>
      <w:r w:rsidR="00CA5E1F">
        <w:t xml:space="preserve"> and chang</w:t>
      </w:r>
      <w:r w:rsidR="009F3E88">
        <w:t>ed</w:t>
      </w:r>
      <w:r w:rsidR="00CA5E1F">
        <w:t xml:space="preserve"> the model so no patients were commencing at EDSS 1 or 2</w:t>
      </w:r>
      <w:r w:rsidR="009F3E88">
        <w:t xml:space="preserve">. The revised model </w:t>
      </w:r>
      <w:r w:rsidR="007B275C">
        <w:t>retained costs and utilities (including NDIS costs) derived from the BAC-MS study</w:t>
      </w:r>
      <w:r w:rsidR="00CA5E1F">
        <w:t xml:space="preserve">. The resultant </w:t>
      </w:r>
      <w:r w:rsidR="009F3E88">
        <w:t>p</w:t>
      </w:r>
      <w:r w:rsidR="00CA5E1F">
        <w:t xml:space="preserve">re-PBAC revised base case </w:t>
      </w:r>
      <w:r w:rsidR="009F3E88">
        <w:t xml:space="preserve">weighted </w:t>
      </w:r>
      <w:r w:rsidR="00CA5E1F">
        <w:t xml:space="preserve">ICER was </w:t>
      </w:r>
      <w:r w:rsidR="00C15B24">
        <w:t>$1</w:t>
      </w:r>
      <w:r w:rsidR="00875956">
        <w:t>0</w:t>
      </w:r>
      <w:r w:rsidR="00C15B24">
        <w:t>5,000 - $</w:t>
      </w:r>
      <w:r w:rsidR="00875956">
        <w:t>200</w:t>
      </w:r>
      <w:r w:rsidR="00C15B24">
        <w:t>,000</w:t>
      </w:r>
      <w:r w:rsidR="00CA5E1F">
        <w:t>/QALY.</w:t>
      </w:r>
      <w:r w:rsidR="005E2F6E">
        <w:t xml:space="preserve"> </w:t>
      </w:r>
    </w:p>
    <w:p w:rsidR="00D7602F" w:rsidRDefault="00D7602F" w:rsidP="00077582">
      <w:pPr>
        <w:pStyle w:val="ListParagraph"/>
        <w:widowControl/>
        <w:numPr>
          <w:ilvl w:val="1"/>
          <w:numId w:val="2"/>
        </w:numPr>
      </w:pPr>
      <w:r>
        <w:rPr>
          <w:rFonts w:asciiTheme="minorHAnsi" w:hAnsiTheme="minorHAnsi"/>
          <w:bCs/>
          <w:lang w:val="en-GB"/>
        </w:rPr>
        <w:t xml:space="preserve">The PBAC </w:t>
      </w:r>
      <w:r w:rsidR="00BD08B3">
        <w:rPr>
          <w:rFonts w:asciiTheme="minorHAnsi" w:hAnsiTheme="minorHAnsi"/>
          <w:bCs/>
          <w:lang w:val="en-GB"/>
        </w:rPr>
        <w:t xml:space="preserve">noted the revised model provided in the pre-PBAC response. However, the PBAC </w:t>
      </w:r>
      <w:r w:rsidR="00EF0740">
        <w:rPr>
          <w:rFonts w:asciiTheme="minorHAnsi" w:hAnsiTheme="minorHAnsi"/>
          <w:bCs/>
          <w:lang w:val="en-GB"/>
        </w:rPr>
        <w:t xml:space="preserve">considered the weighted ICER an unreliable basis to assess the cost-effectiveness of </w:t>
      </w:r>
      <w:proofErr w:type="spellStart"/>
      <w:r w:rsidR="00EF0740">
        <w:rPr>
          <w:rFonts w:asciiTheme="minorHAnsi" w:hAnsiTheme="minorHAnsi"/>
          <w:bCs/>
          <w:lang w:val="en-GB"/>
        </w:rPr>
        <w:t>siponimod</w:t>
      </w:r>
      <w:proofErr w:type="spellEnd"/>
      <w:r w:rsidR="00EF0740">
        <w:rPr>
          <w:rFonts w:asciiTheme="minorHAnsi" w:hAnsiTheme="minorHAnsi"/>
          <w:bCs/>
          <w:lang w:val="en-GB"/>
        </w:rPr>
        <w:t xml:space="preserve"> because the cost-effectiveness of DMTs has not previously been assessed for this specific patient population, and the implausible assumptions regarding no clinical benefit </w:t>
      </w:r>
      <w:r w:rsidR="00301358">
        <w:rPr>
          <w:rFonts w:asciiTheme="minorHAnsi" w:hAnsiTheme="minorHAnsi"/>
          <w:bCs/>
          <w:lang w:val="en-GB"/>
        </w:rPr>
        <w:t xml:space="preserve">of the DMTs </w:t>
      </w:r>
      <w:r w:rsidR="00EF0740">
        <w:rPr>
          <w:rFonts w:asciiTheme="minorHAnsi" w:hAnsiTheme="minorHAnsi"/>
          <w:bCs/>
          <w:lang w:val="en-GB"/>
        </w:rPr>
        <w:t>together with reduced quality of life</w:t>
      </w:r>
      <w:r>
        <w:rPr>
          <w:rFonts w:asciiTheme="minorHAnsi" w:hAnsiTheme="minorHAnsi"/>
          <w:bCs/>
          <w:lang w:val="en-GB"/>
        </w:rPr>
        <w:t>.</w:t>
      </w:r>
    </w:p>
    <w:p w:rsidR="005F6BFA" w:rsidRPr="009F2D6F" w:rsidRDefault="005732E7" w:rsidP="00077582">
      <w:pPr>
        <w:pStyle w:val="ListParagraph"/>
        <w:widowControl/>
        <w:numPr>
          <w:ilvl w:val="1"/>
          <w:numId w:val="2"/>
        </w:numPr>
      </w:pPr>
      <w:r>
        <w:t xml:space="preserve">Average </w:t>
      </w:r>
      <w:r w:rsidR="005F6BFA" w:rsidRPr="009F2D6F">
        <w:t>EDSS health state over time by treatment arm is shown in</w:t>
      </w:r>
      <w:r w:rsidR="00DC0BD6" w:rsidRPr="009F2D6F">
        <w:t xml:space="preserve"> </w:t>
      </w:r>
      <w:r w:rsidR="00654F36" w:rsidRPr="00654F36">
        <w:t>Figure 2</w:t>
      </w:r>
      <w:r w:rsidR="005F6BFA" w:rsidRPr="009F2D6F">
        <w:t>. All comparator arms had the same transition probabilities</w:t>
      </w:r>
      <w:r w:rsidR="000B0BCA" w:rsidRPr="009F2D6F">
        <w:t>;</w:t>
      </w:r>
      <w:r w:rsidR="005F6BFA" w:rsidRPr="009F2D6F">
        <w:t xml:space="preserve"> as such</w:t>
      </w:r>
      <w:r w:rsidR="000B0BCA" w:rsidRPr="009F2D6F">
        <w:t>,</w:t>
      </w:r>
      <w:r w:rsidR="005F6BFA" w:rsidRPr="009F2D6F">
        <w:t xml:space="preserve"> the placebo arm is representative of all three comparator arms. However, the </w:t>
      </w:r>
      <w:proofErr w:type="spellStart"/>
      <w:r w:rsidR="005F6BFA" w:rsidRPr="009F2D6F">
        <w:t>siponimod</w:t>
      </w:r>
      <w:proofErr w:type="spellEnd"/>
      <w:r w:rsidR="005F6BFA" w:rsidRPr="009F2D6F">
        <w:t xml:space="preserve"> curve in this Markov trace should be treated with caution for the reason described in paragraph </w:t>
      </w:r>
      <w:r w:rsidR="00654F36">
        <w:t>6.43</w:t>
      </w:r>
      <w:r w:rsidR="00A1337C" w:rsidRPr="009F2D6F">
        <w:t xml:space="preserve"> (the error in the transitions in the model)</w:t>
      </w:r>
      <w:r w:rsidR="005F6BFA" w:rsidRPr="009F2D6F">
        <w:t>.</w:t>
      </w:r>
    </w:p>
    <w:p w:rsidR="00755D85" w:rsidRPr="009F2D6F" w:rsidRDefault="00DC0BD6" w:rsidP="00077582">
      <w:pPr>
        <w:pStyle w:val="Caption"/>
        <w:keepNext/>
        <w:widowControl/>
        <w:spacing w:after="0"/>
        <w:rPr>
          <w:rFonts w:ascii="Arial Narrow" w:hAnsi="Arial Narrow"/>
          <w:color w:val="auto"/>
          <w:sz w:val="20"/>
          <w:szCs w:val="20"/>
        </w:rPr>
      </w:pPr>
      <w:bookmarkStart w:id="29" w:name="_Ref18686885"/>
      <w:r w:rsidRPr="009F2D6F">
        <w:rPr>
          <w:rFonts w:ascii="Arial Narrow" w:hAnsi="Arial Narrow"/>
          <w:color w:val="auto"/>
          <w:sz w:val="20"/>
          <w:szCs w:val="20"/>
        </w:rPr>
        <w:lastRenderedPageBreak/>
        <w:t xml:space="preserve">Figure </w:t>
      </w:r>
      <w:r w:rsidR="00654F36">
        <w:rPr>
          <w:rFonts w:ascii="Arial Narrow" w:hAnsi="Arial Narrow"/>
          <w:noProof/>
          <w:color w:val="auto"/>
          <w:sz w:val="20"/>
          <w:szCs w:val="20"/>
        </w:rPr>
        <w:t>2</w:t>
      </w:r>
      <w:bookmarkEnd w:id="29"/>
      <w:r w:rsidRPr="009F2D6F">
        <w:rPr>
          <w:rFonts w:ascii="Arial Narrow" w:hAnsi="Arial Narrow"/>
          <w:color w:val="auto"/>
          <w:sz w:val="20"/>
          <w:szCs w:val="20"/>
        </w:rPr>
        <w:t>: Markov traces – average EDSS health state over time</w:t>
      </w:r>
    </w:p>
    <w:p w:rsidR="005F6BFA" w:rsidRPr="009F2D6F" w:rsidRDefault="00387A27" w:rsidP="00077582">
      <w:pPr>
        <w:widowControl/>
        <w:jc w:val="left"/>
      </w:pPr>
      <w:r>
        <w:rPr>
          <w:noProof/>
          <w:snapToGrid/>
          <w:lang w:eastAsia="en-AU"/>
        </w:rPr>
        <w:drawing>
          <wp:inline distT="0" distB="0" distL="0" distR="0">
            <wp:extent cx="4911090" cy="3190875"/>
            <wp:effectExtent l="0" t="0" r="3810" b="9525"/>
            <wp:docPr id="1" name="Picture 1" title="Figure 2: Markov traces – average EDSS health state over tim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11090" cy="3190875"/>
                    </a:xfrm>
                    <a:prstGeom prst="rect">
                      <a:avLst/>
                    </a:prstGeom>
                  </pic:spPr>
                </pic:pic>
              </a:graphicData>
            </a:graphic>
          </wp:inline>
        </w:drawing>
      </w:r>
    </w:p>
    <w:p w:rsidR="005F6BFA" w:rsidRPr="009F2D6F" w:rsidRDefault="005F6BFA" w:rsidP="00077582">
      <w:pPr>
        <w:pStyle w:val="TableFooter"/>
        <w:widowControl/>
      </w:pPr>
      <w:r w:rsidRPr="009F2D6F">
        <w:t>Source: Figure 3.14 (pg. 314) of the submission</w:t>
      </w:r>
    </w:p>
    <w:p w:rsidR="005A373D" w:rsidRPr="009F2D6F" w:rsidRDefault="005A373D" w:rsidP="00077582">
      <w:pPr>
        <w:widowControl/>
      </w:pPr>
    </w:p>
    <w:p w:rsidR="00C25D9C" w:rsidRPr="009F2D6F" w:rsidRDefault="00C25D9C" w:rsidP="00490DF3">
      <w:pPr>
        <w:pStyle w:val="Heading2"/>
        <w:keepNext/>
        <w:widowControl/>
      </w:pPr>
      <w:bookmarkStart w:id="30" w:name="_Toc18693501"/>
      <w:r w:rsidRPr="009F2D6F">
        <w:t>Drug cost/patient/year</w:t>
      </w:r>
      <w:bookmarkEnd w:id="30"/>
    </w:p>
    <w:p w:rsidR="00C25D9C" w:rsidRPr="009F2D6F" w:rsidRDefault="00C25D9C" w:rsidP="00077582">
      <w:pPr>
        <w:keepNext/>
        <w:widowControl/>
      </w:pPr>
    </w:p>
    <w:p w:rsidR="00F07B7E" w:rsidRPr="009F2D6F" w:rsidRDefault="00141057" w:rsidP="00216ABD">
      <w:pPr>
        <w:pStyle w:val="ListParagraph"/>
        <w:widowControl/>
        <w:numPr>
          <w:ilvl w:val="1"/>
          <w:numId w:val="2"/>
        </w:numPr>
        <w:spacing w:after="240"/>
        <w:rPr>
          <w:rFonts w:asciiTheme="minorHAnsi" w:hAnsiTheme="minorHAnsi" w:cstheme="minorHAnsi"/>
          <w:szCs w:val="24"/>
          <w:lang w:eastAsia="en-AU"/>
        </w:rPr>
      </w:pPr>
      <w:r w:rsidRPr="009F2D6F">
        <w:t xml:space="preserve">The cost of </w:t>
      </w:r>
      <w:proofErr w:type="spellStart"/>
      <w:r w:rsidRPr="009F2D6F">
        <w:t>siponimod</w:t>
      </w:r>
      <w:proofErr w:type="spellEnd"/>
      <w:r w:rsidRPr="009F2D6F">
        <w:t xml:space="preserve"> per year is $</w:t>
      </w:r>
      <w:r w:rsidR="00387A27">
        <w:rPr>
          <w:noProof/>
          <w:color w:val="000000"/>
          <w:highlight w:val="black"/>
        </w:rPr>
        <w:t>''''''''''''''''''''</w:t>
      </w:r>
      <w:r w:rsidR="00C9235F" w:rsidRPr="009F2D6F">
        <w:t xml:space="preserve">, representing 13.04 </w:t>
      </w:r>
      <w:r w:rsidR="00C35D3B" w:rsidRPr="009F2D6F">
        <w:t>packs</w:t>
      </w:r>
      <w:r w:rsidR="00C9235F" w:rsidRPr="009F2D6F">
        <w:t xml:space="preserve"> per year with a requested effective DPMQ of $</w:t>
      </w:r>
      <w:r w:rsidR="00387A27">
        <w:rPr>
          <w:noProof/>
          <w:color w:val="000000"/>
          <w:highlight w:val="black"/>
        </w:rPr>
        <w:t>'''''''''''''''</w:t>
      </w:r>
      <w:r w:rsidR="00C9235F" w:rsidRPr="009F2D6F">
        <w:t>.</w:t>
      </w:r>
      <w:r w:rsidRPr="009F2D6F">
        <w:t xml:space="preserve"> Treatment is ongoing until a patient no longer satisfies the criteria in the requested PBS restrictions for continuing treatment. </w:t>
      </w:r>
      <w:r w:rsidR="00DC0BD6" w:rsidRPr="009F2D6F">
        <w:t xml:space="preserve">This estimated cost for </w:t>
      </w:r>
      <w:proofErr w:type="spellStart"/>
      <w:r w:rsidR="00DC0BD6" w:rsidRPr="009F2D6F">
        <w:t>siponimod</w:t>
      </w:r>
      <w:proofErr w:type="spellEnd"/>
      <w:r w:rsidR="00DC0BD6" w:rsidRPr="009F2D6F">
        <w:t xml:space="preserve"> is not consistent with the </w:t>
      </w:r>
      <w:proofErr w:type="spellStart"/>
      <w:r w:rsidR="00DC0BD6" w:rsidRPr="009F2D6F">
        <w:t>siponimod</w:t>
      </w:r>
      <w:proofErr w:type="spellEnd"/>
      <w:r w:rsidR="00DC0BD6" w:rsidRPr="009F2D6F">
        <w:t xml:space="preserve"> costs derived from any of the individual economic analyses comprising the weighted </w:t>
      </w:r>
      <w:r w:rsidR="00C35D3B" w:rsidRPr="009F2D6F">
        <w:t>ICER</w:t>
      </w:r>
      <w:r w:rsidR="00DC0BD6" w:rsidRPr="009F2D6F">
        <w:t xml:space="preserve"> presented in the submission (given different </w:t>
      </w:r>
      <w:proofErr w:type="spellStart"/>
      <w:r w:rsidR="00DC0BD6" w:rsidRPr="009F2D6F">
        <w:t>siponimod</w:t>
      </w:r>
      <w:proofErr w:type="spellEnd"/>
      <w:r w:rsidR="00DC0BD6" w:rsidRPr="009F2D6F">
        <w:t xml:space="preserve"> costs were applied</w:t>
      </w:r>
      <w:r w:rsidR="00C35D3B" w:rsidRPr="009F2D6F">
        <w:t xml:space="preserve"> in each model)</w:t>
      </w:r>
      <w:r w:rsidR="00DC0BD6" w:rsidRPr="009F2D6F">
        <w:t>.</w:t>
      </w:r>
      <w:r w:rsidR="00C73E6F" w:rsidRPr="009F2D6F">
        <w:t xml:space="preserve"> </w:t>
      </w:r>
      <w:r w:rsidR="00C35D3B" w:rsidRPr="009F2D6F">
        <w:t>The average cost per patient per year was approximately $</w:t>
      </w:r>
      <w:r w:rsidR="00387A27">
        <w:rPr>
          <w:noProof/>
          <w:color w:val="000000"/>
          <w:highlight w:val="black"/>
        </w:rPr>
        <w:t>''''''''''''''</w:t>
      </w:r>
      <w:r w:rsidR="00C35D3B" w:rsidRPr="009F2D6F">
        <w:t xml:space="preserve"> in the financial estimates (accounting for compliance and discontinuations). </w:t>
      </w:r>
    </w:p>
    <w:p w:rsidR="00B60939" w:rsidRPr="009F2D6F" w:rsidRDefault="00B60939" w:rsidP="00077582">
      <w:pPr>
        <w:pStyle w:val="Heading2"/>
        <w:widowControl/>
      </w:pPr>
      <w:bookmarkStart w:id="31" w:name="_Toc18693502"/>
      <w:r w:rsidRPr="009F2D6F">
        <w:t>Estimated PBS usage &amp; financial implications</w:t>
      </w:r>
      <w:bookmarkEnd w:id="31"/>
    </w:p>
    <w:p w:rsidR="00B60939" w:rsidRPr="009F2D6F" w:rsidRDefault="00B60939" w:rsidP="00077582">
      <w:pPr>
        <w:widowControl/>
        <w:ind w:left="720" w:hanging="720"/>
        <w:rPr>
          <w:b/>
        </w:rPr>
      </w:pPr>
    </w:p>
    <w:p w:rsidR="00C64EBB" w:rsidRDefault="005E2F6E" w:rsidP="005E2F6E">
      <w:pPr>
        <w:pStyle w:val="ListParagraph"/>
        <w:widowControl/>
        <w:numPr>
          <w:ilvl w:val="1"/>
          <w:numId w:val="2"/>
        </w:numPr>
        <w:spacing w:after="120"/>
      </w:pPr>
      <w:r>
        <w:t>The submission was considered by DUSC.</w:t>
      </w:r>
    </w:p>
    <w:p w:rsidR="00717023" w:rsidRPr="00B50DB8" w:rsidRDefault="00717023" w:rsidP="00717023">
      <w:pPr>
        <w:pStyle w:val="ListParagraph"/>
        <w:widowControl/>
        <w:numPr>
          <w:ilvl w:val="1"/>
          <w:numId w:val="2"/>
        </w:numPr>
      </w:pPr>
      <w:r w:rsidRPr="00B25569">
        <w:t>The estimated financial implication</w:t>
      </w:r>
      <w:r w:rsidR="008561CC">
        <w:t>s</w:t>
      </w:r>
      <w:r w:rsidRPr="00B25569">
        <w:t xml:space="preserve"> of listing </w:t>
      </w:r>
      <w:proofErr w:type="spellStart"/>
      <w:r w:rsidRPr="00B25569">
        <w:t>siponimod</w:t>
      </w:r>
      <w:proofErr w:type="spellEnd"/>
      <w:r w:rsidRPr="00B25569">
        <w:t xml:space="preserve"> on the PBS are summarised in</w:t>
      </w:r>
      <w:r>
        <w:t xml:space="preserve"> Table 13</w:t>
      </w:r>
      <w:r w:rsidRPr="00B25569">
        <w:t>.</w:t>
      </w:r>
    </w:p>
    <w:p w:rsidR="00717023" w:rsidRPr="00B25569" w:rsidRDefault="00717023" w:rsidP="00370D87">
      <w:pPr>
        <w:pStyle w:val="Caption"/>
        <w:keepNext/>
        <w:keepLines/>
        <w:spacing w:after="0"/>
        <w:rPr>
          <w:rFonts w:ascii="Arial Narrow" w:hAnsi="Arial Narrow"/>
          <w:color w:val="auto"/>
          <w:sz w:val="20"/>
          <w:szCs w:val="20"/>
        </w:rPr>
      </w:pPr>
      <w:bookmarkStart w:id="32" w:name="_Ref18688224"/>
      <w:r w:rsidRPr="00B25569">
        <w:rPr>
          <w:rFonts w:ascii="Arial Narrow" w:hAnsi="Arial Narrow"/>
          <w:color w:val="auto"/>
          <w:sz w:val="20"/>
          <w:szCs w:val="20"/>
        </w:rPr>
        <w:lastRenderedPageBreak/>
        <w:t xml:space="preserve">Table </w:t>
      </w:r>
      <w:bookmarkEnd w:id="32"/>
      <w:r>
        <w:rPr>
          <w:rFonts w:ascii="Arial Narrow" w:hAnsi="Arial Narrow"/>
          <w:color w:val="auto"/>
          <w:sz w:val="20"/>
          <w:szCs w:val="20"/>
        </w:rPr>
        <w:t>13</w:t>
      </w:r>
      <w:r w:rsidRPr="00B25569">
        <w:rPr>
          <w:rFonts w:ascii="Arial Narrow" w:hAnsi="Arial Narrow"/>
          <w:color w:val="auto"/>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717023" w:rsidRPr="00D1078F" w:rsidTr="001C6E67">
        <w:trPr>
          <w:tblHeader/>
        </w:trPr>
        <w:tc>
          <w:tcPr>
            <w:tcW w:w="1119" w:type="pct"/>
            <w:shd w:val="clear" w:color="auto" w:fill="auto"/>
            <w:vAlign w:val="center"/>
          </w:tcPr>
          <w:p w:rsidR="00717023" w:rsidRPr="003639A6" w:rsidRDefault="00717023" w:rsidP="00370D87">
            <w:pPr>
              <w:pStyle w:val="Tabletext"/>
              <w:keepNext/>
              <w:keepLines/>
            </w:pPr>
          </w:p>
        </w:tc>
        <w:tc>
          <w:tcPr>
            <w:tcW w:w="647" w:type="pct"/>
            <w:shd w:val="clear" w:color="auto" w:fill="auto"/>
            <w:vAlign w:val="center"/>
          </w:tcPr>
          <w:p w:rsidR="00717023" w:rsidRPr="00D1078F" w:rsidRDefault="00717023" w:rsidP="00370D87">
            <w:pPr>
              <w:pStyle w:val="Tabletext"/>
              <w:keepNext/>
              <w:keepLines/>
              <w:jc w:val="center"/>
              <w:rPr>
                <w:b/>
              </w:rPr>
            </w:pPr>
            <w:r w:rsidRPr="00D1078F">
              <w:rPr>
                <w:b/>
              </w:rPr>
              <w:t>Year 1</w:t>
            </w:r>
          </w:p>
        </w:tc>
        <w:tc>
          <w:tcPr>
            <w:tcW w:w="647" w:type="pct"/>
            <w:shd w:val="clear" w:color="auto" w:fill="auto"/>
            <w:vAlign w:val="center"/>
          </w:tcPr>
          <w:p w:rsidR="00717023" w:rsidRPr="00D1078F" w:rsidRDefault="00717023" w:rsidP="00370D87">
            <w:pPr>
              <w:pStyle w:val="Tabletext"/>
              <w:keepNext/>
              <w:keepLines/>
              <w:jc w:val="center"/>
              <w:rPr>
                <w:b/>
              </w:rPr>
            </w:pPr>
            <w:r w:rsidRPr="00D1078F">
              <w:rPr>
                <w:b/>
              </w:rPr>
              <w:t>Year 2</w:t>
            </w:r>
          </w:p>
        </w:tc>
        <w:tc>
          <w:tcPr>
            <w:tcW w:w="647" w:type="pct"/>
            <w:shd w:val="clear" w:color="auto" w:fill="auto"/>
            <w:vAlign w:val="center"/>
          </w:tcPr>
          <w:p w:rsidR="00717023" w:rsidRPr="00D1078F" w:rsidRDefault="00717023" w:rsidP="00370D87">
            <w:pPr>
              <w:pStyle w:val="Tabletext"/>
              <w:keepNext/>
              <w:keepLines/>
              <w:jc w:val="center"/>
              <w:rPr>
                <w:b/>
              </w:rPr>
            </w:pPr>
            <w:r w:rsidRPr="00D1078F">
              <w:rPr>
                <w:b/>
              </w:rPr>
              <w:t>Year 3</w:t>
            </w:r>
          </w:p>
        </w:tc>
        <w:tc>
          <w:tcPr>
            <w:tcW w:w="647" w:type="pct"/>
            <w:shd w:val="clear" w:color="auto" w:fill="auto"/>
            <w:vAlign w:val="center"/>
          </w:tcPr>
          <w:p w:rsidR="00717023" w:rsidRPr="00D1078F" w:rsidRDefault="00717023" w:rsidP="00370D87">
            <w:pPr>
              <w:pStyle w:val="Tabletext"/>
              <w:keepNext/>
              <w:keepLines/>
              <w:jc w:val="center"/>
              <w:rPr>
                <w:b/>
              </w:rPr>
            </w:pPr>
            <w:r w:rsidRPr="00D1078F">
              <w:rPr>
                <w:b/>
              </w:rPr>
              <w:t>Year 4</w:t>
            </w:r>
          </w:p>
        </w:tc>
        <w:tc>
          <w:tcPr>
            <w:tcW w:w="647" w:type="pct"/>
            <w:shd w:val="clear" w:color="auto" w:fill="auto"/>
            <w:vAlign w:val="center"/>
          </w:tcPr>
          <w:p w:rsidR="00717023" w:rsidRPr="00D1078F" w:rsidRDefault="00717023" w:rsidP="00370D87">
            <w:pPr>
              <w:pStyle w:val="Tabletext"/>
              <w:keepNext/>
              <w:keepLines/>
              <w:jc w:val="center"/>
              <w:rPr>
                <w:b/>
              </w:rPr>
            </w:pPr>
            <w:r w:rsidRPr="00D1078F">
              <w:rPr>
                <w:b/>
              </w:rPr>
              <w:t>Year 5</w:t>
            </w:r>
          </w:p>
        </w:tc>
        <w:tc>
          <w:tcPr>
            <w:tcW w:w="646" w:type="pct"/>
          </w:tcPr>
          <w:p w:rsidR="00717023" w:rsidRPr="00D1078F" w:rsidRDefault="00717023" w:rsidP="00370D87">
            <w:pPr>
              <w:pStyle w:val="Tabletext"/>
              <w:keepNext/>
              <w:keepLines/>
              <w:jc w:val="center"/>
              <w:rPr>
                <w:b/>
              </w:rPr>
            </w:pPr>
            <w:r w:rsidRPr="00D1078F">
              <w:rPr>
                <w:b/>
              </w:rPr>
              <w:t>Year 6</w:t>
            </w:r>
          </w:p>
        </w:tc>
      </w:tr>
      <w:tr w:rsidR="00717023" w:rsidRPr="00D1078F" w:rsidTr="001C6E67">
        <w:tc>
          <w:tcPr>
            <w:tcW w:w="5000" w:type="pct"/>
            <w:gridSpan w:val="7"/>
            <w:shd w:val="clear" w:color="auto" w:fill="auto"/>
            <w:vAlign w:val="center"/>
          </w:tcPr>
          <w:p w:rsidR="00717023" w:rsidRPr="00D1078F" w:rsidRDefault="00717023" w:rsidP="00370D87">
            <w:pPr>
              <w:pStyle w:val="Tabletext"/>
              <w:keepNext/>
              <w:keepLines/>
              <w:rPr>
                <w:b/>
                <w:bCs/>
                <w:color w:val="000000"/>
              </w:rPr>
            </w:pPr>
            <w:r w:rsidRPr="00D1078F">
              <w:rPr>
                <w:b/>
                <w:bCs/>
                <w:color w:val="000000"/>
              </w:rPr>
              <w:t>Estimated extent of use</w:t>
            </w:r>
          </w:p>
        </w:tc>
      </w:tr>
      <w:tr w:rsidR="00717023" w:rsidRPr="003639A6" w:rsidTr="001C6E67">
        <w:tc>
          <w:tcPr>
            <w:tcW w:w="1119" w:type="pct"/>
            <w:shd w:val="clear" w:color="auto" w:fill="auto"/>
            <w:vAlign w:val="center"/>
          </w:tcPr>
          <w:p w:rsidR="00717023" w:rsidRPr="003639A6" w:rsidRDefault="00717023" w:rsidP="00370D87">
            <w:pPr>
              <w:pStyle w:val="Tabletext"/>
              <w:keepNext/>
              <w:keepLines/>
              <w:rPr>
                <w:rFonts w:ascii="Times" w:hAnsi="Times"/>
              </w:rPr>
            </w:pPr>
            <w:r w:rsidRPr="003639A6">
              <w:t>Number of patients treated</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3639A6" w:rsidTr="001C6E67">
        <w:tc>
          <w:tcPr>
            <w:tcW w:w="1119" w:type="pct"/>
            <w:shd w:val="clear" w:color="auto" w:fill="auto"/>
            <w:vAlign w:val="center"/>
          </w:tcPr>
          <w:p w:rsidR="00717023" w:rsidRPr="003639A6" w:rsidRDefault="00717023" w:rsidP="00370D87">
            <w:pPr>
              <w:pStyle w:val="Tabletext"/>
              <w:keepNext/>
              <w:keepLines/>
              <w:rPr>
                <w:rFonts w:ascii="Times" w:hAnsi="Times"/>
              </w:rPr>
            </w:pPr>
            <w:r w:rsidRPr="003639A6">
              <w:t xml:space="preserve">Number of </w:t>
            </w:r>
            <w:r>
              <w:t>scripts</w:t>
            </w:r>
            <w:r w:rsidRPr="003639A6">
              <w:t xml:space="preserve"> </w:t>
            </w:r>
            <w:proofErr w:type="spellStart"/>
            <w:r w:rsidRPr="003639A6">
              <w:t>dispensed</w:t>
            </w:r>
            <w:r w:rsidRPr="003639A6">
              <w:rPr>
                <w:vertAlign w:val="superscript"/>
              </w:rPr>
              <w:t>a</w:t>
            </w:r>
            <w:proofErr w:type="spellEnd"/>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D1078F" w:rsidTr="001C6E67">
        <w:tc>
          <w:tcPr>
            <w:tcW w:w="5000" w:type="pct"/>
            <w:gridSpan w:val="7"/>
            <w:shd w:val="clear" w:color="auto" w:fill="auto"/>
            <w:vAlign w:val="center"/>
          </w:tcPr>
          <w:p w:rsidR="00717023" w:rsidRPr="00D1078F" w:rsidRDefault="00717023" w:rsidP="00370D87">
            <w:pPr>
              <w:pStyle w:val="Tabletext"/>
              <w:keepNext/>
              <w:keepLines/>
              <w:rPr>
                <w:b/>
                <w:bCs/>
                <w:color w:val="000000"/>
              </w:rPr>
            </w:pPr>
            <w:r w:rsidRPr="00D1078F">
              <w:rPr>
                <w:b/>
                <w:bCs/>
                <w:color w:val="000000"/>
              </w:rPr>
              <w:t xml:space="preserve">Estimated </w:t>
            </w:r>
            <w:r>
              <w:rPr>
                <w:b/>
                <w:bCs/>
                <w:color w:val="000000"/>
              </w:rPr>
              <w:t xml:space="preserve">financial implications of </w:t>
            </w:r>
            <w:proofErr w:type="spellStart"/>
            <w:r>
              <w:rPr>
                <w:b/>
                <w:bCs/>
                <w:color w:val="000000"/>
              </w:rPr>
              <w:t>siponimod</w:t>
            </w:r>
            <w:proofErr w:type="spellEnd"/>
          </w:p>
        </w:tc>
      </w:tr>
      <w:tr w:rsidR="00717023" w:rsidRPr="003639A6" w:rsidTr="001C6E67">
        <w:tc>
          <w:tcPr>
            <w:tcW w:w="1119" w:type="pct"/>
            <w:shd w:val="clear" w:color="auto" w:fill="auto"/>
            <w:vAlign w:val="center"/>
          </w:tcPr>
          <w:p w:rsidR="00717023" w:rsidRPr="00B25569" w:rsidRDefault="00717023" w:rsidP="00370D87">
            <w:pPr>
              <w:pStyle w:val="Tabletext"/>
              <w:keepNext/>
              <w:keepLines/>
              <w:rPr>
                <w:sz w:val="19"/>
                <w:szCs w:val="19"/>
                <w:vertAlign w:val="superscript"/>
              </w:rPr>
            </w:pPr>
            <w:r>
              <w:rPr>
                <w:sz w:val="19"/>
                <w:szCs w:val="19"/>
              </w:rPr>
              <w:t xml:space="preserve">Cost to PBS/RPBS less </w:t>
            </w:r>
            <w:proofErr w:type="spellStart"/>
            <w:r>
              <w:rPr>
                <w:sz w:val="19"/>
                <w:szCs w:val="19"/>
              </w:rPr>
              <w:t>copayments</w:t>
            </w:r>
            <w:r>
              <w:rPr>
                <w:sz w:val="19"/>
                <w:szCs w:val="19"/>
                <w:vertAlign w:val="superscript"/>
              </w:rPr>
              <w:t>b</w:t>
            </w:r>
            <w:proofErr w:type="spellEnd"/>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3639A6" w:rsidTr="001C6E67">
        <w:tc>
          <w:tcPr>
            <w:tcW w:w="5000" w:type="pct"/>
            <w:gridSpan w:val="7"/>
            <w:shd w:val="clear" w:color="auto" w:fill="auto"/>
            <w:vAlign w:val="center"/>
          </w:tcPr>
          <w:p w:rsidR="00717023" w:rsidRPr="003639A6" w:rsidRDefault="00717023" w:rsidP="00370D87">
            <w:pPr>
              <w:pStyle w:val="Tabletext"/>
              <w:keepNext/>
              <w:keepLines/>
              <w:rPr>
                <w:bCs/>
                <w:color w:val="000000"/>
              </w:rPr>
            </w:pPr>
            <w:r w:rsidRPr="00D1078F">
              <w:rPr>
                <w:b/>
                <w:bCs/>
                <w:color w:val="000000"/>
              </w:rPr>
              <w:t xml:space="preserve">Estimated </w:t>
            </w:r>
            <w:r>
              <w:rPr>
                <w:b/>
                <w:bCs/>
                <w:color w:val="000000"/>
              </w:rPr>
              <w:t>financial implications for RRMS DMTs</w:t>
            </w:r>
          </w:p>
        </w:tc>
      </w:tr>
      <w:tr w:rsidR="00717023" w:rsidRPr="003639A6" w:rsidTr="001C6E67">
        <w:tc>
          <w:tcPr>
            <w:tcW w:w="1119" w:type="pct"/>
            <w:shd w:val="clear" w:color="auto" w:fill="auto"/>
            <w:vAlign w:val="center"/>
          </w:tcPr>
          <w:p w:rsidR="00717023" w:rsidRDefault="00717023" w:rsidP="00370D87">
            <w:pPr>
              <w:pStyle w:val="Tabletext"/>
              <w:keepNext/>
              <w:keepLines/>
              <w:rPr>
                <w:sz w:val="19"/>
                <w:szCs w:val="19"/>
              </w:rPr>
            </w:pPr>
            <w:r>
              <w:rPr>
                <w:sz w:val="19"/>
                <w:szCs w:val="19"/>
              </w:rPr>
              <w:t xml:space="preserve">Cost to PBS/RPBS less </w:t>
            </w:r>
            <w:proofErr w:type="spellStart"/>
            <w:r>
              <w:rPr>
                <w:sz w:val="19"/>
                <w:szCs w:val="19"/>
              </w:rPr>
              <w:t>copayments</w:t>
            </w:r>
            <w:proofErr w:type="spellEnd"/>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FC22AB" w:rsidTr="001C6E67">
        <w:tc>
          <w:tcPr>
            <w:tcW w:w="5000" w:type="pct"/>
            <w:gridSpan w:val="7"/>
            <w:shd w:val="clear" w:color="auto" w:fill="auto"/>
            <w:vAlign w:val="center"/>
          </w:tcPr>
          <w:p w:rsidR="00717023" w:rsidRPr="00FC22AB" w:rsidRDefault="00717023" w:rsidP="00370D87">
            <w:pPr>
              <w:pStyle w:val="Tabletext"/>
              <w:keepNext/>
              <w:keepLines/>
              <w:rPr>
                <w:b/>
                <w:bCs/>
                <w:color w:val="000000"/>
              </w:rPr>
            </w:pPr>
            <w:r w:rsidRPr="00FC22AB">
              <w:rPr>
                <w:b/>
                <w:bCs/>
                <w:color w:val="000000"/>
              </w:rPr>
              <w:t>Net financial implications</w:t>
            </w:r>
            <w:r w:rsidRPr="00FC22AB">
              <w:rPr>
                <w:b/>
                <w:bCs/>
                <w:color w:val="4BACC6" w:themeColor="accent5"/>
              </w:rPr>
              <w:t xml:space="preserve"> </w:t>
            </w:r>
          </w:p>
        </w:tc>
      </w:tr>
      <w:tr w:rsidR="00717023" w:rsidRPr="003639A6" w:rsidTr="001C6E67">
        <w:tc>
          <w:tcPr>
            <w:tcW w:w="1119" w:type="pct"/>
            <w:shd w:val="clear" w:color="auto" w:fill="auto"/>
            <w:vAlign w:val="center"/>
          </w:tcPr>
          <w:p w:rsidR="00717023" w:rsidRPr="008561CC" w:rsidRDefault="00717023" w:rsidP="00370D87">
            <w:pPr>
              <w:pStyle w:val="Tabletext"/>
              <w:keepNext/>
              <w:keepLines/>
              <w:rPr>
                <w:sz w:val="19"/>
                <w:szCs w:val="19"/>
                <w:vertAlign w:val="superscript"/>
              </w:rPr>
            </w:pPr>
            <w:r>
              <w:rPr>
                <w:sz w:val="19"/>
                <w:szCs w:val="19"/>
              </w:rPr>
              <w:t>Net cost to PBS/</w:t>
            </w:r>
            <w:proofErr w:type="spellStart"/>
            <w:r>
              <w:rPr>
                <w:sz w:val="19"/>
                <w:szCs w:val="19"/>
              </w:rPr>
              <w:t>RPBS</w:t>
            </w:r>
            <w:r w:rsidR="008561CC">
              <w:rPr>
                <w:sz w:val="19"/>
                <w:szCs w:val="19"/>
                <w:vertAlign w:val="superscript"/>
              </w:rPr>
              <w:t>b</w:t>
            </w:r>
            <w:proofErr w:type="spellEnd"/>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3639A6" w:rsidTr="001C6E67">
        <w:tc>
          <w:tcPr>
            <w:tcW w:w="1119" w:type="pct"/>
            <w:shd w:val="clear" w:color="auto" w:fill="auto"/>
            <w:vAlign w:val="center"/>
          </w:tcPr>
          <w:p w:rsidR="00717023" w:rsidRPr="008561CC" w:rsidRDefault="00717023" w:rsidP="00370D87">
            <w:pPr>
              <w:pStyle w:val="Tabletext"/>
              <w:keepNext/>
              <w:keepLines/>
              <w:rPr>
                <w:rFonts w:ascii="Times" w:hAnsi="Times"/>
                <w:vertAlign w:val="superscript"/>
              </w:rPr>
            </w:pPr>
            <w:r>
              <w:rPr>
                <w:sz w:val="19"/>
                <w:szCs w:val="19"/>
              </w:rPr>
              <w:t>Net cost to</w:t>
            </w:r>
            <w:r w:rsidRPr="003639A6">
              <w:rPr>
                <w:sz w:val="19"/>
                <w:szCs w:val="19"/>
              </w:rPr>
              <w:t xml:space="preserve"> MBS</w:t>
            </w:r>
            <w:bookmarkStart w:id="33" w:name="_GoBack"/>
            <w:bookmarkEnd w:id="33"/>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r w:rsidR="00717023" w:rsidRPr="003639A6" w:rsidTr="001C6E67">
        <w:tc>
          <w:tcPr>
            <w:tcW w:w="1119" w:type="pct"/>
            <w:shd w:val="clear" w:color="auto" w:fill="auto"/>
            <w:vAlign w:val="center"/>
          </w:tcPr>
          <w:p w:rsidR="00717023" w:rsidRPr="003639A6" w:rsidRDefault="00717023" w:rsidP="00370D87">
            <w:pPr>
              <w:pStyle w:val="Tabletext"/>
              <w:keepNext/>
              <w:keepLines/>
              <w:rPr>
                <w:sz w:val="19"/>
                <w:szCs w:val="19"/>
              </w:rPr>
            </w:pPr>
            <w:r>
              <w:rPr>
                <w:sz w:val="19"/>
                <w:szCs w:val="19"/>
              </w:rPr>
              <w:t>Net cost to PBS/RPBS/MBS</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7" w:type="pct"/>
            <w:shd w:val="clear" w:color="auto" w:fill="auto"/>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c>
          <w:tcPr>
            <w:tcW w:w="646" w:type="pct"/>
            <w:vAlign w:val="center"/>
          </w:tcPr>
          <w:p w:rsidR="00717023" w:rsidRPr="00387A27" w:rsidRDefault="00387A27" w:rsidP="00370D87">
            <w:pPr>
              <w:pStyle w:val="Tabletext"/>
              <w:keepNext/>
              <w:keepLines/>
              <w:jc w:val="center"/>
              <w:rPr>
                <w:bCs/>
                <w:color w:val="000000"/>
                <w:highlight w:val="black"/>
              </w:rPr>
            </w:pPr>
            <w:r>
              <w:rPr>
                <w:noProof/>
                <w:color w:val="000000"/>
                <w:szCs w:val="18"/>
                <w:highlight w:val="black"/>
              </w:rPr>
              <w:t>'''''''''''''''''''''''''''''''</w:t>
            </w:r>
          </w:p>
        </w:tc>
      </w:tr>
    </w:tbl>
    <w:p w:rsidR="00717023" w:rsidRPr="00370D87" w:rsidRDefault="00717023" w:rsidP="00370D87">
      <w:pPr>
        <w:pStyle w:val="TableFooter"/>
        <w:keepNext/>
        <w:keepLines/>
        <w:tabs>
          <w:tab w:val="left" w:pos="142"/>
        </w:tabs>
      </w:pPr>
      <w:proofErr w:type="spellStart"/>
      <w:proofErr w:type="gramStart"/>
      <w:r w:rsidRPr="00370D87">
        <w:rPr>
          <w:vertAlign w:val="superscript"/>
        </w:rPr>
        <w:t>a</w:t>
      </w:r>
      <w:proofErr w:type="spellEnd"/>
      <w:proofErr w:type="gramEnd"/>
      <w:r w:rsidRPr="00370D87">
        <w:tab/>
        <w:t>assuming 13.04 scripts per year as estimated by the submission.</w:t>
      </w:r>
    </w:p>
    <w:p w:rsidR="00717023" w:rsidRPr="00370D87" w:rsidRDefault="00717023" w:rsidP="00717023">
      <w:pPr>
        <w:pStyle w:val="TableFooter"/>
        <w:tabs>
          <w:tab w:val="left" w:pos="142"/>
        </w:tabs>
        <w:rPr>
          <w:szCs w:val="20"/>
        </w:rPr>
      </w:pPr>
      <w:proofErr w:type="gramStart"/>
      <w:r w:rsidRPr="00370D87">
        <w:rPr>
          <w:vertAlign w:val="superscript"/>
        </w:rPr>
        <w:t>b</w:t>
      </w:r>
      <w:proofErr w:type="gramEnd"/>
      <w:r w:rsidRPr="00370D87">
        <w:tab/>
      </w:r>
      <w:r w:rsidRPr="00370D87">
        <w:rPr>
          <w:szCs w:val="20"/>
        </w:rPr>
        <w:t xml:space="preserve">corrected </w:t>
      </w:r>
      <w:proofErr w:type="spellStart"/>
      <w:r w:rsidRPr="00370D87">
        <w:rPr>
          <w:szCs w:val="20"/>
        </w:rPr>
        <w:t>copayment</w:t>
      </w:r>
      <w:proofErr w:type="spellEnd"/>
    </w:p>
    <w:p w:rsidR="00717023" w:rsidRPr="00370D87" w:rsidRDefault="00717023" w:rsidP="00717023">
      <w:pPr>
        <w:pStyle w:val="TableFooter"/>
        <w:rPr>
          <w:rStyle w:val="CommentReference"/>
        </w:rPr>
      </w:pPr>
      <w:r w:rsidRPr="00370D87">
        <w:t xml:space="preserve">Source: compiled during the evaluation </w:t>
      </w:r>
    </w:p>
    <w:p w:rsidR="00717023" w:rsidRDefault="00717023" w:rsidP="00717023">
      <w:pPr>
        <w:widowControl/>
      </w:pPr>
    </w:p>
    <w:p w:rsidR="00AB5762" w:rsidRPr="00AB5762" w:rsidRDefault="00AB5762" w:rsidP="00AB5762">
      <w:pPr>
        <w:rPr>
          <w:rFonts w:asciiTheme="minorHAnsi" w:hAnsiTheme="minorHAnsi"/>
          <w:szCs w:val="24"/>
        </w:rPr>
      </w:pPr>
      <w:r w:rsidRPr="004C0A6D">
        <w:rPr>
          <w:rFonts w:asciiTheme="minorHAnsi" w:hAnsiTheme="minorHAnsi"/>
          <w:szCs w:val="24"/>
        </w:rPr>
        <w:t>The red</w:t>
      </w:r>
      <w:r>
        <w:rPr>
          <w:rFonts w:asciiTheme="minorHAnsi" w:hAnsiTheme="minorHAnsi"/>
          <w:szCs w:val="24"/>
        </w:rPr>
        <w:t>acted table shows that at Year 6</w:t>
      </w:r>
      <w:r w:rsidRPr="004C0A6D">
        <w:rPr>
          <w:rFonts w:asciiTheme="minorHAnsi" w:hAnsiTheme="minorHAnsi"/>
          <w:szCs w:val="24"/>
        </w:rPr>
        <w:t>, the estimated number of patients was</w:t>
      </w:r>
      <w:r>
        <w:rPr>
          <w:rFonts w:asciiTheme="minorHAnsi" w:hAnsiTheme="minorHAnsi"/>
          <w:szCs w:val="24"/>
        </w:rPr>
        <w:t xml:space="preserve"> </w:t>
      </w:r>
      <w:r w:rsidR="00456610">
        <w:rPr>
          <w:rFonts w:asciiTheme="minorHAnsi" w:hAnsiTheme="minorHAnsi"/>
          <w:szCs w:val="24"/>
        </w:rPr>
        <w:t>less than 10,000 per year</w:t>
      </w:r>
      <w:r w:rsidRPr="004C0A6D">
        <w:rPr>
          <w:rFonts w:asciiTheme="minorHAnsi" w:hAnsiTheme="minorHAnsi"/>
          <w:szCs w:val="24"/>
        </w:rPr>
        <w:t xml:space="preserve"> and the net cost to the PBS would be </w:t>
      </w:r>
      <w:r>
        <w:rPr>
          <w:rFonts w:asciiTheme="minorHAnsi" w:hAnsiTheme="minorHAnsi"/>
          <w:szCs w:val="24"/>
        </w:rPr>
        <w:t>$30 million - $</w:t>
      </w:r>
      <w:r w:rsidR="00456610">
        <w:rPr>
          <w:rFonts w:asciiTheme="minorHAnsi" w:hAnsiTheme="minorHAnsi"/>
          <w:szCs w:val="24"/>
        </w:rPr>
        <w:t>6</w:t>
      </w:r>
      <w:r>
        <w:rPr>
          <w:rFonts w:asciiTheme="minorHAnsi" w:hAnsiTheme="minorHAnsi"/>
          <w:szCs w:val="24"/>
        </w:rPr>
        <w:t>0 million per year.</w:t>
      </w:r>
    </w:p>
    <w:p w:rsidR="00AB5762" w:rsidRPr="00C25D9C" w:rsidRDefault="00AB5762" w:rsidP="00717023">
      <w:pPr>
        <w:widowControl/>
      </w:pPr>
    </w:p>
    <w:p w:rsidR="00717023" w:rsidRDefault="00717023" w:rsidP="00717023">
      <w:pPr>
        <w:pStyle w:val="ListParagraph"/>
        <w:widowControl/>
        <w:numPr>
          <w:ilvl w:val="1"/>
          <w:numId w:val="2"/>
        </w:numPr>
        <w:ind w:right="-22"/>
      </w:pPr>
      <w:r w:rsidRPr="00717023">
        <w:t>The financial estimates were sensitive to the assumption that the majority (</w:t>
      </w:r>
      <w:r w:rsidR="00387A27">
        <w:rPr>
          <w:noProof/>
          <w:color w:val="000000"/>
          <w:highlight w:val="black"/>
        </w:rPr>
        <w:t>'''''''''</w:t>
      </w:r>
      <w:r w:rsidRPr="00717023">
        <w:t xml:space="preserve">%) of patients who will be treated with </w:t>
      </w:r>
      <w:proofErr w:type="spellStart"/>
      <w:r w:rsidRPr="00717023">
        <w:t>siponimod</w:t>
      </w:r>
      <w:proofErr w:type="spellEnd"/>
      <w:r w:rsidRPr="00717023">
        <w:t xml:space="preserve"> are currently treated with other DMTs (which </w:t>
      </w:r>
      <w:r w:rsidR="001177A6">
        <w:t xml:space="preserve">the evaluation considered </w:t>
      </w:r>
      <w:r w:rsidRPr="00717023">
        <w:t xml:space="preserve">is beyond the PBS restrictions for all the DMTs as they are restricted to RRMS). Assuming only ‘untreated’ patients receive </w:t>
      </w:r>
      <w:proofErr w:type="spellStart"/>
      <w:r w:rsidRPr="00717023">
        <w:t>siponimod</w:t>
      </w:r>
      <w:proofErr w:type="spellEnd"/>
      <w:r w:rsidRPr="00717023">
        <w:t xml:space="preserve">, all else being equal, more than doubles the estimated financial impact over the first six years of listing. Other assumptions, including assuming that non-adherence translates directly into fewer packs dispensed and potentially low uptake rates (given that </w:t>
      </w:r>
      <w:proofErr w:type="spellStart"/>
      <w:r w:rsidRPr="00717023">
        <w:t>siponimod</w:t>
      </w:r>
      <w:proofErr w:type="spellEnd"/>
      <w:r w:rsidRPr="00717023">
        <w:t xml:space="preserve"> will be the only PBS listed treatment for SPMS), also lead to underestimates in the financial estimates but the magnitude is much smaller compared to the assumption of a large ‘treated’ population using DMTs beyond requested restriction.</w:t>
      </w:r>
    </w:p>
    <w:p w:rsidR="00216ABD" w:rsidRPr="00717023" w:rsidRDefault="00216ABD" w:rsidP="00717023">
      <w:pPr>
        <w:pStyle w:val="ListParagraph"/>
        <w:widowControl/>
        <w:numPr>
          <w:ilvl w:val="1"/>
          <w:numId w:val="2"/>
        </w:numPr>
        <w:ind w:right="-22"/>
      </w:pPr>
      <w:r>
        <w:t>DUSC considered the estimates presented in the submission to be an underestimate of untreated patients and an overestimate of tre</w:t>
      </w:r>
      <w:r w:rsidR="001177A6">
        <w:t>ated patients. The main issues we</w:t>
      </w:r>
      <w:r>
        <w:t>re:</w:t>
      </w:r>
    </w:p>
    <w:p w:rsidR="00216ABD" w:rsidRPr="00370D87" w:rsidRDefault="00216ABD" w:rsidP="00216ABD">
      <w:pPr>
        <w:pStyle w:val="ListParagraph"/>
        <w:widowControl/>
        <w:numPr>
          <w:ilvl w:val="0"/>
          <w:numId w:val="14"/>
        </w:numPr>
        <w:spacing w:after="0"/>
        <w:contextualSpacing/>
      </w:pPr>
      <w:r w:rsidRPr="00370D87">
        <w:t>Key assumptions were not adequately justified, including:</w:t>
      </w:r>
    </w:p>
    <w:p w:rsidR="00216ABD" w:rsidRPr="00370D87" w:rsidRDefault="00216ABD" w:rsidP="00216ABD">
      <w:pPr>
        <w:pStyle w:val="ListParagraph"/>
        <w:widowControl/>
        <w:numPr>
          <w:ilvl w:val="1"/>
          <w:numId w:val="15"/>
        </w:numPr>
        <w:spacing w:after="0"/>
        <w:contextualSpacing/>
      </w:pPr>
      <w:r w:rsidRPr="00370D87">
        <w:t>Using the growth rate of 1.7% for the general Australian population applied to the number of patients with MS rather than growth in the MS population;</w:t>
      </w:r>
    </w:p>
    <w:p w:rsidR="00216ABD" w:rsidRPr="00370D87" w:rsidRDefault="00216ABD" w:rsidP="00216ABD">
      <w:pPr>
        <w:pStyle w:val="ListParagraph"/>
        <w:widowControl/>
        <w:numPr>
          <w:ilvl w:val="1"/>
          <w:numId w:val="15"/>
        </w:numPr>
        <w:spacing w:after="0"/>
        <w:contextualSpacing/>
      </w:pPr>
      <w:r w:rsidRPr="00370D87">
        <w:t>The growth rate of 1% applied to the prevalence of SPMS;</w:t>
      </w:r>
    </w:p>
    <w:p w:rsidR="00216ABD" w:rsidRPr="00370D87" w:rsidRDefault="00216ABD" w:rsidP="00216ABD">
      <w:pPr>
        <w:pStyle w:val="ListParagraph"/>
        <w:widowControl/>
        <w:numPr>
          <w:ilvl w:val="1"/>
          <w:numId w:val="15"/>
        </w:numPr>
        <w:spacing w:after="0"/>
        <w:contextualSpacing/>
      </w:pPr>
      <w:r w:rsidRPr="00370D87">
        <w:t xml:space="preserve">The uptake of </w:t>
      </w:r>
      <w:proofErr w:type="spellStart"/>
      <w:r w:rsidRPr="00370D87">
        <w:t>siponimod</w:t>
      </w:r>
      <w:proofErr w:type="spellEnd"/>
      <w:r w:rsidRPr="00370D87">
        <w:t xml:space="preserve"> in untreated patients being </w:t>
      </w:r>
      <w:r w:rsidR="00387A27">
        <w:rPr>
          <w:noProof/>
          <w:color w:val="000000"/>
          <w:highlight w:val="black"/>
        </w:rPr>
        <w:t>'''''''' '''''''''''' ''''''''' '''''' '''''''''''''' '''''''''''''''</w:t>
      </w:r>
      <w:r w:rsidRPr="00370D87">
        <w:t>;</w:t>
      </w:r>
    </w:p>
    <w:p w:rsidR="00216ABD" w:rsidRPr="00370D87" w:rsidRDefault="00216ABD" w:rsidP="00216ABD">
      <w:pPr>
        <w:pStyle w:val="ListParagraph"/>
        <w:widowControl/>
        <w:numPr>
          <w:ilvl w:val="1"/>
          <w:numId w:val="15"/>
        </w:numPr>
        <w:spacing w:after="0"/>
        <w:contextualSpacing/>
      </w:pPr>
      <w:r w:rsidRPr="00370D87">
        <w:t xml:space="preserve">The assumptions that the treatment persistence of </w:t>
      </w:r>
      <w:proofErr w:type="spellStart"/>
      <w:r w:rsidRPr="00370D87">
        <w:t>siponimod</w:t>
      </w:r>
      <w:proofErr w:type="spellEnd"/>
      <w:r w:rsidRPr="00370D87">
        <w:t xml:space="preserve"> would be the same as </w:t>
      </w:r>
      <w:proofErr w:type="spellStart"/>
      <w:r w:rsidRPr="00370D87">
        <w:t>fingolimod</w:t>
      </w:r>
      <w:proofErr w:type="spellEnd"/>
      <w:r w:rsidRPr="00370D87">
        <w:t xml:space="preserve"> for the RRMS population; and</w:t>
      </w:r>
    </w:p>
    <w:p w:rsidR="00216ABD" w:rsidRPr="00370D87" w:rsidRDefault="00216ABD" w:rsidP="00216ABD">
      <w:pPr>
        <w:pStyle w:val="ListParagraph"/>
        <w:widowControl/>
        <w:numPr>
          <w:ilvl w:val="1"/>
          <w:numId w:val="15"/>
        </w:numPr>
        <w:spacing w:after="0"/>
        <w:contextualSpacing/>
      </w:pPr>
      <w:r w:rsidRPr="00370D87">
        <w:t xml:space="preserve">The compliance rate of 87% which was not supported by data from the </w:t>
      </w:r>
      <w:proofErr w:type="spellStart"/>
      <w:r w:rsidRPr="00370D87">
        <w:t>MSBase</w:t>
      </w:r>
      <w:proofErr w:type="spellEnd"/>
      <w:r w:rsidRPr="00370D87">
        <w:t xml:space="preserve"> registry.</w:t>
      </w:r>
    </w:p>
    <w:p w:rsidR="00216ABD" w:rsidRPr="00370D87" w:rsidRDefault="00216ABD" w:rsidP="00216ABD">
      <w:pPr>
        <w:pStyle w:val="ListParagraph"/>
        <w:widowControl/>
        <w:numPr>
          <w:ilvl w:val="0"/>
          <w:numId w:val="14"/>
        </w:numPr>
        <w:spacing w:after="0"/>
        <w:contextualSpacing/>
      </w:pPr>
      <w:r w:rsidRPr="00370D87">
        <w:rPr>
          <w:lang w:val="en-US"/>
        </w:rPr>
        <w:lastRenderedPageBreak/>
        <w:t xml:space="preserve">The uptake may be high as </w:t>
      </w:r>
      <w:proofErr w:type="spellStart"/>
      <w:r w:rsidRPr="00370D87">
        <w:rPr>
          <w:lang w:val="en-US"/>
        </w:rPr>
        <w:t>siponimod</w:t>
      </w:r>
      <w:proofErr w:type="spellEnd"/>
      <w:r w:rsidRPr="00370D87">
        <w:rPr>
          <w:lang w:val="en-US"/>
        </w:rPr>
        <w:t xml:space="preserve"> is the first treatment for SPMS, however this possible high uptake may be mitigated by reluctance to diagnose SPMS and limit further treatment options.</w:t>
      </w:r>
    </w:p>
    <w:p w:rsidR="00216ABD" w:rsidRPr="00370D87" w:rsidRDefault="00216ABD" w:rsidP="00216ABD">
      <w:pPr>
        <w:pStyle w:val="ListParagraph"/>
        <w:widowControl/>
        <w:numPr>
          <w:ilvl w:val="0"/>
          <w:numId w:val="14"/>
        </w:numPr>
        <w:spacing w:after="0"/>
        <w:contextualSpacing/>
      </w:pPr>
      <w:r w:rsidRPr="00370D87">
        <w:rPr>
          <w:lang w:val="en-US"/>
        </w:rPr>
        <w:t xml:space="preserve">In the untreated population the uptake is likely be to be much higher than </w:t>
      </w:r>
      <w:r w:rsidR="00387A27">
        <w:rPr>
          <w:noProof/>
          <w:color w:val="000000"/>
          <w:highlight w:val="black"/>
          <w:lang w:val="en-US"/>
        </w:rPr>
        <w:t>'''''</w:t>
      </w:r>
      <w:r w:rsidRPr="00370D87">
        <w:rPr>
          <w:lang w:val="en-US"/>
        </w:rPr>
        <w:t>% in year 1 as there are little to no other treatment options.</w:t>
      </w:r>
    </w:p>
    <w:p w:rsidR="00216ABD" w:rsidRPr="00370D87" w:rsidRDefault="00216ABD" w:rsidP="00216ABD">
      <w:pPr>
        <w:pStyle w:val="ListParagraph"/>
        <w:widowControl/>
        <w:numPr>
          <w:ilvl w:val="0"/>
          <w:numId w:val="14"/>
        </w:numPr>
        <w:spacing w:after="0"/>
        <w:contextualSpacing/>
      </w:pPr>
      <w:r w:rsidRPr="00370D87">
        <w:rPr>
          <w:lang w:val="en-US"/>
        </w:rPr>
        <w:t xml:space="preserve">Duration may be overestimated as the proposed PBS restriction for </w:t>
      </w:r>
      <w:proofErr w:type="spellStart"/>
      <w:r w:rsidRPr="00370D87">
        <w:rPr>
          <w:lang w:val="en-US"/>
        </w:rPr>
        <w:t>siponimod</w:t>
      </w:r>
      <w:proofErr w:type="spellEnd"/>
      <w:r w:rsidRPr="00370D87">
        <w:rPr>
          <w:lang w:val="en-US"/>
        </w:rPr>
        <w:t xml:space="preserve"> includes stopping rules, however the definition of response is ambiguous.</w:t>
      </w:r>
    </w:p>
    <w:p w:rsidR="00551B05" w:rsidRPr="00370D87" w:rsidRDefault="00216ABD" w:rsidP="00551B05">
      <w:pPr>
        <w:pStyle w:val="ListParagraph"/>
        <w:widowControl/>
        <w:numPr>
          <w:ilvl w:val="0"/>
          <w:numId w:val="14"/>
        </w:numPr>
        <w:spacing w:after="240"/>
        <w:ind w:left="1434" w:hanging="357"/>
        <w:contextualSpacing/>
      </w:pPr>
      <w:r w:rsidRPr="00370D87">
        <w:rPr>
          <w:lang w:val="en-US"/>
        </w:rPr>
        <w:t xml:space="preserve">Base case estimates are likely underestimates but sensitivity analysis, where 100% of </w:t>
      </w:r>
      <w:proofErr w:type="spellStart"/>
      <w:r w:rsidRPr="00370D87">
        <w:rPr>
          <w:lang w:val="en-US"/>
        </w:rPr>
        <w:t>siponimod</w:t>
      </w:r>
      <w:proofErr w:type="spellEnd"/>
      <w:r w:rsidRPr="00370D87">
        <w:rPr>
          <w:lang w:val="en-US"/>
        </w:rPr>
        <w:t xml:space="preserve"> patients are currently untreated and there are no offsets for other medicines displaced, is an overestimate. </w:t>
      </w:r>
    </w:p>
    <w:p w:rsidR="00551B05" w:rsidRPr="00C9624D" w:rsidRDefault="00551B05" w:rsidP="00551B05">
      <w:pPr>
        <w:pStyle w:val="Heading2"/>
      </w:pPr>
      <w:bookmarkStart w:id="34" w:name="_Toc19627201"/>
      <w:r w:rsidRPr="00C9624D">
        <w:t>Financial Management – Risk Sharing Arrangements</w:t>
      </w:r>
      <w:bookmarkEnd w:id="34"/>
    </w:p>
    <w:p w:rsidR="00551B05" w:rsidRPr="00576972" w:rsidRDefault="00551B05" w:rsidP="00551B05">
      <w:pPr>
        <w:widowControl/>
      </w:pPr>
    </w:p>
    <w:p w:rsidR="00551B05" w:rsidRPr="00551B05" w:rsidRDefault="00551B05" w:rsidP="00551B05">
      <w:pPr>
        <w:pStyle w:val="ListParagraph"/>
        <w:widowControl/>
        <w:numPr>
          <w:ilvl w:val="1"/>
          <w:numId w:val="2"/>
        </w:numPr>
      </w:pPr>
      <w:r w:rsidRPr="000E4D36">
        <w:t>The submission did not propose any risk sharing arrangements.</w:t>
      </w:r>
    </w:p>
    <w:p w:rsidR="00717023" w:rsidRPr="00657A7C" w:rsidRDefault="00BF1535" w:rsidP="00BF1535">
      <w:pPr>
        <w:pStyle w:val="ListParagraph"/>
        <w:widowControl/>
        <w:numPr>
          <w:ilvl w:val="1"/>
          <w:numId w:val="2"/>
        </w:numPr>
        <w:spacing w:before="160"/>
      </w:pPr>
      <w:r w:rsidRPr="00657A7C">
        <w:t xml:space="preserve">The pre-PBAC response </w:t>
      </w:r>
      <w:r w:rsidR="00657A7C" w:rsidRPr="00657A7C">
        <w:t>noted</w:t>
      </w:r>
      <w:r w:rsidRPr="00657A7C">
        <w:t xml:space="preserve"> DUSC advice that </w:t>
      </w:r>
      <w:r w:rsidR="00657A7C" w:rsidRPr="00657A7C">
        <w:t>‘</w:t>
      </w:r>
      <w:r w:rsidRPr="00657A7C">
        <w:t>this is a new patient population and the estimates</w:t>
      </w:r>
      <w:r w:rsidR="00657A7C" w:rsidRPr="00657A7C">
        <w:t xml:space="preserve"> may be over or underestimated’</w:t>
      </w:r>
      <w:r w:rsidRPr="00657A7C">
        <w:t xml:space="preserve">, and that </w:t>
      </w:r>
      <w:r w:rsidR="00657A7C" w:rsidRPr="00657A7C">
        <w:t>‘o</w:t>
      </w:r>
      <w:r w:rsidRPr="00657A7C">
        <w:t>verall the DUSC considered it is difficult to predict prescriber behav</w:t>
      </w:r>
      <w:r w:rsidR="00657A7C" w:rsidRPr="00657A7C">
        <w:t>iour’</w:t>
      </w:r>
      <w:r w:rsidRPr="00657A7C">
        <w:t xml:space="preserve"> in the context of SPMS. The sponsor acknowledged these uncertainties and stated that it expects to enter into a risk sharing arrangement with the Commonwealth to address this si</w:t>
      </w:r>
      <w:r w:rsidR="00657A7C" w:rsidRPr="00657A7C">
        <w:t>tuation</w:t>
      </w:r>
      <w:r w:rsidRPr="00657A7C">
        <w:t>.</w:t>
      </w:r>
    </w:p>
    <w:p w:rsidR="007D449B" w:rsidRDefault="009F2D6F" w:rsidP="009F2D6F">
      <w:pPr>
        <w:pStyle w:val="ListParagraph"/>
        <w:ind w:left="709"/>
        <w:rPr>
          <w:rFonts w:asciiTheme="minorHAnsi" w:hAnsiTheme="minorHAnsi"/>
          <w:i/>
        </w:rPr>
      </w:pPr>
      <w:r w:rsidRPr="00525B39">
        <w:rPr>
          <w:rFonts w:asciiTheme="minorHAnsi" w:hAnsiTheme="minorHAnsi"/>
          <w:i/>
        </w:rPr>
        <w:t>For more detail on PBAC’s view, see section 7 PBAC outcome.</w:t>
      </w:r>
    </w:p>
    <w:p w:rsidR="007D449B" w:rsidRDefault="007D449B">
      <w:pPr>
        <w:widowControl/>
        <w:jc w:val="left"/>
        <w:rPr>
          <w:rFonts w:asciiTheme="minorHAnsi" w:hAnsiTheme="minorHAnsi"/>
          <w:i/>
        </w:rPr>
      </w:pPr>
      <w:r>
        <w:rPr>
          <w:rFonts w:asciiTheme="minorHAnsi" w:hAnsiTheme="minorHAnsi"/>
          <w:i/>
        </w:rPr>
        <w:br w:type="page"/>
      </w:r>
    </w:p>
    <w:p w:rsidR="003A4275" w:rsidRPr="00D52702" w:rsidRDefault="003A4275" w:rsidP="008C4F44">
      <w:pPr>
        <w:keepNext/>
        <w:numPr>
          <w:ilvl w:val="0"/>
          <w:numId w:val="2"/>
        </w:numPr>
        <w:spacing w:before="240" w:after="120"/>
        <w:ind w:left="720"/>
        <w:outlineLvl w:val="0"/>
        <w:rPr>
          <w:rFonts w:asciiTheme="minorHAnsi" w:hAnsiTheme="minorHAnsi"/>
          <w:b/>
          <w:bCs/>
          <w:sz w:val="32"/>
        </w:rPr>
      </w:pPr>
      <w:r w:rsidRPr="00D52702">
        <w:rPr>
          <w:rFonts w:asciiTheme="minorHAnsi" w:hAnsiTheme="minorHAnsi"/>
          <w:b/>
          <w:bCs/>
          <w:sz w:val="32"/>
        </w:rPr>
        <w:lastRenderedPageBreak/>
        <w:t>PBAC Outcome</w:t>
      </w:r>
    </w:p>
    <w:p w:rsidR="001C6E67" w:rsidRPr="003608BD" w:rsidRDefault="003A4275" w:rsidP="001C6E67">
      <w:pPr>
        <w:numPr>
          <w:ilvl w:val="1"/>
          <w:numId w:val="2"/>
        </w:numPr>
        <w:spacing w:after="120"/>
        <w:rPr>
          <w:rFonts w:asciiTheme="minorHAnsi" w:hAnsiTheme="minorHAnsi"/>
          <w:bCs/>
          <w:lang w:val="en-GB"/>
        </w:rPr>
      </w:pPr>
      <w:r w:rsidRPr="0044401F">
        <w:rPr>
          <w:rFonts w:asciiTheme="minorHAnsi" w:hAnsiTheme="minorHAnsi"/>
          <w:bCs/>
          <w:lang w:val="en-GB"/>
        </w:rPr>
        <w:t xml:space="preserve">The </w:t>
      </w:r>
      <w:r w:rsidR="00E05FA5">
        <w:rPr>
          <w:rFonts w:asciiTheme="minorHAnsi" w:hAnsiTheme="minorHAnsi"/>
          <w:bCs/>
          <w:lang w:val="en-GB"/>
        </w:rPr>
        <w:t xml:space="preserve">PBAC did not recommend the listing of </w:t>
      </w:r>
      <w:proofErr w:type="spellStart"/>
      <w:r w:rsidR="00E05FA5">
        <w:rPr>
          <w:rFonts w:asciiTheme="minorHAnsi" w:hAnsiTheme="minorHAnsi"/>
          <w:bCs/>
          <w:lang w:val="en-GB"/>
        </w:rPr>
        <w:t>siponimod</w:t>
      </w:r>
      <w:proofErr w:type="spellEnd"/>
      <w:r w:rsidR="00E05FA5">
        <w:rPr>
          <w:rFonts w:asciiTheme="minorHAnsi" w:hAnsiTheme="minorHAnsi"/>
          <w:bCs/>
          <w:lang w:val="en-GB"/>
        </w:rPr>
        <w:t xml:space="preserve"> for the treatment of secondary progressive multiple sclerosis (SPMS)</w:t>
      </w:r>
      <w:r w:rsidR="001C6E67">
        <w:rPr>
          <w:rFonts w:asciiTheme="minorHAnsi" w:hAnsiTheme="minorHAnsi"/>
          <w:bCs/>
          <w:lang w:val="en-GB"/>
        </w:rPr>
        <w:t xml:space="preserve">. The PBAC acknowledged the high clinical need for effective treatments in this therapeutic area. </w:t>
      </w:r>
      <w:r w:rsidR="001C6E67" w:rsidRPr="003608BD">
        <w:rPr>
          <w:rFonts w:asciiTheme="minorHAnsi" w:hAnsiTheme="minorHAnsi"/>
          <w:bCs/>
          <w:lang w:val="en-GB"/>
        </w:rPr>
        <w:t xml:space="preserve">However, the PBAC considered </w:t>
      </w:r>
      <w:r w:rsidR="00551B05" w:rsidRPr="003608BD">
        <w:rPr>
          <w:rFonts w:asciiTheme="minorHAnsi" w:hAnsiTheme="minorHAnsi"/>
          <w:bCs/>
          <w:lang w:val="en-GB"/>
        </w:rPr>
        <w:t xml:space="preserve">that the </w:t>
      </w:r>
      <w:r w:rsidR="001C6E67" w:rsidRPr="003608BD">
        <w:rPr>
          <w:rFonts w:asciiTheme="minorHAnsi" w:hAnsiTheme="minorHAnsi"/>
          <w:bCs/>
          <w:lang w:val="en-GB"/>
        </w:rPr>
        <w:t xml:space="preserve">appropriate place of </w:t>
      </w:r>
      <w:proofErr w:type="spellStart"/>
      <w:r w:rsidR="001C6E67" w:rsidRPr="003608BD">
        <w:rPr>
          <w:rFonts w:asciiTheme="minorHAnsi" w:hAnsiTheme="minorHAnsi"/>
          <w:bCs/>
          <w:lang w:val="en-GB"/>
        </w:rPr>
        <w:t>siponimod</w:t>
      </w:r>
      <w:proofErr w:type="spellEnd"/>
      <w:r w:rsidR="001C6E67" w:rsidRPr="003608BD">
        <w:rPr>
          <w:rFonts w:asciiTheme="minorHAnsi" w:hAnsiTheme="minorHAnsi"/>
          <w:bCs/>
          <w:lang w:val="en-GB"/>
        </w:rPr>
        <w:t xml:space="preserve"> in the treatment algorithm for multiple sclerosis (MS) was uncertain</w:t>
      </w:r>
      <w:r w:rsidR="003608BD" w:rsidRPr="003608BD">
        <w:rPr>
          <w:rFonts w:asciiTheme="minorHAnsi" w:hAnsiTheme="minorHAnsi"/>
          <w:bCs/>
          <w:lang w:val="en-GB"/>
        </w:rPr>
        <w:t xml:space="preserve">, and the submission did not provide a reliable basis to assess the cost-effectiveness of </w:t>
      </w:r>
      <w:proofErr w:type="spellStart"/>
      <w:r w:rsidR="003608BD" w:rsidRPr="003608BD">
        <w:rPr>
          <w:rFonts w:asciiTheme="minorHAnsi" w:hAnsiTheme="minorHAnsi"/>
          <w:bCs/>
          <w:lang w:val="en-GB"/>
        </w:rPr>
        <w:t>siponimod</w:t>
      </w:r>
      <w:proofErr w:type="spellEnd"/>
      <w:r w:rsidR="003608BD" w:rsidRPr="003608BD">
        <w:rPr>
          <w:rFonts w:asciiTheme="minorHAnsi" w:hAnsiTheme="minorHAnsi"/>
          <w:bCs/>
          <w:lang w:val="en-GB"/>
        </w:rPr>
        <w:t>. The PBAC also considered the financial estimates to be uncertain.</w:t>
      </w:r>
      <w:r w:rsidR="001C6E67" w:rsidRPr="003608BD">
        <w:rPr>
          <w:rFonts w:asciiTheme="minorHAnsi" w:hAnsiTheme="minorHAnsi"/>
          <w:bCs/>
          <w:lang w:val="en-GB"/>
        </w:rPr>
        <w:t xml:space="preserve"> </w:t>
      </w:r>
    </w:p>
    <w:p w:rsidR="00E52AED" w:rsidRPr="00E52AED" w:rsidRDefault="00E52AED" w:rsidP="00E52AED">
      <w:pPr>
        <w:numPr>
          <w:ilvl w:val="1"/>
          <w:numId w:val="2"/>
        </w:numPr>
        <w:spacing w:after="120"/>
        <w:rPr>
          <w:rFonts w:asciiTheme="minorHAnsi" w:hAnsiTheme="minorHAnsi"/>
          <w:bCs/>
          <w:lang w:val="en-GB"/>
        </w:rPr>
      </w:pPr>
      <w:r>
        <w:rPr>
          <w:rFonts w:asciiTheme="minorHAnsi" w:hAnsiTheme="minorHAnsi"/>
          <w:bCs/>
          <w:lang w:val="en-GB"/>
        </w:rPr>
        <w:t xml:space="preserve">The PBAC welcomed the input from individuals and organisations which described the </w:t>
      </w:r>
      <w:r w:rsidR="001F7615" w:rsidRPr="00E52AED">
        <w:rPr>
          <w:rFonts w:asciiTheme="minorHAnsi" w:hAnsiTheme="minorHAnsi"/>
          <w:bCs/>
          <w:lang w:val="en-GB"/>
        </w:rPr>
        <w:t>high clinical need for effective treatments for patients with progressive forms of MS</w:t>
      </w:r>
      <w:r>
        <w:rPr>
          <w:rFonts w:asciiTheme="minorHAnsi" w:hAnsiTheme="minorHAnsi"/>
          <w:bCs/>
          <w:lang w:val="en-GB"/>
        </w:rPr>
        <w:t>.</w:t>
      </w:r>
      <w:r w:rsidR="001F7615" w:rsidRPr="00E52AED">
        <w:rPr>
          <w:rFonts w:asciiTheme="minorHAnsi" w:hAnsiTheme="minorHAnsi"/>
          <w:bCs/>
          <w:lang w:val="en-GB"/>
        </w:rPr>
        <w:t xml:space="preserve"> </w:t>
      </w:r>
    </w:p>
    <w:p w:rsidR="00E52AED" w:rsidRDefault="00551B05" w:rsidP="003A4275">
      <w:pPr>
        <w:numPr>
          <w:ilvl w:val="1"/>
          <w:numId w:val="2"/>
        </w:numPr>
        <w:spacing w:after="120"/>
        <w:rPr>
          <w:rFonts w:asciiTheme="minorHAnsi" w:hAnsiTheme="minorHAnsi"/>
          <w:bCs/>
          <w:lang w:val="en-GB"/>
        </w:rPr>
      </w:pPr>
      <w:r>
        <w:rPr>
          <w:rFonts w:asciiTheme="minorHAnsi" w:hAnsiTheme="minorHAnsi"/>
          <w:bCs/>
          <w:lang w:val="en-GB"/>
        </w:rPr>
        <w:t xml:space="preserve">The PBAC acknowledged that </w:t>
      </w:r>
      <w:r w:rsidR="001F7615">
        <w:rPr>
          <w:rFonts w:asciiTheme="minorHAnsi" w:hAnsiTheme="minorHAnsi"/>
          <w:bCs/>
          <w:lang w:val="en-GB"/>
        </w:rPr>
        <w:t xml:space="preserve">as </w:t>
      </w:r>
      <w:r>
        <w:rPr>
          <w:rFonts w:asciiTheme="minorHAnsi" w:hAnsiTheme="minorHAnsi"/>
          <w:bCs/>
          <w:lang w:val="en-GB"/>
        </w:rPr>
        <w:t xml:space="preserve">there are </w:t>
      </w:r>
      <w:r w:rsidR="001F7615">
        <w:rPr>
          <w:rFonts w:asciiTheme="minorHAnsi" w:hAnsiTheme="minorHAnsi"/>
          <w:bCs/>
          <w:lang w:val="en-GB"/>
        </w:rPr>
        <w:t xml:space="preserve">no treatments currently listed on the PBS for </w:t>
      </w:r>
      <w:r w:rsidR="007B275C">
        <w:rPr>
          <w:rFonts w:asciiTheme="minorHAnsi" w:hAnsiTheme="minorHAnsi"/>
          <w:bCs/>
          <w:lang w:val="en-GB"/>
        </w:rPr>
        <w:t>progressive forms of</w:t>
      </w:r>
      <w:r w:rsidR="001F7615">
        <w:rPr>
          <w:rFonts w:asciiTheme="minorHAnsi" w:hAnsiTheme="minorHAnsi"/>
          <w:bCs/>
          <w:lang w:val="en-GB"/>
        </w:rPr>
        <w:t xml:space="preserve"> </w:t>
      </w:r>
      <w:r w:rsidR="00E52AED">
        <w:rPr>
          <w:rFonts w:asciiTheme="minorHAnsi" w:hAnsiTheme="minorHAnsi"/>
          <w:bCs/>
          <w:lang w:val="en-GB"/>
        </w:rPr>
        <w:t>MS</w:t>
      </w:r>
      <w:r w:rsidR="007A4E5D">
        <w:rPr>
          <w:rFonts w:asciiTheme="minorHAnsi" w:hAnsiTheme="minorHAnsi"/>
          <w:bCs/>
          <w:lang w:val="en-GB"/>
        </w:rPr>
        <w:t>,</w:t>
      </w:r>
      <w:r w:rsidR="00561191">
        <w:rPr>
          <w:rFonts w:asciiTheme="minorHAnsi" w:hAnsiTheme="minorHAnsi"/>
          <w:bCs/>
          <w:lang w:val="en-GB"/>
        </w:rPr>
        <w:t xml:space="preserve"> there is a high</w:t>
      </w:r>
      <w:r w:rsidR="00E52AED">
        <w:rPr>
          <w:rFonts w:asciiTheme="minorHAnsi" w:hAnsiTheme="minorHAnsi"/>
          <w:bCs/>
          <w:lang w:val="en-GB"/>
        </w:rPr>
        <w:t xml:space="preserve"> unmet clinical need for effective treatments in this context</w:t>
      </w:r>
      <w:r w:rsidR="001F7615">
        <w:rPr>
          <w:rFonts w:asciiTheme="minorHAnsi" w:hAnsiTheme="minorHAnsi"/>
          <w:bCs/>
          <w:lang w:val="en-GB"/>
        </w:rPr>
        <w:t>.</w:t>
      </w:r>
    </w:p>
    <w:p w:rsidR="000B2B57" w:rsidRDefault="000B2B57" w:rsidP="000B2B57">
      <w:pPr>
        <w:numPr>
          <w:ilvl w:val="1"/>
          <w:numId w:val="2"/>
        </w:numPr>
        <w:spacing w:after="120"/>
        <w:rPr>
          <w:rFonts w:asciiTheme="minorHAnsi" w:hAnsiTheme="minorHAnsi"/>
          <w:bCs/>
          <w:lang w:val="en-GB"/>
        </w:rPr>
      </w:pPr>
      <w:r>
        <w:rPr>
          <w:rFonts w:asciiTheme="minorHAnsi" w:hAnsiTheme="minorHAnsi"/>
          <w:bCs/>
          <w:lang w:val="en-GB"/>
        </w:rPr>
        <w:t>T</w:t>
      </w:r>
      <w:r w:rsidR="00BF6EE9">
        <w:rPr>
          <w:rFonts w:asciiTheme="minorHAnsi" w:hAnsiTheme="minorHAnsi"/>
          <w:bCs/>
          <w:lang w:val="en-GB"/>
        </w:rPr>
        <w:t>he PBAC considered</w:t>
      </w:r>
      <w:r>
        <w:rPr>
          <w:rFonts w:asciiTheme="minorHAnsi" w:hAnsiTheme="minorHAnsi"/>
          <w:bCs/>
          <w:lang w:val="en-GB"/>
        </w:rPr>
        <w:t xml:space="preserve"> that, despite the high unmet clinical need,</w:t>
      </w:r>
      <w:r w:rsidR="00BF6EE9">
        <w:rPr>
          <w:rFonts w:asciiTheme="minorHAnsi" w:hAnsiTheme="minorHAnsi"/>
          <w:bCs/>
          <w:lang w:val="en-GB"/>
        </w:rPr>
        <w:t xml:space="preserve"> the appropriate place of </w:t>
      </w:r>
      <w:proofErr w:type="spellStart"/>
      <w:r w:rsidR="00BF6EE9">
        <w:rPr>
          <w:rFonts w:asciiTheme="minorHAnsi" w:hAnsiTheme="minorHAnsi"/>
          <w:bCs/>
          <w:lang w:val="en-GB"/>
        </w:rPr>
        <w:t>siponimod</w:t>
      </w:r>
      <w:proofErr w:type="spellEnd"/>
      <w:r w:rsidR="00BF6EE9">
        <w:rPr>
          <w:rFonts w:asciiTheme="minorHAnsi" w:hAnsiTheme="minorHAnsi"/>
          <w:bCs/>
          <w:lang w:val="en-GB"/>
        </w:rPr>
        <w:t xml:space="preserve"> in the treatment algorithm for MS was uncertain</w:t>
      </w:r>
      <w:r w:rsidR="00246D0B">
        <w:rPr>
          <w:rFonts w:asciiTheme="minorHAnsi" w:hAnsiTheme="minorHAnsi"/>
          <w:bCs/>
          <w:lang w:val="en-GB"/>
        </w:rPr>
        <w:t>,</w:t>
      </w:r>
      <w:r w:rsidR="00246D0B" w:rsidRPr="00246D0B">
        <w:t xml:space="preserve"> </w:t>
      </w:r>
      <w:r w:rsidR="00246D0B">
        <w:t xml:space="preserve">and noted the proposed restriction did not specifically identify patients with SPMS or exclude patients with </w:t>
      </w:r>
      <w:r w:rsidR="00246D0B">
        <w:rPr>
          <w:rFonts w:asciiTheme="minorHAnsi" w:hAnsiTheme="minorHAnsi"/>
          <w:bCs/>
          <w:lang w:val="en-GB"/>
        </w:rPr>
        <w:t>relapsing-remitting multiple sclerosis (</w:t>
      </w:r>
      <w:r w:rsidR="00246D0B">
        <w:t>RRMS)</w:t>
      </w:r>
      <w:r w:rsidR="00964015">
        <w:rPr>
          <w:rFonts w:asciiTheme="minorHAnsi" w:hAnsiTheme="minorHAnsi"/>
          <w:bCs/>
          <w:lang w:val="en-GB"/>
        </w:rPr>
        <w:t xml:space="preserve">. The PBAC acknowledged a key reason for this uncertainty is that it can be clinically difficult to determine when patients transition from </w:t>
      </w:r>
      <w:r w:rsidR="00246D0B">
        <w:rPr>
          <w:rFonts w:asciiTheme="minorHAnsi" w:hAnsiTheme="minorHAnsi"/>
          <w:bCs/>
          <w:lang w:val="en-GB"/>
        </w:rPr>
        <w:t>RRMS</w:t>
      </w:r>
      <w:r w:rsidR="001C6E67">
        <w:rPr>
          <w:rFonts w:asciiTheme="minorHAnsi" w:hAnsiTheme="minorHAnsi"/>
          <w:bCs/>
          <w:lang w:val="en-GB"/>
        </w:rPr>
        <w:t xml:space="preserve"> </w:t>
      </w:r>
      <w:r w:rsidR="00964015">
        <w:rPr>
          <w:rFonts w:asciiTheme="minorHAnsi" w:hAnsiTheme="minorHAnsi"/>
          <w:bCs/>
          <w:lang w:val="en-GB"/>
        </w:rPr>
        <w:t xml:space="preserve">to SPMS. As such, the PBAC considered that it is likely some people currently treated with RRMS disease modifying therapies (DMTs) may meet the criteria for </w:t>
      </w:r>
      <w:proofErr w:type="spellStart"/>
      <w:r w:rsidR="00964015">
        <w:rPr>
          <w:rFonts w:asciiTheme="minorHAnsi" w:hAnsiTheme="minorHAnsi"/>
          <w:bCs/>
          <w:lang w:val="en-GB"/>
        </w:rPr>
        <w:t>siponimod</w:t>
      </w:r>
      <w:proofErr w:type="spellEnd"/>
      <w:r w:rsidR="00964015">
        <w:rPr>
          <w:rFonts w:asciiTheme="minorHAnsi" w:hAnsiTheme="minorHAnsi"/>
          <w:bCs/>
          <w:lang w:val="en-GB"/>
        </w:rPr>
        <w:t xml:space="preserve"> under the requested listing. </w:t>
      </w:r>
    </w:p>
    <w:p w:rsidR="000B2B57" w:rsidRDefault="00D31566" w:rsidP="000B2B57">
      <w:pPr>
        <w:numPr>
          <w:ilvl w:val="1"/>
          <w:numId w:val="2"/>
        </w:numPr>
        <w:spacing w:after="120"/>
        <w:rPr>
          <w:rFonts w:asciiTheme="minorHAnsi" w:hAnsiTheme="minorHAnsi"/>
          <w:bCs/>
          <w:lang w:val="en-GB"/>
        </w:rPr>
      </w:pPr>
      <w:r>
        <w:rPr>
          <w:rFonts w:asciiTheme="minorHAnsi" w:hAnsiTheme="minorHAnsi"/>
          <w:bCs/>
          <w:lang w:val="en-GB"/>
        </w:rPr>
        <w:t>In addition, t</w:t>
      </w:r>
      <w:r w:rsidR="000B2B57">
        <w:rPr>
          <w:rFonts w:asciiTheme="minorHAnsi" w:hAnsiTheme="minorHAnsi"/>
          <w:bCs/>
          <w:lang w:val="en-GB"/>
        </w:rPr>
        <w:t>he PBAC noted the submission</w:t>
      </w:r>
      <w:r>
        <w:rPr>
          <w:rFonts w:asciiTheme="minorHAnsi" w:hAnsiTheme="minorHAnsi"/>
          <w:bCs/>
          <w:lang w:val="en-GB"/>
        </w:rPr>
        <w:t xml:space="preserve">, PSCR and pre-PBAC response </w:t>
      </w:r>
      <w:r w:rsidR="000B2B57">
        <w:rPr>
          <w:rFonts w:asciiTheme="minorHAnsi" w:hAnsiTheme="minorHAnsi"/>
          <w:bCs/>
          <w:lang w:val="en-GB"/>
        </w:rPr>
        <w:t xml:space="preserve">requested a treatment algorithm where patients are able to transition back to PBS listed therapies for RRMS (following treatment with </w:t>
      </w:r>
      <w:proofErr w:type="spellStart"/>
      <w:r w:rsidR="000B2B57">
        <w:rPr>
          <w:rFonts w:asciiTheme="minorHAnsi" w:hAnsiTheme="minorHAnsi"/>
          <w:bCs/>
          <w:lang w:val="en-GB"/>
        </w:rPr>
        <w:t>siponimod</w:t>
      </w:r>
      <w:proofErr w:type="spellEnd"/>
      <w:r w:rsidR="000B2B57">
        <w:rPr>
          <w:rFonts w:asciiTheme="minorHAnsi" w:hAnsiTheme="minorHAnsi"/>
          <w:bCs/>
          <w:lang w:val="en-GB"/>
        </w:rPr>
        <w:t>), if they meet the initiation criteria for treatment. The PBAC was uncertain if the requested treatment algorithm was appropriate, given the evidence base indicates patients generally do not frequently revert to a relapsing-only disease state following the start of progressive disease</w:t>
      </w:r>
      <w:r>
        <w:rPr>
          <w:rFonts w:asciiTheme="minorHAnsi" w:hAnsiTheme="minorHAnsi"/>
          <w:bCs/>
          <w:lang w:val="en-GB"/>
        </w:rPr>
        <w:t>. However, the PBAC considered that</w:t>
      </w:r>
      <w:r w:rsidR="004B2BA4">
        <w:rPr>
          <w:rFonts w:asciiTheme="minorHAnsi" w:hAnsiTheme="minorHAnsi"/>
          <w:bCs/>
          <w:lang w:val="en-GB"/>
        </w:rPr>
        <w:t>,</w:t>
      </w:r>
      <w:r>
        <w:rPr>
          <w:rFonts w:asciiTheme="minorHAnsi" w:hAnsiTheme="minorHAnsi"/>
          <w:bCs/>
          <w:lang w:val="en-GB"/>
        </w:rPr>
        <w:t xml:space="preserve"> </w:t>
      </w:r>
      <w:r w:rsidR="00434C6F">
        <w:rPr>
          <w:rFonts w:asciiTheme="minorHAnsi" w:hAnsiTheme="minorHAnsi"/>
          <w:bCs/>
          <w:lang w:val="en-GB"/>
        </w:rPr>
        <w:t xml:space="preserve">given there is a </w:t>
      </w:r>
      <w:r w:rsidR="00434C6F" w:rsidRPr="009F2D6F">
        <w:t>period where the classification of a patient with RRMS or SPMS is unclear because they may still experience relapses (albeit at a reduced frequency)</w:t>
      </w:r>
      <w:r w:rsidR="004B2BA4">
        <w:rPr>
          <w:rFonts w:asciiTheme="minorHAnsi" w:hAnsiTheme="minorHAnsi"/>
          <w:bCs/>
          <w:lang w:val="en-GB"/>
        </w:rPr>
        <w:t xml:space="preserve">, some patients may </w:t>
      </w:r>
      <w:r w:rsidR="000B2B57">
        <w:rPr>
          <w:rFonts w:asciiTheme="minorHAnsi" w:hAnsiTheme="minorHAnsi"/>
          <w:bCs/>
          <w:lang w:val="en-GB"/>
        </w:rPr>
        <w:t xml:space="preserve">continue to realise a benefit from treatment with RRMS therapies after failure with or an inability to tolerate </w:t>
      </w:r>
      <w:proofErr w:type="spellStart"/>
      <w:r w:rsidR="000B2B57">
        <w:rPr>
          <w:rFonts w:asciiTheme="minorHAnsi" w:hAnsiTheme="minorHAnsi"/>
          <w:bCs/>
          <w:lang w:val="en-GB"/>
        </w:rPr>
        <w:t>siponimod</w:t>
      </w:r>
      <w:proofErr w:type="spellEnd"/>
      <w:r w:rsidR="000B2B57">
        <w:rPr>
          <w:rFonts w:asciiTheme="minorHAnsi" w:hAnsiTheme="minorHAnsi"/>
          <w:bCs/>
          <w:lang w:val="en-GB"/>
        </w:rPr>
        <w:t>.</w:t>
      </w:r>
    </w:p>
    <w:p w:rsidR="000E37D8" w:rsidRPr="000E37D8" w:rsidRDefault="000E37D8" w:rsidP="000E37D8">
      <w:pPr>
        <w:pStyle w:val="ListParagraph"/>
        <w:widowControl/>
        <w:numPr>
          <w:ilvl w:val="1"/>
          <w:numId w:val="2"/>
        </w:numPr>
        <w:spacing w:after="240"/>
        <w:contextualSpacing/>
        <w:rPr>
          <w:rFonts w:asciiTheme="minorHAnsi" w:hAnsiTheme="minorHAnsi"/>
          <w:bCs/>
          <w:lang w:val="en-GB"/>
        </w:rPr>
      </w:pPr>
      <w:r>
        <w:rPr>
          <w:rFonts w:asciiTheme="minorHAnsi" w:hAnsiTheme="minorHAnsi"/>
          <w:bCs/>
          <w:lang w:val="en-GB"/>
        </w:rPr>
        <w:t xml:space="preserve">The PBAC noted treatment with </w:t>
      </w:r>
      <w:proofErr w:type="spellStart"/>
      <w:r>
        <w:rPr>
          <w:rFonts w:asciiTheme="minorHAnsi" w:hAnsiTheme="minorHAnsi"/>
          <w:bCs/>
          <w:lang w:val="en-GB"/>
        </w:rPr>
        <w:t>siponimod</w:t>
      </w:r>
      <w:proofErr w:type="spellEnd"/>
      <w:r>
        <w:rPr>
          <w:rFonts w:asciiTheme="minorHAnsi" w:hAnsiTheme="minorHAnsi"/>
          <w:bCs/>
          <w:lang w:val="en-GB"/>
        </w:rPr>
        <w:t xml:space="preserve"> was contingent upon patients receiving a genetic test for the CYP2C9 enzyme to determine if patients were good, intermediate or poor metabolisers, with poor metabolisers ineligible for treatment. </w:t>
      </w:r>
      <w:r w:rsidR="00412258">
        <w:rPr>
          <w:rFonts w:asciiTheme="minorHAnsi" w:hAnsiTheme="minorHAnsi"/>
          <w:bCs/>
          <w:lang w:val="en-GB"/>
        </w:rPr>
        <w:t xml:space="preserve">The PBAC considered that any future resubmission should include consultation with clinicians about the role of genetic testing and the extent to which any testing should be reflected in the restriction. </w:t>
      </w:r>
    </w:p>
    <w:p w:rsidR="003A4275" w:rsidRPr="00525B39" w:rsidRDefault="00C95566" w:rsidP="00F66917">
      <w:pPr>
        <w:numPr>
          <w:ilvl w:val="1"/>
          <w:numId w:val="2"/>
        </w:numPr>
        <w:spacing w:after="120"/>
        <w:rPr>
          <w:rFonts w:asciiTheme="minorHAnsi" w:hAnsiTheme="minorHAnsi"/>
          <w:bCs/>
          <w:lang w:val="en-GB"/>
        </w:rPr>
      </w:pPr>
      <w:r>
        <w:rPr>
          <w:rFonts w:asciiTheme="minorHAnsi" w:hAnsiTheme="minorHAnsi"/>
          <w:bCs/>
          <w:lang w:val="en-GB"/>
        </w:rPr>
        <w:t>The PBAC considered the nominated mixed comparator of an ‘untreated population’ (placebo) and a ‘treated population’ with</w:t>
      </w:r>
      <w:r w:rsidR="000C67E8">
        <w:rPr>
          <w:rFonts w:asciiTheme="minorHAnsi" w:hAnsiTheme="minorHAnsi"/>
          <w:bCs/>
          <w:lang w:val="en-GB"/>
        </w:rPr>
        <w:t xml:space="preserve"> RRMS DMTs</w:t>
      </w:r>
      <w:r>
        <w:rPr>
          <w:rFonts w:asciiTheme="minorHAnsi" w:hAnsiTheme="minorHAnsi"/>
          <w:bCs/>
          <w:lang w:val="en-GB"/>
        </w:rPr>
        <w:t xml:space="preserve"> (interferon beta, </w:t>
      </w:r>
      <w:proofErr w:type="spellStart"/>
      <w:r>
        <w:rPr>
          <w:rFonts w:asciiTheme="minorHAnsi" w:hAnsiTheme="minorHAnsi"/>
          <w:bCs/>
          <w:lang w:val="en-GB"/>
        </w:rPr>
        <w:t>glatiramer</w:t>
      </w:r>
      <w:proofErr w:type="spellEnd"/>
      <w:r>
        <w:rPr>
          <w:rFonts w:asciiTheme="minorHAnsi" w:hAnsiTheme="minorHAnsi"/>
          <w:bCs/>
          <w:lang w:val="en-GB"/>
        </w:rPr>
        <w:t xml:space="preserve"> acetate, </w:t>
      </w:r>
      <w:proofErr w:type="spellStart"/>
      <w:r>
        <w:rPr>
          <w:rFonts w:asciiTheme="minorHAnsi" w:hAnsiTheme="minorHAnsi"/>
          <w:bCs/>
          <w:lang w:val="en-GB"/>
        </w:rPr>
        <w:t>natalizumab</w:t>
      </w:r>
      <w:proofErr w:type="spellEnd"/>
      <w:r>
        <w:rPr>
          <w:rFonts w:asciiTheme="minorHAnsi" w:hAnsiTheme="minorHAnsi"/>
          <w:bCs/>
          <w:lang w:val="en-GB"/>
        </w:rPr>
        <w:t xml:space="preserve">, </w:t>
      </w:r>
      <w:proofErr w:type="spellStart"/>
      <w:r>
        <w:rPr>
          <w:rFonts w:asciiTheme="minorHAnsi" w:hAnsiTheme="minorHAnsi"/>
          <w:bCs/>
          <w:lang w:val="en-GB"/>
        </w:rPr>
        <w:t>fingolimod</w:t>
      </w:r>
      <w:proofErr w:type="spellEnd"/>
      <w:r>
        <w:rPr>
          <w:rFonts w:asciiTheme="minorHAnsi" w:hAnsiTheme="minorHAnsi"/>
          <w:bCs/>
          <w:lang w:val="en-GB"/>
        </w:rPr>
        <w:t xml:space="preserve"> and </w:t>
      </w:r>
      <w:proofErr w:type="spellStart"/>
      <w:r>
        <w:rPr>
          <w:rFonts w:asciiTheme="minorHAnsi" w:hAnsiTheme="minorHAnsi"/>
          <w:bCs/>
          <w:lang w:val="en-GB"/>
        </w:rPr>
        <w:t>ocrelizumab</w:t>
      </w:r>
      <w:proofErr w:type="spellEnd"/>
      <w:r>
        <w:rPr>
          <w:rFonts w:asciiTheme="minorHAnsi" w:hAnsiTheme="minorHAnsi"/>
          <w:bCs/>
          <w:lang w:val="en-GB"/>
        </w:rPr>
        <w:t xml:space="preserve">) was not appropriate, as none of </w:t>
      </w:r>
      <w:r>
        <w:rPr>
          <w:rFonts w:asciiTheme="minorHAnsi" w:hAnsiTheme="minorHAnsi"/>
          <w:bCs/>
          <w:lang w:val="en-GB"/>
        </w:rPr>
        <w:lastRenderedPageBreak/>
        <w:t>the therapies currently PBS listed for RRMS have been evaluated or had their cost-effectiveness established in SPMS.</w:t>
      </w:r>
      <w:r w:rsidR="0073744D">
        <w:rPr>
          <w:rFonts w:asciiTheme="minorHAnsi" w:hAnsiTheme="minorHAnsi"/>
          <w:bCs/>
          <w:lang w:val="en-GB"/>
        </w:rPr>
        <w:t xml:space="preserve"> On that basis, t</w:t>
      </w:r>
      <w:r>
        <w:rPr>
          <w:rFonts w:asciiTheme="minorHAnsi" w:hAnsiTheme="minorHAnsi"/>
          <w:bCs/>
          <w:lang w:val="en-GB"/>
        </w:rPr>
        <w:t xml:space="preserve">he PBAC considered placebo </w:t>
      </w:r>
      <w:r w:rsidR="00893484">
        <w:rPr>
          <w:rFonts w:asciiTheme="minorHAnsi" w:hAnsiTheme="minorHAnsi"/>
          <w:bCs/>
          <w:lang w:val="en-GB"/>
        </w:rPr>
        <w:t xml:space="preserve">(best supportive care) </w:t>
      </w:r>
      <w:r>
        <w:rPr>
          <w:rFonts w:asciiTheme="minorHAnsi" w:hAnsiTheme="minorHAnsi"/>
          <w:bCs/>
          <w:lang w:val="en-GB"/>
        </w:rPr>
        <w:t>was the appropriate comparator.</w:t>
      </w:r>
    </w:p>
    <w:p w:rsidR="003A4275" w:rsidRPr="00525B39" w:rsidRDefault="009713D1" w:rsidP="003A4275">
      <w:pPr>
        <w:numPr>
          <w:ilvl w:val="1"/>
          <w:numId w:val="2"/>
        </w:numPr>
        <w:spacing w:after="120"/>
        <w:rPr>
          <w:rFonts w:asciiTheme="minorHAnsi" w:hAnsiTheme="minorHAnsi"/>
          <w:bCs/>
          <w:lang w:val="en-GB"/>
        </w:rPr>
      </w:pPr>
      <w:r>
        <w:rPr>
          <w:rFonts w:asciiTheme="minorHAnsi" w:hAnsiTheme="minorHAnsi"/>
          <w:bCs/>
          <w:lang w:val="en-GB"/>
        </w:rPr>
        <w:t xml:space="preserve">The PBAC noted the ESC advice </w:t>
      </w:r>
      <w:r w:rsidR="00195950">
        <w:rPr>
          <w:rFonts w:asciiTheme="minorHAnsi" w:hAnsiTheme="minorHAnsi"/>
          <w:bCs/>
          <w:lang w:val="en-GB"/>
        </w:rPr>
        <w:t xml:space="preserve">that </w:t>
      </w:r>
      <w:r>
        <w:rPr>
          <w:rFonts w:asciiTheme="minorHAnsi" w:hAnsiTheme="minorHAnsi"/>
          <w:bCs/>
          <w:lang w:val="en-GB"/>
        </w:rPr>
        <w:t xml:space="preserve">there were some differences between the pivotal clinical trial (EXPAND) population and the Australian population identified in the </w:t>
      </w:r>
      <w:proofErr w:type="spellStart"/>
      <w:r>
        <w:rPr>
          <w:rFonts w:asciiTheme="minorHAnsi" w:hAnsiTheme="minorHAnsi"/>
          <w:bCs/>
          <w:lang w:val="en-GB"/>
        </w:rPr>
        <w:t>MSBase</w:t>
      </w:r>
      <w:proofErr w:type="spellEnd"/>
      <w:r>
        <w:rPr>
          <w:rFonts w:asciiTheme="minorHAnsi" w:hAnsiTheme="minorHAnsi"/>
          <w:bCs/>
          <w:lang w:val="en-GB"/>
        </w:rPr>
        <w:t xml:space="preserve"> database. </w:t>
      </w:r>
      <w:r w:rsidR="00246D0B">
        <w:rPr>
          <w:rFonts w:asciiTheme="minorHAnsi" w:hAnsiTheme="minorHAnsi"/>
          <w:bCs/>
          <w:lang w:val="en-GB"/>
        </w:rPr>
        <w:t>Overall, t</w:t>
      </w:r>
      <w:r>
        <w:rPr>
          <w:rFonts w:asciiTheme="minorHAnsi" w:hAnsiTheme="minorHAnsi"/>
          <w:bCs/>
          <w:lang w:val="en-GB"/>
        </w:rPr>
        <w:t xml:space="preserve">he PBAC considered on balance that the EXPAND trial population was likely to be </w:t>
      </w:r>
      <w:r w:rsidR="00246D0B">
        <w:rPr>
          <w:rFonts w:asciiTheme="minorHAnsi" w:hAnsiTheme="minorHAnsi"/>
          <w:bCs/>
          <w:lang w:val="en-GB"/>
        </w:rPr>
        <w:t>applicable</w:t>
      </w:r>
      <w:r>
        <w:rPr>
          <w:rFonts w:asciiTheme="minorHAnsi" w:hAnsiTheme="minorHAnsi"/>
          <w:bCs/>
          <w:lang w:val="en-GB"/>
        </w:rPr>
        <w:t xml:space="preserve"> to the Australian SPMS population.</w:t>
      </w:r>
    </w:p>
    <w:p w:rsidR="003A4275" w:rsidRPr="00525B39" w:rsidRDefault="000254FB" w:rsidP="003A4275">
      <w:pPr>
        <w:numPr>
          <w:ilvl w:val="1"/>
          <w:numId w:val="2"/>
        </w:numPr>
        <w:spacing w:after="120"/>
        <w:rPr>
          <w:rFonts w:asciiTheme="minorHAnsi" w:hAnsiTheme="minorHAnsi"/>
          <w:bCs/>
          <w:lang w:val="en-GB"/>
        </w:rPr>
      </w:pPr>
      <w:r>
        <w:rPr>
          <w:rFonts w:asciiTheme="minorHAnsi" w:hAnsiTheme="minorHAnsi"/>
          <w:bCs/>
          <w:lang w:val="en-GB"/>
        </w:rPr>
        <w:t>The PBAC considered</w:t>
      </w:r>
      <w:r w:rsidR="009713D1">
        <w:rPr>
          <w:rFonts w:asciiTheme="minorHAnsi" w:hAnsiTheme="minorHAnsi"/>
          <w:bCs/>
          <w:lang w:val="en-GB"/>
        </w:rPr>
        <w:t xml:space="preserve"> the </w:t>
      </w:r>
      <w:r>
        <w:rPr>
          <w:rFonts w:asciiTheme="minorHAnsi" w:hAnsiTheme="minorHAnsi"/>
          <w:bCs/>
          <w:lang w:val="en-GB"/>
        </w:rPr>
        <w:t xml:space="preserve">results of the EXPAND trial supported </w:t>
      </w:r>
      <w:r w:rsidR="00434C6F">
        <w:rPr>
          <w:rFonts w:asciiTheme="minorHAnsi" w:hAnsiTheme="minorHAnsi"/>
          <w:bCs/>
          <w:lang w:val="en-GB"/>
        </w:rPr>
        <w:t>the clinical claim</w:t>
      </w:r>
      <w:r>
        <w:rPr>
          <w:rFonts w:asciiTheme="minorHAnsi" w:hAnsiTheme="minorHAnsi"/>
          <w:bCs/>
          <w:lang w:val="en-GB"/>
        </w:rPr>
        <w:t xml:space="preserve"> that </w:t>
      </w:r>
      <w:proofErr w:type="spellStart"/>
      <w:r>
        <w:rPr>
          <w:rFonts w:asciiTheme="minorHAnsi" w:hAnsiTheme="minorHAnsi"/>
          <w:bCs/>
          <w:lang w:val="en-GB"/>
        </w:rPr>
        <w:t>siponimod</w:t>
      </w:r>
      <w:proofErr w:type="spellEnd"/>
      <w:r>
        <w:rPr>
          <w:rFonts w:asciiTheme="minorHAnsi" w:hAnsiTheme="minorHAnsi"/>
          <w:bCs/>
          <w:lang w:val="en-GB"/>
        </w:rPr>
        <w:t xml:space="preserve"> is superior to placebo with regards to 3- and 6-month confirmed disability progression (CDP) and annualised relapse rate (ARR). </w:t>
      </w:r>
    </w:p>
    <w:p w:rsidR="000E37D8" w:rsidRDefault="008C4F44" w:rsidP="000E37D8">
      <w:pPr>
        <w:numPr>
          <w:ilvl w:val="1"/>
          <w:numId w:val="2"/>
        </w:numPr>
        <w:spacing w:after="120"/>
        <w:rPr>
          <w:rFonts w:asciiTheme="minorHAnsi" w:hAnsiTheme="minorHAnsi"/>
          <w:bCs/>
          <w:lang w:val="en-GB"/>
        </w:rPr>
      </w:pPr>
      <w:r>
        <w:rPr>
          <w:rFonts w:asciiTheme="minorHAnsi" w:hAnsiTheme="minorHAnsi"/>
          <w:bCs/>
          <w:lang w:val="en-GB"/>
        </w:rPr>
        <w:t xml:space="preserve">The PBAC considered the clinical claim </w:t>
      </w:r>
      <w:r w:rsidR="00466157">
        <w:rPr>
          <w:rFonts w:asciiTheme="minorHAnsi" w:hAnsiTheme="minorHAnsi"/>
          <w:bCs/>
          <w:lang w:val="en-GB"/>
        </w:rPr>
        <w:t xml:space="preserve">that </w:t>
      </w:r>
      <w:proofErr w:type="spellStart"/>
      <w:r>
        <w:rPr>
          <w:rFonts w:asciiTheme="minorHAnsi" w:hAnsiTheme="minorHAnsi"/>
          <w:bCs/>
          <w:lang w:val="en-GB"/>
        </w:rPr>
        <w:t>siponimod</w:t>
      </w:r>
      <w:proofErr w:type="spellEnd"/>
      <w:r>
        <w:rPr>
          <w:rFonts w:asciiTheme="minorHAnsi" w:hAnsiTheme="minorHAnsi"/>
          <w:bCs/>
          <w:lang w:val="en-GB"/>
        </w:rPr>
        <w:t xml:space="preserve"> had an equivalent safety profile to placebo was not supported, as more patients </w:t>
      </w:r>
      <w:r w:rsidR="00195950">
        <w:rPr>
          <w:rFonts w:asciiTheme="minorHAnsi" w:hAnsiTheme="minorHAnsi"/>
          <w:bCs/>
          <w:lang w:val="en-GB"/>
        </w:rPr>
        <w:t xml:space="preserve">receiving </w:t>
      </w:r>
      <w:proofErr w:type="spellStart"/>
      <w:r w:rsidR="00195950">
        <w:rPr>
          <w:rFonts w:asciiTheme="minorHAnsi" w:hAnsiTheme="minorHAnsi"/>
          <w:bCs/>
          <w:lang w:val="en-GB"/>
        </w:rPr>
        <w:t>siponimod</w:t>
      </w:r>
      <w:proofErr w:type="spellEnd"/>
      <w:r w:rsidR="00195950">
        <w:rPr>
          <w:rFonts w:asciiTheme="minorHAnsi" w:hAnsiTheme="minorHAnsi"/>
          <w:bCs/>
          <w:lang w:val="en-GB"/>
        </w:rPr>
        <w:t xml:space="preserve"> </w:t>
      </w:r>
      <w:r>
        <w:rPr>
          <w:rFonts w:asciiTheme="minorHAnsi" w:hAnsiTheme="minorHAnsi"/>
          <w:bCs/>
          <w:lang w:val="en-GB"/>
        </w:rPr>
        <w:t>experienced hypertension, nausea, peripheral oedema and adverse liver function outcomes</w:t>
      </w:r>
      <w:r w:rsidR="00195950">
        <w:rPr>
          <w:rFonts w:asciiTheme="minorHAnsi" w:hAnsiTheme="minorHAnsi"/>
          <w:bCs/>
          <w:lang w:val="en-GB"/>
        </w:rPr>
        <w:t xml:space="preserve"> compared with placebo</w:t>
      </w:r>
      <w:r>
        <w:rPr>
          <w:rFonts w:asciiTheme="minorHAnsi" w:hAnsiTheme="minorHAnsi"/>
          <w:bCs/>
          <w:lang w:val="en-GB"/>
        </w:rPr>
        <w:t xml:space="preserve"> in the EXPAND trial. The PBAC considered </w:t>
      </w:r>
      <w:proofErr w:type="spellStart"/>
      <w:r>
        <w:rPr>
          <w:rFonts w:asciiTheme="minorHAnsi" w:hAnsiTheme="minorHAnsi"/>
          <w:bCs/>
          <w:lang w:val="en-GB"/>
        </w:rPr>
        <w:t>siponimod</w:t>
      </w:r>
      <w:proofErr w:type="spellEnd"/>
      <w:r>
        <w:rPr>
          <w:rFonts w:asciiTheme="minorHAnsi" w:hAnsiTheme="minorHAnsi"/>
          <w:bCs/>
          <w:lang w:val="en-GB"/>
        </w:rPr>
        <w:t xml:space="preserve"> was of inferior </w:t>
      </w:r>
      <w:r w:rsidR="00434C6F">
        <w:rPr>
          <w:rFonts w:asciiTheme="minorHAnsi" w:hAnsiTheme="minorHAnsi"/>
          <w:bCs/>
          <w:lang w:val="en-GB"/>
        </w:rPr>
        <w:t xml:space="preserve">comparative </w:t>
      </w:r>
      <w:r>
        <w:rPr>
          <w:rFonts w:asciiTheme="minorHAnsi" w:hAnsiTheme="minorHAnsi"/>
          <w:bCs/>
          <w:lang w:val="en-GB"/>
        </w:rPr>
        <w:t>safety to placebo.</w:t>
      </w:r>
    </w:p>
    <w:p w:rsidR="00301358" w:rsidRPr="000E37D8" w:rsidRDefault="00301358" w:rsidP="000E37D8">
      <w:pPr>
        <w:numPr>
          <w:ilvl w:val="1"/>
          <w:numId w:val="2"/>
        </w:numPr>
        <w:spacing w:after="120"/>
        <w:rPr>
          <w:rFonts w:asciiTheme="minorHAnsi" w:hAnsiTheme="minorHAnsi"/>
          <w:bCs/>
          <w:lang w:val="en-GB"/>
        </w:rPr>
      </w:pPr>
      <w:r>
        <w:t xml:space="preserve">The PBAC considered it was not possible to draw meaningful conclusions on the comparative efficacy and safety of </w:t>
      </w:r>
      <w:proofErr w:type="spellStart"/>
      <w:r>
        <w:t>siponimod</w:t>
      </w:r>
      <w:proofErr w:type="spellEnd"/>
      <w:r>
        <w:t xml:space="preserve"> to RRMS DMTs as indirect comparisons were not presented in the submission. The PBAC noted </w:t>
      </w:r>
      <w:r w:rsidR="00911121">
        <w:t>such comparisons would be limited by the quality of the available evidence for RRMD DMTs in the treatment of SPMS, however considered the assumption in the economic model that these treatments result in no clinical benefit</w:t>
      </w:r>
      <w:r w:rsidR="00CE1536">
        <w:t xml:space="preserve"> together</w:t>
      </w:r>
      <w:r w:rsidR="00911121">
        <w:t xml:space="preserve"> with a reduced quality of life to be implausible. </w:t>
      </w:r>
    </w:p>
    <w:p w:rsidR="00D75E05" w:rsidRPr="00D75E05" w:rsidRDefault="00751B06" w:rsidP="00061800">
      <w:pPr>
        <w:numPr>
          <w:ilvl w:val="1"/>
          <w:numId w:val="2"/>
        </w:numPr>
        <w:spacing w:after="120"/>
        <w:rPr>
          <w:rFonts w:asciiTheme="minorHAnsi" w:hAnsiTheme="minorHAnsi"/>
          <w:bCs/>
          <w:lang w:val="en-GB"/>
        </w:rPr>
      </w:pPr>
      <w:r>
        <w:rPr>
          <w:rFonts w:cs="Calibri"/>
          <w:snapToGrid/>
          <w:szCs w:val="24"/>
          <w:lang w:val="en-US" w:eastAsia="en-AU"/>
        </w:rPr>
        <w:t xml:space="preserve">The PBAC noted the submission presented a weighted ICER </w:t>
      </w:r>
      <w:r w:rsidRPr="009F2D6F">
        <w:rPr>
          <w:rFonts w:cs="Calibri"/>
          <w:snapToGrid/>
          <w:szCs w:val="24"/>
          <w:lang w:val="en-US" w:eastAsia="en-AU"/>
        </w:rPr>
        <w:t xml:space="preserve">calculated from three separate economic </w:t>
      </w:r>
      <w:r>
        <w:rPr>
          <w:rFonts w:cs="Calibri"/>
          <w:snapToGrid/>
          <w:szCs w:val="24"/>
          <w:lang w:val="en-US" w:eastAsia="en-AU"/>
        </w:rPr>
        <w:t xml:space="preserve">comparisons: </w:t>
      </w:r>
      <w:proofErr w:type="spellStart"/>
      <w:r w:rsidRPr="009F2D6F">
        <w:rPr>
          <w:rFonts w:cs="Calibri"/>
          <w:snapToGrid/>
          <w:szCs w:val="24"/>
          <w:lang w:val="en-US" w:eastAsia="en-AU"/>
        </w:rPr>
        <w:t>sip</w:t>
      </w:r>
      <w:r>
        <w:rPr>
          <w:rFonts w:cs="Calibri"/>
          <w:snapToGrid/>
          <w:szCs w:val="24"/>
          <w:lang w:val="en-US" w:eastAsia="en-AU"/>
        </w:rPr>
        <w:t>onimod</w:t>
      </w:r>
      <w:proofErr w:type="spellEnd"/>
      <w:r>
        <w:rPr>
          <w:rFonts w:cs="Calibri"/>
          <w:snapToGrid/>
          <w:szCs w:val="24"/>
          <w:lang w:val="en-US" w:eastAsia="en-AU"/>
        </w:rPr>
        <w:t xml:space="preserve"> vs placebo</w:t>
      </w:r>
      <w:r w:rsidRPr="009F2D6F">
        <w:rPr>
          <w:rFonts w:cs="Calibri"/>
          <w:snapToGrid/>
          <w:szCs w:val="24"/>
          <w:lang w:val="en-US" w:eastAsia="en-AU"/>
        </w:rPr>
        <w:t xml:space="preserve">; </w:t>
      </w:r>
      <w:proofErr w:type="spellStart"/>
      <w:r w:rsidRPr="009F2D6F">
        <w:rPr>
          <w:rFonts w:cs="Calibri"/>
          <w:snapToGrid/>
          <w:szCs w:val="24"/>
          <w:lang w:val="en-US" w:eastAsia="en-AU"/>
        </w:rPr>
        <w:t>siponimod</w:t>
      </w:r>
      <w:proofErr w:type="spellEnd"/>
      <w:r w:rsidRPr="009F2D6F">
        <w:rPr>
          <w:rFonts w:cs="Calibri"/>
          <w:snapToGrid/>
          <w:szCs w:val="24"/>
          <w:lang w:val="en-US" w:eastAsia="en-AU"/>
        </w:rPr>
        <w:t xml:space="preserve"> vs interferon-beta/</w:t>
      </w:r>
      <w:proofErr w:type="spellStart"/>
      <w:r w:rsidRPr="009F2D6F">
        <w:rPr>
          <w:rFonts w:cs="Calibri"/>
          <w:snapToGrid/>
          <w:szCs w:val="24"/>
          <w:lang w:val="en-US" w:eastAsia="en-AU"/>
        </w:rPr>
        <w:t>glatiramer</w:t>
      </w:r>
      <w:proofErr w:type="spellEnd"/>
      <w:r w:rsidRPr="009F2D6F">
        <w:rPr>
          <w:rFonts w:cs="Calibri"/>
          <w:snapToGrid/>
          <w:szCs w:val="24"/>
          <w:lang w:val="en-US" w:eastAsia="en-AU"/>
        </w:rPr>
        <w:t xml:space="preserve"> acetate; </w:t>
      </w:r>
      <w:r>
        <w:rPr>
          <w:rFonts w:cs="Calibri"/>
          <w:snapToGrid/>
          <w:szCs w:val="24"/>
          <w:lang w:val="en-US" w:eastAsia="en-AU"/>
        </w:rPr>
        <w:t xml:space="preserve">and </w:t>
      </w:r>
      <w:proofErr w:type="spellStart"/>
      <w:r>
        <w:rPr>
          <w:rFonts w:cs="Calibri"/>
          <w:snapToGrid/>
          <w:szCs w:val="24"/>
          <w:lang w:val="en-US" w:eastAsia="en-AU"/>
        </w:rPr>
        <w:t>siponimod</w:t>
      </w:r>
      <w:proofErr w:type="spellEnd"/>
      <w:r>
        <w:rPr>
          <w:rFonts w:cs="Calibri"/>
          <w:snapToGrid/>
          <w:szCs w:val="24"/>
          <w:lang w:val="en-US" w:eastAsia="en-AU"/>
        </w:rPr>
        <w:t xml:space="preserve"> vs </w:t>
      </w:r>
      <w:proofErr w:type="spellStart"/>
      <w:r>
        <w:rPr>
          <w:rFonts w:cs="Calibri"/>
          <w:snapToGrid/>
          <w:szCs w:val="24"/>
          <w:lang w:val="en-US" w:eastAsia="en-AU"/>
        </w:rPr>
        <w:t>natalizumab</w:t>
      </w:r>
      <w:proofErr w:type="spellEnd"/>
      <w:r w:rsidRPr="009F2D6F">
        <w:rPr>
          <w:rFonts w:cs="Calibri"/>
          <w:snapToGrid/>
          <w:szCs w:val="24"/>
          <w:lang w:val="en-US" w:eastAsia="en-AU"/>
        </w:rPr>
        <w:t>.</w:t>
      </w:r>
      <w:r>
        <w:rPr>
          <w:rFonts w:cs="Calibri"/>
          <w:snapToGrid/>
          <w:szCs w:val="24"/>
          <w:lang w:val="en-US" w:eastAsia="en-AU"/>
        </w:rPr>
        <w:t xml:space="preserve"> The PBAC did not accepted the weighted ICER as the Committee considered placebo to be the appropriate comparator for the r</w:t>
      </w:r>
      <w:r w:rsidR="002C30B3">
        <w:rPr>
          <w:rFonts w:cs="Calibri"/>
          <w:snapToGrid/>
          <w:szCs w:val="24"/>
          <w:lang w:val="en-US" w:eastAsia="en-AU"/>
        </w:rPr>
        <w:t>easons outlined in paragraph 7.7</w:t>
      </w:r>
      <w:r>
        <w:rPr>
          <w:rFonts w:cs="Calibri"/>
          <w:snapToGrid/>
          <w:szCs w:val="24"/>
          <w:lang w:val="en-US" w:eastAsia="en-AU"/>
        </w:rPr>
        <w:t>.</w:t>
      </w:r>
      <w:r w:rsidR="00061800">
        <w:rPr>
          <w:rFonts w:cs="Calibri"/>
          <w:snapToGrid/>
          <w:szCs w:val="24"/>
          <w:lang w:val="en-US" w:eastAsia="en-AU"/>
        </w:rPr>
        <w:t xml:space="preserve"> </w:t>
      </w:r>
      <w:r w:rsidR="00061800">
        <w:t xml:space="preserve">The PBAC did not consider the individual ICERs to be </w:t>
      </w:r>
      <w:r w:rsidR="00116E54">
        <w:t>informative</w:t>
      </w:r>
      <w:r w:rsidR="00061800">
        <w:t xml:space="preserve"> </w:t>
      </w:r>
      <w:r w:rsidR="00D75E05">
        <w:t xml:space="preserve">because of the use of a different price for </w:t>
      </w:r>
      <w:proofErr w:type="spellStart"/>
      <w:r w:rsidR="00D75E05">
        <w:t>siponimod</w:t>
      </w:r>
      <w:proofErr w:type="spellEnd"/>
      <w:r w:rsidR="00D75E05">
        <w:t xml:space="preserve"> for each of the three comparisons.</w:t>
      </w:r>
    </w:p>
    <w:p w:rsidR="00AA4093" w:rsidRPr="00310CBD" w:rsidRDefault="00D75E05" w:rsidP="00061800">
      <w:pPr>
        <w:numPr>
          <w:ilvl w:val="1"/>
          <w:numId w:val="2"/>
        </w:numPr>
        <w:spacing w:after="120"/>
        <w:rPr>
          <w:rFonts w:asciiTheme="minorHAnsi" w:hAnsiTheme="minorHAnsi"/>
          <w:bCs/>
          <w:lang w:val="en-GB"/>
        </w:rPr>
      </w:pPr>
      <w:r w:rsidRPr="00310CBD">
        <w:t>The PBAC noted the</w:t>
      </w:r>
      <w:r w:rsidR="00310CBD" w:rsidRPr="00310CBD">
        <w:t xml:space="preserve"> issues raised by</w:t>
      </w:r>
      <w:r w:rsidRPr="00310CBD">
        <w:t xml:space="preserve"> ESC</w:t>
      </w:r>
      <w:r w:rsidR="00310CBD" w:rsidRPr="00310CBD">
        <w:t xml:space="preserve"> with the economic model and considered these were not adequately addressed with the </w:t>
      </w:r>
      <w:r w:rsidRPr="00310CBD">
        <w:t xml:space="preserve">re-specified base case </w:t>
      </w:r>
      <w:r w:rsidR="00310CBD" w:rsidRPr="00310CBD">
        <w:t>in the pre</w:t>
      </w:r>
      <w:r w:rsidR="00572C4E">
        <w:t>-</w:t>
      </w:r>
      <w:r w:rsidR="00310CBD" w:rsidRPr="00310CBD">
        <w:t xml:space="preserve">PBAC response. </w:t>
      </w:r>
    </w:p>
    <w:p w:rsidR="004038F4" w:rsidRPr="004038F4" w:rsidRDefault="00366AE7" w:rsidP="003A4275">
      <w:pPr>
        <w:numPr>
          <w:ilvl w:val="1"/>
          <w:numId w:val="2"/>
        </w:numPr>
        <w:spacing w:after="120"/>
      </w:pPr>
      <w:r>
        <w:rPr>
          <w:rFonts w:asciiTheme="minorHAnsi" w:hAnsiTheme="minorHAnsi"/>
          <w:bCs/>
          <w:lang w:val="en-GB"/>
        </w:rPr>
        <w:t xml:space="preserve">The PBAC considered the likely utilisation of </w:t>
      </w:r>
      <w:proofErr w:type="spellStart"/>
      <w:r>
        <w:rPr>
          <w:rFonts w:asciiTheme="minorHAnsi" w:hAnsiTheme="minorHAnsi"/>
          <w:bCs/>
          <w:lang w:val="en-GB"/>
        </w:rPr>
        <w:t>siponimod</w:t>
      </w:r>
      <w:proofErr w:type="spellEnd"/>
      <w:r>
        <w:rPr>
          <w:rFonts w:asciiTheme="minorHAnsi" w:hAnsiTheme="minorHAnsi"/>
          <w:bCs/>
          <w:lang w:val="en-GB"/>
        </w:rPr>
        <w:t xml:space="preserve"> to be highly uncertain given the potential RRMS patients who are experiencing progressive disease but have not been diagnosed with SPMS, and the level of clinical judgment often required in making an SPMS diagnosis. The PBAC agreed with DUSC </w:t>
      </w:r>
      <w:r w:rsidR="000E37D8">
        <w:rPr>
          <w:rFonts w:asciiTheme="minorHAnsi" w:hAnsiTheme="minorHAnsi"/>
          <w:bCs/>
          <w:lang w:val="en-GB"/>
        </w:rPr>
        <w:t>that</w:t>
      </w:r>
      <w:r>
        <w:rPr>
          <w:rFonts w:asciiTheme="minorHAnsi" w:hAnsiTheme="minorHAnsi"/>
          <w:bCs/>
          <w:lang w:val="en-GB"/>
        </w:rPr>
        <w:t xml:space="preserve"> the uptake of </w:t>
      </w:r>
      <w:proofErr w:type="spellStart"/>
      <w:r>
        <w:rPr>
          <w:rFonts w:asciiTheme="minorHAnsi" w:hAnsiTheme="minorHAnsi"/>
          <w:bCs/>
          <w:lang w:val="en-GB"/>
        </w:rPr>
        <w:t>siponimod</w:t>
      </w:r>
      <w:proofErr w:type="spellEnd"/>
      <w:r>
        <w:rPr>
          <w:rFonts w:asciiTheme="minorHAnsi" w:hAnsiTheme="minorHAnsi"/>
          <w:bCs/>
          <w:lang w:val="en-GB"/>
        </w:rPr>
        <w:t xml:space="preserve"> was highly uncertain and dependent on factors such as whether patients would be permitted to return to treatment with RRMS therapies following treatment with </w:t>
      </w:r>
      <w:proofErr w:type="spellStart"/>
      <w:r>
        <w:rPr>
          <w:rFonts w:asciiTheme="minorHAnsi" w:hAnsiTheme="minorHAnsi"/>
          <w:bCs/>
          <w:lang w:val="en-GB"/>
        </w:rPr>
        <w:t>siponimod</w:t>
      </w:r>
      <w:proofErr w:type="spellEnd"/>
      <w:r>
        <w:rPr>
          <w:rFonts w:asciiTheme="minorHAnsi" w:hAnsiTheme="minorHAnsi"/>
          <w:bCs/>
          <w:lang w:val="en-GB"/>
        </w:rPr>
        <w:t xml:space="preserve">. </w:t>
      </w:r>
    </w:p>
    <w:p w:rsidR="001177A6" w:rsidRPr="00B049DF" w:rsidRDefault="009123BD" w:rsidP="00310CBD">
      <w:pPr>
        <w:numPr>
          <w:ilvl w:val="1"/>
          <w:numId w:val="2"/>
        </w:numPr>
        <w:spacing w:after="120"/>
        <w:rPr>
          <w:rFonts w:asciiTheme="minorHAnsi" w:hAnsiTheme="minorHAnsi"/>
          <w:bCs/>
          <w:lang w:val="en-GB"/>
        </w:rPr>
      </w:pPr>
      <w:r w:rsidRPr="00B049DF">
        <w:rPr>
          <w:rFonts w:asciiTheme="minorHAnsi" w:hAnsiTheme="minorHAnsi"/>
          <w:bCs/>
          <w:lang w:val="en-GB"/>
        </w:rPr>
        <w:t xml:space="preserve">The PBAC considered a </w:t>
      </w:r>
      <w:r w:rsidR="00B049DF">
        <w:rPr>
          <w:rFonts w:asciiTheme="minorHAnsi" w:hAnsiTheme="minorHAnsi"/>
          <w:bCs/>
          <w:lang w:val="en-GB"/>
        </w:rPr>
        <w:t xml:space="preserve">future </w:t>
      </w:r>
      <w:r w:rsidRPr="00B049DF">
        <w:rPr>
          <w:rFonts w:asciiTheme="minorHAnsi" w:hAnsiTheme="minorHAnsi"/>
          <w:bCs/>
          <w:lang w:val="en-GB"/>
        </w:rPr>
        <w:t xml:space="preserve">resubmission should assess the cost-effectiveness of </w:t>
      </w:r>
      <w:proofErr w:type="spellStart"/>
      <w:r w:rsidRPr="00B049DF">
        <w:rPr>
          <w:rFonts w:asciiTheme="minorHAnsi" w:hAnsiTheme="minorHAnsi"/>
          <w:bCs/>
          <w:lang w:val="en-GB"/>
        </w:rPr>
        <w:t>siponimod</w:t>
      </w:r>
      <w:proofErr w:type="spellEnd"/>
      <w:r w:rsidRPr="00B049DF">
        <w:rPr>
          <w:rFonts w:asciiTheme="minorHAnsi" w:hAnsiTheme="minorHAnsi"/>
          <w:bCs/>
          <w:lang w:val="en-GB"/>
        </w:rPr>
        <w:t xml:space="preserve"> versus placebo</w:t>
      </w:r>
      <w:r w:rsidR="005344BE">
        <w:rPr>
          <w:rFonts w:asciiTheme="minorHAnsi" w:hAnsiTheme="minorHAnsi"/>
          <w:bCs/>
          <w:lang w:val="en-GB"/>
        </w:rPr>
        <w:t xml:space="preserve"> among people with SPMS,</w:t>
      </w:r>
      <w:r w:rsidRPr="00B049DF">
        <w:rPr>
          <w:rFonts w:asciiTheme="minorHAnsi" w:hAnsiTheme="minorHAnsi"/>
          <w:bCs/>
          <w:lang w:val="en-GB"/>
        </w:rPr>
        <w:t xml:space="preserve"> addressing the issues outlined </w:t>
      </w:r>
      <w:r w:rsidRPr="00B049DF">
        <w:rPr>
          <w:rFonts w:asciiTheme="minorHAnsi" w:hAnsiTheme="minorHAnsi"/>
          <w:bCs/>
          <w:lang w:val="en-GB"/>
        </w:rPr>
        <w:lastRenderedPageBreak/>
        <w:t>above in the ‘economic analysis’ section</w:t>
      </w:r>
      <w:r w:rsidR="00310CBD" w:rsidRPr="00B049DF">
        <w:rPr>
          <w:rFonts w:asciiTheme="minorHAnsi" w:hAnsiTheme="minorHAnsi"/>
          <w:bCs/>
          <w:lang w:val="en-GB"/>
        </w:rPr>
        <w:t>. However, the</w:t>
      </w:r>
      <w:r w:rsidR="006F7C91" w:rsidRPr="00B049DF">
        <w:rPr>
          <w:rFonts w:asciiTheme="minorHAnsi" w:hAnsiTheme="minorHAnsi"/>
          <w:bCs/>
          <w:lang w:val="en-GB"/>
        </w:rPr>
        <w:t xml:space="preserve"> PBAC </w:t>
      </w:r>
      <w:r w:rsidR="005867BB" w:rsidRPr="00B049DF">
        <w:rPr>
          <w:rFonts w:asciiTheme="minorHAnsi" w:hAnsiTheme="minorHAnsi"/>
          <w:bCs/>
          <w:lang w:val="en-GB"/>
        </w:rPr>
        <w:t xml:space="preserve">also </w:t>
      </w:r>
      <w:r w:rsidR="006F7C91" w:rsidRPr="00B049DF">
        <w:rPr>
          <w:rFonts w:asciiTheme="minorHAnsi" w:hAnsiTheme="minorHAnsi"/>
          <w:bCs/>
          <w:lang w:val="en-GB"/>
        </w:rPr>
        <w:t xml:space="preserve">acknowledged the clinical difficulty of determining when patients transition from RRMS to SPMS and hence the likelihood that some patients may continue to realise a benefit after failure with or an inability to tolerate </w:t>
      </w:r>
      <w:proofErr w:type="spellStart"/>
      <w:r w:rsidR="006F7C91" w:rsidRPr="00B049DF">
        <w:rPr>
          <w:rFonts w:asciiTheme="minorHAnsi" w:hAnsiTheme="minorHAnsi"/>
          <w:bCs/>
          <w:lang w:val="en-GB"/>
        </w:rPr>
        <w:t>siponimod</w:t>
      </w:r>
      <w:proofErr w:type="spellEnd"/>
      <w:r w:rsidR="006F7C91" w:rsidRPr="00B049DF">
        <w:rPr>
          <w:rFonts w:asciiTheme="minorHAnsi" w:hAnsiTheme="minorHAnsi"/>
          <w:bCs/>
          <w:lang w:val="en-GB"/>
        </w:rPr>
        <w:t xml:space="preserve">. </w:t>
      </w:r>
      <w:r w:rsidR="005867BB" w:rsidRPr="00B049DF">
        <w:rPr>
          <w:rFonts w:asciiTheme="minorHAnsi" w:hAnsiTheme="minorHAnsi"/>
          <w:bCs/>
          <w:lang w:val="en-GB"/>
        </w:rPr>
        <w:t>As such, the PBAC considered it may</w:t>
      </w:r>
      <w:r w:rsidR="005344BE">
        <w:rPr>
          <w:rFonts w:asciiTheme="minorHAnsi" w:hAnsiTheme="minorHAnsi"/>
          <w:bCs/>
          <w:lang w:val="en-GB"/>
        </w:rPr>
        <w:t xml:space="preserve"> also</w:t>
      </w:r>
      <w:r w:rsidR="005867BB" w:rsidRPr="00B049DF">
        <w:rPr>
          <w:rFonts w:asciiTheme="minorHAnsi" w:hAnsiTheme="minorHAnsi"/>
          <w:bCs/>
          <w:lang w:val="en-GB"/>
        </w:rPr>
        <w:t xml:space="preserve"> be appropriate </w:t>
      </w:r>
      <w:r w:rsidR="001177A6" w:rsidRPr="00B049DF">
        <w:rPr>
          <w:rFonts w:asciiTheme="minorHAnsi" w:hAnsiTheme="minorHAnsi"/>
          <w:bCs/>
          <w:lang w:val="en-GB"/>
        </w:rPr>
        <w:t xml:space="preserve">to include </w:t>
      </w:r>
      <w:proofErr w:type="spellStart"/>
      <w:r w:rsidR="001177A6" w:rsidRPr="00B049DF">
        <w:rPr>
          <w:rFonts w:asciiTheme="minorHAnsi" w:hAnsiTheme="minorHAnsi"/>
          <w:bCs/>
          <w:lang w:val="en-GB"/>
        </w:rPr>
        <w:t>siponimod</w:t>
      </w:r>
      <w:proofErr w:type="spellEnd"/>
      <w:r w:rsidR="001177A6" w:rsidRPr="00B049DF">
        <w:rPr>
          <w:rFonts w:asciiTheme="minorHAnsi" w:hAnsiTheme="minorHAnsi"/>
          <w:bCs/>
          <w:lang w:val="en-GB"/>
        </w:rPr>
        <w:t xml:space="preserve"> within the existing </w:t>
      </w:r>
      <w:r w:rsidR="00B049DF">
        <w:rPr>
          <w:rFonts w:asciiTheme="minorHAnsi" w:hAnsiTheme="minorHAnsi"/>
          <w:bCs/>
          <w:lang w:val="en-GB"/>
        </w:rPr>
        <w:t xml:space="preserve">treatment </w:t>
      </w:r>
      <w:r w:rsidR="001177A6" w:rsidRPr="00B049DF">
        <w:rPr>
          <w:rFonts w:asciiTheme="minorHAnsi" w:hAnsiTheme="minorHAnsi"/>
          <w:bCs/>
          <w:lang w:val="en-GB"/>
        </w:rPr>
        <w:t>algorithm for RRMS DMTs</w:t>
      </w:r>
      <w:r w:rsidR="005867BB" w:rsidRPr="00B049DF">
        <w:rPr>
          <w:rFonts w:asciiTheme="minorHAnsi" w:hAnsiTheme="minorHAnsi"/>
          <w:bCs/>
          <w:lang w:val="en-GB"/>
        </w:rPr>
        <w:t xml:space="preserve">. </w:t>
      </w:r>
      <w:r w:rsidR="001177A6" w:rsidRPr="00B049DF">
        <w:rPr>
          <w:rFonts w:asciiTheme="minorHAnsi" w:hAnsiTheme="minorHAnsi"/>
          <w:bCs/>
          <w:lang w:val="en-GB"/>
        </w:rPr>
        <w:t xml:space="preserve">Given the evidence base in reducing 3- and 6- month CDP, the PBAC considered such a listing would provide flexibility for clinicians to select the most appropriate therapy for individual patients based on clinical judgment, which may include </w:t>
      </w:r>
      <w:proofErr w:type="spellStart"/>
      <w:r w:rsidR="001177A6" w:rsidRPr="00B049DF">
        <w:rPr>
          <w:rFonts w:asciiTheme="minorHAnsi" w:hAnsiTheme="minorHAnsi"/>
          <w:bCs/>
          <w:lang w:val="en-GB"/>
        </w:rPr>
        <w:t>siponimod</w:t>
      </w:r>
      <w:proofErr w:type="spellEnd"/>
      <w:r w:rsidR="001177A6" w:rsidRPr="00B049DF">
        <w:rPr>
          <w:rFonts w:asciiTheme="minorHAnsi" w:hAnsiTheme="minorHAnsi"/>
          <w:bCs/>
          <w:lang w:val="en-GB"/>
        </w:rPr>
        <w:t xml:space="preserve"> when deemed clinically appropriate. Such an approach would also allow patients to transition back to RRMS DMTs following treatment with </w:t>
      </w:r>
      <w:proofErr w:type="spellStart"/>
      <w:r w:rsidR="001177A6" w:rsidRPr="00B049DF">
        <w:rPr>
          <w:rFonts w:asciiTheme="minorHAnsi" w:hAnsiTheme="minorHAnsi"/>
          <w:bCs/>
          <w:lang w:val="en-GB"/>
        </w:rPr>
        <w:t>siponimod</w:t>
      </w:r>
      <w:proofErr w:type="spellEnd"/>
      <w:r w:rsidR="001177A6" w:rsidRPr="00B049DF">
        <w:rPr>
          <w:rFonts w:asciiTheme="minorHAnsi" w:hAnsiTheme="minorHAnsi"/>
          <w:bCs/>
          <w:lang w:val="en-GB"/>
        </w:rPr>
        <w:t xml:space="preserve">. </w:t>
      </w:r>
      <w:r w:rsidR="00310CBD" w:rsidRPr="00B049DF">
        <w:rPr>
          <w:rFonts w:asciiTheme="minorHAnsi" w:hAnsiTheme="minorHAnsi"/>
          <w:bCs/>
          <w:lang w:val="en-GB"/>
        </w:rPr>
        <w:t>Consistent with this the</w:t>
      </w:r>
      <w:r w:rsidR="00B049DF" w:rsidRPr="00B049DF">
        <w:rPr>
          <w:rFonts w:asciiTheme="minorHAnsi" w:hAnsiTheme="minorHAnsi"/>
          <w:bCs/>
          <w:lang w:val="en-GB"/>
        </w:rPr>
        <w:t xml:space="preserve"> PBAC considered</w:t>
      </w:r>
      <w:r w:rsidR="00B049DF">
        <w:rPr>
          <w:rFonts w:asciiTheme="minorHAnsi" w:hAnsiTheme="minorHAnsi"/>
          <w:bCs/>
          <w:lang w:val="en-GB"/>
        </w:rPr>
        <w:t xml:space="preserve"> in a</w:t>
      </w:r>
      <w:r w:rsidR="003608BD">
        <w:rPr>
          <w:rFonts w:asciiTheme="minorHAnsi" w:hAnsiTheme="minorHAnsi"/>
          <w:bCs/>
          <w:lang w:val="en-GB"/>
        </w:rPr>
        <w:t xml:space="preserve"> resubmission</w:t>
      </w:r>
      <w:r w:rsidR="00B049DF" w:rsidRPr="00B049DF">
        <w:rPr>
          <w:rFonts w:asciiTheme="minorHAnsi" w:hAnsiTheme="minorHAnsi"/>
          <w:bCs/>
          <w:lang w:val="en-GB"/>
        </w:rPr>
        <w:t xml:space="preserve"> the</w:t>
      </w:r>
      <w:r w:rsidR="00310CBD" w:rsidRPr="00B049DF">
        <w:rPr>
          <w:rFonts w:asciiTheme="minorHAnsi" w:hAnsiTheme="minorHAnsi"/>
          <w:bCs/>
          <w:lang w:val="en-GB"/>
        </w:rPr>
        <w:t xml:space="preserve"> cost-effectiveness of </w:t>
      </w:r>
      <w:proofErr w:type="spellStart"/>
      <w:r w:rsidR="00310CBD" w:rsidRPr="00B049DF">
        <w:rPr>
          <w:rFonts w:asciiTheme="minorHAnsi" w:hAnsiTheme="minorHAnsi"/>
          <w:bCs/>
          <w:lang w:val="en-GB"/>
        </w:rPr>
        <w:t>siponimod</w:t>
      </w:r>
      <w:proofErr w:type="spellEnd"/>
      <w:r w:rsidR="00310CBD" w:rsidRPr="00B049DF">
        <w:rPr>
          <w:rFonts w:asciiTheme="minorHAnsi" w:hAnsiTheme="minorHAnsi"/>
          <w:bCs/>
          <w:lang w:val="en-GB"/>
        </w:rPr>
        <w:t xml:space="preserve"> could </w:t>
      </w:r>
      <w:r w:rsidR="000F6624">
        <w:rPr>
          <w:rFonts w:asciiTheme="minorHAnsi" w:hAnsiTheme="minorHAnsi"/>
          <w:bCs/>
          <w:lang w:val="en-GB"/>
        </w:rPr>
        <w:t xml:space="preserve">alternatively </w:t>
      </w:r>
      <w:r w:rsidR="00310CBD" w:rsidRPr="00B049DF">
        <w:rPr>
          <w:rFonts w:asciiTheme="minorHAnsi" w:hAnsiTheme="minorHAnsi"/>
          <w:bCs/>
          <w:lang w:val="en-GB"/>
        </w:rPr>
        <w:t xml:space="preserve">be informed </w:t>
      </w:r>
      <w:r w:rsidR="00B049DF" w:rsidRPr="00B049DF">
        <w:rPr>
          <w:rFonts w:asciiTheme="minorHAnsi" w:hAnsiTheme="minorHAnsi"/>
          <w:bCs/>
          <w:lang w:val="en-GB"/>
        </w:rPr>
        <w:t>by a comparison with the DMTs</w:t>
      </w:r>
      <w:r w:rsidR="00921C6D">
        <w:rPr>
          <w:rFonts w:asciiTheme="minorHAnsi" w:hAnsiTheme="minorHAnsi"/>
          <w:bCs/>
          <w:lang w:val="en-GB"/>
        </w:rPr>
        <w:t xml:space="preserve"> among people with RRMS</w:t>
      </w:r>
      <w:r w:rsidR="003D18C6">
        <w:rPr>
          <w:rFonts w:asciiTheme="minorHAnsi" w:hAnsiTheme="minorHAnsi"/>
          <w:bCs/>
          <w:lang w:val="en-GB"/>
        </w:rPr>
        <w:t xml:space="preserve">, and </w:t>
      </w:r>
      <w:r w:rsidR="0010293F">
        <w:rPr>
          <w:rFonts w:asciiTheme="minorHAnsi" w:hAnsiTheme="minorHAnsi"/>
          <w:bCs/>
          <w:lang w:val="en-GB"/>
        </w:rPr>
        <w:t>the Committee</w:t>
      </w:r>
      <w:r w:rsidR="003D18C6">
        <w:rPr>
          <w:rFonts w:asciiTheme="minorHAnsi" w:hAnsiTheme="minorHAnsi"/>
          <w:bCs/>
          <w:lang w:val="en-GB"/>
        </w:rPr>
        <w:t xml:space="preserve"> note</w:t>
      </w:r>
      <w:r w:rsidR="00412258">
        <w:rPr>
          <w:rFonts w:asciiTheme="minorHAnsi" w:hAnsiTheme="minorHAnsi"/>
          <w:bCs/>
          <w:lang w:val="en-GB"/>
        </w:rPr>
        <w:t>d</w:t>
      </w:r>
      <w:r w:rsidR="003D18C6">
        <w:rPr>
          <w:rFonts w:asciiTheme="minorHAnsi" w:hAnsiTheme="minorHAnsi"/>
          <w:bCs/>
          <w:lang w:val="en-GB"/>
        </w:rPr>
        <w:t xml:space="preserve"> </w:t>
      </w:r>
      <w:r w:rsidR="00921C6D">
        <w:rPr>
          <w:rFonts w:asciiTheme="minorHAnsi" w:hAnsiTheme="minorHAnsi"/>
          <w:bCs/>
          <w:lang w:val="en-GB"/>
        </w:rPr>
        <w:t xml:space="preserve">a </w:t>
      </w:r>
      <w:r w:rsidR="003D18C6">
        <w:rPr>
          <w:rFonts w:asciiTheme="minorHAnsi" w:hAnsiTheme="minorHAnsi"/>
          <w:bCs/>
          <w:lang w:val="en-GB"/>
        </w:rPr>
        <w:t xml:space="preserve">previous trial of </w:t>
      </w:r>
      <w:proofErr w:type="spellStart"/>
      <w:r w:rsidR="003D18C6">
        <w:rPr>
          <w:rFonts w:asciiTheme="minorHAnsi" w:hAnsiTheme="minorHAnsi"/>
          <w:bCs/>
          <w:lang w:val="en-GB"/>
        </w:rPr>
        <w:t>siponimod</w:t>
      </w:r>
      <w:proofErr w:type="spellEnd"/>
      <w:r w:rsidR="003D18C6">
        <w:rPr>
          <w:rFonts w:asciiTheme="minorHAnsi" w:hAnsiTheme="minorHAnsi"/>
          <w:bCs/>
          <w:lang w:val="en-GB"/>
        </w:rPr>
        <w:t xml:space="preserve"> </w:t>
      </w:r>
      <w:r w:rsidR="0009422F">
        <w:rPr>
          <w:rFonts w:asciiTheme="minorHAnsi" w:hAnsiTheme="minorHAnsi"/>
          <w:bCs/>
          <w:lang w:val="en-GB"/>
        </w:rPr>
        <w:t>in this patient group</w:t>
      </w:r>
      <w:r w:rsidR="003D18C6">
        <w:rPr>
          <w:rFonts w:asciiTheme="minorHAnsi" w:hAnsiTheme="minorHAnsi"/>
          <w:bCs/>
          <w:lang w:val="en-GB"/>
        </w:rPr>
        <w:t xml:space="preserve"> (BOLD)</w:t>
      </w:r>
      <w:r w:rsidR="00B049DF" w:rsidRPr="00B049DF">
        <w:rPr>
          <w:rFonts w:asciiTheme="minorHAnsi" w:hAnsiTheme="minorHAnsi"/>
          <w:bCs/>
          <w:lang w:val="en-GB"/>
        </w:rPr>
        <w:t>. A</w:t>
      </w:r>
      <w:r w:rsidR="000F6624">
        <w:rPr>
          <w:rFonts w:asciiTheme="minorHAnsi" w:hAnsiTheme="minorHAnsi"/>
          <w:bCs/>
          <w:lang w:val="en-GB"/>
        </w:rPr>
        <w:t>ny</w:t>
      </w:r>
      <w:r w:rsidR="00B049DF" w:rsidRPr="00B049DF">
        <w:rPr>
          <w:rFonts w:asciiTheme="minorHAnsi" w:hAnsiTheme="minorHAnsi"/>
          <w:bCs/>
          <w:lang w:val="en-GB"/>
        </w:rPr>
        <w:t xml:space="preserve"> resubmission should also provide revised financial estimates in which the issues as noted by DUSC are addressed.</w:t>
      </w:r>
      <w:r w:rsidR="005867BB" w:rsidRPr="00B049DF">
        <w:rPr>
          <w:rFonts w:asciiTheme="minorHAnsi" w:hAnsiTheme="minorHAnsi"/>
          <w:bCs/>
          <w:lang w:val="en-GB"/>
        </w:rPr>
        <w:t xml:space="preserve"> </w:t>
      </w:r>
    </w:p>
    <w:p w:rsidR="003A4275" w:rsidRPr="00B049DF" w:rsidRDefault="003A4275" w:rsidP="00543159">
      <w:pPr>
        <w:numPr>
          <w:ilvl w:val="1"/>
          <w:numId w:val="2"/>
        </w:numPr>
        <w:spacing w:after="120"/>
        <w:rPr>
          <w:rFonts w:asciiTheme="minorHAnsi" w:hAnsiTheme="minorHAnsi"/>
          <w:bCs/>
          <w:lang w:val="en-GB"/>
        </w:rPr>
      </w:pPr>
      <w:r w:rsidRPr="00B049DF">
        <w:rPr>
          <w:rFonts w:asciiTheme="minorHAnsi" w:hAnsiTheme="minorHAnsi"/>
          <w:bCs/>
          <w:lang w:val="en-GB"/>
        </w:rPr>
        <w:t>The PBAC note</w:t>
      </w:r>
      <w:r w:rsidR="00543159" w:rsidRPr="00B049DF">
        <w:rPr>
          <w:rFonts w:asciiTheme="minorHAnsi" w:hAnsiTheme="minorHAnsi"/>
          <w:bCs/>
          <w:lang w:val="en-GB"/>
        </w:rPr>
        <w:t>d that this submission is</w:t>
      </w:r>
      <w:r w:rsidRPr="00B049DF">
        <w:rPr>
          <w:rFonts w:asciiTheme="minorHAnsi" w:hAnsiTheme="minorHAnsi"/>
          <w:bCs/>
          <w:lang w:val="en-GB"/>
        </w:rPr>
        <w:t xml:space="preserve"> elig</w:t>
      </w:r>
      <w:r w:rsidR="00543159" w:rsidRPr="00B049DF">
        <w:rPr>
          <w:rFonts w:asciiTheme="minorHAnsi" w:hAnsiTheme="minorHAnsi"/>
          <w:bCs/>
          <w:lang w:val="en-GB"/>
        </w:rPr>
        <w:t>ible for an Independent Review.</w:t>
      </w:r>
    </w:p>
    <w:p w:rsidR="003A4275" w:rsidRPr="00525B39" w:rsidRDefault="00543159" w:rsidP="003A4275">
      <w:pPr>
        <w:spacing w:before="240"/>
        <w:rPr>
          <w:rFonts w:asciiTheme="minorHAnsi" w:hAnsiTheme="minorHAnsi"/>
          <w:b/>
          <w:bCs/>
          <w:lang w:val="en-GB"/>
        </w:rPr>
      </w:pPr>
      <w:r w:rsidRPr="00B049DF">
        <w:rPr>
          <w:rFonts w:asciiTheme="minorHAnsi" w:hAnsiTheme="minorHAnsi"/>
          <w:b/>
          <w:bCs/>
          <w:lang w:val="en-GB"/>
        </w:rPr>
        <w:t>Outcom</w:t>
      </w:r>
      <w:r>
        <w:rPr>
          <w:rFonts w:asciiTheme="minorHAnsi" w:hAnsiTheme="minorHAnsi"/>
          <w:b/>
          <w:bCs/>
          <w:lang w:val="en-GB"/>
        </w:rPr>
        <w:t>e:</w:t>
      </w:r>
    </w:p>
    <w:p w:rsidR="003A4275" w:rsidRPr="00525B39" w:rsidRDefault="00543159" w:rsidP="003A4275">
      <w:pPr>
        <w:rPr>
          <w:rFonts w:asciiTheme="minorHAnsi" w:hAnsiTheme="minorHAnsi"/>
          <w:b/>
          <w:bCs/>
        </w:rPr>
      </w:pPr>
      <w:r>
        <w:rPr>
          <w:rFonts w:asciiTheme="minorHAnsi" w:hAnsiTheme="minorHAnsi"/>
          <w:bCs/>
          <w:lang w:val="en-GB"/>
        </w:rPr>
        <w:t>Rejected</w:t>
      </w:r>
    </w:p>
    <w:p w:rsidR="00A5503D" w:rsidRDefault="004B47A4" w:rsidP="00A5503D">
      <w:pPr>
        <w:pStyle w:val="2Sections"/>
        <w:numPr>
          <w:ilvl w:val="0"/>
          <w:numId w:val="2"/>
        </w:numPr>
        <w:ind w:left="720"/>
      </w:pPr>
      <w:r>
        <w:t xml:space="preserve">Context for Decision </w:t>
      </w:r>
    </w:p>
    <w:p w:rsidR="00A5503D" w:rsidRPr="00A5503D" w:rsidRDefault="00A5503D" w:rsidP="00A5503D">
      <w:pPr>
        <w:spacing w:after="120"/>
        <w:rPr>
          <w:rFonts w:asciiTheme="minorHAnsi" w:hAnsiTheme="minorHAnsi" w:cstheme="minorHAnsi"/>
        </w:rPr>
      </w:pPr>
      <w:r w:rsidRPr="00167BA5">
        <w:rPr>
          <w:rFonts w:asciiTheme="minorHAnsi" w:hAnsiTheme="minorHAnsi" w:cs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B47A4" w:rsidRPr="00D53BD3" w:rsidRDefault="004B47A4" w:rsidP="004B47A4">
      <w:pPr>
        <w:pStyle w:val="2Sections"/>
        <w:numPr>
          <w:ilvl w:val="0"/>
          <w:numId w:val="2"/>
        </w:numPr>
        <w:ind w:left="720"/>
      </w:pPr>
      <w:r w:rsidRPr="00D53BD3">
        <w:t>Sponsor’s Comment</w:t>
      </w:r>
    </w:p>
    <w:p w:rsidR="003A4275" w:rsidRDefault="00286D3F" w:rsidP="003D499D">
      <w:pPr>
        <w:spacing w:after="120"/>
        <w:rPr>
          <w:rFonts w:asciiTheme="minorHAnsi" w:hAnsiTheme="minorHAnsi"/>
          <w:bCs/>
          <w:lang w:val="en-GB"/>
        </w:rPr>
      </w:pPr>
      <w:r w:rsidRPr="00286D3F">
        <w:rPr>
          <w:rFonts w:asciiTheme="minorHAnsi" w:hAnsiTheme="minorHAnsi"/>
          <w:bCs/>
          <w:lang w:val="en-GB"/>
        </w:rPr>
        <w:t xml:space="preserve">Novartis is disappointed with the PBAC outcome but will continue to work collaboratively with the PBAC, the Department of Health and Federal Government to ensure that Australians with multiple sclerosis receive access to </w:t>
      </w:r>
      <w:proofErr w:type="spellStart"/>
      <w:r w:rsidRPr="00286D3F">
        <w:rPr>
          <w:rFonts w:asciiTheme="minorHAnsi" w:hAnsiTheme="minorHAnsi"/>
          <w:bCs/>
          <w:lang w:val="en-GB"/>
        </w:rPr>
        <w:t>Mayzent</w:t>
      </w:r>
      <w:proofErr w:type="spellEnd"/>
      <w:r w:rsidRPr="00286D3F">
        <w:rPr>
          <w:rFonts w:asciiTheme="minorHAnsi" w:hAnsiTheme="minorHAnsi"/>
          <w:bCs/>
          <w:lang w:val="en-GB"/>
        </w:rPr>
        <w:t>® (</w:t>
      </w:r>
      <w:proofErr w:type="spellStart"/>
      <w:r w:rsidRPr="00286D3F">
        <w:rPr>
          <w:rFonts w:asciiTheme="minorHAnsi" w:hAnsiTheme="minorHAnsi"/>
          <w:bCs/>
          <w:lang w:val="en-GB"/>
        </w:rPr>
        <w:t>siponimod</w:t>
      </w:r>
      <w:proofErr w:type="spellEnd"/>
      <w:r w:rsidRPr="00286D3F">
        <w:rPr>
          <w:rFonts w:asciiTheme="minorHAnsi" w:hAnsiTheme="minorHAnsi"/>
          <w:bCs/>
          <w:lang w:val="en-GB"/>
        </w:rPr>
        <w:t>) through the Pharmaceutical Benefits Scheme (PBS) at the earliest opportunity.</w:t>
      </w:r>
    </w:p>
    <w:p w:rsidR="00A5503D" w:rsidRPr="00A5503D" w:rsidRDefault="00A5503D" w:rsidP="003D499D">
      <w:pPr>
        <w:spacing w:after="120"/>
        <w:rPr>
          <w:rFonts w:asciiTheme="minorHAnsi" w:hAnsiTheme="minorHAnsi"/>
          <w:bCs/>
        </w:rPr>
      </w:pPr>
    </w:p>
    <w:sectPr w:rsidR="00A5503D" w:rsidRPr="00A5503D" w:rsidSect="009108EA">
      <w:headerReference w:type="default" r:id="rId16"/>
      <w:footerReference w:type="default" r:id="rId17"/>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EB9F6" w16cid:durableId="219C9F5F"/>
  <w16cid:commentId w16cid:paraId="0CF1BCA7" w16cid:durableId="219CA470"/>
  <w16cid:commentId w16cid:paraId="74F5B828" w16cid:durableId="219CB7BE"/>
  <w16cid:commentId w16cid:paraId="0F935D24" w16cid:durableId="219CB7D3"/>
  <w16cid:commentId w16cid:paraId="27545CC1" w16cid:durableId="219CB7E2"/>
  <w16cid:commentId w16cid:paraId="005E2366" w16cid:durableId="219CBFBC"/>
  <w16cid:commentId w16cid:paraId="31FB12B6" w16cid:durableId="219CC6EE"/>
  <w16cid:commentId w16cid:paraId="2C964524" w16cid:durableId="219CCA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7B5" w:rsidRDefault="000F47B5" w:rsidP="00124A51">
      <w:r>
        <w:separator/>
      </w:r>
    </w:p>
    <w:p w:rsidR="000F47B5" w:rsidRDefault="000F47B5"/>
  </w:endnote>
  <w:endnote w:type="continuationSeparator" w:id="0">
    <w:p w:rsidR="000F47B5" w:rsidRDefault="000F47B5" w:rsidP="00124A51">
      <w:r>
        <w:continuationSeparator/>
      </w:r>
    </w:p>
    <w:p w:rsidR="000F47B5" w:rsidRDefault="000F4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News Gothic MT">
    <w:altName w:val="Franklin Gothic Book"/>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27" w:rsidRDefault="0038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A5" w:rsidRPr="00D13A3E" w:rsidRDefault="009311A5" w:rsidP="00015886">
    <w:pPr>
      <w:ind w:right="360"/>
      <w:jc w:val="center"/>
      <w:rPr>
        <w:b/>
        <w:sz w:val="20"/>
      </w:rPr>
    </w:pPr>
  </w:p>
  <w:p w:rsidR="009311A5" w:rsidRPr="007C1CD9" w:rsidRDefault="009311A5" w:rsidP="009F2D6F">
    <w:pPr>
      <w:ind w:right="360"/>
      <w:jc w:val="center"/>
      <w:rPr>
        <w:szCs w:val="24"/>
      </w:rPr>
    </w:pPr>
    <w:r>
      <w:rPr>
        <w:b/>
      </w:rPr>
      <w:t xml:space="preserve"> </w:t>
    </w:r>
    <w:r w:rsidRPr="00836F75">
      <w:rPr>
        <w:b/>
      </w:rPr>
      <w:fldChar w:fldCharType="begin"/>
    </w:r>
    <w:r w:rsidRPr="00836F75">
      <w:rPr>
        <w:b/>
      </w:rPr>
      <w:instrText xml:space="preserve"> PAGE   \* MERGEFORMAT </w:instrText>
    </w:r>
    <w:r w:rsidRPr="00836F75">
      <w:rPr>
        <w:b/>
      </w:rPr>
      <w:fldChar w:fldCharType="separate"/>
    </w:r>
    <w:r w:rsidR="0064501F">
      <w:rPr>
        <w:b/>
        <w:noProof/>
      </w:rPr>
      <w:t>21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27" w:rsidRDefault="00387A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A5" w:rsidRPr="00D13A3E" w:rsidRDefault="009311A5" w:rsidP="00015886">
    <w:pPr>
      <w:ind w:right="360"/>
      <w:jc w:val="center"/>
      <w:rPr>
        <w:b/>
        <w:sz w:val="20"/>
      </w:rPr>
    </w:pPr>
    <w:r w:rsidRPr="00836F75">
      <w:rPr>
        <w:b/>
      </w:rPr>
      <w:fldChar w:fldCharType="begin"/>
    </w:r>
    <w:r w:rsidRPr="00836F75">
      <w:rPr>
        <w:b/>
      </w:rPr>
      <w:instrText xml:space="preserve"> PAGE   \* MERGEFORMAT </w:instrText>
    </w:r>
    <w:r w:rsidRPr="00836F75">
      <w:rPr>
        <w:b/>
      </w:rPr>
      <w:fldChar w:fldCharType="separate"/>
    </w:r>
    <w:r w:rsidR="0064501F">
      <w:rPr>
        <w:b/>
        <w:noProof/>
      </w:rPr>
      <w:t>24</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7B5" w:rsidRDefault="000F47B5" w:rsidP="00124A51">
      <w:r>
        <w:separator/>
      </w:r>
    </w:p>
    <w:p w:rsidR="000F47B5" w:rsidRDefault="000F47B5"/>
  </w:footnote>
  <w:footnote w:type="continuationSeparator" w:id="0">
    <w:p w:rsidR="000F47B5" w:rsidRDefault="000F47B5" w:rsidP="00124A51">
      <w:r>
        <w:continuationSeparator/>
      </w:r>
    </w:p>
    <w:p w:rsidR="000F47B5" w:rsidRDefault="000F47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27" w:rsidRDefault="0038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A5" w:rsidRPr="00056684" w:rsidRDefault="009311A5" w:rsidP="00023416">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2019</w:t>
    </w:r>
    <w:r w:rsidRPr="00056684">
      <w:rPr>
        <w:rFonts w:asciiTheme="minorHAnsi" w:hAnsiTheme="minorHAnsi"/>
        <w:i/>
        <w:color w:val="808080"/>
      </w:rPr>
      <w:t xml:space="preserve"> PBAC Meeting</w:t>
    </w:r>
  </w:p>
  <w:p w:rsidR="009311A5" w:rsidRPr="008C7ECB" w:rsidRDefault="00931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27" w:rsidRDefault="00387A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A5" w:rsidRPr="00056684" w:rsidRDefault="008061FE" w:rsidP="00080A37">
    <w:pPr>
      <w:pStyle w:val="Header"/>
      <w:keepNext/>
      <w:ind w:left="360"/>
      <w:jc w:val="center"/>
      <w:rPr>
        <w:rFonts w:asciiTheme="minorHAnsi" w:hAnsiTheme="minorHAnsi"/>
        <w:i/>
        <w:color w:val="808080"/>
      </w:rPr>
    </w:pPr>
    <w:r>
      <w:rPr>
        <w:rFonts w:asciiTheme="minorHAnsi" w:hAnsiTheme="minorHAnsi"/>
        <w:i/>
        <w:color w:val="808080"/>
      </w:rPr>
      <w:t>Public Summary Document</w:t>
    </w:r>
    <w:r w:rsidR="009311A5" w:rsidRPr="00056684">
      <w:rPr>
        <w:rFonts w:asciiTheme="minorHAnsi" w:hAnsiTheme="minorHAnsi"/>
        <w:i/>
        <w:color w:val="808080"/>
      </w:rPr>
      <w:t xml:space="preserve"> – </w:t>
    </w:r>
    <w:r w:rsidR="009311A5">
      <w:rPr>
        <w:rFonts w:asciiTheme="minorHAnsi" w:hAnsiTheme="minorHAnsi"/>
        <w:i/>
        <w:color w:val="808080"/>
      </w:rPr>
      <w:t>November 2019</w:t>
    </w:r>
    <w:r w:rsidR="009311A5" w:rsidRPr="00056684">
      <w:rPr>
        <w:rFonts w:asciiTheme="minorHAnsi" w:hAnsiTheme="minorHAnsi"/>
        <w:i/>
        <w:color w:val="808080"/>
      </w:rPr>
      <w:t xml:space="preserve"> PBAC Meeting</w:t>
    </w:r>
  </w:p>
  <w:p w:rsidR="009311A5" w:rsidRDefault="009311A5" w:rsidP="00080A37">
    <w:pPr>
      <w:pStyle w:val="Header"/>
      <w:keepNext/>
      <w:ind w:left="360"/>
      <w:jc w:val="center"/>
      <w:rPr>
        <w:rFonts w:asciiTheme="minorHAnsi" w:hAnsiTheme="minorHAnsi"/>
        <w:i/>
        <w:color w:val="80808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A5" w:rsidRPr="00056684" w:rsidRDefault="0056046B" w:rsidP="00080A37">
    <w:pPr>
      <w:pStyle w:val="Header"/>
      <w:keepNext/>
      <w:ind w:left="360"/>
      <w:jc w:val="center"/>
      <w:rPr>
        <w:rFonts w:asciiTheme="minorHAnsi" w:hAnsiTheme="minorHAnsi"/>
        <w:i/>
        <w:color w:val="808080"/>
      </w:rPr>
    </w:pPr>
    <w:r>
      <w:rPr>
        <w:rFonts w:asciiTheme="minorHAnsi" w:hAnsiTheme="minorHAnsi"/>
        <w:i/>
        <w:color w:val="808080"/>
      </w:rPr>
      <w:t>Public Summary Document</w:t>
    </w:r>
    <w:r w:rsidR="009311A5" w:rsidRPr="00056684">
      <w:rPr>
        <w:rFonts w:asciiTheme="minorHAnsi" w:hAnsiTheme="minorHAnsi"/>
        <w:i/>
        <w:color w:val="808080"/>
      </w:rPr>
      <w:t xml:space="preserve"> – </w:t>
    </w:r>
    <w:r w:rsidR="009311A5">
      <w:rPr>
        <w:rFonts w:asciiTheme="minorHAnsi" w:hAnsiTheme="minorHAnsi"/>
        <w:i/>
        <w:color w:val="808080"/>
      </w:rPr>
      <w:t>November 2019</w:t>
    </w:r>
    <w:r w:rsidR="009311A5" w:rsidRPr="00056684">
      <w:rPr>
        <w:rFonts w:asciiTheme="minorHAnsi" w:hAnsiTheme="minorHAnsi"/>
        <w:i/>
        <w:color w:val="808080"/>
      </w:rPr>
      <w:t xml:space="preserve"> PBAC Meeting</w:t>
    </w:r>
  </w:p>
  <w:p w:rsidR="009311A5" w:rsidRPr="008C7ECB" w:rsidRDefault="009311A5" w:rsidP="00833698">
    <w:pPr>
      <w:tabs>
        <w:tab w:val="left" w:pos="142"/>
        <w:tab w:val="left" w:pos="1290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04FCE"/>
    <w:multiLevelType w:val="hybridMultilevel"/>
    <w:tmpl w:val="409E3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157F8"/>
    <w:multiLevelType w:val="hybridMultilevel"/>
    <w:tmpl w:val="C6203E82"/>
    <w:lvl w:ilvl="0" w:tplc="5D5CFDE0">
      <w:start w:val="1"/>
      <w:numFmt w:val="bullet"/>
      <w:pStyle w:val="PBAC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411AF"/>
    <w:multiLevelType w:val="hybridMultilevel"/>
    <w:tmpl w:val="4B6CF7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9C5476"/>
    <w:multiLevelType w:val="hybridMultilevel"/>
    <w:tmpl w:val="0E52B114"/>
    <w:lvl w:ilvl="0" w:tplc="0C090001">
      <w:start w:val="1"/>
      <w:numFmt w:val="bullet"/>
      <w:lvlText w:val=""/>
      <w:lvlJc w:val="left"/>
      <w:pPr>
        <w:ind w:left="720" w:hanging="360"/>
      </w:pPr>
      <w:rPr>
        <w:rFonts w:ascii="Symbol" w:hAnsi="Symbol" w:hint="default"/>
      </w:rPr>
    </w:lvl>
    <w:lvl w:ilvl="1" w:tplc="4E00BE38">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A3C06"/>
    <w:multiLevelType w:val="hybridMultilevel"/>
    <w:tmpl w:val="C478C4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E93C39C2"/>
    <w:lvl w:ilvl="0">
      <w:start w:val="1"/>
      <w:numFmt w:val="decimal"/>
      <w:pStyle w:val="PBACHeading1"/>
      <w:lvlText w:val="%1"/>
      <w:lvlJc w:val="left"/>
      <w:pPr>
        <w:ind w:left="8375" w:hanging="720"/>
      </w:pPr>
      <w:rPr>
        <w:rFonts w:hint="default"/>
        <w:b/>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6F4E7F"/>
    <w:multiLevelType w:val="hybridMultilevel"/>
    <w:tmpl w:val="645EF1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F53672A"/>
    <w:multiLevelType w:val="hybridMultilevel"/>
    <w:tmpl w:val="DECE0F20"/>
    <w:lvl w:ilvl="0" w:tplc="7F1A85CE">
      <w:start w:val="1"/>
      <w:numFmt w:val="lowerLetter"/>
      <w:lvlText w:val="%1."/>
      <w:lvlJc w:val="left"/>
      <w:pPr>
        <w:ind w:left="1074" w:hanging="360"/>
      </w:pPr>
      <w:rPr>
        <w:i w:val="0"/>
        <w:color w:val="auto"/>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num w:numId="1">
    <w:abstractNumId w:val="1"/>
  </w:num>
  <w:num w:numId="2">
    <w:abstractNumId w:val="20"/>
  </w:num>
  <w:num w:numId="3">
    <w:abstractNumId w:val="12"/>
  </w:num>
  <w:num w:numId="4">
    <w:abstractNumId w:val="11"/>
  </w:num>
  <w:num w:numId="5">
    <w:abstractNumId w:val="3"/>
  </w:num>
  <w:num w:numId="6">
    <w:abstractNumId w:val="17"/>
  </w:num>
  <w:num w:numId="7">
    <w:abstractNumId w:val="10"/>
  </w:num>
  <w:num w:numId="8">
    <w:abstractNumId w:val="4"/>
  </w:num>
  <w:num w:numId="9">
    <w:abstractNumId w:val="13"/>
  </w:num>
  <w:num w:numId="10">
    <w:abstractNumId w:val="16"/>
  </w:num>
  <w:num w:numId="11">
    <w:abstractNumId w:val="8"/>
  </w:num>
  <w:num w:numId="12">
    <w:abstractNumId w:val="6"/>
  </w:num>
  <w:num w:numId="13">
    <w:abstractNumId w:val="22"/>
  </w:num>
  <w:num w:numId="14">
    <w:abstractNumId w:val="19"/>
  </w:num>
  <w:num w:numId="15">
    <w:abstractNumId w:val="18"/>
  </w:num>
  <w:num w:numId="16">
    <w:abstractNumId w:val="14"/>
  </w:num>
  <w:num w:numId="17">
    <w:abstractNumId w:val="15"/>
  </w:num>
  <w:num w:numId="18">
    <w:abstractNumId w:val="2"/>
  </w:num>
  <w:num w:numId="19">
    <w:abstractNumId w:val="0"/>
  </w:num>
  <w:num w:numId="20">
    <w:abstractNumId w:val="7"/>
  </w:num>
  <w:num w:numId="21">
    <w:abstractNumId w:val="9"/>
  </w:num>
  <w:num w:numId="22">
    <w:abstractNumId w:val="5"/>
  </w:num>
  <w:num w:numId="23">
    <w:abstractNumId w:val="21"/>
  </w:num>
  <w:num w:numId="24">
    <w:abstractNumId w:val="20"/>
  </w:num>
  <w:num w:numId="25">
    <w:abstractNumId w:val="20"/>
  </w:num>
  <w:num w:numId="26">
    <w:abstractNumId w:val="20"/>
  </w:num>
  <w:num w:numId="27">
    <w:abstractNumId w:val="20"/>
  </w:num>
  <w:num w:numId="2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1B8"/>
    <w:rsid w:val="0000302A"/>
    <w:rsid w:val="00003499"/>
    <w:rsid w:val="000039B7"/>
    <w:rsid w:val="00004282"/>
    <w:rsid w:val="00004FAD"/>
    <w:rsid w:val="0000532A"/>
    <w:rsid w:val="0001062D"/>
    <w:rsid w:val="000110BD"/>
    <w:rsid w:val="00013247"/>
    <w:rsid w:val="00013B95"/>
    <w:rsid w:val="00015306"/>
    <w:rsid w:val="00015886"/>
    <w:rsid w:val="000162EF"/>
    <w:rsid w:val="00020B25"/>
    <w:rsid w:val="000216F4"/>
    <w:rsid w:val="00022085"/>
    <w:rsid w:val="0002225F"/>
    <w:rsid w:val="00023156"/>
    <w:rsid w:val="000231C3"/>
    <w:rsid w:val="00023416"/>
    <w:rsid w:val="00023763"/>
    <w:rsid w:val="000254FB"/>
    <w:rsid w:val="00033863"/>
    <w:rsid w:val="00034089"/>
    <w:rsid w:val="00035DC0"/>
    <w:rsid w:val="00036829"/>
    <w:rsid w:val="000368D3"/>
    <w:rsid w:val="000376EB"/>
    <w:rsid w:val="000402B2"/>
    <w:rsid w:val="000404B5"/>
    <w:rsid w:val="00040668"/>
    <w:rsid w:val="00040895"/>
    <w:rsid w:val="00041614"/>
    <w:rsid w:val="00043C37"/>
    <w:rsid w:val="00045017"/>
    <w:rsid w:val="00045A2B"/>
    <w:rsid w:val="0004698F"/>
    <w:rsid w:val="00047CD1"/>
    <w:rsid w:val="00050501"/>
    <w:rsid w:val="00051C8A"/>
    <w:rsid w:val="000523F2"/>
    <w:rsid w:val="000539D0"/>
    <w:rsid w:val="00054621"/>
    <w:rsid w:val="000546D7"/>
    <w:rsid w:val="000573FB"/>
    <w:rsid w:val="00060EFA"/>
    <w:rsid w:val="00061800"/>
    <w:rsid w:val="00061BC9"/>
    <w:rsid w:val="00066360"/>
    <w:rsid w:val="0006665F"/>
    <w:rsid w:val="00071248"/>
    <w:rsid w:val="00071870"/>
    <w:rsid w:val="000720B9"/>
    <w:rsid w:val="00072C67"/>
    <w:rsid w:val="000737F7"/>
    <w:rsid w:val="00073BC8"/>
    <w:rsid w:val="000763FC"/>
    <w:rsid w:val="0007672F"/>
    <w:rsid w:val="000774F0"/>
    <w:rsid w:val="00077582"/>
    <w:rsid w:val="00080909"/>
    <w:rsid w:val="00080A37"/>
    <w:rsid w:val="000812CA"/>
    <w:rsid w:val="0008258D"/>
    <w:rsid w:val="00083E99"/>
    <w:rsid w:val="000841A6"/>
    <w:rsid w:val="0008515E"/>
    <w:rsid w:val="000856C5"/>
    <w:rsid w:val="00090C7E"/>
    <w:rsid w:val="000914FF"/>
    <w:rsid w:val="00092600"/>
    <w:rsid w:val="0009262B"/>
    <w:rsid w:val="00092916"/>
    <w:rsid w:val="00092A9E"/>
    <w:rsid w:val="00093310"/>
    <w:rsid w:val="0009422F"/>
    <w:rsid w:val="0009445C"/>
    <w:rsid w:val="000956B5"/>
    <w:rsid w:val="00095FE5"/>
    <w:rsid w:val="00096284"/>
    <w:rsid w:val="000A0044"/>
    <w:rsid w:val="000A0671"/>
    <w:rsid w:val="000A08B9"/>
    <w:rsid w:val="000A106F"/>
    <w:rsid w:val="000A11D0"/>
    <w:rsid w:val="000A2E1B"/>
    <w:rsid w:val="000A2FFD"/>
    <w:rsid w:val="000A44BE"/>
    <w:rsid w:val="000A7D08"/>
    <w:rsid w:val="000B0670"/>
    <w:rsid w:val="000B0BCA"/>
    <w:rsid w:val="000B0E75"/>
    <w:rsid w:val="000B2B57"/>
    <w:rsid w:val="000B36C6"/>
    <w:rsid w:val="000B4EF1"/>
    <w:rsid w:val="000B5CC2"/>
    <w:rsid w:val="000B6CAC"/>
    <w:rsid w:val="000B7612"/>
    <w:rsid w:val="000C00CB"/>
    <w:rsid w:val="000C063B"/>
    <w:rsid w:val="000C1DD9"/>
    <w:rsid w:val="000C2AE6"/>
    <w:rsid w:val="000C2B71"/>
    <w:rsid w:val="000C2EE6"/>
    <w:rsid w:val="000C3DF9"/>
    <w:rsid w:val="000C5735"/>
    <w:rsid w:val="000C5748"/>
    <w:rsid w:val="000C6713"/>
    <w:rsid w:val="000C67E8"/>
    <w:rsid w:val="000D0C33"/>
    <w:rsid w:val="000D1BFC"/>
    <w:rsid w:val="000D2707"/>
    <w:rsid w:val="000D281A"/>
    <w:rsid w:val="000D2922"/>
    <w:rsid w:val="000D326A"/>
    <w:rsid w:val="000D51FB"/>
    <w:rsid w:val="000E135D"/>
    <w:rsid w:val="000E33F1"/>
    <w:rsid w:val="000E37D8"/>
    <w:rsid w:val="000E5D16"/>
    <w:rsid w:val="000E6F3A"/>
    <w:rsid w:val="000E7539"/>
    <w:rsid w:val="000E758A"/>
    <w:rsid w:val="000F00BA"/>
    <w:rsid w:val="000F2E9E"/>
    <w:rsid w:val="000F316A"/>
    <w:rsid w:val="000F341F"/>
    <w:rsid w:val="000F3BA7"/>
    <w:rsid w:val="000F3C21"/>
    <w:rsid w:val="000F3C74"/>
    <w:rsid w:val="000F47B5"/>
    <w:rsid w:val="000F4B8F"/>
    <w:rsid w:val="000F4BB8"/>
    <w:rsid w:val="000F4E27"/>
    <w:rsid w:val="000F6624"/>
    <w:rsid w:val="000F70B0"/>
    <w:rsid w:val="000F7127"/>
    <w:rsid w:val="00100F8A"/>
    <w:rsid w:val="0010147A"/>
    <w:rsid w:val="0010293F"/>
    <w:rsid w:val="00105AE2"/>
    <w:rsid w:val="00106234"/>
    <w:rsid w:val="00106B80"/>
    <w:rsid w:val="0011032E"/>
    <w:rsid w:val="001129BC"/>
    <w:rsid w:val="00112F46"/>
    <w:rsid w:val="0011348B"/>
    <w:rsid w:val="00115982"/>
    <w:rsid w:val="00115C23"/>
    <w:rsid w:val="00116C53"/>
    <w:rsid w:val="00116E54"/>
    <w:rsid w:val="001177A6"/>
    <w:rsid w:val="00121799"/>
    <w:rsid w:val="001222FC"/>
    <w:rsid w:val="00122D62"/>
    <w:rsid w:val="00124A51"/>
    <w:rsid w:val="00126621"/>
    <w:rsid w:val="00127FE9"/>
    <w:rsid w:val="001301E9"/>
    <w:rsid w:val="00131D82"/>
    <w:rsid w:val="00133D36"/>
    <w:rsid w:val="00137645"/>
    <w:rsid w:val="0014015A"/>
    <w:rsid w:val="00140923"/>
    <w:rsid w:val="00140E99"/>
    <w:rsid w:val="00141057"/>
    <w:rsid w:val="001420F5"/>
    <w:rsid w:val="00144182"/>
    <w:rsid w:val="00145540"/>
    <w:rsid w:val="001456B0"/>
    <w:rsid w:val="00146CA0"/>
    <w:rsid w:val="00150B8C"/>
    <w:rsid w:val="001530C8"/>
    <w:rsid w:val="0015561B"/>
    <w:rsid w:val="00157130"/>
    <w:rsid w:val="00157681"/>
    <w:rsid w:val="001576B1"/>
    <w:rsid w:val="00157F08"/>
    <w:rsid w:val="001607EE"/>
    <w:rsid w:val="00160A4C"/>
    <w:rsid w:val="00162913"/>
    <w:rsid w:val="0016343A"/>
    <w:rsid w:val="00163EFF"/>
    <w:rsid w:val="001661FB"/>
    <w:rsid w:val="0016719B"/>
    <w:rsid w:val="001673C8"/>
    <w:rsid w:val="001676BA"/>
    <w:rsid w:val="00170B6E"/>
    <w:rsid w:val="0017147A"/>
    <w:rsid w:val="00173565"/>
    <w:rsid w:val="00173B07"/>
    <w:rsid w:val="00176564"/>
    <w:rsid w:val="00181D9C"/>
    <w:rsid w:val="001831DD"/>
    <w:rsid w:val="00185F30"/>
    <w:rsid w:val="001868A6"/>
    <w:rsid w:val="0018752F"/>
    <w:rsid w:val="001925B5"/>
    <w:rsid w:val="0019354D"/>
    <w:rsid w:val="00195222"/>
    <w:rsid w:val="001953D3"/>
    <w:rsid w:val="00195950"/>
    <w:rsid w:val="001964BE"/>
    <w:rsid w:val="00196940"/>
    <w:rsid w:val="001975D8"/>
    <w:rsid w:val="001A1368"/>
    <w:rsid w:val="001A43FA"/>
    <w:rsid w:val="001A4515"/>
    <w:rsid w:val="001A4CE3"/>
    <w:rsid w:val="001A59FB"/>
    <w:rsid w:val="001A5A83"/>
    <w:rsid w:val="001A6354"/>
    <w:rsid w:val="001A7AE8"/>
    <w:rsid w:val="001B0402"/>
    <w:rsid w:val="001B19B7"/>
    <w:rsid w:val="001B204E"/>
    <w:rsid w:val="001B2DDD"/>
    <w:rsid w:val="001B3443"/>
    <w:rsid w:val="001B3D0B"/>
    <w:rsid w:val="001B4D20"/>
    <w:rsid w:val="001C0665"/>
    <w:rsid w:val="001C06B1"/>
    <w:rsid w:val="001C1096"/>
    <w:rsid w:val="001C2965"/>
    <w:rsid w:val="001C2A9B"/>
    <w:rsid w:val="001C2C4F"/>
    <w:rsid w:val="001C4299"/>
    <w:rsid w:val="001C4887"/>
    <w:rsid w:val="001C50A0"/>
    <w:rsid w:val="001C5223"/>
    <w:rsid w:val="001C5F94"/>
    <w:rsid w:val="001C6DEB"/>
    <w:rsid w:val="001C6E66"/>
    <w:rsid w:val="001C6E67"/>
    <w:rsid w:val="001D08F4"/>
    <w:rsid w:val="001D1118"/>
    <w:rsid w:val="001D1BF9"/>
    <w:rsid w:val="001D5AA8"/>
    <w:rsid w:val="001D6D48"/>
    <w:rsid w:val="001D7417"/>
    <w:rsid w:val="001E1395"/>
    <w:rsid w:val="001E14E8"/>
    <w:rsid w:val="001E238E"/>
    <w:rsid w:val="001E2483"/>
    <w:rsid w:val="001E2B1E"/>
    <w:rsid w:val="001E30D4"/>
    <w:rsid w:val="001E52EB"/>
    <w:rsid w:val="001E53C7"/>
    <w:rsid w:val="001E61D2"/>
    <w:rsid w:val="001E740C"/>
    <w:rsid w:val="001F05C0"/>
    <w:rsid w:val="001F1235"/>
    <w:rsid w:val="001F1CB3"/>
    <w:rsid w:val="001F38B5"/>
    <w:rsid w:val="001F4656"/>
    <w:rsid w:val="001F53A1"/>
    <w:rsid w:val="001F53A8"/>
    <w:rsid w:val="001F6668"/>
    <w:rsid w:val="001F7361"/>
    <w:rsid w:val="001F7615"/>
    <w:rsid w:val="001F77A3"/>
    <w:rsid w:val="00200A5C"/>
    <w:rsid w:val="00200B7C"/>
    <w:rsid w:val="002011B0"/>
    <w:rsid w:val="00201BE5"/>
    <w:rsid w:val="00202827"/>
    <w:rsid w:val="00203181"/>
    <w:rsid w:val="00203783"/>
    <w:rsid w:val="0020385F"/>
    <w:rsid w:val="0020644A"/>
    <w:rsid w:val="00207021"/>
    <w:rsid w:val="0020732F"/>
    <w:rsid w:val="002078E7"/>
    <w:rsid w:val="00207D00"/>
    <w:rsid w:val="00207DD9"/>
    <w:rsid w:val="002105C1"/>
    <w:rsid w:val="002119E2"/>
    <w:rsid w:val="00213CC9"/>
    <w:rsid w:val="00216ABD"/>
    <w:rsid w:val="00220041"/>
    <w:rsid w:val="00221FAC"/>
    <w:rsid w:val="002233A8"/>
    <w:rsid w:val="002234D2"/>
    <w:rsid w:val="00223864"/>
    <w:rsid w:val="00223B49"/>
    <w:rsid w:val="00224DD4"/>
    <w:rsid w:val="0022757F"/>
    <w:rsid w:val="002309CC"/>
    <w:rsid w:val="0023209F"/>
    <w:rsid w:val="0023629D"/>
    <w:rsid w:val="00237255"/>
    <w:rsid w:val="00240A25"/>
    <w:rsid w:val="00241B24"/>
    <w:rsid w:val="002424AF"/>
    <w:rsid w:val="002439DC"/>
    <w:rsid w:val="002443AB"/>
    <w:rsid w:val="002449D5"/>
    <w:rsid w:val="00244DC8"/>
    <w:rsid w:val="002458BA"/>
    <w:rsid w:val="00245C75"/>
    <w:rsid w:val="00246253"/>
    <w:rsid w:val="0024636C"/>
    <w:rsid w:val="0024639C"/>
    <w:rsid w:val="00246D0B"/>
    <w:rsid w:val="00247925"/>
    <w:rsid w:val="002532B8"/>
    <w:rsid w:val="00253F31"/>
    <w:rsid w:val="00254DCF"/>
    <w:rsid w:val="0025534B"/>
    <w:rsid w:val="00255BB7"/>
    <w:rsid w:val="00257541"/>
    <w:rsid w:val="00260870"/>
    <w:rsid w:val="0026119C"/>
    <w:rsid w:val="00261C3E"/>
    <w:rsid w:val="00262A1A"/>
    <w:rsid w:val="00262A87"/>
    <w:rsid w:val="00264D26"/>
    <w:rsid w:val="00265499"/>
    <w:rsid w:val="0026763B"/>
    <w:rsid w:val="00267642"/>
    <w:rsid w:val="00267AEA"/>
    <w:rsid w:val="002700E6"/>
    <w:rsid w:val="002706D6"/>
    <w:rsid w:val="00271165"/>
    <w:rsid w:val="00272057"/>
    <w:rsid w:val="0027294B"/>
    <w:rsid w:val="00272C9A"/>
    <w:rsid w:val="00273A72"/>
    <w:rsid w:val="00273E07"/>
    <w:rsid w:val="002748F8"/>
    <w:rsid w:val="002751B6"/>
    <w:rsid w:val="00275C5A"/>
    <w:rsid w:val="00275E42"/>
    <w:rsid w:val="002766A8"/>
    <w:rsid w:val="00277A55"/>
    <w:rsid w:val="0028067E"/>
    <w:rsid w:val="00281014"/>
    <w:rsid w:val="00281457"/>
    <w:rsid w:val="0028331D"/>
    <w:rsid w:val="0028576E"/>
    <w:rsid w:val="00286D3F"/>
    <w:rsid w:val="002900E1"/>
    <w:rsid w:val="00291E40"/>
    <w:rsid w:val="002922FD"/>
    <w:rsid w:val="002925A2"/>
    <w:rsid w:val="00294B46"/>
    <w:rsid w:val="0029762B"/>
    <w:rsid w:val="002A14AB"/>
    <w:rsid w:val="002A2F50"/>
    <w:rsid w:val="002A3FD6"/>
    <w:rsid w:val="002A70FB"/>
    <w:rsid w:val="002A7F68"/>
    <w:rsid w:val="002B09A4"/>
    <w:rsid w:val="002B1C1F"/>
    <w:rsid w:val="002B391E"/>
    <w:rsid w:val="002B3EDB"/>
    <w:rsid w:val="002B432F"/>
    <w:rsid w:val="002B50D2"/>
    <w:rsid w:val="002B52AF"/>
    <w:rsid w:val="002B62B3"/>
    <w:rsid w:val="002B6754"/>
    <w:rsid w:val="002B6CCE"/>
    <w:rsid w:val="002B7EDA"/>
    <w:rsid w:val="002C2510"/>
    <w:rsid w:val="002C2775"/>
    <w:rsid w:val="002C27C1"/>
    <w:rsid w:val="002C30B3"/>
    <w:rsid w:val="002C4BC0"/>
    <w:rsid w:val="002C5099"/>
    <w:rsid w:val="002C5889"/>
    <w:rsid w:val="002C71CE"/>
    <w:rsid w:val="002D0BB5"/>
    <w:rsid w:val="002D1B97"/>
    <w:rsid w:val="002D1E88"/>
    <w:rsid w:val="002D438A"/>
    <w:rsid w:val="002D49B4"/>
    <w:rsid w:val="002D5063"/>
    <w:rsid w:val="002D577C"/>
    <w:rsid w:val="002D5ACD"/>
    <w:rsid w:val="002D76F4"/>
    <w:rsid w:val="002D7978"/>
    <w:rsid w:val="002D7A3F"/>
    <w:rsid w:val="002D7EAF"/>
    <w:rsid w:val="002E0C3C"/>
    <w:rsid w:val="002E15B9"/>
    <w:rsid w:val="002E1F30"/>
    <w:rsid w:val="002E2158"/>
    <w:rsid w:val="002E2A1A"/>
    <w:rsid w:val="002E3244"/>
    <w:rsid w:val="002E4FFF"/>
    <w:rsid w:val="002E7722"/>
    <w:rsid w:val="002F06F2"/>
    <w:rsid w:val="002F07BA"/>
    <w:rsid w:val="002F0DA9"/>
    <w:rsid w:val="002F1B64"/>
    <w:rsid w:val="002F643C"/>
    <w:rsid w:val="002F71C0"/>
    <w:rsid w:val="002F7658"/>
    <w:rsid w:val="00301017"/>
    <w:rsid w:val="00301358"/>
    <w:rsid w:val="0030155F"/>
    <w:rsid w:val="0030268E"/>
    <w:rsid w:val="0030587B"/>
    <w:rsid w:val="00306D98"/>
    <w:rsid w:val="0030786C"/>
    <w:rsid w:val="00307EE5"/>
    <w:rsid w:val="0031031A"/>
    <w:rsid w:val="00310981"/>
    <w:rsid w:val="00310CBD"/>
    <w:rsid w:val="00315498"/>
    <w:rsid w:val="0031700F"/>
    <w:rsid w:val="00321229"/>
    <w:rsid w:val="00322107"/>
    <w:rsid w:val="00322846"/>
    <w:rsid w:val="00323BFA"/>
    <w:rsid w:val="0032596E"/>
    <w:rsid w:val="00326DA7"/>
    <w:rsid w:val="003270E4"/>
    <w:rsid w:val="00330F5C"/>
    <w:rsid w:val="0033487C"/>
    <w:rsid w:val="003366C9"/>
    <w:rsid w:val="003371B0"/>
    <w:rsid w:val="00340DF1"/>
    <w:rsid w:val="0034158B"/>
    <w:rsid w:val="003461D0"/>
    <w:rsid w:val="00350E6F"/>
    <w:rsid w:val="003517F9"/>
    <w:rsid w:val="00351EAB"/>
    <w:rsid w:val="0035620E"/>
    <w:rsid w:val="00360575"/>
    <w:rsid w:val="003608BD"/>
    <w:rsid w:val="00361053"/>
    <w:rsid w:val="003624C4"/>
    <w:rsid w:val="00363B5F"/>
    <w:rsid w:val="003654AC"/>
    <w:rsid w:val="00366AE7"/>
    <w:rsid w:val="00370D87"/>
    <w:rsid w:val="003710CF"/>
    <w:rsid w:val="0037141A"/>
    <w:rsid w:val="0037358A"/>
    <w:rsid w:val="00374242"/>
    <w:rsid w:val="00374ECD"/>
    <w:rsid w:val="003750F6"/>
    <w:rsid w:val="003760FC"/>
    <w:rsid w:val="00382459"/>
    <w:rsid w:val="00383083"/>
    <w:rsid w:val="0038365C"/>
    <w:rsid w:val="0038369B"/>
    <w:rsid w:val="00383B78"/>
    <w:rsid w:val="00385A9D"/>
    <w:rsid w:val="003860F7"/>
    <w:rsid w:val="00386E74"/>
    <w:rsid w:val="00387A27"/>
    <w:rsid w:val="003902B1"/>
    <w:rsid w:val="003942F5"/>
    <w:rsid w:val="00396896"/>
    <w:rsid w:val="00396A0F"/>
    <w:rsid w:val="00396FD0"/>
    <w:rsid w:val="003A044D"/>
    <w:rsid w:val="003A0FBC"/>
    <w:rsid w:val="003A1A7A"/>
    <w:rsid w:val="003A2392"/>
    <w:rsid w:val="003A246F"/>
    <w:rsid w:val="003A2831"/>
    <w:rsid w:val="003A3ED1"/>
    <w:rsid w:val="003A4275"/>
    <w:rsid w:val="003A434D"/>
    <w:rsid w:val="003A4998"/>
    <w:rsid w:val="003A547F"/>
    <w:rsid w:val="003A6B38"/>
    <w:rsid w:val="003A7BDF"/>
    <w:rsid w:val="003B0060"/>
    <w:rsid w:val="003B0603"/>
    <w:rsid w:val="003B14B4"/>
    <w:rsid w:val="003B5B61"/>
    <w:rsid w:val="003C1654"/>
    <w:rsid w:val="003C6C7F"/>
    <w:rsid w:val="003C7631"/>
    <w:rsid w:val="003C7D19"/>
    <w:rsid w:val="003D0443"/>
    <w:rsid w:val="003D1828"/>
    <w:rsid w:val="003D18C6"/>
    <w:rsid w:val="003D1DE4"/>
    <w:rsid w:val="003D2422"/>
    <w:rsid w:val="003D39A1"/>
    <w:rsid w:val="003D3BB5"/>
    <w:rsid w:val="003D3FBF"/>
    <w:rsid w:val="003D41BD"/>
    <w:rsid w:val="003D499D"/>
    <w:rsid w:val="003D49B4"/>
    <w:rsid w:val="003D4A30"/>
    <w:rsid w:val="003D4D2B"/>
    <w:rsid w:val="003D79BB"/>
    <w:rsid w:val="003D7C98"/>
    <w:rsid w:val="003E0543"/>
    <w:rsid w:val="003E1A4C"/>
    <w:rsid w:val="003E4158"/>
    <w:rsid w:val="003E557D"/>
    <w:rsid w:val="003F103F"/>
    <w:rsid w:val="003F1CD2"/>
    <w:rsid w:val="003F3937"/>
    <w:rsid w:val="003F4156"/>
    <w:rsid w:val="00400B29"/>
    <w:rsid w:val="004012F0"/>
    <w:rsid w:val="00403465"/>
    <w:rsid w:val="004038F4"/>
    <w:rsid w:val="0040504B"/>
    <w:rsid w:val="00407C43"/>
    <w:rsid w:val="00410708"/>
    <w:rsid w:val="00410EC7"/>
    <w:rsid w:val="004113E4"/>
    <w:rsid w:val="00411991"/>
    <w:rsid w:val="00411B39"/>
    <w:rsid w:val="00412258"/>
    <w:rsid w:val="00412535"/>
    <w:rsid w:val="00413A1E"/>
    <w:rsid w:val="00414476"/>
    <w:rsid w:val="004148BF"/>
    <w:rsid w:val="00414C2E"/>
    <w:rsid w:val="004151CF"/>
    <w:rsid w:val="0041584D"/>
    <w:rsid w:val="00416364"/>
    <w:rsid w:val="00420AA6"/>
    <w:rsid w:val="00420B9F"/>
    <w:rsid w:val="00421D87"/>
    <w:rsid w:val="00422260"/>
    <w:rsid w:val="0042413F"/>
    <w:rsid w:val="00427B0B"/>
    <w:rsid w:val="004319F8"/>
    <w:rsid w:val="00431E55"/>
    <w:rsid w:val="004321F6"/>
    <w:rsid w:val="00433044"/>
    <w:rsid w:val="004338E3"/>
    <w:rsid w:val="00433C12"/>
    <w:rsid w:val="00434C6F"/>
    <w:rsid w:val="0043556F"/>
    <w:rsid w:val="00435C41"/>
    <w:rsid w:val="00436AB4"/>
    <w:rsid w:val="004375B9"/>
    <w:rsid w:val="004403BB"/>
    <w:rsid w:val="004428D0"/>
    <w:rsid w:val="004429AA"/>
    <w:rsid w:val="00442A3F"/>
    <w:rsid w:val="004443A7"/>
    <w:rsid w:val="0044442C"/>
    <w:rsid w:val="00445941"/>
    <w:rsid w:val="00446250"/>
    <w:rsid w:val="004464EB"/>
    <w:rsid w:val="00447D26"/>
    <w:rsid w:val="00450EA7"/>
    <w:rsid w:val="0045257C"/>
    <w:rsid w:val="00452ED0"/>
    <w:rsid w:val="00453F6D"/>
    <w:rsid w:val="0045444D"/>
    <w:rsid w:val="00455463"/>
    <w:rsid w:val="00455CF1"/>
    <w:rsid w:val="00455D45"/>
    <w:rsid w:val="00456610"/>
    <w:rsid w:val="00456744"/>
    <w:rsid w:val="00460624"/>
    <w:rsid w:val="00464595"/>
    <w:rsid w:val="00466157"/>
    <w:rsid w:val="00466DB8"/>
    <w:rsid w:val="00466FA2"/>
    <w:rsid w:val="00470164"/>
    <w:rsid w:val="00470CC9"/>
    <w:rsid w:val="00472A79"/>
    <w:rsid w:val="00473F19"/>
    <w:rsid w:val="00475E22"/>
    <w:rsid w:val="0047638D"/>
    <w:rsid w:val="00480844"/>
    <w:rsid w:val="0048088E"/>
    <w:rsid w:val="00480BCE"/>
    <w:rsid w:val="0048139D"/>
    <w:rsid w:val="00482720"/>
    <w:rsid w:val="004835E7"/>
    <w:rsid w:val="00483B42"/>
    <w:rsid w:val="00484521"/>
    <w:rsid w:val="00484ABA"/>
    <w:rsid w:val="00486746"/>
    <w:rsid w:val="004867E2"/>
    <w:rsid w:val="0048700B"/>
    <w:rsid w:val="00490DF3"/>
    <w:rsid w:val="00491B3A"/>
    <w:rsid w:val="00491ED1"/>
    <w:rsid w:val="00492CFD"/>
    <w:rsid w:val="0049458D"/>
    <w:rsid w:val="004945C5"/>
    <w:rsid w:val="00494DD5"/>
    <w:rsid w:val="00494E85"/>
    <w:rsid w:val="004962D2"/>
    <w:rsid w:val="00497ECF"/>
    <w:rsid w:val="004A0DA1"/>
    <w:rsid w:val="004A48D3"/>
    <w:rsid w:val="004A52E9"/>
    <w:rsid w:val="004A6597"/>
    <w:rsid w:val="004A7848"/>
    <w:rsid w:val="004B053E"/>
    <w:rsid w:val="004B1BE6"/>
    <w:rsid w:val="004B1CB4"/>
    <w:rsid w:val="004B2BA4"/>
    <w:rsid w:val="004B2F18"/>
    <w:rsid w:val="004B3DDB"/>
    <w:rsid w:val="004B44FD"/>
    <w:rsid w:val="004B47A4"/>
    <w:rsid w:val="004B5CFC"/>
    <w:rsid w:val="004B774D"/>
    <w:rsid w:val="004C14EA"/>
    <w:rsid w:val="004C2A17"/>
    <w:rsid w:val="004C2B28"/>
    <w:rsid w:val="004C4AED"/>
    <w:rsid w:val="004D2C2D"/>
    <w:rsid w:val="004D3023"/>
    <w:rsid w:val="004D4B7E"/>
    <w:rsid w:val="004D7227"/>
    <w:rsid w:val="004D7596"/>
    <w:rsid w:val="004E0CB2"/>
    <w:rsid w:val="004E0D22"/>
    <w:rsid w:val="004E0E7F"/>
    <w:rsid w:val="004E0EB8"/>
    <w:rsid w:val="004E2ADC"/>
    <w:rsid w:val="004E43B2"/>
    <w:rsid w:val="004E711B"/>
    <w:rsid w:val="004F1815"/>
    <w:rsid w:val="004F1D02"/>
    <w:rsid w:val="004F211E"/>
    <w:rsid w:val="004F24E1"/>
    <w:rsid w:val="004F2679"/>
    <w:rsid w:val="004F2F21"/>
    <w:rsid w:val="004F6913"/>
    <w:rsid w:val="004F7211"/>
    <w:rsid w:val="004F7865"/>
    <w:rsid w:val="0050180F"/>
    <w:rsid w:val="0050219B"/>
    <w:rsid w:val="00502E56"/>
    <w:rsid w:val="00503F17"/>
    <w:rsid w:val="00504683"/>
    <w:rsid w:val="0050493B"/>
    <w:rsid w:val="00506928"/>
    <w:rsid w:val="00507A98"/>
    <w:rsid w:val="005105E4"/>
    <w:rsid w:val="00512704"/>
    <w:rsid w:val="005146E1"/>
    <w:rsid w:val="00514F0C"/>
    <w:rsid w:val="005152B5"/>
    <w:rsid w:val="0051608C"/>
    <w:rsid w:val="00516570"/>
    <w:rsid w:val="00517021"/>
    <w:rsid w:val="00517D62"/>
    <w:rsid w:val="005210D9"/>
    <w:rsid w:val="00521319"/>
    <w:rsid w:val="00522BC8"/>
    <w:rsid w:val="00523C28"/>
    <w:rsid w:val="00524124"/>
    <w:rsid w:val="0052497B"/>
    <w:rsid w:val="005266A4"/>
    <w:rsid w:val="00526D82"/>
    <w:rsid w:val="00532D9B"/>
    <w:rsid w:val="005344BE"/>
    <w:rsid w:val="00534C67"/>
    <w:rsid w:val="005350D2"/>
    <w:rsid w:val="00536F42"/>
    <w:rsid w:val="00537182"/>
    <w:rsid w:val="00537E6C"/>
    <w:rsid w:val="00542743"/>
    <w:rsid w:val="00542C2D"/>
    <w:rsid w:val="00543159"/>
    <w:rsid w:val="00544F78"/>
    <w:rsid w:val="00546C38"/>
    <w:rsid w:val="00550AE2"/>
    <w:rsid w:val="00551985"/>
    <w:rsid w:val="00551B05"/>
    <w:rsid w:val="00552BD3"/>
    <w:rsid w:val="005536B9"/>
    <w:rsid w:val="00555109"/>
    <w:rsid w:val="0056046B"/>
    <w:rsid w:val="00561191"/>
    <w:rsid w:val="00565253"/>
    <w:rsid w:val="0056696F"/>
    <w:rsid w:val="0057222E"/>
    <w:rsid w:val="00572269"/>
    <w:rsid w:val="0057244A"/>
    <w:rsid w:val="00572C4E"/>
    <w:rsid w:val="00573091"/>
    <w:rsid w:val="005732E7"/>
    <w:rsid w:val="0057497B"/>
    <w:rsid w:val="00575D8D"/>
    <w:rsid w:val="00576972"/>
    <w:rsid w:val="00577AAE"/>
    <w:rsid w:val="00582E22"/>
    <w:rsid w:val="00583699"/>
    <w:rsid w:val="0058492D"/>
    <w:rsid w:val="00585BC6"/>
    <w:rsid w:val="00585CDD"/>
    <w:rsid w:val="005867BB"/>
    <w:rsid w:val="00587058"/>
    <w:rsid w:val="005875D2"/>
    <w:rsid w:val="0058765D"/>
    <w:rsid w:val="005916A8"/>
    <w:rsid w:val="00591957"/>
    <w:rsid w:val="00592E84"/>
    <w:rsid w:val="00593B4E"/>
    <w:rsid w:val="00594B16"/>
    <w:rsid w:val="00597BF9"/>
    <w:rsid w:val="005A09D3"/>
    <w:rsid w:val="005A373D"/>
    <w:rsid w:val="005A3CA4"/>
    <w:rsid w:val="005A4375"/>
    <w:rsid w:val="005A4CD5"/>
    <w:rsid w:val="005B0C66"/>
    <w:rsid w:val="005B1258"/>
    <w:rsid w:val="005B2414"/>
    <w:rsid w:val="005B27E5"/>
    <w:rsid w:val="005B5857"/>
    <w:rsid w:val="005C009D"/>
    <w:rsid w:val="005C1B83"/>
    <w:rsid w:val="005C2D55"/>
    <w:rsid w:val="005C346B"/>
    <w:rsid w:val="005C360E"/>
    <w:rsid w:val="005D00E3"/>
    <w:rsid w:val="005D044D"/>
    <w:rsid w:val="005D0ABD"/>
    <w:rsid w:val="005D18AD"/>
    <w:rsid w:val="005D2484"/>
    <w:rsid w:val="005D26B4"/>
    <w:rsid w:val="005D2C9A"/>
    <w:rsid w:val="005D39B7"/>
    <w:rsid w:val="005D49D0"/>
    <w:rsid w:val="005D6C43"/>
    <w:rsid w:val="005E0DDB"/>
    <w:rsid w:val="005E2F6E"/>
    <w:rsid w:val="005E46AD"/>
    <w:rsid w:val="005E4C22"/>
    <w:rsid w:val="005E6CBC"/>
    <w:rsid w:val="005E73C0"/>
    <w:rsid w:val="005F1BDF"/>
    <w:rsid w:val="005F2706"/>
    <w:rsid w:val="005F6A8F"/>
    <w:rsid w:val="005F6BFA"/>
    <w:rsid w:val="0060248F"/>
    <w:rsid w:val="006031E5"/>
    <w:rsid w:val="00603DB9"/>
    <w:rsid w:val="00607669"/>
    <w:rsid w:val="00607AFD"/>
    <w:rsid w:val="006115B9"/>
    <w:rsid w:val="00612F97"/>
    <w:rsid w:val="0061345D"/>
    <w:rsid w:val="006137B9"/>
    <w:rsid w:val="00614B53"/>
    <w:rsid w:val="00616802"/>
    <w:rsid w:val="006177BD"/>
    <w:rsid w:val="00617E12"/>
    <w:rsid w:val="00621477"/>
    <w:rsid w:val="006221F4"/>
    <w:rsid w:val="00624B73"/>
    <w:rsid w:val="00625C6D"/>
    <w:rsid w:val="00625DEF"/>
    <w:rsid w:val="0062759F"/>
    <w:rsid w:val="00630AE3"/>
    <w:rsid w:val="0063158F"/>
    <w:rsid w:val="00631D6B"/>
    <w:rsid w:val="006330A1"/>
    <w:rsid w:val="0063479F"/>
    <w:rsid w:val="006353F0"/>
    <w:rsid w:val="006364A1"/>
    <w:rsid w:val="00637BFD"/>
    <w:rsid w:val="00640A57"/>
    <w:rsid w:val="00641C4E"/>
    <w:rsid w:val="00644094"/>
    <w:rsid w:val="0064501F"/>
    <w:rsid w:val="006471CC"/>
    <w:rsid w:val="006501A5"/>
    <w:rsid w:val="0065079F"/>
    <w:rsid w:val="00650E6E"/>
    <w:rsid w:val="006534A8"/>
    <w:rsid w:val="0065379F"/>
    <w:rsid w:val="00653F41"/>
    <w:rsid w:val="00654F36"/>
    <w:rsid w:val="006551E1"/>
    <w:rsid w:val="00656FF9"/>
    <w:rsid w:val="00657A7C"/>
    <w:rsid w:val="00657FA0"/>
    <w:rsid w:val="006608F1"/>
    <w:rsid w:val="00660B8C"/>
    <w:rsid w:val="00661C6B"/>
    <w:rsid w:val="00663156"/>
    <w:rsid w:val="00664D15"/>
    <w:rsid w:val="006656D5"/>
    <w:rsid w:val="00666714"/>
    <w:rsid w:val="00674A86"/>
    <w:rsid w:val="00674E42"/>
    <w:rsid w:val="006802D0"/>
    <w:rsid w:val="00682112"/>
    <w:rsid w:val="006829A4"/>
    <w:rsid w:val="0068485F"/>
    <w:rsid w:val="006854C9"/>
    <w:rsid w:val="00686957"/>
    <w:rsid w:val="006872BA"/>
    <w:rsid w:val="00687BAF"/>
    <w:rsid w:val="00691648"/>
    <w:rsid w:val="006917D7"/>
    <w:rsid w:val="00694F44"/>
    <w:rsid w:val="0069680C"/>
    <w:rsid w:val="00697570"/>
    <w:rsid w:val="006A3925"/>
    <w:rsid w:val="006A408B"/>
    <w:rsid w:val="006A5494"/>
    <w:rsid w:val="006A7E5F"/>
    <w:rsid w:val="006B05F7"/>
    <w:rsid w:val="006B14B2"/>
    <w:rsid w:val="006B261B"/>
    <w:rsid w:val="006B2C90"/>
    <w:rsid w:val="006B4EF6"/>
    <w:rsid w:val="006B6DD0"/>
    <w:rsid w:val="006C2A8E"/>
    <w:rsid w:val="006C61BD"/>
    <w:rsid w:val="006C6EF6"/>
    <w:rsid w:val="006C71C8"/>
    <w:rsid w:val="006D118D"/>
    <w:rsid w:val="006D3C7D"/>
    <w:rsid w:val="006D3D18"/>
    <w:rsid w:val="006D4630"/>
    <w:rsid w:val="006D4C47"/>
    <w:rsid w:val="006D4DD3"/>
    <w:rsid w:val="006D5D5F"/>
    <w:rsid w:val="006E2CFE"/>
    <w:rsid w:val="006F26B7"/>
    <w:rsid w:val="006F306C"/>
    <w:rsid w:val="006F3484"/>
    <w:rsid w:val="006F3885"/>
    <w:rsid w:val="006F63A5"/>
    <w:rsid w:val="006F7C91"/>
    <w:rsid w:val="0070023B"/>
    <w:rsid w:val="0070142B"/>
    <w:rsid w:val="007014C9"/>
    <w:rsid w:val="0070276E"/>
    <w:rsid w:val="00702F8F"/>
    <w:rsid w:val="007053C0"/>
    <w:rsid w:val="007056B6"/>
    <w:rsid w:val="007064A1"/>
    <w:rsid w:val="00707F66"/>
    <w:rsid w:val="00711A36"/>
    <w:rsid w:val="00712FA3"/>
    <w:rsid w:val="0071529C"/>
    <w:rsid w:val="00717023"/>
    <w:rsid w:val="007172AD"/>
    <w:rsid w:val="00717927"/>
    <w:rsid w:val="00721253"/>
    <w:rsid w:val="00721EDA"/>
    <w:rsid w:val="00722B1B"/>
    <w:rsid w:val="007231F9"/>
    <w:rsid w:val="00723B3C"/>
    <w:rsid w:val="00723C4C"/>
    <w:rsid w:val="0072416F"/>
    <w:rsid w:val="00727C94"/>
    <w:rsid w:val="00731C68"/>
    <w:rsid w:val="00731EAE"/>
    <w:rsid w:val="00732432"/>
    <w:rsid w:val="00733E34"/>
    <w:rsid w:val="00734B1F"/>
    <w:rsid w:val="00735033"/>
    <w:rsid w:val="00735328"/>
    <w:rsid w:val="00735742"/>
    <w:rsid w:val="00735947"/>
    <w:rsid w:val="0073685B"/>
    <w:rsid w:val="00736AEF"/>
    <w:rsid w:val="007370FF"/>
    <w:rsid w:val="0073744D"/>
    <w:rsid w:val="007426F2"/>
    <w:rsid w:val="007459D2"/>
    <w:rsid w:val="00745D0E"/>
    <w:rsid w:val="00745F19"/>
    <w:rsid w:val="00746A71"/>
    <w:rsid w:val="007507D9"/>
    <w:rsid w:val="00751B06"/>
    <w:rsid w:val="00752142"/>
    <w:rsid w:val="007523F9"/>
    <w:rsid w:val="007528B4"/>
    <w:rsid w:val="0075552C"/>
    <w:rsid w:val="00755D85"/>
    <w:rsid w:val="007573E8"/>
    <w:rsid w:val="00757D78"/>
    <w:rsid w:val="007606F0"/>
    <w:rsid w:val="00760C4E"/>
    <w:rsid w:val="0076133B"/>
    <w:rsid w:val="00763211"/>
    <w:rsid w:val="00765B1A"/>
    <w:rsid w:val="00773460"/>
    <w:rsid w:val="007773A6"/>
    <w:rsid w:val="00777A43"/>
    <w:rsid w:val="00780F2E"/>
    <w:rsid w:val="00781C06"/>
    <w:rsid w:val="00781F9C"/>
    <w:rsid w:val="007843F2"/>
    <w:rsid w:val="00784537"/>
    <w:rsid w:val="00787163"/>
    <w:rsid w:val="007914F5"/>
    <w:rsid w:val="00791535"/>
    <w:rsid w:val="00793958"/>
    <w:rsid w:val="0079503E"/>
    <w:rsid w:val="007A0A12"/>
    <w:rsid w:val="007A132D"/>
    <w:rsid w:val="007A2D37"/>
    <w:rsid w:val="007A4E5D"/>
    <w:rsid w:val="007A52F1"/>
    <w:rsid w:val="007A59A2"/>
    <w:rsid w:val="007B091A"/>
    <w:rsid w:val="007B0D68"/>
    <w:rsid w:val="007B167C"/>
    <w:rsid w:val="007B251D"/>
    <w:rsid w:val="007B275C"/>
    <w:rsid w:val="007B4F58"/>
    <w:rsid w:val="007B528D"/>
    <w:rsid w:val="007B6EF8"/>
    <w:rsid w:val="007B77D1"/>
    <w:rsid w:val="007C0294"/>
    <w:rsid w:val="007C1CD9"/>
    <w:rsid w:val="007C1E1F"/>
    <w:rsid w:val="007C2C07"/>
    <w:rsid w:val="007C361D"/>
    <w:rsid w:val="007C3ABD"/>
    <w:rsid w:val="007C44C2"/>
    <w:rsid w:val="007C4B84"/>
    <w:rsid w:val="007C5D53"/>
    <w:rsid w:val="007D004F"/>
    <w:rsid w:val="007D024F"/>
    <w:rsid w:val="007D0B38"/>
    <w:rsid w:val="007D449B"/>
    <w:rsid w:val="007D4886"/>
    <w:rsid w:val="007D4F52"/>
    <w:rsid w:val="007D4FA1"/>
    <w:rsid w:val="007D5440"/>
    <w:rsid w:val="007E63D1"/>
    <w:rsid w:val="007F1017"/>
    <w:rsid w:val="007F1842"/>
    <w:rsid w:val="007F3BD6"/>
    <w:rsid w:val="007F4A3F"/>
    <w:rsid w:val="007F4A61"/>
    <w:rsid w:val="007F4D39"/>
    <w:rsid w:val="007F61C2"/>
    <w:rsid w:val="00800D1E"/>
    <w:rsid w:val="0080140A"/>
    <w:rsid w:val="0080192B"/>
    <w:rsid w:val="00801E25"/>
    <w:rsid w:val="00803D30"/>
    <w:rsid w:val="00805142"/>
    <w:rsid w:val="00805DDD"/>
    <w:rsid w:val="008061FE"/>
    <w:rsid w:val="00807A8B"/>
    <w:rsid w:val="00810049"/>
    <w:rsid w:val="00810611"/>
    <w:rsid w:val="00811383"/>
    <w:rsid w:val="00811BFB"/>
    <w:rsid w:val="00812149"/>
    <w:rsid w:val="00812CAC"/>
    <w:rsid w:val="00814775"/>
    <w:rsid w:val="00814E17"/>
    <w:rsid w:val="008166EF"/>
    <w:rsid w:val="00820899"/>
    <w:rsid w:val="008219E2"/>
    <w:rsid w:val="00822F52"/>
    <w:rsid w:val="00825751"/>
    <w:rsid w:val="008264EB"/>
    <w:rsid w:val="00830171"/>
    <w:rsid w:val="00833698"/>
    <w:rsid w:val="00833B05"/>
    <w:rsid w:val="008346BF"/>
    <w:rsid w:val="008362B4"/>
    <w:rsid w:val="008374AE"/>
    <w:rsid w:val="00840CA2"/>
    <w:rsid w:val="0084374F"/>
    <w:rsid w:val="008437FC"/>
    <w:rsid w:val="008474AE"/>
    <w:rsid w:val="00847DF5"/>
    <w:rsid w:val="0085309D"/>
    <w:rsid w:val="008540D5"/>
    <w:rsid w:val="00854C25"/>
    <w:rsid w:val="00855189"/>
    <w:rsid w:val="008561CC"/>
    <w:rsid w:val="00856897"/>
    <w:rsid w:val="00856E9A"/>
    <w:rsid w:val="00860711"/>
    <w:rsid w:val="0086075D"/>
    <w:rsid w:val="0086131B"/>
    <w:rsid w:val="00862502"/>
    <w:rsid w:val="008641D2"/>
    <w:rsid w:val="00865609"/>
    <w:rsid w:val="00865985"/>
    <w:rsid w:val="008660D4"/>
    <w:rsid w:val="0086646E"/>
    <w:rsid w:val="0087080C"/>
    <w:rsid w:val="00870E88"/>
    <w:rsid w:val="00871DCB"/>
    <w:rsid w:val="00871FA9"/>
    <w:rsid w:val="008728E9"/>
    <w:rsid w:val="00873D4F"/>
    <w:rsid w:val="00874A57"/>
    <w:rsid w:val="00875956"/>
    <w:rsid w:val="00880DFC"/>
    <w:rsid w:val="008824EB"/>
    <w:rsid w:val="00882874"/>
    <w:rsid w:val="00882E16"/>
    <w:rsid w:val="00883787"/>
    <w:rsid w:val="00883D37"/>
    <w:rsid w:val="00885AED"/>
    <w:rsid w:val="00886090"/>
    <w:rsid w:val="00886CD2"/>
    <w:rsid w:val="00887CFF"/>
    <w:rsid w:val="008908C5"/>
    <w:rsid w:val="00891560"/>
    <w:rsid w:val="00892A36"/>
    <w:rsid w:val="00893239"/>
    <w:rsid w:val="00893484"/>
    <w:rsid w:val="00893C54"/>
    <w:rsid w:val="00894489"/>
    <w:rsid w:val="008963A5"/>
    <w:rsid w:val="00896F39"/>
    <w:rsid w:val="008A03EB"/>
    <w:rsid w:val="008A3363"/>
    <w:rsid w:val="008A3371"/>
    <w:rsid w:val="008A3C3E"/>
    <w:rsid w:val="008A4A4B"/>
    <w:rsid w:val="008A53D2"/>
    <w:rsid w:val="008A79DE"/>
    <w:rsid w:val="008A7E2D"/>
    <w:rsid w:val="008B1757"/>
    <w:rsid w:val="008B6231"/>
    <w:rsid w:val="008B7865"/>
    <w:rsid w:val="008B7D7E"/>
    <w:rsid w:val="008C3CE2"/>
    <w:rsid w:val="008C4615"/>
    <w:rsid w:val="008C46C6"/>
    <w:rsid w:val="008C495E"/>
    <w:rsid w:val="008C4F44"/>
    <w:rsid w:val="008C5775"/>
    <w:rsid w:val="008C7A5F"/>
    <w:rsid w:val="008C7ECB"/>
    <w:rsid w:val="008D0BD9"/>
    <w:rsid w:val="008D1C47"/>
    <w:rsid w:val="008D1CD7"/>
    <w:rsid w:val="008D4755"/>
    <w:rsid w:val="008D4A05"/>
    <w:rsid w:val="008D4C01"/>
    <w:rsid w:val="008D4C3D"/>
    <w:rsid w:val="008D554C"/>
    <w:rsid w:val="008D79E2"/>
    <w:rsid w:val="008E0D3C"/>
    <w:rsid w:val="008E1B9E"/>
    <w:rsid w:val="008E3377"/>
    <w:rsid w:val="008E4AD5"/>
    <w:rsid w:val="008E52C9"/>
    <w:rsid w:val="008E55AB"/>
    <w:rsid w:val="008E5A92"/>
    <w:rsid w:val="008E6678"/>
    <w:rsid w:val="008E74E1"/>
    <w:rsid w:val="008F01D1"/>
    <w:rsid w:val="008F120A"/>
    <w:rsid w:val="008F27E0"/>
    <w:rsid w:val="008F48EB"/>
    <w:rsid w:val="008F4F0B"/>
    <w:rsid w:val="009000EF"/>
    <w:rsid w:val="00900717"/>
    <w:rsid w:val="00901F95"/>
    <w:rsid w:val="0090237A"/>
    <w:rsid w:val="00903C1D"/>
    <w:rsid w:val="009046C4"/>
    <w:rsid w:val="00905236"/>
    <w:rsid w:val="009062A5"/>
    <w:rsid w:val="00907C86"/>
    <w:rsid w:val="009108EA"/>
    <w:rsid w:val="00911121"/>
    <w:rsid w:val="00911272"/>
    <w:rsid w:val="009123BD"/>
    <w:rsid w:val="009135D6"/>
    <w:rsid w:val="00914C77"/>
    <w:rsid w:val="009200E3"/>
    <w:rsid w:val="00921C6D"/>
    <w:rsid w:val="00922A68"/>
    <w:rsid w:val="0092369B"/>
    <w:rsid w:val="00924B3B"/>
    <w:rsid w:val="009253F9"/>
    <w:rsid w:val="00925718"/>
    <w:rsid w:val="009311A5"/>
    <w:rsid w:val="00931D65"/>
    <w:rsid w:val="00932E0A"/>
    <w:rsid w:val="00933352"/>
    <w:rsid w:val="00933498"/>
    <w:rsid w:val="00937915"/>
    <w:rsid w:val="00937DCD"/>
    <w:rsid w:val="009408D9"/>
    <w:rsid w:val="009453C9"/>
    <w:rsid w:val="009453ED"/>
    <w:rsid w:val="00945ABD"/>
    <w:rsid w:val="009510A2"/>
    <w:rsid w:val="0095123B"/>
    <w:rsid w:val="00951F92"/>
    <w:rsid w:val="00953257"/>
    <w:rsid w:val="00954AA0"/>
    <w:rsid w:val="009551D9"/>
    <w:rsid w:val="00960071"/>
    <w:rsid w:val="009611C7"/>
    <w:rsid w:val="009616EC"/>
    <w:rsid w:val="0096173D"/>
    <w:rsid w:val="00962CB9"/>
    <w:rsid w:val="00964015"/>
    <w:rsid w:val="00964312"/>
    <w:rsid w:val="00965B21"/>
    <w:rsid w:val="00965B8A"/>
    <w:rsid w:val="009670AA"/>
    <w:rsid w:val="009713D1"/>
    <w:rsid w:val="00971671"/>
    <w:rsid w:val="009717AC"/>
    <w:rsid w:val="00972174"/>
    <w:rsid w:val="00972967"/>
    <w:rsid w:val="00973BEA"/>
    <w:rsid w:val="00974CA0"/>
    <w:rsid w:val="0097542F"/>
    <w:rsid w:val="0097571B"/>
    <w:rsid w:val="00976504"/>
    <w:rsid w:val="009835EF"/>
    <w:rsid w:val="00983E57"/>
    <w:rsid w:val="0098617B"/>
    <w:rsid w:val="0098675D"/>
    <w:rsid w:val="009913F9"/>
    <w:rsid w:val="00993A32"/>
    <w:rsid w:val="00996420"/>
    <w:rsid w:val="00996B1A"/>
    <w:rsid w:val="009A0DDE"/>
    <w:rsid w:val="009A3296"/>
    <w:rsid w:val="009A399E"/>
    <w:rsid w:val="009A6502"/>
    <w:rsid w:val="009A7F10"/>
    <w:rsid w:val="009B2BC0"/>
    <w:rsid w:val="009B3087"/>
    <w:rsid w:val="009B3E26"/>
    <w:rsid w:val="009B56E4"/>
    <w:rsid w:val="009C0847"/>
    <w:rsid w:val="009C2CAE"/>
    <w:rsid w:val="009C45CE"/>
    <w:rsid w:val="009C4901"/>
    <w:rsid w:val="009C57BC"/>
    <w:rsid w:val="009C5ACD"/>
    <w:rsid w:val="009C6CEA"/>
    <w:rsid w:val="009C7162"/>
    <w:rsid w:val="009C7B85"/>
    <w:rsid w:val="009D0E28"/>
    <w:rsid w:val="009D2A6E"/>
    <w:rsid w:val="009D5B91"/>
    <w:rsid w:val="009D792E"/>
    <w:rsid w:val="009D7E04"/>
    <w:rsid w:val="009E0DFE"/>
    <w:rsid w:val="009E4C07"/>
    <w:rsid w:val="009E5FE2"/>
    <w:rsid w:val="009F0A3B"/>
    <w:rsid w:val="009F2D6F"/>
    <w:rsid w:val="009F3E88"/>
    <w:rsid w:val="00A00C06"/>
    <w:rsid w:val="00A01184"/>
    <w:rsid w:val="00A03D43"/>
    <w:rsid w:val="00A04380"/>
    <w:rsid w:val="00A056D6"/>
    <w:rsid w:val="00A074E9"/>
    <w:rsid w:val="00A10FE1"/>
    <w:rsid w:val="00A11069"/>
    <w:rsid w:val="00A11921"/>
    <w:rsid w:val="00A119F1"/>
    <w:rsid w:val="00A11CD0"/>
    <w:rsid w:val="00A1337C"/>
    <w:rsid w:val="00A13844"/>
    <w:rsid w:val="00A13948"/>
    <w:rsid w:val="00A1555B"/>
    <w:rsid w:val="00A155C5"/>
    <w:rsid w:val="00A16AD8"/>
    <w:rsid w:val="00A203EC"/>
    <w:rsid w:val="00A21ABD"/>
    <w:rsid w:val="00A21CF3"/>
    <w:rsid w:val="00A23E89"/>
    <w:rsid w:val="00A27AEC"/>
    <w:rsid w:val="00A27B39"/>
    <w:rsid w:val="00A306AF"/>
    <w:rsid w:val="00A30977"/>
    <w:rsid w:val="00A31E0A"/>
    <w:rsid w:val="00A320DB"/>
    <w:rsid w:val="00A35D16"/>
    <w:rsid w:val="00A377B4"/>
    <w:rsid w:val="00A37BCD"/>
    <w:rsid w:val="00A40865"/>
    <w:rsid w:val="00A40E9A"/>
    <w:rsid w:val="00A429D0"/>
    <w:rsid w:val="00A43C59"/>
    <w:rsid w:val="00A46245"/>
    <w:rsid w:val="00A473F9"/>
    <w:rsid w:val="00A50ECD"/>
    <w:rsid w:val="00A518F3"/>
    <w:rsid w:val="00A52729"/>
    <w:rsid w:val="00A53675"/>
    <w:rsid w:val="00A5503D"/>
    <w:rsid w:val="00A5527F"/>
    <w:rsid w:val="00A5577E"/>
    <w:rsid w:val="00A561C5"/>
    <w:rsid w:val="00A564D7"/>
    <w:rsid w:val="00A56B6A"/>
    <w:rsid w:val="00A578DC"/>
    <w:rsid w:val="00A615DB"/>
    <w:rsid w:val="00A6358D"/>
    <w:rsid w:val="00A6421A"/>
    <w:rsid w:val="00A66019"/>
    <w:rsid w:val="00A6725B"/>
    <w:rsid w:val="00A70605"/>
    <w:rsid w:val="00A7126F"/>
    <w:rsid w:val="00A728C6"/>
    <w:rsid w:val="00A73134"/>
    <w:rsid w:val="00A73C27"/>
    <w:rsid w:val="00A777B2"/>
    <w:rsid w:val="00A80242"/>
    <w:rsid w:val="00A81943"/>
    <w:rsid w:val="00A82303"/>
    <w:rsid w:val="00A8252F"/>
    <w:rsid w:val="00A82F11"/>
    <w:rsid w:val="00A84821"/>
    <w:rsid w:val="00A84B0E"/>
    <w:rsid w:val="00A86E8B"/>
    <w:rsid w:val="00A87164"/>
    <w:rsid w:val="00A87534"/>
    <w:rsid w:val="00A93072"/>
    <w:rsid w:val="00A93953"/>
    <w:rsid w:val="00A93B55"/>
    <w:rsid w:val="00A947A8"/>
    <w:rsid w:val="00A94B71"/>
    <w:rsid w:val="00A959D8"/>
    <w:rsid w:val="00A95C37"/>
    <w:rsid w:val="00A963BF"/>
    <w:rsid w:val="00AA113D"/>
    <w:rsid w:val="00AA4093"/>
    <w:rsid w:val="00AA46A7"/>
    <w:rsid w:val="00AA6932"/>
    <w:rsid w:val="00AA6C7D"/>
    <w:rsid w:val="00AA7FD6"/>
    <w:rsid w:val="00AB042A"/>
    <w:rsid w:val="00AB0678"/>
    <w:rsid w:val="00AB2D34"/>
    <w:rsid w:val="00AB3430"/>
    <w:rsid w:val="00AB4645"/>
    <w:rsid w:val="00AB4AD1"/>
    <w:rsid w:val="00AB570F"/>
    <w:rsid w:val="00AB5762"/>
    <w:rsid w:val="00AB7382"/>
    <w:rsid w:val="00AB7CFA"/>
    <w:rsid w:val="00AC101F"/>
    <w:rsid w:val="00AC127F"/>
    <w:rsid w:val="00AC3424"/>
    <w:rsid w:val="00AC4680"/>
    <w:rsid w:val="00AC49F3"/>
    <w:rsid w:val="00AC528E"/>
    <w:rsid w:val="00AC5B48"/>
    <w:rsid w:val="00AD480B"/>
    <w:rsid w:val="00AD491E"/>
    <w:rsid w:val="00AD4EF1"/>
    <w:rsid w:val="00AD52E7"/>
    <w:rsid w:val="00AD5DDF"/>
    <w:rsid w:val="00AD616E"/>
    <w:rsid w:val="00AD6502"/>
    <w:rsid w:val="00AE0DB4"/>
    <w:rsid w:val="00AE22FD"/>
    <w:rsid w:val="00AE2B9E"/>
    <w:rsid w:val="00AE3CC0"/>
    <w:rsid w:val="00AE4388"/>
    <w:rsid w:val="00AE4BB5"/>
    <w:rsid w:val="00AE7D41"/>
    <w:rsid w:val="00AF027C"/>
    <w:rsid w:val="00AF1315"/>
    <w:rsid w:val="00AF19BF"/>
    <w:rsid w:val="00AF2055"/>
    <w:rsid w:val="00AF2DC3"/>
    <w:rsid w:val="00AF3F7C"/>
    <w:rsid w:val="00AF438F"/>
    <w:rsid w:val="00AF492C"/>
    <w:rsid w:val="00AF7A3E"/>
    <w:rsid w:val="00B007B4"/>
    <w:rsid w:val="00B00947"/>
    <w:rsid w:val="00B022C8"/>
    <w:rsid w:val="00B02875"/>
    <w:rsid w:val="00B033E5"/>
    <w:rsid w:val="00B03A63"/>
    <w:rsid w:val="00B049DF"/>
    <w:rsid w:val="00B11F45"/>
    <w:rsid w:val="00B12B15"/>
    <w:rsid w:val="00B163DA"/>
    <w:rsid w:val="00B172B3"/>
    <w:rsid w:val="00B17838"/>
    <w:rsid w:val="00B201A4"/>
    <w:rsid w:val="00B2058E"/>
    <w:rsid w:val="00B213A6"/>
    <w:rsid w:val="00B218B9"/>
    <w:rsid w:val="00B22454"/>
    <w:rsid w:val="00B24DF6"/>
    <w:rsid w:val="00B25244"/>
    <w:rsid w:val="00B25569"/>
    <w:rsid w:val="00B30183"/>
    <w:rsid w:val="00B304BD"/>
    <w:rsid w:val="00B311A6"/>
    <w:rsid w:val="00B33A60"/>
    <w:rsid w:val="00B3498C"/>
    <w:rsid w:val="00B34CBD"/>
    <w:rsid w:val="00B34FE2"/>
    <w:rsid w:val="00B357D8"/>
    <w:rsid w:val="00B35E3D"/>
    <w:rsid w:val="00B37BFC"/>
    <w:rsid w:val="00B40358"/>
    <w:rsid w:val="00B41614"/>
    <w:rsid w:val="00B422BC"/>
    <w:rsid w:val="00B42851"/>
    <w:rsid w:val="00B42F80"/>
    <w:rsid w:val="00B435CB"/>
    <w:rsid w:val="00B44DC9"/>
    <w:rsid w:val="00B45FEB"/>
    <w:rsid w:val="00B50DB8"/>
    <w:rsid w:val="00B527BF"/>
    <w:rsid w:val="00B53654"/>
    <w:rsid w:val="00B53905"/>
    <w:rsid w:val="00B542D4"/>
    <w:rsid w:val="00B54B5B"/>
    <w:rsid w:val="00B5562E"/>
    <w:rsid w:val="00B55F89"/>
    <w:rsid w:val="00B57000"/>
    <w:rsid w:val="00B60939"/>
    <w:rsid w:val="00B60A54"/>
    <w:rsid w:val="00B60AFD"/>
    <w:rsid w:val="00B61395"/>
    <w:rsid w:val="00B620F9"/>
    <w:rsid w:val="00B626B5"/>
    <w:rsid w:val="00B62715"/>
    <w:rsid w:val="00B64545"/>
    <w:rsid w:val="00B6487D"/>
    <w:rsid w:val="00B650CC"/>
    <w:rsid w:val="00B6694C"/>
    <w:rsid w:val="00B6711C"/>
    <w:rsid w:val="00B71E7D"/>
    <w:rsid w:val="00B720EB"/>
    <w:rsid w:val="00B72100"/>
    <w:rsid w:val="00B746EE"/>
    <w:rsid w:val="00B77586"/>
    <w:rsid w:val="00B779F1"/>
    <w:rsid w:val="00B818A4"/>
    <w:rsid w:val="00B8226B"/>
    <w:rsid w:val="00B84117"/>
    <w:rsid w:val="00B85AA2"/>
    <w:rsid w:val="00B85BFF"/>
    <w:rsid w:val="00B8649C"/>
    <w:rsid w:val="00B869D7"/>
    <w:rsid w:val="00B87B04"/>
    <w:rsid w:val="00B87F0A"/>
    <w:rsid w:val="00B91A42"/>
    <w:rsid w:val="00B92D0B"/>
    <w:rsid w:val="00B9455A"/>
    <w:rsid w:val="00B945BA"/>
    <w:rsid w:val="00B947E0"/>
    <w:rsid w:val="00B94945"/>
    <w:rsid w:val="00B96572"/>
    <w:rsid w:val="00B97DAB"/>
    <w:rsid w:val="00BA180D"/>
    <w:rsid w:val="00BA322D"/>
    <w:rsid w:val="00BB021F"/>
    <w:rsid w:val="00BB0BDD"/>
    <w:rsid w:val="00BB2243"/>
    <w:rsid w:val="00BB2A73"/>
    <w:rsid w:val="00BB2FD0"/>
    <w:rsid w:val="00BB4ACC"/>
    <w:rsid w:val="00BB5630"/>
    <w:rsid w:val="00BB703E"/>
    <w:rsid w:val="00BB7405"/>
    <w:rsid w:val="00BC0070"/>
    <w:rsid w:val="00BC065C"/>
    <w:rsid w:val="00BC31CF"/>
    <w:rsid w:val="00BC3631"/>
    <w:rsid w:val="00BC5A6D"/>
    <w:rsid w:val="00BD08B3"/>
    <w:rsid w:val="00BD1039"/>
    <w:rsid w:val="00BD14CE"/>
    <w:rsid w:val="00BD255E"/>
    <w:rsid w:val="00BD365E"/>
    <w:rsid w:val="00BD3BDE"/>
    <w:rsid w:val="00BD514E"/>
    <w:rsid w:val="00BD6872"/>
    <w:rsid w:val="00BD68A3"/>
    <w:rsid w:val="00BD6938"/>
    <w:rsid w:val="00BD6CF3"/>
    <w:rsid w:val="00BE2180"/>
    <w:rsid w:val="00BE21F2"/>
    <w:rsid w:val="00BE3579"/>
    <w:rsid w:val="00BE4275"/>
    <w:rsid w:val="00BE7BF4"/>
    <w:rsid w:val="00BF0F95"/>
    <w:rsid w:val="00BF1535"/>
    <w:rsid w:val="00BF2433"/>
    <w:rsid w:val="00BF3159"/>
    <w:rsid w:val="00BF430D"/>
    <w:rsid w:val="00BF5C9E"/>
    <w:rsid w:val="00BF61C9"/>
    <w:rsid w:val="00BF6C94"/>
    <w:rsid w:val="00BF6EE9"/>
    <w:rsid w:val="00BF74B5"/>
    <w:rsid w:val="00C00424"/>
    <w:rsid w:val="00C00C38"/>
    <w:rsid w:val="00C02C1E"/>
    <w:rsid w:val="00C03966"/>
    <w:rsid w:val="00C04481"/>
    <w:rsid w:val="00C07302"/>
    <w:rsid w:val="00C106CB"/>
    <w:rsid w:val="00C11B61"/>
    <w:rsid w:val="00C12C14"/>
    <w:rsid w:val="00C15B24"/>
    <w:rsid w:val="00C200AA"/>
    <w:rsid w:val="00C237ED"/>
    <w:rsid w:val="00C24632"/>
    <w:rsid w:val="00C25418"/>
    <w:rsid w:val="00C25D9C"/>
    <w:rsid w:val="00C2607A"/>
    <w:rsid w:val="00C2778B"/>
    <w:rsid w:val="00C31649"/>
    <w:rsid w:val="00C33C3E"/>
    <w:rsid w:val="00C33CBF"/>
    <w:rsid w:val="00C35D3B"/>
    <w:rsid w:val="00C40385"/>
    <w:rsid w:val="00C43889"/>
    <w:rsid w:val="00C449F9"/>
    <w:rsid w:val="00C475AA"/>
    <w:rsid w:val="00C53082"/>
    <w:rsid w:val="00C535DB"/>
    <w:rsid w:val="00C55CAB"/>
    <w:rsid w:val="00C57C06"/>
    <w:rsid w:val="00C61605"/>
    <w:rsid w:val="00C643D8"/>
    <w:rsid w:val="00C64EBB"/>
    <w:rsid w:val="00C65576"/>
    <w:rsid w:val="00C66165"/>
    <w:rsid w:val="00C67072"/>
    <w:rsid w:val="00C67598"/>
    <w:rsid w:val="00C7074F"/>
    <w:rsid w:val="00C7151A"/>
    <w:rsid w:val="00C71C49"/>
    <w:rsid w:val="00C71F60"/>
    <w:rsid w:val="00C72241"/>
    <w:rsid w:val="00C73E6F"/>
    <w:rsid w:val="00C741CA"/>
    <w:rsid w:val="00C750C8"/>
    <w:rsid w:val="00C7560F"/>
    <w:rsid w:val="00C75C84"/>
    <w:rsid w:val="00C7749C"/>
    <w:rsid w:val="00C80A0E"/>
    <w:rsid w:val="00C8151F"/>
    <w:rsid w:val="00C8213F"/>
    <w:rsid w:val="00C846E9"/>
    <w:rsid w:val="00C86144"/>
    <w:rsid w:val="00C8797A"/>
    <w:rsid w:val="00C900B8"/>
    <w:rsid w:val="00C90C71"/>
    <w:rsid w:val="00C9235F"/>
    <w:rsid w:val="00C92B00"/>
    <w:rsid w:val="00C931CF"/>
    <w:rsid w:val="00C931DF"/>
    <w:rsid w:val="00C938CF"/>
    <w:rsid w:val="00C94A24"/>
    <w:rsid w:val="00C95566"/>
    <w:rsid w:val="00C9624D"/>
    <w:rsid w:val="00C969DA"/>
    <w:rsid w:val="00CA062D"/>
    <w:rsid w:val="00CA1B56"/>
    <w:rsid w:val="00CA29C1"/>
    <w:rsid w:val="00CA2C77"/>
    <w:rsid w:val="00CA444F"/>
    <w:rsid w:val="00CA49C7"/>
    <w:rsid w:val="00CA5245"/>
    <w:rsid w:val="00CA5E1F"/>
    <w:rsid w:val="00CA71F4"/>
    <w:rsid w:val="00CA7B09"/>
    <w:rsid w:val="00CA7B82"/>
    <w:rsid w:val="00CB18ED"/>
    <w:rsid w:val="00CB21E9"/>
    <w:rsid w:val="00CB2F2A"/>
    <w:rsid w:val="00CB454D"/>
    <w:rsid w:val="00CB5B1A"/>
    <w:rsid w:val="00CB6B22"/>
    <w:rsid w:val="00CB78D5"/>
    <w:rsid w:val="00CB7A8A"/>
    <w:rsid w:val="00CB7B8D"/>
    <w:rsid w:val="00CB7C8F"/>
    <w:rsid w:val="00CB7F5F"/>
    <w:rsid w:val="00CC1B39"/>
    <w:rsid w:val="00CC1F7A"/>
    <w:rsid w:val="00CC228C"/>
    <w:rsid w:val="00CC27D6"/>
    <w:rsid w:val="00CC38F2"/>
    <w:rsid w:val="00CC74D8"/>
    <w:rsid w:val="00CD31A4"/>
    <w:rsid w:val="00CD4E22"/>
    <w:rsid w:val="00CD608A"/>
    <w:rsid w:val="00CD6ADC"/>
    <w:rsid w:val="00CE056C"/>
    <w:rsid w:val="00CE086E"/>
    <w:rsid w:val="00CE1536"/>
    <w:rsid w:val="00CE4FFB"/>
    <w:rsid w:val="00CE605D"/>
    <w:rsid w:val="00CE6274"/>
    <w:rsid w:val="00CE6F51"/>
    <w:rsid w:val="00CF0570"/>
    <w:rsid w:val="00CF2B8D"/>
    <w:rsid w:val="00CF3A1D"/>
    <w:rsid w:val="00CF456B"/>
    <w:rsid w:val="00CF5A22"/>
    <w:rsid w:val="00CF5EB4"/>
    <w:rsid w:val="00D01C1E"/>
    <w:rsid w:val="00D021E3"/>
    <w:rsid w:val="00D0262E"/>
    <w:rsid w:val="00D03022"/>
    <w:rsid w:val="00D110BD"/>
    <w:rsid w:val="00D120D0"/>
    <w:rsid w:val="00D12AB4"/>
    <w:rsid w:val="00D12CEE"/>
    <w:rsid w:val="00D13675"/>
    <w:rsid w:val="00D13F35"/>
    <w:rsid w:val="00D141E1"/>
    <w:rsid w:val="00D1553B"/>
    <w:rsid w:val="00D15695"/>
    <w:rsid w:val="00D16283"/>
    <w:rsid w:val="00D16801"/>
    <w:rsid w:val="00D177B8"/>
    <w:rsid w:val="00D17D6C"/>
    <w:rsid w:val="00D22D2D"/>
    <w:rsid w:val="00D24E22"/>
    <w:rsid w:val="00D25CC4"/>
    <w:rsid w:val="00D2754D"/>
    <w:rsid w:val="00D27B27"/>
    <w:rsid w:val="00D27B44"/>
    <w:rsid w:val="00D31566"/>
    <w:rsid w:val="00D3344A"/>
    <w:rsid w:val="00D33BE9"/>
    <w:rsid w:val="00D34AA2"/>
    <w:rsid w:val="00D35172"/>
    <w:rsid w:val="00D357FF"/>
    <w:rsid w:val="00D37D84"/>
    <w:rsid w:val="00D424C7"/>
    <w:rsid w:val="00D43B2A"/>
    <w:rsid w:val="00D43DFC"/>
    <w:rsid w:val="00D45B2A"/>
    <w:rsid w:val="00D4651B"/>
    <w:rsid w:val="00D470A7"/>
    <w:rsid w:val="00D47575"/>
    <w:rsid w:val="00D50E30"/>
    <w:rsid w:val="00D53569"/>
    <w:rsid w:val="00D56290"/>
    <w:rsid w:val="00D61F66"/>
    <w:rsid w:val="00D6277F"/>
    <w:rsid w:val="00D63562"/>
    <w:rsid w:val="00D6363F"/>
    <w:rsid w:val="00D6598F"/>
    <w:rsid w:val="00D65F25"/>
    <w:rsid w:val="00D6626F"/>
    <w:rsid w:val="00D67D1C"/>
    <w:rsid w:val="00D70F16"/>
    <w:rsid w:val="00D7449C"/>
    <w:rsid w:val="00D74528"/>
    <w:rsid w:val="00D745AD"/>
    <w:rsid w:val="00D75E05"/>
    <w:rsid w:val="00D7602F"/>
    <w:rsid w:val="00D76A44"/>
    <w:rsid w:val="00D77130"/>
    <w:rsid w:val="00D77646"/>
    <w:rsid w:val="00D815EF"/>
    <w:rsid w:val="00D864AF"/>
    <w:rsid w:val="00D86E16"/>
    <w:rsid w:val="00D87B8A"/>
    <w:rsid w:val="00D87F3A"/>
    <w:rsid w:val="00D91301"/>
    <w:rsid w:val="00D91923"/>
    <w:rsid w:val="00D93753"/>
    <w:rsid w:val="00D953DA"/>
    <w:rsid w:val="00D95515"/>
    <w:rsid w:val="00D959F6"/>
    <w:rsid w:val="00D96AA9"/>
    <w:rsid w:val="00D96E37"/>
    <w:rsid w:val="00D96E4B"/>
    <w:rsid w:val="00D97323"/>
    <w:rsid w:val="00DA3167"/>
    <w:rsid w:val="00DA4BD3"/>
    <w:rsid w:val="00DA4DC3"/>
    <w:rsid w:val="00DA77A5"/>
    <w:rsid w:val="00DB484F"/>
    <w:rsid w:val="00DB5665"/>
    <w:rsid w:val="00DC04F6"/>
    <w:rsid w:val="00DC0BD6"/>
    <w:rsid w:val="00DC1A5E"/>
    <w:rsid w:val="00DC1D4F"/>
    <w:rsid w:val="00DC2872"/>
    <w:rsid w:val="00DC2AF1"/>
    <w:rsid w:val="00DC3C57"/>
    <w:rsid w:val="00DC4040"/>
    <w:rsid w:val="00DC4316"/>
    <w:rsid w:val="00DC470E"/>
    <w:rsid w:val="00DC5501"/>
    <w:rsid w:val="00DD0F51"/>
    <w:rsid w:val="00DD1BEE"/>
    <w:rsid w:val="00DD1F67"/>
    <w:rsid w:val="00DD273C"/>
    <w:rsid w:val="00DD2FF6"/>
    <w:rsid w:val="00DD3F28"/>
    <w:rsid w:val="00DD4537"/>
    <w:rsid w:val="00DD4685"/>
    <w:rsid w:val="00DD4E15"/>
    <w:rsid w:val="00DD5D9B"/>
    <w:rsid w:val="00DE3138"/>
    <w:rsid w:val="00DE37F8"/>
    <w:rsid w:val="00DE4FCB"/>
    <w:rsid w:val="00DE5205"/>
    <w:rsid w:val="00DE5747"/>
    <w:rsid w:val="00DE7832"/>
    <w:rsid w:val="00DF1272"/>
    <w:rsid w:val="00DF18FC"/>
    <w:rsid w:val="00DF2B02"/>
    <w:rsid w:val="00DF5D2B"/>
    <w:rsid w:val="00DF625B"/>
    <w:rsid w:val="00E00E8E"/>
    <w:rsid w:val="00E027C3"/>
    <w:rsid w:val="00E049C1"/>
    <w:rsid w:val="00E05630"/>
    <w:rsid w:val="00E05FA5"/>
    <w:rsid w:val="00E068DE"/>
    <w:rsid w:val="00E06DBB"/>
    <w:rsid w:val="00E0758E"/>
    <w:rsid w:val="00E07655"/>
    <w:rsid w:val="00E07C94"/>
    <w:rsid w:val="00E10149"/>
    <w:rsid w:val="00E10B94"/>
    <w:rsid w:val="00E116BF"/>
    <w:rsid w:val="00E16372"/>
    <w:rsid w:val="00E174D7"/>
    <w:rsid w:val="00E20121"/>
    <w:rsid w:val="00E20E4D"/>
    <w:rsid w:val="00E20ED6"/>
    <w:rsid w:val="00E21358"/>
    <w:rsid w:val="00E2249B"/>
    <w:rsid w:val="00E22A0D"/>
    <w:rsid w:val="00E24C8B"/>
    <w:rsid w:val="00E2771E"/>
    <w:rsid w:val="00E30D34"/>
    <w:rsid w:val="00E3264A"/>
    <w:rsid w:val="00E33D50"/>
    <w:rsid w:val="00E34948"/>
    <w:rsid w:val="00E36364"/>
    <w:rsid w:val="00E37569"/>
    <w:rsid w:val="00E41E30"/>
    <w:rsid w:val="00E4375E"/>
    <w:rsid w:val="00E43D70"/>
    <w:rsid w:val="00E43FCC"/>
    <w:rsid w:val="00E466F3"/>
    <w:rsid w:val="00E47B2C"/>
    <w:rsid w:val="00E51560"/>
    <w:rsid w:val="00E51879"/>
    <w:rsid w:val="00E52AED"/>
    <w:rsid w:val="00E54347"/>
    <w:rsid w:val="00E55424"/>
    <w:rsid w:val="00E55BB5"/>
    <w:rsid w:val="00E61AA7"/>
    <w:rsid w:val="00E61F4F"/>
    <w:rsid w:val="00E637CC"/>
    <w:rsid w:val="00E65E79"/>
    <w:rsid w:val="00E66BA2"/>
    <w:rsid w:val="00E67416"/>
    <w:rsid w:val="00E6765F"/>
    <w:rsid w:val="00E718B6"/>
    <w:rsid w:val="00E723BA"/>
    <w:rsid w:val="00E73581"/>
    <w:rsid w:val="00E809C0"/>
    <w:rsid w:val="00E81A7D"/>
    <w:rsid w:val="00E833F7"/>
    <w:rsid w:val="00E83BDF"/>
    <w:rsid w:val="00E85904"/>
    <w:rsid w:val="00E86FDB"/>
    <w:rsid w:val="00E877EE"/>
    <w:rsid w:val="00E87A1D"/>
    <w:rsid w:val="00E87C91"/>
    <w:rsid w:val="00E87D6E"/>
    <w:rsid w:val="00E921A0"/>
    <w:rsid w:val="00E926A5"/>
    <w:rsid w:val="00E93D8B"/>
    <w:rsid w:val="00E96EFD"/>
    <w:rsid w:val="00E979B5"/>
    <w:rsid w:val="00EA17C3"/>
    <w:rsid w:val="00EA2214"/>
    <w:rsid w:val="00EA2A93"/>
    <w:rsid w:val="00EA2CAA"/>
    <w:rsid w:val="00EA3864"/>
    <w:rsid w:val="00EA7430"/>
    <w:rsid w:val="00EA7D3A"/>
    <w:rsid w:val="00EB15B6"/>
    <w:rsid w:val="00EB4916"/>
    <w:rsid w:val="00EB54D8"/>
    <w:rsid w:val="00EB5CD4"/>
    <w:rsid w:val="00EB68E3"/>
    <w:rsid w:val="00EB69DB"/>
    <w:rsid w:val="00EC00C9"/>
    <w:rsid w:val="00EC16E8"/>
    <w:rsid w:val="00EC2649"/>
    <w:rsid w:val="00EC4A70"/>
    <w:rsid w:val="00ED57EA"/>
    <w:rsid w:val="00EE07D3"/>
    <w:rsid w:val="00EE1377"/>
    <w:rsid w:val="00EE22AF"/>
    <w:rsid w:val="00EE5BC4"/>
    <w:rsid w:val="00EE7C3D"/>
    <w:rsid w:val="00EF0171"/>
    <w:rsid w:val="00EF0740"/>
    <w:rsid w:val="00EF1B25"/>
    <w:rsid w:val="00EF2E83"/>
    <w:rsid w:val="00EF341D"/>
    <w:rsid w:val="00EF4747"/>
    <w:rsid w:val="00EF4BF8"/>
    <w:rsid w:val="00F00030"/>
    <w:rsid w:val="00F00929"/>
    <w:rsid w:val="00F02253"/>
    <w:rsid w:val="00F038FB"/>
    <w:rsid w:val="00F03C2E"/>
    <w:rsid w:val="00F04A66"/>
    <w:rsid w:val="00F0516C"/>
    <w:rsid w:val="00F067A2"/>
    <w:rsid w:val="00F07B7E"/>
    <w:rsid w:val="00F1263A"/>
    <w:rsid w:val="00F13F05"/>
    <w:rsid w:val="00F15B60"/>
    <w:rsid w:val="00F2160D"/>
    <w:rsid w:val="00F225DE"/>
    <w:rsid w:val="00F236F8"/>
    <w:rsid w:val="00F24837"/>
    <w:rsid w:val="00F2494A"/>
    <w:rsid w:val="00F2575F"/>
    <w:rsid w:val="00F27565"/>
    <w:rsid w:val="00F310D4"/>
    <w:rsid w:val="00F31D5A"/>
    <w:rsid w:val="00F33DE9"/>
    <w:rsid w:val="00F35409"/>
    <w:rsid w:val="00F3619A"/>
    <w:rsid w:val="00F37564"/>
    <w:rsid w:val="00F400C7"/>
    <w:rsid w:val="00F405CD"/>
    <w:rsid w:val="00F4069A"/>
    <w:rsid w:val="00F40AAA"/>
    <w:rsid w:val="00F40BA7"/>
    <w:rsid w:val="00F4209D"/>
    <w:rsid w:val="00F43B29"/>
    <w:rsid w:val="00F4657C"/>
    <w:rsid w:val="00F46CB6"/>
    <w:rsid w:val="00F47DE8"/>
    <w:rsid w:val="00F5123F"/>
    <w:rsid w:val="00F524BD"/>
    <w:rsid w:val="00F537A5"/>
    <w:rsid w:val="00F542C1"/>
    <w:rsid w:val="00F5596A"/>
    <w:rsid w:val="00F55E73"/>
    <w:rsid w:val="00F55EDA"/>
    <w:rsid w:val="00F60092"/>
    <w:rsid w:val="00F6209A"/>
    <w:rsid w:val="00F647C5"/>
    <w:rsid w:val="00F65F4B"/>
    <w:rsid w:val="00F66917"/>
    <w:rsid w:val="00F67AAA"/>
    <w:rsid w:val="00F67E3E"/>
    <w:rsid w:val="00F700BB"/>
    <w:rsid w:val="00F70C9D"/>
    <w:rsid w:val="00F70F53"/>
    <w:rsid w:val="00F71B4A"/>
    <w:rsid w:val="00F73119"/>
    <w:rsid w:val="00F74CD9"/>
    <w:rsid w:val="00F75E86"/>
    <w:rsid w:val="00F7678A"/>
    <w:rsid w:val="00F77DAA"/>
    <w:rsid w:val="00F80A7B"/>
    <w:rsid w:val="00F80E5D"/>
    <w:rsid w:val="00F817A2"/>
    <w:rsid w:val="00F839F2"/>
    <w:rsid w:val="00F851CE"/>
    <w:rsid w:val="00F86448"/>
    <w:rsid w:val="00F86A9B"/>
    <w:rsid w:val="00F90246"/>
    <w:rsid w:val="00F91219"/>
    <w:rsid w:val="00F92CB5"/>
    <w:rsid w:val="00F94ED8"/>
    <w:rsid w:val="00F97A78"/>
    <w:rsid w:val="00FA0B20"/>
    <w:rsid w:val="00FA1022"/>
    <w:rsid w:val="00FA24E7"/>
    <w:rsid w:val="00FA2758"/>
    <w:rsid w:val="00FA4BD2"/>
    <w:rsid w:val="00FA71EC"/>
    <w:rsid w:val="00FB2297"/>
    <w:rsid w:val="00FB245A"/>
    <w:rsid w:val="00FB2CFD"/>
    <w:rsid w:val="00FB2E10"/>
    <w:rsid w:val="00FB2FCB"/>
    <w:rsid w:val="00FB3324"/>
    <w:rsid w:val="00FC1074"/>
    <w:rsid w:val="00FC1884"/>
    <w:rsid w:val="00FC371D"/>
    <w:rsid w:val="00FC3E69"/>
    <w:rsid w:val="00FC3F9B"/>
    <w:rsid w:val="00FC5F0B"/>
    <w:rsid w:val="00FC66AA"/>
    <w:rsid w:val="00FC6CEF"/>
    <w:rsid w:val="00FC6F25"/>
    <w:rsid w:val="00FC71F7"/>
    <w:rsid w:val="00FD08B2"/>
    <w:rsid w:val="00FD2100"/>
    <w:rsid w:val="00FD240F"/>
    <w:rsid w:val="00FD436C"/>
    <w:rsid w:val="00FD446D"/>
    <w:rsid w:val="00FD6394"/>
    <w:rsid w:val="00FD7030"/>
    <w:rsid w:val="00FE0E6C"/>
    <w:rsid w:val="00FE1F3E"/>
    <w:rsid w:val="00FE312A"/>
    <w:rsid w:val="00FE37B7"/>
    <w:rsid w:val="00FE3D29"/>
    <w:rsid w:val="00FE42E5"/>
    <w:rsid w:val="00FE4388"/>
    <w:rsid w:val="00FE70C3"/>
    <w:rsid w:val="00FF25B0"/>
    <w:rsid w:val="00FF26A0"/>
    <w:rsid w:val="00FF2FE0"/>
    <w:rsid w:val="00FF3D57"/>
    <w:rsid w:val="00FF3DCF"/>
    <w:rsid w:val="00FF450B"/>
    <w:rsid w:val="00FF48DA"/>
    <w:rsid w:val="00FF492C"/>
    <w:rsid w:val="00FF4A21"/>
    <w:rsid w:val="00FF5AA3"/>
    <w:rsid w:val="00FF5AD8"/>
    <w:rsid w:val="00FF5B20"/>
    <w:rsid w:val="00FF5BF1"/>
    <w:rsid w:val="00FF5E55"/>
    <w:rsid w:val="00FF6056"/>
    <w:rsid w:val="00FF6251"/>
    <w:rsid w:val="00FF6456"/>
    <w:rsid w:val="00FF653E"/>
    <w:rsid w:val="00FF67A7"/>
    <w:rsid w:val="00FF6F7E"/>
    <w:rsid w:val="00FF6F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1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aliases w:val="PBAC Heading 1 Numbered"/>
    <w:basedOn w:val="Normal"/>
    <w:next w:val="Normal"/>
    <w:link w:val="Heading1Char"/>
    <w:uiPriority w:val="9"/>
    <w:qFormat/>
    <w:rsid w:val="001B204E"/>
    <w:pPr>
      <w:ind w:left="720" w:hanging="720"/>
      <w:outlineLvl w:val="0"/>
    </w:pPr>
    <w:rPr>
      <w:b/>
      <w:caps/>
      <w:sz w:val="32"/>
    </w:rPr>
  </w:style>
  <w:style w:type="paragraph" w:styleId="Heading2">
    <w:name w:val="heading 2"/>
    <w:aliases w:val="PBAC Heading 2 Numbered"/>
    <w:basedOn w:val="Normal"/>
    <w:next w:val="Normal"/>
    <w:link w:val="Heading2Char"/>
    <w:qFormat/>
    <w:rsid w:val="001B204E"/>
    <w:pPr>
      <w:outlineLvl w:val="1"/>
    </w:pPr>
    <w:rPr>
      <w:b/>
      <w:i/>
      <w:sz w:val="28"/>
    </w:rPr>
  </w:style>
  <w:style w:type="paragraph" w:styleId="Heading3">
    <w:name w:val="heading 3"/>
    <w:aliases w:val="PBAC Heading 3 Numbered"/>
    <w:basedOn w:val="Normal"/>
    <w:next w:val="Normal"/>
    <w:link w:val="Heading3Char"/>
    <w:uiPriority w:val="9"/>
    <w:qFormat/>
    <w:rsid w:val="001F7361"/>
    <w:pPr>
      <w:outlineLvl w:val="2"/>
    </w:pPr>
    <w:rPr>
      <w:u w:val="single"/>
    </w:rPr>
  </w:style>
  <w:style w:type="paragraph" w:styleId="Heading4">
    <w:name w:val="heading 4"/>
    <w:aliases w:val="PBAC Heading 4 Numbered"/>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BAC Heading 5 numbered"/>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BAC Heading 2 Numbered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10"/>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L,Bullet Point,Bulletr List Paragraph,Content descriptions,FooterTex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L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Executive summary PBAC titles Char"/>
    <w:link w:val="Subtitle"/>
    <w:uiPriority w:val="11"/>
    <w:rsid w:val="00B50DB8"/>
    <w:rPr>
      <w:lang w:eastAsia="en-US"/>
    </w:rPr>
  </w:style>
  <w:style w:type="paragraph" w:styleId="Subtitle">
    <w:name w:val="Subtitle"/>
    <w:aliases w:val="Executive summary PBAC titles"/>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A408B"/>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basedOn w:val="Normal"/>
    <w:qFormat/>
    <w:rsid w:val="005F1BDF"/>
    <w:pPr>
      <w:keepNext/>
      <w:widowControl/>
      <w:spacing w:before="40" w:after="40"/>
      <w:jc w:val="left"/>
    </w:pPr>
    <w:rPr>
      <w:rFonts w:ascii="Arial Narrow" w:eastAsiaTheme="minorHAnsi" w:hAnsi="Arial Narrow" w:cstheme="minorBidi"/>
      <w:snapToGrid/>
      <w:sz w:val="20"/>
    </w:rPr>
  </w:style>
  <w:style w:type="paragraph" w:customStyle="1" w:styleId="PBACHeading1Nonumbering">
    <w:name w:val="PBAC Heading 1 No numbering"/>
    <w:basedOn w:val="Heading1"/>
    <w:qFormat/>
    <w:rsid w:val="005D00E3"/>
    <w:pPr>
      <w:keepNext/>
      <w:widowControl/>
      <w:spacing w:before="120" w:after="240"/>
      <w:ind w:left="0" w:firstLine="0"/>
      <w:jc w:val="left"/>
    </w:pPr>
    <w:rPr>
      <w:rFonts w:ascii="Sabon" w:hAnsi="Sabon"/>
      <w:b w:val="0"/>
      <w:bCs/>
      <w:caps w:val="0"/>
      <w:snapToGrid/>
      <w:kern w:val="32"/>
      <w:sz w:val="36"/>
      <w:szCs w:val="28"/>
    </w:rPr>
  </w:style>
  <w:style w:type="paragraph" w:customStyle="1" w:styleId="PBACTableText">
    <w:name w:val="PBAC Table Text"/>
    <w:basedOn w:val="Normal"/>
    <w:link w:val="PBACTableTextChar"/>
    <w:qFormat/>
    <w:rsid w:val="005D00E3"/>
    <w:pPr>
      <w:widowControl/>
      <w:spacing w:before="40" w:after="40"/>
      <w:jc w:val="left"/>
    </w:pPr>
    <w:rPr>
      <w:rFonts w:ascii="Arial Narrow" w:hAnsi="Arial Narrow" w:cs="Times New Roman"/>
      <w:snapToGrid/>
      <w:sz w:val="20"/>
      <w:szCs w:val="20"/>
    </w:rPr>
  </w:style>
  <w:style w:type="character" w:customStyle="1" w:styleId="PBACTableTextChar">
    <w:name w:val="PBAC Table Text Char"/>
    <w:basedOn w:val="DefaultParagraphFont"/>
    <w:link w:val="PBACTableText"/>
    <w:rsid w:val="005D00E3"/>
    <w:rPr>
      <w:rFonts w:ascii="Arial Narrow" w:hAnsi="Arial Narrow"/>
      <w:lang w:eastAsia="en-US"/>
    </w:rPr>
  </w:style>
  <w:style w:type="paragraph" w:customStyle="1" w:styleId="PBACtablefooter">
    <w:name w:val="PBAC table footer"/>
    <w:basedOn w:val="PBACTableText"/>
    <w:link w:val="PBACtablefooterChar"/>
    <w:rsid w:val="005D00E3"/>
    <w:pPr>
      <w:spacing w:before="60" w:after="0"/>
    </w:pPr>
    <w:rPr>
      <w:rFonts w:eastAsiaTheme="minorHAnsi" w:cs="Arial"/>
      <w:sz w:val="18"/>
      <w:szCs w:val="18"/>
    </w:rPr>
  </w:style>
  <w:style w:type="character" w:customStyle="1" w:styleId="PBACtablefooterChar">
    <w:name w:val="PBAC table footer Char"/>
    <w:basedOn w:val="PBACTableTextChar"/>
    <w:link w:val="PBACtablefooter"/>
    <w:rsid w:val="005D00E3"/>
    <w:rPr>
      <w:rFonts w:ascii="Arial Narrow" w:eastAsiaTheme="minorHAnsi" w:hAnsi="Arial Narrow" w:cs="Arial"/>
      <w:sz w:val="18"/>
      <w:szCs w:val="18"/>
      <w:lang w:eastAsia="en-US"/>
    </w:rPr>
  </w:style>
  <w:style w:type="paragraph" w:customStyle="1" w:styleId="PBACTabletext0">
    <w:name w:val="PBAC Table text"/>
    <w:basedOn w:val="Normal"/>
    <w:link w:val="PBACTabletextChar0"/>
    <w:rsid w:val="005D00E3"/>
    <w:pPr>
      <w:widowControl/>
      <w:spacing w:before="40" w:after="40"/>
      <w:jc w:val="left"/>
    </w:pPr>
    <w:rPr>
      <w:rFonts w:ascii="Arial Narrow" w:eastAsiaTheme="minorHAnsi" w:hAnsi="Arial Narrow"/>
      <w:snapToGrid/>
      <w:sz w:val="20"/>
      <w:szCs w:val="20"/>
    </w:rPr>
  </w:style>
  <w:style w:type="character" w:customStyle="1" w:styleId="PBACTabletextChar0">
    <w:name w:val="PBAC Table text Char"/>
    <w:basedOn w:val="DefaultParagraphFont"/>
    <w:link w:val="PBACTabletext0"/>
    <w:rsid w:val="005D00E3"/>
    <w:rPr>
      <w:rFonts w:ascii="Arial Narrow" w:eastAsiaTheme="minorHAnsi" w:hAnsi="Arial Narrow" w:cs="Arial"/>
      <w:lang w:eastAsia="en-US"/>
    </w:rPr>
  </w:style>
  <w:style w:type="paragraph" w:customStyle="1" w:styleId="PbacTableHeading">
    <w:name w:val="Pbac Table Heading"/>
    <w:basedOn w:val="PBACTabletext0"/>
    <w:qFormat/>
    <w:rsid w:val="005D00E3"/>
    <w:pPr>
      <w:spacing w:before="0" w:after="80"/>
    </w:pPr>
    <w:rPr>
      <w:b/>
    </w:rPr>
  </w:style>
  <w:style w:type="paragraph" w:customStyle="1" w:styleId="PBACtablecaption">
    <w:name w:val="PBAC table caption"/>
    <w:basedOn w:val="PBACtablefooter"/>
    <w:link w:val="PBACtablecaptionChar"/>
    <w:qFormat/>
    <w:rsid w:val="005D00E3"/>
    <w:pPr>
      <w:spacing w:after="60"/>
    </w:pPr>
    <w:rPr>
      <w:rFonts w:ascii="Sabon" w:hAnsi="Sabon"/>
      <w:b/>
      <w:sz w:val="22"/>
      <w:szCs w:val="22"/>
    </w:rPr>
  </w:style>
  <w:style w:type="character" w:customStyle="1" w:styleId="PBACtablecaptionChar">
    <w:name w:val="PBAC table caption Char"/>
    <w:basedOn w:val="PBACtablefooterChar"/>
    <w:link w:val="PBACtablecaption"/>
    <w:rsid w:val="005D00E3"/>
    <w:rPr>
      <w:rFonts w:ascii="Sabon" w:eastAsiaTheme="minorHAnsi" w:hAnsi="Sabon" w:cs="Arial"/>
      <w:b/>
      <w:sz w:val="22"/>
      <w:szCs w:val="22"/>
      <w:lang w:eastAsia="en-US"/>
    </w:rPr>
  </w:style>
  <w:style w:type="character" w:styleId="EndnoteReference">
    <w:name w:val="endnote reference"/>
    <w:semiHidden/>
    <w:rsid w:val="00A377B4"/>
    <w:rPr>
      <w:vertAlign w:val="baseline"/>
    </w:rPr>
  </w:style>
  <w:style w:type="paragraph" w:customStyle="1" w:styleId="PbacTabletoprow">
    <w:name w:val="Pbac Table top row"/>
    <w:basedOn w:val="PBACTableText"/>
    <w:rsid w:val="00A377B4"/>
    <w:rPr>
      <w:rFonts w:eastAsiaTheme="minorHAnsi" w:cs="Arial"/>
      <w:b/>
    </w:rPr>
  </w:style>
  <w:style w:type="paragraph" w:customStyle="1" w:styleId="Dash">
    <w:name w:val="Dash"/>
    <w:basedOn w:val="Normal"/>
    <w:rsid w:val="00A377B4"/>
    <w:pPr>
      <w:widowControl/>
      <w:numPr>
        <w:numId w:val="4"/>
      </w:numPr>
      <w:spacing w:after="40"/>
      <w:ind w:left="714" w:hanging="357"/>
      <w:jc w:val="left"/>
    </w:pPr>
    <w:rPr>
      <w:rFonts w:asciiTheme="minorHAnsi" w:eastAsiaTheme="minorHAnsi" w:hAnsiTheme="minorHAnsi" w:cstheme="minorBidi"/>
      <w:snapToGrid/>
      <w:sz w:val="22"/>
    </w:rPr>
  </w:style>
  <w:style w:type="paragraph" w:customStyle="1" w:styleId="PBACHeading5notnumbered">
    <w:name w:val="PBAC Heading 5 not numbered"/>
    <w:basedOn w:val="Heading5"/>
    <w:link w:val="PBACHeading5notnumberedChar"/>
    <w:qFormat/>
    <w:rsid w:val="00A377B4"/>
    <w:pPr>
      <w:keepNext/>
      <w:keepLines/>
      <w:widowControl/>
      <w:spacing w:before="60" w:after="120"/>
      <w:jc w:val="left"/>
    </w:pPr>
    <w:rPr>
      <w:rFonts w:ascii="Sabon" w:eastAsiaTheme="majorEastAsia" w:hAnsi="Sabon" w:cstheme="majorBidi"/>
      <w:b w:val="0"/>
      <w:bCs w:val="0"/>
      <w:i/>
      <w:iCs w:val="0"/>
      <w:snapToGrid/>
      <w:sz w:val="22"/>
      <w:szCs w:val="20"/>
    </w:rPr>
  </w:style>
  <w:style w:type="character" w:customStyle="1" w:styleId="PBACHeading5notnumberedChar">
    <w:name w:val="PBAC Heading 5 not numbered Char"/>
    <w:basedOn w:val="DefaultParagraphFont"/>
    <w:link w:val="PBACHeading5notnumbered"/>
    <w:rsid w:val="00A377B4"/>
    <w:rPr>
      <w:rFonts w:ascii="Sabon" w:eastAsiaTheme="majorEastAsia" w:hAnsi="Sabon" w:cstheme="majorBidi"/>
      <w:i/>
      <w:sz w:val="22"/>
      <w:lang w:eastAsia="en-US"/>
    </w:rPr>
  </w:style>
  <w:style w:type="paragraph" w:customStyle="1" w:styleId="NormalPBACsubtext">
    <w:name w:val="Normal PBAC sub text"/>
    <w:basedOn w:val="Normal"/>
    <w:next w:val="Normal"/>
    <w:rsid w:val="00A377B4"/>
    <w:pPr>
      <w:keepNext/>
      <w:widowControl/>
      <w:spacing w:after="240" w:line="360" w:lineRule="auto"/>
    </w:pPr>
    <w:rPr>
      <w:rFonts w:ascii="Sabon" w:eastAsiaTheme="minorHAnsi" w:hAnsi="Sabon" w:cstheme="minorBidi"/>
      <w:snapToGrid/>
      <w:sz w:val="22"/>
    </w:rPr>
  </w:style>
  <w:style w:type="character" w:customStyle="1" w:styleId="NoSpacingChar">
    <w:name w:val="No Spacing Char"/>
    <w:aliases w:val="PBAC Table Footnote Char"/>
    <w:basedOn w:val="DefaultParagraphFont"/>
    <w:link w:val="NoSpacing"/>
    <w:uiPriority w:val="1"/>
    <w:rsid w:val="00A377B4"/>
    <w:rPr>
      <w:rFonts w:ascii="Arial" w:hAnsi="Arial" w:cs="Arial"/>
      <w:snapToGrid w:val="0"/>
      <w:sz w:val="22"/>
      <w:lang w:eastAsia="en-US"/>
    </w:rPr>
  </w:style>
  <w:style w:type="character" w:styleId="Strong">
    <w:name w:val="Strong"/>
    <w:basedOn w:val="DefaultParagraphFont"/>
    <w:uiPriority w:val="22"/>
    <w:qFormat/>
    <w:rsid w:val="00A377B4"/>
    <w:rPr>
      <w:b/>
      <w:bCs/>
    </w:rPr>
  </w:style>
  <w:style w:type="character" w:customStyle="1" w:styleId="Heading1Char">
    <w:name w:val="Heading 1 Char"/>
    <w:aliases w:val="PBAC Heading 1 Numbered Char"/>
    <w:basedOn w:val="DefaultParagraphFont"/>
    <w:link w:val="Heading1"/>
    <w:uiPriority w:val="9"/>
    <w:rsid w:val="00A377B4"/>
    <w:rPr>
      <w:rFonts w:ascii="Calibri" w:hAnsi="Calibri" w:cs="Arial"/>
      <w:b/>
      <w:caps/>
      <w:snapToGrid w:val="0"/>
      <w:sz w:val="32"/>
      <w:szCs w:val="22"/>
      <w:lang w:eastAsia="en-US"/>
    </w:rPr>
  </w:style>
  <w:style w:type="character" w:customStyle="1" w:styleId="Heading3Char">
    <w:name w:val="Heading 3 Char"/>
    <w:aliases w:val="PBAC Heading 3 Numbered Char"/>
    <w:basedOn w:val="DefaultParagraphFont"/>
    <w:link w:val="Heading3"/>
    <w:uiPriority w:val="9"/>
    <w:rsid w:val="00A377B4"/>
    <w:rPr>
      <w:rFonts w:ascii="Calibri" w:hAnsi="Calibri" w:cs="Arial"/>
      <w:snapToGrid w:val="0"/>
      <w:sz w:val="24"/>
      <w:szCs w:val="22"/>
      <w:u w:val="single"/>
      <w:lang w:eastAsia="en-US"/>
    </w:rPr>
  </w:style>
  <w:style w:type="character" w:customStyle="1" w:styleId="Heading4Char">
    <w:name w:val="Heading 4 Char"/>
    <w:aliases w:val="PBAC Heading 4 Numbered Char"/>
    <w:basedOn w:val="DefaultParagraphFont"/>
    <w:link w:val="Heading4"/>
    <w:uiPriority w:val="9"/>
    <w:rsid w:val="00A377B4"/>
    <w:rPr>
      <w:rFonts w:ascii="Calibri" w:hAnsi="Calibri" w:cs="Arial"/>
      <w:b/>
      <w:bCs/>
      <w:i/>
      <w:snapToGrid w:val="0"/>
      <w:sz w:val="26"/>
      <w:szCs w:val="28"/>
      <w:lang w:eastAsia="en-US"/>
    </w:rPr>
  </w:style>
  <w:style w:type="character" w:customStyle="1" w:styleId="Heading5Char">
    <w:name w:val="Heading 5 Char"/>
    <w:aliases w:val="PBAC Heading 5 numbered Char"/>
    <w:basedOn w:val="DefaultParagraphFont"/>
    <w:link w:val="Heading5"/>
    <w:uiPriority w:val="9"/>
    <w:rsid w:val="00A377B4"/>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A377B4"/>
    <w:rPr>
      <w:rFonts w:ascii="Calibri" w:hAnsi="Calibri" w:cs="Arial"/>
      <w:b/>
      <w:bCs/>
      <w:i/>
      <w:snapToGrid w:val="0"/>
      <w:sz w:val="24"/>
      <w:szCs w:val="22"/>
      <w:lang w:eastAsia="en-US"/>
    </w:rPr>
  </w:style>
  <w:style w:type="paragraph" w:customStyle="1" w:styleId="PBACHeading1nonumber">
    <w:name w:val="PBAC Heading 1 no number"/>
    <w:basedOn w:val="Heading1"/>
    <w:link w:val="PBACHeading1nonumberChar"/>
    <w:rsid w:val="00A377B4"/>
    <w:pPr>
      <w:keepNext/>
      <w:keepLines/>
      <w:widowControl/>
      <w:spacing w:before="240" w:after="240"/>
      <w:ind w:left="0" w:firstLine="0"/>
      <w:jc w:val="left"/>
    </w:pPr>
    <w:rPr>
      <w:rFonts w:ascii="Sabon" w:eastAsiaTheme="majorEastAsia" w:hAnsi="Sabon" w:cstheme="majorBidi"/>
      <w:caps w:val="0"/>
      <w:snapToGrid/>
      <w:sz w:val="36"/>
      <w:szCs w:val="32"/>
    </w:rPr>
  </w:style>
  <w:style w:type="character" w:customStyle="1" w:styleId="PBACHeading1nonumberChar">
    <w:name w:val="PBAC Heading 1 no number Char"/>
    <w:basedOn w:val="Heading1Char"/>
    <w:link w:val="PBACHeading1nonumber"/>
    <w:rsid w:val="00A377B4"/>
    <w:rPr>
      <w:rFonts w:ascii="Sabon" w:eastAsiaTheme="majorEastAsia" w:hAnsi="Sabon" w:cstheme="majorBidi"/>
      <w:b/>
      <w:caps w:val="0"/>
      <w:snapToGrid/>
      <w:sz w:val="36"/>
      <w:szCs w:val="32"/>
      <w:lang w:eastAsia="en-US"/>
    </w:rPr>
  </w:style>
  <w:style w:type="paragraph" w:customStyle="1" w:styleId="PBACTitlePage116ptBoldCentered">
    <w:name w:val="PBAC Title Page 1 16 pt Bold Centered"/>
    <w:basedOn w:val="Normal"/>
    <w:rsid w:val="00A377B4"/>
    <w:pPr>
      <w:widowControl/>
      <w:spacing w:line="360" w:lineRule="auto"/>
      <w:jc w:val="center"/>
    </w:pPr>
    <w:rPr>
      <w:rFonts w:ascii="Sabon" w:hAnsi="Sabon" w:cs="Times New Roman"/>
      <w:b/>
      <w:bCs/>
      <w:snapToGrid/>
      <w:sz w:val="32"/>
      <w:szCs w:val="20"/>
    </w:rPr>
  </w:style>
  <w:style w:type="paragraph" w:customStyle="1" w:styleId="PBACTitlePage418ptBoldRedCentered">
    <w:name w:val="PBAC Title Page 4 18 pt Bold Red Centered"/>
    <w:basedOn w:val="Normal"/>
    <w:rsid w:val="00A377B4"/>
    <w:pPr>
      <w:widowControl/>
      <w:spacing w:line="360" w:lineRule="auto"/>
      <w:jc w:val="center"/>
    </w:pPr>
    <w:rPr>
      <w:rFonts w:ascii="Sabon" w:hAnsi="Sabon" w:cs="Times New Roman"/>
      <w:b/>
      <w:bCs/>
      <w:snapToGrid/>
      <w:color w:val="FF0000"/>
      <w:sz w:val="36"/>
      <w:szCs w:val="20"/>
    </w:rPr>
  </w:style>
  <w:style w:type="character" w:customStyle="1" w:styleId="PBACTitlePage224ptBold">
    <w:name w:val="PBAC Title Page 2 24 pt Bold"/>
    <w:basedOn w:val="DefaultParagraphFont"/>
    <w:rsid w:val="00A377B4"/>
    <w:rPr>
      <w:b/>
      <w:bCs/>
      <w:sz w:val="48"/>
    </w:rPr>
  </w:style>
  <w:style w:type="paragraph" w:customStyle="1" w:styleId="PBACTitlePage320ptBoldCentered">
    <w:name w:val="PBAC Title Page 3 20 pt Bold Centered"/>
    <w:basedOn w:val="Normal"/>
    <w:rsid w:val="00A377B4"/>
    <w:pPr>
      <w:widowControl/>
      <w:spacing w:line="360" w:lineRule="auto"/>
      <w:jc w:val="center"/>
    </w:pPr>
    <w:rPr>
      <w:rFonts w:ascii="Sabon" w:hAnsi="Sabon" w:cs="Times New Roman"/>
      <w:b/>
      <w:bCs/>
      <w:snapToGrid/>
      <w:sz w:val="40"/>
      <w:szCs w:val="20"/>
    </w:rPr>
  </w:style>
  <w:style w:type="character" w:customStyle="1" w:styleId="PBACTitlePage5NormalBold">
    <w:name w:val="PBAC Title Page 5 Normal + Bold"/>
    <w:basedOn w:val="DefaultParagraphFont"/>
    <w:rsid w:val="00A377B4"/>
    <w:rPr>
      <w:b/>
      <w:bCs/>
    </w:rPr>
  </w:style>
  <w:style w:type="character" w:customStyle="1" w:styleId="PBACTitlePage224ptBoldSuperscript">
    <w:name w:val="PBAC Title Page 2 24 pt Bold Superscript"/>
    <w:basedOn w:val="DefaultParagraphFont"/>
    <w:rsid w:val="00A377B4"/>
    <w:rPr>
      <w:b/>
      <w:bCs/>
      <w:sz w:val="48"/>
      <w:vertAlign w:val="superscript"/>
    </w:rPr>
  </w:style>
  <w:style w:type="paragraph" w:customStyle="1" w:styleId="PBACHeading4italics">
    <w:name w:val="PBAC Heading 4 italics"/>
    <w:basedOn w:val="Heading5"/>
    <w:qFormat/>
    <w:rsid w:val="00A377B4"/>
    <w:pPr>
      <w:keepNext/>
      <w:keepLines/>
      <w:widowControl/>
      <w:spacing w:before="20" w:after="20"/>
      <w:jc w:val="left"/>
    </w:pPr>
    <w:rPr>
      <w:rFonts w:ascii="Sabon" w:eastAsiaTheme="majorEastAsia" w:hAnsi="Sabon" w:cstheme="majorBidi"/>
      <w:bCs w:val="0"/>
      <w:i/>
      <w:iCs w:val="0"/>
      <w:snapToGrid/>
      <w:sz w:val="22"/>
      <w:szCs w:val="20"/>
    </w:rPr>
  </w:style>
  <w:style w:type="paragraph" w:customStyle="1" w:styleId="PBACheading3nonumbers">
    <w:name w:val="PBAC heading 3 no numbers"/>
    <w:basedOn w:val="Heading3"/>
    <w:qFormat/>
    <w:rsid w:val="00A377B4"/>
    <w:pPr>
      <w:keepNext/>
      <w:keepLines/>
      <w:widowControl/>
      <w:spacing w:before="240" w:after="240"/>
      <w:jc w:val="left"/>
    </w:pPr>
    <w:rPr>
      <w:rFonts w:ascii="Sabon" w:eastAsiaTheme="majorEastAsia" w:hAnsi="Sabon" w:cstheme="majorBidi"/>
      <w:b/>
      <w:snapToGrid/>
      <w:sz w:val="28"/>
      <w:szCs w:val="24"/>
      <w:u w:val="none"/>
    </w:rPr>
  </w:style>
  <w:style w:type="paragraph" w:customStyle="1" w:styleId="Default">
    <w:name w:val="Default"/>
    <w:rsid w:val="00A377B4"/>
    <w:pPr>
      <w:autoSpaceDE w:val="0"/>
      <w:autoSpaceDN w:val="0"/>
      <w:adjustRightInd w:val="0"/>
    </w:pPr>
    <w:rPr>
      <w:rFonts w:ascii="Calibri" w:eastAsiaTheme="minorHAnsi" w:hAnsi="Calibri" w:cs="Calibri"/>
      <w:color w:val="000000"/>
      <w:sz w:val="24"/>
      <w:szCs w:val="24"/>
      <w:lang w:val="en-US" w:eastAsia="en-US"/>
    </w:rPr>
  </w:style>
  <w:style w:type="paragraph" w:styleId="FootnoteText">
    <w:name w:val="footnote text"/>
    <w:basedOn w:val="Normal"/>
    <w:link w:val="FootnoteTextChar"/>
    <w:uiPriority w:val="99"/>
    <w:unhideWhenUsed/>
    <w:rsid w:val="00A377B4"/>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A377B4"/>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A377B4"/>
    <w:rPr>
      <w:vertAlign w:val="superscript"/>
    </w:rPr>
  </w:style>
  <w:style w:type="paragraph" w:customStyle="1" w:styleId="Bullet">
    <w:name w:val="Bullet"/>
    <w:basedOn w:val="Normal"/>
    <w:rsid w:val="00A377B4"/>
    <w:pPr>
      <w:widowControl/>
      <w:numPr>
        <w:numId w:val="5"/>
      </w:numPr>
      <w:spacing w:after="120"/>
      <w:ind w:left="357" w:hanging="357"/>
      <w:jc w:val="left"/>
    </w:pPr>
    <w:rPr>
      <w:rFonts w:asciiTheme="minorHAnsi" w:eastAsiaTheme="minorHAnsi" w:hAnsiTheme="minorHAnsi" w:cstheme="minorBidi"/>
      <w:snapToGrid/>
      <w:sz w:val="22"/>
    </w:rPr>
  </w:style>
  <w:style w:type="paragraph" w:customStyle="1" w:styleId="BulletLast">
    <w:name w:val="Bullet Last"/>
    <w:basedOn w:val="Bullet"/>
    <w:rsid w:val="00A377B4"/>
    <w:pPr>
      <w:numPr>
        <w:numId w:val="6"/>
      </w:numPr>
      <w:spacing w:after="240"/>
      <w:ind w:left="357" w:hanging="357"/>
    </w:pPr>
  </w:style>
  <w:style w:type="paragraph" w:styleId="TableofFigures">
    <w:name w:val="table of figures"/>
    <w:basedOn w:val="Normal"/>
    <w:next w:val="Normal"/>
    <w:uiPriority w:val="99"/>
    <w:unhideWhenUsed/>
    <w:rsid w:val="00A377B4"/>
    <w:pPr>
      <w:widowControl/>
      <w:jc w:val="left"/>
    </w:pPr>
    <w:rPr>
      <w:rFonts w:ascii="Sabon" w:eastAsiaTheme="minorHAnsi" w:hAnsi="Sabon"/>
      <w:snapToGrid/>
      <w:sz w:val="22"/>
      <w:szCs w:val="20"/>
    </w:rPr>
  </w:style>
  <w:style w:type="paragraph" w:customStyle="1" w:styleId="BulletBeforeDash">
    <w:name w:val="Bullet Before Dash"/>
    <w:basedOn w:val="Bullet"/>
    <w:rsid w:val="00A377B4"/>
    <w:pPr>
      <w:numPr>
        <w:numId w:val="7"/>
      </w:numPr>
      <w:spacing w:after="60"/>
      <w:ind w:left="357" w:hanging="357"/>
    </w:pPr>
  </w:style>
  <w:style w:type="paragraph" w:customStyle="1" w:styleId="DashEndList">
    <w:name w:val="Dash End List"/>
    <w:basedOn w:val="Normal"/>
    <w:rsid w:val="00A377B4"/>
    <w:pPr>
      <w:widowControl/>
      <w:numPr>
        <w:numId w:val="8"/>
      </w:numPr>
      <w:spacing w:after="240"/>
      <w:ind w:left="714" w:hanging="357"/>
      <w:jc w:val="left"/>
    </w:pPr>
    <w:rPr>
      <w:rFonts w:asciiTheme="minorHAnsi" w:eastAsiaTheme="minorHAnsi" w:hAnsiTheme="minorHAnsi" w:cstheme="minorBidi"/>
      <w:snapToGrid/>
      <w:sz w:val="22"/>
    </w:rPr>
  </w:style>
  <w:style w:type="paragraph" w:customStyle="1" w:styleId="NumberList">
    <w:name w:val="NumberList"/>
    <w:basedOn w:val="Normal"/>
    <w:rsid w:val="00A377B4"/>
    <w:pPr>
      <w:widowControl/>
      <w:tabs>
        <w:tab w:val="left" w:pos="360"/>
      </w:tabs>
      <w:spacing w:after="240"/>
      <w:ind w:left="360" w:hanging="360"/>
      <w:jc w:val="left"/>
    </w:pPr>
    <w:rPr>
      <w:rFonts w:cs="Times New Roman"/>
      <w:snapToGrid/>
      <w:color w:val="000000"/>
      <w:sz w:val="22"/>
      <w:szCs w:val="20"/>
      <w:lang w:eastAsia="en-AU"/>
    </w:rPr>
  </w:style>
  <w:style w:type="paragraph" w:customStyle="1" w:styleId="PBACbullet">
    <w:name w:val="PBAC bullet"/>
    <w:basedOn w:val="ListParagraph"/>
    <w:link w:val="PBACbulletChar"/>
    <w:qFormat/>
    <w:rsid w:val="00A377B4"/>
    <w:pPr>
      <w:widowControl/>
      <w:numPr>
        <w:numId w:val="9"/>
      </w:numPr>
      <w:contextualSpacing/>
      <w:jc w:val="left"/>
    </w:pPr>
    <w:rPr>
      <w:rFonts w:ascii="Sabon" w:eastAsiaTheme="minorHAnsi" w:hAnsi="Sabon"/>
      <w:snapToGrid/>
      <w:sz w:val="22"/>
    </w:rPr>
  </w:style>
  <w:style w:type="character" w:customStyle="1" w:styleId="PBACbulletChar">
    <w:name w:val="PBAC bullet Char"/>
    <w:basedOn w:val="ListParagraphChar"/>
    <w:link w:val="PBACbullet"/>
    <w:rsid w:val="00A377B4"/>
    <w:rPr>
      <w:rFonts w:ascii="Sabon" w:eastAsiaTheme="minorHAnsi" w:hAnsi="Sabon" w:cs="Arial"/>
      <w:snapToGrid/>
      <w:sz w:val="22"/>
      <w:szCs w:val="22"/>
      <w:lang w:eastAsia="en-US"/>
    </w:rPr>
  </w:style>
  <w:style w:type="paragraph" w:customStyle="1" w:styleId="TableTextCA">
    <w:name w:val="Table Text CA"/>
    <w:basedOn w:val="Normal"/>
    <w:rsid w:val="00A377B4"/>
    <w:pPr>
      <w:widowControl/>
      <w:spacing w:before="40" w:after="40"/>
      <w:jc w:val="center"/>
    </w:pPr>
    <w:rPr>
      <w:rFonts w:ascii="Arial Narrow" w:eastAsiaTheme="minorHAnsi" w:hAnsi="Arial Narrow" w:cstheme="minorBidi"/>
      <w:snapToGrid/>
      <w:sz w:val="20"/>
    </w:rPr>
  </w:style>
  <w:style w:type="paragraph" w:customStyle="1" w:styleId="Text">
    <w:name w:val="Text"/>
    <w:aliases w:val="Graphic,Graphic Char Char,Graphic Char Char Char Char Char,Graphic Char Char Char Char Char Char Char C,本文,JP Body Text,Body Text1,Body Text11,Body Text111,Body Text1111,??,Body Text11111,本文1,Body Text2,Body Text21,本文2,Body Text111111,Body Text3"/>
    <w:basedOn w:val="Normal"/>
    <w:link w:val="TextChar1"/>
    <w:qFormat/>
    <w:rsid w:val="00A377B4"/>
    <w:pPr>
      <w:widowControl/>
      <w:spacing w:before="120"/>
    </w:pPr>
    <w:rPr>
      <w:rFonts w:ascii="Times New Roman" w:eastAsia="MS Mincho" w:hAnsi="Times New Roman" w:cs="Times New Roman"/>
      <w:snapToGrid/>
      <w:szCs w:val="20"/>
      <w:lang w:val="en-US" w:eastAsia="zh-CN"/>
    </w:rPr>
  </w:style>
  <w:style w:type="paragraph" w:customStyle="1" w:styleId="Comment">
    <w:name w:val="Comment"/>
    <w:basedOn w:val="Normal"/>
    <w:next w:val="Text"/>
    <w:link w:val="CommentChar"/>
    <w:rsid w:val="00A377B4"/>
    <w:pPr>
      <w:widowControl/>
      <w:spacing w:before="120"/>
    </w:pPr>
    <w:rPr>
      <w:rFonts w:ascii="Times New Roman" w:eastAsia="MS Mincho" w:hAnsi="Times New Roman" w:cs="Times New Roman"/>
      <w:i/>
      <w:snapToGrid/>
      <w:color w:val="BF30B5"/>
      <w:szCs w:val="24"/>
      <w:lang w:val="en-US" w:eastAsia="zh-CN"/>
    </w:rPr>
  </w:style>
  <w:style w:type="paragraph" w:customStyle="1" w:styleId="Table">
    <w:name w:val="Table"/>
    <w:aliases w:val="10 pt  Bold,9 pt,9pt,10 pt,Normal + Courier New,Courier New,Not Bold,Text + Courier New,Bold,table text 10 pt + Arial,Normal + (Latin) Arial,(Complex) Arial,legendt,10 pt  Bold + Bold + Bold,Table + (Latin) Courier New,Befor...,Before:  0 pt,Auto"/>
    <w:basedOn w:val="Normal"/>
    <w:link w:val="TableChar"/>
    <w:rsid w:val="00A377B4"/>
    <w:pPr>
      <w:keepLines/>
      <w:widowControl/>
      <w:tabs>
        <w:tab w:val="left" w:pos="284"/>
      </w:tabs>
      <w:spacing w:before="40" w:after="20"/>
    </w:pPr>
    <w:rPr>
      <w:rFonts w:ascii="Arial" w:eastAsia="MS Mincho" w:hAnsi="Arial"/>
      <w:snapToGrid/>
      <w:sz w:val="20"/>
      <w:szCs w:val="24"/>
      <w:lang w:val="en-US" w:eastAsia="zh-CN"/>
    </w:rPr>
  </w:style>
  <w:style w:type="paragraph" w:customStyle="1" w:styleId="Synopsis">
    <w:name w:val="Synopsis"/>
    <w:basedOn w:val="Text"/>
    <w:link w:val="SynopsisChar"/>
    <w:rsid w:val="00A377B4"/>
    <w:rPr>
      <w:rFonts w:ascii="Arial" w:eastAsia="MS Gothic" w:hAnsi="Arial"/>
      <w:sz w:val="20"/>
    </w:rPr>
  </w:style>
  <w:style w:type="character" w:customStyle="1" w:styleId="CommentChar">
    <w:name w:val="Comment Char"/>
    <w:link w:val="Comment"/>
    <w:rsid w:val="00A377B4"/>
    <w:rPr>
      <w:rFonts w:eastAsia="MS Mincho"/>
      <w:i/>
      <w:color w:val="BF30B5"/>
      <w:sz w:val="24"/>
      <w:szCs w:val="24"/>
      <w:lang w:val="en-US" w:eastAsia="zh-CN"/>
    </w:rPr>
  </w:style>
  <w:style w:type="character" w:customStyle="1" w:styleId="TextChar1">
    <w:name w:val="Text Char1"/>
    <w:link w:val="Text"/>
    <w:rsid w:val="00A377B4"/>
    <w:rPr>
      <w:rFonts w:eastAsia="MS Mincho"/>
      <w:sz w:val="24"/>
      <w:lang w:val="en-US" w:eastAsia="zh-CN"/>
    </w:rPr>
  </w:style>
  <w:style w:type="character" w:customStyle="1" w:styleId="SynopsisChar">
    <w:name w:val="Synopsis Char"/>
    <w:link w:val="Synopsis"/>
    <w:rsid w:val="00A377B4"/>
    <w:rPr>
      <w:rFonts w:ascii="Arial" w:eastAsia="MS Gothic" w:hAnsi="Arial"/>
      <w:lang w:val="en-US" w:eastAsia="zh-CN"/>
    </w:rPr>
  </w:style>
  <w:style w:type="character" w:customStyle="1" w:styleId="TableChar">
    <w:name w:val="Table Char"/>
    <w:aliases w:val="10 pt  Bold Char,9 pt Char,10 pt Char,9pt Char,Table Char1,9 Char,Table pt Char,table text 10 pt + Arial Char,Bold Char,Normal + (Latin) Arial Char,(Complex) Arial Char,10 pt  Bold + Bold + Bold Char,Table + (Latin) Courier New Char"/>
    <w:basedOn w:val="DefaultParagraphFont"/>
    <w:link w:val="Table"/>
    <w:rsid w:val="00A377B4"/>
    <w:rPr>
      <w:rFonts w:ascii="Arial" w:eastAsia="MS Mincho" w:hAnsi="Arial" w:cs="Arial"/>
      <w:szCs w:val="24"/>
      <w:lang w:val="en-US" w:eastAsia="zh-CN"/>
    </w:rPr>
  </w:style>
  <w:style w:type="character" w:customStyle="1" w:styleId="TextChar">
    <w:name w:val="Text Char"/>
    <w:aliases w:val="Graphic Char"/>
    <w:rsid w:val="00A377B4"/>
    <w:rPr>
      <w:rFonts w:ascii="Times New Roman" w:eastAsia="MS Mincho" w:hAnsi="Times New Roman" w:cs="Times New Roman"/>
      <w:sz w:val="24"/>
      <w:lang w:eastAsia="zh-CN"/>
    </w:rPr>
  </w:style>
  <w:style w:type="paragraph" w:customStyle="1" w:styleId="PBACcaption">
    <w:name w:val="PBAC caption"/>
    <w:basedOn w:val="PBACtablecaption"/>
    <w:link w:val="PBACcaptionChar"/>
    <w:qFormat/>
    <w:rsid w:val="00A377B4"/>
    <w:pPr>
      <w:spacing w:before="0" w:after="0"/>
      <w:ind w:left="1440" w:hanging="1440"/>
    </w:pPr>
  </w:style>
  <w:style w:type="character" w:customStyle="1" w:styleId="PBACcaptionChar">
    <w:name w:val="PBAC caption Char"/>
    <w:basedOn w:val="PBACtablecaptionChar"/>
    <w:link w:val="PBACcaption"/>
    <w:rsid w:val="00A377B4"/>
    <w:rPr>
      <w:rFonts w:ascii="Sabon" w:eastAsiaTheme="minorHAnsi" w:hAnsi="Sabon" w:cs="Arial"/>
      <w:b/>
      <w:sz w:val="22"/>
      <w:szCs w:val="22"/>
      <w:lang w:eastAsia="en-US"/>
    </w:rPr>
  </w:style>
  <w:style w:type="paragraph" w:customStyle="1" w:styleId="TableSub">
    <w:name w:val="Table Sub"/>
    <w:basedOn w:val="Normal"/>
    <w:link w:val="TableSubChar"/>
    <w:rsid w:val="00A377B4"/>
    <w:pPr>
      <w:widowControl/>
      <w:spacing w:before="40" w:after="40"/>
      <w:jc w:val="left"/>
    </w:pPr>
    <w:rPr>
      <w:rFonts w:ascii="News Gothic MT" w:hAnsi="News Gothic MT" w:cs="Times New Roman"/>
      <w:snapToGrid/>
      <w:sz w:val="20"/>
      <w:szCs w:val="20"/>
      <w:lang w:val="en-US"/>
    </w:rPr>
  </w:style>
  <w:style w:type="character" w:customStyle="1" w:styleId="TableSubChar">
    <w:name w:val="Table Sub Char"/>
    <w:basedOn w:val="DefaultParagraphFont"/>
    <w:link w:val="TableSub"/>
    <w:rsid w:val="00A377B4"/>
    <w:rPr>
      <w:rFonts w:ascii="News Gothic MT" w:hAnsi="News Gothic MT"/>
      <w:lang w:val="en-US" w:eastAsia="en-US"/>
    </w:rPr>
  </w:style>
  <w:style w:type="character" w:styleId="Emphasis">
    <w:name w:val="Emphasis"/>
    <w:basedOn w:val="DefaultParagraphFont"/>
    <w:uiPriority w:val="20"/>
    <w:qFormat/>
    <w:rsid w:val="00A377B4"/>
    <w:rPr>
      <w:i/>
      <w:iCs/>
    </w:rPr>
  </w:style>
  <w:style w:type="paragraph" w:styleId="PlainText">
    <w:name w:val="Plain Text"/>
    <w:basedOn w:val="Normal"/>
    <w:link w:val="PlainTextChar"/>
    <w:semiHidden/>
    <w:unhideWhenUsed/>
    <w:rsid w:val="00F67E3E"/>
    <w:rPr>
      <w:rFonts w:ascii="Consolas" w:hAnsi="Consolas"/>
      <w:sz w:val="21"/>
      <w:szCs w:val="21"/>
    </w:rPr>
  </w:style>
  <w:style w:type="character" w:customStyle="1" w:styleId="PlainTextChar">
    <w:name w:val="Plain Text Char"/>
    <w:basedOn w:val="DefaultParagraphFont"/>
    <w:link w:val="PlainText"/>
    <w:semiHidden/>
    <w:rsid w:val="00F67E3E"/>
    <w:rPr>
      <w:rFonts w:ascii="Consolas" w:hAnsi="Consolas" w:cs="Arial"/>
      <w:snapToGrid w:val="0"/>
      <w:sz w:val="21"/>
      <w:szCs w:val="21"/>
      <w:lang w:eastAsia="en-US"/>
    </w:rPr>
  </w:style>
  <w:style w:type="paragraph" w:customStyle="1" w:styleId="2Sections">
    <w:name w:val="2. Sections"/>
    <w:qFormat/>
    <w:rsid w:val="004B47A4"/>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4B47A4"/>
    <w:pPr>
      <w:widowControl/>
      <w:tabs>
        <w:tab w:val="num" w:pos="360"/>
      </w:tabs>
      <w:spacing w:after="1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7349">
      <w:bodyDiv w:val="1"/>
      <w:marLeft w:val="0"/>
      <w:marRight w:val="0"/>
      <w:marTop w:val="0"/>
      <w:marBottom w:val="0"/>
      <w:divBdr>
        <w:top w:val="none" w:sz="0" w:space="0" w:color="auto"/>
        <w:left w:val="none" w:sz="0" w:space="0" w:color="auto"/>
        <w:bottom w:val="none" w:sz="0" w:space="0" w:color="auto"/>
        <w:right w:val="none" w:sz="0" w:space="0" w:color="auto"/>
      </w:divBdr>
    </w:div>
    <w:div w:id="357462870">
      <w:bodyDiv w:val="1"/>
      <w:marLeft w:val="0"/>
      <w:marRight w:val="0"/>
      <w:marTop w:val="0"/>
      <w:marBottom w:val="0"/>
      <w:divBdr>
        <w:top w:val="none" w:sz="0" w:space="0" w:color="auto"/>
        <w:left w:val="none" w:sz="0" w:space="0" w:color="auto"/>
        <w:bottom w:val="none" w:sz="0" w:space="0" w:color="auto"/>
        <w:right w:val="none" w:sz="0" w:space="0" w:color="auto"/>
      </w:divBdr>
      <w:divsChild>
        <w:div w:id="751243532">
          <w:marLeft w:val="1166"/>
          <w:marRight w:val="0"/>
          <w:marTop w:val="77"/>
          <w:marBottom w:val="0"/>
          <w:divBdr>
            <w:top w:val="none" w:sz="0" w:space="0" w:color="auto"/>
            <w:left w:val="none" w:sz="0" w:space="0" w:color="auto"/>
            <w:bottom w:val="none" w:sz="0" w:space="0" w:color="auto"/>
            <w:right w:val="none" w:sz="0" w:space="0" w:color="auto"/>
          </w:divBdr>
        </w:div>
      </w:divsChild>
    </w:div>
    <w:div w:id="406269722">
      <w:bodyDiv w:val="1"/>
      <w:marLeft w:val="0"/>
      <w:marRight w:val="0"/>
      <w:marTop w:val="0"/>
      <w:marBottom w:val="0"/>
      <w:divBdr>
        <w:top w:val="none" w:sz="0" w:space="0" w:color="auto"/>
        <w:left w:val="none" w:sz="0" w:space="0" w:color="auto"/>
        <w:bottom w:val="none" w:sz="0" w:space="0" w:color="auto"/>
        <w:right w:val="none" w:sz="0" w:space="0" w:color="auto"/>
      </w:divBdr>
    </w:div>
    <w:div w:id="436828800">
      <w:bodyDiv w:val="1"/>
      <w:marLeft w:val="0"/>
      <w:marRight w:val="0"/>
      <w:marTop w:val="0"/>
      <w:marBottom w:val="0"/>
      <w:divBdr>
        <w:top w:val="none" w:sz="0" w:space="0" w:color="auto"/>
        <w:left w:val="none" w:sz="0" w:space="0" w:color="auto"/>
        <w:bottom w:val="none" w:sz="0" w:space="0" w:color="auto"/>
        <w:right w:val="none" w:sz="0" w:space="0" w:color="auto"/>
      </w:divBdr>
      <w:divsChild>
        <w:div w:id="942617038">
          <w:marLeft w:val="1166"/>
          <w:marRight w:val="0"/>
          <w:marTop w:val="77"/>
          <w:marBottom w:val="0"/>
          <w:divBdr>
            <w:top w:val="none" w:sz="0" w:space="0" w:color="auto"/>
            <w:left w:val="none" w:sz="0" w:space="0" w:color="auto"/>
            <w:bottom w:val="none" w:sz="0" w:space="0" w:color="auto"/>
            <w:right w:val="none" w:sz="0" w:space="0" w:color="auto"/>
          </w:divBdr>
        </w:div>
        <w:div w:id="1601795214">
          <w:marLeft w:val="1166"/>
          <w:marRight w:val="0"/>
          <w:marTop w:val="77"/>
          <w:marBottom w:val="0"/>
          <w:divBdr>
            <w:top w:val="none" w:sz="0" w:space="0" w:color="auto"/>
            <w:left w:val="none" w:sz="0" w:space="0" w:color="auto"/>
            <w:bottom w:val="none" w:sz="0" w:space="0" w:color="auto"/>
            <w:right w:val="none" w:sz="0" w:space="0" w:color="auto"/>
          </w:divBdr>
        </w:div>
      </w:divsChild>
    </w:div>
    <w:div w:id="500124793">
      <w:bodyDiv w:val="1"/>
      <w:marLeft w:val="0"/>
      <w:marRight w:val="0"/>
      <w:marTop w:val="0"/>
      <w:marBottom w:val="0"/>
      <w:divBdr>
        <w:top w:val="none" w:sz="0" w:space="0" w:color="auto"/>
        <w:left w:val="none" w:sz="0" w:space="0" w:color="auto"/>
        <w:bottom w:val="none" w:sz="0" w:space="0" w:color="auto"/>
        <w:right w:val="none" w:sz="0" w:space="0" w:color="auto"/>
      </w:divBdr>
    </w:div>
    <w:div w:id="1194076042">
      <w:bodyDiv w:val="1"/>
      <w:marLeft w:val="0"/>
      <w:marRight w:val="0"/>
      <w:marTop w:val="0"/>
      <w:marBottom w:val="0"/>
      <w:divBdr>
        <w:top w:val="none" w:sz="0" w:space="0" w:color="auto"/>
        <w:left w:val="none" w:sz="0" w:space="0" w:color="auto"/>
        <w:bottom w:val="none" w:sz="0" w:space="0" w:color="auto"/>
        <w:right w:val="none" w:sz="0" w:space="0" w:color="auto"/>
      </w:divBdr>
      <w:divsChild>
        <w:div w:id="989410032">
          <w:marLeft w:val="1166"/>
          <w:marRight w:val="0"/>
          <w:marTop w:val="77"/>
          <w:marBottom w:val="0"/>
          <w:divBdr>
            <w:top w:val="none" w:sz="0" w:space="0" w:color="auto"/>
            <w:left w:val="none" w:sz="0" w:space="0" w:color="auto"/>
            <w:bottom w:val="none" w:sz="0" w:space="0" w:color="auto"/>
            <w:right w:val="none" w:sz="0" w:space="0" w:color="auto"/>
          </w:divBdr>
        </w:div>
      </w:divsChild>
    </w:div>
    <w:div w:id="1839005759">
      <w:bodyDiv w:val="1"/>
      <w:marLeft w:val="0"/>
      <w:marRight w:val="0"/>
      <w:marTop w:val="0"/>
      <w:marBottom w:val="0"/>
      <w:divBdr>
        <w:top w:val="none" w:sz="0" w:space="0" w:color="auto"/>
        <w:left w:val="none" w:sz="0" w:space="0" w:color="auto"/>
        <w:bottom w:val="none" w:sz="0" w:space="0" w:color="auto"/>
        <w:right w:val="none" w:sz="0" w:space="0" w:color="auto"/>
      </w:divBdr>
      <w:divsChild>
        <w:div w:id="563443284">
          <w:marLeft w:val="547"/>
          <w:marRight w:val="0"/>
          <w:marTop w:val="86"/>
          <w:marBottom w:val="0"/>
          <w:divBdr>
            <w:top w:val="none" w:sz="0" w:space="0" w:color="auto"/>
            <w:left w:val="none" w:sz="0" w:space="0" w:color="auto"/>
            <w:bottom w:val="none" w:sz="0" w:space="0" w:color="auto"/>
            <w:right w:val="none" w:sz="0" w:space="0" w:color="auto"/>
          </w:divBdr>
        </w:div>
        <w:div w:id="1003362262">
          <w:marLeft w:val="547"/>
          <w:marRight w:val="0"/>
          <w:marTop w:val="86"/>
          <w:marBottom w:val="0"/>
          <w:divBdr>
            <w:top w:val="none" w:sz="0" w:space="0" w:color="auto"/>
            <w:left w:val="none" w:sz="0" w:space="0" w:color="auto"/>
            <w:bottom w:val="none" w:sz="0" w:space="0" w:color="auto"/>
            <w:right w:val="none" w:sz="0" w:space="0" w:color="auto"/>
          </w:divBdr>
        </w:div>
        <w:div w:id="1914972259">
          <w:marLeft w:val="547"/>
          <w:marRight w:val="0"/>
          <w:marTop w:val="86"/>
          <w:marBottom w:val="0"/>
          <w:divBdr>
            <w:top w:val="none" w:sz="0" w:space="0" w:color="auto"/>
            <w:left w:val="none" w:sz="0" w:space="0" w:color="auto"/>
            <w:bottom w:val="none" w:sz="0" w:space="0" w:color="auto"/>
            <w:right w:val="none" w:sz="0" w:space="0" w:color="auto"/>
          </w:divBdr>
        </w:div>
      </w:divsChild>
    </w:div>
    <w:div w:id="1856186621">
      <w:bodyDiv w:val="1"/>
      <w:marLeft w:val="0"/>
      <w:marRight w:val="0"/>
      <w:marTop w:val="0"/>
      <w:marBottom w:val="0"/>
      <w:divBdr>
        <w:top w:val="none" w:sz="0" w:space="0" w:color="auto"/>
        <w:left w:val="none" w:sz="0" w:space="0" w:color="auto"/>
        <w:bottom w:val="none" w:sz="0" w:space="0" w:color="auto"/>
        <w:right w:val="none" w:sz="0" w:space="0" w:color="auto"/>
      </w:divBdr>
    </w:div>
    <w:div w:id="190934443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05">
          <w:marLeft w:val="1166"/>
          <w:marRight w:val="0"/>
          <w:marTop w:val="77"/>
          <w:marBottom w:val="0"/>
          <w:divBdr>
            <w:top w:val="none" w:sz="0" w:space="0" w:color="auto"/>
            <w:left w:val="none" w:sz="0" w:space="0" w:color="auto"/>
            <w:bottom w:val="none" w:sz="0" w:space="0" w:color="auto"/>
            <w:right w:val="none" w:sz="0" w:space="0" w:color="auto"/>
          </w:divBdr>
        </w:div>
        <w:div w:id="1701472471">
          <w:marLeft w:val="1166"/>
          <w:marRight w:val="0"/>
          <w:marTop w:val="77"/>
          <w:marBottom w:val="0"/>
          <w:divBdr>
            <w:top w:val="none" w:sz="0" w:space="0" w:color="auto"/>
            <w:left w:val="none" w:sz="0" w:space="0" w:color="auto"/>
            <w:bottom w:val="none" w:sz="0" w:space="0" w:color="auto"/>
            <w:right w:val="none" w:sz="0" w:space="0" w:color="auto"/>
          </w:divBdr>
        </w:div>
      </w:divsChild>
    </w:div>
    <w:div w:id="2060277212">
      <w:bodyDiv w:val="1"/>
      <w:marLeft w:val="0"/>
      <w:marRight w:val="0"/>
      <w:marTop w:val="0"/>
      <w:marBottom w:val="0"/>
      <w:divBdr>
        <w:top w:val="none" w:sz="0" w:space="0" w:color="auto"/>
        <w:left w:val="none" w:sz="0" w:space="0" w:color="auto"/>
        <w:bottom w:val="none" w:sz="0" w:space="0" w:color="auto"/>
        <w:right w:val="none" w:sz="0" w:space="0" w:color="auto"/>
      </w:divBdr>
      <w:divsChild>
        <w:div w:id="20191120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tm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10668</Words>
  <Characters>60810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2020-03-03T01:15:00Z</dcterms:created>
  <dcterms:modified xsi:type="dcterms:W3CDTF">2020-03-03T03:10:00Z</dcterms:modified>
</cp:coreProperties>
</file>